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AC79C" w14:textId="0C330D63" w:rsidR="00D439B3" w:rsidRPr="00DD3496" w:rsidRDefault="00D439B3" w:rsidP="00DD3496">
      <w:pPr>
        <w:pStyle w:val="ListParagraph"/>
        <w:numPr>
          <w:ilvl w:val="0"/>
          <w:numId w:val="12"/>
        </w:numPr>
        <w:spacing w:after="200"/>
        <w:ind w:hanging="810"/>
        <w:rPr>
          <w:rFonts w:ascii="Arial" w:hAnsi="Arial" w:cs="Arial"/>
          <w:szCs w:val="24"/>
        </w:rPr>
      </w:pPr>
      <w:bookmarkStart w:id="0" w:name="_GoBack"/>
      <w:bookmarkEnd w:id="0"/>
      <w:r w:rsidRPr="00DD3496">
        <w:rPr>
          <w:rFonts w:ascii="Arial" w:hAnsi="Arial" w:cs="Arial"/>
          <w:szCs w:val="24"/>
        </w:rPr>
        <w:t>Existing Contract Between the CEC and BAAQMD</w:t>
      </w:r>
    </w:p>
    <w:p w14:paraId="03E25312" w14:textId="31BA244F" w:rsidR="00187843" w:rsidRPr="00DD3496" w:rsidRDefault="00187843" w:rsidP="00DD3496">
      <w:pPr>
        <w:spacing w:after="200"/>
        <w:rPr>
          <w:rFonts w:cs="Arial"/>
          <w:szCs w:val="24"/>
        </w:rPr>
      </w:pPr>
      <w:r w:rsidRPr="00DD3496">
        <w:rPr>
          <w:rFonts w:cs="Arial"/>
          <w:szCs w:val="24"/>
        </w:rPr>
        <w:t>The California Energy Commission (CEC) has an existing contract with the Bay Area Air Quality</w:t>
      </w:r>
      <w:r w:rsidR="00C215E3" w:rsidRPr="00DD3496">
        <w:rPr>
          <w:rFonts w:cs="Arial"/>
          <w:szCs w:val="24"/>
        </w:rPr>
        <w:t xml:space="preserve"> Management District (BAAQMD), CEC contract 600-19-010, BAAQMD contract no. 2019.332 (hereinafter, CEC-BAAQMD Contract)</w:t>
      </w:r>
      <w:r w:rsidR="0000346A" w:rsidRPr="00DD3496">
        <w:rPr>
          <w:rFonts w:cs="Arial"/>
          <w:szCs w:val="24"/>
        </w:rPr>
        <w:t xml:space="preserve">. Under the CEC-BAAQMD Contract, </w:t>
      </w:r>
      <w:r w:rsidR="00C215E3" w:rsidRPr="00DD3496">
        <w:rPr>
          <w:rFonts w:cs="Arial"/>
          <w:szCs w:val="24"/>
        </w:rPr>
        <w:t>the CEC will</w:t>
      </w:r>
      <w:r w:rsidR="00A63CD0" w:rsidRPr="00DD3496">
        <w:rPr>
          <w:rFonts w:cs="Arial"/>
          <w:szCs w:val="24"/>
        </w:rPr>
        <w:t xml:space="preserve"> obtain Volkswagen</w:t>
      </w:r>
      <w:r w:rsidRPr="00DD3496">
        <w:rPr>
          <w:rFonts w:cs="Arial"/>
          <w:szCs w:val="24"/>
        </w:rPr>
        <w:t xml:space="preserve"> Mitigation Trust funds from BAAQMD. The CEC intends to use these funds from BAAQMD to fund this Agreement. </w:t>
      </w:r>
      <w:r w:rsidR="00C215E3" w:rsidRPr="00DD3496">
        <w:rPr>
          <w:rFonts w:cs="Arial"/>
          <w:szCs w:val="24"/>
        </w:rPr>
        <w:t>The CEC-BAAQMD Contract</w:t>
      </w:r>
      <w:r w:rsidRPr="00DD3496">
        <w:rPr>
          <w:rFonts w:cs="Arial"/>
          <w:szCs w:val="24"/>
        </w:rPr>
        <w:t xml:space="preserve"> requires the CEC to include certain terms in its grant agreements. The Recipient of this Agreement must comply with all applicable terms contained in </w:t>
      </w:r>
      <w:r w:rsidR="00C215E3" w:rsidRPr="00DD3496">
        <w:rPr>
          <w:rFonts w:cs="Arial"/>
          <w:szCs w:val="24"/>
        </w:rPr>
        <w:t>the CEC-BAAQMD Contract</w:t>
      </w:r>
      <w:r w:rsidRPr="00DD3496">
        <w:rPr>
          <w:rFonts w:cs="Arial"/>
          <w:szCs w:val="24"/>
        </w:rPr>
        <w:t>.</w:t>
      </w:r>
    </w:p>
    <w:p w14:paraId="7FAF1E1E" w14:textId="77777777" w:rsidR="00187843" w:rsidRPr="00DD3496" w:rsidRDefault="00D439B3" w:rsidP="00DD3496">
      <w:pPr>
        <w:pStyle w:val="ListParagraph"/>
        <w:numPr>
          <w:ilvl w:val="0"/>
          <w:numId w:val="11"/>
        </w:numPr>
        <w:spacing w:after="200"/>
        <w:ind w:hanging="720"/>
        <w:rPr>
          <w:rFonts w:ascii="Arial" w:hAnsi="Arial" w:cs="Arial"/>
          <w:szCs w:val="24"/>
        </w:rPr>
      </w:pPr>
      <w:r w:rsidRPr="00DD3496">
        <w:rPr>
          <w:rFonts w:ascii="Arial" w:hAnsi="Arial" w:cs="Arial"/>
          <w:szCs w:val="24"/>
        </w:rPr>
        <w:t>I</w:t>
      </w:r>
      <w:r w:rsidR="00187843" w:rsidRPr="00DD3496">
        <w:rPr>
          <w:rFonts w:ascii="Arial" w:hAnsi="Arial" w:cs="Arial"/>
          <w:szCs w:val="24"/>
        </w:rPr>
        <w:t>ncorporation by Reference</w:t>
      </w:r>
    </w:p>
    <w:p w14:paraId="18A4789E" w14:textId="383DB0F3" w:rsidR="00C215E3" w:rsidRPr="00DD3496" w:rsidRDefault="00C215E3" w:rsidP="00DD3496">
      <w:pPr>
        <w:spacing w:after="200"/>
        <w:rPr>
          <w:rFonts w:cs="Arial"/>
          <w:szCs w:val="24"/>
        </w:rPr>
      </w:pPr>
      <w:r w:rsidRPr="00DD3496">
        <w:rPr>
          <w:rFonts w:cs="Arial"/>
          <w:szCs w:val="24"/>
        </w:rPr>
        <w:t>The Recipient shall comply with the following terms, which are also found the CEC-BAAQMD Contract.</w:t>
      </w:r>
      <w:r w:rsidR="00D439B3" w:rsidRPr="00DD3496">
        <w:rPr>
          <w:rFonts w:cs="Arial"/>
          <w:szCs w:val="24"/>
        </w:rPr>
        <w:t xml:space="preserve"> </w:t>
      </w:r>
      <w:r w:rsidR="00D439B3" w:rsidRPr="00DD3496">
        <w:rPr>
          <w:rStyle w:val="normaltextrunbcx2scxw114835737"/>
          <w:rFonts w:cs="Arial"/>
          <w:szCs w:val="24"/>
        </w:rPr>
        <w:t>The Recipient shall comply with any other requirement contained in the CEC-BAAQMD Contract which is applicable to this Agreement or the Recipient, even if not expressly listed below.</w:t>
      </w:r>
    </w:p>
    <w:p w14:paraId="3DCC517B" w14:textId="3A570A94" w:rsidR="00D439B3" w:rsidRPr="00DD3496" w:rsidRDefault="00D439B3" w:rsidP="00DD3496">
      <w:pPr>
        <w:tabs>
          <w:tab w:val="left" w:pos="0"/>
        </w:tabs>
        <w:autoSpaceDE w:val="0"/>
        <w:autoSpaceDN w:val="0"/>
        <w:rPr>
          <w:rFonts w:cs="Arial"/>
          <w:szCs w:val="24"/>
        </w:rPr>
      </w:pPr>
      <w:r w:rsidRPr="00DD3496">
        <w:rPr>
          <w:rFonts w:eastAsiaTheme="minorHAnsi" w:cs="Arial"/>
          <w:szCs w:val="24"/>
        </w:rPr>
        <w:t>•</w:t>
      </w:r>
      <w:r w:rsidRPr="00DD3496">
        <w:rPr>
          <w:rFonts w:cs="Arial"/>
          <w:szCs w:val="24"/>
        </w:rPr>
        <w:t xml:space="preserve"> </w:t>
      </w:r>
      <w:r w:rsidR="00C215E3" w:rsidRPr="00DD3496">
        <w:rPr>
          <w:rFonts w:cs="Arial"/>
          <w:i/>
          <w:szCs w:val="24"/>
        </w:rPr>
        <w:t>CEC-BAAQMD Contract Exhibit D, section 3, Performance Requirements, subsection C</w:t>
      </w:r>
      <w:r w:rsidR="00C215E3" w:rsidRPr="00DD3496">
        <w:rPr>
          <w:rFonts w:cs="Arial"/>
          <w:szCs w:val="24"/>
        </w:rPr>
        <w:t>. The Recipient must comply with all laws, rules, guidelines, regulations, and requirements that apply to performance under the CEC-BAAQMD Contract, including that the Recipient must disclose potential conflicts of interest under BAAQMD’s Conflict of Interest Code.</w:t>
      </w:r>
    </w:p>
    <w:p w14:paraId="5DAB6C7B" w14:textId="77777777" w:rsidR="00D439B3" w:rsidRPr="00DD3496" w:rsidRDefault="00D439B3" w:rsidP="00DD3496">
      <w:pPr>
        <w:tabs>
          <w:tab w:val="left" w:pos="0"/>
        </w:tabs>
        <w:autoSpaceDE w:val="0"/>
        <w:autoSpaceDN w:val="0"/>
        <w:rPr>
          <w:rFonts w:cs="Arial"/>
          <w:szCs w:val="24"/>
        </w:rPr>
      </w:pPr>
    </w:p>
    <w:p w14:paraId="7F72BD16" w14:textId="0A1A9F1E" w:rsidR="00D439B3" w:rsidRPr="00DD3496" w:rsidRDefault="00D439B3" w:rsidP="00DD3496">
      <w:pPr>
        <w:tabs>
          <w:tab w:val="left" w:pos="0"/>
        </w:tabs>
        <w:autoSpaceDE w:val="0"/>
        <w:autoSpaceDN w:val="0"/>
        <w:rPr>
          <w:rFonts w:cs="Arial"/>
          <w:szCs w:val="24"/>
        </w:rPr>
      </w:pPr>
      <w:r w:rsidRPr="00DD3496">
        <w:rPr>
          <w:rFonts w:eastAsiaTheme="minorHAnsi" w:cs="Arial"/>
          <w:szCs w:val="24"/>
        </w:rPr>
        <w:t>•</w:t>
      </w:r>
      <w:r w:rsidRPr="00DD3496">
        <w:rPr>
          <w:rFonts w:cs="Arial"/>
          <w:szCs w:val="24"/>
        </w:rPr>
        <w:t xml:space="preserve"> </w:t>
      </w:r>
      <w:r w:rsidR="00C215E3" w:rsidRPr="00DD3496">
        <w:rPr>
          <w:rFonts w:cs="Arial"/>
          <w:i/>
          <w:szCs w:val="24"/>
        </w:rPr>
        <w:t>CEC-BAAQMD Contract Exhibit D, section 3, Performance Requirements, subsections D and F</w:t>
      </w:r>
      <w:r w:rsidR="00C215E3" w:rsidRPr="00DD3496">
        <w:rPr>
          <w:rFonts w:cs="Arial"/>
          <w:szCs w:val="24"/>
        </w:rPr>
        <w:t>. The Recipient shall not engage in any performance of work during the term of the CEC-BAAQMD Contract</w:t>
      </w:r>
      <w:r w:rsidRPr="00DD3496">
        <w:rPr>
          <w:rFonts w:cs="Arial"/>
          <w:szCs w:val="24"/>
        </w:rPr>
        <w:t xml:space="preserve"> or the term of this Agreement</w:t>
      </w:r>
      <w:r w:rsidR="00C215E3" w:rsidRPr="00DD3496">
        <w:rPr>
          <w:rFonts w:cs="Arial"/>
          <w:szCs w:val="24"/>
        </w:rPr>
        <w:t xml:space="preserve"> that is in direct or indirect conflict with duties and responsibilities set forth in the Scope of Work of the CEC-BAAQMD Contract.</w:t>
      </w:r>
    </w:p>
    <w:p w14:paraId="02EB378F" w14:textId="77777777" w:rsidR="00D439B3" w:rsidRPr="00DD3496" w:rsidRDefault="00D439B3" w:rsidP="00DD3496">
      <w:pPr>
        <w:tabs>
          <w:tab w:val="left" w:pos="0"/>
        </w:tabs>
        <w:autoSpaceDE w:val="0"/>
        <w:autoSpaceDN w:val="0"/>
        <w:rPr>
          <w:rFonts w:cs="Arial"/>
          <w:szCs w:val="24"/>
        </w:rPr>
      </w:pPr>
    </w:p>
    <w:p w14:paraId="7086FCE1" w14:textId="4445A2D4" w:rsidR="00D439B3" w:rsidRPr="00DD3496" w:rsidRDefault="00D439B3" w:rsidP="00DD3496">
      <w:pPr>
        <w:tabs>
          <w:tab w:val="left" w:pos="0"/>
        </w:tabs>
        <w:autoSpaceDE w:val="0"/>
        <w:autoSpaceDN w:val="0"/>
        <w:rPr>
          <w:rFonts w:cs="Arial"/>
          <w:szCs w:val="24"/>
        </w:rPr>
      </w:pPr>
      <w:r w:rsidRPr="00DD3496">
        <w:rPr>
          <w:rFonts w:eastAsiaTheme="minorHAnsi" w:cs="Arial"/>
          <w:szCs w:val="24"/>
        </w:rPr>
        <w:t xml:space="preserve">• </w:t>
      </w:r>
      <w:r w:rsidR="00C215E3" w:rsidRPr="00DD3496">
        <w:rPr>
          <w:rFonts w:cs="Arial"/>
          <w:i/>
          <w:szCs w:val="24"/>
        </w:rPr>
        <w:t>CEC-BAAQMD Contract Exhibit D, section 1</w:t>
      </w:r>
      <w:r w:rsidR="00D17BC1" w:rsidRPr="00DD3496">
        <w:rPr>
          <w:rFonts w:cs="Arial"/>
          <w:i/>
          <w:szCs w:val="24"/>
        </w:rPr>
        <w:t>1</w:t>
      </w:r>
      <w:r w:rsidR="00C215E3" w:rsidRPr="00DD3496">
        <w:rPr>
          <w:rFonts w:cs="Arial"/>
          <w:i/>
          <w:szCs w:val="24"/>
        </w:rPr>
        <w:t xml:space="preserve">, Additional Provisions, </w:t>
      </w:r>
      <w:r w:rsidR="00A63CD0" w:rsidRPr="00DD3496">
        <w:rPr>
          <w:rFonts w:cs="Arial"/>
          <w:i/>
          <w:szCs w:val="24"/>
        </w:rPr>
        <w:t>Acknowledgement</w:t>
      </w:r>
      <w:r w:rsidR="00A63CD0" w:rsidRPr="00DD3496">
        <w:rPr>
          <w:rFonts w:cs="Arial"/>
          <w:szCs w:val="24"/>
        </w:rPr>
        <w:t>. The Recipient shall acknowledge the Mitigation Trust fund program as a funding source whenever projects funded, in whole or in part by the CEC-BAAQMD Contract, are publicized in any news media, websites, brochures, publications, audiovisuals, or other types of promotional material. The acknowledgement shall read as follows: “The publication (or project) was supported by the V</w:t>
      </w:r>
      <w:r w:rsidR="003B4792">
        <w:rPr>
          <w:rFonts w:cs="Arial"/>
          <w:szCs w:val="24"/>
        </w:rPr>
        <w:t>W</w:t>
      </w:r>
      <w:r w:rsidR="00A63CD0" w:rsidRPr="00DD3496">
        <w:rPr>
          <w:rFonts w:cs="Arial"/>
          <w:szCs w:val="24"/>
        </w:rPr>
        <w:t xml:space="preserve"> Mitigation Trust Fund Program.” Guidelines for the usage of the VW Mitigation Trust Fund name will be provided by BAAQMD. </w:t>
      </w:r>
    </w:p>
    <w:p w14:paraId="6A05A809" w14:textId="77777777" w:rsidR="00D439B3" w:rsidRPr="00DD3496" w:rsidRDefault="00D439B3" w:rsidP="00DD3496">
      <w:pPr>
        <w:tabs>
          <w:tab w:val="left" w:pos="0"/>
        </w:tabs>
        <w:autoSpaceDE w:val="0"/>
        <w:autoSpaceDN w:val="0"/>
        <w:rPr>
          <w:rFonts w:cs="Arial"/>
          <w:szCs w:val="24"/>
        </w:rPr>
      </w:pPr>
    </w:p>
    <w:p w14:paraId="71846E11" w14:textId="4D0FAFDC" w:rsidR="00D439B3" w:rsidRPr="00DD3496" w:rsidRDefault="00D439B3" w:rsidP="00DD3496">
      <w:pPr>
        <w:tabs>
          <w:tab w:val="left" w:pos="0"/>
        </w:tabs>
        <w:autoSpaceDE w:val="0"/>
        <w:autoSpaceDN w:val="0"/>
        <w:rPr>
          <w:rFonts w:cs="Arial"/>
          <w:szCs w:val="24"/>
        </w:rPr>
      </w:pPr>
      <w:r w:rsidRPr="00DD3496">
        <w:rPr>
          <w:rFonts w:eastAsiaTheme="minorHAnsi" w:cs="Arial"/>
          <w:szCs w:val="24"/>
        </w:rPr>
        <w:t xml:space="preserve">• </w:t>
      </w:r>
      <w:r w:rsidR="00D17BC1" w:rsidRPr="00DD3496">
        <w:rPr>
          <w:rFonts w:cs="Arial"/>
          <w:i/>
          <w:szCs w:val="24"/>
        </w:rPr>
        <w:t>CEC-BAAQMD Contract Exhibit D, section 11, Additional Provisions, Audit</w:t>
      </w:r>
      <w:r w:rsidR="00D17BC1" w:rsidRPr="00DD3496">
        <w:rPr>
          <w:rFonts w:cs="Arial"/>
          <w:szCs w:val="24"/>
        </w:rPr>
        <w:t>. BAAQMD or its designee reserves the right to audit the CEC and the Recipient at any time during the duration, and up to three years past, the term of the CEC-BAAQMD contract</w:t>
      </w:r>
      <w:r w:rsidRPr="00DD3496">
        <w:rPr>
          <w:rFonts w:cs="Arial"/>
          <w:szCs w:val="24"/>
        </w:rPr>
        <w:t xml:space="preserve"> or the term of this Agreement, whichever is later</w:t>
      </w:r>
      <w:r w:rsidR="00D17BC1" w:rsidRPr="00DD3496">
        <w:rPr>
          <w:rFonts w:cs="Arial"/>
          <w:szCs w:val="24"/>
        </w:rPr>
        <w:t>.</w:t>
      </w:r>
    </w:p>
    <w:p w14:paraId="5A39BBE3" w14:textId="77777777" w:rsidR="00D17BC1" w:rsidRPr="00DD3496" w:rsidRDefault="00D17BC1" w:rsidP="00DD3496">
      <w:pPr>
        <w:tabs>
          <w:tab w:val="left" w:pos="0"/>
        </w:tabs>
        <w:autoSpaceDE w:val="0"/>
        <w:autoSpaceDN w:val="0"/>
        <w:rPr>
          <w:rFonts w:cs="Arial"/>
          <w:szCs w:val="24"/>
        </w:rPr>
      </w:pPr>
    </w:p>
    <w:p w14:paraId="413F6973" w14:textId="77777777" w:rsidR="00D17BC1" w:rsidRPr="00DD3496" w:rsidRDefault="00D17BC1" w:rsidP="00DD3496">
      <w:pPr>
        <w:spacing w:after="200"/>
        <w:rPr>
          <w:rFonts w:cs="Arial"/>
          <w:szCs w:val="24"/>
        </w:rPr>
      </w:pPr>
      <w:r w:rsidRPr="00DD3496">
        <w:rPr>
          <w:rFonts w:cs="Arial"/>
          <w:szCs w:val="24"/>
        </w:rPr>
        <w:t xml:space="preserve">The Recipient agrees that BAAQMD, the California Air Resources Board, the United States District Court for the Northern District of California, the Department of General Services, Department of Finance, the Bureau of State Audits, or their designated </w:t>
      </w:r>
      <w:r w:rsidRPr="00DD3496">
        <w:rPr>
          <w:rFonts w:cs="Arial"/>
          <w:szCs w:val="24"/>
        </w:rPr>
        <w:lastRenderedPageBreak/>
        <w:t>representative will have the right to review and copy any records and supporting documentation pertaining to the performance of the CEC-BAAQMD Contract and all Mitigation Trust funds received, including the right to review and copy any records and supporting documentation pertaining to the performance of this Agreement.</w:t>
      </w:r>
    </w:p>
    <w:p w14:paraId="59E03DF7" w14:textId="6DDA577F" w:rsidR="00D17BC1" w:rsidRPr="00DD3496" w:rsidRDefault="00D17BC1" w:rsidP="00DD3496">
      <w:pPr>
        <w:spacing w:after="200"/>
        <w:rPr>
          <w:rFonts w:cs="Arial"/>
          <w:szCs w:val="24"/>
        </w:rPr>
      </w:pPr>
      <w:r w:rsidRPr="00DD3496">
        <w:rPr>
          <w:rFonts w:cs="Arial"/>
          <w:szCs w:val="24"/>
        </w:rPr>
        <w:t>The Recipient shall allow the auditor(s) access to such records during normal business hours and allow interviews of employees who might reasonably have information related to such records.</w:t>
      </w:r>
    </w:p>
    <w:p w14:paraId="79FDACE9" w14:textId="6C5B9566" w:rsidR="00C91880" w:rsidRPr="00DD3496" w:rsidRDefault="00D439B3" w:rsidP="00DD3496">
      <w:pPr>
        <w:spacing w:after="200"/>
        <w:rPr>
          <w:rFonts w:cs="Arial"/>
          <w:szCs w:val="24"/>
        </w:rPr>
      </w:pPr>
      <w:r w:rsidRPr="00DD3496">
        <w:rPr>
          <w:rFonts w:eastAsiaTheme="minorHAnsi" w:cs="Arial"/>
          <w:szCs w:val="24"/>
        </w:rPr>
        <w:t xml:space="preserve">• </w:t>
      </w:r>
      <w:r w:rsidR="00D17BC1" w:rsidRPr="00DD3496">
        <w:rPr>
          <w:rFonts w:cs="Arial"/>
          <w:i/>
          <w:szCs w:val="24"/>
        </w:rPr>
        <w:t>CEC-BAAQMD Contract Exhibit D, section 11, Additional Provisions, Equipment Ownership</w:t>
      </w:r>
      <w:r w:rsidR="00D17BC1" w:rsidRPr="00DD3496">
        <w:rPr>
          <w:rFonts w:cs="Arial"/>
          <w:szCs w:val="24"/>
        </w:rPr>
        <w:t xml:space="preserve">. The Recipient shall own, operate, and report on equipment </w:t>
      </w:r>
      <w:r w:rsidR="00C91880" w:rsidRPr="00DD3496">
        <w:rPr>
          <w:rFonts w:cs="Arial"/>
          <w:szCs w:val="24"/>
        </w:rPr>
        <w:t>funded by this Agreement for three years from the date of equipment purchase. The Recipient shall self-certify that it owns the equipment for this period of time.</w:t>
      </w:r>
    </w:p>
    <w:p w14:paraId="7ECBC766" w14:textId="107F6A69" w:rsidR="00D17BC1" w:rsidRPr="00DD3496" w:rsidRDefault="00D439B3" w:rsidP="00DD3496">
      <w:pPr>
        <w:spacing w:after="200"/>
        <w:rPr>
          <w:rFonts w:cs="Arial"/>
          <w:szCs w:val="24"/>
        </w:rPr>
      </w:pPr>
      <w:r w:rsidRPr="00DD3496">
        <w:rPr>
          <w:rFonts w:eastAsiaTheme="minorHAnsi" w:cs="Arial"/>
          <w:szCs w:val="24"/>
        </w:rPr>
        <w:t xml:space="preserve">• </w:t>
      </w:r>
      <w:r w:rsidR="002F0978" w:rsidRPr="00DD3496">
        <w:rPr>
          <w:rFonts w:cs="Arial"/>
          <w:i/>
          <w:szCs w:val="24"/>
        </w:rPr>
        <w:t>CEC-BAAQMD Contract Exhibit D, section 11, Additional Provisions, Ownership</w:t>
      </w:r>
      <w:r w:rsidR="002F0978" w:rsidRPr="00DD3496">
        <w:rPr>
          <w:rFonts w:cs="Arial"/>
          <w:szCs w:val="24"/>
        </w:rPr>
        <w:t>. All information or data received by the CEC or generated by the Recipient under this Agreement will become the property of BAAQMD or its designee.</w:t>
      </w:r>
    </w:p>
    <w:p w14:paraId="1E604366" w14:textId="0321F778" w:rsidR="00E31F69" w:rsidRPr="00DD3496" w:rsidRDefault="00D439B3" w:rsidP="00DD3496">
      <w:pPr>
        <w:spacing w:after="200"/>
        <w:rPr>
          <w:rFonts w:cs="Arial"/>
          <w:szCs w:val="24"/>
        </w:rPr>
      </w:pPr>
      <w:r w:rsidRPr="00DD3496">
        <w:rPr>
          <w:rFonts w:eastAsiaTheme="minorHAnsi" w:cs="Arial"/>
          <w:szCs w:val="24"/>
        </w:rPr>
        <w:t xml:space="preserve">• </w:t>
      </w:r>
      <w:r w:rsidR="00E31F69" w:rsidRPr="00DD3496">
        <w:rPr>
          <w:rFonts w:cs="Arial"/>
          <w:i/>
          <w:szCs w:val="24"/>
        </w:rPr>
        <w:t>CEC-BAAQMD Contract Exhibit D, section 11, Additional Provisions, Prevailing Wage and Labor Compliance</w:t>
      </w:r>
      <w:r w:rsidR="00E31F69" w:rsidRPr="00DD3496">
        <w:rPr>
          <w:rFonts w:cs="Arial"/>
          <w:szCs w:val="24"/>
        </w:rPr>
        <w:t>. The Recipient agrees to be bound by all the provisions of State Labor Code section 1771 regarding prevailing wages.</w:t>
      </w:r>
    </w:p>
    <w:p w14:paraId="7E8D968C" w14:textId="491F6859" w:rsidR="00E31F69" w:rsidRPr="00DD3496" w:rsidRDefault="00D439B3" w:rsidP="00DD3496">
      <w:pPr>
        <w:spacing w:after="200"/>
        <w:rPr>
          <w:rFonts w:cs="Arial"/>
          <w:szCs w:val="24"/>
        </w:rPr>
      </w:pPr>
      <w:r w:rsidRPr="00DD3496">
        <w:rPr>
          <w:rFonts w:eastAsiaTheme="minorHAnsi" w:cs="Arial"/>
          <w:szCs w:val="24"/>
        </w:rPr>
        <w:t xml:space="preserve">• </w:t>
      </w:r>
      <w:r w:rsidR="00E31F69" w:rsidRPr="00DD3496">
        <w:rPr>
          <w:rFonts w:cs="Arial"/>
          <w:i/>
          <w:szCs w:val="24"/>
        </w:rPr>
        <w:t>CEC-BAAQMD Contract Exhibit D, section 11, Additional Provisions, Professionals</w:t>
      </w:r>
      <w:r w:rsidR="00E31F69" w:rsidRPr="00DD3496">
        <w:rPr>
          <w:rFonts w:cs="Arial"/>
          <w:szCs w:val="24"/>
        </w:rPr>
        <w:t>. The Recipient agrees that only licensed professionals will be used to perform services under this Agreement where such serv</w:t>
      </w:r>
      <w:r w:rsidRPr="00DD3496">
        <w:rPr>
          <w:rFonts w:cs="Arial"/>
          <w:szCs w:val="24"/>
        </w:rPr>
        <w:t>ices are called for and licensed</w:t>
      </w:r>
      <w:r w:rsidR="00E31F69" w:rsidRPr="00DD3496">
        <w:rPr>
          <w:rFonts w:cs="Arial"/>
          <w:szCs w:val="24"/>
        </w:rPr>
        <w:t xml:space="preserve"> professionals are required for those services under State law.</w:t>
      </w:r>
    </w:p>
    <w:p w14:paraId="24D59779" w14:textId="54F2E930" w:rsidR="00E31F69" w:rsidRPr="00DD3496" w:rsidRDefault="00D439B3" w:rsidP="00DD3496">
      <w:pPr>
        <w:spacing w:after="200"/>
        <w:rPr>
          <w:rFonts w:cs="Arial"/>
          <w:szCs w:val="24"/>
        </w:rPr>
      </w:pPr>
      <w:r w:rsidRPr="00DD3496">
        <w:rPr>
          <w:rFonts w:eastAsiaTheme="minorHAnsi" w:cs="Arial"/>
          <w:szCs w:val="24"/>
        </w:rPr>
        <w:t xml:space="preserve">• </w:t>
      </w:r>
      <w:r w:rsidR="00E31F69" w:rsidRPr="00DD3496">
        <w:rPr>
          <w:rFonts w:cs="Arial"/>
          <w:i/>
          <w:szCs w:val="24"/>
        </w:rPr>
        <w:t>CEC-BAAQMD Contract Exhibit D, section 11, Additional Provisions, Site Visits</w:t>
      </w:r>
      <w:r w:rsidR="00E31F69" w:rsidRPr="00DD3496">
        <w:rPr>
          <w:rFonts w:cs="Arial"/>
          <w:szCs w:val="24"/>
        </w:rPr>
        <w:t>.</w:t>
      </w:r>
      <w:r w:rsidRPr="00DD3496">
        <w:rPr>
          <w:rFonts w:cs="Arial"/>
          <w:szCs w:val="24"/>
        </w:rPr>
        <w:t xml:space="preserve"> BAAQMD or its designee reserve</w:t>
      </w:r>
      <w:r w:rsidR="00E31F69" w:rsidRPr="00DD3496">
        <w:rPr>
          <w:rFonts w:cs="Arial"/>
          <w:szCs w:val="24"/>
        </w:rPr>
        <w:t xml:space="preserve"> the right to conduct site visits for program reviews, fiscal audits, or other purposes during, and for up to three years past, the term of the CEC-BAAQMD Contract</w:t>
      </w:r>
      <w:r w:rsidRPr="00DD3496">
        <w:rPr>
          <w:rFonts w:cs="Arial"/>
          <w:szCs w:val="24"/>
        </w:rPr>
        <w:t xml:space="preserve"> or the term of this Agreement, whichever is later</w:t>
      </w:r>
      <w:r w:rsidR="00E31F69" w:rsidRPr="00DD3496">
        <w:rPr>
          <w:rFonts w:cs="Arial"/>
          <w:szCs w:val="24"/>
        </w:rPr>
        <w:t>.</w:t>
      </w:r>
    </w:p>
    <w:p w14:paraId="12CE4D93" w14:textId="05E8B287" w:rsidR="00C85E11" w:rsidRPr="00DD3496" w:rsidRDefault="00D439B3" w:rsidP="00DD3496">
      <w:pPr>
        <w:spacing w:after="200"/>
        <w:rPr>
          <w:rFonts w:cs="Arial"/>
          <w:szCs w:val="24"/>
        </w:rPr>
      </w:pPr>
      <w:r w:rsidRPr="00DD3496">
        <w:rPr>
          <w:rFonts w:eastAsiaTheme="minorHAnsi" w:cs="Arial"/>
          <w:szCs w:val="24"/>
        </w:rPr>
        <w:t xml:space="preserve">• </w:t>
      </w:r>
      <w:r w:rsidR="00E31F69" w:rsidRPr="00DD3496">
        <w:rPr>
          <w:rFonts w:cs="Arial"/>
          <w:i/>
          <w:szCs w:val="24"/>
        </w:rPr>
        <w:t>CEC-BAAQMD Contract Exhibit D, section 14, Intellectual Property Rights</w:t>
      </w:r>
      <w:r w:rsidR="00E31F69" w:rsidRPr="00DD3496">
        <w:rPr>
          <w:rFonts w:cs="Arial"/>
          <w:szCs w:val="24"/>
        </w:rPr>
        <w:t xml:space="preserve">. Title and full ownership of rights to all intellectual property developed under this Agreement shall at all times remain with </w:t>
      </w:r>
      <w:r w:rsidR="00C85E11" w:rsidRPr="00DD3496">
        <w:rPr>
          <w:rFonts w:cs="Arial"/>
          <w:szCs w:val="24"/>
        </w:rPr>
        <w:t>the California Air Resources Board</w:t>
      </w:r>
      <w:r w:rsidRPr="00DD3496">
        <w:rPr>
          <w:rFonts w:cs="Arial"/>
          <w:szCs w:val="24"/>
        </w:rPr>
        <w:t xml:space="preserve"> (CARB)</w:t>
      </w:r>
      <w:r w:rsidR="00C85E11" w:rsidRPr="00DD3496">
        <w:rPr>
          <w:rFonts w:cs="Arial"/>
          <w:szCs w:val="24"/>
        </w:rPr>
        <w:t xml:space="preserve">, unless otherwise agreed to in writing. The CEC will maintain ownership of any pre-existing webpage(s), software, database, or other intellectual property used to administer the Mitigation Trust funds including but not limited to changes or modifications to its existing programs or </w:t>
      </w:r>
      <w:r w:rsidRPr="00DD3496">
        <w:rPr>
          <w:rFonts w:cs="Arial"/>
          <w:szCs w:val="24"/>
        </w:rPr>
        <w:t>databases. Should BAAQMD or CARB</w:t>
      </w:r>
      <w:r w:rsidR="00C85E11" w:rsidRPr="00DD3496">
        <w:rPr>
          <w:rFonts w:cs="Arial"/>
          <w:szCs w:val="24"/>
        </w:rPr>
        <w:t xml:space="preserve"> select a different contractor than the CEC to manage the Mitigation Trust funds, the Recipient shall comply with any request to turn over CARB’s intellectual property and information to CARB and the new contractor and provide all reasonable and necessary assistance needed to ensure a smooth transfer.</w:t>
      </w:r>
    </w:p>
    <w:p w14:paraId="2F44359F" w14:textId="4B15A196" w:rsidR="00C85E11" w:rsidRPr="00DD3496" w:rsidRDefault="00D439B3" w:rsidP="00DD3496">
      <w:pPr>
        <w:spacing w:after="200"/>
        <w:rPr>
          <w:rFonts w:cs="Arial"/>
          <w:szCs w:val="24"/>
        </w:rPr>
      </w:pPr>
      <w:r w:rsidRPr="00DD3496">
        <w:rPr>
          <w:rFonts w:eastAsiaTheme="minorHAnsi" w:cs="Arial"/>
          <w:szCs w:val="24"/>
        </w:rPr>
        <w:t xml:space="preserve">• </w:t>
      </w:r>
      <w:r w:rsidR="00C85E11" w:rsidRPr="00DD3496">
        <w:rPr>
          <w:rFonts w:cs="Arial"/>
          <w:i/>
          <w:szCs w:val="24"/>
        </w:rPr>
        <w:t>CEC-BAAQMD Contract Exhibit D, section 15, Publication</w:t>
      </w:r>
      <w:r w:rsidR="00C85E11" w:rsidRPr="00DD3496">
        <w:rPr>
          <w:rFonts w:cs="Arial"/>
          <w:szCs w:val="24"/>
        </w:rPr>
        <w:t>. BAAQMD must approve in writing any report or other document prepared by the Recipient in connection with performance under this Agr</w:t>
      </w:r>
      <w:r w:rsidRPr="00DD3496">
        <w:rPr>
          <w:rFonts w:cs="Arial"/>
          <w:szCs w:val="24"/>
        </w:rPr>
        <w:t>eement prior to dissemination or</w:t>
      </w:r>
      <w:r w:rsidR="00C85E11" w:rsidRPr="00DD3496">
        <w:rPr>
          <w:rFonts w:cs="Arial"/>
          <w:szCs w:val="24"/>
        </w:rPr>
        <w:t xml:space="preserve"> publication of such report or document to a third party. BAAQMD may waive this requirement in writing.</w:t>
      </w:r>
    </w:p>
    <w:p w14:paraId="72577999" w14:textId="77777777" w:rsidR="00C85E11" w:rsidRPr="00DD3496" w:rsidRDefault="00C85E11" w:rsidP="00DD3496">
      <w:pPr>
        <w:spacing w:after="200"/>
        <w:rPr>
          <w:rFonts w:cs="Arial"/>
          <w:szCs w:val="24"/>
        </w:rPr>
      </w:pPr>
      <w:r w:rsidRPr="00DD3496">
        <w:rPr>
          <w:rFonts w:cs="Arial"/>
          <w:szCs w:val="24"/>
        </w:rPr>
        <w:lastRenderedPageBreak/>
        <w:t>Until approved by BAAQMD, any report or other document prepared by the Recipient shall include on each page a conspicuous header, footer, or watermark stating “DRAFT – Not Reviewed or Approved by BAAQMD,” unless BAAQMD has in writing waived its requirement for prior approval.</w:t>
      </w:r>
    </w:p>
    <w:p w14:paraId="2B71032E" w14:textId="17E4C858" w:rsidR="00BA249B" w:rsidRPr="00DD3496" w:rsidRDefault="00BA249B" w:rsidP="00DD3496">
      <w:pPr>
        <w:spacing w:after="200"/>
        <w:rPr>
          <w:rFonts w:cs="Arial"/>
          <w:szCs w:val="24"/>
        </w:rPr>
      </w:pPr>
      <w:r w:rsidRPr="00DD3496">
        <w:rPr>
          <w:rFonts w:cs="Arial"/>
          <w:szCs w:val="24"/>
        </w:rPr>
        <w:t>Information, data, documents, or reports developed by the Recipient under this Agreement shall be part of BAAQMD’s public record, unless otherwise indicated. The CEC may use or publish such information, provided BAAQMD approves use of such information in advance. The following acknowledgement of suppor</w:t>
      </w:r>
      <w:r w:rsidR="00D439B3" w:rsidRPr="00DD3496">
        <w:rPr>
          <w:rFonts w:cs="Arial"/>
          <w:szCs w:val="24"/>
        </w:rPr>
        <w:t>t and disclai</w:t>
      </w:r>
      <w:r w:rsidRPr="00DD3496">
        <w:rPr>
          <w:rFonts w:cs="Arial"/>
          <w:szCs w:val="24"/>
        </w:rPr>
        <w:t xml:space="preserve">mer must appear in each publication </w:t>
      </w:r>
      <w:r w:rsidR="00D439B3" w:rsidRPr="00DD3496">
        <w:rPr>
          <w:rFonts w:cs="Arial"/>
          <w:szCs w:val="24"/>
        </w:rPr>
        <w:t>of materials, whether copyrighted</w:t>
      </w:r>
      <w:r w:rsidRPr="00DD3496">
        <w:rPr>
          <w:rFonts w:cs="Arial"/>
          <w:szCs w:val="24"/>
        </w:rPr>
        <w:t xml:space="preserve"> or not, based upon or developed under this Agreement.</w:t>
      </w:r>
    </w:p>
    <w:p w14:paraId="5B01E928" w14:textId="77777777" w:rsidR="00C85E11" w:rsidRPr="00DD3496" w:rsidRDefault="00BA249B" w:rsidP="00DD3496">
      <w:pPr>
        <w:spacing w:after="200"/>
        <w:ind w:left="720"/>
        <w:rPr>
          <w:rFonts w:cs="Arial"/>
          <w:szCs w:val="24"/>
        </w:rPr>
      </w:pPr>
      <w:r w:rsidRPr="00DD3496">
        <w:rPr>
          <w:rFonts w:cs="Arial"/>
          <w:szCs w:val="24"/>
        </w:rPr>
        <w:t>“This publication (or project) was supported by the VW Mitigation Trust Fund program.”</w:t>
      </w:r>
    </w:p>
    <w:p w14:paraId="2BA99C84" w14:textId="1620EDBE" w:rsidR="00BA249B" w:rsidRPr="00DD3496" w:rsidRDefault="00D439B3" w:rsidP="00DD3496">
      <w:pPr>
        <w:spacing w:after="200"/>
        <w:rPr>
          <w:rStyle w:val="normaltextrunbcx2scxw114835737"/>
          <w:rFonts w:cs="Arial"/>
          <w:szCs w:val="24"/>
        </w:rPr>
      </w:pPr>
      <w:r w:rsidRPr="00DD3496">
        <w:rPr>
          <w:rFonts w:eastAsiaTheme="minorHAnsi" w:cs="Arial"/>
          <w:szCs w:val="24"/>
        </w:rPr>
        <w:t xml:space="preserve">• </w:t>
      </w:r>
      <w:r w:rsidR="00BA249B" w:rsidRPr="00DD3496">
        <w:rPr>
          <w:rFonts w:cs="Arial"/>
          <w:i/>
          <w:szCs w:val="24"/>
        </w:rPr>
        <w:t>CEC-BAAQMD Contract Exhibit D, section 16, Non-Discrimination</w:t>
      </w:r>
      <w:r w:rsidR="00BA249B" w:rsidRPr="00DD3496">
        <w:rPr>
          <w:rFonts w:cs="Arial"/>
          <w:szCs w:val="24"/>
        </w:rPr>
        <w:t>. D</w:t>
      </w:r>
      <w:r w:rsidR="00BA249B" w:rsidRPr="00DD3496">
        <w:rPr>
          <w:rStyle w:val="normaltextrunbcx2scxw114835737"/>
          <w:rFonts w:cs="Arial"/>
          <w:szCs w:val="24"/>
        </w:rPr>
        <w:t xml:space="preserve">uring the performance of this Agreement, the Recipient will not unlawfully discriminate, harass, or allow harassment against any employee or applicant for employment because of sex, race, color, ancestry, religious creed, national origin, physical disability (including HIV and AIDS), mental disability, medical condition (e.g., cancer), age (over 40), marital status, and denial of family care leave. The Recipient will </w:t>
      </w:r>
      <w:r w:rsidR="003B4792">
        <w:rPr>
          <w:rStyle w:val="normaltextrunbcx2scxw114835737"/>
          <w:rFonts w:cs="Arial"/>
          <w:szCs w:val="24"/>
        </w:rPr>
        <w:t>e</w:t>
      </w:r>
      <w:r w:rsidR="00BA249B" w:rsidRPr="00DD3496">
        <w:rPr>
          <w:rStyle w:val="normaltextrunbcx2scxw114835737"/>
          <w:rFonts w:cs="Arial"/>
          <w:szCs w:val="24"/>
        </w:rPr>
        <w:t>nsure that the evaluation and treatment of their employees and applicants for employment are free from such discrimination and harassment. The Recipient will comply with the provisions of the Fair Employment and Housing Act (Gov. Code §12990 (a-f) et seq.) and the applicable regulations promulgated thereunder (California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Agreement by reference and made a part hereof as if set forth in full. The Recipient will give written notice of their obligations under this clause to labor organizations with which they have a collective bargaining or other agreement.</w:t>
      </w:r>
    </w:p>
    <w:p w14:paraId="491CF302" w14:textId="48849BE7" w:rsidR="00BA249B" w:rsidRPr="00DD3496" w:rsidRDefault="005E146D" w:rsidP="00DD3496">
      <w:pPr>
        <w:pStyle w:val="ListParagraph"/>
        <w:numPr>
          <w:ilvl w:val="0"/>
          <w:numId w:val="11"/>
        </w:numPr>
        <w:spacing w:after="200"/>
        <w:ind w:hanging="720"/>
        <w:rPr>
          <w:rStyle w:val="normaltextrunbcx2scxw114835737"/>
          <w:rFonts w:ascii="Arial" w:hAnsi="Arial" w:cs="Arial"/>
          <w:szCs w:val="24"/>
        </w:rPr>
      </w:pPr>
      <w:r w:rsidRPr="00DD3496">
        <w:rPr>
          <w:rStyle w:val="normaltextrunbcx2scxw114835737"/>
          <w:rFonts w:ascii="Arial" w:hAnsi="Arial" w:cs="Arial"/>
          <w:szCs w:val="24"/>
        </w:rPr>
        <w:t xml:space="preserve">Flow </w:t>
      </w:r>
      <w:r w:rsidR="00BA249B" w:rsidRPr="00DD3496">
        <w:rPr>
          <w:rStyle w:val="normaltextrunbcx2scxw114835737"/>
          <w:rFonts w:ascii="Arial" w:hAnsi="Arial" w:cs="Arial"/>
          <w:szCs w:val="24"/>
        </w:rPr>
        <w:t>Down</w:t>
      </w:r>
    </w:p>
    <w:p w14:paraId="11AAAB11" w14:textId="4C7CB662" w:rsidR="00C85E11" w:rsidRPr="00DD3496" w:rsidRDefault="00BA249B" w:rsidP="00DD3496">
      <w:pPr>
        <w:spacing w:after="200"/>
        <w:rPr>
          <w:rFonts w:cs="Arial"/>
          <w:szCs w:val="24"/>
        </w:rPr>
      </w:pPr>
      <w:r w:rsidRPr="00DD3496">
        <w:rPr>
          <w:rStyle w:val="normaltextrunbcx2scxw114835737"/>
          <w:rFonts w:cs="Arial"/>
          <w:szCs w:val="24"/>
        </w:rPr>
        <w:t>The</w:t>
      </w:r>
      <w:r w:rsidR="00D439B3" w:rsidRPr="00DD3496">
        <w:rPr>
          <w:rStyle w:val="normaltextrunbcx2scxw114835737"/>
          <w:rFonts w:cs="Arial"/>
          <w:szCs w:val="24"/>
        </w:rPr>
        <w:t xml:space="preserve"> Recipient shall flow down the</w:t>
      </w:r>
      <w:r w:rsidRPr="00DD3496">
        <w:rPr>
          <w:rStyle w:val="normaltextrunbcx2scxw114835737"/>
          <w:rFonts w:cs="Arial"/>
          <w:szCs w:val="24"/>
        </w:rPr>
        <w:t xml:space="preserve"> requirements</w:t>
      </w:r>
      <w:r w:rsidR="00D439B3" w:rsidRPr="00DD3496">
        <w:rPr>
          <w:rStyle w:val="normaltextrunbcx2scxw114835737"/>
          <w:rFonts w:cs="Arial"/>
          <w:szCs w:val="24"/>
        </w:rPr>
        <w:t xml:space="preserve"> specified in Section 2 of these </w:t>
      </w:r>
      <w:r w:rsidR="22213CDD" w:rsidRPr="00DD3496">
        <w:rPr>
          <w:rStyle w:val="normaltextrunbcx2scxw114835737"/>
          <w:rFonts w:cs="Arial"/>
          <w:szCs w:val="24"/>
        </w:rPr>
        <w:t>Supplemental</w:t>
      </w:r>
      <w:r w:rsidR="00D439B3" w:rsidRPr="00DD3496">
        <w:rPr>
          <w:rStyle w:val="normaltextrunbcx2scxw114835737"/>
          <w:rFonts w:cs="Arial"/>
          <w:szCs w:val="24"/>
        </w:rPr>
        <w:t xml:space="preserve"> Special Terms and Conditions </w:t>
      </w:r>
      <w:r w:rsidRPr="00DD3496">
        <w:rPr>
          <w:rStyle w:val="normaltextrunbcx2scxw114835737"/>
          <w:rFonts w:cs="Arial"/>
          <w:szCs w:val="24"/>
        </w:rPr>
        <w:t>to its subcontractors.</w:t>
      </w:r>
    </w:p>
    <w:p w14:paraId="26871EF0" w14:textId="77777777" w:rsidR="00BA249B" w:rsidRPr="00DD3496" w:rsidRDefault="00BA249B" w:rsidP="00DD3496">
      <w:pPr>
        <w:pStyle w:val="ListParagraph"/>
        <w:numPr>
          <w:ilvl w:val="0"/>
          <w:numId w:val="11"/>
        </w:numPr>
        <w:spacing w:after="200"/>
        <w:ind w:hanging="720"/>
        <w:rPr>
          <w:rFonts w:ascii="Arial" w:hAnsi="Arial" w:cs="Arial"/>
          <w:szCs w:val="24"/>
        </w:rPr>
      </w:pPr>
      <w:r w:rsidRPr="00DD3496">
        <w:rPr>
          <w:rFonts w:ascii="Arial" w:hAnsi="Arial" w:cs="Arial"/>
          <w:szCs w:val="24"/>
        </w:rPr>
        <w:t>Precedence</w:t>
      </w:r>
    </w:p>
    <w:p w14:paraId="74235F19" w14:textId="13F83016" w:rsidR="000B1726" w:rsidRPr="00DD3496" w:rsidRDefault="005E146D" w:rsidP="00DD3496">
      <w:pPr>
        <w:spacing w:after="200"/>
        <w:rPr>
          <w:rFonts w:cs="Arial"/>
          <w:szCs w:val="24"/>
        </w:rPr>
      </w:pPr>
      <w:r w:rsidRPr="00DD3496">
        <w:rPr>
          <w:rFonts w:cs="Arial"/>
          <w:szCs w:val="24"/>
        </w:rPr>
        <w:t xml:space="preserve">In the event of any conflict or inconsistency between these </w:t>
      </w:r>
      <w:r w:rsidR="54E69344" w:rsidRPr="00DD3496">
        <w:rPr>
          <w:rFonts w:cs="Arial"/>
          <w:szCs w:val="24"/>
        </w:rPr>
        <w:t>Supplemental</w:t>
      </w:r>
      <w:r w:rsidRPr="00DD3496">
        <w:rPr>
          <w:rFonts w:cs="Arial"/>
          <w:szCs w:val="24"/>
        </w:rPr>
        <w:t xml:space="preserve"> Special Terms &amp; Conditions and the Clean Transportation Program Terms and Conditions (Attachment 9), these </w:t>
      </w:r>
      <w:r w:rsidR="3C324302" w:rsidRPr="00DD3496">
        <w:rPr>
          <w:rFonts w:cs="Arial"/>
          <w:szCs w:val="24"/>
        </w:rPr>
        <w:t>Supplemental</w:t>
      </w:r>
      <w:r w:rsidRPr="00DD3496">
        <w:rPr>
          <w:rFonts w:cs="Arial"/>
          <w:szCs w:val="24"/>
        </w:rPr>
        <w:t xml:space="preserve"> Special Terms &amp; Conditions shall control.</w:t>
      </w:r>
    </w:p>
    <w:sectPr w:rsidR="000B1726" w:rsidRPr="00DD3496" w:rsidSect="007B3B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6B9AB" w14:textId="77777777" w:rsidR="0000346A" w:rsidRDefault="0000346A" w:rsidP="001B6036">
      <w:r>
        <w:separator/>
      </w:r>
    </w:p>
  </w:endnote>
  <w:endnote w:type="continuationSeparator" w:id="0">
    <w:p w14:paraId="45FB0818" w14:textId="77777777" w:rsidR="0000346A" w:rsidRDefault="0000346A" w:rsidP="001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66BE5" w14:textId="165B7683" w:rsidR="0000346A" w:rsidRPr="00913C67" w:rsidRDefault="0000346A" w:rsidP="001B6036">
    <w:pPr>
      <w:pStyle w:val="Footer"/>
      <w:rPr>
        <w:rFonts w:cs="Arial"/>
        <w:sz w:val="20"/>
        <w:szCs w:val="24"/>
      </w:rPr>
    </w:pPr>
    <w:r w:rsidRPr="00913C67">
      <w:rPr>
        <w:sz w:val="20"/>
      </w:rPr>
      <w:tab/>
      <w:t xml:space="preserve">Page </w:t>
    </w:r>
    <w:r>
      <w:fldChar w:fldCharType="begin"/>
    </w:r>
    <w:r>
      <w:instrText>PAGE  \* Arabic  \* MERGEFORMAT</w:instrText>
    </w:r>
    <w:r>
      <w:fldChar w:fldCharType="separate"/>
    </w:r>
    <w:r w:rsidR="00A131BB" w:rsidRPr="00A131BB">
      <w:rPr>
        <w:bCs/>
        <w:noProof/>
        <w:sz w:val="20"/>
      </w:rPr>
      <w:t>3</w:t>
    </w:r>
    <w:r>
      <w:fldChar w:fldCharType="end"/>
    </w:r>
    <w:r w:rsidRPr="00913C67">
      <w:rPr>
        <w:sz w:val="20"/>
      </w:rPr>
      <w:t xml:space="preserve"> of </w:t>
    </w:r>
    <w:r w:rsidR="00A131BB">
      <w:fldChar w:fldCharType="begin"/>
    </w:r>
    <w:r w:rsidR="00A131BB">
      <w:instrText>NUMPAGES  \* Arabic  \* MERGEFORMAT</w:instrText>
    </w:r>
    <w:r w:rsidR="00A131BB">
      <w:fldChar w:fldCharType="separate"/>
    </w:r>
    <w:r w:rsidR="00A131BB" w:rsidRPr="00A131BB">
      <w:rPr>
        <w:bCs/>
        <w:noProof/>
        <w:sz w:val="20"/>
      </w:rPr>
      <w:t>3</w:t>
    </w:r>
    <w:r w:rsidR="00A131BB">
      <w:rPr>
        <w:bCs/>
        <w:noProof/>
        <w:sz w:val="20"/>
      </w:rPr>
      <w:fldChar w:fldCharType="end"/>
    </w:r>
    <w:r w:rsidRPr="00913C67">
      <w:rPr>
        <w:rFonts w:cs="Arial"/>
        <w:noProof/>
        <w:sz w:val="20"/>
        <w:szCs w:val="24"/>
      </w:rPr>
      <w:tab/>
      <w:t>GFO-19-602</w:t>
    </w:r>
    <w:r w:rsidRPr="00ED10BA">
      <w:rPr>
        <w:rFonts w:cs="Arial"/>
        <w:bCs/>
        <w:noProof/>
        <w:sz w:val="20"/>
        <w:szCs w:val="24"/>
      </w:rPr>
      <w:t>-</w:t>
    </w:r>
    <w:r w:rsidRPr="0077142B">
      <w:rPr>
        <w:rFonts w:cs="Arial"/>
        <w:b/>
        <w:noProof/>
        <w:sz w:val="20"/>
        <w:szCs w:val="24"/>
        <w:u w:val="single"/>
      </w:rPr>
      <w:t>04</w:t>
    </w:r>
  </w:p>
  <w:p w14:paraId="733291F6" w14:textId="77777777" w:rsidR="0000346A" w:rsidRPr="00913C67" w:rsidRDefault="0000346A" w:rsidP="00EC0354">
    <w:pPr>
      <w:rPr>
        <w:rFonts w:cs="Arial"/>
        <w:sz w:val="20"/>
        <w:szCs w:val="24"/>
      </w:rPr>
    </w:pPr>
    <w:r w:rsidRPr="0077142B">
      <w:rPr>
        <w:b/>
        <w:sz w:val="20"/>
        <w:u w:val="single"/>
      </w:rPr>
      <w:t>May 2020</w:t>
    </w:r>
    <w:r w:rsidRPr="00EC0354">
      <w:rPr>
        <w:b/>
        <w:sz w:val="20"/>
      </w:rPr>
      <w:tab/>
    </w:r>
    <w:r w:rsidRPr="00EC0354">
      <w:rPr>
        <w:b/>
        <w:sz w:val="20"/>
      </w:rPr>
      <w:tab/>
    </w:r>
    <w:r w:rsidRPr="00EC0354">
      <w:rPr>
        <w:b/>
        <w:sz w:val="20"/>
      </w:rPr>
      <w:tab/>
    </w:r>
    <w:r w:rsidRPr="00EC0354">
      <w:rPr>
        <w:b/>
        <w:sz w:val="20"/>
      </w:rPr>
      <w:tab/>
    </w:r>
    <w:r w:rsidRPr="00EC0354">
      <w:rPr>
        <w:b/>
        <w:sz w:val="20"/>
      </w:rPr>
      <w:tab/>
    </w:r>
    <w:r w:rsidRPr="00EC0354">
      <w:rPr>
        <w:b/>
        <w:sz w:val="20"/>
      </w:rPr>
      <w:tab/>
    </w:r>
    <w:r w:rsidRPr="00EC0354">
      <w:rPr>
        <w:b/>
        <w:sz w:val="20"/>
      </w:rPr>
      <w:tab/>
    </w:r>
    <w:r>
      <w:rPr>
        <w:rFonts w:cs="Arial"/>
        <w:sz w:val="20"/>
        <w:szCs w:val="24"/>
      </w:rPr>
      <w:t xml:space="preserve">          </w:t>
    </w:r>
    <w:r w:rsidRPr="00913C67">
      <w:rPr>
        <w:rFonts w:cs="Arial"/>
        <w:sz w:val="20"/>
        <w:szCs w:val="24"/>
      </w:rPr>
      <w:t>Hydrogen Refueling Infrastructure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4D5A5" w14:textId="77777777" w:rsidR="0000346A" w:rsidRDefault="0000346A" w:rsidP="001B6036">
      <w:r>
        <w:separator/>
      </w:r>
    </w:p>
  </w:footnote>
  <w:footnote w:type="continuationSeparator" w:id="0">
    <w:p w14:paraId="3DEEC669" w14:textId="77777777" w:rsidR="0000346A" w:rsidRDefault="0000346A" w:rsidP="001B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5781" w14:textId="413EE9E7" w:rsidR="0000346A" w:rsidRPr="001B6036" w:rsidRDefault="0000346A" w:rsidP="008C4F5B">
    <w:pPr>
      <w:pStyle w:val="Heading1"/>
    </w:pPr>
    <w:r w:rsidRPr="001B6036">
      <w:t xml:space="preserve">Attachment </w:t>
    </w:r>
    <w:r w:rsidR="00ED10BA">
      <w:t>10B</w:t>
    </w:r>
  </w:p>
  <w:p w14:paraId="4503E473" w14:textId="3A28272C" w:rsidR="0000346A" w:rsidRDefault="00657FB6" w:rsidP="008C4F5B">
    <w:pPr>
      <w:pStyle w:val="Heading1"/>
    </w:pPr>
    <w:r>
      <w:t>SUPPLEMENTAL SPECIAL</w:t>
    </w:r>
    <w:r w:rsidR="0000346A">
      <w:t xml:space="preserve"> TERMS &amp; CONDITIONS</w:t>
    </w:r>
  </w:p>
  <w:p w14:paraId="31739063" w14:textId="77777777" w:rsidR="0077142B" w:rsidRPr="0077142B" w:rsidRDefault="0077142B" w:rsidP="0077142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5022B"/>
    <w:multiLevelType w:val="hybridMultilevel"/>
    <w:tmpl w:val="2B8CFBC2"/>
    <w:lvl w:ilvl="0" w:tplc="0EDA279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7700F99"/>
    <w:multiLevelType w:val="hybridMultilevel"/>
    <w:tmpl w:val="CE8EC1FE"/>
    <w:lvl w:ilvl="0" w:tplc="FFE2378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D0711B"/>
    <w:multiLevelType w:val="hybridMultilevel"/>
    <w:tmpl w:val="77EC3E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A51FB"/>
    <w:multiLevelType w:val="hybridMultilevel"/>
    <w:tmpl w:val="4ED49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2160D1A"/>
    <w:multiLevelType w:val="hybridMultilevel"/>
    <w:tmpl w:val="AE30F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EB41BBA"/>
    <w:multiLevelType w:val="hybridMultilevel"/>
    <w:tmpl w:val="A3E05C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BC02D69"/>
    <w:multiLevelType w:val="hybridMultilevel"/>
    <w:tmpl w:val="AFB648F0"/>
    <w:lvl w:ilvl="0" w:tplc="94BA3C0C">
      <w:start w:val="1"/>
      <w:numFmt w:val="upperLetter"/>
      <w:lvlText w:val="%1."/>
      <w:lvlJc w:val="left"/>
      <w:pPr>
        <w:ind w:left="720" w:hanging="360"/>
      </w:pPr>
      <w:rPr>
        <w:rFonts w:hint="default"/>
        <w:b/>
        <w:color w:val="auto"/>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FD49BF"/>
    <w:multiLevelType w:val="hybridMultilevel"/>
    <w:tmpl w:val="FC0881CA"/>
    <w:lvl w:ilvl="0" w:tplc="A470C9F0">
      <w:start w:val="1"/>
      <w:numFmt w:val="decimal"/>
      <w:lvlText w:val="%1."/>
      <w:lvlJc w:val="left"/>
      <w:pPr>
        <w:ind w:left="735" w:hanging="37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DF0554"/>
    <w:multiLevelType w:val="hybridMultilevel"/>
    <w:tmpl w:val="5742EE02"/>
    <w:lvl w:ilvl="0" w:tplc="F8346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11800"/>
    <w:multiLevelType w:val="hybridMultilevel"/>
    <w:tmpl w:val="8AF0A420"/>
    <w:lvl w:ilvl="0" w:tplc="CF1C2122">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4"/>
  </w:num>
  <w:num w:numId="9">
    <w:abstractNumId w:val="8"/>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F3"/>
    <w:rsid w:val="0000095A"/>
    <w:rsid w:val="00000FDB"/>
    <w:rsid w:val="0000150A"/>
    <w:rsid w:val="0000346A"/>
    <w:rsid w:val="00003A6A"/>
    <w:rsid w:val="000120E8"/>
    <w:rsid w:val="00021FF7"/>
    <w:rsid w:val="00025D87"/>
    <w:rsid w:val="00041A74"/>
    <w:rsid w:val="00086143"/>
    <w:rsid w:val="00086774"/>
    <w:rsid w:val="00090050"/>
    <w:rsid w:val="00092B43"/>
    <w:rsid w:val="000A59B2"/>
    <w:rsid w:val="000B1726"/>
    <w:rsid w:val="000C05C3"/>
    <w:rsid w:val="000C2EF5"/>
    <w:rsid w:val="000D3C4C"/>
    <w:rsid w:val="000D6F45"/>
    <w:rsid w:val="000E0377"/>
    <w:rsid w:val="000E0F5B"/>
    <w:rsid w:val="00103CF3"/>
    <w:rsid w:val="00114323"/>
    <w:rsid w:val="0013286C"/>
    <w:rsid w:val="00134AF3"/>
    <w:rsid w:val="00152E1C"/>
    <w:rsid w:val="00167B52"/>
    <w:rsid w:val="00170D4B"/>
    <w:rsid w:val="00181E5A"/>
    <w:rsid w:val="00187843"/>
    <w:rsid w:val="00193BB5"/>
    <w:rsid w:val="001A0AD8"/>
    <w:rsid w:val="001A3C01"/>
    <w:rsid w:val="001B2188"/>
    <w:rsid w:val="001B3066"/>
    <w:rsid w:val="001B45CA"/>
    <w:rsid w:val="001B6036"/>
    <w:rsid w:val="001D37F1"/>
    <w:rsid w:val="001D7443"/>
    <w:rsid w:val="001F0337"/>
    <w:rsid w:val="001F506B"/>
    <w:rsid w:val="00200A38"/>
    <w:rsid w:val="00205BB7"/>
    <w:rsid w:val="00207FAD"/>
    <w:rsid w:val="002249D8"/>
    <w:rsid w:val="00227092"/>
    <w:rsid w:val="00231605"/>
    <w:rsid w:val="00232CB6"/>
    <w:rsid w:val="00234967"/>
    <w:rsid w:val="0024069D"/>
    <w:rsid w:val="00245DBD"/>
    <w:rsid w:val="0024625C"/>
    <w:rsid w:val="00253184"/>
    <w:rsid w:val="0027751B"/>
    <w:rsid w:val="00284550"/>
    <w:rsid w:val="002B14F0"/>
    <w:rsid w:val="002B2E74"/>
    <w:rsid w:val="002B4617"/>
    <w:rsid w:val="002B46F4"/>
    <w:rsid w:val="002F0978"/>
    <w:rsid w:val="002F7B93"/>
    <w:rsid w:val="00311D17"/>
    <w:rsid w:val="003126FB"/>
    <w:rsid w:val="00326951"/>
    <w:rsid w:val="00332C07"/>
    <w:rsid w:val="003523CA"/>
    <w:rsid w:val="00353484"/>
    <w:rsid w:val="00355CF6"/>
    <w:rsid w:val="003625F8"/>
    <w:rsid w:val="00364E16"/>
    <w:rsid w:val="003657A8"/>
    <w:rsid w:val="0036799A"/>
    <w:rsid w:val="0039050F"/>
    <w:rsid w:val="003A66A3"/>
    <w:rsid w:val="003B38FB"/>
    <w:rsid w:val="003B4792"/>
    <w:rsid w:val="003C1479"/>
    <w:rsid w:val="003E3C9E"/>
    <w:rsid w:val="003F07B5"/>
    <w:rsid w:val="0040012E"/>
    <w:rsid w:val="00446241"/>
    <w:rsid w:val="00447046"/>
    <w:rsid w:val="004608AB"/>
    <w:rsid w:val="00475FB5"/>
    <w:rsid w:val="004E6C07"/>
    <w:rsid w:val="00501C93"/>
    <w:rsid w:val="005020BE"/>
    <w:rsid w:val="005072DE"/>
    <w:rsid w:val="0050734A"/>
    <w:rsid w:val="00511602"/>
    <w:rsid w:val="0053282D"/>
    <w:rsid w:val="00566B61"/>
    <w:rsid w:val="00567E61"/>
    <w:rsid w:val="00572A8B"/>
    <w:rsid w:val="00573C23"/>
    <w:rsid w:val="005908F0"/>
    <w:rsid w:val="005911DA"/>
    <w:rsid w:val="005941D9"/>
    <w:rsid w:val="00597A0A"/>
    <w:rsid w:val="005C370C"/>
    <w:rsid w:val="005D6B99"/>
    <w:rsid w:val="005E146D"/>
    <w:rsid w:val="005E2F93"/>
    <w:rsid w:val="006075D5"/>
    <w:rsid w:val="00613C71"/>
    <w:rsid w:val="00646A27"/>
    <w:rsid w:val="006470AA"/>
    <w:rsid w:val="00657FB6"/>
    <w:rsid w:val="00667423"/>
    <w:rsid w:val="00677B92"/>
    <w:rsid w:val="00683457"/>
    <w:rsid w:val="00690624"/>
    <w:rsid w:val="006A13C0"/>
    <w:rsid w:val="006A5B90"/>
    <w:rsid w:val="006C619A"/>
    <w:rsid w:val="006E6344"/>
    <w:rsid w:val="006E76CB"/>
    <w:rsid w:val="00765499"/>
    <w:rsid w:val="00770D02"/>
    <w:rsid w:val="0077142B"/>
    <w:rsid w:val="0077278F"/>
    <w:rsid w:val="00772EBB"/>
    <w:rsid w:val="00790939"/>
    <w:rsid w:val="007B104A"/>
    <w:rsid w:val="007B3B11"/>
    <w:rsid w:val="007E37F2"/>
    <w:rsid w:val="00803651"/>
    <w:rsid w:val="0082238E"/>
    <w:rsid w:val="0085456C"/>
    <w:rsid w:val="008546EB"/>
    <w:rsid w:val="0086244F"/>
    <w:rsid w:val="00870B63"/>
    <w:rsid w:val="00871BD1"/>
    <w:rsid w:val="008936B2"/>
    <w:rsid w:val="008A0AD2"/>
    <w:rsid w:val="008A1D89"/>
    <w:rsid w:val="008A235A"/>
    <w:rsid w:val="008B0B5E"/>
    <w:rsid w:val="008B4460"/>
    <w:rsid w:val="008C4F5B"/>
    <w:rsid w:val="008C67EF"/>
    <w:rsid w:val="008C6DFA"/>
    <w:rsid w:val="008E223C"/>
    <w:rsid w:val="008E2CC9"/>
    <w:rsid w:val="00913C67"/>
    <w:rsid w:val="00917AF1"/>
    <w:rsid w:val="009326B6"/>
    <w:rsid w:val="00963B1C"/>
    <w:rsid w:val="00991923"/>
    <w:rsid w:val="009A502C"/>
    <w:rsid w:val="009B56BB"/>
    <w:rsid w:val="009C2523"/>
    <w:rsid w:val="009E537F"/>
    <w:rsid w:val="00A06EB9"/>
    <w:rsid w:val="00A131BB"/>
    <w:rsid w:val="00A168B6"/>
    <w:rsid w:val="00A20D8B"/>
    <w:rsid w:val="00A4250E"/>
    <w:rsid w:val="00A50CA7"/>
    <w:rsid w:val="00A63CD0"/>
    <w:rsid w:val="00A70C4D"/>
    <w:rsid w:val="00A9063A"/>
    <w:rsid w:val="00AD54BA"/>
    <w:rsid w:val="00AD5F83"/>
    <w:rsid w:val="00AD679D"/>
    <w:rsid w:val="00AF596A"/>
    <w:rsid w:val="00B06784"/>
    <w:rsid w:val="00B15041"/>
    <w:rsid w:val="00B15105"/>
    <w:rsid w:val="00B24113"/>
    <w:rsid w:val="00B57A52"/>
    <w:rsid w:val="00B722F3"/>
    <w:rsid w:val="00B841B8"/>
    <w:rsid w:val="00B936D9"/>
    <w:rsid w:val="00B93DF3"/>
    <w:rsid w:val="00BA066B"/>
    <w:rsid w:val="00BA249B"/>
    <w:rsid w:val="00BA4EB3"/>
    <w:rsid w:val="00BB7F73"/>
    <w:rsid w:val="00BC7496"/>
    <w:rsid w:val="00BD43DF"/>
    <w:rsid w:val="00BD7BA6"/>
    <w:rsid w:val="00BD7D52"/>
    <w:rsid w:val="00C215E3"/>
    <w:rsid w:val="00C43908"/>
    <w:rsid w:val="00C56EC4"/>
    <w:rsid w:val="00C859BF"/>
    <w:rsid w:val="00C85E11"/>
    <w:rsid w:val="00C91880"/>
    <w:rsid w:val="00CA28D0"/>
    <w:rsid w:val="00CB46C9"/>
    <w:rsid w:val="00CC6C5E"/>
    <w:rsid w:val="00CD3FC1"/>
    <w:rsid w:val="00CE7831"/>
    <w:rsid w:val="00CF70CC"/>
    <w:rsid w:val="00D12DF7"/>
    <w:rsid w:val="00D146B7"/>
    <w:rsid w:val="00D17BC1"/>
    <w:rsid w:val="00D26BE7"/>
    <w:rsid w:val="00D315AA"/>
    <w:rsid w:val="00D33C33"/>
    <w:rsid w:val="00D439B3"/>
    <w:rsid w:val="00D508E6"/>
    <w:rsid w:val="00D57DB9"/>
    <w:rsid w:val="00D624C8"/>
    <w:rsid w:val="00D97704"/>
    <w:rsid w:val="00DA5249"/>
    <w:rsid w:val="00DD3496"/>
    <w:rsid w:val="00DD7991"/>
    <w:rsid w:val="00DE21A5"/>
    <w:rsid w:val="00DE27A3"/>
    <w:rsid w:val="00DF68B4"/>
    <w:rsid w:val="00E02D86"/>
    <w:rsid w:val="00E12A97"/>
    <w:rsid w:val="00E21910"/>
    <w:rsid w:val="00E31F69"/>
    <w:rsid w:val="00E33C1C"/>
    <w:rsid w:val="00E4694A"/>
    <w:rsid w:val="00E47705"/>
    <w:rsid w:val="00E5154C"/>
    <w:rsid w:val="00E67873"/>
    <w:rsid w:val="00E92B3A"/>
    <w:rsid w:val="00EA2FB7"/>
    <w:rsid w:val="00EB48F1"/>
    <w:rsid w:val="00EB5394"/>
    <w:rsid w:val="00EC0354"/>
    <w:rsid w:val="00ED0C6F"/>
    <w:rsid w:val="00ED10BA"/>
    <w:rsid w:val="00EE6735"/>
    <w:rsid w:val="00EF0EB4"/>
    <w:rsid w:val="00EF38FE"/>
    <w:rsid w:val="00EF45D7"/>
    <w:rsid w:val="00F22476"/>
    <w:rsid w:val="00F433E1"/>
    <w:rsid w:val="00F51AFC"/>
    <w:rsid w:val="00F57362"/>
    <w:rsid w:val="00F63232"/>
    <w:rsid w:val="00F979ED"/>
    <w:rsid w:val="00FB3BA8"/>
    <w:rsid w:val="00FC3A23"/>
    <w:rsid w:val="00FD6CFD"/>
    <w:rsid w:val="00FE696D"/>
    <w:rsid w:val="22213CDD"/>
    <w:rsid w:val="2E20C4A9"/>
    <w:rsid w:val="30DE7E65"/>
    <w:rsid w:val="3C324302"/>
    <w:rsid w:val="54E69344"/>
    <w:rsid w:val="5903F4C3"/>
    <w:rsid w:val="5C77E6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6CAABB"/>
  <w15:docId w15:val="{EEB1478A-5B0B-4525-8F2D-3A094A73D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D9"/>
    <w:pPr>
      <w:spacing w:after="0" w:line="240" w:lineRule="auto"/>
    </w:pPr>
    <w:rPr>
      <w:rFonts w:ascii="Arial" w:hAnsi="Arial"/>
      <w:sz w:val="24"/>
    </w:rPr>
  </w:style>
  <w:style w:type="paragraph" w:styleId="Heading1">
    <w:name w:val="heading 1"/>
    <w:basedOn w:val="Normal"/>
    <w:next w:val="Normal"/>
    <w:link w:val="Heading1Char"/>
    <w:uiPriority w:val="9"/>
    <w:qFormat/>
    <w:rsid w:val="00BD7D52"/>
    <w:pPr>
      <w:keepNext/>
      <w:keepLines/>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36"/>
    <w:pPr>
      <w:tabs>
        <w:tab w:val="center" w:pos="4680"/>
        <w:tab w:val="right" w:pos="9360"/>
      </w:tabs>
    </w:pPr>
  </w:style>
  <w:style w:type="character" w:customStyle="1" w:styleId="HeaderChar">
    <w:name w:val="Header Char"/>
    <w:basedOn w:val="DefaultParagraphFont"/>
    <w:link w:val="Header"/>
    <w:uiPriority w:val="99"/>
    <w:rsid w:val="001B6036"/>
  </w:style>
  <w:style w:type="paragraph" w:styleId="Footer">
    <w:name w:val="footer"/>
    <w:basedOn w:val="Normal"/>
    <w:link w:val="FooterChar"/>
    <w:uiPriority w:val="99"/>
    <w:unhideWhenUsed/>
    <w:rsid w:val="001B6036"/>
    <w:pPr>
      <w:tabs>
        <w:tab w:val="center" w:pos="4680"/>
        <w:tab w:val="right" w:pos="9360"/>
      </w:tabs>
    </w:pPr>
  </w:style>
  <w:style w:type="character" w:customStyle="1" w:styleId="FooterChar">
    <w:name w:val="Footer Char"/>
    <w:basedOn w:val="DefaultParagraphFont"/>
    <w:link w:val="Footer"/>
    <w:uiPriority w:val="99"/>
    <w:rsid w:val="001B6036"/>
  </w:style>
  <w:style w:type="paragraph" w:styleId="ListParagraph">
    <w:name w:val="List Paragraph"/>
    <w:basedOn w:val="Normal"/>
    <w:uiPriority w:val="34"/>
    <w:qFormat/>
    <w:rsid w:val="005911DA"/>
    <w:pPr>
      <w:ind w:left="720"/>
    </w:pPr>
    <w:rPr>
      <w:rFonts w:ascii="Calibri" w:eastAsiaTheme="minorHAnsi" w:hAnsi="Calibri" w:cs="Times New Roman"/>
    </w:rPr>
  </w:style>
  <w:style w:type="paragraph" w:styleId="BalloonText">
    <w:name w:val="Balloon Text"/>
    <w:basedOn w:val="Normal"/>
    <w:link w:val="BalloonTextChar"/>
    <w:uiPriority w:val="99"/>
    <w:semiHidden/>
    <w:unhideWhenUsed/>
    <w:rsid w:val="0027751B"/>
    <w:rPr>
      <w:rFonts w:ascii="Tahoma" w:hAnsi="Tahoma" w:cs="Tahoma"/>
      <w:sz w:val="16"/>
      <w:szCs w:val="16"/>
    </w:rPr>
  </w:style>
  <w:style w:type="character" w:customStyle="1" w:styleId="BalloonTextChar">
    <w:name w:val="Balloon Text Char"/>
    <w:basedOn w:val="DefaultParagraphFont"/>
    <w:link w:val="BalloonText"/>
    <w:uiPriority w:val="99"/>
    <w:semiHidden/>
    <w:rsid w:val="0027751B"/>
    <w:rPr>
      <w:rFonts w:ascii="Tahoma" w:hAnsi="Tahoma" w:cs="Tahoma"/>
      <w:sz w:val="16"/>
      <w:szCs w:val="16"/>
    </w:rPr>
  </w:style>
  <w:style w:type="character" w:styleId="CommentReference">
    <w:name w:val="annotation reference"/>
    <w:basedOn w:val="DefaultParagraphFont"/>
    <w:uiPriority w:val="99"/>
    <w:semiHidden/>
    <w:unhideWhenUsed/>
    <w:rsid w:val="00B06784"/>
    <w:rPr>
      <w:sz w:val="16"/>
      <w:szCs w:val="16"/>
    </w:rPr>
  </w:style>
  <w:style w:type="paragraph" w:styleId="CommentText">
    <w:name w:val="annotation text"/>
    <w:basedOn w:val="Normal"/>
    <w:link w:val="CommentTextChar"/>
    <w:uiPriority w:val="99"/>
    <w:semiHidden/>
    <w:unhideWhenUsed/>
    <w:rsid w:val="00B06784"/>
    <w:rPr>
      <w:sz w:val="20"/>
      <w:szCs w:val="20"/>
    </w:rPr>
  </w:style>
  <w:style w:type="character" w:customStyle="1" w:styleId="CommentTextChar">
    <w:name w:val="Comment Text Char"/>
    <w:basedOn w:val="DefaultParagraphFont"/>
    <w:link w:val="CommentText"/>
    <w:uiPriority w:val="99"/>
    <w:semiHidden/>
    <w:rsid w:val="00B06784"/>
    <w:rPr>
      <w:sz w:val="20"/>
      <w:szCs w:val="20"/>
    </w:rPr>
  </w:style>
  <w:style w:type="paragraph" w:styleId="CommentSubject">
    <w:name w:val="annotation subject"/>
    <w:basedOn w:val="CommentText"/>
    <w:next w:val="CommentText"/>
    <w:link w:val="CommentSubjectChar"/>
    <w:uiPriority w:val="99"/>
    <w:semiHidden/>
    <w:unhideWhenUsed/>
    <w:rsid w:val="00B06784"/>
    <w:rPr>
      <w:b/>
      <w:bCs/>
    </w:rPr>
  </w:style>
  <w:style w:type="character" w:customStyle="1" w:styleId="CommentSubjectChar">
    <w:name w:val="Comment Subject Char"/>
    <w:basedOn w:val="CommentTextChar"/>
    <w:link w:val="CommentSubject"/>
    <w:uiPriority w:val="99"/>
    <w:semiHidden/>
    <w:rsid w:val="00B06784"/>
    <w:rPr>
      <w:b/>
      <w:bCs/>
      <w:sz w:val="20"/>
      <w:szCs w:val="20"/>
    </w:rPr>
  </w:style>
  <w:style w:type="character" w:styleId="Hyperlink">
    <w:name w:val="Hyperlink"/>
    <w:basedOn w:val="DefaultParagraphFont"/>
    <w:uiPriority w:val="99"/>
    <w:unhideWhenUsed/>
    <w:rsid w:val="000B1726"/>
    <w:rPr>
      <w:color w:val="0000FF" w:themeColor="hyperlink"/>
      <w:u w:val="single"/>
    </w:rPr>
  </w:style>
  <w:style w:type="paragraph" w:styleId="Revision">
    <w:name w:val="Revision"/>
    <w:hidden/>
    <w:uiPriority w:val="99"/>
    <w:semiHidden/>
    <w:rsid w:val="001B45CA"/>
    <w:pPr>
      <w:spacing w:after="0" w:line="240" w:lineRule="auto"/>
    </w:pPr>
  </w:style>
  <w:style w:type="character" w:customStyle="1" w:styleId="Heading1Char">
    <w:name w:val="Heading 1 Char"/>
    <w:basedOn w:val="DefaultParagraphFont"/>
    <w:link w:val="Heading1"/>
    <w:uiPriority w:val="9"/>
    <w:rsid w:val="00BD7D52"/>
    <w:rPr>
      <w:rFonts w:ascii="Arial" w:eastAsiaTheme="majorEastAsia" w:hAnsi="Arial" w:cstheme="majorBidi"/>
      <w:b/>
      <w:sz w:val="28"/>
      <w:szCs w:val="32"/>
    </w:rPr>
  </w:style>
  <w:style w:type="character" w:customStyle="1" w:styleId="normaltextrunscxw202041716bcx2">
    <w:name w:val="normaltextrun scxw202041716 bcx2"/>
    <w:basedOn w:val="DefaultParagraphFont"/>
    <w:rsid w:val="00A63CD0"/>
  </w:style>
  <w:style w:type="character" w:customStyle="1" w:styleId="normaltextrunbcx2scxw114835737">
    <w:name w:val="normaltextrun  bcx2 scxw114835737"/>
    <w:basedOn w:val="DefaultParagraphFont"/>
    <w:rsid w:val="00BA2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560071">
      <w:bodyDiv w:val="1"/>
      <w:marLeft w:val="0"/>
      <w:marRight w:val="0"/>
      <w:marTop w:val="0"/>
      <w:marBottom w:val="0"/>
      <w:divBdr>
        <w:top w:val="none" w:sz="0" w:space="0" w:color="auto"/>
        <w:left w:val="none" w:sz="0" w:space="0" w:color="auto"/>
        <w:bottom w:val="none" w:sz="0" w:space="0" w:color="auto"/>
        <w:right w:val="none" w:sz="0" w:space="0" w:color="auto"/>
      </w:divBdr>
    </w:div>
    <w:div w:id="129436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0" ma:contentTypeDescription="Create a new document." ma:contentTypeScope="" ma:versionID="c0cad12ed268d35404a4754caaf6546d">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848cfd823f3385754381346f2bb75fa9"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Arens, Samantha@Energy</DisplayName>
        <AccountId>161</AccountId>
        <AccountType/>
      </UserInfo>
      <UserInfo>
        <DisplayName>Baronas, Jean@Energy</DisplayName>
        <AccountId>79</AccountId>
        <AccountType/>
      </UserInfo>
      <UserInfo>
        <DisplayName>Cazel, Phil@Energy</DisplayName>
        <AccountId>49</AccountId>
        <AccountType/>
      </UserInfo>
      <UserInfo>
        <DisplayName>Wenzel, Mark@Energy</DisplayName>
        <AccountId>58</AccountId>
        <AccountType/>
      </UserInfo>
      <UserInfo>
        <DisplayName>Berner, Jane@Energy</DisplayName>
        <AccountId>35</AccountId>
        <AccountType/>
      </UserInfo>
      <UserInfo>
        <DisplayName>Cordero, Christina@Energy</DisplayName>
        <AccountId>24</AccountId>
        <AccountType/>
      </UserInfo>
      <UserInfo>
        <DisplayName>Kelley, Spencer@Energy</DisplayName>
        <AccountId>25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3F4DE-9A40-4055-B55A-1A8F38EA6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133FA-885F-4B1D-B617-F5445295E808}">
  <ds:schemaRefs>
    <ds:schemaRef ds:uri="http://purl.org/dc/terms/"/>
    <ds:schemaRef ds:uri="785685f2-c2e1-4352-89aa-3faca8eaba52"/>
    <ds:schemaRef ds:uri="5067c814-4b34-462c-a21d-c185ff6548d2"/>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799F8D7-BC22-4F6B-9603-5B652BFB29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pcazel;Andrea.Hoppe@energy.ca.gov</dc:creator>
  <cp:keywords/>
  <dc:description/>
  <cp:lastModifiedBy>Dyer, Phil@Energy</cp:lastModifiedBy>
  <cp:revision>2</cp:revision>
  <cp:lastPrinted>2016-04-04T17:14:00Z</cp:lastPrinted>
  <dcterms:created xsi:type="dcterms:W3CDTF">2020-05-15T23:23:00Z</dcterms:created>
  <dcterms:modified xsi:type="dcterms:W3CDTF">2020-05-15T23:23:00Z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20869700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