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15" w:rsidRPr="00E94015" w:rsidRDefault="00E94015" w:rsidP="00E94015">
      <w:pPr>
        <w:pStyle w:val="BodyText2"/>
        <w:keepLines/>
        <w:widowControl w:val="0"/>
        <w:jc w:val="both"/>
        <w:rPr>
          <w:rFonts w:ascii="Arial" w:hAnsi="Arial" w:cs="Arial"/>
          <w:sz w:val="22"/>
          <w:szCs w:val="22"/>
        </w:rPr>
      </w:pPr>
      <w:bookmarkStart w:id="0" w:name="_GoBack"/>
      <w:bookmarkEnd w:id="0"/>
      <w:r w:rsidRPr="00E94015">
        <w:rPr>
          <w:rFonts w:ascii="Arial" w:hAnsi="Arial" w:cs="Arial"/>
          <w:sz w:val="22"/>
          <w:szCs w:val="22"/>
        </w:rPr>
        <w:t xml:space="preserve">The tables </w:t>
      </w:r>
      <w:r w:rsidR="00654E4A">
        <w:rPr>
          <w:rFonts w:ascii="Arial" w:hAnsi="Arial" w:cs="Arial"/>
          <w:sz w:val="22"/>
          <w:szCs w:val="22"/>
        </w:rPr>
        <w:t>in this attachment</w:t>
      </w:r>
      <w:r w:rsidRPr="00E94015">
        <w:rPr>
          <w:rFonts w:ascii="Arial" w:hAnsi="Arial" w:cs="Arial"/>
          <w:sz w:val="22"/>
          <w:szCs w:val="22"/>
        </w:rPr>
        <w:t xml:space="preserve"> provide a basis for applicants to estimate the potential impact </w:t>
      </w:r>
      <w:r w:rsidR="00EE47A5">
        <w:rPr>
          <w:rFonts w:ascii="Arial" w:hAnsi="Arial" w:cs="Arial"/>
          <w:sz w:val="22"/>
          <w:szCs w:val="22"/>
        </w:rPr>
        <w:t xml:space="preserve">and benefits </w:t>
      </w:r>
      <w:r w:rsidRPr="00E94015">
        <w:rPr>
          <w:rFonts w:ascii="Arial" w:hAnsi="Arial" w:cs="Arial"/>
          <w:sz w:val="22"/>
          <w:szCs w:val="22"/>
        </w:rPr>
        <w:t xml:space="preserve">associated with their proposals. Applicants must </w:t>
      </w:r>
      <w:r w:rsidR="00654E4A">
        <w:rPr>
          <w:rFonts w:ascii="Arial" w:hAnsi="Arial" w:cs="Arial"/>
          <w:sz w:val="22"/>
          <w:szCs w:val="22"/>
        </w:rPr>
        <w:t xml:space="preserve">use these tables when </w:t>
      </w:r>
      <w:r w:rsidR="00654E4A" w:rsidRPr="0097295E">
        <w:rPr>
          <w:rFonts w:ascii="Arial" w:hAnsi="Arial" w:cs="Arial"/>
          <w:sz w:val="22"/>
          <w:szCs w:val="22"/>
        </w:rPr>
        <w:t>estimating</w:t>
      </w:r>
      <w:r w:rsidRPr="0097295E">
        <w:rPr>
          <w:rFonts w:ascii="Arial" w:hAnsi="Arial" w:cs="Arial"/>
          <w:sz w:val="22"/>
          <w:szCs w:val="22"/>
        </w:rPr>
        <w:t xml:space="preserve"> </w:t>
      </w:r>
      <w:r w:rsidR="0097295E">
        <w:rPr>
          <w:rFonts w:ascii="Arial" w:hAnsi="Arial" w:cs="Arial"/>
          <w:sz w:val="22"/>
          <w:szCs w:val="22"/>
        </w:rPr>
        <w:t>t</w:t>
      </w:r>
      <w:r w:rsidR="0097295E" w:rsidRPr="0097295E">
        <w:rPr>
          <w:rFonts w:ascii="Arial" w:hAnsi="Arial" w:cs="Arial"/>
          <w:sz w:val="22"/>
          <w:szCs w:val="22"/>
        </w:rPr>
        <w:t>he proposed project’s energy and peak demand savings</w:t>
      </w:r>
      <w:r w:rsidR="0097295E">
        <w:rPr>
          <w:rFonts w:ascii="Arial" w:hAnsi="Arial" w:cs="Arial"/>
          <w:sz w:val="22"/>
          <w:szCs w:val="22"/>
        </w:rPr>
        <w:t xml:space="preserve"> </w:t>
      </w:r>
      <w:r w:rsidR="00654E4A" w:rsidRPr="0097295E">
        <w:rPr>
          <w:rFonts w:ascii="Arial" w:hAnsi="Arial" w:cs="Arial"/>
          <w:sz w:val="22"/>
          <w:szCs w:val="22"/>
        </w:rPr>
        <w:t>and</w:t>
      </w:r>
      <w:r w:rsidRPr="0097295E">
        <w:rPr>
          <w:rFonts w:ascii="Arial" w:hAnsi="Arial" w:cs="Arial"/>
          <w:sz w:val="22"/>
          <w:szCs w:val="22"/>
        </w:rPr>
        <w:t xml:space="preserve"> </w:t>
      </w:r>
      <w:r w:rsidR="0097295E" w:rsidRPr="00E94015">
        <w:rPr>
          <w:rFonts w:ascii="Arial" w:hAnsi="Arial" w:cs="Arial"/>
          <w:sz w:val="22"/>
          <w:szCs w:val="22"/>
        </w:rPr>
        <w:t xml:space="preserve">greenhouse gas </w:t>
      </w:r>
      <w:r w:rsidR="0097295E">
        <w:rPr>
          <w:rFonts w:ascii="Arial" w:hAnsi="Arial" w:cs="Arial"/>
          <w:sz w:val="22"/>
          <w:szCs w:val="22"/>
        </w:rPr>
        <w:t>(</w:t>
      </w:r>
      <w:r w:rsidRPr="0097295E">
        <w:rPr>
          <w:rFonts w:ascii="Arial" w:hAnsi="Arial" w:cs="Arial"/>
          <w:sz w:val="22"/>
          <w:szCs w:val="22"/>
        </w:rPr>
        <w:t>GHG</w:t>
      </w:r>
      <w:r w:rsidR="0097295E">
        <w:rPr>
          <w:rFonts w:ascii="Arial" w:hAnsi="Arial" w:cs="Arial"/>
          <w:sz w:val="22"/>
          <w:szCs w:val="22"/>
        </w:rPr>
        <w:t>)</w:t>
      </w:r>
      <w:r w:rsidRPr="00E94015">
        <w:rPr>
          <w:rFonts w:ascii="Arial" w:hAnsi="Arial" w:cs="Arial"/>
          <w:sz w:val="22"/>
          <w:szCs w:val="22"/>
        </w:rPr>
        <w:t xml:space="preserve"> </w:t>
      </w:r>
      <w:r w:rsidR="00654E4A">
        <w:rPr>
          <w:rFonts w:ascii="Arial" w:hAnsi="Arial" w:cs="Arial"/>
          <w:sz w:val="22"/>
          <w:szCs w:val="22"/>
        </w:rPr>
        <w:t>impacts</w:t>
      </w:r>
      <w:r w:rsidR="00857CD2">
        <w:rPr>
          <w:rFonts w:ascii="Arial" w:hAnsi="Arial" w:cs="Arial"/>
          <w:sz w:val="22"/>
          <w:szCs w:val="22"/>
        </w:rPr>
        <w:t xml:space="preserve">, to the extent that the </w:t>
      </w:r>
      <w:r w:rsidR="006E33AD">
        <w:rPr>
          <w:rFonts w:ascii="Arial" w:hAnsi="Arial" w:cs="Arial"/>
          <w:sz w:val="22"/>
          <w:szCs w:val="22"/>
        </w:rPr>
        <w:t>data</w:t>
      </w:r>
      <w:r w:rsidR="00857CD2">
        <w:rPr>
          <w:rFonts w:ascii="Arial" w:hAnsi="Arial" w:cs="Arial"/>
          <w:sz w:val="22"/>
          <w:szCs w:val="22"/>
        </w:rPr>
        <w:t xml:space="preserve"> apply to the proposed project</w:t>
      </w:r>
      <w:r w:rsidR="00F766F4">
        <w:rPr>
          <w:rFonts w:ascii="Arial" w:hAnsi="Arial" w:cs="Arial"/>
          <w:sz w:val="22"/>
          <w:szCs w:val="22"/>
        </w:rPr>
        <w:t xml:space="preserve">. </w:t>
      </w:r>
      <w:r w:rsidRPr="00E94015">
        <w:rPr>
          <w:rFonts w:ascii="Arial" w:hAnsi="Arial" w:cs="Arial"/>
          <w:sz w:val="22"/>
          <w:szCs w:val="22"/>
        </w:rPr>
        <w:t xml:space="preserve">The tables characterize California’s residential and commercial electricity market in terms of consumption and peak demand for major end use categories and a statewide </w:t>
      </w:r>
      <w:r w:rsidR="0097295E">
        <w:rPr>
          <w:rFonts w:ascii="Arial" w:hAnsi="Arial" w:cs="Arial"/>
          <w:sz w:val="22"/>
          <w:szCs w:val="22"/>
        </w:rPr>
        <w:t>GHG</w:t>
      </w:r>
      <w:r w:rsidRPr="00E94015">
        <w:rPr>
          <w:rFonts w:ascii="Arial" w:hAnsi="Arial" w:cs="Arial"/>
          <w:sz w:val="22"/>
          <w:szCs w:val="22"/>
        </w:rPr>
        <w:t xml:space="preserve"> emissions factor. </w:t>
      </w:r>
    </w:p>
    <w:p w:rsidR="00E94015" w:rsidRPr="00E94015" w:rsidRDefault="00E94015" w:rsidP="00E94015">
      <w:pPr>
        <w:pStyle w:val="BodyText2"/>
        <w:keepLines/>
        <w:widowControl w:val="0"/>
        <w:jc w:val="both"/>
        <w:rPr>
          <w:rFonts w:ascii="Arial" w:hAnsi="Arial" w:cs="Arial"/>
          <w:sz w:val="22"/>
          <w:szCs w:val="22"/>
        </w:rPr>
      </w:pPr>
    </w:p>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Applicants must temper their market impact estimates with realistic assumptions about the timeframe for achieving market penetration as it relates to construction activity and the market connection challenges associated with all technology transfer efforts.  Applicants must also discuss the potential for competing technologies, and account for them in their discussion of market impacts assumed for the proposed efforts.</w:t>
      </w:r>
    </w:p>
    <w:p w:rsidR="00E94015" w:rsidRPr="00E94015" w:rsidRDefault="00E94015" w:rsidP="00E94015">
      <w:pPr>
        <w:pStyle w:val="BodyText2"/>
        <w:keepLines/>
        <w:widowControl w:val="0"/>
        <w:jc w:val="both"/>
        <w:rPr>
          <w:rFonts w:ascii="Arial" w:hAnsi="Arial" w:cs="Arial"/>
          <w:sz w:val="22"/>
          <w:szCs w:val="22"/>
        </w:rPr>
      </w:pPr>
    </w:p>
    <w:p w:rsidR="00E94015" w:rsidRPr="00E94015" w:rsidRDefault="00E94015" w:rsidP="00E94015">
      <w:pPr>
        <w:pStyle w:val="BodyText2"/>
        <w:keepLines/>
        <w:widowControl w:val="0"/>
        <w:jc w:val="both"/>
        <w:rPr>
          <w:rFonts w:ascii="Arial" w:hAnsi="Arial" w:cs="Arial"/>
          <w:sz w:val="22"/>
          <w:szCs w:val="22"/>
        </w:rPr>
      </w:pPr>
    </w:p>
    <w:p w:rsidR="00E94015" w:rsidRPr="00E94015" w:rsidRDefault="00E94015" w:rsidP="00E94015">
      <w:pPr>
        <w:pStyle w:val="BodyText2"/>
        <w:keepLines/>
        <w:widowControl w:val="0"/>
        <w:numPr>
          <w:ilvl w:val="0"/>
          <w:numId w:val="5"/>
        </w:numPr>
        <w:jc w:val="both"/>
        <w:rPr>
          <w:rFonts w:ascii="Arial" w:hAnsi="Arial" w:cs="Arial"/>
          <w:b/>
          <w:sz w:val="22"/>
          <w:szCs w:val="22"/>
          <w:u w:val="single"/>
        </w:rPr>
      </w:pPr>
      <w:r w:rsidRPr="00E94015">
        <w:rPr>
          <w:rFonts w:ascii="Arial" w:hAnsi="Arial" w:cs="Arial"/>
          <w:b/>
          <w:sz w:val="22"/>
          <w:szCs w:val="22"/>
          <w:u w:val="single"/>
        </w:rPr>
        <w:t>Residential Data</w:t>
      </w:r>
    </w:p>
    <w:p w:rsidR="00E94015" w:rsidRPr="00E94015" w:rsidRDefault="00E94015" w:rsidP="00E94015">
      <w:pPr>
        <w:pStyle w:val="BodyText2"/>
        <w:keepLines/>
        <w:widowControl w:val="0"/>
        <w:ind w:left="720"/>
        <w:jc w:val="both"/>
        <w:rPr>
          <w:rFonts w:ascii="Arial" w:hAnsi="Arial" w:cs="Arial"/>
          <w:sz w:val="22"/>
          <w:szCs w:val="22"/>
        </w:rPr>
      </w:pPr>
    </w:p>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The following tables have been assembled from source data used by the Energy Commission for assembling the </w:t>
      </w:r>
      <w:r w:rsidRPr="00E94015">
        <w:rPr>
          <w:rFonts w:ascii="Arial" w:hAnsi="Arial" w:cs="Arial"/>
          <w:b/>
          <w:sz w:val="22"/>
          <w:szCs w:val="22"/>
        </w:rPr>
        <w:t>California Energy Demand 2006-2016 Residential Demand Forecast.</w:t>
      </w:r>
      <w:r w:rsidRPr="00E94015">
        <w:rPr>
          <w:rFonts w:ascii="Arial" w:hAnsi="Arial" w:cs="Arial"/>
          <w:sz w:val="22"/>
          <w:szCs w:val="22"/>
        </w:rPr>
        <w:t xml:space="preserve">  These standardized end-use data will provide the project evaluation committee with a common reference for comparing residential energy and demand savings estimates.  The total number of homes used in the forecast was 12,345,233.</w:t>
      </w:r>
    </w:p>
    <w:p w:rsidR="00E94015" w:rsidRPr="00E94015" w:rsidRDefault="00E94015" w:rsidP="00E94015">
      <w:pPr>
        <w:pStyle w:val="BodyText2"/>
        <w:keepLines/>
        <w:widowControl w:val="0"/>
        <w:ind w:left="720"/>
        <w:jc w:val="both"/>
        <w:rPr>
          <w:rFonts w:ascii="Arial" w:hAnsi="Arial" w:cs="Arial"/>
          <w:sz w:val="22"/>
          <w:szCs w:val="22"/>
        </w:rPr>
      </w:pPr>
    </w:p>
    <w:p w:rsidR="00E94015" w:rsidRPr="00E94015" w:rsidRDefault="00E94015" w:rsidP="00E94015">
      <w:pPr>
        <w:jc w:val="both"/>
        <w:rPr>
          <w:rFonts w:ascii="Arial" w:hAnsi="Arial" w:cs="Arial"/>
          <w:b/>
          <w:sz w:val="22"/>
          <w:szCs w:val="22"/>
        </w:rPr>
      </w:pPr>
      <w:bookmarkStart w:id="1" w:name="_Toc366671227"/>
      <w:r w:rsidRPr="00E94015">
        <w:rPr>
          <w:rFonts w:ascii="Arial" w:hAnsi="Arial" w:cs="Arial"/>
          <w:b/>
          <w:sz w:val="22"/>
          <w:szCs w:val="22"/>
        </w:rPr>
        <w:t>Table 1: Residential Peak Demand and Energy Consumption by End-Use</w:t>
      </w:r>
    </w:p>
    <w:p w:rsidR="00E94015" w:rsidRPr="00E94015" w:rsidRDefault="00E94015" w:rsidP="00E94015">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890"/>
        <w:gridCol w:w="1800"/>
        <w:gridCol w:w="1800"/>
        <w:gridCol w:w="1800"/>
      </w:tblGrid>
      <w:tr w:rsidR="00E94015" w:rsidRPr="00E94015" w:rsidTr="00585491">
        <w:trPr>
          <w:trHeight w:val="170"/>
          <w:tblHeader/>
        </w:trPr>
        <w:tc>
          <w:tcPr>
            <w:tcW w:w="2070" w:type="dxa"/>
            <w:vMerge w:val="restart"/>
            <w:shd w:val="clear" w:color="auto" w:fill="BFBFBF"/>
          </w:tcPr>
          <w:p w:rsidR="00E94015" w:rsidRPr="00E94015" w:rsidRDefault="00E94015" w:rsidP="00585491">
            <w:pPr>
              <w:tabs>
                <w:tab w:val="center" w:pos="4320"/>
                <w:tab w:val="right" w:pos="8640"/>
              </w:tabs>
              <w:rPr>
                <w:rFonts w:ascii="Arial" w:hAnsi="Arial" w:cs="Arial"/>
                <w:b/>
                <w:sz w:val="22"/>
                <w:szCs w:val="22"/>
              </w:rPr>
            </w:pPr>
            <w:r w:rsidRPr="00E94015">
              <w:rPr>
                <w:rFonts w:ascii="Arial" w:hAnsi="Arial" w:cs="Arial"/>
                <w:b/>
                <w:bCs/>
                <w:sz w:val="22"/>
                <w:szCs w:val="22"/>
              </w:rPr>
              <w:t>Residential Sector End Uses</w:t>
            </w:r>
          </w:p>
        </w:tc>
        <w:tc>
          <w:tcPr>
            <w:tcW w:w="3690" w:type="dxa"/>
            <w:gridSpan w:val="2"/>
            <w:shd w:val="clear" w:color="auto" w:fill="BFBFBF"/>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bCs/>
                <w:sz w:val="22"/>
                <w:szCs w:val="22"/>
              </w:rPr>
              <w:t>Peak Demand*</w:t>
            </w:r>
          </w:p>
        </w:tc>
        <w:tc>
          <w:tcPr>
            <w:tcW w:w="3600" w:type="dxa"/>
            <w:gridSpan w:val="2"/>
            <w:shd w:val="clear" w:color="auto" w:fill="BFBFBF"/>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bCs/>
                <w:sz w:val="22"/>
                <w:szCs w:val="22"/>
              </w:rPr>
              <w:t>Annual Energy</w:t>
            </w:r>
          </w:p>
        </w:tc>
      </w:tr>
      <w:tr w:rsidR="00E94015" w:rsidRPr="00E94015" w:rsidTr="00585491">
        <w:trPr>
          <w:trHeight w:val="170"/>
        </w:trPr>
        <w:tc>
          <w:tcPr>
            <w:tcW w:w="2070" w:type="dxa"/>
            <w:vMerge/>
            <w:shd w:val="clear" w:color="auto" w:fill="BFBFBF"/>
          </w:tcPr>
          <w:p w:rsidR="00E94015" w:rsidRPr="00E94015" w:rsidRDefault="00E94015" w:rsidP="00585491">
            <w:pPr>
              <w:tabs>
                <w:tab w:val="center" w:pos="4320"/>
                <w:tab w:val="right" w:pos="8640"/>
              </w:tabs>
              <w:jc w:val="both"/>
              <w:rPr>
                <w:rFonts w:ascii="Arial" w:hAnsi="Arial" w:cs="Arial"/>
                <w:b/>
                <w:bCs/>
                <w:sz w:val="22"/>
                <w:szCs w:val="22"/>
              </w:rPr>
            </w:pPr>
          </w:p>
        </w:tc>
        <w:tc>
          <w:tcPr>
            <w:tcW w:w="189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MW</w:t>
            </w:r>
          </w:p>
        </w:tc>
        <w:tc>
          <w:tcPr>
            <w:tcW w:w="180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 of Total MW</w:t>
            </w:r>
          </w:p>
        </w:tc>
        <w:tc>
          <w:tcPr>
            <w:tcW w:w="180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Total Energy (</w:t>
            </w:r>
            <w:proofErr w:type="spellStart"/>
            <w:r w:rsidRPr="00E94015">
              <w:rPr>
                <w:rFonts w:ascii="Arial" w:hAnsi="Arial" w:cs="Arial"/>
                <w:b/>
                <w:bCs/>
                <w:sz w:val="22"/>
                <w:szCs w:val="22"/>
              </w:rPr>
              <w:t>GWh</w:t>
            </w:r>
            <w:proofErr w:type="spellEnd"/>
            <w:r w:rsidRPr="00E94015">
              <w:rPr>
                <w:rFonts w:ascii="Arial" w:hAnsi="Arial" w:cs="Arial"/>
                <w:b/>
                <w:bCs/>
                <w:sz w:val="22"/>
                <w:szCs w:val="22"/>
              </w:rPr>
              <w:t>/ Year)</w:t>
            </w:r>
          </w:p>
        </w:tc>
        <w:tc>
          <w:tcPr>
            <w:tcW w:w="1800" w:type="dxa"/>
            <w:vAlign w:val="center"/>
          </w:tcPr>
          <w:p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 of Total Energy</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Air Conditioning</w:t>
            </w:r>
          </w:p>
        </w:tc>
        <w:tc>
          <w:tcPr>
            <w:tcW w:w="1890" w:type="dxa"/>
            <w:vAlign w:val="bottom"/>
          </w:tcPr>
          <w:p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41DF">
              <w:rPr>
                <w:rFonts w:ascii="Arial" w:hAnsi="Arial" w:cs="Arial"/>
                <w:sz w:val="22"/>
                <w:szCs w:val="22"/>
              </w:rPr>
              <w:t>12,660</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5</w:t>
            </w:r>
            <w:r w:rsidR="00C341DF">
              <w:rPr>
                <w:rFonts w:ascii="Arial" w:hAnsi="Arial" w:cs="Arial"/>
                <w:color w:val="000000"/>
                <w:sz w:val="22"/>
                <w:szCs w:val="22"/>
              </w:rPr>
              <w:t>0</w:t>
            </w:r>
            <w:r w:rsidRPr="00E94015">
              <w:rPr>
                <w:rFonts w:ascii="Arial" w:hAnsi="Arial" w:cs="Arial"/>
                <w:color w:val="000000"/>
                <w:sz w:val="22"/>
                <w:szCs w:val="22"/>
              </w:rPr>
              <w:t>%</w:t>
            </w:r>
          </w:p>
        </w:tc>
        <w:tc>
          <w:tcPr>
            <w:tcW w:w="1800" w:type="dxa"/>
            <w:vAlign w:val="bottom"/>
          </w:tcPr>
          <w:p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41DF">
              <w:rPr>
                <w:rFonts w:ascii="Arial" w:hAnsi="Arial" w:cs="Arial"/>
                <w:sz w:val="22"/>
                <w:szCs w:val="22"/>
              </w:rPr>
              <w:t>7,252</w:t>
            </w:r>
            <w:r w:rsidRPr="00E94015">
              <w:rPr>
                <w:rFonts w:ascii="Arial" w:hAnsi="Arial" w:cs="Arial"/>
                <w:sz w:val="22"/>
                <w:szCs w:val="22"/>
              </w:rPr>
              <w:t xml:space="preserve"> </w:t>
            </w:r>
          </w:p>
        </w:tc>
        <w:tc>
          <w:tcPr>
            <w:tcW w:w="1800" w:type="dxa"/>
          </w:tcPr>
          <w:p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8</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Cooking</w:t>
            </w:r>
          </w:p>
        </w:tc>
        <w:tc>
          <w:tcPr>
            <w:tcW w:w="1890" w:type="dxa"/>
            <w:vAlign w:val="bottom"/>
          </w:tcPr>
          <w:p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1,</w:t>
            </w:r>
            <w:r w:rsidR="00C341DF">
              <w:rPr>
                <w:rFonts w:ascii="Arial" w:hAnsi="Arial" w:cs="Arial"/>
                <w:sz w:val="22"/>
                <w:szCs w:val="22"/>
              </w:rPr>
              <w:t>098</w:t>
            </w:r>
            <w:r w:rsidRPr="00E94015">
              <w:rPr>
                <w:rFonts w:ascii="Arial" w:hAnsi="Arial" w:cs="Arial"/>
                <w:sz w:val="22"/>
                <w:szCs w:val="22"/>
              </w:rPr>
              <w:t xml:space="preserve"> </w:t>
            </w:r>
          </w:p>
        </w:tc>
        <w:tc>
          <w:tcPr>
            <w:tcW w:w="1800" w:type="dxa"/>
          </w:tcPr>
          <w:p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4</w:t>
            </w:r>
            <w:r w:rsidR="00E94015" w:rsidRPr="00E94015">
              <w:rPr>
                <w:rFonts w:ascii="Arial" w:hAnsi="Arial" w:cs="Arial"/>
                <w:color w:val="000000"/>
                <w:sz w:val="22"/>
                <w:szCs w:val="22"/>
              </w:rPr>
              <w:t>%</w:t>
            </w:r>
          </w:p>
        </w:tc>
        <w:tc>
          <w:tcPr>
            <w:tcW w:w="1800" w:type="dxa"/>
            <w:vAlign w:val="bottom"/>
          </w:tcPr>
          <w:p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41DF">
              <w:rPr>
                <w:rFonts w:ascii="Arial" w:hAnsi="Arial" w:cs="Arial"/>
                <w:sz w:val="22"/>
                <w:szCs w:val="22"/>
              </w:rPr>
              <w:t>2,888</w:t>
            </w:r>
            <w:r w:rsidRPr="00E94015">
              <w:rPr>
                <w:rFonts w:ascii="Arial" w:hAnsi="Arial" w:cs="Arial"/>
                <w:sz w:val="22"/>
                <w:szCs w:val="22"/>
              </w:rPr>
              <w:t xml:space="preserve"> </w:t>
            </w:r>
          </w:p>
        </w:tc>
        <w:tc>
          <w:tcPr>
            <w:tcW w:w="1800" w:type="dxa"/>
          </w:tcPr>
          <w:p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Dishwashers</w:t>
            </w:r>
          </w:p>
        </w:tc>
        <w:tc>
          <w:tcPr>
            <w:tcW w:w="1890" w:type="dxa"/>
            <w:vAlign w:val="bottom"/>
          </w:tcPr>
          <w:p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5</w:t>
            </w:r>
            <w:r w:rsidR="00C341DF">
              <w:rPr>
                <w:rFonts w:ascii="Arial" w:hAnsi="Arial" w:cs="Arial"/>
                <w:sz w:val="22"/>
                <w:szCs w:val="22"/>
              </w:rPr>
              <w:t>02</w:t>
            </w:r>
            <w:r w:rsidRPr="00E94015">
              <w:rPr>
                <w:rFonts w:ascii="Arial" w:hAnsi="Arial" w:cs="Arial"/>
                <w:sz w:val="22"/>
                <w:szCs w:val="22"/>
              </w:rPr>
              <w:t xml:space="preserve"> </w:t>
            </w:r>
          </w:p>
        </w:tc>
        <w:tc>
          <w:tcPr>
            <w:tcW w:w="1800" w:type="dxa"/>
          </w:tcPr>
          <w:p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2</w:t>
            </w:r>
            <w:r w:rsidR="00E94015" w:rsidRPr="00E94015">
              <w:rPr>
                <w:rFonts w:ascii="Arial" w:hAnsi="Arial" w:cs="Arial"/>
                <w:color w:val="000000"/>
                <w:sz w:val="22"/>
                <w:szCs w:val="22"/>
              </w:rPr>
              <w:t>%</w:t>
            </w:r>
          </w:p>
        </w:tc>
        <w:tc>
          <w:tcPr>
            <w:tcW w:w="1800" w:type="dxa"/>
            <w:vAlign w:val="bottom"/>
          </w:tcPr>
          <w:p w:rsidR="00E94015" w:rsidRPr="00E94015" w:rsidRDefault="00C341DF" w:rsidP="00C341DF">
            <w:pPr>
              <w:tabs>
                <w:tab w:val="center" w:pos="4320"/>
                <w:tab w:val="right" w:pos="8640"/>
              </w:tabs>
              <w:jc w:val="both"/>
              <w:rPr>
                <w:rFonts w:ascii="Arial" w:hAnsi="Arial" w:cs="Arial"/>
                <w:b/>
                <w:sz w:val="22"/>
                <w:szCs w:val="22"/>
              </w:rPr>
            </w:pPr>
            <w:r>
              <w:rPr>
                <w:rFonts w:ascii="Arial" w:hAnsi="Arial" w:cs="Arial"/>
                <w:sz w:val="22"/>
                <w:szCs w:val="22"/>
              </w:rPr>
              <w:t xml:space="preserve">             2</w:t>
            </w:r>
            <w:r w:rsidR="00E94015" w:rsidRPr="00E94015">
              <w:rPr>
                <w:rFonts w:ascii="Arial" w:hAnsi="Arial" w:cs="Arial"/>
                <w:sz w:val="22"/>
                <w:szCs w:val="22"/>
              </w:rPr>
              <w:t>,</w:t>
            </w:r>
            <w:r>
              <w:rPr>
                <w:rFonts w:ascii="Arial" w:hAnsi="Arial" w:cs="Arial"/>
                <w:sz w:val="22"/>
                <w:szCs w:val="22"/>
              </w:rPr>
              <w:t>805</w:t>
            </w:r>
          </w:p>
        </w:tc>
        <w:tc>
          <w:tcPr>
            <w:tcW w:w="1800" w:type="dxa"/>
          </w:tcPr>
          <w:p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C341DF">
            <w:pPr>
              <w:tabs>
                <w:tab w:val="center" w:pos="4320"/>
                <w:tab w:val="right" w:pos="8640"/>
              </w:tabs>
              <w:rPr>
                <w:rFonts w:ascii="Arial" w:hAnsi="Arial" w:cs="Arial"/>
                <w:b/>
                <w:sz w:val="22"/>
                <w:szCs w:val="22"/>
              </w:rPr>
            </w:pPr>
            <w:r w:rsidRPr="00E94015">
              <w:rPr>
                <w:rFonts w:ascii="Arial" w:hAnsi="Arial" w:cs="Arial"/>
                <w:sz w:val="22"/>
                <w:szCs w:val="22"/>
              </w:rPr>
              <w:t>Domestic Hot Water</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246</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vAlign w:val="bottom"/>
          </w:tcPr>
          <w:p w:rsidR="00E94015" w:rsidRPr="00E94015" w:rsidRDefault="00C359A9" w:rsidP="00C359A9">
            <w:pPr>
              <w:tabs>
                <w:tab w:val="center" w:pos="4320"/>
                <w:tab w:val="right" w:pos="8640"/>
              </w:tabs>
              <w:jc w:val="both"/>
              <w:rPr>
                <w:rFonts w:ascii="Arial" w:hAnsi="Arial" w:cs="Arial"/>
                <w:b/>
                <w:sz w:val="22"/>
                <w:szCs w:val="22"/>
              </w:rPr>
            </w:pPr>
            <w:r>
              <w:rPr>
                <w:rFonts w:ascii="Arial" w:hAnsi="Arial" w:cs="Arial"/>
                <w:sz w:val="22"/>
                <w:szCs w:val="22"/>
              </w:rPr>
              <w:t xml:space="preserve">             1</w:t>
            </w:r>
            <w:r w:rsidR="00E94015" w:rsidRPr="00E94015">
              <w:rPr>
                <w:rFonts w:ascii="Arial" w:hAnsi="Arial" w:cs="Arial"/>
                <w:sz w:val="22"/>
                <w:szCs w:val="22"/>
              </w:rPr>
              <w:t>,</w:t>
            </w:r>
            <w:r>
              <w:rPr>
                <w:rFonts w:ascii="Arial" w:hAnsi="Arial" w:cs="Arial"/>
                <w:sz w:val="22"/>
                <w:szCs w:val="22"/>
              </w:rPr>
              <w:t>691</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2%</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Dryers</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D90F85">
              <w:rPr>
                <w:rFonts w:ascii="Arial" w:hAnsi="Arial" w:cs="Arial"/>
                <w:sz w:val="22"/>
                <w:szCs w:val="22"/>
              </w:rPr>
              <w:t xml:space="preserve">  </w:t>
            </w:r>
            <w:r w:rsidR="00C359A9">
              <w:rPr>
                <w:rFonts w:ascii="Arial" w:hAnsi="Arial" w:cs="Arial"/>
                <w:sz w:val="22"/>
                <w:szCs w:val="22"/>
              </w:rPr>
              <w:t>805</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4</w:t>
            </w:r>
            <w:r w:rsidRPr="00E94015">
              <w:rPr>
                <w:rFonts w:ascii="Arial" w:hAnsi="Arial" w:cs="Arial"/>
                <w:sz w:val="22"/>
                <w:szCs w:val="22"/>
              </w:rPr>
              <w:t>,</w:t>
            </w:r>
            <w:r w:rsidR="00C359A9">
              <w:rPr>
                <w:rFonts w:ascii="Arial" w:hAnsi="Arial" w:cs="Arial"/>
                <w:sz w:val="22"/>
                <w:szCs w:val="22"/>
              </w:rPr>
              <w:t>49</w:t>
            </w:r>
            <w:r w:rsidRPr="00E94015">
              <w:rPr>
                <w:rFonts w:ascii="Arial" w:hAnsi="Arial" w:cs="Arial"/>
                <w:sz w:val="22"/>
                <w:szCs w:val="22"/>
              </w:rPr>
              <w:t xml:space="preserve">7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5</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Freezers</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352</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2,</w:t>
            </w:r>
            <w:r w:rsidR="00C359A9">
              <w:rPr>
                <w:rFonts w:ascii="Arial" w:hAnsi="Arial" w:cs="Arial"/>
                <w:sz w:val="22"/>
                <w:szCs w:val="22"/>
              </w:rPr>
              <w:t>251</w:t>
            </w:r>
            <w:r w:rsidRPr="00E94015">
              <w:rPr>
                <w:rFonts w:ascii="Arial" w:hAnsi="Arial" w:cs="Arial"/>
                <w:sz w:val="22"/>
                <w:szCs w:val="22"/>
              </w:rPr>
              <w:t xml:space="preserve">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2%</w:t>
            </w:r>
          </w:p>
        </w:tc>
      </w:tr>
      <w:tr w:rsidR="00E94015" w:rsidRPr="00E94015" w:rsidTr="00585491">
        <w:tc>
          <w:tcPr>
            <w:tcW w:w="2070" w:type="dxa"/>
            <w:vAlign w:val="bottom"/>
          </w:tcPr>
          <w:p w:rsidR="00E94015" w:rsidRPr="00E94015" w:rsidRDefault="00E94015" w:rsidP="00585491">
            <w:pPr>
              <w:tabs>
                <w:tab w:val="center" w:pos="4320"/>
                <w:tab w:val="right" w:pos="8640"/>
              </w:tabs>
              <w:rPr>
                <w:rFonts w:ascii="Arial" w:hAnsi="Arial" w:cs="Arial"/>
                <w:b/>
                <w:sz w:val="22"/>
                <w:szCs w:val="22"/>
              </w:rPr>
            </w:pPr>
            <w:r w:rsidRPr="00E94015">
              <w:rPr>
                <w:rFonts w:ascii="Arial" w:hAnsi="Arial" w:cs="Arial"/>
                <w:sz w:val="22"/>
                <w:szCs w:val="22"/>
              </w:rPr>
              <w:t>Misc (includes lighting)</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4,955</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20</w:t>
            </w:r>
            <w:r w:rsidR="00E94015" w:rsidRPr="00E94015">
              <w:rPr>
                <w:rFonts w:ascii="Arial" w:hAnsi="Arial" w:cs="Arial"/>
                <w:color w:val="000000"/>
                <w:sz w:val="22"/>
                <w:szCs w:val="22"/>
              </w:rPr>
              <w:t>%</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36,901</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41</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Pools &amp; Spas</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1,151</w:t>
            </w:r>
            <w:r w:rsidRPr="00E94015">
              <w:rPr>
                <w:rFonts w:ascii="Arial" w:hAnsi="Arial" w:cs="Arial"/>
                <w:sz w:val="22"/>
                <w:szCs w:val="22"/>
              </w:rPr>
              <w:t xml:space="preserve">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5%</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5,415</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6%</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Refrigerators</w:t>
            </w:r>
          </w:p>
        </w:tc>
        <w:tc>
          <w:tcPr>
            <w:tcW w:w="1890" w:type="dxa"/>
            <w:vAlign w:val="bottom"/>
          </w:tcPr>
          <w:p w:rsidR="00E94015" w:rsidRPr="00E94015" w:rsidRDefault="00C359A9" w:rsidP="00C359A9">
            <w:pPr>
              <w:tabs>
                <w:tab w:val="center" w:pos="4320"/>
                <w:tab w:val="right" w:pos="8640"/>
              </w:tabs>
              <w:jc w:val="both"/>
              <w:rPr>
                <w:rFonts w:ascii="Arial" w:hAnsi="Arial" w:cs="Arial"/>
                <w:b/>
                <w:sz w:val="22"/>
                <w:szCs w:val="22"/>
              </w:rPr>
            </w:pPr>
            <w:r>
              <w:rPr>
                <w:rFonts w:ascii="Arial" w:hAnsi="Arial" w:cs="Arial"/>
                <w:sz w:val="22"/>
                <w:szCs w:val="22"/>
              </w:rPr>
              <w:t xml:space="preserve">             2,214</w:t>
            </w:r>
            <w:r w:rsidR="00E94015" w:rsidRPr="00E94015">
              <w:rPr>
                <w:rFonts w:ascii="Arial" w:hAnsi="Arial" w:cs="Arial"/>
                <w:sz w:val="22"/>
                <w:szCs w:val="22"/>
              </w:rPr>
              <w:t xml:space="preserve">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9%</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15,218</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17</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Space Heating</w:t>
            </w:r>
          </w:p>
        </w:tc>
        <w:tc>
          <w:tcPr>
            <w:tcW w:w="189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 xml:space="preserve">                  -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0%</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3,662</w:t>
            </w:r>
            <w:r w:rsidRPr="00E94015">
              <w:rPr>
                <w:rFonts w:ascii="Arial" w:hAnsi="Arial" w:cs="Arial"/>
                <w:sz w:val="22"/>
                <w:szCs w:val="22"/>
              </w:rPr>
              <w:t xml:space="preserve">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4%</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TVs</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1,004</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4</w:t>
            </w:r>
            <w:r w:rsidR="00E94015" w:rsidRPr="00E94015">
              <w:rPr>
                <w:rFonts w:ascii="Arial" w:hAnsi="Arial" w:cs="Arial"/>
                <w:color w:val="000000"/>
                <w:sz w:val="22"/>
                <w:szCs w:val="22"/>
              </w:rPr>
              <w:t>%</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6,409</w:t>
            </w:r>
            <w:r w:rsidRPr="00E94015">
              <w:rPr>
                <w:rFonts w:ascii="Arial" w:hAnsi="Arial" w:cs="Arial"/>
                <w:sz w:val="22"/>
                <w:szCs w:val="22"/>
              </w:rPr>
              <w:t xml:space="preserve">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7%</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Washers</w:t>
            </w:r>
          </w:p>
        </w:tc>
        <w:tc>
          <w:tcPr>
            <w:tcW w:w="189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279</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1,658</w:t>
            </w:r>
            <w:r w:rsidRPr="00E94015">
              <w:rPr>
                <w:rFonts w:ascii="Arial" w:hAnsi="Arial" w:cs="Arial"/>
                <w:sz w:val="22"/>
                <w:szCs w:val="22"/>
              </w:rPr>
              <w:t xml:space="preserve">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2</w:t>
            </w:r>
            <w:r w:rsidR="00E94015" w:rsidRPr="00E94015">
              <w:rPr>
                <w:rFonts w:ascii="Arial" w:hAnsi="Arial" w:cs="Arial"/>
                <w:color w:val="000000"/>
                <w:sz w:val="22"/>
                <w:szCs w:val="22"/>
              </w:rPr>
              <w:t>%</w:t>
            </w:r>
          </w:p>
        </w:tc>
      </w:tr>
      <w:tr w:rsidR="00E94015" w:rsidRPr="00E94015" w:rsidTr="00585491">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Waterbeds</w:t>
            </w:r>
          </w:p>
        </w:tc>
        <w:tc>
          <w:tcPr>
            <w:tcW w:w="1890" w:type="dxa"/>
            <w:vAlign w:val="bottom"/>
          </w:tcPr>
          <w:p w:rsidR="00E94015" w:rsidRPr="00E94015" w:rsidRDefault="00C359A9" w:rsidP="00585491">
            <w:pPr>
              <w:tabs>
                <w:tab w:val="center" w:pos="4320"/>
                <w:tab w:val="right" w:pos="8640"/>
              </w:tabs>
              <w:jc w:val="both"/>
              <w:rPr>
                <w:rFonts w:ascii="Arial" w:hAnsi="Arial" w:cs="Arial"/>
                <w:b/>
                <w:sz w:val="22"/>
                <w:szCs w:val="22"/>
              </w:rPr>
            </w:pPr>
            <w:r w:rsidRPr="00E94015">
              <w:rPr>
                <w:rFonts w:ascii="Arial" w:hAnsi="Arial" w:cs="Arial"/>
                <w:sz w:val="22"/>
                <w:szCs w:val="22"/>
              </w:rPr>
              <w:t xml:space="preserve">                  -   </w:t>
            </w:r>
          </w:p>
        </w:tc>
        <w:tc>
          <w:tcPr>
            <w:tcW w:w="1800" w:type="dxa"/>
          </w:tcPr>
          <w:p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0</w:t>
            </w:r>
            <w:r w:rsidR="00E94015" w:rsidRPr="00E94015">
              <w:rPr>
                <w:rFonts w:ascii="Arial" w:hAnsi="Arial" w:cs="Arial"/>
                <w:color w:val="000000"/>
                <w:sz w:val="22"/>
                <w:szCs w:val="22"/>
              </w:rPr>
              <w:t>%</w:t>
            </w:r>
          </w:p>
        </w:tc>
        <w:tc>
          <w:tcPr>
            <w:tcW w:w="1800" w:type="dxa"/>
            <w:vAlign w:val="bottom"/>
          </w:tcPr>
          <w:p w:rsidR="00E94015" w:rsidRPr="00E94015" w:rsidRDefault="00C359A9" w:rsidP="00585491">
            <w:pPr>
              <w:tabs>
                <w:tab w:val="center" w:pos="4320"/>
                <w:tab w:val="right" w:pos="8640"/>
              </w:tabs>
              <w:jc w:val="both"/>
              <w:rPr>
                <w:rFonts w:ascii="Arial" w:hAnsi="Arial" w:cs="Arial"/>
                <w:b/>
                <w:sz w:val="22"/>
                <w:szCs w:val="22"/>
              </w:rPr>
            </w:pPr>
            <w:r w:rsidRPr="00E94015">
              <w:rPr>
                <w:rFonts w:ascii="Arial" w:hAnsi="Arial" w:cs="Arial"/>
                <w:sz w:val="22"/>
                <w:szCs w:val="22"/>
              </w:rPr>
              <w:t xml:space="preserve">                  -   </w:t>
            </w:r>
          </w:p>
        </w:tc>
        <w:tc>
          <w:tcPr>
            <w:tcW w:w="1800" w:type="dxa"/>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0%</w:t>
            </w:r>
          </w:p>
        </w:tc>
      </w:tr>
      <w:tr w:rsidR="00E94015" w:rsidRPr="00E94015" w:rsidTr="00C359A9">
        <w:trPr>
          <w:trHeight w:val="152"/>
        </w:trPr>
        <w:tc>
          <w:tcPr>
            <w:tcW w:w="207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Total</w:t>
            </w:r>
          </w:p>
        </w:tc>
        <w:tc>
          <w:tcPr>
            <w:tcW w:w="1890" w:type="dxa"/>
            <w:vAlign w:val="bottom"/>
          </w:tcPr>
          <w:p w:rsidR="00E94015" w:rsidRPr="00E94015" w:rsidRDefault="00C359A9" w:rsidP="00C359A9">
            <w:pPr>
              <w:tabs>
                <w:tab w:val="center" w:pos="4320"/>
                <w:tab w:val="right" w:pos="8640"/>
              </w:tabs>
              <w:jc w:val="both"/>
              <w:rPr>
                <w:rFonts w:ascii="Arial" w:hAnsi="Arial" w:cs="Arial"/>
                <w:b/>
                <w:sz w:val="22"/>
                <w:szCs w:val="22"/>
              </w:rPr>
            </w:pPr>
            <w:r>
              <w:rPr>
                <w:rFonts w:ascii="Arial" w:hAnsi="Arial" w:cs="Arial"/>
                <w:b/>
                <w:sz w:val="22"/>
                <w:szCs w:val="22"/>
              </w:rPr>
              <w:t xml:space="preserve">           25,266</w:t>
            </w:r>
            <w:r w:rsidR="00E94015" w:rsidRPr="00E94015">
              <w:rPr>
                <w:rFonts w:ascii="Arial" w:hAnsi="Arial" w:cs="Arial"/>
                <w:b/>
                <w:sz w:val="22"/>
                <w:szCs w:val="22"/>
              </w:rPr>
              <w:t xml:space="preserve"> </w:t>
            </w:r>
          </w:p>
        </w:tc>
        <w:tc>
          <w:tcPr>
            <w:tcW w:w="180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100%</w:t>
            </w:r>
          </w:p>
        </w:tc>
        <w:tc>
          <w:tcPr>
            <w:tcW w:w="1800" w:type="dxa"/>
            <w:vAlign w:val="bottom"/>
          </w:tcPr>
          <w:p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b/>
                <w:sz w:val="22"/>
                <w:szCs w:val="22"/>
              </w:rPr>
              <w:t xml:space="preserve">           </w:t>
            </w:r>
            <w:r w:rsidR="00C359A9">
              <w:rPr>
                <w:rFonts w:ascii="Arial" w:hAnsi="Arial" w:cs="Arial"/>
                <w:b/>
                <w:sz w:val="22"/>
                <w:szCs w:val="22"/>
              </w:rPr>
              <w:t>90,647</w:t>
            </w:r>
            <w:r w:rsidRPr="00E94015">
              <w:rPr>
                <w:rFonts w:ascii="Arial" w:hAnsi="Arial" w:cs="Arial"/>
                <w:b/>
                <w:sz w:val="22"/>
                <w:szCs w:val="22"/>
              </w:rPr>
              <w:t xml:space="preserve"> </w:t>
            </w:r>
          </w:p>
        </w:tc>
        <w:tc>
          <w:tcPr>
            <w:tcW w:w="1800" w:type="dxa"/>
            <w:vAlign w:val="bottom"/>
          </w:tcPr>
          <w:p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100%</w:t>
            </w:r>
          </w:p>
        </w:tc>
      </w:tr>
    </w:tbl>
    <w:p w:rsidR="00E94015" w:rsidRPr="00E94015" w:rsidRDefault="00E94015" w:rsidP="00E94015">
      <w:pPr>
        <w:jc w:val="both"/>
        <w:rPr>
          <w:rFonts w:ascii="Arial" w:hAnsi="Arial" w:cs="Arial"/>
          <w:b/>
          <w:sz w:val="22"/>
          <w:szCs w:val="22"/>
        </w:rPr>
      </w:pPr>
    </w:p>
    <w:p w:rsidR="00E94015" w:rsidRPr="00E94015" w:rsidRDefault="00E94015" w:rsidP="00E94015">
      <w:pPr>
        <w:jc w:val="both"/>
        <w:rPr>
          <w:rFonts w:ascii="Arial" w:hAnsi="Arial" w:cs="Arial"/>
          <w:sz w:val="22"/>
          <w:szCs w:val="22"/>
        </w:rPr>
      </w:pPr>
      <w:r w:rsidRPr="00E94015">
        <w:rPr>
          <w:rFonts w:ascii="Arial" w:hAnsi="Arial" w:cs="Arial"/>
          <w:sz w:val="22"/>
          <w:szCs w:val="22"/>
        </w:rPr>
        <w:t>*Peak demand numbers are estimates based on load factor.</w:t>
      </w:r>
    </w:p>
    <w:p w:rsidR="00E94015" w:rsidRPr="00E94015" w:rsidRDefault="00E94015" w:rsidP="00E94015">
      <w:pPr>
        <w:jc w:val="both"/>
        <w:rPr>
          <w:rFonts w:ascii="Arial" w:hAnsi="Arial" w:cs="Arial"/>
          <w:b/>
          <w:sz w:val="22"/>
          <w:szCs w:val="22"/>
        </w:rPr>
      </w:pPr>
    </w:p>
    <w:p w:rsidR="00E94015" w:rsidRPr="00E94015" w:rsidRDefault="00E94015" w:rsidP="00E94015">
      <w:pPr>
        <w:jc w:val="both"/>
        <w:rPr>
          <w:rFonts w:ascii="Arial" w:hAnsi="Arial" w:cs="Arial"/>
          <w:sz w:val="22"/>
          <w:szCs w:val="22"/>
        </w:rPr>
      </w:pPr>
    </w:p>
    <w:p w:rsidR="00E94015" w:rsidRPr="00E94015" w:rsidRDefault="00E94015" w:rsidP="00E94015">
      <w:pPr>
        <w:jc w:val="both"/>
        <w:rPr>
          <w:rFonts w:ascii="Arial" w:hAnsi="Arial" w:cs="Arial"/>
          <w:sz w:val="22"/>
          <w:szCs w:val="22"/>
        </w:rPr>
      </w:pPr>
    </w:p>
    <w:p w:rsidR="00E94015" w:rsidRPr="00E94015" w:rsidRDefault="00E94015" w:rsidP="00E94015">
      <w:pPr>
        <w:jc w:val="both"/>
        <w:rPr>
          <w:rFonts w:ascii="Arial" w:hAnsi="Arial" w:cs="Arial"/>
          <w:sz w:val="22"/>
          <w:szCs w:val="22"/>
        </w:rPr>
      </w:pPr>
      <w:bookmarkStart w:id="2" w:name="_Toc366671228"/>
      <w:bookmarkEnd w:id="1"/>
      <w:r w:rsidRPr="00E94015">
        <w:rPr>
          <w:rFonts w:ascii="Arial" w:hAnsi="Arial" w:cs="Arial"/>
          <w:b/>
          <w:sz w:val="22"/>
          <w:szCs w:val="22"/>
        </w:rPr>
        <w:lastRenderedPageBreak/>
        <w:t>Table 2: Residential Gas Consumption by End-Use</w:t>
      </w:r>
      <w:bookmarkEnd w:id="2"/>
    </w:p>
    <w:tbl>
      <w:tblPr>
        <w:tblpPr w:leftFromText="180" w:rightFromText="180" w:vertAnchor="text" w:horzAnchor="margin" w:tblpXSpec="center" w:tblpY="76"/>
        <w:tblW w:w="9198" w:type="dxa"/>
        <w:tblLook w:val="0000" w:firstRow="0" w:lastRow="0" w:firstColumn="0" w:lastColumn="0" w:noHBand="0" w:noVBand="0"/>
      </w:tblPr>
      <w:tblGrid>
        <w:gridCol w:w="3258"/>
        <w:gridCol w:w="2970"/>
        <w:gridCol w:w="2970"/>
      </w:tblGrid>
      <w:tr w:rsidR="00E94015" w:rsidRPr="00E94015" w:rsidTr="00585491">
        <w:trPr>
          <w:cantSplit/>
          <w:trHeight w:val="288"/>
        </w:trPr>
        <w:tc>
          <w:tcPr>
            <w:tcW w:w="3258" w:type="dxa"/>
            <w:tcBorders>
              <w:top w:val="single" w:sz="8" w:space="0" w:color="auto"/>
              <w:left w:val="single" w:sz="8" w:space="0" w:color="auto"/>
              <w:bottom w:val="single" w:sz="8" w:space="0" w:color="auto"/>
              <w:right w:val="single" w:sz="8" w:space="0" w:color="auto"/>
            </w:tcBorders>
            <w:shd w:val="clear" w:color="auto" w:fill="BFBFBF"/>
          </w:tcPr>
          <w:p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End Use</w:t>
            </w:r>
          </w:p>
        </w:tc>
        <w:tc>
          <w:tcPr>
            <w:tcW w:w="2970" w:type="dxa"/>
            <w:tcBorders>
              <w:top w:val="single" w:sz="8" w:space="0" w:color="auto"/>
              <w:left w:val="nil"/>
              <w:bottom w:val="single" w:sz="8" w:space="0" w:color="auto"/>
              <w:right w:val="single" w:sz="8" w:space="0" w:color="auto"/>
            </w:tcBorders>
            <w:shd w:val="clear" w:color="auto" w:fill="BFBFBF"/>
          </w:tcPr>
          <w:p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 xml:space="preserve">Millions of </w:t>
            </w:r>
            <w:proofErr w:type="spellStart"/>
            <w:r w:rsidRPr="00E94015">
              <w:rPr>
                <w:rFonts w:ascii="Arial" w:hAnsi="Arial" w:cs="Arial"/>
                <w:b/>
                <w:bCs/>
                <w:sz w:val="22"/>
                <w:szCs w:val="22"/>
              </w:rPr>
              <w:t>Therms</w:t>
            </w:r>
            <w:proofErr w:type="spellEnd"/>
            <w:r w:rsidRPr="00E94015">
              <w:rPr>
                <w:rFonts w:ascii="Arial" w:hAnsi="Arial" w:cs="Arial"/>
                <w:b/>
                <w:bCs/>
                <w:sz w:val="22"/>
                <w:szCs w:val="22"/>
              </w:rPr>
              <w:t>/Year</w:t>
            </w:r>
          </w:p>
        </w:tc>
        <w:tc>
          <w:tcPr>
            <w:tcW w:w="2970" w:type="dxa"/>
            <w:tcBorders>
              <w:top w:val="single" w:sz="8" w:space="0" w:color="auto"/>
              <w:left w:val="nil"/>
              <w:bottom w:val="single" w:sz="8" w:space="0" w:color="auto"/>
              <w:right w:val="single" w:sz="8" w:space="0" w:color="auto"/>
            </w:tcBorders>
            <w:shd w:val="clear" w:color="auto" w:fill="BFBFBF"/>
          </w:tcPr>
          <w:p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 of Total</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Air Conditioning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52</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1.0%</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Cooking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304</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5.7%</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Dishwashers (water heating)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368</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6.9%</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Domestic Hot Water</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1,200</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22.5%</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Dryers</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166</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3.1%</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Miscellaneous</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189</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3.5%</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Pools &amp; Spas</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287</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5.4%</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Space Heating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2,228</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41.7%</w:t>
            </w:r>
          </w:p>
        </w:tc>
      </w:tr>
      <w:tr w:rsidR="00E94015" w:rsidRPr="00E94015" w:rsidTr="00585491">
        <w:trPr>
          <w:cantSplit/>
          <w:trHeight w:val="288"/>
        </w:trPr>
        <w:tc>
          <w:tcPr>
            <w:tcW w:w="3258" w:type="dxa"/>
            <w:tcBorders>
              <w:top w:val="single" w:sz="8" w:space="0" w:color="auto"/>
              <w:left w:val="single" w:sz="8" w:space="0" w:color="auto"/>
              <w:bottom w:val="single" w:sz="8" w:space="0" w:color="auto"/>
              <w:right w:val="nil"/>
            </w:tcBorders>
            <w:noWrap/>
          </w:tcPr>
          <w:p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Washers (water heating)</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543</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10.2%</w:t>
            </w:r>
          </w:p>
        </w:tc>
      </w:tr>
      <w:tr w:rsidR="00E94015" w:rsidRPr="00E94015" w:rsidTr="00585491">
        <w:trPr>
          <w:cantSplit/>
          <w:trHeight w:val="259"/>
        </w:trPr>
        <w:tc>
          <w:tcPr>
            <w:tcW w:w="3258" w:type="dxa"/>
            <w:tcBorders>
              <w:top w:val="single" w:sz="8" w:space="0" w:color="auto"/>
              <w:left w:val="single" w:sz="8" w:space="0" w:color="auto"/>
              <w:bottom w:val="single" w:sz="8" w:space="0" w:color="auto"/>
              <w:right w:val="nil"/>
            </w:tcBorders>
            <w:noWrap/>
            <w:vAlign w:val="center"/>
          </w:tcPr>
          <w:p w:rsidR="00E94015" w:rsidRPr="00E94015" w:rsidRDefault="00E94015" w:rsidP="00585491">
            <w:pPr>
              <w:keepLines/>
              <w:widowControl w:val="0"/>
              <w:rPr>
                <w:rFonts w:ascii="Arial" w:hAnsi="Arial" w:cs="Arial"/>
                <w:b/>
                <w:sz w:val="22"/>
                <w:szCs w:val="22"/>
              </w:rPr>
            </w:pPr>
            <w:r w:rsidRPr="00E94015">
              <w:rPr>
                <w:rFonts w:ascii="Arial" w:hAnsi="Arial" w:cs="Arial"/>
                <w:b/>
                <w:sz w:val="22"/>
                <w:szCs w:val="22"/>
              </w:rPr>
              <w:t>Total</w:t>
            </w:r>
          </w:p>
        </w:tc>
        <w:tc>
          <w:tcPr>
            <w:tcW w:w="2970" w:type="dxa"/>
            <w:tcBorders>
              <w:top w:val="single" w:sz="8" w:space="0" w:color="auto"/>
              <w:left w:val="single" w:sz="8" w:space="0" w:color="auto"/>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b/>
                <w:sz w:val="22"/>
                <w:szCs w:val="22"/>
              </w:rPr>
            </w:pPr>
            <w:r w:rsidRPr="00E94015">
              <w:rPr>
                <w:rFonts w:ascii="Arial" w:hAnsi="Arial" w:cs="Arial"/>
                <w:b/>
                <w:sz w:val="22"/>
                <w:szCs w:val="22"/>
              </w:rPr>
              <w:t>5,336</w:t>
            </w:r>
          </w:p>
        </w:tc>
        <w:tc>
          <w:tcPr>
            <w:tcW w:w="2970" w:type="dxa"/>
            <w:tcBorders>
              <w:top w:val="single" w:sz="8" w:space="0" w:color="auto"/>
              <w:left w:val="nil"/>
              <w:bottom w:val="single" w:sz="8" w:space="0" w:color="auto"/>
              <w:right w:val="single" w:sz="8" w:space="0" w:color="auto"/>
            </w:tcBorders>
            <w:noWrap/>
            <w:vAlign w:val="center"/>
          </w:tcPr>
          <w:p w:rsidR="00E94015" w:rsidRPr="00E94015" w:rsidRDefault="00E94015" w:rsidP="00585491">
            <w:pPr>
              <w:keepLines/>
              <w:widowControl w:val="0"/>
              <w:jc w:val="center"/>
              <w:rPr>
                <w:rFonts w:ascii="Arial" w:hAnsi="Arial" w:cs="Arial"/>
                <w:b/>
                <w:sz w:val="22"/>
                <w:szCs w:val="22"/>
              </w:rPr>
            </w:pPr>
            <w:r w:rsidRPr="00E94015">
              <w:rPr>
                <w:rFonts w:ascii="Arial" w:hAnsi="Arial" w:cs="Arial"/>
                <w:b/>
                <w:sz w:val="22"/>
                <w:szCs w:val="22"/>
              </w:rPr>
              <w:t>100%</w:t>
            </w:r>
          </w:p>
        </w:tc>
      </w:tr>
    </w:tbl>
    <w:p w:rsidR="00E94015" w:rsidRPr="00E94015" w:rsidRDefault="00E94015" w:rsidP="00E94015">
      <w:pPr>
        <w:pStyle w:val="BodyText2"/>
        <w:keepLines/>
        <w:widowControl w:val="0"/>
        <w:tabs>
          <w:tab w:val="left" w:pos="9090"/>
        </w:tabs>
        <w:ind w:left="360" w:right="9" w:hanging="360"/>
        <w:rPr>
          <w:rFonts w:ascii="Arial" w:hAnsi="Arial" w:cs="Arial"/>
          <w:sz w:val="22"/>
          <w:szCs w:val="22"/>
        </w:rPr>
      </w:pPr>
    </w:p>
    <w:p w:rsidR="00E94015" w:rsidRPr="00E94015" w:rsidRDefault="00E94015" w:rsidP="00E94015">
      <w:pPr>
        <w:pStyle w:val="BodyText2"/>
        <w:keepLines/>
        <w:widowControl w:val="0"/>
        <w:tabs>
          <w:tab w:val="left" w:pos="9090"/>
        </w:tabs>
        <w:ind w:left="360" w:right="9" w:hanging="360"/>
        <w:rPr>
          <w:rFonts w:ascii="Arial" w:hAnsi="Arial" w:cs="Arial"/>
          <w:sz w:val="22"/>
          <w:szCs w:val="22"/>
        </w:rPr>
      </w:pPr>
      <w:r w:rsidRPr="00E94015">
        <w:rPr>
          <w:rFonts w:ascii="Arial" w:hAnsi="Arial" w:cs="Arial"/>
          <w:sz w:val="22"/>
          <w:szCs w:val="22"/>
        </w:rPr>
        <w:tab/>
      </w:r>
    </w:p>
    <w:p w:rsidR="00E94015" w:rsidRPr="00E94015" w:rsidRDefault="00E94015" w:rsidP="00E94015">
      <w:pPr>
        <w:pStyle w:val="BodyText2"/>
        <w:keepLines/>
        <w:widowControl w:val="0"/>
        <w:numPr>
          <w:ilvl w:val="0"/>
          <w:numId w:val="5"/>
        </w:numPr>
        <w:spacing w:after="120"/>
        <w:jc w:val="both"/>
        <w:rPr>
          <w:rFonts w:ascii="Arial" w:hAnsi="Arial" w:cs="Arial"/>
          <w:b/>
          <w:sz w:val="22"/>
          <w:szCs w:val="22"/>
          <w:u w:val="single"/>
        </w:rPr>
      </w:pPr>
      <w:r w:rsidRPr="00E94015">
        <w:rPr>
          <w:rFonts w:ascii="Arial" w:hAnsi="Arial" w:cs="Arial"/>
          <w:b/>
          <w:sz w:val="22"/>
          <w:szCs w:val="22"/>
          <w:u w:val="single"/>
        </w:rPr>
        <w:t>Commercial End-Use Data</w:t>
      </w:r>
    </w:p>
    <w:p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For commercial buildings, use the energy and peak demand tables found in the Energy Commission’s California Commercial End Use Survey (CEUS) Report (March 2006) located at: </w:t>
      </w:r>
      <w:hyperlink r:id="rId9" w:history="1">
        <w:r w:rsidR="004328D6" w:rsidRPr="00642F77">
          <w:rPr>
            <w:rStyle w:val="Hyperlink"/>
            <w:rFonts w:ascii="Arial" w:hAnsi="Arial" w:cs="Arial"/>
            <w:sz w:val="22"/>
            <w:szCs w:val="22"/>
          </w:rPr>
          <w:t>http://www.energy.ca.gov/2006publications/CEC-400-2006-005/CEC-400-2006-005.PDF</w:t>
        </w:r>
      </w:hyperlink>
      <w:r w:rsidR="004328D6">
        <w:rPr>
          <w:rFonts w:ascii="Arial" w:hAnsi="Arial" w:cs="Arial"/>
          <w:sz w:val="22"/>
          <w:szCs w:val="22"/>
        </w:rPr>
        <w:t>.</w:t>
      </w:r>
      <w:r w:rsidR="004328D6">
        <w:rPr>
          <w:rFonts w:ascii="Arial" w:hAnsi="Arial" w:cs="Arial"/>
          <w:sz w:val="22"/>
          <w:szCs w:val="22"/>
          <w:u w:val="single"/>
        </w:rPr>
        <w:t xml:space="preserve"> </w:t>
      </w:r>
      <w:r w:rsidR="004328D6">
        <w:rPr>
          <w:rFonts w:ascii="Arial" w:hAnsi="Arial" w:cs="Arial"/>
          <w:sz w:val="22"/>
          <w:szCs w:val="22"/>
        </w:rPr>
        <w:t xml:space="preserve"> </w:t>
      </w:r>
      <w:r w:rsidRPr="00E94015">
        <w:rPr>
          <w:rFonts w:ascii="Arial" w:hAnsi="Arial" w:cs="Arial"/>
          <w:sz w:val="22"/>
          <w:szCs w:val="22"/>
        </w:rPr>
        <w:t xml:space="preserve">  Before using this data, refer to Chapter 7 of the CEUS report.  The following are excerpts from the report.</w:t>
      </w:r>
    </w:p>
    <w:p w:rsidR="00A77958" w:rsidRDefault="00A77958" w:rsidP="00E94015">
      <w:pPr>
        <w:pStyle w:val="BodyText2"/>
        <w:keepLines/>
        <w:widowControl w:val="0"/>
        <w:jc w:val="both"/>
        <w:rPr>
          <w:rFonts w:ascii="Arial" w:hAnsi="Arial" w:cs="Arial"/>
          <w:b/>
          <w:sz w:val="22"/>
          <w:szCs w:val="22"/>
        </w:rPr>
      </w:pPr>
    </w:p>
    <w:p w:rsidR="00E94015" w:rsidRPr="00E94015" w:rsidRDefault="00E94015" w:rsidP="00E94015">
      <w:pPr>
        <w:pStyle w:val="BodyText2"/>
        <w:keepLines/>
        <w:widowControl w:val="0"/>
        <w:jc w:val="both"/>
        <w:rPr>
          <w:rFonts w:ascii="Arial" w:hAnsi="Arial" w:cs="Arial"/>
          <w:b/>
          <w:sz w:val="22"/>
          <w:szCs w:val="22"/>
        </w:rPr>
      </w:pPr>
      <w:r w:rsidRPr="00E94015">
        <w:rPr>
          <w:rFonts w:ascii="Arial" w:hAnsi="Arial" w:cs="Arial"/>
          <w:b/>
          <w:sz w:val="22"/>
          <w:szCs w:val="22"/>
        </w:rPr>
        <w:t xml:space="preserve">Table 3:  Overview of Energy Usage in the Statewide Service Area (Table 8-1 in the CEUS Report) </w:t>
      </w:r>
    </w:p>
    <w:p w:rsidR="00E94015" w:rsidRPr="00E94015" w:rsidRDefault="005D53BF" w:rsidP="00E94015">
      <w:pPr>
        <w:pStyle w:val="BodyText2"/>
        <w:keepLines/>
        <w:widowControl w:val="0"/>
        <w:jc w:val="both"/>
        <w:rPr>
          <w:rFonts w:ascii="Arial" w:hAnsi="Arial" w:cs="Arial"/>
          <w:sz w:val="22"/>
          <w:szCs w:val="22"/>
        </w:rPr>
      </w:pPr>
      <w:r>
        <w:rPr>
          <w:rFonts w:ascii="Arial" w:hAnsi="Arial" w:cs="Arial"/>
          <w:b/>
          <w:noProof/>
          <w:sz w:val="22"/>
          <w:szCs w:val="22"/>
        </w:rPr>
        <w:drawing>
          <wp:inline distT="0" distB="0" distL="0" distR="0" wp14:anchorId="1BDADEF6" wp14:editId="36A83D70">
            <wp:extent cx="58388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270" t="7547"/>
                    <a:stretch>
                      <a:fillRect/>
                    </a:stretch>
                  </pic:blipFill>
                  <pic:spPr bwMode="auto">
                    <a:xfrm>
                      <a:off x="0" y="0"/>
                      <a:ext cx="5838825" cy="3219450"/>
                    </a:xfrm>
                    <a:prstGeom prst="rect">
                      <a:avLst/>
                    </a:prstGeom>
                    <a:noFill/>
                    <a:ln w="9525">
                      <a:noFill/>
                      <a:miter lim="800000"/>
                      <a:headEnd/>
                      <a:tailEnd/>
                    </a:ln>
                  </pic:spPr>
                </pic:pic>
              </a:graphicData>
            </a:graphic>
          </wp:inline>
        </w:drawing>
      </w:r>
    </w:p>
    <w:p w:rsidR="00E94015" w:rsidRPr="00E94015" w:rsidRDefault="00E94015" w:rsidP="00E94015">
      <w:pPr>
        <w:pStyle w:val="BodyText2"/>
        <w:keepLines/>
        <w:widowControl w:val="0"/>
        <w:jc w:val="both"/>
        <w:rPr>
          <w:rFonts w:ascii="Arial" w:hAnsi="Arial" w:cs="Arial"/>
          <w:b/>
          <w:sz w:val="22"/>
          <w:szCs w:val="22"/>
        </w:rPr>
      </w:pPr>
    </w:p>
    <w:p w:rsidR="00E94015" w:rsidRPr="00E94015" w:rsidRDefault="00E94015" w:rsidP="00E94015">
      <w:pPr>
        <w:pStyle w:val="BodyText2"/>
        <w:keepLines/>
        <w:widowControl w:val="0"/>
        <w:jc w:val="both"/>
        <w:rPr>
          <w:rFonts w:ascii="Arial" w:hAnsi="Arial" w:cs="Arial"/>
          <w:b/>
          <w:sz w:val="22"/>
          <w:szCs w:val="22"/>
        </w:rPr>
      </w:pPr>
    </w:p>
    <w:p w:rsidR="00E94015" w:rsidRPr="00E94015" w:rsidRDefault="00E94015" w:rsidP="00E94015">
      <w:pPr>
        <w:pStyle w:val="BodyText2"/>
        <w:keepLines/>
        <w:widowControl w:val="0"/>
        <w:jc w:val="both"/>
        <w:rPr>
          <w:rFonts w:ascii="Arial" w:hAnsi="Arial" w:cs="Arial"/>
          <w:b/>
          <w:sz w:val="22"/>
          <w:szCs w:val="22"/>
        </w:rPr>
      </w:pPr>
    </w:p>
    <w:p w:rsidR="00E94015" w:rsidRPr="00E94015" w:rsidRDefault="00E94015" w:rsidP="00E94015">
      <w:pPr>
        <w:pStyle w:val="BodyText2"/>
        <w:keepLines/>
        <w:widowControl w:val="0"/>
        <w:jc w:val="both"/>
        <w:rPr>
          <w:rFonts w:ascii="Arial" w:hAnsi="Arial" w:cs="Arial"/>
          <w:b/>
          <w:sz w:val="22"/>
          <w:szCs w:val="22"/>
        </w:rPr>
      </w:pPr>
      <w:r w:rsidRPr="00E94015">
        <w:rPr>
          <w:rFonts w:ascii="Arial" w:hAnsi="Arial" w:cs="Arial"/>
          <w:b/>
          <w:sz w:val="22"/>
          <w:szCs w:val="22"/>
        </w:rPr>
        <w:t>Table 4:  Electric Usage (</w:t>
      </w:r>
      <w:proofErr w:type="spellStart"/>
      <w:r w:rsidRPr="00E94015">
        <w:rPr>
          <w:rFonts w:ascii="Arial" w:hAnsi="Arial" w:cs="Arial"/>
          <w:b/>
          <w:sz w:val="22"/>
          <w:szCs w:val="22"/>
        </w:rPr>
        <w:t>GWh</w:t>
      </w:r>
      <w:proofErr w:type="spellEnd"/>
      <w:r w:rsidRPr="00E94015">
        <w:rPr>
          <w:rFonts w:ascii="Arial" w:hAnsi="Arial" w:cs="Arial"/>
          <w:b/>
          <w:sz w:val="22"/>
          <w:szCs w:val="22"/>
        </w:rPr>
        <w:t>) by Building Type and End Use (Table 8-2 in the CEUS Report)</w:t>
      </w:r>
    </w:p>
    <w:p w:rsidR="00E94015" w:rsidRPr="00E94015" w:rsidRDefault="005D53BF" w:rsidP="00E94015">
      <w:pPr>
        <w:pStyle w:val="BodyText2"/>
        <w:keepLines/>
        <w:widowControl w:val="0"/>
        <w:ind w:left="90"/>
        <w:jc w:val="both"/>
        <w:rPr>
          <w:rFonts w:ascii="Arial" w:hAnsi="Arial" w:cs="Arial"/>
          <w:sz w:val="22"/>
          <w:szCs w:val="22"/>
        </w:rPr>
      </w:pPr>
      <w:r>
        <w:rPr>
          <w:rFonts w:ascii="Arial" w:hAnsi="Arial" w:cs="Arial"/>
          <w:noProof/>
          <w:sz w:val="22"/>
          <w:szCs w:val="22"/>
        </w:rPr>
        <w:drawing>
          <wp:inline distT="0" distB="0" distL="0" distR="0" wp14:anchorId="6F49C2C2" wp14:editId="7BC17AD8">
            <wp:extent cx="5543550" cy="2419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841" t="6583"/>
                    <a:stretch>
                      <a:fillRect/>
                    </a:stretch>
                  </pic:blipFill>
                  <pic:spPr bwMode="auto">
                    <a:xfrm>
                      <a:off x="0" y="0"/>
                      <a:ext cx="5543550" cy="2419350"/>
                    </a:xfrm>
                    <a:prstGeom prst="rect">
                      <a:avLst/>
                    </a:prstGeom>
                    <a:noFill/>
                    <a:ln w="9525">
                      <a:noFill/>
                      <a:miter lim="800000"/>
                      <a:headEnd/>
                      <a:tailEnd/>
                    </a:ln>
                  </pic:spPr>
                </pic:pic>
              </a:graphicData>
            </a:graphic>
          </wp:inline>
        </w:drawing>
      </w:r>
    </w:p>
    <w:p w:rsidR="00E94015" w:rsidRPr="00E94015" w:rsidRDefault="00E94015" w:rsidP="00E94015">
      <w:pPr>
        <w:pStyle w:val="BodyText2"/>
        <w:keepLines/>
        <w:widowControl w:val="0"/>
        <w:ind w:left="90"/>
        <w:jc w:val="both"/>
        <w:rPr>
          <w:rFonts w:ascii="Arial" w:hAnsi="Arial" w:cs="Arial"/>
          <w:b/>
          <w:bCs/>
          <w:sz w:val="22"/>
          <w:szCs w:val="22"/>
        </w:rPr>
      </w:pPr>
    </w:p>
    <w:p w:rsidR="00E94015" w:rsidRPr="00E94015" w:rsidRDefault="00E94015" w:rsidP="00E94015">
      <w:pPr>
        <w:numPr>
          <w:ilvl w:val="0"/>
          <w:numId w:val="5"/>
        </w:numPr>
        <w:spacing w:after="120"/>
        <w:jc w:val="both"/>
        <w:rPr>
          <w:rFonts w:ascii="Arial" w:hAnsi="Arial" w:cs="Arial"/>
          <w:b/>
          <w:sz w:val="22"/>
          <w:szCs w:val="22"/>
          <w:u w:val="single"/>
        </w:rPr>
      </w:pPr>
      <w:bookmarkStart w:id="3" w:name="_Toc366671229"/>
      <w:r w:rsidRPr="00E94015">
        <w:rPr>
          <w:rFonts w:ascii="Arial" w:hAnsi="Arial" w:cs="Arial"/>
          <w:b/>
          <w:sz w:val="22"/>
          <w:szCs w:val="22"/>
          <w:u w:val="single"/>
        </w:rPr>
        <w:t>Greenhouse Gas Emissions</w:t>
      </w:r>
      <w:bookmarkEnd w:id="3"/>
    </w:p>
    <w:p w:rsidR="00E94015" w:rsidRPr="00E94015" w:rsidRDefault="00E94015" w:rsidP="00A77958">
      <w:pPr>
        <w:pStyle w:val="BodyText2"/>
        <w:keepLines/>
        <w:widowControl w:val="0"/>
        <w:spacing w:after="60"/>
        <w:jc w:val="both"/>
        <w:rPr>
          <w:rFonts w:ascii="Arial" w:hAnsi="Arial" w:cs="Arial"/>
          <w:b/>
          <w:sz w:val="22"/>
          <w:szCs w:val="22"/>
        </w:rPr>
      </w:pPr>
      <w:r w:rsidRPr="00E94015">
        <w:rPr>
          <w:rFonts w:ascii="Arial" w:hAnsi="Arial" w:cs="Arial"/>
          <w:b/>
          <w:bCs/>
          <w:sz w:val="22"/>
          <w:szCs w:val="22"/>
        </w:rPr>
        <w:t>Table 5: Standardized Emission Factors for Electricity and Gas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330"/>
        <w:gridCol w:w="3870"/>
      </w:tblGrid>
      <w:tr w:rsidR="00E94015" w:rsidRPr="00E94015" w:rsidTr="00585491">
        <w:tc>
          <w:tcPr>
            <w:tcW w:w="1800" w:type="dxa"/>
            <w:shd w:val="clear" w:color="auto" w:fill="BFBFBF"/>
            <w:vAlign w:val="bottom"/>
          </w:tcPr>
          <w:p w:rsidR="00E94015" w:rsidRPr="00E94015" w:rsidRDefault="00E94015" w:rsidP="00585491">
            <w:pPr>
              <w:pStyle w:val="BodyText2"/>
              <w:keepLines/>
              <w:widowControl w:val="0"/>
              <w:jc w:val="both"/>
              <w:rPr>
                <w:rFonts w:ascii="Arial" w:eastAsia="MS Mincho" w:hAnsi="Arial" w:cs="Arial"/>
                <w:b/>
                <w:sz w:val="22"/>
                <w:szCs w:val="22"/>
              </w:rPr>
            </w:pPr>
          </w:p>
        </w:tc>
        <w:tc>
          <w:tcPr>
            <w:tcW w:w="3330" w:type="dxa"/>
            <w:shd w:val="clear" w:color="auto" w:fill="BFBFBF"/>
            <w:vAlign w:val="bottom"/>
          </w:tcPr>
          <w:p w:rsidR="00E94015" w:rsidRPr="00E94015" w:rsidRDefault="00E94015" w:rsidP="00585491">
            <w:pPr>
              <w:pStyle w:val="BodyText2"/>
              <w:keepLines/>
              <w:widowControl w:val="0"/>
              <w:rPr>
                <w:rFonts w:ascii="Arial" w:eastAsia="MS Mincho" w:hAnsi="Arial" w:cs="Arial"/>
                <w:b/>
                <w:sz w:val="22"/>
                <w:szCs w:val="22"/>
              </w:rPr>
            </w:pPr>
            <w:r w:rsidRPr="00E94015">
              <w:rPr>
                <w:rFonts w:ascii="Arial" w:eastAsia="MS Mincho" w:hAnsi="Arial" w:cs="Arial"/>
                <w:b/>
                <w:bCs/>
                <w:sz w:val="22"/>
                <w:szCs w:val="22"/>
              </w:rPr>
              <w:t>Emissions Factor (CO2e)</w:t>
            </w:r>
          </w:p>
        </w:tc>
        <w:tc>
          <w:tcPr>
            <w:tcW w:w="3870" w:type="dxa"/>
            <w:shd w:val="clear" w:color="auto" w:fill="BFBFBF"/>
          </w:tcPr>
          <w:p w:rsidR="00E94015" w:rsidRPr="00E94015" w:rsidRDefault="00E9401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Emissions Factor(CO</w:t>
            </w:r>
            <w:r w:rsidRPr="00E94015">
              <w:rPr>
                <w:rFonts w:ascii="Arial" w:eastAsia="MS Mincho" w:hAnsi="Arial" w:cs="Arial"/>
                <w:b/>
                <w:bCs/>
                <w:sz w:val="22"/>
                <w:szCs w:val="22"/>
                <w:vertAlign w:val="subscript"/>
              </w:rPr>
              <w:t>2</w:t>
            </w:r>
            <w:r w:rsidRPr="00E94015">
              <w:rPr>
                <w:rFonts w:ascii="Arial" w:eastAsia="MS Mincho" w:hAnsi="Arial" w:cs="Arial"/>
                <w:b/>
                <w:bCs/>
                <w:sz w:val="22"/>
                <w:szCs w:val="22"/>
              </w:rPr>
              <w:t>e)</w:t>
            </w:r>
          </w:p>
        </w:tc>
      </w:tr>
      <w:tr w:rsidR="00E94015" w:rsidRPr="00E94015" w:rsidTr="00585491">
        <w:tc>
          <w:tcPr>
            <w:tcW w:w="1800" w:type="dxa"/>
            <w:shd w:val="clear" w:color="auto" w:fill="FFFFFF"/>
          </w:tcPr>
          <w:p w:rsidR="00E94015" w:rsidRPr="00E94015" w:rsidRDefault="00E9401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Electricity</w:t>
            </w:r>
            <w:r w:rsidR="00E41CA8">
              <w:rPr>
                <w:rStyle w:val="FootnoteReference"/>
                <w:rFonts w:ascii="Arial" w:eastAsia="MS Mincho" w:hAnsi="Arial" w:cs="Arial"/>
                <w:sz w:val="22"/>
                <w:szCs w:val="22"/>
              </w:rPr>
              <w:footnoteReference w:id="1"/>
            </w:r>
          </w:p>
        </w:tc>
        <w:tc>
          <w:tcPr>
            <w:tcW w:w="3330" w:type="dxa"/>
            <w:shd w:val="clear" w:color="auto" w:fill="FFFFFF"/>
          </w:tcPr>
          <w:p w:rsidR="00E94015" w:rsidRPr="00E94015" w:rsidRDefault="00E41CA8" w:rsidP="00585491">
            <w:pPr>
              <w:autoSpaceDE w:val="0"/>
              <w:autoSpaceDN w:val="0"/>
              <w:adjustRightInd w:val="0"/>
              <w:jc w:val="both"/>
              <w:rPr>
                <w:rFonts w:ascii="Arial" w:eastAsia="MS Mincho" w:hAnsi="Arial" w:cs="Arial"/>
                <w:sz w:val="22"/>
                <w:szCs w:val="22"/>
              </w:rPr>
            </w:pPr>
            <w:r>
              <w:rPr>
                <w:rFonts w:ascii="Arial" w:hAnsi="Arial" w:cs="Arial"/>
                <w:sz w:val="22"/>
                <w:szCs w:val="22"/>
              </w:rPr>
              <w:t>0.588</w:t>
            </w:r>
            <w:r w:rsidR="00E94015" w:rsidRPr="00E94015">
              <w:rPr>
                <w:rFonts w:ascii="Arial" w:hAnsi="Arial" w:cs="Arial"/>
                <w:sz w:val="22"/>
                <w:szCs w:val="22"/>
              </w:rPr>
              <w:t xml:space="preserve"> lbs/kWh saved</w:t>
            </w:r>
          </w:p>
        </w:tc>
        <w:tc>
          <w:tcPr>
            <w:tcW w:w="3870" w:type="dxa"/>
            <w:shd w:val="clear" w:color="auto" w:fill="FFFFFF"/>
          </w:tcPr>
          <w:p w:rsidR="00E94015" w:rsidRPr="00E94015" w:rsidRDefault="00E41CA8" w:rsidP="00585491">
            <w:pPr>
              <w:autoSpaceDE w:val="0"/>
              <w:autoSpaceDN w:val="0"/>
              <w:adjustRightInd w:val="0"/>
              <w:jc w:val="both"/>
              <w:rPr>
                <w:rFonts w:ascii="Arial" w:hAnsi="Arial" w:cs="Arial"/>
                <w:sz w:val="22"/>
                <w:szCs w:val="22"/>
              </w:rPr>
            </w:pPr>
            <w:r>
              <w:rPr>
                <w:rFonts w:ascii="Arial" w:hAnsi="Arial" w:cs="Arial"/>
                <w:sz w:val="22"/>
                <w:szCs w:val="22"/>
              </w:rPr>
              <w:t>0.000283</w:t>
            </w:r>
            <w:r w:rsidR="00E94015" w:rsidRPr="00E94015">
              <w:rPr>
                <w:rFonts w:ascii="Arial" w:hAnsi="Arial" w:cs="Arial"/>
                <w:sz w:val="22"/>
                <w:szCs w:val="22"/>
              </w:rPr>
              <w:t xml:space="preserve"> metric tons/kWh</w:t>
            </w:r>
          </w:p>
        </w:tc>
      </w:tr>
      <w:tr w:rsidR="00E94015" w:rsidRPr="00E94015" w:rsidTr="00585491">
        <w:tc>
          <w:tcPr>
            <w:tcW w:w="1800" w:type="dxa"/>
            <w:shd w:val="clear" w:color="auto" w:fill="FFFFFF"/>
          </w:tcPr>
          <w:p w:rsidR="00E94015" w:rsidRPr="00E94015" w:rsidRDefault="00E9401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Gas</w:t>
            </w:r>
            <w:r w:rsidR="00E41CA8">
              <w:rPr>
                <w:rStyle w:val="FootnoteReference"/>
                <w:rFonts w:ascii="Arial" w:eastAsia="MS Mincho" w:hAnsi="Arial" w:cs="Arial"/>
                <w:sz w:val="22"/>
                <w:szCs w:val="22"/>
              </w:rPr>
              <w:footnoteReference w:id="2"/>
            </w:r>
          </w:p>
        </w:tc>
        <w:tc>
          <w:tcPr>
            <w:tcW w:w="3330" w:type="dxa"/>
            <w:shd w:val="clear" w:color="auto" w:fill="FFFFFF"/>
          </w:tcPr>
          <w:p w:rsidR="00E94015" w:rsidRPr="00E94015" w:rsidRDefault="00E94015" w:rsidP="00585491">
            <w:pPr>
              <w:autoSpaceDE w:val="0"/>
              <w:autoSpaceDN w:val="0"/>
              <w:adjustRightInd w:val="0"/>
              <w:jc w:val="both"/>
              <w:rPr>
                <w:rFonts w:ascii="Arial" w:hAnsi="Arial" w:cs="Arial"/>
                <w:sz w:val="22"/>
                <w:szCs w:val="22"/>
              </w:rPr>
            </w:pPr>
            <w:r w:rsidRPr="00E94015">
              <w:rPr>
                <w:rFonts w:ascii="Arial" w:hAnsi="Arial" w:cs="Arial"/>
                <w:sz w:val="22"/>
                <w:szCs w:val="22"/>
              </w:rPr>
              <w:t xml:space="preserve">11.7 </w:t>
            </w:r>
            <w:proofErr w:type="spellStart"/>
            <w:r w:rsidRPr="00E94015">
              <w:rPr>
                <w:rFonts w:ascii="Arial" w:hAnsi="Arial" w:cs="Arial"/>
                <w:sz w:val="22"/>
                <w:szCs w:val="22"/>
              </w:rPr>
              <w:t>lbs</w:t>
            </w:r>
            <w:proofErr w:type="spellEnd"/>
            <w:r w:rsidRPr="00E94015">
              <w:rPr>
                <w:rFonts w:ascii="Arial" w:hAnsi="Arial" w:cs="Arial"/>
                <w:sz w:val="22"/>
                <w:szCs w:val="22"/>
              </w:rPr>
              <w:t>/</w:t>
            </w:r>
            <w:proofErr w:type="spellStart"/>
            <w:r w:rsidRPr="00E94015">
              <w:rPr>
                <w:rFonts w:ascii="Arial" w:hAnsi="Arial" w:cs="Arial"/>
                <w:sz w:val="22"/>
                <w:szCs w:val="22"/>
              </w:rPr>
              <w:t>therm</w:t>
            </w:r>
            <w:proofErr w:type="spellEnd"/>
            <w:r w:rsidRPr="00E94015">
              <w:rPr>
                <w:rFonts w:ascii="Arial" w:hAnsi="Arial" w:cs="Arial"/>
                <w:sz w:val="22"/>
                <w:szCs w:val="22"/>
              </w:rPr>
              <w:t xml:space="preserve"> saved</w:t>
            </w:r>
          </w:p>
        </w:tc>
        <w:tc>
          <w:tcPr>
            <w:tcW w:w="3870" w:type="dxa"/>
            <w:shd w:val="clear" w:color="auto" w:fill="FFFFFF"/>
          </w:tcPr>
          <w:p w:rsidR="00E94015" w:rsidRPr="00E94015" w:rsidRDefault="00E94015" w:rsidP="00585491">
            <w:pPr>
              <w:autoSpaceDE w:val="0"/>
              <w:autoSpaceDN w:val="0"/>
              <w:adjustRightInd w:val="0"/>
              <w:jc w:val="both"/>
              <w:rPr>
                <w:rFonts w:ascii="Arial" w:hAnsi="Arial" w:cs="Arial"/>
                <w:sz w:val="22"/>
                <w:szCs w:val="22"/>
              </w:rPr>
            </w:pPr>
            <w:r w:rsidRPr="00E94015">
              <w:rPr>
                <w:rFonts w:ascii="Arial" w:hAnsi="Arial" w:cs="Arial"/>
                <w:sz w:val="22"/>
                <w:szCs w:val="22"/>
              </w:rPr>
              <w:t>0.0053 metric tons/</w:t>
            </w:r>
            <w:proofErr w:type="spellStart"/>
            <w:r w:rsidRPr="00E94015">
              <w:rPr>
                <w:rFonts w:ascii="Arial" w:hAnsi="Arial" w:cs="Arial"/>
                <w:sz w:val="22"/>
                <w:szCs w:val="22"/>
              </w:rPr>
              <w:t>therm</w:t>
            </w:r>
            <w:proofErr w:type="spellEnd"/>
          </w:p>
        </w:tc>
      </w:tr>
    </w:tbl>
    <w:p w:rsidR="00E94015" w:rsidRPr="00E94015" w:rsidRDefault="00E94015" w:rsidP="00E94015">
      <w:pPr>
        <w:pStyle w:val="BodyText2"/>
        <w:keepLines/>
        <w:widowControl w:val="0"/>
        <w:tabs>
          <w:tab w:val="left" w:pos="720"/>
          <w:tab w:val="left" w:pos="900"/>
        </w:tabs>
        <w:jc w:val="both"/>
        <w:rPr>
          <w:rFonts w:ascii="Arial" w:hAnsi="Arial" w:cs="Arial"/>
          <w:sz w:val="22"/>
          <w:szCs w:val="22"/>
        </w:rPr>
      </w:pPr>
    </w:p>
    <w:p w:rsidR="00E94015" w:rsidRPr="00E94015" w:rsidRDefault="00E94015" w:rsidP="00E94015">
      <w:pPr>
        <w:pStyle w:val="BodyText2"/>
        <w:keepLines/>
        <w:widowControl w:val="0"/>
        <w:ind w:firstLine="720"/>
        <w:jc w:val="both"/>
        <w:rPr>
          <w:rFonts w:ascii="Arial" w:hAnsi="Arial" w:cs="Arial"/>
          <w:color w:val="FF0000"/>
          <w:sz w:val="22"/>
          <w:szCs w:val="22"/>
          <w:u w:val="single"/>
        </w:rPr>
      </w:pPr>
    </w:p>
    <w:p w:rsidR="00E94015" w:rsidRPr="00E94015" w:rsidRDefault="00E94015" w:rsidP="00A77958">
      <w:pPr>
        <w:spacing w:after="60"/>
        <w:jc w:val="both"/>
        <w:rPr>
          <w:rFonts w:ascii="Arial" w:hAnsi="Arial" w:cs="Arial"/>
          <w:b/>
          <w:sz w:val="22"/>
          <w:szCs w:val="22"/>
        </w:rPr>
      </w:pPr>
      <w:bookmarkStart w:id="4" w:name="_Toc366671230"/>
      <w:r w:rsidRPr="00E94015">
        <w:rPr>
          <w:rFonts w:ascii="Arial" w:hAnsi="Arial" w:cs="Arial"/>
          <w:b/>
          <w:sz w:val="22"/>
          <w:szCs w:val="22"/>
        </w:rPr>
        <w:t>Energy Costs</w:t>
      </w:r>
      <w:bookmarkEnd w:id="4"/>
    </w:p>
    <w:tbl>
      <w:tblPr>
        <w:tblW w:w="9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2537"/>
        <w:gridCol w:w="2733"/>
        <w:gridCol w:w="2379"/>
      </w:tblGrid>
      <w:tr w:rsidR="00106875" w:rsidRPr="00E94015" w:rsidTr="00106875">
        <w:tc>
          <w:tcPr>
            <w:tcW w:w="1570" w:type="dxa"/>
            <w:shd w:val="clear" w:color="auto" w:fill="BFBFBF"/>
            <w:vAlign w:val="bottom"/>
          </w:tcPr>
          <w:p w:rsidR="00106875" w:rsidRPr="00E94015" w:rsidRDefault="00106875" w:rsidP="00585491">
            <w:pPr>
              <w:pStyle w:val="BodyText2"/>
              <w:keepLines/>
              <w:widowControl w:val="0"/>
              <w:jc w:val="both"/>
              <w:rPr>
                <w:rFonts w:ascii="Arial" w:eastAsia="MS Mincho" w:hAnsi="Arial" w:cs="Arial"/>
                <w:b/>
                <w:sz w:val="22"/>
                <w:szCs w:val="22"/>
              </w:rPr>
            </w:pPr>
          </w:p>
        </w:tc>
        <w:tc>
          <w:tcPr>
            <w:tcW w:w="2537" w:type="dxa"/>
            <w:shd w:val="clear" w:color="auto" w:fill="BFBFBF"/>
            <w:vAlign w:val="bottom"/>
          </w:tcPr>
          <w:p w:rsidR="00106875" w:rsidRPr="00E94015" w:rsidRDefault="0010687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Average Statewide Residential</w:t>
            </w:r>
          </w:p>
        </w:tc>
        <w:tc>
          <w:tcPr>
            <w:tcW w:w="2733" w:type="dxa"/>
            <w:shd w:val="clear" w:color="auto" w:fill="BFBFBF"/>
            <w:vAlign w:val="bottom"/>
          </w:tcPr>
          <w:p w:rsidR="00106875" w:rsidRPr="00E94015" w:rsidRDefault="0010687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Average Statewide Commercial</w:t>
            </w:r>
          </w:p>
        </w:tc>
        <w:tc>
          <w:tcPr>
            <w:tcW w:w="2379" w:type="dxa"/>
            <w:shd w:val="clear" w:color="auto" w:fill="BFBFBF"/>
          </w:tcPr>
          <w:p w:rsidR="00106875" w:rsidRPr="00106875" w:rsidRDefault="00C011A5" w:rsidP="00585491">
            <w:pPr>
              <w:pStyle w:val="BodyText2"/>
              <w:keepLines/>
              <w:widowControl w:val="0"/>
              <w:rPr>
                <w:rFonts w:ascii="Arial" w:eastAsia="MS Mincho" w:hAnsi="Arial" w:cs="Arial"/>
                <w:b/>
                <w:bCs/>
                <w:sz w:val="22"/>
                <w:szCs w:val="22"/>
              </w:rPr>
            </w:pPr>
            <w:r w:rsidRPr="00C011A5">
              <w:rPr>
                <w:rFonts w:ascii="Arial" w:eastAsia="MS Mincho" w:hAnsi="Arial" w:cs="Arial"/>
                <w:b/>
                <w:bCs/>
                <w:sz w:val="22"/>
                <w:szCs w:val="22"/>
              </w:rPr>
              <w:t>Average Statewide Industrial</w:t>
            </w:r>
          </w:p>
        </w:tc>
      </w:tr>
      <w:tr w:rsidR="00106875" w:rsidRPr="00E94015" w:rsidTr="00106875">
        <w:trPr>
          <w:trHeight w:val="332"/>
        </w:trPr>
        <w:tc>
          <w:tcPr>
            <w:tcW w:w="1570" w:type="dxa"/>
            <w:shd w:val="clear" w:color="auto" w:fill="FFFFFF"/>
          </w:tcPr>
          <w:p w:rsidR="00106875" w:rsidRPr="00E94015" w:rsidRDefault="0010687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Electricity</w:t>
            </w:r>
            <w:r>
              <w:rPr>
                <w:rStyle w:val="FootnoteReference"/>
                <w:rFonts w:ascii="Arial" w:eastAsia="MS Mincho" w:hAnsi="Arial" w:cs="Arial"/>
                <w:sz w:val="22"/>
                <w:szCs w:val="22"/>
              </w:rPr>
              <w:footnoteReference w:id="3"/>
            </w:r>
          </w:p>
        </w:tc>
        <w:tc>
          <w:tcPr>
            <w:tcW w:w="2537"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sidRPr="00E94015">
              <w:rPr>
                <w:rFonts w:ascii="Arial" w:hAnsi="Arial" w:cs="Arial"/>
                <w:sz w:val="22"/>
                <w:szCs w:val="22"/>
              </w:rPr>
              <w:t>$ 0.15/kWh</w:t>
            </w:r>
          </w:p>
        </w:tc>
        <w:tc>
          <w:tcPr>
            <w:tcW w:w="2733"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Pr>
                <w:rFonts w:ascii="Arial" w:hAnsi="Arial" w:cs="Arial"/>
                <w:sz w:val="22"/>
                <w:szCs w:val="22"/>
              </w:rPr>
              <w:t>$ 0.1418</w:t>
            </w:r>
            <w:r w:rsidRPr="00E94015">
              <w:rPr>
                <w:rFonts w:ascii="Arial" w:hAnsi="Arial" w:cs="Arial"/>
                <w:sz w:val="22"/>
                <w:szCs w:val="22"/>
              </w:rPr>
              <w:t>/kWh</w:t>
            </w:r>
          </w:p>
        </w:tc>
        <w:tc>
          <w:tcPr>
            <w:tcW w:w="2379" w:type="dxa"/>
            <w:shd w:val="clear" w:color="auto" w:fill="FFFFFF"/>
          </w:tcPr>
          <w:p w:rsidR="00106875" w:rsidRPr="00106875" w:rsidRDefault="00C011A5" w:rsidP="00585491">
            <w:pPr>
              <w:autoSpaceDE w:val="0"/>
              <w:autoSpaceDN w:val="0"/>
              <w:adjustRightInd w:val="0"/>
              <w:jc w:val="both"/>
              <w:rPr>
                <w:rFonts w:ascii="Arial" w:hAnsi="Arial" w:cs="Arial"/>
                <w:sz w:val="22"/>
                <w:szCs w:val="22"/>
              </w:rPr>
            </w:pPr>
            <w:r w:rsidRPr="00C011A5">
              <w:rPr>
                <w:rFonts w:ascii="Arial" w:hAnsi="Arial" w:cs="Arial"/>
                <w:sz w:val="22"/>
                <w:szCs w:val="22"/>
              </w:rPr>
              <w:t>$ 0.1054/kWh</w:t>
            </w:r>
          </w:p>
        </w:tc>
      </w:tr>
      <w:tr w:rsidR="00106875" w:rsidRPr="00E94015" w:rsidTr="00106875">
        <w:trPr>
          <w:trHeight w:val="341"/>
        </w:trPr>
        <w:tc>
          <w:tcPr>
            <w:tcW w:w="1570" w:type="dxa"/>
            <w:shd w:val="clear" w:color="auto" w:fill="FFFFFF"/>
          </w:tcPr>
          <w:p w:rsidR="00106875" w:rsidRPr="00E94015" w:rsidRDefault="0010687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Natural Gas</w:t>
            </w:r>
            <w:r>
              <w:rPr>
                <w:rStyle w:val="FootnoteReference"/>
                <w:rFonts w:ascii="Arial" w:eastAsia="MS Mincho" w:hAnsi="Arial" w:cs="Arial"/>
                <w:sz w:val="22"/>
                <w:szCs w:val="22"/>
              </w:rPr>
              <w:footnoteReference w:id="4"/>
            </w:r>
          </w:p>
        </w:tc>
        <w:tc>
          <w:tcPr>
            <w:tcW w:w="2537"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sidRPr="00E94015">
              <w:rPr>
                <w:rFonts w:ascii="Arial" w:hAnsi="Arial" w:cs="Arial"/>
                <w:sz w:val="22"/>
                <w:szCs w:val="22"/>
              </w:rPr>
              <w:t>$ 0.96/</w:t>
            </w:r>
            <w:proofErr w:type="spellStart"/>
            <w:r w:rsidRPr="00E94015">
              <w:rPr>
                <w:rFonts w:ascii="Arial" w:hAnsi="Arial" w:cs="Arial"/>
                <w:sz w:val="22"/>
                <w:szCs w:val="22"/>
              </w:rPr>
              <w:t>therm</w:t>
            </w:r>
            <w:proofErr w:type="spellEnd"/>
          </w:p>
        </w:tc>
        <w:tc>
          <w:tcPr>
            <w:tcW w:w="2733" w:type="dxa"/>
            <w:shd w:val="clear" w:color="auto" w:fill="FFFFFF"/>
          </w:tcPr>
          <w:p w:rsidR="00106875" w:rsidRPr="00E94015" w:rsidRDefault="00106875" w:rsidP="00585491">
            <w:pPr>
              <w:autoSpaceDE w:val="0"/>
              <w:autoSpaceDN w:val="0"/>
              <w:adjustRightInd w:val="0"/>
              <w:jc w:val="both"/>
              <w:rPr>
                <w:rFonts w:ascii="Arial" w:hAnsi="Arial" w:cs="Arial"/>
                <w:sz w:val="22"/>
                <w:szCs w:val="22"/>
              </w:rPr>
            </w:pPr>
            <w:r>
              <w:rPr>
                <w:rFonts w:ascii="Arial" w:hAnsi="Arial" w:cs="Arial"/>
                <w:sz w:val="22"/>
                <w:szCs w:val="22"/>
              </w:rPr>
              <w:t xml:space="preserve">$ </w:t>
            </w:r>
            <w:r w:rsidR="00C011A5" w:rsidRPr="00C011A5">
              <w:rPr>
                <w:rFonts w:ascii="Arial" w:hAnsi="Arial" w:cs="Arial"/>
                <w:sz w:val="22"/>
                <w:szCs w:val="22"/>
                <w:u w:val="single"/>
              </w:rPr>
              <w:t>0.676/</w:t>
            </w:r>
            <w:proofErr w:type="spellStart"/>
            <w:r w:rsidR="00C011A5" w:rsidRPr="00C011A5">
              <w:rPr>
                <w:rFonts w:ascii="Arial" w:hAnsi="Arial" w:cs="Arial"/>
                <w:sz w:val="22"/>
                <w:szCs w:val="22"/>
                <w:u w:val="single"/>
              </w:rPr>
              <w:t>therm</w:t>
            </w:r>
            <w:proofErr w:type="spellEnd"/>
          </w:p>
        </w:tc>
        <w:tc>
          <w:tcPr>
            <w:tcW w:w="2379" w:type="dxa"/>
            <w:shd w:val="clear" w:color="auto" w:fill="FFFFFF"/>
          </w:tcPr>
          <w:p w:rsidR="00106875" w:rsidRPr="00106875" w:rsidRDefault="00C011A5" w:rsidP="00585491">
            <w:pPr>
              <w:autoSpaceDE w:val="0"/>
              <w:autoSpaceDN w:val="0"/>
              <w:adjustRightInd w:val="0"/>
              <w:jc w:val="both"/>
              <w:rPr>
                <w:rFonts w:ascii="Arial" w:hAnsi="Arial" w:cs="Arial"/>
                <w:sz w:val="22"/>
                <w:szCs w:val="22"/>
              </w:rPr>
            </w:pPr>
            <w:r w:rsidRPr="00C011A5">
              <w:rPr>
                <w:rFonts w:ascii="Arial" w:hAnsi="Arial" w:cs="Arial"/>
                <w:sz w:val="22"/>
                <w:szCs w:val="22"/>
              </w:rPr>
              <w:t>$ 0.565/</w:t>
            </w:r>
            <w:proofErr w:type="spellStart"/>
            <w:r w:rsidRPr="00C011A5">
              <w:rPr>
                <w:rFonts w:ascii="Arial" w:hAnsi="Arial" w:cs="Arial"/>
                <w:sz w:val="22"/>
                <w:szCs w:val="22"/>
              </w:rPr>
              <w:t>therm</w:t>
            </w:r>
            <w:proofErr w:type="spellEnd"/>
          </w:p>
        </w:tc>
      </w:tr>
    </w:tbl>
    <w:p w:rsidR="00E94015" w:rsidRPr="00E94015" w:rsidRDefault="00E94015" w:rsidP="00E94015">
      <w:pPr>
        <w:suppressAutoHyphens/>
        <w:jc w:val="both"/>
        <w:rPr>
          <w:rFonts w:ascii="Arial" w:hAnsi="Arial" w:cs="Arial"/>
          <w:sz w:val="22"/>
          <w:szCs w:val="22"/>
          <w:lang w:val="fr-FR"/>
        </w:rPr>
      </w:pPr>
    </w:p>
    <w:p w:rsidR="00204F70" w:rsidRDefault="00204F70" w:rsidP="00E94015">
      <w:pPr>
        <w:pStyle w:val="BodyText2"/>
        <w:keepLines/>
        <w:widowControl w:val="0"/>
      </w:pPr>
    </w:p>
    <w:sectPr w:rsidR="00204F70" w:rsidSect="005C7D6F">
      <w:headerReference w:type="default" r:id="rId12"/>
      <w:footerReference w:type="default" r:id="rId13"/>
      <w:pgSz w:w="12240" w:h="15840"/>
      <w:pgMar w:top="1440" w:right="1440" w:bottom="1440" w:left="1440" w:header="288"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06" w:rsidRDefault="00431D06">
      <w:r>
        <w:separator/>
      </w:r>
    </w:p>
  </w:endnote>
  <w:endnote w:type="continuationSeparator" w:id="0">
    <w:p w:rsidR="00431D06" w:rsidRDefault="0043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95" w:rsidRPr="00D31D95" w:rsidRDefault="00762FA7" w:rsidP="009A24D4">
    <w:pPr>
      <w:pStyle w:val="Footer"/>
      <w:tabs>
        <w:tab w:val="left" w:pos="3915"/>
        <w:tab w:val="left" w:pos="8100"/>
      </w:tabs>
      <w:rPr>
        <w:rFonts w:ascii="Arial" w:hAnsi="Arial" w:cs="Arial"/>
        <w:sz w:val="16"/>
        <w:szCs w:val="16"/>
      </w:rPr>
    </w:pPr>
    <w:r>
      <w:rPr>
        <w:rFonts w:ascii="Arial" w:hAnsi="Arial" w:cs="Arial"/>
        <w:sz w:val="16"/>
        <w:szCs w:val="16"/>
      </w:rPr>
      <w:t>November 2015</w:t>
    </w:r>
    <w:r w:rsidR="00D31D95" w:rsidRPr="00D31D95">
      <w:rPr>
        <w:rFonts w:ascii="Arial" w:hAnsi="Arial" w:cs="Arial"/>
        <w:sz w:val="16"/>
        <w:szCs w:val="16"/>
      </w:rPr>
      <w:tab/>
    </w:r>
    <w:r w:rsidR="00E15779">
      <w:rPr>
        <w:rFonts w:ascii="Arial" w:hAnsi="Arial" w:cs="Arial"/>
        <w:sz w:val="16"/>
        <w:szCs w:val="16"/>
      </w:rPr>
      <w:t xml:space="preserve">    </w:t>
    </w:r>
    <w:r w:rsidR="00E15779">
      <w:rPr>
        <w:rFonts w:ascii="Arial" w:hAnsi="Arial" w:cs="Arial"/>
        <w:sz w:val="16"/>
        <w:szCs w:val="16"/>
      </w:rPr>
      <w:tab/>
    </w:r>
    <w:r w:rsidR="00D31D95" w:rsidRPr="00D31D95">
      <w:rPr>
        <w:rFonts w:ascii="Arial" w:hAnsi="Arial" w:cs="Arial"/>
        <w:sz w:val="16"/>
        <w:szCs w:val="16"/>
      </w:rPr>
      <w:t xml:space="preserve">Page </w:t>
    </w:r>
    <w:r w:rsidR="004326BD" w:rsidRPr="00D31D95">
      <w:rPr>
        <w:rFonts w:ascii="Arial" w:hAnsi="Arial" w:cs="Arial"/>
        <w:sz w:val="16"/>
        <w:szCs w:val="16"/>
      </w:rPr>
      <w:fldChar w:fldCharType="begin"/>
    </w:r>
    <w:r w:rsidR="00D31D95" w:rsidRPr="00D31D95">
      <w:rPr>
        <w:rFonts w:ascii="Arial" w:hAnsi="Arial" w:cs="Arial"/>
        <w:sz w:val="16"/>
        <w:szCs w:val="16"/>
      </w:rPr>
      <w:instrText xml:space="preserve"> PAGE </w:instrText>
    </w:r>
    <w:r w:rsidR="004326BD" w:rsidRPr="00D31D95">
      <w:rPr>
        <w:rFonts w:ascii="Arial" w:hAnsi="Arial" w:cs="Arial"/>
        <w:sz w:val="16"/>
        <w:szCs w:val="16"/>
      </w:rPr>
      <w:fldChar w:fldCharType="separate"/>
    </w:r>
    <w:r w:rsidR="00B5453E">
      <w:rPr>
        <w:rFonts w:ascii="Arial" w:hAnsi="Arial" w:cs="Arial"/>
        <w:noProof/>
        <w:sz w:val="16"/>
        <w:szCs w:val="16"/>
      </w:rPr>
      <w:t>1</w:t>
    </w:r>
    <w:r w:rsidR="004326BD" w:rsidRPr="00D31D95">
      <w:rPr>
        <w:rFonts w:ascii="Arial" w:hAnsi="Arial" w:cs="Arial"/>
        <w:sz w:val="16"/>
        <w:szCs w:val="16"/>
      </w:rPr>
      <w:fldChar w:fldCharType="end"/>
    </w:r>
    <w:r w:rsidR="00D31D95" w:rsidRPr="00D31D95">
      <w:rPr>
        <w:rFonts w:ascii="Arial" w:hAnsi="Arial" w:cs="Arial"/>
        <w:sz w:val="16"/>
        <w:szCs w:val="16"/>
      </w:rPr>
      <w:t xml:space="preserve"> of </w:t>
    </w:r>
    <w:r w:rsidR="004326BD" w:rsidRPr="00D31D95">
      <w:rPr>
        <w:rFonts w:ascii="Arial" w:hAnsi="Arial" w:cs="Arial"/>
        <w:sz w:val="16"/>
        <w:szCs w:val="16"/>
      </w:rPr>
      <w:fldChar w:fldCharType="begin"/>
    </w:r>
    <w:r w:rsidR="00D31D95" w:rsidRPr="00D31D95">
      <w:rPr>
        <w:rFonts w:ascii="Arial" w:hAnsi="Arial" w:cs="Arial"/>
        <w:sz w:val="16"/>
        <w:szCs w:val="16"/>
      </w:rPr>
      <w:instrText xml:space="preserve"> NUMPAGES  </w:instrText>
    </w:r>
    <w:r w:rsidR="004326BD" w:rsidRPr="00D31D95">
      <w:rPr>
        <w:rFonts w:ascii="Arial" w:hAnsi="Arial" w:cs="Arial"/>
        <w:sz w:val="16"/>
        <w:szCs w:val="16"/>
      </w:rPr>
      <w:fldChar w:fldCharType="separate"/>
    </w:r>
    <w:r w:rsidR="00B5453E">
      <w:rPr>
        <w:rFonts w:ascii="Arial" w:hAnsi="Arial" w:cs="Arial"/>
        <w:noProof/>
        <w:sz w:val="16"/>
        <w:szCs w:val="16"/>
      </w:rPr>
      <w:t>3</w:t>
    </w:r>
    <w:r w:rsidR="004326BD" w:rsidRPr="00D31D95">
      <w:rPr>
        <w:rFonts w:ascii="Arial" w:hAnsi="Arial" w:cs="Arial"/>
        <w:sz w:val="16"/>
        <w:szCs w:val="16"/>
      </w:rPr>
      <w:fldChar w:fldCharType="end"/>
    </w:r>
    <w:r w:rsidR="00D31D95" w:rsidRPr="00D31D95">
      <w:rPr>
        <w:rFonts w:ascii="Arial" w:hAnsi="Arial" w:cs="Arial"/>
        <w:sz w:val="16"/>
        <w:szCs w:val="16"/>
      </w:rPr>
      <w:tab/>
    </w:r>
    <w:r w:rsidR="00E15779">
      <w:rPr>
        <w:rFonts w:ascii="Arial" w:hAnsi="Arial" w:cs="Arial"/>
        <w:sz w:val="16"/>
        <w:szCs w:val="16"/>
      </w:rPr>
      <w:t xml:space="preserve">   </w:t>
    </w:r>
    <w:r>
      <w:rPr>
        <w:rFonts w:ascii="Arial" w:hAnsi="Arial" w:cs="Arial"/>
        <w:sz w:val="16"/>
        <w:szCs w:val="16"/>
      </w:rPr>
      <w:t>GFO-15-312</w:t>
    </w:r>
  </w:p>
  <w:p w:rsidR="00762FA7" w:rsidRPr="00762FA7" w:rsidRDefault="00D31D95" w:rsidP="00762FA7">
    <w:pPr>
      <w:pStyle w:val="Footer"/>
      <w:tabs>
        <w:tab w:val="clear" w:pos="4320"/>
        <w:tab w:val="clear" w:pos="8640"/>
        <w:tab w:val="center" w:pos="5040"/>
        <w:tab w:val="right" w:pos="9360"/>
      </w:tabs>
      <w:spacing w:after="40"/>
      <w:rPr>
        <w:rFonts w:ascii="Arial" w:hAnsi="Arial" w:cs="Arial"/>
        <w:sz w:val="16"/>
      </w:rPr>
    </w:pPr>
    <w:r w:rsidRPr="00D31D95">
      <w:rPr>
        <w:rFonts w:ascii="Arial" w:hAnsi="Arial" w:cs="Arial"/>
        <w:sz w:val="16"/>
        <w:szCs w:val="16"/>
      </w:rPr>
      <w:tab/>
    </w:r>
    <w:r w:rsidRPr="00D31D95">
      <w:rPr>
        <w:rFonts w:ascii="Arial" w:hAnsi="Arial" w:cs="Arial"/>
        <w:sz w:val="16"/>
        <w:szCs w:val="16"/>
      </w:rPr>
      <w:tab/>
    </w:r>
    <w:r w:rsidR="00E15779">
      <w:rPr>
        <w:rFonts w:ascii="Arial" w:hAnsi="Arial" w:cs="Arial"/>
        <w:sz w:val="16"/>
        <w:szCs w:val="16"/>
      </w:rPr>
      <w:t xml:space="preserve">   </w:t>
    </w:r>
    <w:r w:rsidR="00E15779" w:rsidRPr="00762FA7">
      <w:rPr>
        <w:rFonts w:ascii="Arial" w:hAnsi="Arial" w:cs="Arial"/>
        <w:sz w:val="16"/>
        <w:szCs w:val="16"/>
      </w:rPr>
      <w:t xml:space="preserve">  </w:t>
    </w:r>
    <w:r w:rsidR="00762FA7" w:rsidRPr="00762FA7">
      <w:rPr>
        <w:rFonts w:ascii="Arial" w:hAnsi="Arial" w:cs="Arial"/>
        <w:sz w:val="16"/>
      </w:rPr>
      <w:t xml:space="preserve">The EPIC Challenge: Accelerating the </w:t>
    </w:r>
  </w:p>
  <w:p w:rsidR="00D31D95" w:rsidRPr="00762FA7" w:rsidRDefault="00762FA7" w:rsidP="00762FA7">
    <w:pPr>
      <w:pStyle w:val="Footer"/>
      <w:tabs>
        <w:tab w:val="clear" w:pos="4320"/>
        <w:tab w:val="clear" w:pos="8640"/>
        <w:tab w:val="center" w:pos="5040"/>
        <w:tab w:val="right" w:pos="9360"/>
      </w:tabs>
      <w:spacing w:after="40"/>
      <w:rPr>
        <w:rFonts w:ascii="Arial" w:hAnsi="Arial" w:cs="Arial"/>
        <w:sz w:val="16"/>
      </w:rPr>
    </w:pPr>
    <w:r w:rsidRPr="00762FA7">
      <w:rPr>
        <w:rFonts w:ascii="Arial" w:hAnsi="Arial" w:cs="Arial"/>
        <w:sz w:val="16"/>
      </w:rPr>
      <w:tab/>
    </w:r>
    <w:r w:rsidRPr="00762FA7">
      <w:rPr>
        <w:rFonts w:ascii="Arial" w:hAnsi="Arial" w:cs="Arial"/>
        <w:sz w:val="16"/>
      </w:rPr>
      <w:tab/>
      <w:t>Deployment of Advanced Energy Communities</w:t>
    </w:r>
  </w:p>
  <w:p w:rsidR="0001268A" w:rsidRDefault="0001268A" w:rsidP="00D31D95">
    <w:pPr>
      <w:pStyle w:val="Footer"/>
      <w:tabs>
        <w:tab w:val="clear" w:pos="4320"/>
        <w:tab w:val="clear" w:pos="8640"/>
        <w:tab w:val="center" w:pos="4680"/>
        <w:tab w:val="right" w:pos="9360"/>
      </w:tabs>
      <w:rPr>
        <w:rFonts w:ascii="Arial" w:hAnsi="Arial" w:cs="Arial"/>
      </w:rPr>
    </w:pPr>
  </w:p>
  <w:p w:rsidR="0001268A" w:rsidRDefault="0001268A" w:rsidP="00664230">
    <w:pPr>
      <w:pStyle w:val="Footer"/>
      <w:tabs>
        <w:tab w:val="clear" w:pos="4320"/>
        <w:tab w:val="clear" w:pos="8640"/>
        <w:tab w:val="center" w:pos="4680"/>
        <w:tab w:val="right" w:pos="9360"/>
      </w:tabs>
      <w:jc w:val="right"/>
      <w:rPr>
        <w:rFonts w:ascii="Arial" w:hAnsi="Arial" w:cs="Arial"/>
      </w:rPr>
    </w:pPr>
  </w:p>
  <w:p w:rsidR="0001268A" w:rsidRDefault="0001268A" w:rsidP="000D75FC">
    <w:pPr>
      <w:pStyle w:val="Footer"/>
      <w:tabs>
        <w:tab w:val="clear" w:pos="4320"/>
        <w:tab w:val="clear" w:pos="8640"/>
        <w:tab w:val="center" w:pos="4680"/>
        <w:tab w:val="right" w:pos="9360"/>
      </w:tabs>
      <w:rPr>
        <w:rFonts w:ascii="Arial" w:hAnsi="Arial" w:cs="Arial"/>
      </w:rPr>
    </w:pPr>
  </w:p>
  <w:p w:rsidR="0001268A" w:rsidRDefault="00012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06" w:rsidRDefault="00431D06">
      <w:r>
        <w:separator/>
      </w:r>
    </w:p>
  </w:footnote>
  <w:footnote w:type="continuationSeparator" w:id="0">
    <w:p w:rsidR="00431D06" w:rsidRDefault="00431D06">
      <w:r>
        <w:continuationSeparator/>
      </w:r>
    </w:p>
  </w:footnote>
  <w:footnote w:id="1">
    <w:p w:rsidR="00E41CA8" w:rsidRPr="00E41CA8" w:rsidRDefault="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Energy Commission staff estimates.</w:t>
      </w:r>
    </w:p>
  </w:footnote>
  <w:footnote w:id="2">
    <w:p w:rsidR="00E41CA8" w:rsidRPr="00E41CA8" w:rsidRDefault="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California Air Resources Board staff calculations.</w:t>
      </w:r>
    </w:p>
  </w:footnote>
  <w:footnote w:id="3">
    <w:p w:rsidR="00106875" w:rsidRPr="00831C79" w:rsidRDefault="00106875">
      <w:pPr>
        <w:pStyle w:val="FootnoteText"/>
        <w:rPr>
          <w:rFonts w:ascii="Arial" w:hAnsi="Arial" w:cs="Arial"/>
          <w:lang w:val="fr-FR"/>
        </w:rPr>
      </w:pPr>
      <w:r w:rsidRPr="00E41CA8">
        <w:rPr>
          <w:rStyle w:val="FootnoteReference"/>
          <w:rFonts w:ascii="Arial" w:hAnsi="Arial" w:cs="Arial"/>
        </w:rPr>
        <w:footnoteRef/>
      </w:r>
      <w:r w:rsidRPr="00E41CA8">
        <w:rPr>
          <w:rFonts w:ascii="Arial" w:hAnsi="Arial" w:cs="Arial"/>
        </w:rPr>
        <w:t xml:space="preserve"> U.S. Energy Information Administration (EIA) 2012 summaries</w:t>
      </w:r>
      <w:r>
        <w:rPr>
          <w:rFonts w:ascii="Arial" w:hAnsi="Arial" w:cs="Arial"/>
        </w:rPr>
        <w:t>, tables 6 through 10</w:t>
      </w:r>
      <w:r w:rsidRPr="00E41CA8">
        <w:rPr>
          <w:rFonts w:ascii="Arial" w:hAnsi="Arial" w:cs="Arial"/>
        </w:rPr>
        <w:t>.</w:t>
      </w:r>
      <w:r>
        <w:rPr>
          <w:rFonts w:ascii="Arial" w:hAnsi="Arial" w:cs="Arial"/>
        </w:rPr>
        <w:t xml:space="preserve"> </w:t>
      </w:r>
      <w:hyperlink r:id="rId1" w:history="1">
        <w:r w:rsidRPr="009809F8">
          <w:rPr>
            <w:rStyle w:val="Hyperlink"/>
            <w:rFonts w:ascii="Arial" w:hAnsi="Arial" w:cs="Arial"/>
            <w:lang w:val="fr-FR"/>
          </w:rPr>
          <w:t>http://www.eia.gov/electricity/sales_revenue_price/</w:t>
        </w:r>
      </w:hyperlink>
      <w:r>
        <w:rPr>
          <w:rFonts w:ascii="Arial" w:hAnsi="Arial" w:cs="Arial"/>
          <w:lang w:val="fr-FR"/>
        </w:rPr>
        <w:t>.</w:t>
      </w:r>
    </w:p>
  </w:footnote>
  <w:footnote w:id="4">
    <w:p w:rsidR="00106875" w:rsidRPr="00E41CA8" w:rsidRDefault="00106875" w:rsidP="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U.S. Energy Information Administration, </w:t>
      </w:r>
      <w:hyperlink r:id="rId2" w:history="1">
        <w:r w:rsidRPr="00E41CA8">
          <w:rPr>
            <w:rStyle w:val="Hyperlink"/>
            <w:rFonts w:ascii="Arial" w:hAnsi="Arial" w:cs="Arial"/>
            <w:lang w:val="fr-FR"/>
          </w:rPr>
          <w:t>www.eia.gov/dnav/ng/ng_pri_sum_dcu_SCA_a.htm</w:t>
        </w:r>
      </w:hyperlink>
      <w:r>
        <w:rPr>
          <w:rFonts w:ascii="Arial" w:hAnsi="Arial" w:cs="Arial"/>
          <w:lang w:val="fr-FR"/>
        </w:rPr>
        <w:t>.</w:t>
      </w:r>
      <w:r w:rsidRPr="00E41CA8">
        <w:rPr>
          <w:rFonts w:ascii="Arial" w:hAnsi="Arial" w:cs="Arial"/>
          <w:lang w:val="fr-FR"/>
        </w:rPr>
        <w:t xml:space="preserve"> </w:t>
      </w:r>
    </w:p>
    <w:p w:rsidR="00106875" w:rsidRDefault="001068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15" w:rsidRDefault="00E94015" w:rsidP="00E94015">
    <w:pPr>
      <w:suppressAutoHyphens/>
      <w:jc w:val="center"/>
      <w:rPr>
        <w:rFonts w:ascii="Arial" w:hAnsi="Arial" w:cs="Arial"/>
        <w:b/>
        <w:sz w:val="24"/>
        <w:szCs w:val="24"/>
      </w:rPr>
    </w:pPr>
  </w:p>
  <w:p w:rsidR="00E72B9B" w:rsidRDefault="00E72B9B" w:rsidP="00E94015">
    <w:pPr>
      <w:suppressAutoHyphens/>
      <w:jc w:val="center"/>
      <w:rPr>
        <w:rFonts w:ascii="Arial" w:hAnsi="Arial" w:cs="Arial"/>
        <w:b/>
        <w:sz w:val="24"/>
        <w:szCs w:val="24"/>
      </w:rPr>
    </w:pPr>
  </w:p>
  <w:p w:rsidR="00E94015" w:rsidRPr="00E15779" w:rsidRDefault="00394497" w:rsidP="00E94015">
    <w:pPr>
      <w:suppressAutoHyphens/>
      <w:jc w:val="center"/>
      <w:rPr>
        <w:rFonts w:ascii="Arial" w:hAnsi="Arial" w:cs="Arial"/>
        <w:b/>
        <w:sz w:val="26"/>
        <w:szCs w:val="26"/>
      </w:rPr>
    </w:pPr>
    <w:r>
      <w:rPr>
        <w:rFonts w:ascii="Arial" w:hAnsi="Arial" w:cs="Arial"/>
        <w:b/>
        <w:sz w:val="26"/>
        <w:szCs w:val="26"/>
      </w:rPr>
      <w:t>ATTACHMENT 12</w:t>
    </w:r>
  </w:p>
  <w:p w:rsidR="00E94015" w:rsidRPr="00E15779" w:rsidRDefault="003D5BE1" w:rsidP="00E94015">
    <w:pPr>
      <w:pStyle w:val="Heading2"/>
      <w:jc w:val="center"/>
      <w:rPr>
        <w:sz w:val="26"/>
        <w:szCs w:val="26"/>
      </w:rPr>
    </w:pPr>
    <w:r w:rsidRPr="00E15779">
      <w:rPr>
        <w:sz w:val="26"/>
        <w:szCs w:val="26"/>
      </w:rPr>
      <w:t xml:space="preserve">References for </w:t>
    </w:r>
    <w:r w:rsidR="005F7D96">
      <w:rPr>
        <w:sz w:val="26"/>
        <w:szCs w:val="26"/>
      </w:rPr>
      <w:t xml:space="preserve">Calculating </w:t>
    </w:r>
    <w:r w:rsidR="00E94015" w:rsidRPr="00E15779">
      <w:rPr>
        <w:sz w:val="26"/>
        <w:szCs w:val="26"/>
      </w:rPr>
      <w:t>Energy End-Use, Electricity Demand</w:t>
    </w:r>
    <w:r w:rsidR="00857CD2">
      <w:rPr>
        <w:sz w:val="26"/>
        <w:szCs w:val="26"/>
      </w:rPr>
      <w:t>,</w:t>
    </w:r>
    <w:r w:rsidR="00E94015" w:rsidRPr="00E15779">
      <w:rPr>
        <w:sz w:val="26"/>
        <w:szCs w:val="26"/>
      </w:rPr>
      <w:t xml:space="preserve"> and GHG Emissions </w:t>
    </w:r>
  </w:p>
  <w:p w:rsidR="00E94015" w:rsidRDefault="00E9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E878D6"/>
    <w:lvl w:ilvl="0">
      <w:start w:val="1"/>
      <w:numFmt w:val="bullet"/>
      <w:lvlText w:val=""/>
      <w:lvlJc w:val="left"/>
      <w:pPr>
        <w:tabs>
          <w:tab w:val="num" w:pos="360"/>
        </w:tabs>
        <w:ind w:left="360" w:hanging="360"/>
      </w:pPr>
      <w:rPr>
        <w:rFonts w:ascii="Symbol" w:hAnsi="Symbol" w:hint="default"/>
      </w:rPr>
    </w:lvl>
  </w:abstractNum>
  <w:abstractNum w:abstractNumId="1">
    <w:nsid w:val="2CC776F2"/>
    <w:multiLevelType w:val="hybridMultilevel"/>
    <w:tmpl w:val="C302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84F09"/>
    <w:multiLevelType w:val="hybridMultilevel"/>
    <w:tmpl w:val="486CD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955752"/>
    <w:multiLevelType w:val="hybridMultilevel"/>
    <w:tmpl w:val="445497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6B55AC9"/>
    <w:multiLevelType w:val="hybridMultilevel"/>
    <w:tmpl w:val="FCC6D438"/>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EBEA0DCE">
      <w:start w:val="1"/>
      <w:numFmt w:val="decimal"/>
      <w:lvlText w:val="(%5)"/>
      <w:lvlJc w:val="left"/>
      <w:pPr>
        <w:ind w:left="36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2E3762"/>
    <w:multiLevelType w:val="singleLevel"/>
    <w:tmpl w:val="81CA83F0"/>
    <w:lvl w:ilvl="0">
      <w:start w:val="2"/>
      <w:numFmt w:val="decimal"/>
      <w:pStyle w:val="Heading3"/>
      <w:lvlText w:val="Part %1."/>
      <w:lvlJc w:val="left"/>
      <w:pPr>
        <w:tabs>
          <w:tab w:val="num" w:pos="720"/>
        </w:tabs>
        <w:ind w:left="720" w:hanging="72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42C"/>
    <w:rsid w:val="00000FFF"/>
    <w:rsid w:val="0001268A"/>
    <w:rsid w:val="0001566A"/>
    <w:rsid w:val="0004144C"/>
    <w:rsid w:val="00056A41"/>
    <w:rsid w:val="00061940"/>
    <w:rsid w:val="000674AA"/>
    <w:rsid w:val="00085B6C"/>
    <w:rsid w:val="0008737B"/>
    <w:rsid w:val="00090939"/>
    <w:rsid w:val="000A78C2"/>
    <w:rsid w:val="000C5231"/>
    <w:rsid w:val="000D75FC"/>
    <w:rsid w:val="000E3BC0"/>
    <w:rsid w:val="000E4C10"/>
    <w:rsid w:val="000F1815"/>
    <w:rsid w:val="000F23A7"/>
    <w:rsid w:val="00103BDC"/>
    <w:rsid w:val="00106875"/>
    <w:rsid w:val="00115807"/>
    <w:rsid w:val="001244A1"/>
    <w:rsid w:val="00126F36"/>
    <w:rsid w:val="001270EE"/>
    <w:rsid w:val="001360BD"/>
    <w:rsid w:val="00156398"/>
    <w:rsid w:val="00165FB6"/>
    <w:rsid w:val="001930A4"/>
    <w:rsid w:val="001A492E"/>
    <w:rsid w:val="001D03C2"/>
    <w:rsid w:val="001E2E8B"/>
    <w:rsid w:val="001F33BD"/>
    <w:rsid w:val="00204F70"/>
    <w:rsid w:val="00213476"/>
    <w:rsid w:val="00235179"/>
    <w:rsid w:val="0027205F"/>
    <w:rsid w:val="00291420"/>
    <w:rsid w:val="002A59A9"/>
    <w:rsid w:val="003055D3"/>
    <w:rsid w:val="0030739D"/>
    <w:rsid w:val="0033642C"/>
    <w:rsid w:val="003518DD"/>
    <w:rsid w:val="00352A50"/>
    <w:rsid w:val="003663ED"/>
    <w:rsid w:val="00376625"/>
    <w:rsid w:val="00394497"/>
    <w:rsid w:val="003A370E"/>
    <w:rsid w:val="003A7C8B"/>
    <w:rsid w:val="003B7215"/>
    <w:rsid w:val="003D5BE1"/>
    <w:rsid w:val="003F16D4"/>
    <w:rsid w:val="003F3BB1"/>
    <w:rsid w:val="00403C0B"/>
    <w:rsid w:val="00431D06"/>
    <w:rsid w:val="004326BD"/>
    <w:rsid w:val="004328D6"/>
    <w:rsid w:val="004842B2"/>
    <w:rsid w:val="004972B2"/>
    <w:rsid w:val="004C6313"/>
    <w:rsid w:val="004E3973"/>
    <w:rsid w:val="005078BE"/>
    <w:rsid w:val="00516D79"/>
    <w:rsid w:val="0052016A"/>
    <w:rsid w:val="00522D02"/>
    <w:rsid w:val="00546193"/>
    <w:rsid w:val="00585491"/>
    <w:rsid w:val="00593DD8"/>
    <w:rsid w:val="005A1C84"/>
    <w:rsid w:val="005B3672"/>
    <w:rsid w:val="005C7D6F"/>
    <w:rsid w:val="005D53BF"/>
    <w:rsid w:val="005F75E0"/>
    <w:rsid w:val="005F7D96"/>
    <w:rsid w:val="00624594"/>
    <w:rsid w:val="00625426"/>
    <w:rsid w:val="00650602"/>
    <w:rsid w:val="006516A7"/>
    <w:rsid w:val="00654E4A"/>
    <w:rsid w:val="00664230"/>
    <w:rsid w:val="00684104"/>
    <w:rsid w:val="00696A57"/>
    <w:rsid w:val="006A211A"/>
    <w:rsid w:val="006C2235"/>
    <w:rsid w:val="006D51FA"/>
    <w:rsid w:val="006E33AD"/>
    <w:rsid w:val="006F0064"/>
    <w:rsid w:val="00705CBD"/>
    <w:rsid w:val="00717EB4"/>
    <w:rsid w:val="0072684A"/>
    <w:rsid w:val="00741083"/>
    <w:rsid w:val="00745A16"/>
    <w:rsid w:val="00752213"/>
    <w:rsid w:val="00757D79"/>
    <w:rsid w:val="00762FA7"/>
    <w:rsid w:val="00765388"/>
    <w:rsid w:val="00785B9E"/>
    <w:rsid w:val="007A2048"/>
    <w:rsid w:val="007B43EA"/>
    <w:rsid w:val="007C1628"/>
    <w:rsid w:val="007C365C"/>
    <w:rsid w:val="007E6C4B"/>
    <w:rsid w:val="00801D29"/>
    <w:rsid w:val="008031D1"/>
    <w:rsid w:val="0080746C"/>
    <w:rsid w:val="0081463E"/>
    <w:rsid w:val="00831C79"/>
    <w:rsid w:val="00857CD2"/>
    <w:rsid w:val="00877D42"/>
    <w:rsid w:val="00880C56"/>
    <w:rsid w:val="00890F93"/>
    <w:rsid w:val="008950EC"/>
    <w:rsid w:val="008A61B2"/>
    <w:rsid w:val="008F1E10"/>
    <w:rsid w:val="008F24C1"/>
    <w:rsid w:val="00945697"/>
    <w:rsid w:val="00961B8E"/>
    <w:rsid w:val="0096526F"/>
    <w:rsid w:val="0097295E"/>
    <w:rsid w:val="00991A6E"/>
    <w:rsid w:val="00994593"/>
    <w:rsid w:val="009A24D4"/>
    <w:rsid w:val="009B7A75"/>
    <w:rsid w:val="009D252D"/>
    <w:rsid w:val="009E35E3"/>
    <w:rsid w:val="00A167FD"/>
    <w:rsid w:val="00A658C6"/>
    <w:rsid w:val="00A756F4"/>
    <w:rsid w:val="00A77958"/>
    <w:rsid w:val="00A975DF"/>
    <w:rsid w:val="00AA5B79"/>
    <w:rsid w:val="00AE0C01"/>
    <w:rsid w:val="00AE3C7E"/>
    <w:rsid w:val="00B017EA"/>
    <w:rsid w:val="00B03CDD"/>
    <w:rsid w:val="00B21BDF"/>
    <w:rsid w:val="00B5453E"/>
    <w:rsid w:val="00B56BD8"/>
    <w:rsid w:val="00B60A76"/>
    <w:rsid w:val="00B6262D"/>
    <w:rsid w:val="00B974C3"/>
    <w:rsid w:val="00B97E03"/>
    <w:rsid w:val="00BC7CA9"/>
    <w:rsid w:val="00BE7F4C"/>
    <w:rsid w:val="00C011A5"/>
    <w:rsid w:val="00C21941"/>
    <w:rsid w:val="00C341DF"/>
    <w:rsid w:val="00C359A9"/>
    <w:rsid w:val="00C632E4"/>
    <w:rsid w:val="00C712E2"/>
    <w:rsid w:val="00C84547"/>
    <w:rsid w:val="00C86E60"/>
    <w:rsid w:val="00CE28FB"/>
    <w:rsid w:val="00D17B10"/>
    <w:rsid w:val="00D30E8D"/>
    <w:rsid w:val="00D31D95"/>
    <w:rsid w:val="00D90F85"/>
    <w:rsid w:val="00D9248C"/>
    <w:rsid w:val="00D961D0"/>
    <w:rsid w:val="00DB7359"/>
    <w:rsid w:val="00DD3472"/>
    <w:rsid w:val="00DD3ADC"/>
    <w:rsid w:val="00DD58D4"/>
    <w:rsid w:val="00E12923"/>
    <w:rsid w:val="00E15779"/>
    <w:rsid w:val="00E31404"/>
    <w:rsid w:val="00E41CA8"/>
    <w:rsid w:val="00E619D2"/>
    <w:rsid w:val="00E62EF2"/>
    <w:rsid w:val="00E72B9B"/>
    <w:rsid w:val="00E82B28"/>
    <w:rsid w:val="00E93067"/>
    <w:rsid w:val="00E94015"/>
    <w:rsid w:val="00EE47A5"/>
    <w:rsid w:val="00EF4337"/>
    <w:rsid w:val="00F07E69"/>
    <w:rsid w:val="00F17370"/>
    <w:rsid w:val="00F30ED9"/>
    <w:rsid w:val="00F418FD"/>
    <w:rsid w:val="00F4765C"/>
    <w:rsid w:val="00F55ACE"/>
    <w:rsid w:val="00F766F4"/>
    <w:rsid w:val="00F86D68"/>
    <w:rsid w:val="00F97809"/>
    <w:rsid w:val="00FC33D5"/>
    <w:rsid w:val="00FC41A5"/>
    <w:rsid w:val="00FD0BB2"/>
    <w:rsid w:val="00FE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2C"/>
    <w:rPr>
      <w:rFonts w:ascii="Times New Roman" w:eastAsia="Times New Roman" w:hAnsi="Times New Roman" w:cs="Times New Roman"/>
    </w:rPr>
  </w:style>
  <w:style w:type="paragraph" w:styleId="Heading2">
    <w:name w:val="heading 2"/>
    <w:basedOn w:val="Normal"/>
    <w:next w:val="Normal"/>
    <w:link w:val="Heading2Char"/>
    <w:qFormat/>
    <w:rsid w:val="0033642C"/>
    <w:pPr>
      <w:keepNext/>
      <w:tabs>
        <w:tab w:val="left" w:pos="720"/>
        <w:tab w:val="left" w:pos="1350"/>
      </w:tabs>
      <w:outlineLvl w:val="1"/>
    </w:pPr>
    <w:rPr>
      <w:rFonts w:ascii="Arial" w:hAnsi="Arial"/>
      <w:b/>
      <w:sz w:val="24"/>
    </w:rPr>
  </w:style>
  <w:style w:type="paragraph" w:styleId="Heading3">
    <w:name w:val="heading 3"/>
    <w:basedOn w:val="Normal"/>
    <w:next w:val="Normal"/>
    <w:link w:val="Heading3Char"/>
    <w:qFormat/>
    <w:rsid w:val="0033642C"/>
    <w:pPr>
      <w:keepNext/>
      <w:numPr>
        <w:numId w:val="1"/>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42C"/>
    <w:rPr>
      <w:rFonts w:eastAsia="Times New Roman" w:cs="Times New Roman"/>
      <w:b/>
      <w:sz w:val="24"/>
      <w:szCs w:val="20"/>
    </w:rPr>
  </w:style>
  <w:style w:type="character" w:customStyle="1" w:styleId="Heading3Char">
    <w:name w:val="Heading 3 Char"/>
    <w:basedOn w:val="DefaultParagraphFont"/>
    <w:link w:val="Heading3"/>
    <w:rsid w:val="0033642C"/>
    <w:rPr>
      <w:rFonts w:eastAsia="Times New Roman" w:cs="Times New Roman"/>
      <w:b/>
      <w:sz w:val="24"/>
      <w:szCs w:val="20"/>
    </w:rPr>
  </w:style>
  <w:style w:type="character" w:styleId="Hyperlink">
    <w:name w:val="Hyperlink"/>
    <w:basedOn w:val="DefaultParagraphFont"/>
    <w:uiPriority w:val="99"/>
    <w:rsid w:val="0033642C"/>
    <w:rPr>
      <w:color w:val="0000FF"/>
      <w:u w:val="single"/>
    </w:rPr>
  </w:style>
  <w:style w:type="paragraph" w:styleId="BodyText2">
    <w:name w:val="Body Text 2"/>
    <w:basedOn w:val="Normal"/>
    <w:link w:val="BodyText2Char"/>
    <w:rsid w:val="0033642C"/>
    <w:rPr>
      <w:color w:val="000000"/>
      <w:sz w:val="24"/>
    </w:rPr>
  </w:style>
  <w:style w:type="character" w:customStyle="1" w:styleId="BodyText2Char">
    <w:name w:val="Body Text 2 Char"/>
    <w:basedOn w:val="DefaultParagraphFont"/>
    <w:link w:val="BodyText2"/>
    <w:rsid w:val="0033642C"/>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33642C"/>
    <w:pPr>
      <w:tabs>
        <w:tab w:val="center" w:pos="4320"/>
        <w:tab w:val="right" w:pos="8640"/>
      </w:tabs>
    </w:pPr>
  </w:style>
  <w:style w:type="character" w:customStyle="1" w:styleId="FooterChar">
    <w:name w:val="Footer Char"/>
    <w:basedOn w:val="DefaultParagraphFont"/>
    <w:link w:val="Footer"/>
    <w:uiPriority w:val="99"/>
    <w:rsid w:val="003364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642C"/>
    <w:rPr>
      <w:rFonts w:ascii="Tahoma" w:hAnsi="Tahoma" w:cs="Tahoma"/>
      <w:sz w:val="16"/>
      <w:szCs w:val="16"/>
    </w:rPr>
  </w:style>
  <w:style w:type="character" w:customStyle="1" w:styleId="BalloonTextChar">
    <w:name w:val="Balloon Text Char"/>
    <w:basedOn w:val="DefaultParagraphFont"/>
    <w:link w:val="BalloonText"/>
    <w:uiPriority w:val="99"/>
    <w:semiHidden/>
    <w:rsid w:val="0033642C"/>
    <w:rPr>
      <w:rFonts w:ascii="Tahoma" w:eastAsia="Times New Roman" w:hAnsi="Tahoma" w:cs="Tahoma"/>
      <w:sz w:val="16"/>
      <w:szCs w:val="16"/>
    </w:rPr>
  </w:style>
  <w:style w:type="paragraph" w:styleId="Header">
    <w:name w:val="header"/>
    <w:basedOn w:val="Normal"/>
    <w:link w:val="HeaderChar"/>
    <w:uiPriority w:val="99"/>
    <w:unhideWhenUsed/>
    <w:rsid w:val="003B7215"/>
    <w:pPr>
      <w:tabs>
        <w:tab w:val="center" w:pos="4680"/>
        <w:tab w:val="right" w:pos="9360"/>
      </w:tabs>
    </w:pPr>
  </w:style>
  <w:style w:type="character" w:customStyle="1" w:styleId="HeaderChar">
    <w:name w:val="Header Char"/>
    <w:basedOn w:val="DefaultParagraphFont"/>
    <w:link w:val="Header"/>
    <w:uiPriority w:val="99"/>
    <w:rsid w:val="003B721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365C"/>
    <w:rPr>
      <w:sz w:val="16"/>
      <w:szCs w:val="16"/>
    </w:rPr>
  </w:style>
  <w:style w:type="paragraph" w:styleId="CommentText">
    <w:name w:val="annotation text"/>
    <w:basedOn w:val="Normal"/>
    <w:link w:val="CommentTextChar"/>
    <w:uiPriority w:val="99"/>
    <w:semiHidden/>
    <w:unhideWhenUsed/>
    <w:rsid w:val="007C365C"/>
  </w:style>
  <w:style w:type="character" w:customStyle="1" w:styleId="CommentTextChar">
    <w:name w:val="Comment Text Char"/>
    <w:basedOn w:val="DefaultParagraphFont"/>
    <w:link w:val="CommentText"/>
    <w:uiPriority w:val="99"/>
    <w:semiHidden/>
    <w:rsid w:val="007C36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365C"/>
    <w:rPr>
      <w:b/>
      <w:bCs/>
    </w:rPr>
  </w:style>
  <w:style w:type="character" w:customStyle="1" w:styleId="CommentSubjectChar">
    <w:name w:val="Comment Subject Char"/>
    <w:basedOn w:val="CommentTextChar"/>
    <w:link w:val="CommentSubject"/>
    <w:uiPriority w:val="99"/>
    <w:semiHidden/>
    <w:rsid w:val="007C365C"/>
    <w:rPr>
      <w:rFonts w:ascii="Times New Roman" w:eastAsia="Times New Roman" w:hAnsi="Times New Roman" w:cs="Times New Roman"/>
      <w:b/>
      <w:bCs/>
    </w:rPr>
  </w:style>
  <w:style w:type="paragraph" w:styleId="Revision">
    <w:name w:val="Revision"/>
    <w:hidden/>
    <w:uiPriority w:val="99"/>
    <w:semiHidden/>
    <w:rsid w:val="007C365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1404"/>
    <w:rPr>
      <w:color w:val="800080"/>
      <w:u w:val="single"/>
    </w:rPr>
  </w:style>
  <w:style w:type="paragraph" w:styleId="FootnoteText">
    <w:name w:val="footnote text"/>
    <w:basedOn w:val="Normal"/>
    <w:link w:val="FootnoteTextChar"/>
    <w:uiPriority w:val="99"/>
    <w:unhideWhenUsed/>
    <w:rsid w:val="00546193"/>
  </w:style>
  <w:style w:type="character" w:customStyle="1" w:styleId="FootnoteTextChar">
    <w:name w:val="Footnote Text Char"/>
    <w:basedOn w:val="DefaultParagraphFont"/>
    <w:link w:val="FootnoteText"/>
    <w:uiPriority w:val="99"/>
    <w:rsid w:val="00546193"/>
    <w:rPr>
      <w:rFonts w:ascii="Times New Roman" w:eastAsia="Times New Roman" w:hAnsi="Times New Roman" w:cs="Times New Roman"/>
    </w:rPr>
  </w:style>
  <w:style w:type="character" w:styleId="FootnoteReference">
    <w:name w:val="footnote reference"/>
    <w:basedOn w:val="DefaultParagraphFont"/>
    <w:uiPriority w:val="99"/>
    <w:unhideWhenUsed/>
    <w:rsid w:val="00546193"/>
    <w:rPr>
      <w:vertAlign w:val="superscript"/>
    </w:rPr>
  </w:style>
  <w:style w:type="paragraph" w:styleId="NormalWeb">
    <w:name w:val="Normal (Web)"/>
    <w:basedOn w:val="Normal"/>
    <w:link w:val="NormalWebChar"/>
    <w:uiPriority w:val="99"/>
    <w:rsid w:val="00E94015"/>
    <w:pPr>
      <w:spacing w:before="100" w:beforeAutospacing="1" w:after="100" w:afterAutospacing="1"/>
    </w:pPr>
    <w:rPr>
      <w:rFonts w:ascii="Arial" w:hAnsi="Arial"/>
      <w:sz w:val="24"/>
    </w:rPr>
  </w:style>
  <w:style w:type="character" w:customStyle="1" w:styleId="NormalWebChar">
    <w:name w:val="Normal (Web) Char"/>
    <w:link w:val="NormalWeb"/>
    <w:uiPriority w:val="99"/>
    <w:locked/>
    <w:rsid w:val="00E94015"/>
    <w:rPr>
      <w:rFonts w:eastAsia="Times New Roman" w:cs="Times New Roman"/>
      <w:sz w:val="24"/>
    </w:rPr>
  </w:style>
  <w:style w:type="character" w:customStyle="1" w:styleId="answerbagvibrant">
    <w:name w:val="answerbag_vibrant"/>
    <w:basedOn w:val="DefaultParagraphFont"/>
    <w:uiPriority w:val="99"/>
    <w:rsid w:val="00E94015"/>
    <w:rPr>
      <w:rFonts w:cs="Times New Roman"/>
    </w:rPr>
  </w:style>
  <w:style w:type="paragraph" w:styleId="ListParagraph">
    <w:name w:val="List Paragraph"/>
    <w:basedOn w:val="Normal"/>
    <w:uiPriority w:val="34"/>
    <w:qFormat/>
    <w:rsid w:val="00E41CA8"/>
    <w:pPr>
      <w:spacing w:after="120"/>
      <w:ind w:left="72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nergy.ca.gov/2006publications/CEC-400-2006-005/CEC-400-2006-005.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dnav/ng/ng_pri_sum_dcu_SCA_a.htm" TargetMode="External"/><Relationship Id="rId1" Type="http://schemas.openxmlformats.org/officeDocument/2006/relationships/hyperlink" Target="http://www.eia.gov/electricity/sales_revenue_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43D8D-0823-478B-AA62-9C59172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3944</CharactersWithSpaces>
  <SharedDoc>false</SharedDoc>
  <HLinks>
    <vt:vector size="18" baseType="variant">
      <vt:variant>
        <vt:i4>1441886</vt:i4>
      </vt:variant>
      <vt:variant>
        <vt:i4>0</vt:i4>
      </vt:variant>
      <vt:variant>
        <vt:i4>0</vt:i4>
      </vt:variant>
      <vt:variant>
        <vt:i4>5</vt:i4>
      </vt:variant>
      <vt:variant>
        <vt:lpwstr>http://www.energy.ca.gov/ceus/index.html</vt:lpwstr>
      </vt:variant>
      <vt:variant>
        <vt:lpwstr/>
      </vt:variant>
      <vt:variant>
        <vt:i4>2031716</vt:i4>
      </vt:variant>
      <vt:variant>
        <vt:i4>3</vt:i4>
      </vt:variant>
      <vt:variant>
        <vt:i4>0</vt:i4>
      </vt:variant>
      <vt:variant>
        <vt:i4>5</vt:i4>
      </vt:variant>
      <vt:variant>
        <vt:lpwstr>http://www.eia.gov/dnav/ng/ng_pri_sum_dcu_SCA_a.htm</vt:lpwstr>
      </vt:variant>
      <vt:variant>
        <vt:lpwstr/>
      </vt:variant>
      <vt:variant>
        <vt:i4>2883698</vt:i4>
      </vt:variant>
      <vt:variant>
        <vt:i4>0</vt:i4>
      </vt:variant>
      <vt:variant>
        <vt:i4>0</vt:i4>
      </vt:variant>
      <vt:variant>
        <vt:i4>5</vt:i4>
      </vt:variant>
      <vt:variant>
        <vt:lpwstr>http://www.eia.gov/electricity/sales_revenue_price/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mpoe</dc:creator>
  <cp:keywords/>
  <dc:description/>
  <cp:lastModifiedBy>jfranks</cp:lastModifiedBy>
  <cp:revision>6</cp:revision>
  <cp:lastPrinted>2015-11-13T23:05:00Z</cp:lastPrinted>
  <dcterms:created xsi:type="dcterms:W3CDTF">2014-09-26T17:46:00Z</dcterms:created>
  <dcterms:modified xsi:type="dcterms:W3CDTF">2015-11-13T23:05:00Z</dcterms:modified>
</cp:coreProperties>
</file>