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11" w:rsidRPr="00CA6636" w:rsidRDefault="00CA6636" w:rsidP="00C04B11">
      <w:pPr>
        <w:spacing w:after="200" w:line="276" w:lineRule="auto"/>
        <w:jc w:val="center"/>
        <w:rPr>
          <w:rFonts w:ascii="Arial" w:eastAsia="Times New Roman" w:hAnsi="Arial" w:cs="Arial"/>
          <w:b/>
          <w:color w:val="000000"/>
          <w:sz w:val="56"/>
          <w:szCs w:val="48"/>
        </w:rPr>
      </w:pPr>
      <w:r w:rsidRPr="00CA6636">
        <w:rPr>
          <w:rFonts w:ascii="Arial" w:eastAsia="Times New Roman" w:hAnsi="Arial" w:cs="Arial"/>
          <w:b/>
          <w:color w:val="000000"/>
          <w:sz w:val="56"/>
          <w:szCs w:val="48"/>
        </w:rPr>
        <w:t>GFO-15-312</w:t>
      </w:r>
    </w:p>
    <w:p w:rsidR="00CA6636" w:rsidRPr="00CA6636" w:rsidRDefault="00CA6636" w:rsidP="00C04B11">
      <w:pPr>
        <w:spacing w:after="200" w:line="276" w:lineRule="auto"/>
        <w:jc w:val="center"/>
        <w:rPr>
          <w:rFonts w:ascii="Arial" w:eastAsia="Times New Roman" w:hAnsi="Arial" w:cs="Arial"/>
          <w:color w:val="000000"/>
          <w:sz w:val="36"/>
          <w:szCs w:val="36"/>
        </w:rPr>
      </w:pPr>
      <w:r w:rsidRPr="00CA6636">
        <w:rPr>
          <w:rFonts w:ascii="Arial" w:eastAsia="Times New Roman" w:hAnsi="Arial" w:cs="Arial"/>
          <w:color w:val="000000"/>
          <w:sz w:val="36"/>
          <w:szCs w:val="36"/>
        </w:rPr>
        <w:t>The EPIC Challenge: Accelerating the Deployment of Advanced Energy Communities</w:t>
      </w:r>
    </w:p>
    <w:p w:rsidR="00CA6636" w:rsidRPr="00CA6636" w:rsidRDefault="00CA6636" w:rsidP="00C04B11">
      <w:pPr>
        <w:spacing w:after="200" w:line="276" w:lineRule="auto"/>
        <w:jc w:val="center"/>
        <w:rPr>
          <w:rFonts w:ascii="Arial" w:eastAsia="Times New Roman" w:hAnsi="Arial" w:cs="Arial"/>
          <w:color w:val="000000"/>
          <w:sz w:val="36"/>
          <w:szCs w:val="36"/>
        </w:rPr>
      </w:pPr>
    </w:p>
    <w:p w:rsidR="00CA6636" w:rsidRPr="00CA6636" w:rsidRDefault="00CA6636" w:rsidP="00C04B11">
      <w:pPr>
        <w:spacing w:after="200" w:line="276" w:lineRule="auto"/>
        <w:jc w:val="center"/>
        <w:rPr>
          <w:rFonts w:ascii="Arial" w:eastAsia="Times New Roman" w:hAnsi="Arial" w:cs="Arial"/>
          <w:color w:val="000000"/>
        </w:rPr>
      </w:pPr>
    </w:p>
    <w:p w:rsidR="00CA6636" w:rsidRPr="00CA6636" w:rsidRDefault="00CA6636" w:rsidP="00C04B11">
      <w:pPr>
        <w:spacing w:after="200" w:line="276" w:lineRule="auto"/>
        <w:jc w:val="center"/>
        <w:rPr>
          <w:rFonts w:ascii="Arial" w:eastAsia="Times New Roman" w:hAnsi="Arial" w:cs="Arial"/>
          <w:color w:val="000000"/>
          <w:sz w:val="40"/>
        </w:rPr>
      </w:pPr>
    </w:p>
    <w:p w:rsidR="00CA6636" w:rsidRPr="00CA6636" w:rsidRDefault="00CA6636" w:rsidP="00C04B11">
      <w:pPr>
        <w:spacing w:after="200" w:line="276" w:lineRule="auto"/>
        <w:jc w:val="center"/>
        <w:rPr>
          <w:rFonts w:ascii="Arial" w:eastAsia="Times New Roman" w:hAnsi="Arial" w:cs="Arial"/>
          <w:b/>
          <w:color w:val="000000"/>
          <w:sz w:val="40"/>
        </w:rPr>
      </w:pPr>
      <w:r w:rsidRPr="00CA6636">
        <w:rPr>
          <w:rFonts w:ascii="Arial" w:eastAsia="Times New Roman" w:hAnsi="Arial" w:cs="Arial"/>
          <w:b/>
          <w:color w:val="000000"/>
          <w:sz w:val="40"/>
        </w:rPr>
        <w:t>Pre-Application Questions and Answers</w:t>
      </w:r>
    </w:p>
    <w:p w:rsidR="00CA6636" w:rsidRPr="00CA6636" w:rsidRDefault="00CA6636" w:rsidP="00C04B11">
      <w:pPr>
        <w:spacing w:after="200" w:line="276" w:lineRule="auto"/>
        <w:jc w:val="center"/>
        <w:rPr>
          <w:rFonts w:ascii="Arial" w:eastAsia="Times New Roman" w:hAnsi="Arial" w:cs="Arial"/>
          <w:color w:val="000000"/>
        </w:rPr>
      </w:pPr>
    </w:p>
    <w:p w:rsidR="00CA6636" w:rsidRPr="00CA6636" w:rsidRDefault="00CA6636" w:rsidP="00C04B11">
      <w:pPr>
        <w:spacing w:after="200" w:line="276" w:lineRule="auto"/>
        <w:jc w:val="center"/>
        <w:rPr>
          <w:rFonts w:ascii="Arial" w:eastAsia="Times New Roman" w:hAnsi="Arial" w:cs="Arial"/>
          <w:color w:val="000000"/>
          <w:sz w:val="44"/>
        </w:rPr>
      </w:pPr>
    </w:p>
    <w:p w:rsidR="00CA6636" w:rsidRPr="00CA6636" w:rsidRDefault="00CA6636" w:rsidP="00C04B11">
      <w:pPr>
        <w:spacing w:after="200" w:line="276" w:lineRule="auto"/>
        <w:jc w:val="center"/>
        <w:rPr>
          <w:rFonts w:ascii="Arial" w:eastAsia="Times New Roman" w:hAnsi="Arial" w:cs="Arial"/>
          <w:color w:val="000000"/>
          <w:sz w:val="44"/>
        </w:rPr>
      </w:pPr>
    </w:p>
    <w:p w:rsidR="00CA6636" w:rsidRPr="00CA6636" w:rsidRDefault="00CA6636" w:rsidP="00C04B11">
      <w:pPr>
        <w:spacing w:after="200" w:line="276" w:lineRule="auto"/>
        <w:jc w:val="center"/>
        <w:rPr>
          <w:rFonts w:ascii="Arial" w:eastAsia="Times New Roman" w:hAnsi="Arial" w:cs="Arial"/>
          <w:color w:val="000000"/>
          <w:sz w:val="44"/>
        </w:rPr>
      </w:pPr>
    </w:p>
    <w:p w:rsidR="00CA6636" w:rsidRPr="00CA6636" w:rsidRDefault="00CA6636" w:rsidP="00C04B11">
      <w:pPr>
        <w:spacing w:after="200" w:line="276" w:lineRule="auto"/>
        <w:jc w:val="center"/>
        <w:rPr>
          <w:rFonts w:ascii="Arial" w:eastAsia="Times New Roman" w:hAnsi="Arial" w:cs="Arial"/>
          <w:color w:val="000000"/>
          <w:sz w:val="44"/>
        </w:rPr>
      </w:pPr>
    </w:p>
    <w:p w:rsidR="00CA6636" w:rsidRPr="00CA6636" w:rsidRDefault="00CA6636" w:rsidP="00C04B11">
      <w:pPr>
        <w:spacing w:after="200" w:line="276" w:lineRule="auto"/>
        <w:jc w:val="center"/>
        <w:rPr>
          <w:rFonts w:ascii="Arial" w:eastAsia="Times New Roman" w:hAnsi="Arial" w:cs="Arial"/>
          <w:color w:val="000000"/>
          <w:sz w:val="32"/>
        </w:rPr>
      </w:pPr>
      <w:r w:rsidRPr="00CA6636">
        <w:rPr>
          <w:rFonts w:ascii="Arial" w:eastAsia="Times New Roman" w:hAnsi="Arial" w:cs="Arial"/>
          <w:color w:val="000000"/>
          <w:sz w:val="32"/>
        </w:rPr>
        <w:t>State of California</w:t>
      </w:r>
    </w:p>
    <w:p w:rsidR="00CA6636" w:rsidRPr="00CA6636" w:rsidRDefault="00CA6636" w:rsidP="00C04B11">
      <w:pPr>
        <w:spacing w:after="200" w:line="276" w:lineRule="auto"/>
        <w:jc w:val="center"/>
        <w:rPr>
          <w:rFonts w:ascii="Arial" w:eastAsia="Times New Roman" w:hAnsi="Arial" w:cs="Arial"/>
          <w:color w:val="000000"/>
          <w:sz w:val="32"/>
        </w:rPr>
      </w:pPr>
      <w:r w:rsidRPr="00CA6636">
        <w:rPr>
          <w:rFonts w:ascii="Arial" w:eastAsia="Times New Roman" w:hAnsi="Arial" w:cs="Arial"/>
          <w:color w:val="000000"/>
          <w:sz w:val="32"/>
        </w:rPr>
        <w:t>California Energy Commission</w:t>
      </w:r>
    </w:p>
    <w:p w:rsidR="00936627" w:rsidRDefault="00FF07B5" w:rsidP="00CA6636">
      <w:pPr>
        <w:keepLines/>
        <w:widowControl w:val="0"/>
        <w:jc w:val="center"/>
        <w:rPr>
          <w:rStyle w:val="Hyperlink"/>
          <w:rFonts w:ascii="Arial" w:hAnsi="Arial" w:cs="Arial"/>
          <w:sz w:val="32"/>
        </w:rPr>
      </w:pPr>
      <w:hyperlink r:id="rId9" w:history="1">
        <w:r w:rsidR="00CA6636" w:rsidRPr="00CA6636">
          <w:rPr>
            <w:rStyle w:val="Hyperlink"/>
            <w:rFonts w:ascii="Arial" w:hAnsi="Arial" w:cs="Arial"/>
            <w:sz w:val="32"/>
          </w:rPr>
          <w:t>http://www.energy.ca.gov/contracts/index.html</w:t>
        </w:r>
      </w:hyperlink>
    </w:p>
    <w:p w:rsidR="00936627" w:rsidRDefault="00936627">
      <w:pPr>
        <w:spacing w:after="200" w:line="276" w:lineRule="auto"/>
        <w:rPr>
          <w:rStyle w:val="Hyperlink"/>
          <w:rFonts w:ascii="Arial" w:hAnsi="Arial" w:cs="Arial"/>
          <w:sz w:val="32"/>
        </w:rPr>
      </w:pPr>
      <w:r>
        <w:rPr>
          <w:rStyle w:val="Hyperlink"/>
          <w:rFonts w:ascii="Arial" w:hAnsi="Arial" w:cs="Arial"/>
          <w:sz w:val="32"/>
        </w:rPr>
        <w:br w:type="page"/>
      </w:r>
    </w:p>
    <w:sdt>
      <w:sdtPr>
        <w:rPr>
          <w:rFonts w:ascii="Times New Roman" w:eastAsiaTheme="minorHAnsi" w:hAnsi="Times New Roman" w:cs="Times New Roman"/>
          <w:b w:val="0"/>
          <w:bCs w:val="0"/>
          <w:color w:val="auto"/>
          <w:sz w:val="24"/>
          <w:szCs w:val="24"/>
          <w:lang w:eastAsia="en-US"/>
        </w:rPr>
        <w:id w:val="1090519773"/>
        <w:docPartObj>
          <w:docPartGallery w:val="Table of Contents"/>
          <w:docPartUnique/>
        </w:docPartObj>
      </w:sdtPr>
      <w:sdtEndPr>
        <w:rPr>
          <w:noProof/>
        </w:rPr>
      </w:sdtEndPr>
      <w:sdtContent>
        <w:p w:rsidR="00936627" w:rsidRPr="00270B1C" w:rsidRDefault="00936627">
          <w:pPr>
            <w:pStyle w:val="TOCHeading"/>
            <w:rPr>
              <w:rFonts w:ascii="Palatino Linotype" w:hAnsi="Palatino Linotype"/>
              <w:color w:val="auto"/>
            </w:rPr>
          </w:pPr>
          <w:r w:rsidRPr="00270B1C">
            <w:rPr>
              <w:rFonts w:ascii="Palatino Linotype" w:hAnsi="Palatino Linotype"/>
              <w:color w:val="auto"/>
            </w:rPr>
            <w:t>Contents</w:t>
          </w:r>
        </w:p>
        <w:p w:rsidR="004C6D7B" w:rsidRPr="00270B1C" w:rsidRDefault="004C6D7B" w:rsidP="004C6D7B">
          <w:pPr>
            <w:rPr>
              <w:rFonts w:ascii="Palatino Linotype" w:hAnsi="Palatino Linotype"/>
              <w:lang w:eastAsia="ja-JP"/>
            </w:rPr>
          </w:pPr>
        </w:p>
        <w:p w:rsidR="00E8687C" w:rsidRDefault="00936627">
          <w:pPr>
            <w:pStyle w:val="TOC1"/>
            <w:tabs>
              <w:tab w:val="right" w:leader="dot" w:pos="9350"/>
            </w:tabs>
            <w:rPr>
              <w:rFonts w:asciiTheme="minorHAnsi" w:eastAsiaTheme="minorEastAsia" w:hAnsiTheme="minorHAnsi" w:cstheme="minorBidi"/>
              <w:noProof/>
              <w:sz w:val="22"/>
              <w:szCs w:val="22"/>
            </w:rPr>
          </w:pPr>
          <w:r w:rsidRPr="00270B1C">
            <w:rPr>
              <w:rFonts w:ascii="Palatino Linotype" w:hAnsi="Palatino Linotype"/>
            </w:rPr>
            <w:fldChar w:fldCharType="begin"/>
          </w:r>
          <w:r w:rsidRPr="00270B1C">
            <w:rPr>
              <w:rFonts w:ascii="Palatino Linotype" w:hAnsi="Palatino Linotype"/>
            </w:rPr>
            <w:instrText xml:space="preserve"> TOC \o "1-3" \h \z \u </w:instrText>
          </w:r>
          <w:r w:rsidRPr="00270B1C">
            <w:rPr>
              <w:rFonts w:ascii="Palatino Linotype" w:hAnsi="Palatino Linotype"/>
            </w:rPr>
            <w:fldChar w:fldCharType="separate"/>
          </w:r>
          <w:hyperlink w:anchor="_Toc438652247" w:history="1">
            <w:r w:rsidR="00E8687C" w:rsidRPr="00F8081C">
              <w:rPr>
                <w:rStyle w:val="Hyperlink"/>
                <w:rFonts w:ascii="Palatino Linotype" w:eastAsia="Times New Roman" w:hAnsi="Palatino Linotype"/>
                <w:noProof/>
              </w:rPr>
              <w:t>Funding Levels and Funding Group Qualification</w:t>
            </w:r>
            <w:r w:rsidR="00E8687C">
              <w:rPr>
                <w:noProof/>
                <w:webHidden/>
              </w:rPr>
              <w:tab/>
            </w:r>
            <w:r w:rsidR="00E8687C">
              <w:rPr>
                <w:noProof/>
                <w:webHidden/>
              </w:rPr>
              <w:fldChar w:fldCharType="begin"/>
            </w:r>
            <w:r w:rsidR="00E8687C">
              <w:rPr>
                <w:noProof/>
                <w:webHidden/>
              </w:rPr>
              <w:instrText xml:space="preserve"> PAGEREF _Toc438652247 \h </w:instrText>
            </w:r>
            <w:r w:rsidR="00E8687C">
              <w:rPr>
                <w:noProof/>
                <w:webHidden/>
              </w:rPr>
            </w:r>
            <w:r w:rsidR="00E8687C">
              <w:rPr>
                <w:noProof/>
                <w:webHidden/>
              </w:rPr>
              <w:fldChar w:fldCharType="separate"/>
            </w:r>
            <w:r w:rsidR="00FF07B5">
              <w:rPr>
                <w:noProof/>
                <w:webHidden/>
              </w:rPr>
              <w:t>3</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48" w:history="1">
            <w:r w:rsidR="00E8687C" w:rsidRPr="00F8081C">
              <w:rPr>
                <w:rStyle w:val="Hyperlink"/>
                <w:rFonts w:ascii="Palatino Linotype" w:eastAsia="Times New Roman" w:hAnsi="Palatino Linotype"/>
                <w:noProof/>
              </w:rPr>
              <w:t>Physical Site Selection</w:t>
            </w:r>
            <w:r w:rsidR="00E8687C">
              <w:rPr>
                <w:noProof/>
                <w:webHidden/>
              </w:rPr>
              <w:tab/>
            </w:r>
            <w:r w:rsidR="00E8687C">
              <w:rPr>
                <w:noProof/>
                <w:webHidden/>
              </w:rPr>
              <w:fldChar w:fldCharType="begin"/>
            </w:r>
            <w:r w:rsidR="00E8687C">
              <w:rPr>
                <w:noProof/>
                <w:webHidden/>
              </w:rPr>
              <w:instrText xml:space="preserve"> PAGEREF _Toc438652248 \h </w:instrText>
            </w:r>
            <w:r w:rsidR="00E8687C">
              <w:rPr>
                <w:noProof/>
                <w:webHidden/>
              </w:rPr>
            </w:r>
            <w:r w:rsidR="00E8687C">
              <w:rPr>
                <w:noProof/>
                <w:webHidden/>
              </w:rPr>
              <w:fldChar w:fldCharType="separate"/>
            </w:r>
            <w:r>
              <w:rPr>
                <w:noProof/>
                <w:webHidden/>
              </w:rPr>
              <w:t>4</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49" w:history="1">
            <w:r w:rsidR="00E8687C" w:rsidRPr="00F8081C">
              <w:rPr>
                <w:rStyle w:val="Hyperlink"/>
                <w:rFonts w:ascii="Palatino Linotype" w:eastAsia="Times New Roman" w:hAnsi="Palatino Linotype"/>
                <w:noProof/>
              </w:rPr>
              <w:t>Technology</w:t>
            </w:r>
            <w:r w:rsidR="00E8687C">
              <w:rPr>
                <w:noProof/>
                <w:webHidden/>
              </w:rPr>
              <w:tab/>
            </w:r>
            <w:r w:rsidR="00E8687C">
              <w:rPr>
                <w:noProof/>
                <w:webHidden/>
              </w:rPr>
              <w:fldChar w:fldCharType="begin"/>
            </w:r>
            <w:r w:rsidR="00E8687C">
              <w:rPr>
                <w:noProof/>
                <w:webHidden/>
              </w:rPr>
              <w:instrText xml:space="preserve"> PAGEREF _Toc438652249 \h </w:instrText>
            </w:r>
            <w:r w:rsidR="00E8687C">
              <w:rPr>
                <w:noProof/>
                <w:webHidden/>
              </w:rPr>
            </w:r>
            <w:r w:rsidR="00E8687C">
              <w:rPr>
                <w:noProof/>
                <w:webHidden/>
              </w:rPr>
              <w:fldChar w:fldCharType="separate"/>
            </w:r>
            <w:r>
              <w:rPr>
                <w:noProof/>
                <w:webHidden/>
              </w:rPr>
              <w:t>5</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50" w:history="1">
            <w:r w:rsidR="00E8687C" w:rsidRPr="00F8081C">
              <w:rPr>
                <w:rStyle w:val="Hyperlink"/>
                <w:rFonts w:ascii="Palatino Linotype" w:eastAsia="Times New Roman" w:hAnsi="Palatino Linotype"/>
                <w:noProof/>
              </w:rPr>
              <w:t>Match Funding</w:t>
            </w:r>
            <w:r w:rsidR="00E8687C">
              <w:rPr>
                <w:noProof/>
                <w:webHidden/>
              </w:rPr>
              <w:tab/>
            </w:r>
            <w:r w:rsidR="00E8687C">
              <w:rPr>
                <w:noProof/>
                <w:webHidden/>
              </w:rPr>
              <w:fldChar w:fldCharType="begin"/>
            </w:r>
            <w:r w:rsidR="00E8687C">
              <w:rPr>
                <w:noProof/>
                <w:webHidden/>
              </w:rPr>
              <w:instrText xml:space="preserve"> PAGEREF _Toc438652250 \h </w:instrText>
            </w:r>
            <w:r w:rsidR="00E8687C">
              <w:rPr>
                <w:noProof/>
                <w:webHidden/>
              </w:rPr>
            </w:r>
            <w:r w:rsidR="00E8687C">
              <w:rPr>
                <w:noProof/>
                <w:webHidden/>
              </w:rPr>
              <w:fldChar w:fldCharType="separate"/>
            </w:r>
            <w:r>
              <w:rPr>
                <w:noProof/>
                <w:webHidden/>
              </w:rPr>
              <w:t>7</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51" w:history="1">
            <w:r w:rsidR="00E8687C" w:rsidRPr="00F8081C">
              <w:rPr>
                <w:rStyle w:val="Hyperlink"/>
                <w:rFonts w:ascii="Palatino Linotype" w:hAnsi="Palatino Linotype"/>
                <w:noProof/>
              </w:rPr>
              <w:t>Local Government Definition</w:t>
            </w:r>
            <w:r w:rsidR="00E8687C">
              <w:rPr>
                <w:noProof/>
                <w:webHidden/>
              </w:rPr>
              <w:tab/>
            </w:r>
            <w:r w:rsidR="00E8687C">
              <w:rPr>
                <w:noProof/>
                <w:webHidden/>
              </w:rPr>
              <w:fldChar w:fldCharType="begin"/>
            </w:r>
            <w:r w:rsidR="00E8687C">
              <w:rPr>
                <w:noProof/>
                <w:webHidden/>
              </w:rPr>
              <w:instrText xml:space="preserve"> PAGEREF _Toc438652251 \h </w:instrText>
            </w:r>
            <w:r w:rsidR="00E8687C">
              <w:rPr>
                <w:noProof/>
                <w:webHidden/>
              </w:rPr>
            </w:r>
            <w:r w:rsidR="00E8687C">
              <w:rPr>
                <w:noProof/>
                <w:webHidden/>
              </w:rPr>
              <w:fldChar w:fldCharType="separate"/>
            </w:r>
            <w:r>
              <w:rPr>
                <w:noProof/>
                <w:webHidden/>
              </w:rPr>
              <w:t>8</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52" w:history="1">
            <w:r w:rsidR="00E8687C" w:rsidRPr="00F8081C">
              <w:rPr>
                <w:rStyle w:val="Hyperlink"/>
                <w:rFonts w:ascii="Palatino Linotype" w:hAnsi="Palatino Linotype"/>
                <w:noProof/>
              </w:rPr>
              <w:t>Additional Point Qualifications</w:t>
            </w:r>
            <w:r w:rsidR="00E8687C">
              <w:rPr>
                <w:noProof/>
                <w:webHidden/>
              </w:rPr>
              <w:tab/>
            </w:r>
            <w:r w:rsidR="00E8687C">
              <w:rPr>
                <w:noProof/>
                <w:webHidden/>
              </w:rPr>
              <w:fldChar w:fldCharType="begin"/>
            </w:r>
            <w:r w:rsidR="00E8687C">
              <w:rPr>
                <w:noProof/>
                <w:webHidden/>
              </w:rPr>
              <w:instrText xml:space="preserve"> PAGEREF _Toc438652252 \h </w:instrText>
            </w:r>
            <w:r w:rsidR="00E8687C">
              <w:rPr>
                <w:noProof/>
                <w:webHidden/>
              </w:rPr>
            </w:r>
            <w:r w:rsidR="00E8687C">
              <w:rPr>
                <w:noProof/>
                <w:webHidden/>
              </w:rPr>
              <w:fldChar w:fldCharType="separate"/>
            </w:r>
            <w:r>
              <w:rPr>
                <w:noProof/>
                <w:webHidden/>
              </w:rPr>
              <w:t>9</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53" w:history="1">
            <w:r w:rsidR="00E8687C" w:rsidRPr="00F8081C">
              <w:rPr>
                <w:rStyle w:val="Hyperlink"/>
                <w:rFonts w:ascii="Palatino Linotype" w:hAnsi="Palatino Linotype"/>
                <w:noProof/>
              </w:rPr>
              <w:t>Phase II</w:t>
            </w:r>
            <w:r w:rsidR="00E8687C">
              <w:rPr>
                <w:noProof/>
                <w:webHidden/>
              </w:rPr>
              <w:tab/>
            </w:r>
            <w:r w:rsidR="00E8687C">
              <w:rPr>
                <w:noProof/>
                <w:webHidden/>
              </w:rPr>
              <w:fldChar w:fldCharType="begin"/>
            </w:r>
            <w:r w:rsidR="00E8687C">
              <w:rPr>
                <w:noProof/>
                <w:webHidden/>
              </w:rPr>
              <w:instrText xml:space="preserve"> PAGEREF _Toc438652253 \h </w:instrText>
            </w:r>
            <w:r w:rsidR="00E8687C">
              <w:rPr>
                <w:noProof/>
                <w:webHidden/>
              </w:rPr>
            </w:r>
            <w:r w:rsidR="00E8687C">
              <w:rPr>
                <w:noProof/>
                <w:webHidden/>
              </w:rPr>
              <w:fldChar w:fldCharType="separate"/>
            </w:r>
            <w:r>
              <w:rPr>
                <w:noProof/>
                <w:webHidden/>
              </w:rPr>
              <w:t>10</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54" w:history="1">
            <w:r w:rsidR="00E8687C" w:rsidRPr="00F8081C">
              <w:rPr>
                <w:rStyle w:val="Hyperlink"/>
                <w:rFonts w:ascii="Palatino Linotype" w:hAnsi="Palatino Linotype"/>
                <w:noProof/>
              </w:rPr>
              <w:t>Administrative Questions</w:t>
            </w:r>
            <w:r w:rsidR="00E8687C">
              <w:rPr>
                <w:noProof/>
                <w:webHidden/>
              </w:rPr>
              <w:tab/>
            </w:r>
            <w:r w:rsidR="00E8687C">
              <w:rPr>
                <w:noProof/>
                <w:webHidden/>
              </w:rPr>
              <w:fldChar w:fldCharType="begin"/>
            </w:r>
            <w:r w:rsidR="00E8687C">
              <w:rPr>
                <w:noProof/>
                <w:webHidden/>
              </w:rPr>
              <w:instrText xml:space="preserve"> PAGEREF _Toc438652254 \h </w:instrText>
            </w:r>
            <w:r w:rsidR="00E8687C">
              <w:rPr>
                <w:noProof/>
                <w:webHidden/>
              </w:rPr>
            </w:r>
            <w:r w:rsidR="00E8687C">
              <w:rPr>
                <w:noProof/>
                <w:webHidden/>
              </w:rPr>
              <w:fldChar w:fldCharType="separate"/>
            </w:r>
            <w:r>
              <w:rPr>
                <w:noProof/>
                <w:webHidden/>
              </w:rPr>
              <w:t>11</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55" w:history="1">
            <w:r w:rsidR="00E8687C" w:rsidRPr="00F8081C">
              <w:rPr>
                <w:rStyle w:val="Hyperlink"/>
                <w:rFonts w:ascii="Palatino Linotype" w:hAnsi="Palatino Linotype"/>
                <w:noProof/>
              </w:rPr>
              <w:t>Objectives and Intent of Solicitation</w:t>
            </w:r>
            <w:r w:rsidR="00E8687C">
              <w:rPr>
                <w:noProof/>
                <w:webHidden/>
              </w:rPr>
              <w:tab/>
            </w:r>
            <w:r w:rsidR="00E8687C">
              <w:rPr>
                <w:noProof/>
                <w:webHidden/>
              </w:rPr>
              <w:fldChar w:fldCharType="begin"/>
            </w:r>
            <w:r w:rsidR="00E8687C">
              <w:rPr>
                <w:noProof/>
                <w:webHidden/>
              </w:rPr>
              <w:instrText xml:space="preserve"> PAGEREF _Toc438652255 \h </w:instrText>
            </w:r>
            <w:r w:rsidR="00E8687C">
              <w:rPr>
                <w:noProof/>
                <w:webHidden/>
              </w:rPr>
            </w:r>
            <w:r w:rsidR="00E8687C">
              <w:rPr>
                <w:noProof/>
                <w:webHidden/>
              </w:rPr>
              <w:fldChar w:fldCharType="separate"/>
            </w:r>
            <w:r>
              <w:rPr>
                <w:noProof/>
                <w:webHidden/>
              </w:rPr>
              <w:t>13</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56" w:history="1">
            <w:r w:rsidR="00E8687C" w:rsidRPr="00F8081C">
              <w:rPr>
                <w:rStyle w:val="Hyperlink"/>
                <w:rFonts w:ascii="Palatino Linotype" w:eastAsia="Times New Roman" w:hAnsi="Palatino Linotype"/>
                <w:noProof/>
              </w:rPr>
              <w:t>Utility Involvement</w:t>
            </w:r>
            <w:r w:rsidR="00E8687C">
              <w:rPr>
                <w:noProof/>
                <w:webHidden/>
              </w:rPr>
              <w:tab/>
            </w:r>
            <w:r w:rsidR="00E8687C">
              <w:rPr>
                <w:noProof/>
                <w:webHidden/>
              </w:rPr>
              <w:fldChar w:fldCharType="begin"/>
            </w:r>
            <w:r w:rsidR="00E8687C">
              <w:rPr>
                <w:noProof/>
                <w:webHidden/>
              </w:rPr>
              <w:instrText xml:space="preserve"> PAGEREF _Toc438652256 \h </w:instrText>
            </w:r>
            <w:r w:rsidR="00E8687C">
              <w:rPr>
                <w:noProof/>
                <w:webHidden/>
              </w:rPr>
            </w:r>
            <w:r w:rsidR="00E8687C">
              <w:rPr>
                <w:noProof/>
                <w:webHidden/>
              </w:rPr>
              <w:fldChar w:fldCharType="separate"/>
            </w:r>
            <w:r>
              <w:rPr>
                <w:noProof/>
                <w:webHidden/>
              </w:rPr>
              <w:t>18</w:t>
            </w:r>
            <w:r w:rsidR="00E8687C">
              <w:rPr>
                <w:noProof/>
                <w:webHidden/>
              </w:rPr>
              <w:fldChar w:fldCharType="end"/>
            </w:r>
          </w:hyperlink>
        </w:p>
        <w:p w:rsidR="00E8687C" w:rsidRDefault="00FF07B5">
          <w:pPr>
            <w:pStyle w:val="TOC1"/>
            <w:tabs>
              <w:tab w:val="right" w:leader="dot" w:pos="9350"/>
            </w:tabs>
            <w:rPr>
              <w:rFonts w:asciiTheme="minorHAnsi" w:eastAsiaTheme="minorEastAsia" w:hAnsiTheme="minorHAnsi" w:cstheme="minorBidi"/>
              <w:noProof/>
              <w:sz w:val="22"/>
              <w:szCs w:val="22"/>
            </w:rPr>
          </w:pPr>
          <w:hyperlink w:anchor="_Toc438652257" w:history="1">
            <w:r w:rsidR="00E8687C" w:rsidRPr="00F8081C">
              <w:rPr>
                <w:rStyle w:val="Hyperlink"/>
                <w:rFonts w:ascii="Palatino Linotype" w:eastAsia="Times New Roman" w:hAnsi="Palatino Linotype"/>
                <w:noProof/>
              </w:rPr>
              <w:t>Benefits Measurement</w:t>
            </w:r>
            <w:r w:rsidR="00E8687C">
              <w:rPr>
                <w:noProof/>
                <w:webHidden/>
              </w:rPr>
              <w:tab/>
            </w:r>
            <w:r w:rsidR="00E8687C">
              <w:rPr>
                <w:noProof/>
                <w:webHidden/>
              </w:rPr>
              <w:fldChar w:fldCharType="begin"/>
            </w:r>
            <w:r w:rsidR="00E8687C">
              <w:rPr>
                <w:noProof/>
                <w:webHidden/>
              </w:rPr>
              <w:instrText xml:space="preserve"> PAGEREF _Toc438652257 \h </w:instrText>
            </w:r>
            <w:r w:rsidR="00E8687C">
              <w:rPr>
                <w:noProof/>
                <w:webHidden/>
              </w:rPr>
            </w:r>
            <w:r w:rsidR="00E8687C">
              <w:rPr>
                <w:noProof/>
                <w:webHidden/>
              </w:rPr>
              <w:fldChar w:fldCharType="separate"/>
            </w:r>
            <w:r>
              <w:rPr>
                <w:noProof/>
                <w:webHidden/>
              </w:rPr>
              <w:t>19</w:t>
            </w:r>
            <w:r w:rsidR="00E8687C">
              <w:rPr>
                <w:noProof/>
                <w:webHidden/>
              </w:rPr>
              <w:fldChar w:fldCharType="end"/>
            </w:r>
          </w:hyperlink>
        </w:p>
        <w:p w:rsidR="00936627" w:rsidRDefault="00936627">
          <w:r w:rsidRPr="00270B1C">
            <w:rPr>
              <w:rFonts w:ascii="Palatino Linotype" w:hAnsi="Palatino Linotype"/>
              <w:b/>
              <w:bCs/>
              <w:noProof/>
            </w:rPr>
            <w:fldChar w:fldCharType="end"/>
          </w:r>
        </w:p>
      </w:sdtContent>
    </w:sdt>
    <w:p w:rsidR="00CA6636" w:rsidRPr="00CA6636" w:rsidRDefault="00CA6636" w:rsidP="00CA6636">
      <w:pPr>
        <w:keepLines/>
        <w:widowControl w:val="0"/>
        <w:jc w:val="center"/>
        <w:rPr>
          <w:rFonts w:ascii="Arial" w:hAnsi="Arial" w:cs="Arial"/>
          <w:sz w:val="32"/>
        </w:rPr>
      </w:pPr>
      <w:bookmarkStart w:id="0" w:name="_GoBack"/>
      <w:bookmarkEnd w:id="0"/>
    </w:p>
    <w:p w:rsidR="00CA6636" w:rsidRDefault="00CA6636">
      <w:pPr>
        <w:spacing w:after="200" w:line="276" w:lineRule="auto"/>
        <w:rPr>
          <w:rFonts w:ascii="Palatino Linotype" w:eastAsia="Times New Roman" w:hAnsi="Palatino Linotype"/>
          <w:color w:val="000000"/>
        </w:rPr>
      </w:pPr>
      <w:r>
        <w:rPr>
          <w:rFonts w:ascii="Palatino Linotype" w:eastAsia="Times New Roman" w:hAnsi="Palatino Linotype"/>
          <w:color w:val="000000"/>
        </w:rPr>
        <w:br w:type="page"/>
      </w:r>
    </w:p>
    <w:p w:rsidR="00052D9F" w:rsidRPr="00E768B8" w:rsidRDefault="00052D9F" w:rsidP="00052D9F">
      <w:pPr>
        <w:pStyle w:val="Heading1"/>
        <w:rPr>
          <w:rFonts w:ascii="Palatino Linotype" w:eastAsia="Times New Roman" w:hAnsi="Palatino Linotype"/>
        </w:rPr>
      </w:pPr>
      <w:bookmarkStart w:id="1" w:name="_Toc438652247"/>
      <w:r w:rsidRPr="00E768B8">
        <w:rPr>
          <w:rFonts w:ascii="Palatino Linotype" w:eastAsia="Times New Roman" w:hAnsi="Palatino Linotype"/>
        </w:rPr>
        <w:lastRenderedPageBreak/>
        <w:t>Funding Levels and Funding Group Qualification</w:t>
      </w:r>
      <w:bookmarkEnd w:id="1"/>
    </w:p>
    <w:p w:rsidR="00052D9F" w:rsidRDefault="00052D9F" w:rsidP="00052D9F">
      <w:pPr>
        <w:rPr>
          <w:rFonts w:ascii="Palatino Linotype" w:eastAsia="Times New Roman" w:hAnsi="Palatino Linotype"/>
          <w:b/>
          <w:color w:val="000000"/>
        </w:rPr>
      </w:pPr>
    </w:p>
    <w:p w:rsidR="00052D9F" w:rsidRPr="00270B1C" w:rsidRDefault="00052D9F" w:rsidP="00052D9F">
      <w:pPr>
        <w:pStyle w:val="ListParagraph"/>
        <w:numPr>
          <w:ilvl w:val="0"/>
          <w:numId w:val="4"/>
        </w:numPr>
        <w:ind w:left="360"/>
        <w:rPr>
          <w:rFonts w:ascii="Palatino Linotype" w:hAnsi="Palatino Linotype"/>
          <w:b/>
        </w:rPr>
      </w:pPr>
      <w:r w:rsidRPr="00270B1C">
        <w:rPr>
          <w:rFonts w:ascii="Palatino Linotype" w:hAnsi="Palatino Linotype"/>
          <w:b/>
        </w:rPr>
        <w:t xml:space="preserve">Q: If an applicant is working with a county and that county has one or more disadvantaged communities and others that are non-disadvantaged. What group would the application fall into? </w:t>
      </w:r>
    </w:p>
    <w:p w:rsidR="00052D9F" w:rsidRPr="00270B1C" w:rsidRDefault="00052D9F" w:rsidP="00052D9F">
      <w:pPr>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270B1C">
        <w:rPr>
          <w:rFonts w:ascii="Palatino Linotype" w:hAnsi="Palatino Linotype"/>
          <w:sz w:val="22"/>
          <w:szCs w:val="22"/>
        </w:rPr>
        <w:t xml:space="preserve">A: </w:t>
      </w:r>
      <w:r>
        <w:rPr>
          <w:rFonts w:ascii="Palatino Linotype" w:hAnsi="Palatino Linotype"/>
          <w:sz w:val="22"/>
          <w:szCs w:val="22"/>
        </w:rPr>
        <w:t xml:space="preserve">Applicants will self-select </w:t>
      </w:r>
      <w:r w:rsidR="00BE7D06">
        <w:rPr>
          <w:rFonts w:ascii="Palatino Linotype" w:hAnsi="Palatino Linotype"/>
          <w:sz w:val="22"/>
          <w:szCs w:val="22"/>
        </w:rPr>
        <w:t xml:space="preserve">in the Application Form (Attachment 1) </w:t>
      </w:r>
      <w:r>
        <w:rPr>
          <w:rFonts w:ascii="Palatino Linotype" w:hAnsi="Palatino Linotype"/>
          <w:sz w:val="22"/>
          <w:szCs w:val="22"/>
        </w:rPr>
        <w:t xml:space="preserve">which funding group they wish to apply to. </w:t>
      </w:r>
      <w:r w:rsidR="00826184">
        <w:rPr>
          <w:rFonts w:ascii="Palatino Linotype" w:hAnsi="Palatino Linotype"/>
          <w:sz w:val="22"/>
          <w:szCs w:val="22"/>
        </w:rPr>
        <w:t xml:space="preserve">Applicants that apply for one of the disadvantaged community groups </w:t>
      </w:r>
      <w:r w:rsidR="00BE7D06">
        <w:rPr>
          <w:rFonts w:ascii="Palatino Linotype" w:hAnsi="Palatino Linotype"/>
          <w:sz w:val="22"/>
          <w:szCs w:val="22"/>
        </w:rPr>
        <w:t xml:space="preserve">(Group 3 or Group 4) </w:t>
      </w:r>
      <w:r w:rsidR="00826184">
        <w:rPr>
          <w:rFonts w:ascii="Palatino Linotype" w:hAnsi="Palatino Linotype"/>
          <w:sz w:val="22"/>
          <w:szCs w:val="22"/>
        </w:rPr>
        <w:t>must explain in their proposal how the project will specifically benefit disadvantaged communities.</w:t>
      </w:r>
      <w:r>
        <w:rPr>
          <w:rFonts w:ascii="Palatino Linotype" w:hAnsi="Palatino Linotype"/>
          <w:sz w:val="22"/>
          <w:szCs w:val="22"/>
        </w:rPr>
        <w:t xml:space="preserve"> </w:t>
      </w:r>
    </w:p>
    <w:p w:rsidR="00052D9F" w:rsidRPr="00270B1C" w:rsidRDefault="00052D9F" w:rsidP="00052D9F">
      <w:pPr>
        <w:ind w:left="360"/>
        <w:rPr>
          <w:rFonts w:ascii="Palatino Linotype" w:hAnsi="Palatino Linotype"/>
          <w:sz w:val="22"/>
          <w:szCs w:val="22"/>
        </w:rPr>
      </w:pPr>
    </w:p>
    <w:p w:rsidR="00052D9F" w:rsidRPr="00270B1C" w:rsidRDefault="00052D9F" w:rsidP="00052D9F">
      <w:pPr>
        <w:pStyle w:val="ListParagraph"/>
        <w:numPr>
          <w:ilvl w:val="0"/>
          <w:numId w:val="4"/>
        </w:numPr>
        <w:ind w:left="360"/>
        <w:rPr>
          <w:rFonts w:ascii="Palatino Linotype" w:hAnsi="Palatino Linotype"/>
          <w:b/>
        </w:rPr>
      </w:pPr>
      <w:r w:rsidRPr="00270B1C">
        <w:rPr>
          <w:rFonts w:ascii="Palatino Linotype" w:hAnsi="Palatino Linotype"/>
          <w:b/>
        </w:rPr>
        <w:t xml:space="preserve">Q: Can the Energy Commission clarify on proposals with multi-community projects. Specifically, when some communities are disadvantaged and others are not. How will scoring work? Which group will it fall under? </w:t>
      </w:r>
    </w:p>
    <w:p w:rsidR="00052D9F" w:rsidRPr="00270B1C" w:rsidRDefault="00052D9F" w:rsidP="00052D9F">
      <w:pPr>
        <w:ind w:left="360"/>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270B1C">
        <w:rPr>
          <w:rFonts w:ascii="Palatino Linotype" w:hAnsi="Palatino Linotype"/>
          <w:sz w:val="22"/>
          <w:szCs w:val="22"/>
        </w:rPr>
        <w:t xml:space="preserve">A: See answer for </w:t>
      </w:r>
      <w:r>
        <w:rPr>
          <w:rFonts w:ascii="Palatino Linotype" w:hAnsi="Palatino Linotype"/>
          <w:sz w:val="22"/>
          <w:szCs w:val="22"/>
        </w:rPr>
        <w:t>Q</w:t>
      </w:r>
      <w:r w:rsidRPr="00270B1C">
        <w:rPr>
          <w:rFonts w:ascii="Palatino Linotype" w:hAnsi="Palatino Linotype"/>
          <w:sz w:val="22"/>
          <w:szCs w:val="22"/>
        </w:rPr>
        <w:t>uestion 1.</w:t>
      </w:r>
    </w:p>
    <w:p w:rsidR="00052D9F" w:rsidRDefault="00052D9F" w:rsidP="00052D9F">
      <w:pPr>
        <w:ind w:left="360"/>
        <w:rPr>
          <w:rFonts w:ascii="Palatino Linotype" w:hAnsi="Palatino Linotype"/>
          <w:sz w:val="22"/>
          <w:szCs w:val="22"/>
        </w:rPr>
      </w:pPr>
    </w:p>
    <w:p w:rsidR="003D4E1A" w:rsidRDefault="003D4E1A" w:rsidP="00052D9F">
      <w:pPr>
        <w:pStyle w:val="ListParagraph"/>
        <w:numPr>
          <w:ilvl w:val="0"/>
          <w:numId w:val="4"/>
        </w:numPr>
        <w:ind w:left="360"/>
        <w:rPr>
          <w:rFonts w:ascii="Palatino Linotype" w:hAnsi="Palatino Linotype"/>
          <w:b/>
        </w:rPr>
      </w:pPr>
      <w:r>
        <w:rPr>
          <w:rFonts w:ascii="Palatino Linotype" w:hAnsi="Palatino Linotype"/>
          <w:b/>
        </w:rPr>
        <w:t>Q: Can the Energy Commission provide guidance on what it deems to be an appropriate funding level for this solicitation?</w:t>
      </w:r>
    </w:p>
    <w:p w:rsidR="003D4E1A" w:rsidRDefault="003D4E1A" w:rsidP="003D4E1A">
      <w:pPr>
        <w:pStyle w:val="ListParagraph"/>
        <w:ind w:left="360"/>
        <w:rPr>
          <w:rFonts w:ascii="Palatino Linotype" w:hAnsi="Palatino Linotype"/>
          <w:b/>
        </w:rPr>
      </w:pPr>
    </w:p>
    <w:p w:rsidR="003D4E1A" w:rsidRPr="003D4E1A" w:rsidRDefault="003D4E1A" w:rsidP="003D4E1A">
      <w:pPr>
        <w:pStyle w:val="ListParagraph"/>
        <w:ind w:left="360"/>
        <w:rPr>
          <w:rFonts w:ascii="Palatino Linotype" w:hAnsi="Palatino Linotype"/>
        </w:rPr>
      </w:pPr>
      <w:r>
        <w:rPr>
          <w:rFonts w:ascii="Palatino Linotype" w:hAnsi="Palatino Linotype"/>
        </w:rPr>
        <w:t xml:space="preserve">A: </w:t>
      </w:r>
      <w:r w:rsidR="00E227BA">
        <w:rPr>
          <w:rFonts w:ascii="Palatino Linotype" w:hAnsi="Palatino Linotype"/>
        </w:rPr>
        <w:t>Advanced Energy Communities are new concepts for integrating the state’s energy goals with community planning and development. Funding amounts requested for this solicitation should</w:t>
      </w:r>
      <w:r w:rsidR="00EB4BBB">
        <w:rPr>
          <w:rFonts w:ascii="Palatino Linotype" w:hAnsi="Palatino Linotype"/>
        </w:rPr>
        <w:t xml:space="preserve"> be appropriate to bring the Advanced Energy Community concept proposed by the applicant to a shovel-ready state and facilitate future community development</w:t>
      </w:r>
      <w:r w:rsidR="005F6133">
        <w:rPr>
          <w:rFonts w:ascii="Palatino Linotype" w:hAnsi="Palatino Linotype"/>
        </w:rPr>
        <w:t>s</w:t>
      </w:r>
      <w:r w:rsidR="00EB4BBB">
        <w:rPr>
          <w:rFonts w:ascii="Palatino Linotype" w:hAnsi="Palatino Linotype"/>
        </w:rPr>
        <w:t xml:space="preserve"> modeled after the same Advanced Energy Community concept.</w:t>
      </w:r>
      <w:r w:rsidR="00E8687C">
        <w:rPr>
          <w:rFonts w:ascii="Palatino Linotype" w:hAnsi="Palatino Linotype"/>
        </w:rPr>
        <w:t xml:space="preserve"> </w:t>
      </w:r>
      <w:r>
        <w:rPr>
          <w:rFonts w:ascii="Palatino Linotype" w:hAnsi="Palatino Linotype"/>
        </w:rPr>
        <w:t xml:space="preserve"> </w:t>
      </w:r>
      <w:r w:rsidR="005F6133">
        <w:rPr>
          <w:rFonts w:ascii="Palatino Linotype" w:hAnsi="Palatino Linotype"/>
        </w:rPr>
        <w:t xml:space="preserve">Funded activities can include but are not limited to: technical assistance on analytical tools for planning and designing the energy components of the community; piloting new tools to streamline the permitting processes; </w:t>
      </w:r>
      <w:r w:rsidR="00B81926">
        <w:rPr>
          <w:rFonts w:ascii="Palatino Linotype" w:hAnsi="Palatino Linotype"/>
        </w:rPr>
        <w:t xml:space="preserve">and </w:t>
      </w:r>
      <w:r w:rsidR="005F6133">
        <w:rPr>
          <w:rFonts w:ascii="Palatino Linotype" w:hAnsi="Palatino Linotype"/>
        </w:rPr>
        <w:t xml:space="preserve">expertise to </w:t>
      </w:r>
      <w:r w:rsidR="00B81926">
        <w:rPr>
          <w:rFonts w:ascii="Palatino Linotype" w:hAnsi="Palatino Linotype"/>
        </w:rPr>
        <w:t>evaluate different options for financing the development.</w:t>
      </w:r>
    </w:p>
    <w:p w:rsidR="003D4E1A" w:rsidRDefault="003D4E1A" w:rsidP="003D4E1A">
      <w:pPr>
        <w:pStyle w:val="ListParagraph"/>
        <w:ind w:left="360"/>
        <w:rPr>
          <w:rFonts w:ascii="Palatino Linotype" w:hAnsi="Palatino Linotype"/>
          <w:b/>
        </w:rPr>
      </w:pPr>
    </w:p>
    <w:p w:rsidR="00052D9F" w:rsidRPr="00CA6636" w:rsidRDefault="00052D9F" w:rsidP="00052D9F">
      <w:pPr>
        <w:pStyle w:val="ListParagraph"/>
        <w:numPr>
          <w:ilvl w:val="0"/>
          <w:numId w:val="4"/>
        </w:numPr>
        <w:ind w:left="360"/>
        <w:rPr>
          <w:rFonts w:ascii="Palatino Linotype" w:hAnsi="Palatino Linotype"/>
          <w:b/>
        </w:rPr>
      </w:pPr>
      <w:r w:rsidRPr="00CA6636">
        <w:rPr>
          <w:rFonts w:ascii="Palatino Linotype" w:hAnsi="Palatino Linotype"/>
          <w:b/>
        </w:rPr>
        <w:t>Q: Are there going to be many small grants available say for $100,000 or are there going to be 3 for $1.5 million?</w:t>
      </w:r>
    </w:p>
    <w:p w:rsidR="00052D9F" w:rsidRPr="00CB4085" w:rsidRDefault="00052D9F" w:rsidP="00052D9F">
      <w:pPr>
        <w:ind w:left="360"/>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CB4085">
        <w:rPr>
          <w:rFonts w:ascii="Palatino Linotype" w:hAnsi="Palatino Linotype"/>
          <w:sz w:val="22"/>
          <w:szCs w:val="22"/>
        </w:rPr>
        <w:t xml:space="preserve">A: </w:t>
      </w:r>
      <w:r w:rsidR="008A54B8">
        <w:rPr>
          <w:rFonts w:ascii="Palatino Linotype" w:hAnsi="Palatino Linotype"/>
          <w:sz w:val="22"/>
          <w:szCs w:val="22"/>
        </w:rPr>
        <w:t>T</w:t>
      </w:r>
      <w:r>
        <w:rPr>
          <w:rFonts w:ascii="Palatino Linotype" w:hAnsi="Palatino Linotype"/>
          <w:sz w:val="22"/>
          <w:szCs w:val="22"/>
        </w:rPr>
        <w:t xml:space="preserve">he exact number of awards will depend on the requested funds and rank order of the passing proposals. The Energy Commission anticipates that </w:t>
      </w:r>
      <w:r w:rsidR="004C38AB">
        <w:rPr>
          <w:rFonts w:ascii="Palatino Linotype" w:hAnsi="Palatino Linotype"/>
          <w:sz w:val="22"/>
          <w:szCs w:val="22"/>
        </w:rPr>
        <w:t xml:space="preserve">some </w:t>
      </w:r>
      <w:r w:rsidR="008A54B8">
        <w:rPr>
          <w:rFonts w:ascii="Palatino Linotype" w:hAnsi="Palatino Linotype"/>
          <w:sz w:val="22"/>
          <w:szCs w:val="22"/>
        </w:rPr>
        <w:t>applicants will request the maximum funding amount</w:t>
      </w:r>
      <w:r w:rsidR="004C38AB">
        <w:rPr>
          <w:rFonts w:ascii="Palatino Linotype" w:hAnsi="Palatino Linotype"/>
          <w:sz w:val="22"/>
          <w:szCs w:val="22"/>
        </w:rPr>
        <w:t>.</w:t>
      </w:r>
    </w:p>
    <w:p w:rsidR="00052D9F" w:rsidRPr="00CB4085" w:rsidRDefault="00052D9F" w:rsidP="00052D9F">
      <w:pPr>
        <w:ind w:left="360"/>
        <w:rPr>
          <w:rFonts w:ascii="Palatino Linotype" w:hAnsi="Palatino Linotype"/>
          <w:sz w:val="22"/>
          <w:szCs w:val="22"/>
        </w:rPr>
      </w:pPr>
    </w:p>
    <w:p w:rsidR="00052D9F" w:rsidRPr="00CA6636" w:rsidRDefault="00052D9F" w:rsidP="00052D9F">
      <w:pPr>
        <w:pStyle w:val="ListParagraph"/>
        <w:numPr>
          <w:ilvl w:val="0"/>
          <w:numId w:val="4"/>
        </w:numPr>
        <w:ind w:left="360"/>
        <w:rPr>
          <w:rFonts w:ascii="Palatino Linotype" w:hAnsi="Palatino Linotype"/>
          <w:b/>
        </w:rPr>
      </w:pPr>
      <w:r w:rsidRPr="00CA6636">
        <w:rPr>
          <w:rFonts w:ascii="Palatino Linotype" w:hAnsi="Palatino Linotype"/>
          <w:b/>
        </w:rPr>
        <w:t>Q: Are there an estimated number of awardees per Group?</w:t>
      </w:r>
    </w:p>
    <w:p w:rsidR="00052D9F" w:rsidRPr="00CB4085" w:rsidRDefault="00052D9F" w:rsidP="00052D9F">
      <w:pPr>
        <w:ind w:left="360"/>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CB4085">
        <w:rPr>
          <w:rFonts w:ascii="Palatino Linotype" w:hAnsi="Palatino Linotype"/>
          <w:sz w:val="22"/>
          <w:szCs w:val="22"/>
        </w:rPr>
        <w:t xml:space="preserve">A: </w:t>
      </w:r>
      <w:r w:rsidR="00BE7D06">
        <w:rPr>
          <w:rFonts w:ascii="Palatino Linotype" w:hAnsi="Palatino Linotype"/>
          <w:sz w:val="22"/>
          <w:szCs w:val="22"/>
        </w:rPr>
        <w:t>The Energy Commission anticipates funding</w:t>
      </w:r>
      <w:r w:rsidR="004C38AB">
        <w:rPr>
          <w:rFonts w:ascii="Palatino Linotype" w:hAnsi="Palatino Linotype"/>
          <w:sz w:val="22"/>
          <w:szCs w:val="22"/>
        </w:rPr>
        <w:t xml:space="preserve"> approximately</w:t>
      </w:r>
      <w:r w:rsidR="00BE7D06">
        <w:rPr>
          <w:rFonts w:ascii="Palatino Linotype" w:hAnsi="Palatino Linotype"/>
          <w:sz w:val="22"/>
          <w:szCs w:val="22"/>
        </w:rPr>
        <w:t xml:space="preserve"> three awards per group (12 </w:t>
      </w:r>
      <w:proofErr w:type="gramStart"/>
      <w:r w:rsidR="00BE7D06">
        <w:rPr>
          <w:rFonts w:ascii="Palatino Linotype" w:hAnsi="Palatino Linotype"/>
          <w:sz w:val="22"/>
          <w:szCs w:val="22"/>
        </w:rPr>
        <w:t>total</w:t>
      </w:r>
      <w:proofErr w:type="gramEnd"/>
      <w:r w:rsidR="00BE7D06">
        <w:rPr>
          <w:rFonts w:ascii="Palatino Linotype" w:hAnsi="Palatino Linotype"/>
          <w:sz w:val="22"/>
          <w:szCs w:val="22"/>
        </w:rPr>
        <w:t>). T</w:t>
      </w:r>
      <w:r>
        <w:rPr>
          <w:rFonts w:ascii="Palatino Linotype" w:hAnsi="Palatino Linotype"/>
          <w:sz w:val="22"/>
          <w:szCs w:val="22"/>
        </w:rPr>
        <w:t xml:space="preserve">he exact number of awards will depend on the requested funds and rank order of the passing proposals. See answer for </w:t>
      </w:r>
      <w:r w:rsidR="00D65C65">
        <w:rPr>
          <w:rFonts w:ascii="Palatino Linotype" w:hAnsi="Palatino Linotype"/>
          <w:sz w:val="22"/>
          <w:szCs w:val="22"/>
        </w:rPr>
        <w:t>Q</w:t>
      </w:r>
      <w:r>
        <w:rPr>
          <w:rFonts w:ascii="Palatino Linotype" w:hAnsi="Palatino Linotype"/>
          <w:sz w:val="22"/>
          <w:szCs w:val="22"/>
        </w:rPr>
        <w:t xml:space="preserve">uestion </w:t>
      </w:r>
      <w:r w:rsidR="00E8687C">
        <w:rPr>
          <w:rFonts w:ascii="Palatino Linotype" w:hAnsi="Palatino Linotype"/>
          <w:sz w:val="22"/>
          <w:szCs w:val="22"/>
        </w:rPr>
        <w:t>4</w:t>
      </w:r>
      <w:r>
        <w:rPr>
          <w:rFonts w:ascii="Palatino Linotype" w:hAnsi="Palatino Linotype"/>
          <w:sz w:val="22"/>
          <w:szCs w:val="22"/>
        </w:rPr>
        <w:t xml:space="preserve"> for additional detail.</w:t>
      </w:r>
    </w:p>
    <w:p w:rsidR="00052D9F" w:rsidRDefault="00052D9F" w:rsidP="00052D9F">
      <w:pPr>
        <w:ind w:left="360"/>
        <w:rPr>
          <w:rFonts w:ascii="Palatino Linotype" w:hAnsi="Palatino Linotype"/>
          <w:sz w:val="22"/>
          <w:szCs w:val="22"/>
        </w:rPr>
      </w:pPr>
    </w:p>
    <w:p w:rsidR="00052D9F" w:rsidRPr="00670F38" w:rsidRDefault="00052D9F" w:rsidP="00052D9F">
      <w:pPr>
        <w:pStyle w:val="ListParagraph"/>
        <w:numPr>
          <w:ilvl w:val="0"/>
          <w:numId w:val="4"/>
        </w:numPr>
        <w:ind w:left="360"/>
        <w:rPr>
          <w:rFonts w:ascii="Palatino Linotype" w:hAnsi="Palatino Linotype"/>
        </w:rPr>
      </w:pPr>
      <w:r w:rsidRPr="00CA6636">
        <w:rPr>
          <w:rFonts w:ascii="Palatino Linotype" w:hAnsi="Palatino Linotype"/>
          <w:b/>
        </w:rPr>
        <w:lastRenderedPageBreak/>
        <w:t>Q: Is there a minimum funding level</w:t>
      </w:r>
      <w:r w:rsidRPr="00670F38">
        <w:rPr>
          <w:rFonts w:ascii="Palatino Linotype" w:hAnsi="Palatino Linotype"/>
        </w:rPr>
        <w:t xml:space="preserve">? </w:t>
      </w:r>
    </w:p>
    <w:p w:rsidR="00052D9F" w:rsidRPr="00CB4085" w:rsidRDefault="00052D9F" w:rsidP="00052D9F">
      <w:pPr>
        <w:ind w:left="360"/>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CB4085">
        <w:rPr>
          <w:rFonts w:ascii="Palatino Linotype" w:hAnsi="Palatino Linotype"/>
          <w:sz w:val="22"/>
          <w:szCs w:val="22"/>
        </w:rPr>
        <w:t>A: There is no minimum</w:t>
      </w:r>
      <w:r>
        <w:rPr>
          <w:rFonts w:ascii="Palatino Linotype" w:hAnsi="Palatino Linotype"/>
          <w:sz w:val="22"/>
          <w:szCs w:val="22"/>
        </w:rPr>
        <w:t xml:space="preserve"> funding level</w:t>
      </w:r>
      <w:r w:rsidRPr="00CB4085">
        <w:rPr>
          <w:rFonts w:ascii="Palatino Linotype" w:hAnsi="Palatino Linotype"/>
          <w:sz w:val="22"/>
          <w:szCs w:val="22"/>
        </w:rPr>
        <w:t>.</w:t>
      </w:r>
      <w:r>
        <w:rPr>
          <w:rFonts w:ascii="Palatino Linotype" w:hAnsi="Palatino Linotype"/>
          <w:sz w:val="22"/>
          <w:szCs w:val="22"/>
        </w:rPr>
        <w:t xml:space="preserve"> Applicants should request an amount of funds that is necessary to complete the work they are proposing to accomplish. </w:t>
      </w:r>
    </w:p>
    <w:p w:rsidR="00052D9F" w:rsidRPr="00936627" w:rsidRDefault="00052D9F" w:rsidP="00052D9F">
      <w:pPr>
        <w:pStyle w:val="Heading1"/>
        <w:rPr>
          <w:rFonts w:ascii="Palatino Linotype" w:eastAsia="Times New Roman" w:hAnsi="Palatino Linotype"/>
          <w:b w:val="0"/>
        </w:rPr>
      </w:pPr>
      <w:bookmarkStart w:id="2" w:name="_Toc438652248"/>
      <w:r w:rsidRPr="00936627">
        <w:rPr>
          <w:rFonts w:ascii="Palatino Linotype" w:eastAsia="Times New Roman" w:hAnsi="Palatino Linotype"/>
          <w:b w:val="0"/>
        </w:rPr>
        <w:t>Physical Site Selection</w:t>
      </w:r>
      <w:bookmarkEnd w:id="2"/>
    </w:p>
    <w:p w:rsidR="00052D9F" w:rsidRDefault="00052D9F" w:rsidP="00052D9F">
      <w:pPr>
        <w:rPr>
          <w:rFonts w:ascii="Palatino Linotype" w:eastAsia="Times New Roman" w:hAnsi="Palatino Linotype"/>
          <w:b/>
          <w:color w:val="000000"/>
        </w:rPr>
      </w:pPr>
    </w:p>
    <w:p w:rsidR="00052D9F" w:rsidRPr="00CA6636" w:rsidRDefault="00052D9F" w:rsidP="00052D9F">
      <w:pPr>
        <w:pStyle w:val="ListParagraph"/>
        <w:numPr>
          <w:ilvl w:val="0"/>
          <w:numId w:val="4"/>
        </w:numPr>
        <w:ind w:left="360"/>
        <w:rPr>
          <w:rFonts w:ascii="Palatino Linotype" w:eastAsia="Times New Roman" w:hAnsi="Palatino Linotype"/>
          <w:b/>
          <w:color w:val="000000"/>
        </w:rPr>
      </w:pPr>
      <w:r w:rsidRPr="00CA6636">
        <w:rPr>
          <w:rFonts w:ascii="Palatino Linotype" w:eastAsia="Times New Roman" w:hAnsi="Palatino Linotype"/>
          <w:b/>
          <w:color w:val="000000"/>
        </w:rPr>
        <w:t>Q: Does the Energy Commission expect Phase I projects to be focused on a pre-identified specific physical location (either proposed retrofits to an existing community, or development of a new greenfield “</w:t>
      </w:r>
      <w:r w:rsidR="003E5C69">
        <w:rPr>
          <w:rFonts w:ascii="Palatino Linotype" w:eastAsia="Times New Roman" w:hAnsi="Palatino Linotype"/>
          <w:b/>
          <w:color w:val="000000"/>
        </w:rPr>
        <w:t>A</w:t>
      </w:r>
      <w:r w:rsidR="003E5C69" w:rsidRPr="00CA6636">
        <w:rPr>
          <w:rFonts w:ascii="Palatino Linotype" w:eastAsia="Times New Roman" w:hAnsi="Palatino Linotype"/>
          <w:b/>
          <w:color w:val="000000"/>
        </w:rPr>
        <w:t xml:space="preserve">dvanced </w:t>
      </w:r>
      <w:r w:rsidR="003E5C69">
        <w:rPr>
          <w:rFonts w:ascii="Palatino Linotype" w:eastAsia="Times New Roman" w:hAnsi="Palatino Linotype"/>
          <w:b/>
          <w:color w:val="000000"/>
        </w:rPr>
        <w:t>E</w:t>
      </w:r>
      <w:r w:rsidR="003E5C69" w:rsidRPr="00CA6636">
        <w:rPr>
          <w:rFonts w:ascii="Palatino Linotype" w:eastAsia="Times New Roman" w:hAnsi="Palatino Linotype"/>
          <w:b/>
          <w:color w:val="000000"/>
        </w:rPr>
        <w:t xml:space="preserve">nergy </w:t>
      </w:r>
      <w:r w:rsidR="003E5C69">
        <w:rPr>
          <w:rFonts w:ascii="Palatino Linotype" w:eastAsia="Times New Roman" w:hAnsi="Palatino Linotype"/>
          <w:b/>
          <w:color w:val="000000"/>
        </w:rPr>
        <w:t>C</w:t>
      </w:r>
      <w:r w:rsidR="003E5C69" w:rsidRPr="00CA6636">
        <w:rPr>
          <w:rFonts w:ascii="Palatino Linotype" w:eastAsia="Times New Roman" w:hAnsi="Palatino Linotype"/>
          <w:b/>
          <w:color w:val="000000"/>
        </w:rPr>
        <w:t>ommunity</w:t>
      </w:r>
      <w:r w:rsidRPr="00CA6636">
        <w:rPr>
          <w:rFonts w:ascii="Palatino Linotype" w:eastAsia="Times New Roman" w:hAnsi="Palatino Linotype"/>
          <w:b/>
          <w:color w:val="000000"/>
        </w:rPr>
        <w:t xml:space="preserve">”) </w:t>
      </w:r>
      <w:r w:rsidRPr="00CA6636">
        <w:rPr>
          <w:rFonts w:ascii="Palatino Linotype" w:eastAsia="Times New Roman" w:hAnsi="Palatino Linotype"/>
          <w:b/>
          <w:bCs/>
          <w:color w:val="000000"/>
          <w:u w:val="single"/>
        </w:rPr>
        <w:t>OR</w:t>
      </w:r>
      <w:r w:rsidRPr="00CA6636">
        <w:rPr>
          <w:rFonts w:ascii="Palatino Linotype" w:eastAsia="Times New Roman" w:hAnsi="Palatino Linotype"/>
          <w:b/>
          <w:color w:val="000000"/>
        </w:rPr>
        <w:t xml:space="preserve"> does it envision Phase I projects developing tools to improve or streamline the planning, permitting, and financing of future new “</w:t>
      </w:r>
      <w:r w:rsidR="003E5C69">
        <w:rPr>
          <w:rFonts w:ascii="Palatino Linotype" w:eastAsia="Times New Roman" w:hAnsi="Palatino Linotype"/>
          <w:b/>
          <w:color w:val="000000"/>
        </w:rPr>
        <w:t>A</w:t>
      </w:r>
      <w:r w:rsidR="003E5C69" w:rsidRPr="00CA6636">
        <w:rPr>
          <w:rFonts w:ascii="Palatino Linotype" w:eastAsia="Times New Roman" w:hAnsi="Palatino Linotype"/>
          <w:b/>
          <w:color w:val="000000"/>
        </w:rPr>
        <w:t>dvance</w:t>
      </w:r>
      <w:r w:rsidR="003E5C69">
        <w:rPr>
          <w:rFonts w:ascii="Palatino Linotype" w:eastAsia="Times New Roman" w:hAnsi="Palatino Linotype"/>
          <w:b/>
          <w:color w:val="000000"/>
        </w:rPr>
        <w:t>d</w:t>
      </w:r>
      <w:r w:rsidR="003E5C69" w:rsidRPr="00CA6636">
        <w:rPr>
          <w:rFonts w:ascii="Palatino Linotype" w:eastAsia="Times New Roman" w:hAnsi="Palatino Linotype"/>
          <w:b/>
          <w:color w:val="000000"/>
        </w:rPr>
        <w:t xml:space="preserve"> </w:t>
      </w:r>
      <w:r w:rsidR="003E5C69">
        <w:rPr>
          <w:rFonts w:ascii="Palatino Linotype" w:eastAsia="Times New Roman" w:hAnsi="Palatino Linotype"/>
          <w:b/>
          <w:color w:val="000000"/>
        </w:rPr>
        <w:t>E</w:t>
      </w:r>
      <w:r w:rsidR="003E5C69" w:rsidRPr="00CA6636">
        <w:rPr>
          <w:rFonts w:ascii="Palatino Linotype" w:eastAsia="Times New Roman" w:hAnsi="Palatino Linotype"/>
          <w:b/>
          <w:color w:val="000000"/>
        </w:rPr>
        <w:t xml:space="preserve">nergy </w:t>
      </w:r>
      <w:r w:rsidR="003E5C69">
        <w:rPr>
          <w:rFonts w:ascii="Palatino Linotype" w:eastAsia="Times New Roman" w:hAnsi="Palatino Linotype"/>
          <w:b/>
          <w:color w:val="000000"/>
        </w:rPr>
        <w:t>C</w:t>
      </w:r>
      <w:r w:rsidR="003E5C69" w:rsidRPr="00CA6636">
        <w:rPr>
          <w:rFonts w:ascii="Palatino Linotype" w:eastAsia="Times New Roman" w:hAnsi="Palatino Linotype"/>
          <w:b/>
          <w:color w:val="000000"/>
        </w:rPr>
        <w:t>ommunities</w:t>
      </w:r>
      <w:r w:rsidRPr="00CA6636">
        <w:rPr>
          <w:rFonts w:ascii="Palatino Linotype" w:eastAsia="Times New Roman" w:hAnsi="Palatino Linotype"/>
          <w:b/>
          <w:color w:val="000000"/>
        </w:rPr>
        <w:t>” in the local jurisdiction absent a specific pre-identified site?</w:t>
      </w:r>
    </w:p>
    <w:p w:rsidR="00052D9F" w:rsidRPr="00CB4085" w:rsidRDefault="00052D9F" w:rsidP="00052D9F">
      <w:pPr>
        <w:ind w:left="360"/>
        <w:rPr>
          <w:rFonts w:ascii="Palatino Linotype" w:eastAsia="Times New Roman" w:hAnsi="Palatino Linotype"/>
          <w:color w:val="000000"/>
          <w:sz w:val="22"/>
          <w:szCs w:val="22"/>
        </w:rPr>
      </w:pPr>
    </w:p>
    <w:p w:rsidR="00052D9F" w:rsidRDefault="00052D9F" w:rsidP="00052D9F">
      <w:pPr>
        <w:ind w:left="360"/>
        <w:rPr>
          <w:rFonts w:ascii="Palatino Linotype" w:eastAsia="Times New Roman" w:hAnsi="Palatino Linotype"/>
          <w:color w:val="000000"/>
          <w:sz w:val="22"/>
          <w:szCs w:val="22"/>
        </w:rPr>
      </w:pPr>
      <w:r w:rsidRPr="00CB4085">
        <w:rPr>
          <w:rFonts w:ascii="Palatino Linotype" w:eastAsia="Times New Roman" w:hAnsi="Palatino Linotype"/>
          <w:color w:val="000000"/>
          <w:sz w:val="22"/>
          <w:szCs w:val="22"/>
        </w:rPr>
        <w:t xml:space="preserve">A: </w:t>
      </w:r>
      <w:r w:rsidR="003A44CD">
        <w:rPr>
          <w:rFonts w:ascii="Palatino Linotype" w:eastAsia="Times New Roman" w:hAnsi="Palatino Linotype"/>
          <w:color w:val="000000"/>
          <w:sz w:val="22"/>
          <w:szCs w:val="22"/>
        </w:rPr>
        <w:t xml:space="preserve">Energy Commission staff expect Phase I projects to pilot innovative planning, permitting and financing approaches to improve the business case for Advanced Energy Communities. </w:t>
      </w:r>
      <w:r w:rsidR="00C455F0">
        <w:rPr>
          <w:rFonts w:ascii="Palatino Linotype" w:hAnsi="Palatino Linotype"/>
          <w:sz w:val="22"/>
          <w:szCs w:val="22"/>
        </w:rPr>
        <w:t>Applicants are not required to have a site pre-selected when applying for Phase I</w:t>
      </w:r>
      <w:r w:rsidR="003A44CD">
        <w:rPr>
          <w:rFonts w:ascii="Palatino Linotype" w:hAnsi="Palatino Linotype"/>
          <w:sz w:val="22"/>
          <w:szCs w:val="22"/>
        </w:rPr>
        <w:t>. However, applicants selected for</w:t>
      </w:r>
      <w:r w:rsidR="000C05C5">
        <w:rPr>
          <w:rFonts w:ascii="Palatino Linotype" w:hAnsi="Palatino Linotype"/>
          <w:sz w:val="22"/>
          <w:szCs w:val="22"/>
        </w:rPr>
        <w:t xml:space="preserve"> Phase I</w:t>
      </w:r>
      <w:r w:rsidR="003A44CD">
        <w:rPr>
          <w:rFonts w:ascii="Palatino Linotype" w:hAnsi="Palatino Linotype"/>
          <w:sz w:val="22"/>
          <w:szCs w:val="22"/>
        </w:rPr>
        <w:t xml:space="preserve"> funding will need to identify a </w:t>
      </w:r>
      <w:r w:rsidR="000C05C5">
        <w:rPr>
          <w:rFonts w:ascii="Palatino Linotype" w:hAnsi="Palatino Linotype"/>
          <w:sz w:val="22"/>
          <w:szCs w:val="22"/>
        </w:rPr>
        <w:t xml:space="preserve">physical </w:t>
      </w:r>
      <w:r w:rsidR="003A44CD">
        <w:rPr>
          <w:rFonts w:ascii="Palatino Linotype" w:hAnsi="Palatino Linotype"/>
          <w:sz w:val="22"/>
          <w:szCs w:val="22"/>
        </w:rPr>
        <w:t xml:space="preserve">site during the project that will serve as the test case for these innovative community planning and development approaches. </w:t>
      </w:r>
    </w:p>
    <w:p w:rsidR="00052D9F" w:rsidRDefault="00052D9F" w:rsidP="00052D9F">
      <w:pPr>
        <w:ind w:left="360"/>
        <w:rPr>
          <w:rFonts w:ascii="Palatino Linotype" w:eastAsia="Times New Roman" w:hAnsi="Palatino Linotype"/>
          <w:color w:val="000000"/>
          <w:sz w:val="22"/>
          <w:szCs w:val="22"/>
        </w:rPr>
      </w:pPr>
    </w:p>
    <w:p w:rsidR="00FD17E7" w:rsidRPr="00CA6636" w:rsidRDefault="00FD17E7" w:rsidP="00FD17E7">
      <w:pPr>
        <w:pStyle w:val="ListParagraph"/>
        <w:numPr>
          <w:ilvl w:val="0"/>
          <w:numId w:val="4"/>
        </w:numPr>
        <w:ind w:left="360"/>
        <w:rPr>
          <w:rFonts w:ascii="Palatino Linotype" w:hAnsi="Palatino Linotype"/>
          <w:b/>
        </w:rPr>
      </w:pPr>
      <w:r w:rsidRPr="00CA6636">
        <w:rPr>
          <w:rFonts w:ascii="Palatino Linotype" w:hAnsi="Palatino Linotype"/>
          <w:b/>
        </w:rPr>
        <w:t xml:space="preserve">Q: Applicants will know which project group they are submitting to, but there are many possible disadvantaged communities within just a small area of a county.  At what scale does the site need to be identified?  At the </w:t>
      </w:r>
      <w:proofErr w:type="gramStart"/>
      <w:r>
        <w:rPr>
          <w:rFonts w:ascii="Palatino Linotype" w:hAnsi="Palatino Linotype"/>
          <w:b/>
        </w:rPr>
        <w:t>c</w:t>
      </w:r>
      <w:r w:rsidRPr="00CA6636">
        <w:rPr>
          <w:rFonts w:ascii="Palatino Linotype" w:hAnsi="Palatino Linotype"/>
          <w:b/>
        </w:rPr>
        <w:t>ity scale</w:t>
      </w:r>
      <w:proofErr w:type="gramEnd"/>
      <w:r w:rsidRPr="00CA6636">
        <w:rPr>
          <w:rFonts w:ascii="Palatino Linotype" w:hAnsi="Palatino Linotype"/>
          <w:b/>
        </w:rPr>
        <w:t>, at the census tract scale, or at the building scale?</w:t>
      </w:r>
    </w:p>
    <w:p w:rsidR="00FD17E7" w:rsidRPr="00CB4085" w:rsidRDefault="00FD17E7" w:rsidP="00FD17E7">
      <w:pPr>
        <w:ind w:left="360"/>
        <w:rPr>
          <w:rFonts w:ascii="Palatino Linotype" w:hAnsi="Palatino Linotype"/>
          <w:sz w:val="22"/>
          <w:szCs w:val="22"/>
        </w:rPr>
      </w:pPr>
    </w:p>
    <w:p w:rsidR="00FD17E7" w:rsidRPr="00CB4085" w:rsidRDefault="00FD17E7" w:rsidP="00FD17E7">
      <w:pPr>
        <w:ind w:left="360"/>
        <w:rPr>
          <w:rFonts w:ascii="Palatino Linotype" w:hAnsi="Palatino Linotype"/>
          <w:sz w:val="22"/>
          <w:szCs w:val="22"/>
        </w:rPr>
      </w:pPr>
      <w:r w:rsidRPr="00CB4085">
        <w:rPr>
          <w:rFonts w:ascii="Palatino Linotype" w:hAnsi="Palatino Linotype"/>
          <w:sz w:val="22"/>
          <w:szCs w:val="22"/>
        </w:rPr>
        <w:t xml:space="preserve">A: </w:t>
      </w:r>
      <w:r w:rsidR="00FB2AFB">
        <w:rPr>
          <w:rFonts w:ascii="Palatino Linotype" w:hAnsi="Palatino Linotype"/>
          <w:sz w:val="22"/>
          <w:szCs w:val="22"/>
        </w:rPr>
        <w:t>The specific site of the proposed Advanced Energy Community will need to be identified during Phase I of the project</w:t>
      </w:r>
      <w:r w:rsidR="00B9496B">
        <w:rPr>
          <w:rFonts w:ascii="Palatino Linotype" w:hAnsi="Palatino Linotype"/>
          <w:sz w:val="22"/>
          <w:szCs w:val="22"/>
        </w:rPr>
        <w:t>. I</w:t>
      </w:r>
      <w:r w:rsidR="00FB2AFB">
        <w:rPr>
          <w:rFonts w:ascii="Palatino Linotype" w:hAnsi="Palatino Linotype"/>
          <w:sz w:val="22"/>
          <w:szCs w:val="22"/>
        </w:rPr>
        <w:t xml:space="preserve">dentification could take the form of a mailing address, Assessor’s Parcel Number, or some other identification of the boundaries of the proposed Advanced Energy Community boundaries. </w:t>
      </w:r>
      <w:r>
        <w:rPr>
          <w:rFonts w:ascii="Palatino Linotype" w:hAnsi="Palatino Linotype"/>
          <w:sz w:val="22"/>
          <w:szCs w:val="22"/>
        </w:rPr>
        <w:t>See response to Question 7</w:t>
      </w:r>
      <w:r w:rsidR="00FB2AFB">
        <w:rPr>
          <w:rFonts w:ascii="Palatino Linotype" w:hAnsi="Palatino Linotype"/>
          <w:sz w:val="22"/>
          <w:szCs w:val="22"/>
        </w:rPr>
        <w:t xml:space="preserve"> for additional information</w:t>
      </w:r>
      <w:r>
        <w:rPr>
          <w:rFonts w:ascii="Palatino Linotype" w:hAnsi="Palatino Linotype"/>
          <w:sz w:val="22"/>
          <w:szCs w:val="22"/>
        </w:rPr>
        <w:t>.</w:t>
      </w:r>
    </w:p>
    <w:p w:rsidR="00FD17E7" w:rsidRDefault="00FD17E7" w:rsidP="00FD17E7">
      <w:pPr>
        <w:ind w:left="360"/>
        <w:rPr>
          <w:rFonts w:ascii="Palatino Linotype" w:eastAsia="Times New Roman" w:hAnsi="Palatino Linotype"/>
          <w:color w:val="000000"/>
          <w:sz w:val="22"/>
          <w:szCs w:val="22"/>
        </w:rPr>
      </w:pPr>
    </w:p>
    <w:p w:rsidR="00052D9F" w:rsidRPr="00944F6F" w:rsidRDefault="00052D9F" w:rsidP="00052D9F">
      <w:pPr>
        <w:pStyle w:val="ListParagraph"/>
        <w:numPr>
          <w:ilvl w:val="0"/>
          <w:numId w:val="4"/>
        </w:numPr>
        <w:ind w:left="360"/>
        <w:rPr>
          <w:rFonts w:ascii="Palatino Linotype" w:hAnsi="Palatino Linotype"/>
        </w:rPr>
      </w:pPr>
      <w:r w:rsidRPr="00060B18">
        <w:rPr>
          <w:rFonts w:ascii="Palatino Linotype" w:hAnsi="Palatino Linotype"/>
          <w:b/>
        </w:rPr>
        <w:t>Q: There are parts of the solicitation that seem to indicate that the project site should already have been selected prior to submitting the proposal, rather than using the Phase I proposal to select as well as design the site. Please clarify the expectations, especially related to the requirement to quantify the benefits of the project - how can this be done if site hasn't been selected yet?</w:t>
      </w:r>
    </w:p>
    <w:p w:rsidR="00052D9F" w:rsidRPr="00060B18" w:rsidRDefault="00052D9F" w:rsidP="00052D9F">
      <w:pPr>
        <w:pStyle w:val="ListParagraph"/>
        <w:ind w:left="360"/>
        <w:rPr>
          <w:rFonts w:ascii="Palatino Linotype" w:hAnsi="Palatino Linotype"/>
        </w:rPr>
      </w:pPr>
    </w:p>
    <w:p w:rsidR="0096425A" w:rsidRDefault="00052D9F" w:rsidP="00052D9F">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Applicants are not required to have a site selected </w:t>
      </w:r>
      <w:r w:rsidR="00767E14">
        <w:rPr>
          <w:rFonts w:ascii="Palatino Linotype" w:hAnsi="Palatino Linotype"/>
          <w:sz w:val="22"/>
          <w:szCs w:val="22"/>
        </w:rPr>
        <w:t xml:space="preserve">prior to </w:t>
      </w:r>
      <w:r>
        <w:rPr>
          <w:rFonts w:ascii="Palatino Linotype" w:hAnsi="Palatino Linotype"/>
          <w:sz w:val="22"/>
          <w:szCs w:val="22"/>
        </w:rPr>
        <w:t xml:space="preserve">applying for Phase I. </w:t>
      </w:r>
      <w:r w:rsidR="0096425A">
        <w:rPr>
          <w:rFonts w:ascii="Palatino Linotype" w:hAnsi="Palatino Linotype"/>
          <w:sz w:val="22"/>
          <w:szCs w:val="22"/>
        </w:rPr>
        <w:t xml:space="preserve">Site selection is allowed to be part of the Phase I proposal. In addition, applicants are not required to quantify the benefits of the project in the proposal. However, applicants in their </w:t>
      </w:r>
      <w:r w:rsidR="0096425A">
        <w:rPr>
          <w:rFonts w:ascii="Palatino Linotype" w:hAnsi="Palatino Linotype"/>
          <w:sz w:val="22"/>
          <w:szCs w:val="22"/>
        </w:rPr>
        <w:lastRenderedPageBreak/>
        <w:t xml:space="preserve">proposal should describe 1) qualitatively what the expected benefits are; and 2) how they plan to estimate the benefits during the Phase I project. </w:t>
      </w:r>
    </w:p>
    <w:p w:rsidR="00052D9F" w:rsidRDefault="00052D9F" w:rsidP="00052D9F">
      <w:pPr>
        <w:ind w:left="360"/>
        <w:rPr>
          <w:rFonts w:ascii="Palatino Linotype" w:hAnsi="Palatino Linotype"/>
          <w:sz w:val="22"/>
          <w:szCs w:val="22"/>
        </w:rPr>
      </w:pPr>
    </w:p>
    <w:p w:rsidR="00052D9F" w:rsidRPr="00CA6636" w:rsidRDefault="00052D9F" w:rsidP="00052D9F">
      <w:pPr>
        <w:pStyle w:val="ListParagraph"/>
        <w:numPr>
          <w:ilvl w:val="0"/>
          <w:numId w:val="4"/>
        </w:numPr>
        <w:ind w:left="360"/>
        <w:rPr>
          <w:rFonts w:ascii="Palatino Linotype" w:hAnsi="Palatino Linotype"/>
          <w:b/>
        </w:rPr>
      </w:pPr>
      <w:r w:rsidRPr="00CA6636">
        <w:rPr>
          <w:rFonts w:ascii="Palatino Linotype" w:hAnsi="Palatino Linotype"/>
          <w:b/>
        </w:rPr>
        <w:t>Q: If the project site already has to be identified before Phase I proposal is submitted, then how does this fit with the requirement that the proposal address “Where are the optimal locations within a jurisdiction for designing and deploying these communities that offer the most benefit to ratepayers and the electric grid?"</w:t>
      </w:r>
    </w:p>
    <w:p w:rsidR="00052D9F" w:rsidRPr="00CB4085" w:rsidRDefault="00052D9F" w:rsidP="00052D9F">
      <w:pPr>
        <w:rPr>
          <w:rFonts w:ascii="Palatino Linotype" w:hAnsi="Palatino Linotype"/>
          <w:sz w:val="22"/>
          <w:szCs w:val="22"/>
        </w:rPr>
      </w:pPr>
    </w:p>
    <w:p w:rsidR="00052D9F" w:rsidRDefault="00052D9F" w:rsidP="00052D9F">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Applicants are not required to have a site selected </w:t>
      </w:r>
      <w:r w:rsidR="00004931">
        <w:rPr>
          <w:rFonts w:ascii="Palatino Linotype" w:hAnsi="Palatino Linotype"/>
          <w:sz w:val="22"/>
          <w:szCs w:val="22"/>
        </w:rPr>
        <w:t>in their</w:t>
      </w:r>
      <w:r>
        <w:rPr>
          <w:rFonts w:ascii="Palatino Linotype" w:hAnsi="Palatino Linotype"/>
          <w:sz w:val="22"/>
          <w:szCs w:val="22"/>
        </w:rPr>
        <w:t xml:space="preserve"> application. Applicants will need to describe in their proposal the approach for how they plan to select a site. This should include a discussion on what qualities and criteria would make a site </w:t>
      </w:r>
      <w:r w:rsidRPr="00CB4085">
        <w:rPr>
          <w:rFonts w:ascii="Palatino Linotype" w:hAnsi="Palatino Linotype"/>
          <w:sz w:val="22"/>
          <w:szCs w:val="22"/>
        </w:rPr>
        <w:t>more conducive to these types of developments as opposed to other sites</w:t>
      </w:r>
      <w:r>
        <w:rPr>
          <w:rFonts w:ascii="Palatino Linotype" w:hAnsi="Palatino Linotype"/>
          <w:sz w:val="22"/>
          <w:szCs w:val="22"/>
        </w:rPr>
        <w:t xml:space="preserve">. </w:t>
      </w:r>
    </w:p>
    <w:p w:rsidR="00052D9F" w:rsidRPr="00CB4085" w:rsidRDefault="00052D9F" w:rsidP="00052D9F">
      <w:pPr>
        <w:ind w:left="360"/>
        <w:rPr>
          <w:rFonts w:ascii="Palatino Linotype" w:hAnsi="Palatino Linotype"/>
          <w:sz w:val="22"/>
          <w:szCs w:val="22"/>
        </w:rPr>
      </w:pPr>
    </w:p>
    <w:p w:rsidR="00052D9F" w:rsidRPr="00052D9F" w:rsidRDefault="00052D9F" w:rsidP="00052D9F">
      <w:pPr>
        <w:pStyle w:val="ListParagraph"/>
        <w:numPr>
          <w:ilvl w:val="0"/>
          <w:numId w:val="4"/>
        </w:numPr>
        <w:ind w:left="360"/>
        <w:rPr>
          <w:rFonts w:ascii="Palatino Linotype" w:eastAsia="Times New Roman" w:hAnsi="Palatino Linotype"/>
          <w:color w:val="000000"/>
        </w:rPr>
      </w:pPr>
      <w:r w:rsidRPr="00052D9F">
        <w:rPr>
          <w:rFonts w:ascii="Palatino Linotype" w:eastAsia="Times New Roman" w:hAnsi="Palatino Linotype"/>
          <w:b/>
          <w:color w:val="000000"/>
        </w:rPr>
        <w:t>Q: If the Energy Commission expects Phase I projects to work with existing pre-identified sites, at what stage of the development process does the Energy Commission expect the development to be for new communities? </w:t>
      </w:r>
    </w:p>
    <w:p w:rsidR="00052D9F" w:rsidRPr="00052D9F" w:rsidRDefault="00052D9F" w:rsidP="00052D9F">
      <w:pPr>
        <w:pStyle w:val="ListParagraph"/>
        <w:ind w:left="360"/>
        <w:rPr>
          <w:rFonts w:ascii="Palatino Linotype" w:eastAsia="Times New Roman" w:hAnsi="Palatino Linotype"/>
          <w:color w:val="000000"/>
        </w:rPr>
      </w:pPr>
    </w:p>
    <w:p w:rsidR="002A5129" w:rsidRDefault="00052D9F" w:rsidP="00052D9F">
      <w:pPr>
        <w:pStyle w:val="ListParagraph"/>
        <w:ind w:left="360"/>
        <w:rPr>
          <w:rFonts w:ascii="Palatino Linotype" w:eastAsia="Times New Roman" w:hAnsi="Palatino Linotype"/>
          <w:color w:val="000000"/>
        </w:rPr>
      </w:pPr>
      <w:r w:rsidRPr="00052D9F">
        <w:rPr>
          <w:rFonts w:ascii="Palatino Linotype" w:eastAsia="Times New Roman" w:hAnsi="Palatino Linotype"/>
          <w:color w:val="000000"/>
        </w:rPr>
        <w:t xml:space="preserve">A: </w:t>
      </w:r>
      <w:r w:rsidRPr="00052D9F">
        <w:rPr>
          <w:rFonts w:ascii="Palatino Linotype" w:hAnsi="Palatino Linotype"/>
        </w:rPr>
        <w:t>Applicants are not required to have a site pre-selected prior to submitting an application and t</w:t>
      </w:r>
      <w:r w:rsidRPr="00052D9F">
        <w:rPr>
          <w:rFonts w:ascii="Palatino Linotype" w:eastAsia="Times New Roman" w:hAnsi="Palatino Linotype"/>
          <w:color w:val="000000"/>
        </w:rPr>
        <w:t xml:space="preserve">his solicitation does not require developments to be in any specific stage. It will be up to the applicant to describe how the site they have chosen will facilitate the objectives of </w:t>
      </w:r>
      <w:r w:rsidR="00D804E9">
        <w:rPr>
          <w:rFonts w:ascii="Palatino Linotype" w:eastAsia="Times New Roman" w:hAnsi="Palatino Linotype"/>
          <w:color w:val="000000"/>
        </w:rPr>
        <w:t>Advanced Energy Communities listed on page 4 of the Application Manual.</w:t>
      </w:r>
    </w:p>
    <w:p w:rsidR="002A5129" w:rsidRDefault="002A5129" w:rsidP="00052D9F">
      <w:pPr>
        <w:pStyle w:val="ListParagraph"/>
        <w:ind w:left="360"/>
        <w:rPr>
          <w:rFonts w:ascii="Palatino Linotype" w:eastAsia="Times New Roman" w:hAnsi="Palatino Linotype"/>
          <w:color w:val="000000"/>
        </w:rPr>
      </w:pPr>
    </w:p>
    <w:p w:rsidR="002A5129" w:rsidRDefault="002A5129" w:rsidP="002A5129">
      <w:pPr>
        <w:pStyle w:val="ListParagraph"/>
        <w:numPr>
          <w:ilvl w:val="0"/>
          <w:numId w:val="4"/>
        </w:numPr>
        <w:ind w:left="360"/>
        <w:rPr>
          <w:rFonts w:ascii="Palatino Linotype" w:hAnsi="Palatino Linotype"/>
          <w:b/>
        </w:rPr>
      </w:pPr>
      <w:r w:rsidRPr="00CA6636">
        <w:rPr>
          <w:rFonts w:ascii="Palatino Linotype" w:hAnsi="Palatino Linotype"/>
          <w:b/>
        </w:rPr>
        <w:t xml:space="preserve">Q: Should applicants include a map of their proposed community as part of the project? </w:t>
      </w:r>
    </w:p>
    <w:p w:rsidR="002A5129" w:rsidRDefault="002A5129" w:rsidP="002A5129">
      <w:pPr>
        <w:rPr>
          <w:rFonts w:ascii="Palatino Linotype" w:hAnsi="Palatino Linotype"/>
          <w:b/>
        </w:rPr>
      </w:pPr>
    </w:p>
    <w:p w:rsidR="00052D9F" w:rsidRPr="002A5129" w:rsidRDefault="002A5129" w:rsidP="002A5129">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If an applicant already has a site selected</w:t>
      </w:r>
      <w:r w:rsidR="00826184">
        <w:rPr>
          <w:rFonts w:ascii="Palatino Linotype" w:hAnsi="Palatino Linotype"/>
          <w:sz w:val="22"/>
          <w:szCs w:val="22"/>
        </w:rPr>
        <w:t xml:space="preserve"> or has potential sites identified</w:t>
      </w:r>
      <w:r>
        <w:rPr>
          <w:rFonts w:ascii="Palatino Linotype" w:hAnsi="Palatino Linotype"/>
          <w:sz w:val="22"/>
          <w:szCs w:val="22"/>
        </w:rPr>
        <w:t xml:space="preserve">, including a map would be helpful in describing their proposal. </w:t>
      </w:r>
      <w:r w:rsidR="00D804E9">
        <w:rPr>
          <w:rFonts w:ascii="Palatino Linotype" w:hAnsi="Palatino Linotype"/>
          <w:sz w:val="22"/>
          <w:szCs w:val="22"/>
        </w:rPr>
        <w:t xml:space="preserve">However, applicants are not required to include a map of the proposed community in their proposal. </w:t>
      </w:r>
    </w:p>
    <w:p w:rsidR="0025535C" w:rsidRPr="00E768B8" w:rsidRDefault="0025535C" w:rsidP="00052D9F">
      <w:pPr>
        <w:pStyle w:val="Heading1"/>
        <w:rPr>
          <w:rFonts w:ascii="Palatino Linotype" w:eastAsia="Times New Roman" w:hAnsi="Palatino Linotype"/>
          <w:color w:val="000000"/>
        </w:rPr>
      </w:pPr>
      <w:bookmarkStart w:id="3" w:name="_Toc438652249"/>
      <w:r w:rsidRPr="00E768B8">
        <w:rPr>
          <w:rFonts w:ascii="Palatino Linotype" w:eastAsia="Times New Roman" w:hAnsi="Palatino Linotype"/>
        </w:rPr>
        <w:t>Technology</w:t>
      </w:r>
      <w:bookmarkEnd w:id="3"/>
      <w:r w:rsidRPr="00E768B8">
        <w:rPr>
          <w:rFonts w:ascii="Palatino Linotype" w:eastAsia="Times New Roman" w:hAnsi="Palatino Linotype"/>
        </w:rPr>
        <w:t xml:space="preserve"> </w:t>
      </w:r>
    </w:p>
    <w:p w:rsidR="0025535C" w:rsidRDefault="0025535C" w:rsidP="0025535C">
      <w:pPr>
        <w:rPr>
          <w:rFonts w:ascii="Palatino Linotype" w:eastAsia="Times New Roman" w:hAnsi="Palatino Linotype"/>
          <w:b/>
          <w:color w:val="000000"/>
        </w:rPr>
      </w:pPr>
    </w:p>
    <w:p w:rsidR="00D17FCC" w:rsidRPr="00CA6636" w:rsidRDefault="00D17FCC" w:rsidP="00D17FCC">
      <w:pPr>
        <w:pStyle w:val="ListParagraph"/>
        <w:numPr>
          <w:ilvl w:val="0"/>
          <w:numId w:val="4"/>
        </w:numPr>
        <w:ind w:left="360"/>
        <w:rPr>
          <w:rFonts w:ascii="Palatino Linotype" w:eastAsia="Times New Roman" w:hAnsi="Palatino Linotype"/>
          <w:b/>
          <w:color w:val="000000"/>
        </w:rPr>
      </w:pPr>
      <w:r w:rsidRPr="00CA6636">
        <w:rPr>
          <w:rFonts w:ascii="Palatino Linotype" w:eastAsia="Times New Roman" w:hAnsi="Palatino Linotype"/>
          <w:b/>
          <w:color w:val="000000"/>
        </w:rPr>
        <w:t>Q: Does the Energy Commission envision “Advanced Energy Communities” being microgrid communities that have the ability to island from the utility’s distribution infrastructure? </w:t>
      </w:r>
    </w:p>
    <w:p w:rsidR="00D17FCC" w:rsidRPr="00CB4085" w:rsidRDefault="00D17FCC" w:rsidP="00D17FCC">
      <w:pPr>
        <w:ind w:left="360"/>
        <w:rPr>
          <w:rFonts w:ascii="Palatino Linotype" w:eastAsia="Times New Roman" w:hAnsi="Palatino Linotype"/>
          <w:color w:val="000000"/>
          <w:sz w:val="22"/>
          <w:szCs w:val="22"/>
        </w:rPr>
      </w:pPr>
    </w:p>
    <w:p w:rsidR="00D17FCC" w:rsidRDefault="00D17FCC" w:rsidP="00D17FCC">
      <w:pPr>
        <w:ind w:left="360"/>
        <w:rPr>
          <w:rFonts w:ascii="Palatino Linotype" w:eastAsia="Times New Roman" w:hAnsi="Palatino Linotype"/>
          <w:color w:val="000000"/>
          <w:sz w:val="22"/>
          <w:szCs w:val="22"/>
        </w:rPr>
      </w:pPr>
      <w:r w:rsidRPr="00CB4085">
        <w:rPr>
          <w:rFonts w:ascii="Palatino Linotype" w:eastAsia="Times New Roman" w:hAnsi="Palatino Linotype"/>
          <w:color w:val="000000"/>
          <w:sz w:val="22"/>
          <w:szCs w:val="22"/>
        </w:rPr>
        <w:t xml:space="preserve">A: </w:t>
      </w:r>
      <w:r w:rsidR="00C163C5">
        <w:rPr>
          <w:rFonts w:ascii="Palatino Linotype" w:eastAsia="Times New Roman" w:hAnsi="Palatino Linotype"/>
          <w:color w:val="000000"/>
          <w:sz w:val="22"/>
          <w:szCs w:val="22"/>
        </w:rPr>
        <w:t>The Energy Commission does not require Advanced Energy Communities to be microgrid communities or have islanding capabilities. However, the proposed Advanced Energy Community should support grid reliability and resiliency</w:t>
      </w:r>
      <w:r w:rsidR="00D804E9">
        <w:rPr>
          <w:rFonts w:ascii="Palatino Linotype" w:eastAsia="Times New Roman" w:hAnsi="Palatino Linotype"/>
          <w:color w:val="000000"/>
          <w:sz w:val="22"/>
          <w:szCs w:val="22"/>
        </w:rPr>
        <w:t>, as well as the other Advanced Energy Communities objectives listed on page 4 of the Application Manual</w:t>
      </w:r>
      <w:r w:rsidR="00C163C5">
        <w:rPr>
          <w:rFonts w:ascii="Palatino Linotype" w:eastAsia="Times New Roman" w:hAnsi="Palatino Linotype"/>
          <w:color w:val="000000"/>
          <w:sz w:val="22"/>
          <w:szCs w:val="22"/>
        </w:rPr>
        <w:t xml:space="preserve">. </w:t>
      </w:r>
    </w:p>
    <w:p w:rsidR="001E0423" w:rsidRDefault="001E0423" w:rsidP="00D17FCC">
      <w:pPr>
        <w:ind w:left="360"/>
        <w:rPr>
          <w:rFonts w:ascii="Palatino Linotype" w:eastAsia="Times New Roman" w:hAnsi="Palatino Linotype"/>
          <w:color w:val="000000"/>
          <w:sz w:val="22"/>
          <w:szCs w:val="22"/>
        </w:rPr>
      </w:pPr>
    </w:p>
    <w:p w:rsidR="009622C5" w:rsidRDefault="009622C5" w:rsidP="00D17FCC">
      <w:pPr>
        <w:ind w:left="360"/>
        <w:rPr>
          <w:rFonts w:ascii="Palatino Linotype" w:eastAsia="Times New Roman" w:hAnsi="Palatino Linotype"/>
          <w:color w:val="000000"/>
          <w:sz w:val="22"/>
          <w:szCs w:val="22"/>
        </w:rPr>
      </w:pPr>
    </w:p>
    <w:p w:rsidR="009622C5" w:rsidRDefault="009622C5" w:rsidP="00D17FCC">
      <w:pPr>
        <w:ind w:left="360"/>
        <w:rPr>
          <w:rFonts w:ascii="Palatino Linotype" w:eastAsia="Times New Roman" w:hAnsi="Palatino Linotype"/>
          <w:color w:val="000000"/>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lastRenderedPageBreak/>
        <w:t>Q: Does this funding opportunity include electrification of transportation? (i.e. electric vehicles)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 xml:space="preserve">A: </w:t>
      </w:r>
      <w:r w:rsidR="00C163C5">
        <w:rPr>
          <w:rFonts w:ascii="Palatino Linotype" w:hAnsi="Palatino Linotype"/>
          <w:sz w:val="22"/>
          <w:szCs w:val="22"/>
        </w:rPr>
        <w:t>The Advanced Energy Community being proposed in an application should consider how electric vehicles will be integrated.</w:t>
      </w:r>
    </w:p>
    <w:p w:rsidR="001E0423" w:rsidRPr="00CB4085" w:rsidRDefault="001E0423" w:rsidP="001E0423">
      <w:pPr>
        <w:ind w:left="360"/>
        <w:rPr>
          <w:rFonts w:ascii="Palatino Linotype" w:hAnsi="Palatino Linotype"/>
          <w:sz w:val="22"/>
          <w:szCs w:val="22"/>
        </w:rPr>
      </w:pPr>
    </w:p>
    <w:p w:rsidR="001E0423" w:rsidRPr="00767E14" w:rsidRDefault="001E0423" w:rsidP="001E0423">
      <w:pPr>
        <w:pStyle w:val="ListParagraph"/>
        <w:numPr>
          <w:ilvl w:val="0"/>
          <w:numId w:val="4"/>
        </w:numPr>
        <w:ind w:left="360"/>
        <w:rPr>
          <w:rFonts w:ascii="Palatino Linotype" w:hAnsi="Palatino Linotype"/>
          <w:b/>
        </w:rPr>
      </w:pPr>
      <w:r w:rsidRPr="00767E14">
        <w:rPr>
          <w:rFonts w:ascii="Palatino Linotype" w:hAnsi="Palatino Linotype"/>
          <w:b/>
        </w:rPr>
        <w:t xml:space="preserve">Q: Does this grant enable applicants to integrate all fuel types &amp; resources? </w:t>
      </w:r>
    </w:p>
    <w:p w:rsidR="001E0423" w:rsidRPr="00767E14"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767E14">
        <w:rPr>
          <w:rFonts w:ascii="Palatino Linotype" w:hAnsi="Palatino Linotype"/>
          <w:sz w:val="22"/>
          <w:szCs w:val="22"/>
        </w:rPr>
        <w:t xml:space="preserve">A: </w:t>
      </w:r>
      <w:r w:rsidR="00C163C5" w:rsidRPr="00767E14">
        <w:rPr>
          <w:rFonts w:ascii="Palatino Linotype" w:hAnsi="Palatino Linotype"/>
          <w:sz w:val="22"/>
          <w:szCs w:val="22"/>
        </w:rPr>
        <w:t>T</w:t>
      </w:r>
      <w:r w:rsidRPr="00767E14">
        <w:rPr>
          <w:rFonts w:ascii="Palatino Linotype" w:hAnsi="Palatino Linotype"/>
          <w:sz w:val="22"/>
          <w:szCs w:val="22"/>
        </w:rPr>
        <w:t>his grant enables applicant</w:t>
      </w:r>
      <w:r w:rsidR="00C163C5" w:rsidRPr="00767E14">
        <w:rPr>
          <w:rFonts w:ascii="Palatino Linotype" w:hAnsi="Palatino Linotype"/>
          <w:sz w:val="22"/>
          <w:szCs w:val="22"/>
        </w:rPr>
        <w:t>s</w:t>
      </w:r>
      <w:r w:rsidRPr="00767E14">
        <w:rPr>
          <w:rFonts w:ascii="Palatino Linotype" w:hAnsi="Palatino Linotype"/>
          <w:sz w:val="22"/>
          <w:szCs w:val="22"/>
        </w:rPr>
        <w:t xml:space="preserve"> to </w:t>
      </w:r>
      <w:r w:rsidR="00767E14" w:rsidRPr="00767E14">
        <w:rPr>
          <w:rFonts w:ascii="Palatino Linotype" w:hAnsi="Palatino Linotype"/>
          <w:sz w:val="22"/>
          <w:szCs w:val="22"/>
        </w:rPr>
        <w:t xml:space="preserve">propose </w:t>
      </w:r>
      <w:r w:rsidRPr="00767E14">
        <w:rPr>
          <w:rFonts w:ascii="Palatino Linotype" w:hAnsi="Palatino Linotype"/>
          <w:sz w:val="22"/>
          <w:szCs w:val="22"/>
        </w:rPr>
        <w:t xml:space="preserve">a mix of technologies </w:t>
      </w:r>
      <w:r w:rsidR="00767E14" w:rsidRPr="00767E14">
        <w:rPr>
          <w:rFonts w:ascii="Palatino Linotype" w:hAnsi="Palatino Linotype"/>
          <w:sz w:val="22"/>
          <w:szCs w:val="22"/>
        </w:rPr>
        <w:t xml:space="preserve">and </w:t>
      </w:r>
      <w:r w:rsidR="00C163C5" w:rsidRPr="00767E14">
        <w:rPr>
          <w:rFonts w:ascii="Palatino Linotype" w:hAnsi="Palatino Linotype"/>
          <w:sz w:val="22"/>
          <w:szCs w:val="22"/>
        </w:rPr>
        <w:t>plan a community that integrates</w:t>
      </w:r>
      <w:r w:rsidR="00767E14" w:rsidRPr="00767E14">
        <w:rPr>
          <w:rFonts w:ascii="Palatino Linotype" w:hAnsi="Palatino Linotype"/>
          <w:sz w:val="22"/>
          <w:szCs w:val="22"/>
        </w:rPr>
        <w:t xml:space="preserve"> them in a whole systems approach.</w:t>
      </w:r>
      <w:r w:rsidR="00C163C5">
        <w:rPr>
          <w:rFonts w:ascii="Palatino Linotype" w:hAnsi="Palatino Linotype"/>
          <w:sz w:val="22"/>
          <w:szCs w:val="22"/>
        </w:rPr>
        <w:t xml:space="preserve"> </w:t>
      </w:r>
      <w:r w:rsidRPr="00CB4085">
        <w:rPr>
          <w:rFonts w:ascii="Palatino Linotype" w:hAnsi="Palatino Linotype"/>
          <w:sz w:val="22"/>
          <w:szCs w:val="22"/>
        </w:rPr>
        <w:t xml:space="preserve"> </w:t>
      </w:r>
    </w:p>
    <w:p w:rsidR="00F154BA" w:rsidRDefault="00F154BA" w:rsidP="001E0423">
      <w:pPr>
        <w:ind w:left="360"/>
        <w:rPr>
          <w:rFonts w:ascii="Palatino Linotype" w:hAnsi="Palatino Linotype"/>
          <w:sz w:val="22"/>
          <w:szCs w:val="22"/>
        </w:rPr>
      </w:pPr>
    </w:p>
    <w:p w:rsidR="00F154BA" w:rsidRPr="00F154BA" w:rsidRDefault="00F154BA" w:rsidP="00F154BA">
      <w:pPr>
        <w:pStyle w:val="ListParagraph"/>
        <w:numPr>
          <w:ilvl w:val="0"/>
          <w:numId w:val="4"/>
        </w:numPr>
        <w:ind w:left="360"/>
        <w:rPr>
          <w:rFonts w:ascii="Palatino Linotype" w:hAnsi="Palatino Linotype"/>
        </w:rPr>
      </w:pPr>
      <w:r w:rsidRPr="00F154BA">
        <w:rPr>
          <w:rFonts w:ascii="Palatino Linotype" w:hAnsi="Palatino Linotype"/>
          <w:b/>
        </w:rPr>
        <w:t xml:space="preserve">Will </w:t>
      </w:r>
      <w:r>
        <w:rPr>
          <w:rFonts w:ascii="Palatino Linotype" w:hAnsi="Palatino Linotype"/>
          <w:b/>
        </w:rPr>
        <w:t>applicants</w:t>
      </w:r>
      <w:r w:rsidRPr="00F154BA">
        <w:rPr>
          <w:rFonts w:ascii="Palatino Linotype" w:hAnsi="Palatino Linotype"/>
          <w:b/>
        </w:rPr>
        <w:t xml:space="preserve"> be able to implement this project outside of electric IOU service territory?</w:t>
      </w:r>
    </w:p>
    <w:p w:rsidR="00F154BA" w:rsidRDefault="00F154BA" w:rsidP="00F154BA">
      <w:pPr>
        <w:rPr>
          <w:rFonts w:ascii="Palatino Linotype" w:hAnsi="Palatino Linotype"/>
        </w:rPr>
      </w:pPr>
    </w:p>
    <w:p w:rsidR="00F154BA" w:rsidRPr="00F154BA" w:rsidRDefault="00F154BA" w:rsidP="00F154BA">
      <w:pPr>
        <w:ind w:left="360"/>
        <w:rPr>
          <w:rFonts w:ascii="Palatino Linotype" w:hAnsi="Palatino Linotype"/>
          <w:sz w:val="22"/>
        </w:rPr>
      </w:pPr>
      <w:r w:rsidRPr="00F154BA">
        <w:rPr>
          <w:rFonts w:ascii="Palatino Linotype" w:hAnsi="Palatino Linotype"/>
          <w:sz w:val="22"/>
        </w:rPr>
        <w:t xml:space="preserve">A: </w:t>
      </w:r>
      <w:r>
        <w:rPr>
          <w:rFonts w:ascii="Palatino Linotype" w:hAnsi="Palatino Linotype"/>
          <w:sz w:val="22"/>
        </w:rPr>
        <w:t xml:space="preserve">No, </w:t>
      </w:r>
      <w:r>
        <w:rPr>
          <w:rFonts w:ascii="Palatino Linotype" w:hAnsi="Palatino Linotype"/>
          <w:sz w:val="22"/>
          <w:szCs w:val="22"/>
        </w:rPr>
        <w:t>projects must be located within an</w:t>
      </w:r>
      <w:r w:rsidR="004C38AB">
        <w:rPr>
          <w:rFonts w:ascii="Palatino Linotype" w:hAnsi="Palatino Linotype"/>
          <w:sz w:val="22"/>
          <w:szCs w:val="22"/>
        </w:rPr>
        <w:t xml:space="preserve"> electric</w:t>
      </w:r>
      <w:r w:rsidRPr="00CB4085">
        <w:rPr>
          <w:rFonts w:ascii="Palatino Linotype" w:hAnsi="Palatino Linotype"/>
          <w:sz w:val="22"/>
          <w:szCs w:val="22"/>
        </w:rPr>
        <w:t xml:space="preserve"> IOU</w:t>
      </w:r>
      <w:r>
        <w:rPr>
          <w:rFonts w:ascii="Palatino Linotype" w:hAnsi="Palatino Linotype"/>
          <w:sz w:val="22"/>
          <w:szCs w:val="22"/>
        </w:rPr>
        <w:t>’s</w:t>
      </w:r>
      <w:r w:rsidRPr="00CB4085">
        <w:rPr>
          <w:rFonts w:ascii="Palatino Linotype" w:hAnsi="Palatino Linotype"/>
          <w:sz w:val="22"/>
          <w:szCs w:val="22"/>
        </w:rPr>
        <w:t xml:space="preserve"> service territory</w:t>
      </w:r>
      <w:r w:rsidR="00C163C5">
        <w:rPr>
          <w:rFonts w:ascii="Palatino Linotype" w:hAnsi="Palatino Linotype"/>
          <w:sz w:val="22"/>
          <w:szCs w:val="22"/>
        </w:rPr>
        <w:t>.</w:t>
      </w:r>
    </w:p>
    <w:p w:rsidR="00F154BA" w:rsidRDefault="00F154BA" w:rsidP="00F154BA">
      <w:pPr>
        <w:pStyle w:val="ListParagraph"/>
        <w:ind w:left="360"/>
        <w:rPr>
          <w:rFonts w:ascii="Palatino Linotype" w:hAnsi="Palatino Linotype"/>
          <w:b/>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Do renewable cogeneration facilities count as an Advanced Energy System?</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A: Yes</w:t>
      </w:r>
      <w:r w:rsidR="00C163C5">
        <w:rPr>
          <w:rFonts w:ascii="Palatino Linotype" w:hAnsi="Palatino Linotype"/>
          <w:sz w:val="22"/>
          <w:szCs w:val="22"/>
        </w:rPr>
        <w:t>, renewable cogeneration may be part of the Advanced Energy Community</w:t>
      </w:r>
    </w:p>
    <w:p w:rsidR="001E0423" w:rsidRDefault="001E0423" w:rsidP="001E0423">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 xml:space="preserve">Q: Should the </w:t>
      </w:r>
      <w:r w:rsidR="003E5C69">
        <w:rPr>
          <w:rFonts w:ascii="Palatino Linotype" w:hAnsi="Palatino Linotype"/>
          <w:b/>
        </w:rPr>
        <w:t>A</w:t>
      </w:r>
      <w:r w:rsidR="003E5C69" w:rsidRPr="00CA6636">
        <w:rPr>
          <w:rFonts w:ascii="Palatino Linotype" w:hAnsi="Palatino Linotype"/>
          <w:b/>
        </w:rPr>
        <w:t>dvance</w:t>
      </w:r>
      <w:r w:rsidR="003E5C69">
        <w:rPr>
          <w:rFonts w:ascii="Palatino Linotype" w:hAnsi="Palatino Linotype"/>
          <w:b/>
        </w:rPr>
        <w:t>d</w:t>
      </w:r>
      <w:r w:rsidR="003E5C69" w:rsidRPr="00CA6636">
        <w:rPr>
          <w:rFonts w:ascii="Palatino Linotype" w:hAnsi="Palatino Linotype"/>
          <w:b/>
        </w:rPr>
        <w:t xml:space="preserve"> </w:t>
      </w:r>
      <w:r w:rsidR="003E5C69">
        <w:rPr>
          <w:rFonts w:ascii="Palatino Linotype" w:hAnsi="Palatino Linotype"/>
          <w:b/>
        </w:rPr>
        <w:t>E</w:t>
      </w:r>
      <w:r w:rsidR="003E5C69" w:rsidRPr="00CA6636">
        <w:rPr>
          <w:rFonts w:ascii="Palatino Linotype" w:hAnsi="Palatino Linotype"/>
          <w:b/>
        </w:rPr>
        <w:t xml:space="preserve">nergy </w:t>
      </w:r>
      <w:r w:rsidR="003E5C69">
        <w:rPr>
          <w:rFonts w:ascii="Palatino Linotype" w:hAnsi="Palatino Linotype"/>
          <w:b/>
        </w:rPr>
        <w:t>C</w:t>
      </w:r>
      <w:r w:rsidR="003E5C69" w:rsidRPr="00CA6636">
        <w:rPr>
          <w:rFonts w:ascii="Palatino Linotype" w:hAnsi="Palatino Linotype"/>
          <w:b/>
        </w:rPr>
        <w:t xml:space="preserve">ommunity </w:t>
      </w:r>
      <w:r w:rsidRPr="00CA6636">
        <w:rPr>
          <w:rFonts w:ascii="Palatino Linotype" w:hAnsi="Palatino Linotype"/>
          <w:b/>
        </w:rPr>
        <w:t>include capability to be island</w:t>
      </w:r>
      <w:r w:rsidR="004C38AB">
        <w:rPr>
          <w:rFonts w:ascii="Palatino Linotype" w:hAnsi="Palatino Linotype"/>
          <w:b/>
        </w:rPr>
        <w:t>ed</w:t>
      </w:r>
      <w:r w:rsidRPr="00CA6636">
        <w:rPr>
          <w:rFonts w:ascii="Palatino Linotype" w:hAnsi="Palatino Linotype"/>
          <w:b/>
        </w:rPr>
        <w:t xml:space="preserve"> from the grid, and must the applicant consider utility departing load costs or standby charges?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A: Applicant</w:t>
      </w:r>
      <w:r w:rsidR="00C163C5">
        <w:rPr>
          <w:rFonts w:ascii="Palatino Linotype" w:hAnsi="Palatino Linotype"/>
          <w:sz w:val="22"/>
          <w:szCs w:val="22"/>
        </w:rPr>
        <w:t>s</w:t>
      </w:r>
      <w:r w:rsidRPr="00CB4085">
        <w:rPr>
          <w:rFonts w:ascii="Palatino Linotype" w:hAnsi="Palatino Linotype"/>
          <w:sz w:val="22"/>
          <w:szCs w:val="22"/>
        </w:rPr>
        <w:t xml:space="preserve"> can propose</w:t>
      </w:r>
      <w:r>
        <w:rPr>
          <w:rFonts w:ascii="Palatino Linotype" w:hAnsi="Palatino Linotype"/>
          <w:sz w:val="22"/>
          <w:szCs w:val="22"/>
        </w:rPr>
        <w:t xml:space="preserve"> islanding capabilities</w:t>
      </w:r>
      <w:r w:rsidR="00C163C5">
        <w:rPr>
          <w:rFonts w:ascii="Palatino Linotype" w:hAnsi="Palatino Linotype"/>
          <w:sz w:val="22"/>
          <w:szCs w:val="22"/>
        </w:rPr>
        <w:t xml:space="preserve"> as part of their proposed community</w:t>
      </w:r>
      <w:r>
        <w:rPr>
          <w:rFonts w:ascii="Palatino Linotype" w:hAnsi="Palatino Linotype"/>
          <w:sz w:val="22"/>
          <w:szCs w:val="22"/>
        </w:rPr>
        <w:t xml:space="preserve"> </w:t>
      </w:r>
      <w:r w:rsidRPr="00CB4085">
        <w:rPr>
          <w:rFonts w:ascii="Palatino Linotype" w:hAnsi="Palatino Linotype"/>
          <w:sz w:val="22"/>
          <w:szCs w:val="22"/>
        </w:rPr>
        <w:t>but it</w:t>
      </w:r>
      <w:r w:rsidR="00C163C5">
        <w:rPr>
          <w:rFonts w:ascii="Palatino Linotype" w:hAnsi="Palatino Linotype"/>
          <w:sz w:val="22"/>
          <w:szCs w:val="22"/>
        </w:rPr>
        <w:t xml:space="preserve"> is</w:t>
      </w:r>
      <w:r w:rsidRPr="00CB4085">
        <w:rPr>
          <w:rFonts w:ascii="Palatino Linotype" w:hAnsi="Palatino Linotype"/>
          <w:sz w:val="22"/>
          <w:szCs w:val="22"/>
        </w:rPr>
        <w:t xml:space="preserve"> not a requirement</w:t>
      </w:r>
      <w:r>
        <w:rPr>
          <w:rFonts w:ascii="Palatino Linotype" w:hAnsi="Palatino Linotype"/>
          <w:sz w:val="22"/>
          <w:szCs w:val="22"/>
        </w:rPr>
        <w:t xml:space="preserve"> of this solicitation</w:t>
      </w:r>
      <w:r w:rsidRPr="00CB4085">
        <w:rPr>
          <w:rFonts w:ascii="Palatino Linotype" w:hAnsi="Palatino Linotype"/>
          <w:sz w:val="22"/>
          <w:szCs w:val="22"/>
        </w:rPr>
        <w:t xml:space="preserve">. </w:t>
      </w:r>
      <w:r>
        <w:rPr>
          <w:rFonts w:ascii="Palatino Linotype" w:hAnsi="Palatino Linotype"/>
          <w:sz w:val="22"/>
          <w:szCs w:val="22"/>
        </w:rPr>
        <w:t xml:space="preserve">If the proposal will result in additional charges such as departing load costs or standby charges then they should be accounted for when the applicant is </w:t>
      </w:r>
      <w:r w:rsidR="00B9496B">
        <w:rPr>
          <w:rFonts w:ascii="Palatino Linotype" w:hAnsi="Palatino Linotype"/>
          <w:sz w:val="22"/>
          <w:szCs w:val="22"/>
        </w:rPr>
        <w:t xml:space="preserve">evaluating </w:t>
      </w:r>
      <w:r>
        <w:rPr>
          <w:rFonts w:ascii="Palatino Linotype" w:hAnsi="Palatino Linotype"/>
          <w:sz w:val="22"/>
          <w:szCs w:val="22"/>
        </w:rPr>
        <w:t>the financing and business model aspects of the development</w:t>
      </w:r>
      <w:r w:rsidRPr="00CB4085">
        <w:rPr>
          <w:rFonts w:ascii="Palatino Linotype" w:hAnsi="Palatino Linotype"/>
          <w:sz w:val="22"/>
          <w:szCs w:val="22"/>
        </w:rPr>
        <w:t>.</w:t>
      </w:r>
    </w:p>
    <w:p w:rsidR="001E0423" w:rsidRPr="00CB4085" w:rsidRDefault="001E0423" w:rsidP="001E0423">
      <w:pPr>
        <w:ind w:left="360"/>
        <w:rPr>
          <w:rFonts w:ascii="Palatino Linotype" w:hAnsi="Palatino Linotype"/>
          <w:sz w:val="22"/>
          <w:szCs w:val="22"/>
        </w:rPr>
      </w:pPr>
    </w:p>
    <w:p w:rsidR="001E0423" w:rsidRPr="00E8687C" w:rsidRDefault="001E0423" w:rsidP="001E0423">
      <w:pPr>
        <w:pStyle w:val="ListParagraph"/>
        <w:numPr>
          <w:ilvl w:val="0"/>
          <w:numId w:val="4"/>
        </w:numPr>
        <w:ind w:left="360"/>
        <w:rPr>
          <w:rFonts w:ascii="Palatino Linotype" w:hAnsi="Palatino Linotype"/>
          <w:b/>
        </w:rPr>
      </w:pPr>
      <w:r w:rsidRPr="00E8687C">
        <w:rPr>
          <w:rFonts w:ascii="Palatino Linotype" w:hAnsi="Palatino Linotype"/>
          <w:b/>
        </w:rPr>
        <w:t>Q: In the past, in seems solicitation winners have primarily been solar and wind. Is there any feedstock preferred over others</w:t>
      </w:r>
      <w:r w:rsidR="00767E14" w:rsidRPr="00E8687C">
        <w:rPr>
          <w:rFonts w:ascii="Palatino Linotype" w:hAnsi="Palatino Linotype"/>
          <w:b/>
        </w:rPr>
        <w:t xml:space="preserve"> since biomass, and bio methane don’t seem to have the same capabilities?</w:t>
      </w:r>
      <w:r w:rsidRPr="00E8687C">
        <w:rPr>
          <w:rFonts w:ascii="Palatino Linotype" w:hAnsi="Palatino Linotype"/>
          <w:b/>
        </w:rPr>
        <w:t xml:space="preserve">? </w:t>
      </w:r>
    </w:p>
    <w:p w:rsidR="001E0423" w:rsidRPr="00E8687C"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E8687C">
        <w:rPr>
          <w:rFonts w:ascii="Palatino Linotype" w:hAnsi="Palatino Linotype"/>
          <w:sz w:val="22"/>
          <w:szCs w:val="22"/>
        </w:rPr>
        <w:t>A: There is no preference in technologies. It is up to applicant if to justify the mix of technologies they are including in their proposal</w:t>
      </w:r>
      <w:r w:rsidR="00E8687C">
        <w:rPr>
          <w:rFonts w:ascii="Palatino Linotype" w:hAnsi="Palatino Linotype"/>
          <w:sz w:val="22"/>
          <w:szCs w:val="22"/>
        </w:rPr>
        <w:t xml:space="preserve"> and how those technologies</w:t>
      </w:r>
      <w:r w:rsidR="00826184" w:rsidRPr="00E8687C">
        <w:rPr>
          <w:rFonts w:ascii="Palatino Linotype" w:hAnsi="Palatino Linotype"/>
          <w:sz w:val="22"/>
          <w:szCs w:val="22"/>
        </w:rPr>
        <w:t xml:space="preserve"> provide benefits to</w:t>
      </w:r>
      <w:r w:rsidR="00E8687C">
        <w:rPr>
          <w:rFonts w:ascii="Palatino Linotype" w:hAnsi="Palatino Linotype"/>
          <w:sz w:val="22"/>
          <w:szCs w:val="22"/>
        </w:rPr>
        <w:t xml:space="preserve"> Investor Owned Utility (IOU)</w:t>
      </w:r>
      <w:r w:rsidR="00826184" w:rsidRPr="00E8687C">
        <w:rPr>
          <w:rFonts w:ascii="Palatino Linotype" w:hAnsi="Palatino Linotype"/>
          <w:sz w:val="22"/>
          <w:szCs w:val="22"/>
        </w:rPr>
        <w:t xml:space="preserve"> electric ratepayers.</w:t>
      </w:r>
      <w:r w:rsidR="00826184">
        <w:rPr>
          <w:rFonts w:ascii="Palatino Linotype" w:hAnsi="Palatino Linotype"/>
          <w:sz w:val="22"/>
          <w:szCs w:val="22"/>
        </w:rPr>
        <w:t xml:space="preserve"> </w:t>
      </w:r>
    </w:p>
    <w:p w:rsidR="00E613ED" w:rsidRDefault="00E613ED" w:rsidP="001E0423">
      <w:pPr>
        <w:ind w:left="360"/>
        <w:rPr>
          <w:rFonts w:ascii="Palatino Linotype" w:hAnsi="Palatino Linotype"/>
          <w:sz w:val="22"/>
          <w:szCs w:val="22"/>
        </w:rPr>
      </w:pPr>
    </w:p>
    <w:p w:rsidR="001E0423" w:rsidRPr="00D17FCC" w:rsidRDefault="001E0423" w:rsidP="001E0423">
      <w:pPr>
        <w:pStyle w:val="ListParagraph"/>
        <w:numPr>
          <w:ilvl w:val="0"/>
          <w:numId w:val="4"/>
        </w:numPr>
        <w:ind w:left="360"/>
        <w:rPr>
          <w:rFonts w:ascii="Palatino Linotype" w:hAnsi="Palatino Linotype"/>
          <w:b/>
        </w:rPr>
      </w:pPr>
      <w:r w:rsidRPr="00D17FCC">
        <w:rPr>
          <w:rFonts w:ascii="Palatino Linotype" w:hAnsi="Palatino Linotype"/>
          <w:b/>
        </w:rPr>
        <w:t xml:space="preserve">Q: Does the Energy Commission want to limit </w:t>
      </w:r>
      <w:r w:rsidR="00A33A2D">
        <w:rPr>
          <w:rFonts w:ascii="Palatino Linotype" w:hAnsi="Palatino Linotype"/>
          <w:b/>
        </w:rPr>
        <w:t>the</w:t>
      </w:r>
      <w:r w:rsidRPr="00D17FCC">
        <w:rPr>
          <w:rFonts w:ascii="Palatino Linotype" w:hAnsi="Palatino Linotype"/>
          <w:b/>
        </w:rPr>
        <w:t xml:space="preserve"> inclusion of bioenergy to its current definition? </w:t>
      </w:r>
    </w:p>
    <w:p w:rsidR="001E0423" w:rsidRPr="00D17FCC" w:rsidRDefault="001E0423" w:rsidP="001E0423">
      <w:pPr>
        <w:ind w:left="360"/>
        <w:rPr>
          <w:rFonts w:ascii="Palatino Linotype" w:hAnsi="Palatino Linotype"/>
          <w:sz w:val="22"/>
          <w:szCs w:val="22"/>
        </w:rPr>
      </w:pPr>
    </w:p>
    <w:p w:rsidR="001E0423" w:rsidRDefault="001E0423" w:rsidP="00492488">
      <w:pPr>
        <w:ind w:left="360"/>
        <w:rPr>
          <w:rFonts w:ascii="Palatino Linotype" w:hAnsi="Palatino Linotype"/>
          <w:sz w:val="22"/>
          <w:szCs w:val="22"/>
        </w:rPr>
      </w:pPr>
      <w:r w:rsidRPr="00D17FCC">
        <w:rPr>
          <w:rFonts w:ascii="Palatino Linotype" w:hAnsi="Palatino Linotype"/>
          <w:sz w:val="22"/>
          <w:szCs w:val="22"/>
        </w:rPr>
        <w:t xml:space="preserve">A: </w:t>
      </w:r>
      <w:r w:rsidR="00A33A2D">
        <w:rPr>
          <w:rFonts w:ascii="Palatino Linotype" w:hAnsi="Palatino Linotype"/>
          <w:sz w:val="22"/>
          <w:szCs w:val="22"/>
        </w:rPr>
        <w:t xml:space="preserve">There is no limit on the </w:t>
      </w:r>
      <w:r w:rsidR="00F154BA">
        <w:rPr>
          <w:rFonts w:ascii="Palatino Linotype" w:hAnsi="Palatino Linotype"/>
          <w:sz w:val="22"/>
          <w:szCs w:val="22"/>
        </w:rPr>
        <w:t>i</w:t>
      </w:r>
      <w:r w:rsidRPr="00D17FCC">
        <w:rPr>
          <w:rFonts w:ascii="Palatino Linotype" w:hAnsi="Palatino Linotype"/>
          <w:sz w:val="22"/>
          <w:szCs w:val="22"/>
        </w:rPr>
        <w:t xml:space="preserve">nclusion of bioenergy </w:t>
      </w:r>
      <w:r w:rsidR="00A33A2D">
        <w:rPr>
          <w:rFonts w:ascii="Palatino Linotype" w:hAnsi="Palatino Linotype"/>
          <w:sz w:val="22"/>
          <w:szCs w:val="22"/>
        </w:rPr>
        <w:t>technologies</w:t>
      </w:r>
      <w:r w:rsidRPr="00D17FCC">
        <w:rPr>
          <w:rFonts w:ascii="Palatino Linotype" w:hAnsi="Palatino Linotype"/>
          <w:sz w:val="22"/>
          <w:szCs w:val="22"/>
        </w:rPr>
        <w:t xml:space="preserve"> under this solicitation. It is up to the applicant to justify its inclusion and show how the technology will support its proposed community and achieve the objectives set out in the solicitation. Applicants will need to ensure that any inclusion of bioenergy is consistent with current state policies and definitions.</w:t>
      </w:r>
      <w:r>
        <w:rPr>
          <w:rFonts w:ascii="Palatino Linotype" w:hAnsi="Palatino Linotype"/>
          <w:sz w:val="22"/>
          <w:szCs w:val="22"/>
        </w:rPr>
        <w:t xml:space="preserve">   </w:t>
      </w:r>
    </w:p>
    <w:p w:rsidR="00492488" w:rsidRDefault="00492488" w:rsidP="001E0423">
      <w:pPr>
        <w:rPr>
          <w:rFonts w:ascii="Palatino Linotype" w:hAnsi="Palatino Linotype"/>
          <w:sz w:val="22"/>
          <w:szCs w:val="22"/>
        </w:rPr>
      </w:pPr>
    </w:p>
    <w:p w:rsidR="00492488" w:rsidRPr="00CF4280" w:rsidRDefault="00492488" w:rsidP="00492488">
      <w:pPr>
        <w:pStyle w:val="ListParagraph"/>
        <w:numPr>
          <w:ilvl w:val="0"/>
          <w:numId w:val="4"/>
        </w:numPr>
        <w:ind w:left="360"/>
        <w:rPr>
          <w:rFonts w:ascii="Palatino Linotype" w:hAnsi="Palatino Linotype"/>
          <w:b/>
        </w:rPr>
      </w:pPr>
      <w:r w:rsidRPr="00CF4280">
        <w:rPr>
          <w:rFonts w:ascii="Palatino Linotype" w:hAnsi="Palatino Linotype"/>
          <w:b/>
        </w:rPr>
        <w:t xml:space="preserve">Q: Do the energy systems allowed from this proposal include both electricity and heat? </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sidR="000C05C5">
        <w:rPr>
          <w:rFonts w:ascii="Palatino Linotype" w:hAnsi="Palatino Linotype"/>
          <w:sz w:val="22"/>
          <w:szCs w:val="22"/>
        </w:rPr>
        <w:t>Yes, energy systems allowed include both electricity and heat, specifically heat generated from electric loads such as electric hot water heaters. Technologies that reduce both electricity and natural gas, such as building envelope</w:t>
      </w:r>
      <w:r w:rsidR="003015AB">
        <w:rPr>
          <w:rFonts w:ascii="Palatino Linotype" w:hAnsi="Palatino Linotype"/>
          <w:sz w:val="22"/>
          <w:szCs w:val="22"/>
        </w:rPr>
        <w:t xml:space="preserve"> advancements, are also </w:t>
      </w:r>
      <w:r w:rsidR="00B9496B">
        <w:rPr>
          <w:rFonts w:ascii="Palatino Linotype" w:hAnsi="Palatino Linotype"/>
          <w:sz w:val="22"/>
          <w:szCs w:val="22"/>
        </w:rPr>
        <w:t>allowable</w:t>
      </w:r>
      <w:r w:rsidR="003015AB">
        <w:rPr>
          <w:rFonts w:ascii="Palatino Linotype" w:hAnsi="Palatino Linotype"/>
          <w:sz w:val="22"/>
          <w:szCs w:val="22"/>
        </w:rPr>
        <w:t>.</w:t>
      </w:r>
    </w:p>
    <w:p w:rsidR="00492488" w:rsidRDefault="00492488" w:rsidP="001E0423">
      <w:pPr>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Q: Could electric vehicles be considered as a storage resource if vehicle to building/grid charging is enabled?</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A:</w:t>
      </w:r>
      <w:r>
        <w:rPr>
          <w:rFonts w:ascii="Palatino Linotype" w:hAnsi="Palatino Linotype"/>
          <w:sz w:val="22"/>
          <w:szCs w:val="22"/>
        </w:rPr>
        <w:t xml:space="preserve"> </w:t>
      </w:r>
      <w:r w:rsidRPr="00CB4085">
        <w:rPr>
          <w:rFonts w:ascii="Palatino Linotype" w:hAnsi="Palatino Linotype"/>
          <w:sz w:val="22"/>
          <w:szCs w:val="22"/>
        </w:rPr>
        <w:t>Yes</w:t>
      </w:r>
      <w:r w:rsidR="00C163C5">
        <w:rPr>
          <w:rFonts w:ascii="Palatino Linotype" w:hAnsi="Palatino Linotype"/>
          <w:sz w:val="22"/>
          <w:szCs w:val="22"/>
        </w:rPr>
        <w:t xml:space="preserve">, electric vehicles could be considered as a storage resource in an Advanced Energy </w:t>
      </w:r>
      <w:r w:rsidR="00767E14">
        <w:rPr>
          <w:rFonts w:ascii="Palatino Linotype" w:hAnsi="Palatino Linotype"/>
          <w:sz w:val="22"/>
          <w:szCs w:val="22"/>
        </w:rPr>
        <w:t>Community</w:t>
      </w:r>
      <w:r w:rsidR="00C163C5">
        <w:rPr>
          <w:rFonts w:ascii="Palatino Linotype" w:hAnsi="Palatino Linotype"/>
          <w:sz w:val="22"/>
          <w:szCs w:val="22"/>
        </w:rPr>
        <w:t>.</w:t>
      </w:r>
    </w:p>
    <w:p w:rsidR="00936627" w:rsidRDefault="00936627" w:rsidP="00492488">
      <w:pPr>
        <w:ind w:left="360"/>
        <w:rPr>
          <w:rFonts w:ascii="Palatino Linotype" w:hAnsi="Palatino Linotype"/>
          <w:sz w:val="22"/>
          <w:szCs w:val="22"/>
        </w:rPr>
      </w:pPr>
    </w:p>
    <w:p w:rsidR="00936627" w:rsidRPr="009E4B3F" w:rsidRDefault="00936627" w:rsidP="00936627">
      <w:pPr>
        <w:pStyle w:val="ListParagraph"/>
        <w:numPr>
          <w:ilvl w:val="0"/>
          <w:numId w:val="4"/>
        </w:numPr>
        <w:ind w:left="360"/>
        <w:rPr>
          <w:rFonts w:ascii="Palatino Linotype" w:hAnsi="Palatino Linotype"/>
          <w:b/>
        </w:rPr>
      </w:pPr>
      <w:r w:rsidRPr="009E4B3F">
        <w:rPr>
          <w:rFonts w:ascii="Palatino Linotype" w:hAnsi="Palatino Linotype"/>
          <w:b/>
        </w:rPr>
        <w:t>Q: Does Zero-net Energy mean electricity and gas, or just electricity?</w:t>
      </w:r>
    </w:p>
    <w:p w:rsidR="00936627" w:rsidRPr="009E4B3F" w:rsidRDefault="00936627" w:rsidP="00936627">
      <w:pPr>
        <w:ind w:left="360"/>
        <w:rPr>
          <w:rFonts w:ascii="Palatino Linotype" w:hAnsi="Palatino Linotype"/>
          <w:sz w:val="22"/>
          <w:szCs w:val="22"/>
        </w:rPr>
      </w:pPr>
    </w:p>
    <w:p w:rsidR="00492488" w:rsidRDefault="00936627" w:rsidP="00767E14">
      <w:pPr>
        <w:ind w:left="360"/>
        <w:rPr>
          <w:rFonts w:ascii="Palatino Linotype" w:hAnsi="Palatino Linotype"/>
          <w:sz w:val="22"/>
          <w:szCs w:val="22"/>
        </w:rPr>
      </w:pPr>
      <w:r w:rsidRPr="009E4B3F">
        <w:rPr>
          <w:rFonts w:ascii="Palatino Linotype" w:hAnsi="Palatino Linotype"/>
          <w:sz w:val="22"/>
          <w:szCs w:val="22"/>
        </w:rPr>
        <w:t xml:space="preserve">A: </w:t>
      </w:r>
      <w:r w:rsidR="00B9496B">
        <w:rPr>
          <w:rFonts w:ascii="Palatino Linotype" w:hAnsi="Palatino Linotype"/>
          <w:sz w:val="22"/>
          <w:szCs w:val="22"/>
        </w:rPr>
        <w:t xml:space="preserve">Zero-net Energy means both electricity and gas. </w:t>
      </w:r>
      <w:r w:rsidR="003015AB">
        <w:rPr>
          <w:rFonts w:ascii="Palatino Linotype" w:hAnsi="Palatino Linotype"/>
          <w:sz w:val="22"/>
          <w:szCs w:val="22"/>
        </w:rPr>
        <w:t>Applicants should use the definition for Zero-Net Energy Buildings adopted in the 2013 Integrated Energy Policy Report:</w:t>
      </w:r>
    </w:p>
    <w:p w:rsidR="0025535C" w:rsidRPr="00270B1C" w:rsidRDefault="0025535C" w:rsidP="00936627">
      <w:pPr>
        <w:pStyle w:val="Heading1"/>
        <w:rPr>
          <w:rFonts w:ascii="Palatino Linotype" w:eastAsia="Times New Roman" w:hAnsi="Palatino Linotype"/>
        </w:rPr>
      </w:pPr>
      <w:bookmarkStart w:id="4" w:name="_Toc438652250"/>
      <w:r w:rsidRPr="00270B1C">
        <w:rPr>
          <w:rFonts w:ascii="Palatino Linotype" w:eastAsia="Times New Roman" w:hAnsi="Palatino Linotype"/>
        </w:rPr>
        <w:t>Match Funding</w:t>
      </w:r>
      <w:bookmarkEnd w:id="4"/>
    </w:p>
    <w:p w:rsidR="0025535C" w:rsidRDefault="0025535C" w:rsidP="0025535C">
      <w:pPr>
        <w:pStyle w:val="ListParagraph"/>
        <w:ind w:left="360"/>
        <w:rPr>
          <w:rFonts w:ascii="Palatino Linotype" w:eastAsia="Times New Roman" w:hAnsi="Palatino Linotype"/>
          <w:b/>
          <w:color w:val="000000"/>
        </w:rPr>
      </w:pPr>
    </w:p>
    <w:p w:rsidR="00D17FCC" w:rsidRPr="00CA6636" w:rsidRDefault="00D17FCC" w:rsidP="00D17FCC">
      <w:pPr>
        <w:pStyle w:val="ListParagraph"/>
        <w:numPr>
          <w:ilvl w:val="0"/>
          <w:numId w:val="4"/>
        </w:numPr>
        <w:ind w:left="360"/>
        <w:rPr>
          <w:rFonts w:ascii="Palatino Linotype" w:hAnsi="Palatino Linotype"/>
          <w:b/>
        </w:rPr>
      </w:pPr>
      <w:r w:rsidRPr="00CA6636">
        <w:rPr>
          <w:rFonts w:ascii="Palatino Linotype" w:hAnsi="Palatino Linotype"/>
          <w:b/>
        </w:rPr>
        <w:t>Q: Do Proposition 39 funds count as match funding?</w:t>
      </w:r>
    </w:p>
    <w:p w:rsidR="00D17FCC" w:rsidRPr="00CB4085" w:rsidRDefault="00D17FCC" w:rsidP="00D17FCC">
      <w:pPr>
        <w:ind w:left="360"/>
        <w:rPr>
          <w:rFonts w:ascii="Palatino Linotype" w:hAnsi="Palatino Linotype"/>
          <w:sz w:val="22"/>
          <w:szCs w:val="22"/>
        </w:rPr>
      </w:pPr>
    </w:p>
    <w:p w:rsidR="00D17FCC" w:rsidRDefault="00D17FCC" w:rsidP="00D17FCC">
      <w:pPr>
        <w:ind w:left="360"/>
        <w:rPr>
          <w:rFonts w:ascii="Palatino Linotype" w:hAnsi="Palatino Linotype"/>
          <w:sz w:val="22"/>
          <w:szCs w:val="22"/>
        </w:rPr>
      </w:pPr>
      <w:r w:rsidRPr="00CB4085">
        <w:rPr>
          <w:rFonts w:ascii="Palatino Linotype" w:hAnsi="Palatino Linotype"/>
          <w:sz w:val="22"/>
          <w:szCs w:val="22"/>
        </w:rPr>
        <w:t>A: Yes, funds derived from Proposition 39 would count as match funding</w:t>
      </w:r>
      <w:r w:rsidR="00C80A8D">
        <w:rPr>
          <w:rFonts w:ascii="Palatino Linotype" w:hAnsi="Palatino Linotype"/>
          <w:sz w:val="22"/>
          <w:szCs w:val="22"/>
        </w:rPr>
        <w:t>, but only if they are expended during the term of the project funded under this solicitation</w:t>
      </w:r>
      <w:r w:rsidR="004E336F">
        <w:rPr>
          <w:rFonts w:ascii="Palatino Linotype" w:hAnsi="Palatino Linotype"/>
          <w:sz w:val="22"/>
          <w:szCs w:val="22"/>
        </w:rPr>
        <w:t>, and only if the funds were not awarded by the Energy Commission.</w:t>
      </w:r>
    </w:p>
    <w:p w:rsidR="001E0423" w:rsidRDefault="001E0423" w:rsidP="00D17FCC">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Can applicants leverage funding form Property Assessed Clean Energy (PACE) programs?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A: Yes,</w:t>
      </w:r>
      <w:r w:rsidR="0066677D">
        <w:rPr>
          <w:rFonts w:ascii="Palatino Linotype" w:hAnsi="Palatino Linotype"/>
          <w:sz w:val="22"/>
          <w:szCs w:val="22"/>
        </w:rPr>
        <w:t xml:space="preserve"> funds received through a PACE program</w:t>
      </w:r>
      <w:r w:rsidRPr="00CB4085">
        <w:rPr>
          <w:rFonts w:ascii="Palatino Linotype" w:hAnsi="Palatino Linotype"/>
          <w:sz w:val="22"/>
          <w:szCs w:val="22"/>
        </w:rPr>
        <w:t xml:space="preserve"> would be acceptable for match funding</w:t>
      </w:r>
      <w:r w:rsidR="0066677D">
        <w:rPr>
          <w:rFonts w:ascii="Palatino Linotype" w:hAnsi="Palatino Linotype"/>
          <w:sz w:val="22"/>
          <w:szCs w:val="22"/>
        </w:rPr>
        <w:t>; any match funds identified must be expended during the term of the project funded under this solicitation</w:t>
      </w:r>
      <w:r w:rsidRPr="00CB4085">
        <w:rPr>
          <w:rFonts w:ascii="Palatino Linotype" w:hAnsi="Palatino Linotype"/>
          <w:sz w:val="22"/>
          <w:szCs w:val="22"/>
        </w:rPr>
        <w:t>.</w:t>
      </w:r>
    </w:p>
    <w:p w:rsidR="001E0423" w:rsidRPr="00CB4085" w:rsidRDefault="001E0423" w:rsidP="001E0423">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How do applicants leverage existing financial tools and resources?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 xml:space="preserve">A: </w:t>
      </w:r>
      <w:r w:rsidR="00C163C5">
        <w:rPr>
          <w:rFonts w:ascii="Palatino Linotype" w:hAnsi="Palatino Linotype"/>
          <w:sz w:val="22"/>
          <w:szCs w:val="22"/>
        </w:rPr>
        <w:t xml:space="preserve">Applicants should describe in their proposal potential financial tools and resources they will evaluate to finance the construction of their Advanced Energy Community. </w:t>
      </w:r>
    </w:p>
    <w:p w:rsidR="009622C5" w:rsidRDefault="009622C5" w:rsidP="001E0423">
      <w:pPr>
        <w:ind w:left="360"/>
        <w:rPr>
          <w:rFonts w:ascii="Palatino Linotype" w:hAnsi="Palatino Linotype"/>
          <w:sz w:val="22"/>
          <w:szCs w:val="22"/>
        </w:rPr>
      </w:pPr>
    </w:p>
    <w:p w:rsidR="009622C5" w:rsidRDefault="009622C5" w:rsidP="001E0423">
      <w:pPr>
        <w:ind w:left="360"/>
        <w:rPr>
          <w:rFonts w:ascii="Palatino Linotype" w:hAnsi="Palatino Linotype"/>
          <w:sz w:val="22"/>
          <w:szCs w:val="22"/>
        </w:rPr>
      </w:pPr>
    </w:p>
    <w:p w:rsidR="009622C5" w:rsidRPr="00CB4085" w:rsidRDefault="009622C5" w:rsidP="001E0423">
      <w:pPr>
        <w:ind w:left="360"/>
        <w:rPr>
          <w:rFonts w:ascii="Palatino Linotype" w:hAnsi="Palatino Linotype"/>
          <w:sz w:val="22"/>
          <w:szCs w:val="22"/>
        </w:rPr>
      </w:pPr>
    </w:p>
    <w:p w:rsidR="00564DB3" w:rsidRPr="00936627" w:rsidRDefault="00564DB3" w:rsidP="00564DB3">
      <w:pPr>
        <w:pStyle w:val="Heading1"/>
        <w:rPr>
          <w:rFonts w:ascii="Palatino Linotype" w:hAnsi="Palatino Linotype"/>
          <w:szCs w:val="22"/>
        </w:rPr>
      </w:pPr>
      <w:bookmarkStart w:id="5" w:name="_Toc438652251"/>
      <w:r w:rsidRPr="00936627">
        <w:rPr>
          <w:rFonts w:ascii="Palatino Linotype" w:hAnsi="Palatino Linotype"/>
          <w:szCs w:val="22"/>
        </w:rPr>
        <w:lastRenderedPageBreak/>
        <w:t>Local Government Definition</w:t>
      </w:r>
      <w:bookmarkEnd w:id="5"/>
    </w:p>
    <w:p w:rsidR="00E768B8" w:rsidRDefault="00E768B8" w:rsidP="00E768B8">
      <w:pPr>
        <w:pStyle w:val="ListParagraph"/>
        <w:ind w:left="360"/>
        <w:rPr>
          <w:rFonts w:ascii="Palatino Linotype" w:hAnsi="Palatino Linotype"/>
          <w:b/>
        </w:rPr>
      </w:pPr>
    </w:p>
    <w:p w:rsidR="00E768B8" w:rsidRDefault="00E768B8" w:rsidP="00564DB3">
      <w:pPr>
        <w:pStyle w:val="ListParagraph"/>
        <w:numPr>
          <w:ilvl w:val="0"/>
          <w:numId w:val="4"/>
        </w:numPr>
        <w:ind w:left="360"/>
        <w:rPr>
          <w:rFonts w:ascii="Palatino Linotype" w:hAnsi="Palatino Linotype"/>
          <w:b/>
        </w:rPr>
      </w:pPr>
      <w:r>
        <w:rPr>
          <w:rFonts w:ascii="Palatino Linotype" w:hAnsi="Palatino Linotype"/>
          <w:b/>
        </w:rPr>
        <w:t xml:space="preserve">Q: Can the Energy Commission provide clarification on its definition of “local government” as it applies to </w:t>
      </w:r>
      <w:r w:rsidR="00BD6FF8">
        <w:rPr>
          <w:rFonts w:ascii="Palatino Linotype" w:hAnsi="Palatino Linotype"/>
          <w:b/>
        </w:rPr>
        <w:t>application requirements and qualification for additional points?</w:t>
      </w:r>
    </w:p>
    <w:p w:rsidR="00BD6FF8" w:rsidRDefault="00BD6FF8" w:rsidP="00BD6FF8">
      <w:pPr>
        <w:rPr>
          <w:rFonts w:ascii="Palatino Linotype" w:hAnsi="Palatino Linotype"/>
          <w:b/>
        </w:rPr>
      </w:pPr>
    </w:p>
    <w:p w:rsidR="00BD6FF8" w:rsidRPr="00125D1D" w:rsidRDefault="00BD6FF8" w:rsidP="00BD6FF8">
      <w:pPr>
        <w:ind w:left="360"/>
        <w:rPr>
          <w:rFonts w:ascii="Palatino Linotype" w:hAnsi="Palatino Linotype"/>
          <w:sz w:val="22"/>
        </w:rPr>
      </w:pPr>
      <w:r w:rsidRPr="00125D1D">
        <w:rPr>
          <w:rFonts w:ascii="Palatino Linotype" w:hAnsi="Palatino Linotype"/>
          <w:sz w:val="22"/>
        </w:rPr>
        <w:t xml:space="preserve">A: </w:t>
      </w:r>
      <w:r w:rsidR="004E2EF3">
        <w:rPr>
          <w:rFonts w:ascii="Palatino Linotype" w:hAnsi="Palatino Linotype"/>
          <w:sz w:val="22"/>
        </w:rPr>
        <w:t>Local governments include city or county governments or organizations connected to city or county governments such as joint power authorities, council of governments and housing authorities</w:t>
      </w:r>
      <w:r w:rsidR="00DA087B">
        <w:rPr>
          <w:rFonts w:ascii="Palatino Linotype" w:hAnsi="Palatino Linotype"/>
          <w:sz w:val="22"/>
        </w:rPr>
        <w:t xml:space="preserve"> that have a role in the development process</w:t>
      </w:r>
      <w:r w:rsidR="00BD7533">
        <w:rPr>
          <w:rFonts w:ascii="Palatino Linotype" w:hAnsi="Palatino Linotype"/>
          <w:sz w:val="22"/>
        </w:rPr>
        <w:t xml:space="preserve">. This same definition applies for qualification of additional points in the scoring criteria. Proposals that contain three </w:t>
      </w:r>
      <w:r w:rsidR="004E2EF3">
        <w:rPr>
          <w:rFonts w:ascii="Palatino Linotype" w:hAnsi="Palatino Linotype"/>
          <w:sz w:val="22"/>
        </w:rPr>
        <w:t>such local government entities</w:t>
      </w:r>
      <w:r w:rsidR="00BD7533">
        <w:rPr>
          <w:rFonts w:ascii="Palatino Linotype" w:hAnsi="Palatino Linotype"/>
          <w:sz w:val="22"/>
        </w:rPr>
        <w:t xml:space="preserve"> as team members will receive one additional point; proposals that contain four or more </w:t>
      </w:r>
      <w:r w:rsidR="004E2EF3">
        <w:rPr>
          <w:rFonts w:ascii="Palatino Linotype" w:hAnsi="Palatino Linotype"/>
          <w:sz w:val="22"/>
        </w:rPr>
        <w:t>local</w:t>
      </w:r>
      <w:r w:rsidR="00BD7533">
        <w:rPr>
          <w:rFonts w:ascii="Palatino Linotype" w:hAnsi="Palatino Linotype"/>
          <w:sz w:val="22"/>
        </w:rPr>
        <w:t xml:space="preserve"> government</w:t>
      </w:r>
      <w:r w:rsidR="004E2EF3">
        <w:rPr>
          <w:rFonts w:ascii="Palatino Linotype" w:hAnsi="Palatino Linotype"/>
          <w:sz w:val="22"/>
        </w:rPr>
        <w:t xml:space="preserve"> entities</w:t>
      </w:r>
      <w:r w:rsidR="00BD7533">
        <w:rPr>
          <w:rFonts w:ascii="Palatino Linotype" w:hAnsi="Palatino Linotype"/>
          <w:sz w:val="22"/>
        </w:rPr>
        <w:t xml:space="preserve"> as team members will receive two additional points. </w:t>
      </w:r>
    </w:p>
    <w:p w:rsidR="00BD6FF8" w:rsidRPr="00BD6FF8" w:rsidRDefault="00BD6FF8" w:rsidP="00BD6FF8">
      <w:pPr>
        <w:ind w:left="360"/>
        <w:rPr>
          <w:rFonts w:ascii="Palatino Linotype" w:hAnsi="Palatino Linotype"/>
        </w:rPr>
      </w:pPr>
      <w:r w:rsidRPr="00BD6FF8">
        <w:rPr>
          <w:rFonts w:ascii="Palatino Linotype" w:hAnsi="Palatino Linotype"/>
        </w:rPr>
        <w:t xml:space="preserve"> </w:t>
      </w:r>
    </w:p>
    <w:p w:rsidR="00E768B8" w:rsidRDefault="00E768B8" w:rsidP="00E768B8">
      <w:pPr>
        <w:pStyle w:val="ListParagraph"/>
        <w:numPr>
          <w:ilvl w:val="0"/>
          <w:numId w:val="4"/>
        </w:numPr>
        <w:ind w:left="360"/>
        <w:rPr>
          <w:rFonts w:ascii="Palatino Linotype" w:hAnsi="Palatino Linotype"/>
          <w:b/>
        </w:rPr>
      </w:pPr>
      <w:r w:rsidRPr="004C6D7B">
        <w:rPr>
          <w:rFonts w:ascii="Palatino Linotype" w:hAnsi="Palatino Linotype"/>
          <w:b/>
        </w:rPr>
        <w:t>Q: Do school districts and transit authorities qualify as “multiple jurisdictions” with respect to the evaluation criteria?</w:t>
      </w:r>
    </w:p>
    <w:p w:rsidR="00564DB3" w:rsidRPr="0066677D" w:rsidRDefault="00564DB3" w:rsidP="00564DB3">
      <w:pPr>
        <w:ind w:left="360"/>
        <w:rPr>
          <w:rFonts w:ascii="Palatino Linotype" w:hAnsi="Palatino Linotype"/>
          <w:sz w:val="22"/>
          <w:szCs w:val="22"/>
        </w:rPr>
      </w:pPr>
    </w:p>
    <w:p w:rsidR="00564DB3" w:rsidRPr="0066677D" w:rsidRDefault="00564DB3" w:rsidP="00564DB3">
      <w:pPr>
        <w:ind w:left="360"/>
        <w:rPr>
          <w:rFonts w:ascii="Palatino Linotype" w:hAnsi="Palatino Linotype"/>
          <w:sz w:val="22"/>
          <w:szCs w:val="22"/>
        </w:rPr>
      </w:pPr>
      <w:r w:rsidRPr="0066677D">
        <w:rPr>
          <w:rFonts w:ascii="Palatino Linotype" w:hAnsi="Palatino Linotype"/>
          <w:sz w:val="22"/>
          <w:szCs w:val="22"/>
        </w:rPr>
        <w:t xml:space="preserve">A: </w:t>
      </w:r>
      <w:r w:rsidR="00DA087B">
        <w:rPr>
          <w:rFonts w:ascii="Palatino Linotype" w:hAnsi="Palatino Linotype"/>
          <w:sz w:val="22"/>
        </w:rPr>
        <w:t>See response to Question 27.</w:t>
      </w:r>
    </w:p>
    <w:p w:rsidR="00564DB3" w:rsidRPr="004C6D7B" w:rsidRDefault="00564DB3" w:rsidP="00564DB3">
      <w:pPr>
        <w:ind w:left="360"/>
        <w:rPr>
          <w:rFonts w:ascii="Palatino Linotype" w:hAnsi="Palatino Linotype"/>
          <w:sz w:val="22"/>
          <w:szCs w:val="22"/>
        </w:rPr>
      </w:pPr>
    </w:p>
    <w:p w:rsidR="00564DB3" w:rsidRPr="004C6D7B" w:rsidRDefault="00564DB3" w:rsidP="00564DB3">
      <w:pPr>
        <w:pStyle w:val="ListParagraph"/>
        <w:numPr>
          <w:ilvl w:val="0"/>
          <w:numId w:val="4"/>
        </w:numPr>
        <w:ind w:left="360"/>
        <w:rPr>
          <w:rFonts w:ascii="Palatino Linotype" w:hAnsi="Palatino Linotype"/>
          <w:b/>
        </w:rPr>
      </w:pPr>
      <w:r w:rsidRPr="004C6D7B">
        <w:rPr>
          <w:rFonts w:ascii="Palatino Linotype" w:hAnsi="Palatino Linotype"/>
          <w:b/>
        </w:rPr>
        <w:t>Q: How is local government partners defined? Are Joint Powers authorities, housing authorities, air quality districts, COGs and other regional entities included in that definition towards the bonus points associated with additional local governments?</w:t>
      </w:r>
    </w:p>
    <w:p w:rsidR="00564DB3" w:rsidRPr="004C6D7B" w:rsidRDefault="00564DB3" w:rsidP="00564DB3">
      <w:pPr>
        <w:rPr>
          <w:rFonts w:ascii="Palatino Linotype" w:hAnsi="Palatino Linotype"/>
          <w:sz w:val="22"/>
          <w:szCs w:val="22"/>
        </w:rPr>
      </w:pPr>
    </w:p>
    <w:p w:rsidR="00564DB3" w:rsidRPr="004C6D7B" w:rsidRDefault="00564DB3" w:rsidP="00564DB3">
      <w:pPr>
        <w:ind w:left="360"/>
        <w:rPr>
          <w:rFonts w:ascii="Palatino Linotype" w:hAnsi="Palatino Linotype"/>
          <w:sz w:val="22"/>
          <w:szCs w:val="22"/>
        </w:rPr>
      </w:pPr>
      <w:r w:rsidRPr="004C6D7B">
        <w:rPr>
          <w:rFonts w:ascii="Palatino Linotype" w:hAnsi="Palatino Linotype"/>
          <w:sz w:val="22"/>
          <w:szCs w:val="22"/>
        </w:rPr>
        <w:t xml:space="preserve">A: </w:t>
      </w:r>
      <w:r w:rsidR="00651C53">
        <w:rPr>
          <w:rFonts w:ascii="Palatino Linotype" w:hAnsi="Palatino Linotype"/>
          <w:sz w:val="22"/>
          <w:szCs w:val="22"/>
        </w:rPr>
        <w:t>Please see answer to Question 2</w:t>
      </w:r>
      <w:r w:rsidR="00DA087B">
        <w:rPr>
          <w:rFonts w:ascii="Palatino Linotype" w:hAnsi="Palatino Linotype"/>
          <w:sz w:val="22"/>
          <w:szCs w:val="22"/>
        </w:rPr>
        <w:t>7</w:t>
      </w:r>
      <w:r w:rsidR="00651C53">
        <w:rPr>
          <w:rFonts w:ascii="Palatino Linotype" w:hAnsi="Palatino Linotype"/>
          <w:sz w:val="22"/>
          <w:szCs w:val="22"/>
        </w:rPr>
        <w:t>.</w:t>
      </w:r>
      <w:r w:rsidR="00BD7533">
        <w:rPr>
          <w:rFonts w:ascii="Palatino Linotype" w:hAnsi="Palatino Linotype"/>
          <w:sz w:val="22"/>
          <w:szCs w:val="22"/>
        </w:rPr>
        <w:t xml:space="preserve"> </w:t>
      </w:r>
    </w:p>
    <w:p w:rsidR="00564DB3" w:rsidRPr="004C6D7B" w:rsidRDefault="00564DB3" w:rsidP="00564DB3">
      <w:pPr>
        <w:ind w:left="360"/>
        <w:rPr>
          <w:rFonts w:ascii="Palatino Linotype" w:hAnsi="Palatino Linotype"/>
        </w:rPr>
      </w:pPr>
    </w:p>
    <w:p w:rsidR="00564DB3" w:rsidRPr="004C6D7B" w:rsidRDefault="00564DB3" w:rsidP="00564DB3">
      <w:pPr>
        <w:pStyle w:val="ListParagraph"/>
        <w:numPr>
          <w:ilvl w:val="0"/>
          <w:numId w:val="4"/>
        </w:numPr>
        <w:ind w:left="360"/>
        <w:rPr>
          <w:rFonts w:ascii="Palatino Linotype" w:hAnsi="Palatino Linotype"/>
          <w:b/>
        </w:rPr>
      </w:pPr>
      <w:r w:rsidRPr="004C6D7B">
        <w:rPr>
          <w:rFonts w:ascii="Palatino Linotype" w:hAnsi="Palatino Linotype"/>
          <w:b/>
        </w:rPr>
        <w:t xml:space="preserve">Q: Is a council of governments considered a local government by </w:t>
      </w:r>
      <w:r>
        <w:rPr>
          <w:rFonts w:ascii="Palatino Linotype" w:hAnsi="Palatino Linotype"/>
          <w:b/>
        </w:rPr>
        <w:t>the Energy Commission</w:t>
      </w:r>
      <w:r w:rsidRPr="004C6D7B">
        <w:rPr>
          <w:rFonts w:ascii="Palatino Linotype" w:hAnsi="Palatino Linotype"/>
          <w:b/>
        </w:rPr>
        <w:t xml:space="preserve"> for this GFO?</w:t>
      </w:r>
    </w:p>
    <w:p w:rsidR="00564DB3" w:rsidRPr="004C6D7B" w:rsidRDefault="00564DB3" w:rsidP="00564DB3">
      <w:pPr>
        <w:ind w:left="360"/>
        <w:rPr>
          <w:rFonts w:ascii="Palatino Linotype" w:hAnsi="Palatino Linotype"/>
          <w:sz w:val="22"/>
          <w:szCs w:val="22"/>
        </w:rPr>
      </w:pPr>
    </w:p>
    <w:p w:rsidR="00564DB3" w:rsidRPr="004C6D7B" w:rsidRDefault="00564DB3" w:rsidP="00564DB3">
      <w:pPr>
        <w:ind w:left="360"/>
        <w:rPr>
          <w:rFonts w:ascii="Palatino Linotype" w:hAnsi="Palatino Linotype"/>
          <w:sz w:val="22"/>
          <w:szCs w:val="22"/>
        </w:rPr>
      </w:pPr>
      <w:r w:rsidRPr="004C6D7B">
        <w:rPr>
          <w:rFonts w:ascii="Palatino Linotype" w:hAnsi="Palatino Linotype"/>
          <w:sz w:val="22"/>
          <w:szCs w:val="22"/>
        </w:rPr>
        <w:t xml:space="preserve">A: </w:t>
      </w:r>
      <w:r w:rsidR="000E31CB">
        <w:rPr>
          <w:rFonts w:ascii="Palatino Linotype" w:hAnsi="Palatino Linotype"/>
          <w:sz w:val="22"/>
        </w:rPr>
        <w:t>Yes, a council of governments is considered a local entity for this solicitation. Please see the answer to Question 2</w:t>
      </w:r>
      <w:r w:rsidR="00DA087B">
        <w:rPr>
          <w:rFonts w:ascii="Palatino Linotype" w:hAnsi="Palatino Linotype"/>
          <w:sz w:val="22"/>
        </w:rPr>
        <w:t>7</w:t>
      </w:r>
      <w:r w:rsidR="000E31CB">
        <w:rPr>
          <w:rFonts w:ascii="Palatino Linotype" w:hAnsi="Palatino Linotype"/>
          <w:sz w:val="22"/>
        </w:rPr>
        <w:t xml:space="preserve">. </w:t>
      </w:r>
      <w:r w:rsidRPr="004C6D7B">
        <w:rPr>
          <w:rFonts w:ascii="Palatino Linotype" w:hAnsi="Palatino Linotype"/>
          <w:sz w:val="22"/>
          <w:szCs w:val="22"/>
        </w:rPr>
        <w:t xml:space="preserve"> </w:t>
      </w:r>
    </w:p>
    <w:p w:rsidR="00564DB3" w:rsidRPr="004C6D7B" w:rsidRDefault="00564DB3" w:rsidP="00564DB3">
      <w:pPr>
        <w:ind w:left="360"/>
        <w:rPr>
          <w:rFonts w:ascii="Palatino Linotype" w:hAnsi="Palatino Linotype"/>
          <w:sz w:val="22"/>
          <w:szCs w:val="22"/>
        </w:rPr>
      </w:pPr>
    </w:p>
    <w:p w:rsidR="00564DB3" w:rsidRPr="004C6D7B" w:rsidRDefault="00564DB3" w:rsidP="00564DB3">
      <w:pPr>
        <w:pStyle w:val="ListParagraph"/>
        <w:numPr>
          <w:ilvl w:val="0"/>
          <w:numId w:val="4"/>
        </w:numPr>
        <w:ind w:left="360"/>
        <w:rPr>
          <w:rFonts w:ascii="Palatino Linotype" w:hAnsi="Palatino Linotype"/>
          <w:b/>
        </w:rPr>
      </w:pPr>
      <w:r w:rsidRPr="004C6D7B">
        <w:rPr>
          <w:rFonts w:ascii="Palatino Linotype" w:hAnsi="Palatino Linotype"/>
          <w:b/>
        </w:rPr>
        <w:t xml:space="preserve">Q: Does an Air Pollution Control District count as a local or county government? </w:t>
      </w:r>
    </w:p>
    <w:p w:rsidR="00564DB3" w:rsidRPr="004C6D7B" w:rsidRDefault="00564DB3" w:rsidP="00564DB3">
      <w:pPr>
        <w:ind w:left="360"/>
        <w:rPr>
          <w:rFonts w:ascii="Palatino Linotype" w:hAnsi="Palatino Linotype"/>
          <w:sz w:val="22"/>
          <w:szCs w:val="22"/>
        </w:rPr>
      </w:pPr>
    </w:p>
    <w:p w:rsidR="00564DB3" w:rsidRDefault="00564DB3" w:rsidP="00564DB3">
      <w:pPr>
        <w:ind w:left="360"/>
        <w:rPr>
          <w:rFonts w:ascii="Palatino Linotype" w:hAnsi="Palatino Linotype"/>
          <w:sz w:val="22"/>
          <w:szCs w:val="22"/>
        </w:rPr>
      </w:pPr>
      <w:r w:rsidRPr="004C6D7B">
        <w:rPr>
          <w:rFonts w:ascii="Palatino Linotype" w:hAnsi="Palatino Linotype"/>
          <w:sz w:val="22"/>
          <w:szCs w:val="22"/>
        </w:rPr>
        <w:t xml:space="preserve">A: </w:t>
      </w:r>
      <w:r w:rsidR="00826184">
        <w:rPr>
          <w:rFonts w:ascii="Palatino Linotype" w:hAnsi="Palatino Linotype"/>
          <w:sz w:val="22"/>
        </w:rPr>
        <w:t>Yes, air pollution control districts would qualify as mandatory project partners and count towards the criteria for additional points.</w:t>
      </w:r>
    </w:p>
    <w:p w:rsidR="00564DB3" w:rsidRDefault="00564DB3" w:rsidP="00564DB3">
      <w:pPr>
        <w:ind w:left="360"/>
        <w:rPr>
          <w:rFonts w:ascii="Palatino Linotype" w:hAnsi="Palatino Linotype"/>
          <w:sz w:val="22"/>
          <w:szCs w:val="22"/>
        </w:rPr>
      </w:pPr>
    </w:p>
    <w:p w:rsidR="00564DB3" w:rsidRPr="007F0D78" w:rsidRDefault="00564DB3" w:rsidP="00564DB3">
      <w:pPr>
        <w:pStyle w:val="ListParagraph"/>
        <w:numPr>
          <w:ilvl w:val="0"/>
          <w:numId w:val="4"/>
        </w:numPr>
        <w:ind w:left="360"/>
        <w:rPr>
          <w:rFonts w:ascii="Palatino Linotype" w:hAnsi="Palatino Linotype"/>
          <w:b/>
        </w:rPr>
      </w:pPr>
      <w:r w:rsidRPr="007F0D78">
        <w:rPr>
          <w:rFonts w:ascii="Palatino Linotype" w:hAnsi="Palatino Linotype"/>
          <w:b/>
        </w:rPr>
        <w:t xml:space="preserve">Q: If </w:t>
      </w:r>
      <w:r>
        <w:rPr>
          <w:rFonts w:ascii="Palatino Linotype" w:hAnsi="Palatino Linotype"/>
          <w:b/>
        </w:rPr>
        <w:t>an applicant</w:t>
      </w:r>
      <w:r w:rsidRPr="007F0D78">
        <w:rPr>
          <w:rFonts w:ascii="Palatino Linotype" w:hAnsi="Palatino Linotype"/>
          <w:b/>
        </w:rPr>
        <w:t xml:space="preserve"> partner</w:t>
      </w:r>
      <w:r>
        <w:rPr>
          <w:rFonts w:ascii="Palatino Linotype" w:hAnsi="Palatino Linotype"/>
          <w:b/>
        </w:rPr>
        <w:t>s</w:t>
      </w:r>
      <w:r w:rsidRPr="007F0D78">
        <w:rPr>
          <w:rFonts w:ascii="Palatino Linotype" w:hAnsi="Palatino Linotype"/>
          <w:b/>
        </w:rPr>
        <w:t xml:space="preserve"> with multiple divisions/agencies within the same City, does that count as multiple local or regional government agencies? </w:t>
      </w:r>
    </w:p>
    <w:p w:rsidR="00564DB3" w:rsidRPr="007F0D78" w:rsidRDefault="00564DB3" w:rsidP="00564DB3">
      <w:pPr>
        <w:ind w:left="360"/>
        <w:rPr>
          <w:rFonts w:ascii="Palatino Linotype" w:hAnsi="Palatino Linotype"/>
          <w:sz w:val="22"/>
          <w:szCs w:val="22"/>
        </w:rPr>
      </w:pPr>
    </w:p>
    <w:p w:rsidR="00564DB3" w:rsidRDefault="00564DB3" w:rsidP="00564DB3">
      <w:pPr>
        <w:ind w:left="360"/>
        <w:rPr>
          <w:rFonts w:ascii="Palatino Linotype" w:hAnsi="Palatino Linotype"/>
          <w:sz w:val="22"/>
        </w:rPr>
      </w:pPr>
      <w:r w:rsidRPr="007F0D78">
        <w:rPr>
          <w:rFonts w:ascii="Palatino Linotype" w:hAnsi="Palatino Linotype"/>
          <w:sz w:val="22"/>
          <w:szCs w:val="22"/>
        </w:rPr>
        <w:t xml:space="preserve">A: </w:t>
      </w:r>
      <w:r w:rsidR="00944F6F">
        <w:rPr>
          <w:rFonts w:ascii="Palatino Linotype" w:hAnsi="Palatino Linotype"/>
          <w:sz w:val="22"/>
          <w:szCs w:val="22"/>
        </w:rPr>
        <w:t xml:space="preserve">It would depend on the type of divisions or agencies that are part of the team. </w:t>
      </w:r>
      <w:r w:rsidR="00944F6F">
        <w:rPr>
          <w:rFonts w:ascii="Palatino Linotype" w:hAnsi="Palatino Linotype"/>
          <w:sz w:val="22"/>
        </w:rPr>
        <w:t xml:space="preserve">Local governments include city or county governments or organizations connected to city or county governments such as joint power authorities, council of governments and housing </w:t>
      </w:r>
      <w:r w:rsidR="00944F6F">
        <w:rPr>
          <w:rFonts w:ascii="Palatino Linotype" w:hAnsi="Palatino Linotype"/>
          <w:sz w:val="22"/>
        </w:rPr>
        <w:lastRenderedPageBreak/>
        <w:t>authorities.</w:t>
      </w:r>
      <w:r w:rsidR="00944F6F" w:rsidRPr="007F0D78">
        <w:rPr>
          <w:rFonts w:ascii="Palatino Linotype" w:hAnsi="Palatino Linotype"/>
          <w:sz w:val="22"/>
          <w:szCs w:val="22"/>
        </w:rPr>
        <w:t xml:space="preserve"> </w:t>
      </w:r>
      <w:r w:rsidR="00944F6F">
        <w:rPr>
          <w:rFonts w:ascii="Palatino Linotype" w:hAnsi="Palatino Linotype"/>
          <w:sz w:val="22"/>
        </w:rPr>
        <w:t>This same definition applies for qualification of additional points in the scoring criteria.</w:t>
      </w:r>
    </w:p>
    <w:p w:rsidR="00944F6F" w:rsidRDefault="00944F6F" w:rsidP="00564DB3">
      <w:pPr>
        <w:ind w:left="360"/>
        <w:rPr>
          <w:rFonts w:ascii="Palatino Linotype" w:hAnsi="Palatino Linotype"/>
          <w:sz w:val="22"/>
        </w:rPr>
      </w:pPr>
    </w:p>
    <w:p w:rsidR="00944F6F" w:rsidRPr="0086176F" w:rsidRDefault="00944F6F" w:rsidP="00944F6F">
      <w:pPr>
        <w:pStyle w:val="ListParagraph"/>
        <w:numPr>
          <w:ilvl w:val="0"/>
          <w:numId w:val="4"/>
        </w:numPr>
        <w:ind w:left="360"/>
        <w:rPr>
          <w:rFonts w:ascii="Palatino Linotype" w:hAnsi="Palatino Linotype"/>
          <w:b/>
        </w:rPr>
      </w:pPr>
      <w:r w:rsidRPr="0086176F">
        <w:rPr>
          <w:rFonts w:ascii="Palatino Linotype" w:hAnsi="Palatino Linotype"/>
          <w:b/>
        </w:rPr>
        <w:t xml:space="preserve">Q: Can a council of government apply for two groups - both disadvantaged and the regular groups since both types are within our jurisdiction? </w:t>
      </w:r>
    </w:p>
    <w:p w:rsidR="00944F6F" w:rsidRPr="0086176F" w:rsidRDefault="00944F6F" w:rsidP="00944F6F">
      <w:pPr>
        <w:ind w:left="360"/>
        <w:rPr>
          <w:rFonts w:ascii="Palatino Linotype" w:hAnsi="Palatino Linotype"/>
          <w:sz w:val="22"/>
          <w:szCs w:val="22"/>
        </w:rPr>
      </w:pPr>
    </w:p>
    <w:p w:rsidR="00944F6F" w:rsidRPr="0086176F" w:rsidRDefault="00944F6F" w:rsidP="00944F6F">
      <w:pPr>
        <w:ind w:left="360"/>
        <w:rPr>
          <w:rFonts w:ascii="Palatino Linotype" w:hAnsi="Palatino Linotype"/>
          <w:sz w:val="22"/>
          <w:szCs w:val="22"/>
        </w:rPr>
      </w:pPr>
      <w:r w:rsidRPr="0086176F">
        <w:rPr>
          <w:rFonts w:ascii="Palatino Linotype" w:hAnsi="Palatino Linotype"/>
          <w:sz w:val="22"/>
          <w:szCs w:val="22"/>
        </w:rPr>
        <w:t xml:space="preserve">A: </w:t>
      </w:r>
      <w:r>
        <w:rPr>
          <w:rFonts w:ascii="Palatino Linotype" w:hAnsi="Palatino Linotype"/>
          <w:sz w:val="22"/>
          <w:szCs w:val="22"/>
        </w:rPr>
        <w:t xml:space="preserve">Yes, a council of government is eligible to apply for multiple groups, though each application must be for </w:t>
      </w:r>
      <w:r w:rsidR="00767E14">
        <w:rPr>
          <w:rFonts w:ascii="Palatino Linotype" w:hAnsi="Palatino Linotype"/>
          <w:sz w:val="22"/>
          <w:szCs w:val="22"/>
        </w:rPr>
        <w:t>a distinct</w:t>
      </w:r>
      <w:r>
        <w:rPr>
          <w:rFonts w:ascii="Palatino Linotype" w:hAnsi="Palatino Linotype"/>
          <w:sz w:val="22"/>
          <w:szCs w:val="22"/>
        </w:rPr>
        <w:t xml:space="preserve"> project.</w:t>
      </w:r>
    </w:p>
    <w:p w:rsidR="00D17FCC" w:rsidRPr="00936627" w:rsidRDefault="0066677D" w:rsidP="00936627">
      <w:pPr>
        <w:pStyle w:val="Heading1"/>
        <w:rPr>
          <w:rFonts w:ascii="Palatino Linotype" w:hAnsi="Palatino Linotype"/>
          <w:sz w:val="22"/>
          <w:szCs w:val="22"/>
        </w:rPr>
      </w:pPr>
      <w:bookmarkStart w:id="6" w:name="_Toc438652252"/>
      <w:r>
        <w:rPr>
          <w:rFonts w:ascii="Palatino Linotype" w:hAnsi="Palatino Linotype"/>
          <w:szCs w:val="22"/>
        </w:rPr>
        <w:t>Additional</w:t>
      </w:r>
      <w:r w:rsidR="00D17FCC" w:rsidRPr="00936627">
        <w:rPr>
          <w:rFonts w:ascii="Palatino Linotype" w:hAnsi="Palatino Linotype"/>
          <w:szCs w:val="22"/>
        </w:rPr>
        <w:t xml:space="preserve"> Point Qualifications</w:t>
      </w:r>
      <w:bookmarkEnd w:id="6"/>
    </w:p>
    <w:p w:rsidR="00D17FCC" w:rsidRDefault="00D17FCC" w:rsidP="00D17FCC">
      <w:pPr>
        <w:rPr>
          <w:rFonts w:ascii="Palatino Linotype" w:hAnsi="Palatino Linotype"/>
          <w:b/>
          <w:sz w:val="22"/>
          <w:szCs w:val="22"/>
        </w:rPr>
      </w:pPr>
    </w:p>
    <w:p w:rsidR="00D17FCC" w:rsidRPr="00CA6636" w:rsidRDefault="00D17FCC" w:rsidP="00D17FCC">
      <w:pPr>
        <w:pStyle w:val="ListParagraph"/>
        <w:numPr>
          <w:ilvl w:val="0"/>
          <w:numId w:val="4"/>
        </w:numPr>
        <w:spacing w:after="100" w:afterAutospacing="1"/>
        <w:ind w:left="360"/>
        <w:rPr>
          <w:rFonts w:ascii="Palatino Linotype" w:hAnsi="Palatino Linotype"/>
          <w:b/>
          <w:iCs/>
        </w:rPr>
      </w:pPr>
      <w:r w:rsidRPr="00CA6636">
        <w:rPr>
          <w:rFonts w:ascii="Palatino Linotype" w:hAnsi="Palatino Linotype"/>
          <w:b/>
        </w:rPr>
        <w:t xml:space="preserve">Q: </w:t>
      </w:r>
      <w:r w:rsidRPr="00CA6636">
        <w:rPr>
          <w:rFonts w:ascii="Palatino Linotype" w:hAnsi="Palatino Linotype"/>
          <w:b/>
          <w:iCs/>
        </w:rPr>
        <w:t xml:space="preserve">Would a GFO-15-312 proposal be given </w:t>
      </w:r>
      <w:r w:rsidRPr="00CA6636">
        <w:rPr>
          <w:rFonts w:ascii="Palatino Linotype" w:hAnsi="Palatino Linotype"/>
          <w:b/>
          <w:bCs/>
          <w:iCs/>
        </w:rPr>
        <w:t>added points</w:t>
      </w:r>
      <w:r w:rsidRPr="00CA6636">
        <w:rPr>
          <w:rFonts w:ascii="Palatino Linotype" w:hAnsi="Palatino Linotype"/>
          <w:b/>
          <w:iCs/>
        </w:rPr>
        <w:t xml:space="preserve"> if it included deep water conservation measures and dramatic water demand reduction through new water saving &amp; water-efficiency technologies as part of the solicitation bid to d</w:t>
      </w:r>
      <w:r w:rsidR="0066677D">
        <w:rPr>
          <w:rFonts w:ascii="Palatino Linotype" w:hAnsi="Palatino Linotype"/>
          <w:b/>
          <w:iCs/>
        </w:rPr>
        <w:t>eploy an Advanced Energy Community</w:t>
      </w:r>
      <w:r w:rsidRPr="00CA6636">
        <w:rPr>
          <w:rFonts w:ascii="Palatino Linotype" w:hAnsi="Palatino Linotype"/>
          <w:b/>
          <w:iCs/>
        </w:rPr>
        <w:t>?  </w:t>
      </w:r>
    </w:p>
    <w:p w:rsidR="00D17FCC" w:rsidRPr="00CB4085" w:rsidRDefault="00D17FCC" w:rsidP="00D17FCC">
      <w:pPr>
        <w:spacing w:before="100" w:beforeAutospacing="1" w:after="100" w:afterAutospacing="1"/>
        <w:ind w:left="360"/>
        <w:rPr>
          <w:rFonts w:ascii="Palatino Linotype" w:hAnsi="Palatino Linotype"/>
          <w:sz w:val="22"/>
          <w:szCs w:val="22"/>
        </w:rPr>
      </w:pPr>
      <w:r w:rsidRPr="00CB4085">
        <w:rPr>
          <w:rFonts w:ascii="Palatino Linotype" w:hAnsi="Palatino Linotype"/>
          <w:iCs/>
          <w:sz w:val="22"/>
          <w:szCs w:val="22"/>
        </w:rPr>
        <w:t>A: Th</w:t>
      </w:r>
      <w:r w:rsidR="004F7DA9">
        <w:rPr>
          <w:rFonts w:ascii="Palatino Linotype" w:hAnsi="Palatino Linotype"/>
          <w:iCs/>
          <w:sz w:val="22"/>
          <w:szCs w:val="22"/>
        </w:rPr>
        <w:t>is</w:t>
      </w:r>
      <w:r w:rsidRPr="00CB4085">
        <w:rPr>
          <w:rFonts w:ascii="Palatino Linotype" w:hAnsi="Palatino Linotype"/>
          <w:iCs/>
          <w:sz w:val="22"/>
          <w:szCs w:val="22"/>
        </w:rPr>
        <w:t xml:space="preserve"> </w:t>
      </w:r>
      <w:r w:rsidR="0050671B">
        <w:rPr>
          <w:rFonts w:ascii="Palatino Linotype" w:hAnsi="Palatino Linotype"/>
          <w:iCs/>
          <w:sz w:val="22"/>
          <w:szCs w:val="22"/>
        </w:rPr>
        <w:t xml:space="preserve">solicitation does not </w:t>
      </w:r>
      <w:r w:rsidR="004F7DA9">
        <w:rPr>
          <w:rFonts w:ascii="Palatino Linotype" w:hAnsi="Palatino Linotype"/>
          <w:iCs/>
          <w:sz w:val="22"/>
          <w:szCs w:val="22"/>
        </w:rPr>
        <w:t xml:space="preserve">include a </w:t>
      </w:r>
      <w:r w:rsidR="0024735E">
        <w:rPr>
          <w:rFonts w:ascii="Palatino Linotype" w:hAnsi="Palatino Linotype"/>
          <w:iCs/>
          <w:sz w:val="22"/>
          <w:szCs w:val="22"/>
        </w:rPr>
        <w:t>designated</w:t>
      </w:r>
      <w:r w:rsidR="004F7DA9">
        <w:rPr>
          <w:rFonts w:ascii="Palatino Linotype" w:hAnsi="Palatino Linotype"/>
          <w:iCs/>
          <w:sz w:val="22"/>
          <w:szCs w:val="22"/>
        </w:rPr>
        <w:t xml:space="preserve"> scoring category for water reduction. However, one of the objectives of Advanced Energy Communities is that these communities align with other state energy and environmental goals at the community level such as Governor Brown’s Executive Order B-29-15 for the drought. </w:t>
      </w:r>
      <w:r w:rsidR="008D3D0F">
        <w:rPr>
          <w:rFonts w:ascii="Palatino Linotype" w:hAnsi="Palatino Linotype"/>
          <w:iCs/>
          <w:sz w:val="22"/>
          <w:szCs w:val="22"/>
        </w:rPr>
        <w:t xml:space="preserve">Applicants that propose deep water conservation measures and technologies as part of their Advanced Energy Communities </w:t>
      </w:r>
      <w:r w:rsidRPr="00CB4085">
        <w:rPr>
          <w:rFonts w:ascii="Palatino Linotype" w:hAnsi="Palatino Linotype"/>
          <w:iCs/>
          <w:sz w:val="22"/>
          <w:szCs w:val="22"/>
        </w:rPr>
        <w:t xml:space="preserve">will be evaluated accordingly in the technical scoring phase.  </w:t>
      </w:r>
    </w:p>
    <w:p w:rsidR="00D17FCC" w:rsidRPr="00CA6636" w:rsidRDefault="00D17FCC" w:rsidP="00D17FCC">
      <w:pPr>
        <w:pStyle w:val="ListParagraph"/>
        <w:numPr>
          <w:ilvl w:val="0"/>
          <w:numId w:val="4"/>
        </w:numPr>
        <w:ind w:left="360"/>
        <w:rPr>
          <w:rFonts w:ascii="Palatino Linotype" w:hAnsi="Palatino Linotype"/>
          <w:b/>
        </w:rPr>
      </w:pPr>
      <w:r w:rsidRPr="00CA6636">
        <w:rPr>
          <w:rFonts w:ascii="Palatino Linotype" w:hAnsi="Palatino Linotype"/>
          <w:b/>
        </w:rPr>
        <w:t>Q: Is there preference points provided for working with a county that’s already going down the California Environmental Quality Act (CEQA) process? If an applicant could show that they could meet CEQA for Phase 2, would there be bonus points for that considering it would ease Phase 2 build out?</w:t>
      </w:r>
    </w:p>
    <w:p w:rsidR="00D17FCC" w:rsidRPr="00CB4085" w:rsidRDefault="00D17FCC" w:rsidP="00D17FCC">
      <w:pPr>
        <w:ind w:left="360"/>
        <w:rPr>
          <w:rFonts w:ascii="Palatino Linotype" w:hAnsi="Palatino Linotype"/>
          <w:sz w:val="22"/>
          <w:szCs w:val="22"/>
        </w:rPr>
      </w:pPr>
    </w:p>
    <w:p w:rsidR="00D17FCC" w:rsidRDefault="00D17FCC" w:rsidP="00D17FCC">
      <w:pPr>
        <w:ind w:left="360"/>
        <w:rPr>
          <w:rFonts w:ascii="Palatino Linotype" w:hAnsi="Palatino Linotype"/>
          <w:sz w:val="22"/>
          <w:szCs w:val="22"/>
        </w:rPr>
      </w:pPr>
      <w:r w:rsidRPr="00CB4085">
        <w:rPr>
          <w:rFonts w:ascii="Palatino Linotype" w:hAnsi="Palatino Linotype"/>
          <w:sz w:val="22"/>
          <w:szCs w:val="22"/>
        </w:rPr>
        <w:t>A: No, there a</w:t>
      </w:r>
      <w:r>
        <w:rPr>
          <w:rFonts w:ascii="Palatino Linotype" w:hAnsi="Palatino Linotype"/>
          <w:sz w:val="22"/>
          <w:szCs w:val="22"/>
        </w:rPr>
        <w:t xml:space="preserve">re no </w:t>
      </w:r>
      <w:r w:rsidR="0066677D">
        <w:rPr>
          <w:rFonts w:ascii="Palatino Linotype" w:hAnsi="Palatino Linotype"/>
          <w:sz w:val="22"/>
          <w:szCs w:val="22"/>
        </w:rPr>
        <w:t>additional</w:t>
      </w:r>
      <w:r>
        <w:rPr>
          <w:rFonts w:ascii="Palatino Linotype" w:hAnsi="Palatino Linotype"/>
          <w:sz w:val="22"/>
          <w:szCs w:val="22"/>
        </w:rPr>
        <w:t xml:space="preserve"> points for proposals that have begun </w:t>
      </w:r>
      <w:r w:rsidR="0050671B">
        <w:rPr>
          <w:rFonts w:ascii="Palatino Linotype" w:hAnsi="Palatino Linotype"/>
          <w:sz w:val="22"/>
          <w:szCs w:val="22"/>
        </w:rPr>
        <w:t xml:space="preserve">the </w:t>
      </w:r>
      <w:r>
        <w:rPr>
          <w:rFonts w:ascii="Palatino Linotype" w:hAnsi="Palatino Linotype"/>
          <w:sz w:val="22"/>
          <w:szCs w:val="22"/>
        </w:rPr>
        <w:t>CEQA processes</w:t>
      </w:r>
      <w:r w:rsidRPr="00CB4085">
        <w:rPr>
          <w:rFonts w:ascii="Palatino Linotype" w:hAnsi="Palatino Linotype"/>
          <w:sz w:val="22"/>
          <w:szCs w:val="22"/>
        </w:rPr>
        <w:t xml:space="preserve">. However, </w:t>
      </w:r>
      <w:r w:rsidR="0050671B">
        <w:rPr>
          <w:rFonts w:ascii="Palatino Linotype" w:hAnsi="Palatino Linotype"/>
          <w:sz w:val="22"/>
          <w:szCs w:val="22"/>
        </w:rPr>
        <w:t xml:space="preserve">any previous planning or regulatory effort already started or completed for a proposed project may </w:t>
      </w:r>
      <w:r>
        <w:rPr>
          <w:rFonts w:ascii="Palatino Linotype" w:hAnsi="Palatino Linotype"/>
          <w:sz w:val="22"/>
          <w:szCs w:val="22"/>
        </w:rPr>
        <w:t>demonstrate an increased likelihood of project completeness</w:t>
      </w:r>
      <w:r w:rsidR="0050671B">
        <w:rPr>
          <w:rFonts w:ascii="Palatino Linotype" w:hAnsi="Palatino Linotype"/>
          <w:sz w:val="22"/>
          <w:szCs w:val="22"/>
        </w:rPr>
        <w:t xml:space="preserve"> and could positively impact the score of a proposal</w:t>
      </w:r>
      <w:r>
        <w:rPr>
          <w:rFonts w:ascii="Palatino Linotype" w:hAnsi="Palatino Linotype"/>
          <w:sz w:val="22"/>
          <w:szCs w:val="22"/>
        </w:rPr>
        <w:t xml:space="preserve">. </w:t>
      </w:r>
    </w:p>
    <w:p w:rsidR="001E0423" w:rsidRDefault="001E0423" w:rsidP="00D17FCC">
      <w:pPr>
        <w:ind w:left="360"/>
        <w:rPr>
          <w:rFonts w:ascii="Palatino Linotype" w:hAnsi="Palatino Linotype"/>
          <w:sz w:val="22"/>
          <w:szCs w:val="22"/>
        </w:rPr>
      </w:pPr>
    </w:p>
    <w:p w:rsidR="001E0423" w:rsidRPr="004C6D7B" w:rsidRDefault="001E0423" w:rsidP="001E0423">
      <w:pPr>
        <w:pStyle w:val="ListParagraph"/>
        <w:numPr>
          <w:ilvl w:val="0"/>
          <w:numId w:val="4"/>
        </w:numPr>
        <w:ind w:left="360"/>
        <w:rPr>
          <w:rFonts w:ascii="Palatino Linotype" w:hAnsi="Palatino Linotype"/>
          <w:b/>
        </w:rPr>
      </w:pPr>
      <w:r w:rsidRPr="004C6D7B">
        <w:rPr>
          <w:rFonts w:ascii="Palatino Linotype" w:hAnsi="Palatino Linotype"/>
          <w:b/>
        </w:rPr>
        <w:t>Q: How many extra points do we get on partnerships with local educational institutions and/or local workforce development agencies?</w:t>
      </w:r>
    </w:p>
    <w:p w:rsidR="001E0423" w:rsidRPr="004C6D7B"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4C6D7B">
        <w:rPr>
          <w:rFonts w:ascii="Palatino Linotype" w:hAnsi="Palatino Linotype"/>
          <w:sz w:val="22"/>
          <w:szCs w:val="22"/>
        </w:rPr>
        <w:t xml:space="preserve">A: </w:t>
      </w:r>
      <w:r w:rsidR="004C4F68" w:rsidRPr="004C4F68">
        <w:rPr>
          <w:rFonts w:ascii="Palatino Linotype" w:hAnsi="Palatino Linotype"/>
          <w:sz w:val="22"/>
          <w:szCs w:val="22"/>
        </w:rPr>
        <w:t xml:space="preserve"> </w:t>
      </w:r>
      <w:r w:rsidR="004C4F68">
        <w:rPr>
          <w:rFonts w:ascii="Palatino Linotype" w:hAnsi="Palatino Linotype"/>
          <w:sz w:val="22"/>
          <w:szCs w:val="22"/>
        </w:rPr>
        <w:t xml:space="preserve">The inclusion of </w:t>
      </w:r>
      <w:r w:rsidR="004D09B5">
        <w:rPr>
          <w:rFonts w:ascii="Palatino Linotype" w:hAnsi="Palatino Linotype"/>
          <w:sz w:val="22"/>
          <w:szCs w:val="22"/>
        </w:rPr>
        <w:t xml:space="preserve">local educational institutions or local workforce development agencies would not qualify for additional points under this solicitation, though they are eligible to be project partners. </w:t>
      </w:r>
    </w:p>
    <w:p w:rsidR="00767E14" w:rsidRDefault="00767E14" w:rsidP="001E0423">
      <w:pPr>
        <w:ind w:left="360"/>
        <w:rPr>
          <w:rFonts w:ascii="Palatino Linotype" w:hAnsi="Palatino Linotype"/>
          <w:sz w:val="22"/>
          <w:szCs w:val="22"/>
        </w:rPr>
      </w:pPr>
    </w:p>
    <w:p w:rsidR="009622C5" w:rsidRDefault="009622C5" w:rsidP="001E0423">
      <w:pPr>
        <w:ind w:left="360"/>
        <w:rPr>
          <w:rFonts w:ascii="Palatino Linotype" w:hAnsi="Palatino Linotype"/>
          <w:sz w:val="22"/>
          <w:szCs w:val="22"/>
        </w:rPr>
      </w:pPr>
    </w:p>
    <w:p w:rsidR="00767E14" w:rsidRPr="0086176F" w:rsidRDefault="00767E14" w:rsidP="00767E14">
      <w:pPr>
        <w:pStyle w:val="ListParagraph"/>
        <w:numPr>
          <w:ilvl w:val="0"/>
          <w:numId w:val="4"/>
        </w:numPr>
        <w:ind w:left="360"/>
        <w:rPr>
          <w:rFonts w:ascii="Palatino Linotype" w:hAnsi="Palatino Linotype"/>
          <w:b/>
        </w:rPr>
      </w:pPr>
      <w:r w:rsidRPr="0086176F">
        <w:rPr>
          <w:rFonts w:ascii="Palatino Linotype" w:hAnsi="Palatino Linotype"/>
          <w:b/>
        </w:rPr>
        <w:lastRenderedPageBreak/>
        <w:t>Q: Would the University of California be considered a separate local jurisdiction as a joint proposal?</w:t>
      </w:r>
    </w:p>
    <w:p w:rsidR="00767E14" w:rsidRPr="0086176F" w:rsidRDefault="00767E14" w:rsidP="00767E14">
      <w:pPr>
        <w:ind w:left="360"/>
        <w:rPr>
          <w:rFonts w:ascii="Palatino Linotype" w:hAnsi="Palatino Linotype"/>
          <w:sz w:val="22"/>
          <w:szCs w:val="22"/>
        </w:rPr>
      </w:pPr>
    </w:p>
    <w:p w:rsidR="00767E14" w:rsidRPr="0086176F" w:rsidRDefault="00767E14" w:rsidP="00767E14">
      <w:pPr>
        <w:ind w:left="360"/>
        <w:rPr>
          <w:rFonts w:ascii="Palatino Linotype" w:hAnsi="Palatino Linotype"/>
          <w:sz w:val="22"/>
          <w:szCs w:val="22"/>
        </w:rPr>
      </w:pPr>
      <w:r w:rsidRPr="0086176F">
        <w:rPr>
          <w:rFonts w:ascii="Palatino Linotype" w:hAnsi="Palatino Linotype"/>
          <w:sz w:val="22"/>
          <w:szCs w:val="22"/>
        </w:rPr>
        <w:t xml:space="preserve">A: </w:t>
      </w:r>
      <w:r w:rsidR="004D09B5">
        <w:rPr>
          <w:rFonts w:ascii="Palatino Linotype" w:hAnsi="Palatino Linotype"/>
          <w:sz w:val="22"/>
        </w:rPr>
        <w:t>The</w:t>
      </w:r>
      <w:r w:rsidR="00826184">
        <w:rPr>
          <w:rFonts w:ascii="Palatino Linotype" w:hAnsi="Palatino Linotype"/>
          <w:sz w:val="22"/>
        </w:rPr>
        <w:t xml:space="preserve"> University of California would </w:t>
      </w:r>
      <w:r w:rsidR="004D09B5">
        <w:rPr>
          <w:rFonts w:ascii="Palatino Linotype" w:hAnsi="Palatino Linotype"/>
          <w:sz w:val="22"/>
        </w:rPr>
        <w:t xml:space="preserve">not </w:t>
      </w:r>
      <w:r w:rsidR="004F7DA9">
        <w:rPr>
          <w:rFonts w:ascii="Palatino Linotype" w:hAnsi="Palatino Linotype"/>
          <w:sz w:val="22"/>
        </w:rPr>
        <w:t xml:space="preserve">be considered a separate local jurisdiction </w:t>
      </w:r>
      <w:r w:rsidR="004D09B5">
        <w:rPr>
          <w:rFonts w:ascii="Palatino Linotype" w:hAnsi="Palatino Linotype"/>
          <w:sz w:val="22"/>
        </w:rPr>
        <w:t>under this solicitation and their inclusion would not qualify for additional points</w:t>
      </w:r>
      <w:r w:rsidR="004F7DA9">
        <w:rPr>
          <w:rFonts w:ascii="Palatino Linotype" w:hAnsi="Palatino Linotype"/>
          <w:sz w:val="22"/>
        </w:rPr>
        <w:t>.</w:t>
      </w:r>
      <w:r w:rsidR="004D09B5">
        <w:rPr>
          <w:rFonts w:ascii="Palatino Linotype" w:hAnsi="Palatino Linotype"/>
          <w:sz w:val="22"/>
        </w:rPr>
        <w:t xml:space="preserve"> The University of California is eligible to serve as a project partner. </w:t>
      </w:r>
      <w:r w:rsidR="004F7DA9">
        <w:rPr>
          <w:rFonts w:ascii="Palatino Linotype" w:hAnsi="Palatino Linotype"/>
          <w:sz w:val="22"/>
        </w:rPr>
        <w:t xml:space="preserve"> </w:t>
      </w:r>
    </w:p>
    <w:p w:rsidR="00D17FCC" w:rsidRPr="00936627" w:rsidRDefault="001E0423" w:rsidP="00936627">
      <w:pPr>
        <w:pStyle w:val="Heading1"/>
        <w:rPr>
          <w:rFonts w:ascii="Palatino Linotype" w:hAnsi="Palatino Linotype"/>
        </w:rPr>
      </w:pPr>
      <w:bookmarkStart w:id="7" w:name="_Toc438652253"/>
      <w:r w:rsidRPr="00936627">
        <w:rPr>
          <w:rFonts w:ascii="Palatino Linotype" w:hAnsi="Palatino Linotype"/>
        </w:rPr>
        <w:t>Phase II</w:t>
      </w:r>
      <w:bookmarkEnd w:id="7"/>
    </w:p>
    <w:p w:rsidR="001E0423" w:rsidRPr="001E0423" w:rsidRDefault="001E0423" w:rsidP="00D17FCC">
      <w:pPr>
        <w:rPr>
          <w:rFonts w:ascii="Palatino Linotype" w:hAnsi="Palatino Linotype"/>
          <w:b/>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 xml:space="preserve">Q: Can projects be expedited? Will </w:t>
      </w:r>
      <w:r w:rsidR="00052D9F">
        <w:rPr>
          <w:rFonts w:ascii="Palatino Linotype" w:hAnsi="Palatino Linotype"/>
          <w:b/>
        </w:rPr>
        <w:t xml:space="preserve">the Energy Commission </w:t>
      </w:r>
      <w:r w:rsidRPr="00CA6636">
        <w:rPr>
          <w:rFonts w:ascii="Palatino Linotype" w:hAnsi="Palatino Linotype"/>
          <w:b/>
        </w:rPr>
        <w:t>allow flexibility to apply for Phase II funding earlier than June 2018?</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 xml:space="preserve">A: </w:t>
      </w:r>
      <w:r w:rsidR="00826184">
        <w:rPr>
          <w:rFonts w:ascii="Palatino Linotype" w:hAnsi="Palatino Linotype"/>
          <w:sz w:val="22"/>
          <w:szCs w:val="22"/>
        </w:rPr>
        <w:t>A</w:t>
      </w:r>
      <w:r w:rsidR="00564DB3">
        <w:rPr>
          <w:rFonts w:ascii="Palatino Linotype" w:hAnsi="Palatino Linotype"/>
          <w:sz w:val="22"/>
          <w:szCs w:val="22"/>
        </w:rPr>
        <w:t>pplicants will not be allowed to apply for Phase II outside of the planned timeframe identified in the solicitation manual</w:t>
      </w:r>
      <w:r>
        <w:rPr>
          <w:rFonts w:ascii="Palatino Linotype" w:hAnsi="Palatino Linotype"/>
          <w:sz w:val="22"/>
          <w:szCs w:val="22"/>
        </w:rPr>
        <w:t xml:space="preserve">. </w:t>
      </w:r>
    </w:p>
    <w:p w:rsidR="001E0423" w:rsidRDefault="001E0423" w:rsidP="001E0423">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Why is there a difference in the project duration for Phase I and II, is that for CEQA and interconnection reasons?</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t xml:space="preserve">A: </w:t>
      </w:r>
      <w:r w:rsidR="00003F29">
        <w:rPr>
          <w:rFonts w:ascii="Palatino Linotype" w:hAnsi="Palatino Linotype"/>
          <w:sz w:val="22"/>
          <w:szCs w:val="22"/>
        </w:rPr>
        <w:t>The Phase II timeline allows for the actual build-out of a proposed Advanced Energy Community, and so is longer than the Phase I timeline. The solicitation manual states that applicants must demonstrate that a CEQA review has been completed prior to the adoption of any Phase II agreements</w:t>
      </w:r>
      <w:r w:rsidRPr="00CB4085">
        <w:rPr>
          <w:rFonts w:ascii="Palatino Linotype" w:hAnsi="Palatino Linotype"/>
          <w:sz w:val="22"/>
          <w:szCs w:val="22"/>
        </w:rPr>
        <w:t>.</w:t>
      </w:r>
    </w:p>
    <w:p w:rsidR="001E0423" w:rsidRDefault="001E0423" w:rsidP="001E0423">
      <w:pPr>
        <w:ind w:left="360"/>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If the Phase II scoring criteria aren't out until after the Phase I projects are submitted, then there is no opportunity to incorporate Phase II scoring criteria in the Advanced Energy Community design.  Can the solicitation details for Phase II be released earlier?</w:t>
      </w:r>
    </w:p>
    <w:p w:rsidR="001E0423" w:rsidRPr="00CB4085" w:rsidRDefault="001E0423" w:rsidP="001E0423">
      <w:pPr>
        <w:ind w:left="360"/>
        <w:rPr>
          <w:rFonts w:ascii="Palatino Linotype" w:hAnsi="Palatino Linotype"/>
          <w:sz w:val="22"/>
          <w:szCs w:val="22"/>
        </w:rPr>
      </w:pPr>
    </w:p>
    <w:p w:rsidR="001E0423" w:rsidRDefault="001E0423" w:rsidP="00492488">
      <w:pPr>
        <w:ind w:left="360"/>
        <w:rPr>
          <w:rFonts w:ascii="Palatino Linotype" w:hAnsi="Palatino Linotype"/>
          <w:sz w:val="22"/>
          <w:szCs w:val="22"/>
        </w:rPr>
      </w:pPr>
      <w:r w:rsidRPr="00CB4085">
        <w:rPr>
          <w:rFonts w:ascii="Palatino Linotype" w:hAnsi="Palatino Linotype"/>
          <w:sz w:val="22"/>
          <w:szCs w:val="22"/>
        </w:rPr>
        <w:t xml:space="preserve">A: </w:t>
      </w:r>
      <w:r w:rsidR="005151F9">
        <w:rPr>
          <w:rFonts w:ascii="Palatino Linotype" w:hAnsi="Palatino Linotype"/>
          <w:sz w:val="22"/>
          <w:szCs w:val="22"/>
        </w:rPr>
        <w:t xml:space="preserve">The release of the Phases II </w:t>
      </w:r>
      <w:r w:rsidR="00767E14">
        <w:rPr>
          <w:rFonts w:ascii="Palatino Linotype" w:hAnsi="Palatino Linotype"/>
          <w:sz w:val="22"/>
          <w:szCs w:val="22"/>
        </w:rPr>
        <w:t xml:space="preserve">solicitation amendment </w:t>
      </w:r>
      <w:r w:rsidR="005151F9">
        <w:rPr>
          <w:rFonts w:ascii="Palatino Linotype" w:hAnsi="Palatino Linotype"/>
          <w:sz w:val="22"/>
          <w:szCs w:val="22"/>
        </w:rPr>
        <w:t xml:space="preserve">is not planned until </w:t>
      </w:r>
      <w:r w:rsidR="00003F29">
        <w:rPr>
          <w:rFonts w:ascii="Palatino Linotype" w:hAnsi="Palatino Linotype"/>
          <w:sz w:val="22"/>
          <w:szCs w:val="22"/>
        </w:rPr>
        <w:t>the end</w:t>
      </w:r>
      <w:r w:rsidR="005151F9">
        <w:rPr>
          <w:rFonts w:ascii="Palatino Linotype" w:hAnsi="Palatino Linotype"/>
          <w:sz w:val="22"/>
          <w:szCs w:val="22"/>
        </w:rPr>
        <w:t xml:space="preserve"> of Phases I projects. </w:t>
      </w:r>
      <w:r w:rsidR="00DF55FB">
        <w:rPr>
          <w:rFonts w:ascii="Palatino Linotype" w:hAnsi="Palatino Linotype"/>
          <w:sz w:val="22"/>
          <w:szCs w:val="22"/>
        </w:rPr>
        <w:t>Two aspects will serve as the basis for Phase II evaluation: how well do</w:t>
      </w:r>
      <w:r w:rsidR="00296A2F">
        <w:rPr>
          <w:rFonts w:ascii="Palatino Linotype" w:hAnsi="Palatino Linotype"/>
          <w:sz w:val="22"/>
          <w:szCs w:val="22"/>
        </w:rPr>
        <w:t>es</w:t>
      </w:r>
      <w:r w:rsidR="00DF55FB">
        <w:rPr>
          <w:rFonts w:ascii="Palatino Linotype" w:hAnsi="Palatino Linotype"/>
          <w:sz w:val="22"/>
          <w:szCs w:val="22"/>
        </w:rPr>
        <w:t xml:space="preserve"> the </w:t>
      </w:r>
      <w:r w:rsidR="00296A2F">
        <w:rPr>
          <w:rFonts w:ascii="Palatino Linotype" w:hAnsi="Palatino Linotype"/>
          <w:sz w:val="22"/>
          <w:szCs w:val="22"/>
        </w:rPr>
        <w:t xml:space="preserve">Advanced Energy Community meet objectives </w:t>
      </w:r>
      <w:r w:rsidR="00DF55FB">
        <w:rPr>
          <w:rFonts w:ascii="Palatino Linotype" w:hAnsi="Palatino Linotype"/>
          <w:sz w:val="22"/>
          <w:szCs w:val="22"/>
        </w:rPr>
        <w:t xml:space="preserve">set out on page 4 of the </w:t>
      </w:r>
      <w:r w:rsidR="00296A2F">
        <w:rPr>
          <w:rFonts w:ascii="Palatino Linotype" w:hAnsi="Palatino Linotype"/>
          <w:sz w:val="22"/>
          <w:szCs w:val="22"/>
        </w:rPr>
        <w:t xml:space="preserve">application </w:t>
      </w:r>
      <w:r w:rsidR="00DF55FB">
        <w:rPr>
          <w:rFonts w:ascii="Palatino Linotype" w:hAnsi="Palatino Linotype"/>
          <w:sz w:val="22"/>
          <w:szCs w:val="22"/>
        </w:rPr>
        <w:t xml:space="preserve">manual, and how close is the </w:t>
      </w:r>
      <w:r w:rsidR="00296A2F">
        <w:rPr>
          <w:rFonts w:ascii="Palatino Linotype" w:hAnsi="Palatino Linotype"/>
          <w:sz w:val="22"/>
          <w:szCs w:val="22"/>
        </w:rPr>
        <w:t xml:space="preserve">Advanced Energy Community to </w:t>
      </w:r>
      <w:r w:rsidR="00DF55FB">
        <w:rPr>
          <w:rFonts w:ascii="Palatino Linotype" w:hAnsi="Palatino Linotype"/>
          <w:sz w:val="22"/>
          <w:szCs w:val="22"/>
        </w:rPr>
        <w:t xml:space="preserve">being </w:t>
      </w:r>
      <w:r w:rsidR="00296A2F">
        <w:rPr>
          <w:rFonts w:ascii="Palatino Linotype" w:hAnsi="Palatino Linotype"/>
          <w:sz w:val="22"/>
          <w:szCs w:val="22"/>
        </w:rPr>
        <w:t>shovel-ready</w:t>
      </w:r>
      <w:r w:rsidR="00DF55FB">
        <w:rPr>
          <w:rFonts w:ascii="Palatino Linotype" w:hAnsi="Palatino Linotype"/>
          <w:sz w:val="22"/>
          <w:szCs w:val="22"/>
        </w:rPr>
        <w:t xml:space="preserve">. </w:t>
      </w:r>
    </w:p>
    <w:p w:rsidR="00492488" w:rsidRDefault="00492488" w:rsidP="001E0423">
      <w:pPr>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On page 20, the GFO states that Phase II activities involve the installation and operation of pre-commercial and emerging technologies or strategies in actual operating environments to enable appraise of the operational and performance characteristics and the financial risk. Does that mean that we are limited to pre-commercial and emerging technologies only for deployment in our Advanced Energy Communities? </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sidR="00296A2F">
        <w:rPr>
          <w:rFonts w:ascii="Palatino Linotype" w:hAnsi="Palatino Linotype"/>
          <w:sz w:val="22"/>
          <w:szCs w:val="22"/>
        </w:rPr>
        <w:t xml:space="preserve">No, applicants are not limited to pre-commercial technologies. </w:t>
      </w:r>
      <w:r w:rsidR="00083686">
        <w:rPr>
          <w:rFonts w:ascii="Palatino Linotype" w:hAnsi="Palatino Linotype"/>
          <w:sz w:val="22"/>
          <w:szCs w:val="22"/>
        </w:rPr>
        <w:t>For purposes of this solicitation, pre-commercial refers to technologies or combinations of technologies</w:t>
      </w:r>
      <w:r w:rsidR="008C42BB">
        <w:rPr>
          <w:rFonts w:ascii="Palatino Linotype" w:hAnsi="Palatino Linotype"/>
          <w:sz w:val="22"/>
          <w:szCs w:val="22"/>
        </w:rPr>
        <w:t xml:space="preserve">, including commercial </w:t>
      </w:r>
      <w:r w:rsidR="00DB5F65">
        <w:rPr>
          <w:rFonts w:ascii="Palatino Linotype" w:hAnsi="Palatino Linotype"/>
          <w:sz w:val="22"/>
          <w:szCs w:val="22"/>
        </w:rPr>
        <w:t>technologies that</w:t>
      </w:r>
      <w:r w:rsidR="00083686">
        <w:rPr>
          <w:rFonts w:ascii="Palatino Linotype" w:hAnsi="Palatino Linotype"/>
          <w:sz w:val="22"/>
          <w:szCs w:val="22"/>
        </w:rPr>
        <w:t xml:space="preserve"> have</w:t>
      </w:r>
      <w:r w:rsidR="00DF55FB">
        <w:rPr>
          <w:rFonts w:ascii="Palatino Linotype" w:hAnsi="Palatino Linotype"/>
          <w:sz w:val="22"/>
          <w:szCs w:val="22"/>
        </w:rPr>
        <w:t xml:space="preserve"> not been demonstrated together, or demonstrated at the scale being proposed. </w:t>
      </w:r>
    </w:p>
    <w:p w:rsidR="00D17FCC" w:rsidRDefault="00D17FCC" w:rsidP="00936627">
      <w:pPr>
        <w:pStyle w:val="Heading1"/>
        <w:rPr>
          <w:rFonts w:ascii="Palatino Linotype" w:hAnsi="Palatino Linotype"/>
        </w:rPr>
      </w:pPr>
      <w:bookmarkStart w:id="8" w:name="_Toc438652254"/>
      <w:r w:rsidRPr="00936627">
        <w:rPr>
          <w:rFonts w:ascii="Palatino Linotype" w:hAnsi="Palatino Linotype"/>
        </w:rPr>
        <w:lastRenderedPageBreak/>
        <w:t>Administrative Questions</w:t>
      </w:r>
      <w:bookmarkEnd w:id="8"/>
    </w:p>
    <w:p w:rsidR="0086176F" w:rsidRPr="0086176F" w:rsidRDefault="0086176F" w:rsidP="0086176F"/>
    <w:p w:rsidR="00D17FCC" w:rsidRPr="00CA6636" w:rsidRDefault="00D17FCC" w:rsidP="00D17FCC">
      <w:pPr>
        <w:pStyle w:val="PlainText"/>
        <w:numPr>
          <w:ilvl w:val="0"/>
          <w:numId w:val="4"/>
        </w:numPr>
        <w:ind w:left="360"/>
        <w:rPr>
          <w:rFonts w:ascii="Palatino Linotype" w:hAnsi="Palatino Linotype"/>
          <w:b/>
          <w:szCs w:val="22"/>
        </w:rPr>
      </w:pPr>
      <w:r w:rsidRPr="00CA6636">
        <w:rPr>
          <w:rFonts w:ascii="Palatino Linotype" w:hAnsi="Palatino Linotype"/>
          <w:b/>
          <w:szCs w:val="22"/>
        </w:rPr>
        <w:t>Q: Each EPIC grant has the requirement that an applicant be registered and be in good standing with the California Secretary of State prior to the application. Is there any additional requirement necessary to show that a doing business as entity (dba) entity is a qualified active registered entity for purposes of this application?</w:t>
      </w:r>
    </w:p>
    <w:p w:rsidR="00D17FCC" w:rsidRPr="00CB4085" w:rsidRDefault="00D17FCC" w:rsidP="00D17FCC">
      <w:pPr>
        <w:pStyle w:val="PlainText"/>
        <w:ind w:left="360"/>
        <w:rPr>
          <w:rFonts w:ascii="Palatino Linotype" w:hAnsi="Palatino Linotype"/>
          <w:szCs w:val="22"/>
        </w:rPr>
      </w:pPr>
    </w:p>
    <w:p w:rsidR="00D17FCC" w:rsidRPr="00CB4085" w:rsidRDefault="00D17FCC" w:rsidP="00D17FCC">
      <w:pPr>
        <w:pStyle w:val="PlainText"/>
        <w:ind w:left="360"/>
        <w:rPr>
          <w:rFonts w:ascii="Palatino Linotype" w:hAnsi="Palatino Linotype"/>
          <w:szCs w:val="22"/>
        </w:rPr>
      </w:pPr>
      <w:r w:rsidRPr="00CB4085">
        <w:rPr>
          <w:rFonts w:ascii="Palatino Linotype" w:hAnsi="Palatino Linotype"/>
          <w:szCs w:val="22"/>
        </w:rPr>
        <w:t xml:space="preserve">A: </w:t>
      </w:r>
      <w:r w:rsidR="007F3A72">
        <w:rPr>
          <w:rFonts w:ascii="Palatino Linotype" w:hAnsi="Palatino Linotype"/>
          <w:szCs w:val="22"/>
        </w:rPr>
        <w:t>T</w:t>
      </w:r>
      <w:r w:rsidRPr="00CB4085">
        <w:rPr>
          <w:rFonts w:ascii="Palatino Linotype" w:hAnsi="Palatino Linotype"/>
          <w:szCs w:val="22"/>
        </w:rPr>
        <w:t xml:space="preserve">here is no additional requirement </w:t>
      </w:r>
      <w:r w:rsidR="007F3A72">
        <w:rPr>
          <w:rFonts w:ascii="Palatino Linotype" w:hAnsi="Palatino Linotype"/>
          <w:szCs w:val="22"/>
        </w:rPr>
        <w:t>beyon</w:t>
      </w:r>
      <w:r w:rsidR="00BF0C8E">
        <w:rPr>
          <w:rFonts w:ascii="Palatino Linotype" w:hAnsi="Palatino Linotype"/>
          <w:szCs w:val="22"/>
        </w:rPr>
        <w:t>d</w:t>
      </w:r>
      <w:r w:rsidR="007F3A72">
        <w:rPr>
          <w:rFonts w:ascii="Palatino Linotype" w:hAnsi="Palatino Linotype"/>
          <w:szCs w:val="22"/>
        </w:rPr>
        <w:t xml:space="preserve"> proper </w:t>
      </w:r>
      <w:r w:rsidR="00BF0C8E">
        <w:rPr>
          <w:rFonts w:ascii="Palatino Linotype" w:hAnsi="Palatino Linotype"/>
          <w:szCs w:val="22"/>
        </w:rPr>
        <w:t>registration</w:t>
      </w:r>
      <w:r w:rsidR="007F3A72">
        <w:rPr>
          <w:rFonts w:ascii="Palatino Linotype" w:hAnsi="Palatino Linotype"/>
          <w:szCs w:val="22"/>
        </w:rPr>
        <w:t xml:space="preserve"> with the California Secretary of State </w:t>
      </w:r>
      <w:r w:rsidRPr="00CB4085">
        <w:rPr>
          <w:rFonts w:ascii="Palatino Linotype" w:hAnsi="Palatino Linotype"/>
          <w:szCs w:val="22"/>
        </w:rPr>
        <w:t xml:space="preserve">for a </w:t>
      </w:r>
      <w:proofErr w:type="spellStart"/>
      <w:r w:rsidRPr="00CB4085">
        <w:rPr>
          <w:rFonts w:ascii="Palatino Linotype" w:hAnsi="Palatino Linotype"/>
          <w:szCs w:val="22"/>
        </w:rPr>
        <w:t>d.b.a</w:t>
      </w:r>
      <w:proofErr w:type="spellEnd"/>
      <w:r w:rsidRPr="00CB4085">
        <w:rPr>
          <w:rFonts w:ascii="Palatino Linotype" w:hAnsi="Palatino Linotype"/>
          <w:szCs w:val="22"/>
        </w:rPr>
        <w:t xml:space="preserve"> entity to show further eligibility for their application.</w:t>
      </w:r>
    </w:p>
    <w:p w:rsidR="00D17FCC" w:rsidRPr="00D17FCC" w:rsidRDefault="00D17FCC" w:rsidP="00D17FCC">
      <w:pPr>
        <w:rPr>
          <w:rFonts w:ascii="Palatino Linotype" w:hAnsi="Palatino Linotype"/>
          <w:b/>
        </w:rPr>
      </w:pPr>
    </w:p>
    <w:p w:rsidR="00D17FCC" w:rsidRPr="00CA6636" w:rsidRDefault="00D17FCC" w:rsidP="00D17FCC">
      <w:pPr>
        <w:pStyle w:val="ListParagraph"/>
        <w:numPr>
          <w:ilvl w:val="0"/>
          <w:numId w:val="4"/>
        </w:numPr>
        <w:ind w:left="360"/>
        <w:rPr>
          <w:rFonts w:ascii="Palatino Linotype" w:hAnsi="Palatino Linotype"/>
          <w:b/>
        </w:rPr>
      </w:pPr>
      <w:r w:rsidRPr="00CA6636">
        <w:rPr>
          <w:rFonts w:ascii="Palatino Linotype" w:hAnsi="Palatino Linotype"/>
          <w:b/>
        </w:rPr>
        <w:t>Q: Is it possible for a firm to be the prime for one group and a subcontractor on a team in another group?</w:t>
      </w:r>
    </w:p>
    <w:p w:rsidR="00D17FCC" w:rsidRPr="00CB4085" w:rsidRDefault="00D17FCC" w:rsidP="00D17FCC">
      <w:pPr>
        <w:ind w:left="360"/>
        <w:rPr>
          <w:rFonts w:ascii="Palatino Linotype" w:hAnsi="Palatino Linotype"/>
          <w:sz w:val="22"/>
          <w:szCs w:val="22"/>
        </w:rPr>
      </w:pPr>
    </w:p>
    <w:p w:rsidR="00D17FCC" w:rsidRPr="00CB4085" w:rsidRDefault="00D17FCC" w:rsidP="00D17FCC">
      <w:pPr>
        <w:ind w:left="360"/>
        <w:rPr>
          <w:rFonts w:ascii="Palatino Linotype" w:hAnsi="Palatino Linotype"/>
          <w:sz w:val="22"/>
          <w:szCs w:val="22"/>
        </w:rPr>
      </w:pPr>
      <w:r w:rsidRPr="00CB4085">
        <w:rPr>
          <w:rFonts w:ascii="Palatino Linotype" w:hAnsi="Palatino Linotype"/>
          <w:sz w:val="22"/>
          <w:szCs w:val="22"/>
        </w:rPr>
        <w:t xml:space="preserve">A: Yes, applicants are allowed to </w:t>
      </w:r>
      <w:r w:rsidR="002A5129">
        <w:rPr>
          <w:rFonts w:ascii="Palatino Linotype" w:hAnsi="Palatino Linotype"/>
          <w:sz w:val="22"/>
          <w:szCs w:val="22"/>
        </w:rPr>
        <w:t>be part of</w:t>
      </w:r>
      <w:r w:rsidR="002A5129" w:rsidRPr="00CB4085">
        <w:rPr>
          <w:rFonts w:ascii="Palatino Linotype" w:hAnsi="Palatino Linotype"/>
          <w:sz w:val="22"/>
          <w:szCs w:val="22"/>
        </w:rPr>
        <w:t xml:space="preserve"> </w:t>
      </w:r>
      <w:r w:rsidRPr="00CB4085">
        <w:rPr>
          <w:rFonts w:ascii="Palatino Linotype" w:hAnsi="Palatino Linotype"/>
          <w:sz w:val="22"/>
          <w:szCs w:val="22"/>
        </w:rPr>
        <w:t xml:space="preserve">multiple project teams. </w:t>
      </w:r>
    </w:p>
    <w:p w:rsidR="00D17FCC" w:rsidRPr="00CB4085" w:rsidRDefault="00D17FCC" w:rsidP="00D17FCC">
      <w:pPr>
        <w:ind w:left="360"/>
        <w:rPr>
          <w:rFonts w:ascii="Palatino Linotype" w:hAnsi="Palatino Linotype"/>
          <w:sz w:val="22"/>
          <w:szCs w:val="22"/>
        </w:rPr>
      </w:pPr>
    </w:p>
    <w:p w:rsidR="00D17FCC" w:rsidRPr="003062B4" w:rsidRDefault="00D17FCC" w:rsidP="00D17FCC">
      <w:pPr>
        <w:pStyle w:val="PlainText"/>
        <w:numPr>
          <w:ilvl w:val="0"/>
          <w:numId w:val="4"/>
        </w:numPr>
        <w:ind w:left="360"/>
        <w:rPr>
          <w:rFonts w:ascii="Palatino Linotype" w:hAnsi="Palatino Linotype"/>
          <w:b/>
          <w:szCs w:val="22"/>
        </w:rPr>
      </w:pPr>
      <w:r w:rsidRPr="003062B4">
        <w:rPr>
          <w:rFonts w:ascii="Palatino Linotype" w:hAnsi="Palatino Linotype"/>
          <w:b/>
          <w:szCs w:val="22"/>
        </w:rPr>
        <w:t>Q: Page 37 of the solicitation manual contains the following criteria: "Spent in California" means that: (1) Funds under the "Direct Labor" category and all categories calculated based on direct labor in the B-4 budget attachments (Prime and Subcontractor Labor Rates) are paid to individuals who pay California state income taxes on wages received for work performed under the agreement; and (2) Business transactions (e.g., material and equipment purchases, leases, rentals, and contractual work) are entered into with a business located in California." For the phrase "all categories calculated based on direct labor", does these categories include indirect?</w:t>
      </w:r>
    </w:p>
    <w:p w:rsidR="00D17FCC" w:rsidRPr="003062B4" w:rsidRDefault="00D17FCC" w:rsidP="00D17FCC">
      <w:pPr>
        <w:pStyle w:val="PlainText"/>
        <w:ind w:left="360"/>
        <w:rPr>
          <w:rFonts w:ascii="Palatino Linotype" w:hAnsi="Palatino Linotype"/>
          <w:szCs w:val="22"/>
        </w:rPr>
      </w:pPr>
    </w:p>
    <w:p w:rsidR="00D17FCC" w:rsidRDefault="00D17FCC" w:rsidP="00D17FCC">
      <w:pPr>
        <w:pStyle w:val="PlainText"/>
        <w:ind w:left="360"/>
        <w:rPr>
          <w:rFonts w:ascii="Palatino Linotype" w:hAnsi="Palatino Linotype"/>
          <w:szCs w:val="22"/>
        </w:rPr>
      </w:pPr>
      <w:r w:rsidRPr="003062B4">
        <w:rPr>
          <w:rFonts w:ascii="Palatino Linotype" w:hAnsi="Palatino Linotype"/>
          <w:szCs w:val="22"/>
        </w:rPr>
        <w:t xml:space="preserve">A: </w:t>
      </w:r>
      <w:r w:rsidR="003062B4" w:rsidRPr="003062B4">
        <w:rPr>
          <w:rFonts w:ascii="Palatino Linotype" w:hAnsi="Palatino Linotype"/>
          <w:szCs w:val="22"/>
        </w:rPr>
        <w:t>Yes, if indirect overhead is based on, or includes, direct labor as part of the calculation, then indirect costs can be included as part of the funds spent in California.</w:t>
      </w:r>
    </w:p>
    <w:p w:rsidR="00D17FCC" w:rsidRDefault="00D17FCC" w:rsidP="00D17FCC">
      <w:pPr>
        <w:pStyle w:val="PlainText"/>
        <w:ind w:left="360"/>
        <w:rPr>
          <w:rFonts w:ascii="Palatino Linotype" w:hAnsi="Palatino Linotype"/>
          <w:szCs w:val="22"/>
        </w:rPr>
      </w:pPr>
    </w:p>
    <w:p w:rsidR="00D17FCC" w:rsidRPr="00D17FCC" w:rsidRDefault="00D17FCC" w:rsidP="00D17FCC">
      <w:pPr>
        <w:pStyle w:val="ListParagraph"/>
        <w:numPr>
          <w:ilvl w:val="0"/>
          <w:numId w:val="4"/>
        </w:numPr>
        <w:spacing w:after="100" w:afterAutospacing="1"/>
        <w:ind w:left="360"/>
        <w:rPr>
          <w:rFonts w:ascii="Palatino Linotype" w:hAnsi="Palatino Linotype" w:cs="Arial"/>
          <w:b/>
        </w:rPr>
      </w:pPr>
      <w:r w:rsidRPr="00D17FCC">
        <w:rPr>
          <w:rFonts w:ascii="Palatino Linotype" w:hAnsi="Palatino Linotype" w:cs="Arial"/>
          <w:b/>
        </w:rPr>
        <w:t>Q: In what capacity may we use a Department of Energy (DOE) national lab as a technical resource and how would that impact the scoring process.</w:t>
      </w:r>
    </w:p>
    <w:p w:rsidR="00D17FCC" w:rsidRDefault="00D17FCC" w:rsidP="00D17FCC">
      <w:pPr>
        <w:spacing w:before="100" w:beforeAutospacing="1" w:after="100" w:afterAutospacing="1"/>
        <w:ind w:left="360"/>
        <w:rPr>
          <w:rFonts w:ascii="Palatino Linotype" w:hAnsi="Palatino Linotype" w:cs="Arial"/>
          <w:sz w:val="22"/>
          <w:szCs w:val="22"/>
        </w:rPr>
      </w:pPr>
      <w:r w:rsidRPr="00D17FCC">
        <w:rPr>
          <w:rFonts w:ascii="Palatino Linotype" w:hAnsi="Palatino Linotype" w:cs="Arial"/>
          <w:sz w:val="22"/>
          <w:szCs w:val="22"/>
        </w:rPr>
        <w:t xml:space="preserve">A: Department of Energy entities are eligible to serve as project partners. </w:t>
      </w:r>
      <w:r w:rsidR="00DF55FB">
        <w:rPr>
          <w:rFonts w:ascii="Palatino Linotype" w:hAnsi="Palatino Linotype" w:cs="Arial"/>
          <w:sz w:val="22"/>
          <w:szCs w:val="22"/>
        </w:rPr>
        <w:t xml:space="preserve">All team members, including any DOE entities, will be evaluated as part of the Team Qualifications, Capabilities, and Resources criteria. </w:t>
      </w: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Q: Does the Commission cover any developmental costs prior to the application approval?</w:t>
      </w:r>
    </w:p>
    <w:p w:rsidR="001E0423" w:rsidRPr="00CB4085" w:rsidRDefault="001E0423" w:rsidP="001E0423">
      <w:pPr>
        <w:rPr>
          <w:rFonts w:ascii="Palatino Linotype" w:hAnsi="Palatino Linotype"/>
          <w:sz w:val="22"/>
          <w:szCs w:val="22"/>
        </w:rPr>
      </w:pPr>
    </w:p>
    <w:p w:rsidR="001E0423" w:rsidRDefault="001E0423" w:rsidP="00936627">
      <w:pPr>
        <w:ind w:left="360"/>
        <w:rPr>
          <w:rFonts w:ascii="Palatino Linotype" w:hAnsi="Palatino Linotype"/>
          <w:sz w:val="22"/>
          <w:szCs w:val="22"/>
        </w:rPr>
      </w:pPr>
      <w:r w:rsidRPr="00CB4085">
        <w:rPr>
          <w:rFonts w:ascii="Palatino Linotype" w:hAnsi="Palatino Linotype"/>
          <w:sz w:val="22"/>
          <w:szCs w:val="22"/>
        </w:rPr>
        <w:t xml:space="preserve">A: No, the Commission does not </w:t>
      </w:r>
      <w:r w:rsidR="007F3A72">
        <w:rPr>
          <w:rFonts w:ascii="Palatino Linotype" w:hAnsi="Palatino Linotype"/>
          <w:sz w:val="22"/>
          <w:szCs w:val="22"/>
        </w:rPr>
        <w:t>reimburse any costs incurred outside the contract term.</w:t>
      </w:r>
      <w:r w:rsidRPr="00CB4085">
        <w:rPr>
          <w:rFonts w:ascii="Palatino Linotype" w:hAnsi="Palatino Linotype"/>
          <w:sz w:val="22"/>
          <w:szCs w:val="22"/>
        </w:rPr>
        <w:t xml:space="preserve"> </w:t>
      </w:r>
    </w:p>
    <w:p w:rsidR="001E0423" w:rsidRPr="00CB4085" w:rsidRDefault="001E0423" w:rsidP="001E0423">
      <w:pPr>
        <w:rPr>
          <w:rFonts w:ascii="Palatino Linotype" w:hAnsi="Palatino Linotype"/>
          <w:sz w:val="22"/>
          <w:szCs w:val="22"/>
        </w:rPr>
      </w:pPr>
    </w:p>
    <w:p w:rsidR="001E0423" w:rsidRPr="00CA6636" w:rsidRDefault="001E0423" w:rsidP="001E0423">
      <w:pPr>
        <w:pStyle w:val="ListParagraph"/>
        <w:numPr>
          <w:ilvl w:val="0"/>
          <w:numId w:val="4"/>
        </w:numPr>
        <w:ind w:left="360"/>
        <w:rPr>
          <w:rFonts w:ascii="Palatino Linotype" w:hAnsi="Palatino Linotype"/>
          <w:b/>
        </w:rPr>
      </w:pPr>
      <w:r w:rsidRPr="00CA6636">
        <w:rPr>
          <w:rFonts w:ascii="Palatino Linotype" w:hAnsi="Palatino Linotype"/>
          <w:b/>
        </w:rPr>
        <w:t xml:space="preserve">Q: What are the resources the </w:t>
      </w:r>
      <w:r w:rsidR="001F12BB">
        <w:rPr>
          <w:rFonts w:ascii="Palatino Linotype" w:hAnsi="Palatino Linotype"/>
          <w:b/>
        </w:rPr>
        <w:t>Energy Commission</w:t>
      </w:r>
      <w:r w:rsidRPr="00CA6636">
        <w:rPr>
          <w:rFonts w:ascii="Palatino Linotype" w:hAnsi="Palatino Linotype"/>
          <w:b/>
        </w:rPr>
        <w:t xml:space="preserve"> could provide in terms of financing the project?</w:t>
      </w:r>
    </w:p>
    <w:p w:rsidR="001E0423" w:rsidRPr="00CB4085" w:rsidRDefault="001E0423" w:rsidP="001E0423">
      <w:pPr>
        <w:ind w:left="360"/>
        <w:rPr>
          <w:rFonts w:ascii="Palatino Linotype" w:hAnsi="Palatino Linotype"/>
          <w:sz w:val="22"/>
          <w:szCs w:val="22"/>
        </w:rPr>
      </w:pPr>
    </w:p>
    <w:p w:rsidR="001E0423" w:rsidRDefault="001E0423" w:rsidP="001E0423">
      <w:pPr>
        <w:ind w:left="360"/>
        <w:rPr>
          <w:rFonts w:ascii="Palatino Linotype" w:hAnsi="Palatino Linotype"/>
          <w:sz w:val="22"/>
          <w:szCs w:val="22"/>
        </w:rPr>
      </w:pPr>
      <w:r w:rsidRPr="00CB4085">
        <w:rPr>
          <w:rFonts w:ascii="Palatino Linotype" w:hAnsi="Palatino Linotype"/>
          <w:sz w:val="22"/>
          <w:szCs w:val="22"/>
        </w:rPr>
        <w:lastRenderedPageBreak/>
        <w:t xml:space="preserve">A: </w:t>
      </w:r>
      <w:r w:rsidR="00004A2E">
        <w:rPr>
          <w:rFonts w:ascii="Palatino Linotype" w:hAnsi="Palatino Linotype"/>
          <w:sz w:val="22"/>
          <w:szCs w:val="22"/>
        </w:rPr>
        <w:t>Applicants selected for Phase I awards from this</w:t>
      </w:r>
      <w:r>
        <w:rPr>
          <w:rFonts w:ascii="Palatino Linotype" w:hAnsi="Palatino Linotype"/>
          <w:sz w:val="22"/>
          <w:szCs w:val="22"/>
        </w:rPr>
        <w:t xml:space="preserve"> solicitation </w:t>
      </w:r>
      <w:r w:rsidR="00004A2E">
        <w:rPr>
          <w:rFonts w:ascii="Palatino Linotype" w:hAnsi="Palatino Linotype"/>
          <w:sz w:val="22"/>
          <w:szCs w:val="22"/>
        </w:rPr>
        <w:t>will be e</w:t>
      </w:r>
      <w:r w:rsidR="00F030DC">
        <w:rPr>
          <w:rFonts w:ascii="Palatino Linotype" w:hAnsi="Palatino Linotype"/>
          <w:sz w:val="22"/>
          <w:szCs w:val="22"/>
        </w:rPr>
        <w:t>ligible to apply for Phase II of this solicitation and receive</w:t>
      </w:r>
      <w:r w:rsidRPr="00CB4085">
        <w:rPr>
          <w:rFonts w:ascii="Palatino Linotype" w:hAnsi="Palatino Linotype"/>
          <w:sz w:val="22"/>
          <w:szCs w:val="22"/>
        </w:rPr>
        <w:t xml:space="preserve"> additional funding </w:t>
      </w:r>
      <w:r w:rsidR="00F030DC">
        <w:rPr>
          <w:rFonts w:ascii="Palatino Linotype" w:hAnsi="Palatino Linotype"/>
          <w:sz w:val="22"/>
          <w:szCs w:val="22"/>
        </w:rPr>
        <w:t xml:space="preserve">for the project. In addition, applicants are eligible to apply for other EPIC funding </w:t>
      </w:r>
      <w:r w:rsidRPr="00CB4085">
        <w:rPr>
          <w:rFonts w:ascii="Palatino Linotype" w:hAnsi="Palatino Linotype"/>
          <w:sz w:val="22"/>
          <w:szCs w:val="22"/>
        </w:rPr>
        <w:t>opportunities</w:t>
      </w:r>
      <w:r w:rsidR="00F030DC">
        <w:rPr>
          <w:rFonts w:ascii="Palatino Linotype" w:hAnsi="Palatino Linotype"/>
          <w:sz w:val="22"/>
          <w:szCs w:val="22"/>
        </w:rPr>
        <w:t>. P</w:t>
      </w:r>
      <w:r w:rsidRPr="00CB4085">
        <w:rPr>
          <w:rFonts w:ascii="Palatino Linotype" w:hAnsi="Palatino Linotype"/>
          <w:sz w:val="22"/>
          <w:szCs w:val="22"/>
        </w:rPr>
        <w:t xml:space="preserve">lease visit the EPIC Funding Opportunities webpage at: </w:t>
      </w:r>
      <w:hyperlink r:id="rId10" w:history="1">
        <w:r w:rsidRPr="00DA4BC2">
          <w:rPr>
            <w:rStyle w:val="Hyperlink"/>
            <w:rFonts w:ascii="Palatino Linotype" w:hAnsi="Palatino Linotype"/>
            <w:sz w:val="22"/>
            <w:szCs w:val="22"/>
          </w:rPr>
          <w:t>http://www.energy.ca.gov/contracts/epic.html</w:t>
        </w:r>
      </w:hyperlink>
      <w:r>
        <w:rPr>
          <w:rFonts w:ascii="Palatino Linotype" w:hAnsi="Palatino Linotype"/>
          <w:sz w:val="22"/>
          <w:szCs w:val="22"/>
        </w:rPr>
        <w:t xml:space="preserve"> </w:t>
      </w:r>
      <w:r w:rsidRPr="00CB4085">
        <w:rPr>
          <w:rFonts w:ascii="Palatino Linotype" w:hAnsi="Palatino Linotype"/>
          <w:sz w:val="22"/>
          <w:szCs w:val="22"/>
        </w:rPr>
        <w:t xml:space="preserve"> </w:t>
      </w:r>
      <w:r w:rsidR="00F030DC">
        <w:rPr>
          <w:rFonts w:ascii="Palatino Linotype" w:hAnsi="Palatino Linotype"/>
          <w:sz w:val="22"/>
          <w:szCs w:val="22"/>
        </w:rPr>
        <w:t>Applicants selected for Phase I awards are not guaranteed awards from other EPIC funding opportunities including this solicitation.</w:t>
      </w:r>
    </w:p>
    <w:p w:rsidR="00FB2AFB" w:rsidRDefault="00FB2AFB" w:rsidP="001E0423">
      <w:pPr>
        <w:ind w:left="360"/>
        <w:rPr>
          <w:rFonts w:ascii="Palatino Linotype" w:hAnsi="Palatino Linotype"/>
          <w:sz w:val="22"/>
          <w:szCs w:val="22"/>
        </w:rPr>
      </w:pPr>
    </w:p>
    <w:p w:rsidR="00492488" w:rsidRPr="007F0D78" w:rsidRDefault="00492488" w:rsidP="00492488">
      <w:pPr>
        <w:pStyle w:val="ListParagraph"/>
        <w:numPr>
          <w:ilvl w:val="0"/>
          <w:numId w:val="4"/>
        </w:numPr>
        <w:ind w:left="360"/>
        <w:rPr>
          <w:rFonts w:ascii="Palatino Linotype" w:hAnsi="Palatino Linotype"/>
          <w:b/>
        </w:rPr>
      </w:pPr>
      <w:r w:rsidRPr="007F0D78">
        <w:rPr>
          <w:rFonts w:ascii="Palatino Linotype" w:hAnsi="Palatino Linotype"/>
          <w:b/>
        </w:rPr>
        <w:t>Q: Can an applicant submit proposals to address multiple groups?</w:t>
      </w:r>
    </w:p>
    <w:p w:rsidR="00492488" w:rsidRPr="007F0D78"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7F0D78">
        <w:rPr>
          <w:rFonts w:ascii="Palatino Linotype" w:hAnsi="Palatino Linotype"/>
          <w:sz w:val="22"/>
          <w:szCs w:val="22"/>
        </w:rPr>
        <w:t>A: Applicants may submit applications for multiple groups</w:t>
      </w:r>
      <w:r w:rsidR="007F3A72">
        <w:rPr>
          <w:rFonts w:ascii="Palatino Linotype" w:hAnsi="Palatino Linotype"/>
          <w:sz w:val="22"/>
          <w:szCs w:val="22"/>
        </w:rPr>
        <w:t>, though each application must be for a distinct project</w:t>
      </w:r>
      <w:r w:rsidRPr="007F0D78">
        <w:rPr>
          <w:rFonts w:ascii="Palatino Linotype" w:hAnsi="Palatino Linotype"/>
          <w:sz w:val="22"/>
          <w:szCs w:val="22"/>
        </w:rPr>
        <w:t>.</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If an applicant is dealing with the county level, is there a possibility to submit two separate applications one in an applicant’s disadvantaged community and another in an applicant’s non-disadvantaged community or are </w:t>
      </w:r>
      <w:r w:rsidR="00052D9F">
        <w:rPr>
          <w:rFonts w:ascii="Palatino Linotype" w:hAnsi="Palatino Linotype"/>
          <w:b/>
        </w:rPr>
        <w:t>applicants</w:t>
      </w:r>
      <w:r w:rsidRPr="00CA6636">
        <w:rPr>
          <w:rFonts w:ascii="Palatino Linotype" w:hAnsi="Palatino Linotype"/>
          <w:b/>
        </w:rPr>
        <w:t xml:space="preserve"> only limited to one group type?</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Applicants are allowed to submit multiple proposals</w:t>
      </w:r>
      <w:r w:rsidR="00DF55FB">
        <w:rPr>
          <w:rFonts w:ascii="Palatino Linotype" w:hAnsi="Palatino Linotype"/>
          <w:sz w:val="22"/>
          <w:szCs w:val="22"/>
        </w:rPr>
        <w:t xml:space="preserve"> as long as each proposal is for a</w:t>
      </w:r>
      <w:r>
        <w:rPr>
          <w:rFonts w:ascii="Palatino Linotype" w:hAnsi="Palatino Linotype"/>
          <w:sz w:val="22"/>
          <w:szCs w:val="22"/>
        </w:rPr>
        <w:t xml:space="preserve"> distinct project. </w:t>
      </w:r>
    </w:p>
    <w:p w:rsidR="00936627" w:rsidRDefault="00936627" w:rsidP="00492488">
      <w:pPr>
        <w:ind w:left="360"/>
        <w:rPr>
          <w:rFonts w:ascii="Palatino Linotype" w:hAnsi="Palatino Linotype"/>
          <w:sz w:val="22"/>
          <w:szCs w:val="22"/>
        </w:rPr>
      </w:pPr>
    </w:p>
    <w:p w:rsidR="00936627" w:rsidRPr="00CA6636" w:rsidRDefault="00936627" w:rsidP="00936627">
      <w:pPr>
        <w:pStyle w:val="ListParagraph"/>
        <w:numPr>
          <w:ilvl w:val="0"/>
          <w:numId w:val="4"/>
        </w:numPr>
        <w:ind w:left="360"/>
        <w:rPr>
          <w:rFonts w:ascii="Palatino Linotype" w:hAnsi="Palatino Linotype"/>
          <w:b/>
        </w:rPr>
      </w:pPr>
      <w:r w:rsidRPr="00CA6636">
        <w:rPr>
          <w:rFonts w:ascii="Palatino Linotype" w:hAnsi="Palatino Linotype"/>
          <w:b/>
        </w:rPr>
        <w:t>Q: Are there advantages to including disabled veteran business enterprises (DVBE), small businesses, or non-profits on the project team?</w:t>
      </w:r>
    </w:p>
    <w:p w:rsidR="00936627" w:rsidRPr="00CB4085" w:rsidRDefault="00936627" w:rsidP="00936627">
      <w:pPr>
        <w:ind w:left="360"/>
        <w:rPr>
          <w:rFonts w:ascii="Palatino Linotype" w:hAnsi="Palatino Linotype"/>
          <w:sz w:val="22"/>
          <w:szCs w:val="22"/>
        </w:rPr>
      </w:pPr>
    </w:p>
    <w:p w:rsidR="00936627" w:rsidRDefault="00936627" w:rsidP="00936627">
      <w:pPr>
        <w:ind w:left="360"/>
        <w:rPr>
          <w:rFonts w:ascii="Palatino Linotype" w:hAnsi="Palatino Linotype"/>
          <w:sz w:val="22"/>
          <w:szCs w:val="22"/>
        </w:rPr>
      </w:pPr>
      <w:r w:rsidRPr="00CB4085">
        <w:rPr>
          <w:rFonts w:ascii="Palatino Linotype" w:hAnsi="Palatino Linotype"/>
          <w:sz w:val="22"/>
          <w:szCs w:val="22"/>
        </w:rPr>
        <w:t xml:space="preserve">A: </w:t>
      </w:r>
      <w:r w:rsidR="004C38AB">
        <w:rPr>
          <w:rFonts w:ascii="Palatino Linotype" w:hAnsi="Palatino Linotype"/>
          <w:sz w:val="22"/>
          <w:szCs w:val="22"/>
        </w:rPr>
        <w:t>In grant awards, t</w:t>
      </w:r>
      <w:r w:rsidR="004C38AB" w:rsidRPr="00CB4085">
        <w:rPr>
          <w:rFonts w:ascii="Palatino Linotype" w:hAnsi="Palatino Linotype"/>
          <w:sz w:val="22"/>
          <w:szCs w:val="22"/>
        </w:rPr>
        <w:t xml:space="preserve">here </w:t>
      </w:r>
      <w:r w:rsidRPr="00CB4085">
        <w:rPr>
          <w:rFonts w:ascii="Palatino Linotype" w:hAnsi="Palatino Linotype"/>
          <w:sz w:val="22"/>
          <w:szCs w:val="22"/>
        </w:rPr>
        <w:t xml:space="preserve">is no point value </w:t>
      </w:r>
      <w:r>
        <w:rPr>
          <w:rFonts w:ascii="Palatino Linotype" w:hAnsi="Palatino Linotype"/>
          <w:sz w:val="22"/>
          <w:szCs w:val="22"/>
        </w:rPr>
        <w:t>associated with the inclusion of these types of businesses. However, the Energy Commission does</w:t>
      </w:r>
      <w:r w:rsidRPr="00CB4085">
        <w:rPr>
          <w:rFonts w:ascii="Palatino Linotype" w:hAnsi="Palatino Linotype"/>
          <w:sz w:val="22"/>
          <w:szCs w:val="22"/>
        </w:rPr>
        <w:t xml:space="preserve"> encourage having a diverse set of participants, including DVBEs and minority owned businesses.</w:t>
      </w:r>
    </w:p>
    <w:p w:rsidR="00936627" w:rsidRDefault="00936627" w:rsidP="00936627">
      <w:pPr>
        <w:ind w:left="360"/>
        <w:rPr>
          <w:rFonts w:ascii="Palatino Linotype" w:hAnsi="Palatino Linotype"/>
          <w:sz w:val="22"/>
          <w:szCs w:val="22"/>
        </w:rPr>
      </w:pPr>
    </w:p>
    <w:p w:rsidR="00936627" w:rsidRPr="00CA6636" w:rsidRDefault="00936627" w:rsidP="00936627">
      <w:pPr>
        <w:pStyle w:val="ListParagraph"/>
        <w:numPr>
          <w:ilvl w:val="0"/>
          <w:numId w:val="4"/>
        </w:numPr>
        <w:ind w:left="360"/>
        <w:rPr>
          <w:rFonts w:ascii="Palatino Linotype" w:eastAsia="Times New Roman" w:hAnsi="Palatino Linotype"/>
          <w:b/>
          <w:color w:val="000000"/>
        </w:rPr>
      </w:pPr>
      <w:r w:rsidRPr="00CA6636">
        <w:rPr>
          <w:rFonts w:ascii="Palatino Linotype" w:eastAsia="Times New Roman" w:hAnsi="Palatino Linotype"/>
          <w:b/>
          <w:color w:val="000000"/>
        </w:rPr>
        <w:t xml:space="preserve">Q: Can </w:t>
      </w:r>
      <w:r w:rsidR="00052D9F">
        <w:rPr>
          <w:rFonts w:ascii="Palatino Linotype" w:eastAsia="Times New Roman" w:hAnsi="Palatino Linotype"/>
          <w:b/>
          <w:color w:val="000000"/>
        </w:rPr>
        <w:t>the Energy Commission</w:t>
      </w:r>
      <w:r w:rsidRPr="00CA6636">
        <w:rPr>
          <w:rFonts w:ascii="Palatino Linotype" w:eastAsia="Times New Roman" w:hAnsi="Palatino Linotype"/>
          <w:b/>
          <w:color w:val="000000"/>
        </w:rPr>
        <w:t xml:space="preserve"> clarify that the term Principal Investigator includes more than just scientists and engineers?</w:t>
      </w:r>
    </w:p>
    <w:p w:rsidR="00936627" w:rsidRPr="00CB4085" w:rsidRDefault="00936627" w:rsidP="00936627">
      <w:pPr>
        <w:ind w:left="360"/>
        <w:rPr>
          <w:rFonts w:ascii="Palatino Linotype" w:eastAsia="Times New Roman" w:hAnsi="Palatino Linotype"/>
          <w:color w:val="000000"/>
          <w:sz w:val="22"/>
          <w:szCs w:val="22"/>
        </w:rPr>
      </w:pPr>
    </w:p>
    <w:p w:rsidR="00936627" w:rsidRDefault="00936627" w:rsidP="00936627">
      <w:pPr>
        <w:ind w:left="360"/>
        <w:rPr>
          <w:rFonts w:ascii="Palatino Linotype" w:eastAsia="Times New Roman" w:hAnsi="Palatino Linotype"/>
          <w:color w:val="000000"/>
          <w:sz w:val="22"/>
          <w:szCs w:val="22"/>
        </w:rPr>
      </w:pPr>
      <w:r w:rsidRPr="003D456E">
        <w:rPr>
          <w:rFonts w:ascii="Palatino Linotype" w:eastAsia="Times New Roman" w:hAnsi="Palatino Linotype"/>
          <w:color w:val="000000"/>
          <w:sz w:val="22"/>
          <w:szCs w:val="22"/>
        </w:rPr>
        <w:t xml:space="preserve">A: The solicitation will be amended with a </w:t>
      </w:r>
      <w:r w:rsidR="0031337E">
        <w:rPr>
          <w:rFonts w:ascii="Palatino Linotype" w:eastAsia="Times New Roman" w:hAnsi="Palatino Linotype"/>
          <w:color w:val="000000"/>
          <w:sz w:val="22"/>
          <w:szCs w:val="22"/>
        </w:rPr>
        <w:t>broader</w:t>
      </w:r>
      <w:r w:rsidR="0031337E" w:rsidRPr="003D456E">
        <w:rPr>
          <w:rFonts w:ascii="Palatino Linotype" w:eastAsia="Times New Roman" w:hAnsi="Palatino Linotype"/>
          <w:color w:val="000000"/>
          <w:sz w:val="22"/>
          <w:szCs w:val="22"/>
        </w:rPr>
        <w:t xml:space="preserve"> </w:t>
      </w:r>
      <w:r w:rsidRPr="003D456E">
        <w:rPr>
          <w:rFonts w:ascii="Palatino Linotype" w:eastAsia="Times New Roman" w:hAnsi="Palatino Linotype"/>
          <w:color w:val="000000"/>
          <w:sz w:val="22"/>
          <w:szCs w:val="22"/>
        </w:rPr>
        <w:t xml:space="preserve">definition of Principal Investigator. The new definition will read: </w:t>
      </w:r>
    </w:p>
    <w:p w:rsidR="00936627" w:rsidRDefault="00936627" w:rsidP="00936627">
      <w:pPr>
        <w:rPr>
          <w:rFonts w:ascii="Palatino Linotype" w:eastAsia="Times New Roman" w:hAnsi="Palatino Linotype"/>
          <w:color w:val="000000"/>
          <w:sz w:val="22"/>
          <w:szCs w:val="22"/>
        </w:rPr>
      </w:pPr>
    </w:p>
    <w:p w:rsidR="00936627" w:rsidRPr="003D456E" w:rsidRDefault="00936627" w:rsidP="00936627">
      <w:pPr>
        <w:ind w:left="360"/>
        <w:rPr>
          <w:rFonts w:ascii="Palatino Linotype" w:eastAsia="Times New Roman" w:hAnsi="Palatino Linotype"/>
          <w:color w:val="000000"/>
          <w:sz w:val="22"/>
          <w:szCs w:val="22"/>
        </w:rPr>
      </w:pPr>
      <w:r w:rsidRPr="003D456E">
        <w:rPr>
          <w:rFonts w:ascii="Palatino Linotype" w:eastAsia="Times New Roman" w:hAnsi="Palatino Linotype"/>
          <w:color w:val="000000"/>
          <w:sz w:val="22"/>
          <w:szCs w:val="22"/>
        </w:rPr>
        <w:t>The lead technical expert for the applicant’s project</w:t>
      </w:r>
      <w:r w:rsidRPr="003D456E">
        <w:rPr>
          <w:rFonts w:ascii="Palatino Linotype" w:hAnsi="Palatino Linotype" w:cs="Arial"/>
          <w:sz w:val="22"/>
        </w:rPr>
        <w:t xml:space="preserve">, who is responsible for overseeing the project; in some instances, the Principal Investigator and Project Manager may be the same person.  </w:t>
      </w:r>
    </w:p>
    <w:p w:rsidR="00936627" w:rsidRDefault="00936627" w:rsidP="00492488">
      <w:pPr>
        <w:ind w:left="360"/>
        <w:rPr>
          <w:rFonts w:ascii="Palatino Linotype" w:hAnsi="Palatino Linotype"/>
          <w:sz w:val="22"/>
          <w:szCs w:val="22"/>
        </w:rPr>
      </w:pPr>
    </w:p>
    <w:p w:rsidR="00936627" w:rsidRPr="007F0D78" w:rsidRDefault="00936627" w:rsidP="00936627">
      <w:pPr>
        <w:pStyle w:val="ListParagraph"/>
        <w:numPr>
          <w:ilvl w:val="0"/>
          <w:numId w:val="4"/>
        </w:numPr>
        <w:ind w:left="360"/>
        <w:rPr>
          <w:rFonts w:ascii="Palatino Linotype" w:hAnsi="Palatino Linotype"/>
          <w:b/>
        </w:rPr>
      </w:pPr>
      <w:r w:rsidRPr="007F0D78">
        <w:rPr>
          <w:rFonts w:ascii="Palatino Linotype" w:hAnsi="Palatino Linotype"/>
          <w:b/>
        </w:rPr>
        <w:t xml:space="preserve">Q: Will an attorney qualify as a principal investigator under </w:t>
      </w:r>
      <w:r w:rsidR="00052D9F">
        <w:rPr>
          <w:rFonts w:ascii="Palatino Linotype" w:hAnsi="Palatino Linotype"/>
          <w:b/>
        </w:rPr>
        <w:t>the solicitation’s</w:t>
      </w:r>
      <w:r w:rsidRPr="007F0D78">
        <w:rPr>
          <w:rFonts w:ascii="Palatino Linotype" w:hAnsi="Palatino Linotype"/>
          <w:b/>
        </w:rPr>
        <w:t xml:space="preserve"> revised definition?</w:t>
      </w:r>
    </w:p>
    <w:p w:rsidR="00936627" w:rsidRPr="007F0D78" w:rsidRDefault="00936627" w:rsidP="00936627">
      <w:pPr>
        <w:ind w:left="360"/>
        <w:rPr>
          <w:rFonts w:ascii="Palatino Linotype" w:hAnsi="Palatino Linotype"/>
          <w:sz w:val="22"/>
          <w:szCs w:val="22"/>
        </w:rPr>
      </w:pPr>
    </w:p>
    <w:p w:rsidR="00936627" w:rsidRDefault="00936627" w:rsidP="00936627">
      <w:pPr>
        <w:ind w:left="360"/>
        <w:rPr>
          <w:rFonts w:ascii="Palatino Linotype" w:hAnsi="Palatino Linotype"/>
          <w:sz w:val="22"/>
          <w:szCs w:val="22"/>
        </w:rPr>
      </w:pPr>
      <w:r w:rsidRPr="007F0D78">
        <w:rPr>
          <w:rFonts w:ascii="Palatino Linotype" w:hAnsi="Palatino Linotype"/>
          <w:sz w:val="22"/>
          <w:szCs w:val="22"/>
        </w:rPr>
        <w:t xml:space="preserve">A: </w:t>
      </w:r>
      <w:r w:rsidR="00083686">
        <w:rPr>
          <w:rFonts w:ascii="Palatino Linotype" w:hAnsi="Palatino Linotype"/>
          <w:sz w:val="22"/>
          <w:szCs w:val="22"/>
        </w:rPr>
        <w:t>Yes, p</w:t>
      </w:r>
      <w:r w:rsidR="00003F29">
        <w:rPr>
          <w:rFonts w:ascii="Palatino Linotype" w:hAnsi="Palatino Linotype"/>
          <w:sz w:val="22"/>
          <w:szCs w:val="22"/>
        </w:rPr>
        <w:t xml:space="preserve">lease see answer to Question </w:t>
      </w:r>
      <w:r w:rsidR="004C4F68">
        <w:rPr>
          <w:rFonts w:ascii="Palatino Linotype" w:hAnsi="Palatino Linotype"/>
          <w:sz w:val="22"/>
          <w:szCs w:val="22"/>
        </w:rPr>
        <w:t>51</w:t>
      </w:r>
      <w:r w:rsidRPr="007F0D78">
        <w:rPr>
          <w:rFonts w:ascii="Palatino Linotype" w:hAnsi="Palatino Linotype"/>
          <w:sz w:val="22"/>
          <w:szCs w:val="22"/>
        </w:rPr>
        <w:t>.</w:t>
      </w:r>
      <w:r>
        <w:rPr>
          <w:rFonts w:ascii="Palatino Linotype" w:hAnsi="Palatino Linotype"/>
          <w:sz w:val="22"/>
          <w:szCs w:val="22"/>
        </w:rPr>
        <w:t xml:space="preserve"> </w:t>
      </w:r>
    </w:p>
    <w:p w:rsidR="00936627" w:rsidRDefault="00936627" w:rsidP="00936627">
      <w:pPr>
        <w:ind w:left="360"/>
        <w:rPr>
          <w:rFonts w:ascii="Palatino Linotype" w:hAnsi="Palatino Linotype"/>
          <w:sz w:val="22"/>
          <w:szCs w:val="22"/>
        </w:rPr>
      </w:pPr>
    </w:p>
    <w:p w:rsidR="00936627" w:rsidRPr="00CA6636" w:rsidRDefault="00936627" w:rsidP="00936627">
      <w:pPr>
        <w:pStyle w:val="PlainText"/>
        <w:numPr>
          <w:ilvl w:val="0"/>
          <w:numId w:val="4"/>
        </w:numPr>
        <w:ind w:left="360"/>
        <w:rPr>
          <w:rFonts w:ascii="Palatino Linotype" w:hAnsi="Palatino Linotype"/>
          <w:b/>
          <w:szCs w:val="22"/>
        </w:rPr>
      </w:pPr>
      <w:r w:rsidRPr="00CA6636">
        <w:rPr>
          <w:rFonts w:ascii="Palatino Linotype" w:hAnsi="Palatino Linotype"/>
          <w:b/>
          <w:szCs w:val="22"/>
        </w:rPr>
        <w:lastRenderedPageBreak/>
        <w:t>Q: As it relates to the desire for project teams that can advance a cooperative model using peer cohort trainings, can</w:t>
      </w:r>
      <w:r w:rsidR="00052D9F">
        <w:rPr>
          <w:rFonts w:ascii="Palatino Linotype" w:hAnsi="Palatino Linotype"/>
          <w:b/>
          <w:szCs w:val="22"/>
        </w:rPr>
        <w:t xml:space="preserve"> the Energy Commission</w:t>
      </w:r>
      <w:r w:rsidRPr="00CA6636">
        <w:rPr>
          <w:rFonts w:ascii="Palatino Linotype" w:hAnsi="Palatino Linotype"/>
          <w:b/>
          <w:szCs w:val="22"/>
        </w:rPr>
        <w:t xml:space="preserve"> provide us the best and recommended avenues for an applicant to join and/or assemble multiple-partner applications into one that can better meet the grant criteria and purpose of the opportunity?</w:t>
      </w:r>
    </w:p>
    <w:p w:rsidR="00936627" w:rsidRDefault="00936627" w:rsidP="00936627">
      <w:pPr>
        <w:pStyle w:val="PlainText"/>
        <w:ind w:left="360"/>
        <w:rPr>
          <w:rFonts w:ascii="Palatino Linotype" w:hAnsi="Palatino Linotype"/>
          <w:szCs w:val="22"/>
        </w:rPr>
      </w:pPr>
    </w:p>
    <w:p w:rsidR="00936627" w:rsidRDefault="00936627" w:rsidP="00936627">
      <w:pPr>
        <w:pStyle w:val="PlainText"/>
        <w:ind w:left="360"/>
        <w:rPr>
          <w:rFonts w:ascii="Palatino Linotype" w:hAnsi="Palatino Linotype"/>
          <w:szCs w:val="22"/>
        </w:rPr>
      </w:pPr>
      <w:r w:rsidRPr="00CB4085">
        <w:rPr>
          <w:rFonts w:ascii="Palatino Linotype" w:hAnsi="Palatino Linotype"/>
          <w:szCs w:val="22"/>
        </w:rPr>
        <w:t>A:</w:t>
      </w:r>
      <w:r w:rsidR="005D3750">
        <w:rPr>
          <w:rFonts w:ascii="Palatino Linotype" w:hAnsi="Palatino Linotype"/>
          <w:szCs w:val="22"/>
        </w:rPr>
        <w:t xml:space="preserve"> The Energy Commission cannot provide specific guidance or advice on how to gather a team or prepare a proposal outside of its publicly released documents. The Energy Commission has provided several resources for applicants to find other parties that may be interested in forming project teams.</w:t>
      </w:r>
      <w:r w:rsidRPr="00CB4085">
        <w:rPr>
          <w:rFonts w:ascii="Palatino Linotype" w:hAnsi="Palatino Linotype"/>
          <w:szCs w:val="22"/>
        </w:rPr>
        <w:t xml:space="preserve"> The list of participants that attended the pre-application workshop can be found here:</w:t>
      </w:r>
      <w:r w:rsidR="00E518E1">
        <w:rPr>
          <w:rFonts w:ascii="Palatino Linotype" w:hAnsi="Palatino Linotype"/>
          <w:szCs w:val="22"/>
        </w:rPr>
        <w:t xml:space="preserve"> </w:t>
      </w:r>
      <w:hyperlink r:id="rId11" w:anchor="GFO-15-312" w:history="1">
        <w:r w:rsidR="00E518E1" w:rsidRPr="00647EB0">
          <w:rPr>
            <w:rStyle w:val="Hyperlink"/>
            <w:rFonts w:ascii="Palatino Linotype" w:hAnsi="Palatino Linotype"/>
            <w:szCs w:val="22"/>
          </w:rPr>
          <w:t>http://www.energy.ca.gov/contracts/epic.html#GFO-15-312</w:t>
        </w:r>
      </w:hyperlink>
      <w:r w:rsidRPr="00CB4085">
        <w:rPr>
          <w:rFonts w:ascii="Palatino Linotype" w:hAnsi="Palatino Linotype"/>
          <w:szCs w:val="22"/>
        </w:rPr>
        <w:t xml:space="preserve">. Additionally, the Energy Commission has created a networking group on LinkedIn specifically for this solicitation, which can be found here: </w:t>
      </w:r>
      <w:hyperlink r:id="rId12" w:history="1">
        <w:r w:rsidRPr="00CB4085">
          <w:rPr>
            <w:rStyle w:val="Hyperlink"/>
            <w:rFonts w:ascii="Palatino Linotype" w:hAnsi="Palatino Linotype"/>
            <w:szCs w:val="22"/>
          </w:rPr>
          <w:t>https://www.linkedin.com/groups/7021976/profile</w:t>
        </w:r>
      </w:hyperlink>
      <w:r w:rsidRPr="00CB4085">
        <w:rPr>
          <w:rFonts w:ascii="Palatino Linotype" w:hAnsi="Palatino Linotype"/>
          <w:szCs w:val="22"/>
        </w:rPr>
        <w:t xml:space="preserve"> </w:t>
      </w:r>
    </w:p>
    <w:p w:rsidR="002A5129" w:rsidRDefault="002A5129" w:rsidP="00936627">
      <w:pPr>
        <w:pStyle w:val="PlainText"/>
        <w:ind w:left="360"/>
        <w:rPr>
          <w:rFonts w:ascii="Palatino Linotype" w:hAnsi="Palatino Linotype"/>
          <w:szCs w:val="22"/>
        </w:rPr>
      </w:pPr>
    </w:p>
    <w:p w:rsidR="002A5129" w:rsidRDefault="002A5129" w:rsidP="002A5129">
      <w:pPr>
        <w:pStyle w:val="ListParagraph"/>
        <w:numPr>
          <w:ilvl w:val="0"/>
          <w:numId w:val="4"/>
        </w:numPr>
        <w:ind w:left="360"/>
        <w:rPr>
          <w:rFonts w:ascii="Palatino Linotype" w:hAnsi="Palatino Linotype"/>
          <w:b/>
        </w:rPr>
      </w:pPr>
      <w:r>
        <w:rPr>
          <w:rFonts w:ascii="Palatino Linotype" w:hAnsi="Palatino Linotype"/>
          <w:b/>
        </w:rPr>
        <w:t>Q:</w:t>
      </w:r>
      <w:r w:rsidRPr="00CA6636">
        <w:rPr>
          <w:rFonts w:ascii="Palatino Linotype" w:hAnsi="Palatino Linotype"/>
          <w:b/>
        </w:rPr>
        <w:t xml:space="preserve"> Can the proposal teams be from the private or public sector? </w:t>
      </w:r>
    </w:p>
    <w:p w:rsidR="002A5129" w:rsidRDefault="002A5129" w:rsidP="002A5129">
      <w:pPr>
        <w:rPr>
          <w:rFonts w:ascii="Palatino Linotype" w:hAnsi="Palatino Linotype"/>
          <w:b/>
        </w:rPr>
      </w:pPr>
    </w:p>
    <w:p w:rsidR="002A5129" w:rsidRPr="00CB4085" w:rsidRDefault="002A5129" w:rsidP="002A5129">
      <w:pPr>
        <w:ind w:left="360"/>
        <w:rPr>
          <w:rFonts w:ascii="Palatino Linotype" w:hAnsi="Palatino Linotype"/>
          <w:sz w:val="22"/>
          <w:szCs w:val="22"/>
        </w:rPr>
      </w:pPr>
      <w:r>
        <w:rPr>
          <w:rFonts w:ascii="Palatino Linotype" w:hAnsi="Palatino Linotype"/>
          <w:sz w:val="22"/>
          <w:szCs w:val="22"/>
        </w:rPr>
        <w:t>A: This solicitation is open to all public and private entities except for Publicly Owned Utilities.</w:t>
      </w:r>
    </w:p>
    <w:p w:rsidR="00492488" w:rsidRPr="00936627" w:rsidRDefault="00492488" w:rsidP="00936627">
      <w:pPr>
        <w:pStyle w:val="Heading1"/>
        <w:rPr>
          <w:rFonts w:ascii="Palatino Linotype" w:hAnsi="Palatino Linotype"/>
          <w:szCs w:val="22"/>
        </w:rPr>
      </w:pPr>
      <w:bookmarkStart w:id="9" w:name="_Toc438652255"/>
      <w:r w:rsidRPr="00936627">
        <w:rPr>
          <w:rFonts w:ascii="Palatino Linotype" w:hAnsi="Palatino Linotype"/>
          <w:szCs w:val="22"/>
        </w:rPr>
        <w:t>Objectives and Intent of Solicitation</w:t>
      </w:r>
      <w:bookmarkEnd w:id="9"/>
    </w:p>
    <w:p w:rsidR="00936627" w:rsidRPr="00936627" w:rsidRDefault="00936627" w:rsidP="00936627"/>
    <w:p w:rsidR="00E04030" w:rsidRPr="00834270" w:rsidRDefault="00E04030" w:rsidP="00E04030">
      <w:pPr>
        <w:pStyle w:val="ListParagraph"/>
        <w:numPr>
          <w:ilvl w:val="0"/>
          <w:numId w:val="4"/>
        </w:numPr>
        <w:ind w:left="360"/>
        <w:rPr>
          <w:rFonts w:ascii="Palatino Linotype" w:hAnsi="Palatino Linotype"/>
          <w:b/>
        </w:rPr>
      </w:pPr>
      <w:r w:rsidRPr="00834270">
        <w:rPr>
          <w:rFonts w:ascii="Palatino Linotype" w:hAnsi="Palatino Linotype"/>
          <w:b/>
        </w:rPr>
        <w:t>Q: The solicitation talks about the need for infrastructure, transmission and distribution upgrades, and other issues. To what degree is the Energy Commission expecting to see partners in these aspects? Is the Energy Commission expecting to see electrical engineers and others who are able to provide that level of expertise in the design and plan of the project? What level of detail is the Energy Commission expecting to see in the plan?</w:t>
      </w:r>
    </w:p>
    <w:p w:rsidR="00E04030" w:rsidRPr="00E04030" w:rsidRDefault="00E04030" w:rsidP="00E04030">
      <w:pPr>
        <w:ind w:left="360"/>
        <w:rPr>
          <w:rFonts w:ascii="Palatino Linotype" w:hAnsi="Palatino Linotype"/>
        </w:rPr>
      </w:pPr>
    </w:p>
    <w:p w:rsidR="00FB2AFB" w:rsidRDefault="00E04030" w:rsidP="00FB2AFB">
      <w:pPr>
        <w:ind w:left="360"/>
        <w:rPr>
          <w:rFonts w:ascii="Palatino Linotype" w:hAnsi="Palatino Linotype"/>
          <w:sz w:val="22"/>
          <w:szCs w:val="22"/>
        </w:rPr>
      </w:pPr>
      <w:r>
        <w:rPr>
          <w:rFonts w:ascii="Palatino Linotype" w:hAnsi="Palatino Linotype"/>
          <w:sz w:val="22"/>
          <w:szCs w:val="22"/>
        </w:rPr>
        <w:t xml:space="preserve">A: </w:t>
      </w:r>
      <w:r w:rsidR="00FB2AFB">
        <w:rPr>
          <w:rFonts w:ascii="Palatino Linotype" w:hAnsi="Palatino Linotype"/>
          <w:sz w:val="22"/>
          <w:szCs w:val="22"/>
        </w:rPr>
        <w:t xml:space="preserve">Applicants should propose a project team able to address all issues related to the development of Advanced Energy Communities. Project teams that do not include all the expertise necessary to address the issues associated with the development of an Advanced Energy Community, up to and including everything necessary to be shovel ready, should describe their plan to secure additional expertise during the course of the project. </w:t>
      </w:r>
    </w:p>
    <w:p w:rsidR="00FB2AFB" w:rsidRDefault="00FB2AFB" w:rsidP="00FB2AFB">
      <w:pPr>
        <w:ind w:left="360"/>
        <w:rPr>
          <w:rFonts w:ascii="Palatino Linotype" w:hAnsi="Palatino Linotype"/>
          <w:b/>
        </w:rPr>
      </w:pPr>
    </w:p>
    <w:p w:rsidR="002A5129" w:rsidRPr="00834270" w:rsidRDefault="002A5129" w:rsidP="00FB2AFB">
      <w:pPr>
        <w:pStyle w:val="ListParagraph"/>
        <w:numPr>
          <w:ilvl w:val="0"/>
          <w:numId w:val="4"/>
        </w:numPr>
        <w:ind w:left="360"/>
        <w:rPr>
          <w:rFonts w:ascii="Palatino Linotype" w:hAnsi="Palatino Linotype"/>
          <w:b/>
        </w:rPr>
      </w:pPr>
      <w:r w:rsidRPr="00834270">
        <w:rPr>
          <w:rFonts w:ascii="Palatino Linotype" w:hAnsi="Palatino Linotype"/>
          <w:b/>
        </w:rPr>
        <w:t>Q: There’s a big disparity between the expertise required for planning, permitting and financing versus expertise in interconnection and other related topics. There’s also a different level of thinking between CAISO level topics and local planning and permitting.  Can the Energy Commission provide some clarity on what is expected in the proposal along these lines?</w:t>
      </w:r>
    </w:p>
    <w:p w:rsidR="002A5129" w:rsidRPr="00834270" w:rsidRDefault="002A5129" w:rsidP="002A5129">
      <w:pPr>
        <w:ind w:left="360"/>
        <w:rPr>
          <w:rFonts w:ascii="Palatino Linotype" w:hAnsi="Palatino Linotype"/>
          <w:sz w:val="22"/>
          <w:szCs w:val="22"/>
        </w:rPr>
      </w:pPr>
    </w:p>
    <w:p w:rsidR="002A5129" w:rsidRDefault="002A5129" w:rsidP="002A5129">
      <w:pPr>
        <w:ind w:left="360"/>
        <w:rPr>
          <w:rFonts w:ascii="Palatino Linotype" w:hAnsi="Palatino Linotype"/>
          <w:sz w:val="22"/>
          <w:szCs w:val="22"/>
        </w:rPr>
      </w:pPr>
      <w:r w:rsidRPr="00834270">
        <w:rPr>
          <w:rFonts w:ascii="Palatino Linotype" w:hAnsi="Palatino Linotype"/>
          <w:sz w:val="22"/>
          <w:szCs w:val="22"/>
        </w:rPr>
        <w:t xml:space="preserve">A: </w:t>
      </w:r>
      <w:r w:rsidR="00E04030">
        <w:rPr>
          <w:rFonts w:ascii="Palatino Linotype" w:hAnsi="Palatino Linotype"/>
          <w:sz w:val="22"/>
          <w:szCs w:val="22"/>
        </w:rPr>
        <w:t xml:space="preserve">See response to Question 55. </w:t>
      </w:r>
    </w:p>
    <w:p w:rsidR="002A5129" w:rsidRDefault="002A5129" w:rsidP="002A5129">
      <w:pPr>
        <w:ind w:left="360"/>
        <w:rPr>
          <w:rFonts w:ascii="Palatino Linotype" w:hAnsi="Palatino Linotype"/>
          <w:sz w:val="22"/>
          <w:szCs w:val="22"/>
        </w:rPr>
      </w:pPr>
    </w:p>
    <w:p w:rsidR="0009142A" w:rsidRDefault="00936627" w:rsidP="00936627">
      <w:pPr>
        <w:pStyle w:val="ListParagraph"/>
        <w:numPr>
          <w:ilvl w:val="0"/>
          <w:numId w:val="4"/>
        </w:numPr>
        <w:ind w:left="360"/>
        <w:rPr>
          <w:rFonts w:ascii="Palatino Linotype" w:hAnsi="Palatino Linotype"/>
          <w:b/>
        </w:rPr>
      </w:pPr>
      <w:r w:rsidRPr="00CA6636">
        <w:rPr>
          <w:rFonts w:ascii="Palatino Linotype" w:hAnsi="Palatino Linotype"/>
          <w:b/>
        </w:rPr>
        <w:lastRenderedPageBreak/>
        <w:t>Q: Are projects restricted to private land that have been retrofitted for commercial development?</w:t>
      </w:r>
    </w:p>
    <w:p w:rsidR="0009142A" w:rsidRDefault="0009142A" w:rsidP="0009142A">
      <w:pPr>
        <w:rPr>
          <w:rFonts w:ascii="Palatino Linotype" w:hAnsi="Palatino Linotype"/>
          <w:b/>
        </w:rPr>
      </w:pPr>
    </w:p>
    <w:p w:rsidR="0009142A" w:rsidRDefault="0009142A" w:rsidP="0009142A">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There are no restrictions on the ownership of land in the proposed project area. Projects can be either private or public land that is able to be developed on. </w:t>
      </w:r>
    </w:p>
    <w:p w:rsidR="00936627" w:rsidRDefault="00936627" w:rsidP="00936627">
      <w:pPr>
        <w:ind w:left="360"/>
        <w:rPr>
          <w:rFonts w:ascii="Palatino Linotype" w:hAnsi="Palatino Linotype"/>
          <w:sz w:val="22"/>
          <w:szCs w:val="22"/>
        </w:rPr>
      </w:pPr>
    </w:p>
    <w:p w:rsidR="00936627" w:rsidRPr="00CA6636" w:rsidRDefault="00936627" w:rsidP="00936627">
      <w:pPr>
        <w:pStyle w:val="ListParagraph"/>
        <w:numPr>
          <w:ilvl w:val="0"/>
          <w:numId w:val="4"/>
        </w:numPr>
        <w:ind w:left="360"/>
        <w:rPr>
          <w:rFonts w:ascii="Palatino Linotype" w:hAnsi="Palatino Linotype"/>
          <w:b/>
        </w:rPr>
      </w:pPr>
      <w:r w:rsidRPr="00CA6636">
        <w:rPr>
          <w:rFonts w:ascii="Palatino Linotype" w:hAnsi="Palatino Linotype"/>
          <w:b/>
        </w:rPr>
        <w:t xml:space="preserve">Q: Can </w:t>
      </w:r>
      <w:r w:rsidR="0009142A">
        <w:rPr>
          <w:rFonts w:ascii="Palatino Linotype" w:hAnsi="Palatino Linotype"/>
          <w:b/>
        </w:rPr>
        <w:t>the Energy Commission</w:t>
      </w:r>
      <w:r w:rsidRPr="00CA6636">
        <w:rPr>
          <w:rFonts w:ascii="Palatino Linotype" w:hAnsi="Palatino Linotype"/>
          <w:b/>
        </w:rPr>
        <w:t xml:space="preserve"> clarify what constraints are on the project size in terms of megawatts of generation, and IOU service areas only? </w:t>
      </w:r>
      <w:r w:rsidR="0009142A">
        <w:rPr>
          <w:rFonts w:ascii="Palatino Linotype" w:hAnsi="Palatino Linotype"/>
          <w:b/>
        </w:rPr>
        <w:t>Is the Energy Commission</w:t>
      </w:r>
      <w:r w:rsidRPr="00CA6636">
        <w:rPr>
          <w:rFonts w:ascii="Palatino Linotype" w:hAnsi="Palatino Linotype"/>
          <w:b/>
        </w:rPr>
        <w:t xml:space="preserve"> excluding municipal public utility service areas and electric IOUs service areas?</w:t>
      </w:r>
    </w:p>
    <w:p w:rsidR="00936627" w:rsidRPr="00CB4085" w:rsidRDefault="00936627" w:rsidP="00936627">
      <w:pPr>
        <w:rPr>
          <w:rFonts w:ascii="Palatino Linotype" w:hAnsi="Palatino Linotype"/>
          <w:sz w:val="22"/>
          <w:szCs w:val="22"/>
        </w:rPr>
      </w:pPr>
    </w:p>
    <w:p w:rsidR="00936627" w:rsidRPr="00CB4085" w:rsidRDefault="00936627" w:rsidP="00936627">
      <w:pPr>
        <w:ind w:left="360"/>
        <w:rPr>
          <w:rFonts w:ascii="Palatino Linotype" w:hAnsi="Palatino Linotype"/>
          <w:sz w:val="22"/>
          <w:szCs w:val="22"/>
        </w:rPr>
      </w:pPr>
      <w:r w:rsidRPr="00CB4085">
        <w:rPr>
          <w:rFonts w:ascii="Palatino Linotype" w:hAnsi="Palatino Linotype"/>
          <w:sz w:val="22"/>
          <w:szCs w:val="22"/>
        </w:rPr>
        <w:t>A: The project site must be in an</w:t>
      </w:r>
      <w:r w:rsidR="004C38AB">
        <w:rPr>
          <w:rFonts w:ascii="Palatino Linotype" w:hAnsi="Palatino Linotype"/>
          <w:sz w:val="22"/>
          <w:szCs w:val="22"/>
        </w:rPr>
        <w:t xml:space="preserve"> electric</w:t>
      </w:r>
      <w:r w:rsidRPr="00CB4085">
        <w:rPr>
          <w:rFonts w:ascii="Palatino Linotype" w:hAnsi="Palatino Linotype"/>
          <w:sz w:val="22"/>
          <w:szCs w:val="22"/>
        </w:rPr>
        <w:t xml:space="preserve"> IOU service territory, and there are no limits to the size of the community</w:t>
      </w:r>
      <w:r w:rsidR="00B97923">
        <w:rPr>
          <w:rFonts w:ascii="Palatino Linotype" w:hAnsi="Palatino Linotype"/>
          <w:sz w:val="22"/>
          <w:szCs w:val="22"/>
        </w:rPr>
        <w:t xml:space="preserve"> or the generation within the community</w:t>
      </w:r>
      <w:r w:rsidRPr="00CB4085">
        <w:rPr>
          <w:rFonts w:ascii="Palatino Linotype" w:hAnsi="Palatino Linotype"/>
          <w:sz w:val="22"/>
          <w:szCs w:val="22"/>
        </w:rPr>
        <w:t>.</w:t>
      </w:r>
    </w:p>
    <w:p w:rsidR="00936627" w:rsidRPr="00CB4085" w:rsidRDefault="00936627" w:rsidP="00936627">
      <w:pPr>
        <w:ind w:left="360"/>
        <w:rPr>
          <w:rFonts w:ascii="Palatino Linotype" w:hAnsi="Palatino Linotype"/>
          <w:sz w:val="22"/>
          <w:szCs w:val="22"/>
        </w:rPr>
      </w:pPr>
    </w:p>
    <w:p w:rsidR="00936627" w:rsidRPr="00CA6636" w:rsidRDefault="00936627" w:rsidP="00936627">
      <w:pPr>
        <w:pStyle w:val="ListParagraph"/>
        <w:numPr>
          <w:ilvl w:val="0"/>
          <w:numId w:val="4"/>
        </w:numPr>
        <w:ind w:left="360"/>
        <w:rPr>
          <w:rFonts w:ascii="Palatino Linotype" w:hAnsi="Palatino Linotype"/>
          <w:b/>
        </w:rPr>
      </w:pPr>
      <w:r w:rsidRPr="00CA6636">
        <w:rPr>
          <w:rFonts w:ascii="Palatino Linotype" w:hAnsi="Palatino Linotype"/>
          <w:b/>
        </w:rPr>
        <w:t xml:space="preserve">Q: In the solicitation manual on page 5, Section B </w:t>
      </w:r>
      <w:r w:rsidRPr="00CA6636">
        <w:rPr>
          <w:rFonts w:ascii="Palatino Linotype" w:hAnsi="Palatino Linotype"/>
          <w:b/>
          <w:i/>
          <w:iCs/>
        </w:rPr>
        <w:t xml:space="preserve">Key Words/ Terms, </w:t>
      </w:r>
      <w:r w:rsidRPr="00CA6636">
        <w:rPr>
          <w:rFonts w:ascii="Palatino Linotype" w:hAnsi="Palatino Linotype"/>
          <w:b/>
        </w:rPr>
        <w:t xml:space="preserve">the GFO states that Advanced Energy Communities can be a new, reconstruction, or retrofit development of a residential, commercial, or municipal development in new, unused or underutilized lands. Can the Energy Commission define what is considered “unused or underutilized” lands? In addition please define what the Energy Commission considers reconstruction or retrofit development. </w:t>
      </w:r>
    </w:p>
    <w:p w:rsidR="00936627" w:rsidRPr="00CB4085" w:rsidRDefault="00936627" w:rsidP="00936627">
      <w:pPr>
        <w:ind w:left="360"/>
        <w:rPr>
          <w:rFonts w:ascii="Palatino Linotype" w:hAnsi="Palatino Linotype"/>
          <w:sz w:val="22"/>
          <w:szCs w:val="22"/>
        </w:rPr>
      </w:pPr>
    </w:p>
    <w:p w:rsidR="00936627" w:rsidRDefault="00936627" w:rsidP="00936627">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Unused or underutilized lands refer to land that has not been previously disturbed for any type of construction or development, also known as </w:t>
      </w:r>
      <w:proofErr w:type="gramStart"/>
      <w:r>
        <w:rPr>
          <w:rFonts w:ascii="Palatino Linotype" w:hAnsi="Palatino Linotype"/>
          <w:sz w:val="22"/>
          <w:szCs w:val="22"/>
        </w:rPr>
        <w:t>greenfield</w:t>
      </w:r>
      <w:proofErr w:type="gramEnd"/>
      <w:r>
        <w:rPr>
          <w:rFonts w:ascii="Palatino Linotype" w:hAnsi="Palatino Linotype"/>
          <w:sz w:val="22"/>
          <w:szCs w:val="22"/>
        </w:rPr>
        <w:t xml:space="preserve"> development. Reconstruction or retrofit developments are developments that involve buildings or structures that are already built.</w:t>
      </w:r>
    </w:p>
    <w:p w:rsidR="00492488" w:rsidRDefault="00492488" w:rsidP="00492488">
      <w:pPr>
        <w:ind w:left="360"/>
        <w:rPr>
          <w:rFonts w:ascii="Palatino Linotype" w:hAnsi="Palatino Linotype"/>
          <w:sz w:val="22"/>
          <w:szCs w:val="22"/>
        </w:rPr>
      </w:pPr>
    </w:p>
    <w:p w:rsidR="00492488" w:rsidRPr="009C5B59" w:rsidRDefault="00492488" w:rsidP="00492488">
      <w:pPr>
        <w:pStyle w:val="ListParagraph"/>
        <w:numPr>
          <w:ilvl w:val="0"/>
          <w:numId w:val="4"/>
        </w:numPr>
        <w:ind w:left="360"/>
        <w:rPr>
          <w:rFonts w:ascii="Palatino Linotype" w:hAnsi="Palatino Linotype"/>
          <w:b/>
        </w:rPr>
      </w:pPr>
      <w:r w:rsidRPr="009C5B59">
        <w:rPr>
          <w:rFonts w:ascii="Palatino Linotype" w:hAnsi="Palatino Linotype"/>
          <w:b/>
        </w:rPr>
        <w:t xml:space="preserve">Q: Can the Energy Commission provide clarification on terminology of scaling up as written on page 4 of the solicitation manual? With distributed generation and replicability, we want to take 3 MW and scale out (as opposed to increasing each project’s power requirements to be bigger than 3 MW). </w:t>
      </w:r>
    </w:p>
    <w:p w:rsidR="00492488" w:rsidRPr="009C5B59"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9C5B59">
        <w:rPr>
          <w:rFonts w:ascii="Palatino Linotype" w:hAnsi="Palatino Linotype"/>
          <w:sz w:val="22"/>
          <w:szCs w:val="22"/>
        </w:rPr>
        <w:t xml:space="preserve">A: </w:t>
      </w:r>
      <w:r w:rsidR="0075069D">
        <w:rPr>
          <w:rFonts w:ascii="Palatino Linotype" w:hAnsi="Palatino Linotype"/>
          <w:sz w:val="22"/>
          <w:szCs w:val="22"/>
        </w:rPr>
        <w:t>Advanced Energy Communities are intended to be new concepts for integrating the state’s energy goals</w:t>
      </w:r>
      <w:r w:rsidR="00AD770C">
        <w:rPr>
          <w:rFonts w:ascii="Palatino Linotype" w:hAnsi="Palatino Linotype"/>
          <w:sz w:val="22"/>
          <w:szCs w:val="22"/>
        </w:rPr>
        <w:t>, including SB 350,</w:t>
      </w:r>
      <w:r w:rsidR="0075069D">
        <w:rPr>
          <w:rFonts w:ascii="Palatino Linotype" w:hAnsi="Palatino Linotype"/>
          <w:sz w:val="22"/>
          <w:szCs w:val="22"/>
        </w:rPr>
        <w:t xml:space="preserve"> with community planning and development. </w:t>
      </w:r>
      <w:r w:rsidR="00C375A1">
        <w:rPr>
          <w:rFonts w:ascii="Palatino Linotype" w:hAnsi="Palatino Linotype"/>
          <w:sz w:val="22"/>
          <w:szCs w:val="22"/>
        </w:rPr>
        <w:t xml:space="preserve"> Scale-up, for purposes of this solicitation, refers to build</w:t>
      </w:r>
      <w:r w:rsidR="00AD770C">
        <w:rPr>
          <w:rFonts w:ascii="Palatino Linotype" w:hAnsi="Palatino Linotype"/>
          <w:sz w:val="22"/>
          <w:szCs w:val="22"/>
        </w:rPr>
        <w:t>ing</w:t>
      </w:r>
      <w:r w:rsidR="00C375A1">
        <w:rPr>
          <w:rFonts w:ascii="Palatino Linotype" w:hAnsi="Palatino Linotype"/>
          <w:sz w:val="22"/>
          <w:szCs w:val="22"/>
        </w:rPr>
        <w:t xml:space="preserve"> on the lessons learned from this first project of an Advanced Energy Community concept to improve the economics, timelines, and </w:t>
      </w:r>
      <w:r w:rsidR="00AD770C">
        <w:rPr>
          <w:rFonts w:ascii="Palatino Linotype" w:hAnsi="Palatino Linotype"/>
          <w:sz w:val="22"/>
          <w:szCs w:val="22"/>
        </w:rPr>
        <w:t xml:space="preserve">other performance criteria </w:t>
      </w:r>
      <w:r w:rsidR="00C375A1">
        <w:rPr>
          <w:rFonts w:ascii="Palatino Linotype" w:hAnsi="Palatino Linotype"/>
          <w:sz w:val="22"/>
          <w:szCs w:val="22"/>
        </w:rPr>
        <w:t>of future development</w:t>
      </w:r>
      <w:r w:rsidR="00AD770C">
        <w:rPr>
          <w:rFonts w:ascii="Palatino Linotype" w:hAnsi="Palatino Linotype"/>
          <w:sz w:val="22"/>
          <w:szCs w:val="22"/>
        </w:rPr>
        <w:t>s</w:t>
      </w:r>
      <w:r w:rsidR="00C375A1">
        <w:rPr>
          <w:rFonts w:ascii="Palatino Linotype" w:hAnsi="Palatino Linotype"/>
          <w:sz w:val="22"/>
          <w:szCs w:val="22"/>
        </w:rPr>
        <w:t xml:space="preserve"> modeled after the same concept. </w:t>
      </w:r>
    </w:p>
    <w:p w:rsidR="00745B9C" w:rsidRDefault="00745B9C" w:rsidP="00944F6F">
      <w:pPr>
        <w:ind w:left="360"/>
        <w:rPr>
          <w:rFonts w:ascii="Palatino Linotype" w:hAnsi="Palatino Linotype"/>
          <w:b/>
        </w:rPr>
      </w:pPr>
    </w:p>
    <w:p w:rsidR="00936627" w:rsidRPr="00CA6636" w:rsidRDefault="00745B9C" w:rsidP="00936627">
      <w:pPr>
        <w:pStyle w:val="ListParagraph"/>
        <w:numPr>
          <w:ilvl w:val="0"/>
          <w:numId w:val="4"/>
        </w:numPr>
        <w:ind w:left="360"/>
        <w:rPr>
          <w:rFonts w:ascii="Palatino Linotype" w:hAnsi="Palatino Linotype"/>
          <w:b/>
        </w:rPr>
      </w:pPr>
      <w:r>
        <w:rPr>
          <w:rFonts w:ascii="Palatino Linotype" w:hAnsi="Palatino Linotype"/>
          <w:b/>
        </w:rPr>
        <w:t xml:space="preserve">Q: </w:t>
      </w:r>
      <w:r w:rsidR="00936627" w:rsidRPr="00CA6636">
        <w:rPr>
          <w:rFonts w:ascii="Palatino Linotype" w:hAnsi="Palatino Linotype"/>
          <w:b/>
        </w:rPr>
        <w:t xml:space="preserve">Should money be spent on how to replicate the project statewide? </w:t>
      </w:r>
    </w:p>
    <w:p w:rsidR="00745B9C" w:rsidRDefault="00745B9C" w:rsidP="00936627">
      <w:pPr>
        <w:ind w:left="360"/>
        <w:rPr>
          <w:rFonts w:ascii="Palatino Linotype" w:hAnsi="Palatino Linotype"/>
          <w:sz w:val="22"/>
          <w:szCs w:val="22"/>
        </w:rPr>
      </w:pPr>
    </w:p>
    <w:p w:rsidR="00936627" w:rsidRPr="00CB4085" w:rsidRDefault="00083686" w:rsidP="00936627">
      <w:pPr>
        <w:ind w:left="360"/>
        <w:rPr>
          <w:rFonts w:ascii="Palatino Linotype" w:hAnsi="Palatino Linotype"/>
          <w:sz w:val="22"/>
          <w:szCs w:val="22"/>
        </w:rPr>
      </w:pPr>
      <w:r>
        <w:rPr>
          <w:rFonts w:ascii="Palatino Linotype" w:hAnsi="Palatino Linotype"/>
          <w:sz w:val="22"/>
          <w:szCs w:val="22"/>
        </w:rPr>
        <w:t xml:space="preserve">A: </w:t>
      </w:r>
      <w:r w:rsidR="00B6478F">
        <w:rPr>
          <w:rFonts w:ascii="Palatino Linotype" w:hAnsi="Palatino Linotype"/>
          <w:sz w:val="22"/>
          <w:szCs w:val="22"/>
        </w:rPr>
        <w:t xml:space="preserve">Yes, as stated on page 20 of the Application Manual, </w:t>
      </w:r>
      <w:r w:rsidR="00B6478F" w:rsidRPr="00B6478F">
        <w:rPr>
          <w:rFonts w:ascii="Palatino Linotype" w:hAnsi="Palatino Linotype"/>
          <w:sz w:val="22"/>
          <w:szCs w:val="22"/>
        </w:rPr>
        <w:t>“Funded projects will serve as models for local governments that want to encourage sustainable development. Re</w:t>
      </w:r>
      <w:r w:rsidR="00B6478F">
        <w:rPr>
          <w:rFonts w:ascii="Palatino Linotype" w:hAnsi="Palatino Linotype"/>
          <w:sz w:val="22"/>
          <w:szCs w:val="22"/>
        </w:rPr>
        <w:t>p</w:t>
      </w:r>
      <w:r w:rsidR="00B6478F" w:rsidRPr="00B6478F">
        <w:rPr>
          <w:rFonts w:ascii="Palatino Linotype" w:hAnsi="Palatino Linotype"/>
          <w:sz w:val="22"/>
          <w:szCs w:val="22"/>
        </w:rPr>
        <w:t>li</w:t>
      </w:r>
      <w:r w:rsidR="00B6478F">
        <w:rPr>
          <w:rFonts w:ascii="Palatino Linotype" w:hAnsi="Palatino Linotype"/>
          <w:sz w:val="22"/>
          <w:szCs w:val="22"/>
        </w:rPr>
        <w:t>c</w:t>
      </w:r>
      <w:r w:rsidR="00B6478F" w:rsidRPr="00B6478F">
        <w:rPr>
          <w:rFonts w:ascii="Palatino Linotype" w:hAnsi="Palatino Linotype"/>
          <w:sz w:val="22"/>
          <w:szCs w:val="22"/>
        </w:rPr>
        <w:t>ability and the transfer of knowledge gained from these projects are a primary goal.”</w:t>
      </w:r>
      <w:r w:rsidR="00B6478F">
        <w:rPr>
          <w:rFonts w:ascii="Palatino Linotype" w:hAnsi="Palatino Linotype"/>
          <w:i/>
          <w:sz w:val="22"/>
          <w:szCs w:val="22"/>
        </w:rPr>
        <w:t xml:space="preserve"> </w:t>
      </w:r>
    </w:p>
    <w:p w:rsidR="00492488" w:rsidRPr="00CB4085" w:rsidRDefault="00492488" w:rsidP="00492488">
      <w:pPr>
        <w:ind w:left="360"/>
        <w:rPr>
          <w:rFonts w:ascii="Palatino Linotype" w:hAnsi="Palatino Linotype"/>
          <w:sz w:val="22"/>
          <w:szCs w:val="22"/>
        </w:rPr>
      </w:pPr>
    </w:p>
    <w:p w:rsidR="008C39FE" w:rsidRPr="00CA6636" w:rsidRDefault="00F4152B" w:rsidP="00670F38">
      <w:pPr>
        <w:pStyle w:val="ListParagraph"/>
        <w:numPr>
          <w:ilvl w:val="0"/>
          <w:numId w:val="4"/>
        </w:numPr>
        <w:ind w:left="360"/>
        <w:rPr>
          <w:rFonts w:ascii="Palatino Linotype" w:eastAsia="Times New Roman" w:hAnsi="Palatino Linotype"/>
          <w:b/>
          <w:color w:val="000000"/>
        </w:rPr>
      </w:pPr>
      <w:r w:rsidRPr="00CA6636">
        <w:rPr>
          <w:rFonts w:ascii="Palatino Linotype" w:eastAsia="Times New Roman" w:hAnsi="Palatino Linotype"/>
          <w:b/>
          <w:color w:val="000000"/>
        </w:rPr>
        <w:lastRenderedPageBreak/>
        <w:t>Q:</w:t>
      </w:r>
      <w:r w:rsidR="008C39FE" w:rsidRPr="00CA6636">
        <w:rPr>
          <w:rFonts w:ascii="Palatino Linotype" w:eastAsia="Times New Roman" w:hAnsi="Palatino Linotype"/>
          <w:b/>
          <w:color w:val="000000"/>
        </w:rPr>
        <w:t xml:space="preserve"> Can the Energy Commission confirm that they’re seeking a feasibility study focused on planning, permitting, and financing at the local government level and </w:t>
      </w:r>
      <w:r w:rsidR="008C39FE" w:rsidRPr="00CA6636">
        <w:rPr>
          <w:rFonts w:ascii="Palatino Linotype" w:eastAsia="Times New Roman" w:hAnsi="Palatino Linotype"/>
          <w:b/>
          <w:bCs/>
          <w:color w:val="000000"/>
          <w:u w:val="single"/>
        </w:rPr>
        <w:t>NOT</w:t>
      </w:r>
      <w:r w:rsidR="008C39FE" w:rsidRPr="00CA6636">
        <w:rPr>
          <w:rFonts w:ascii="Palatino Linotype" w:eastAsia="Times New Roman" w:hAnsi="Palatino Linotype"/>
          <w:b/>
          <w:color w:val="000000"/>
        </w:rPr>
        <w:t xml:space="preserve"> on technical or engineering considerations around the deployment of various technologies contained within “</w:t>
      </w:r>
      <w:r w:rsidR="003E5C69">
        <w:rPr>
          <w:rFonts w:ascii="Palatino Linotype" w:eastAsia="Times New Roman" w:hAnsi="Palatino Linotype"/>
          <w:b/>
          <w:color w:val="000000"/>
        </w:rPr>
        <w:t>A</w:t>
      </w:r>
      <w:r w:rsidR="003E5C69" w:rsidRPr="00CA6636">
        <w:rPr>
          <w:rFonts w:ascii="Palatino Linotype" w:eastAsia="Times New Roman" w:hAnsi="Palatino Linotype"/>
          <w:b/>
          <w:color w:val="000000"/>
        </w:rPr>
        <w:t xml:space="preserve">dvanced </w:t>
      </w:r>
      <w:r w:rsidR="003E5C69">
        <w:rPr>
          <w:rFonts w:ascii="Palatino Linotype" w:eastAsia="Times New Roman" w:hAnsi="Palatino Linotype"/>
          <w:b/>
          <w:color w:val="000000"/>
        </w:rPr>
        <w:t>E</w:t>
      </w:r>
      <w:r w:rsidR="003E5C69" w:rsidRPr="00CA6636">
        <w:rPr>
          <w:rFonts w:ascii="Palatino Linotype" w:eastAsia="Times New Roman" w:hAnsi="Palatino Linotype"/>
          <w:b/>
          <w:color w:val="000000"/>
        </w:rPr>
        <w:t xml:space="preserve">nergy </w:t>
      </w:r>
      <w:r w:rsidR="003E5C69">
        <w:rPr>
          <w:rFonts w:ascii="Palatino Linotype" w:eastAsia="Times New Roman" w:hAnsi="Palatino Linotype"/>
          <w:b/>
          <w:color w:val="000000"/>
        </w:rPr>
        <w:t>C</w:t>
      </w:r>
      <w:r w:rsidR="003E5C69" w:rsidRPr="00CA6636">
        <w:rPr>
          <w:rFonts w:ascii="Palatino Linotype" w:eastAsia="Times New Roman" w:hAnsi="Palatino Linotype"/>
          <w:b/>
          <w:color w:val="000000"/>
        </w:rPr>
        <w:t>ommunities</w:t>
      </w:r>
      <w:r w:rsidR="008C39FE" w:rsidRPr="00CA6636">
        <w:rPr>
          <w:rFonts w:ascii="Palatino Linotype" w:eastAsia="Times New Roman" w:hAnsi="Palatino Linotype"/>
          <w:b/>
          <w:color w:val="000000"/>
        </w:rPr>
        <w:t>” (including smart grid, distributed energy resources, storage, etc.)?</w:t>
      </w:r>
    </w:p>
    <w:p w:rsidR="001679E1" w:rsidRPr="00CB4085" w:rsidRDefault="001679E1" w:rsidP="00670F38">
      <w:pPr>
        <w:ind w:left="360"/>
        <w:rPr>
          <w:rFonts w:ascii="Palatino Linotype" w:eastAsia="Times New Roman" w:hAnsi="Palatino Linotype"/>
          <w:color w:val="000000"/>
          <w:sz w:val="22"/>
          <w:szCs w:val="22"/>
        </w:rPr>
      </w:pPr>
    </w:p>
    <w:p w:rsidR="001679E1" w:rsidRPr="00CB4085" w:rsidRDefault="001679E1" w:rsidP="00670F38">
      <w:pPr>
        <w:ind w:left="360"/>
        <w:rPr>
          <w:rFonts w:ascii="Palatino Linotype" w:eastAsia="Times New Roman" w:hAnsi="Palatino Linotype"/>
          <w:color w:val="000000"/>
          <w:sz w:val="22"/>
          <w:szCs w:val="22"/>
        </w:rPr>
      </w:pPr>
      <w:r w:rsidRPr="00CB4085">
        <w:rPr>
          <w:rFonts w:ascii="Palatino Linotype" w:eastAsia="Times New Roman" w:hAnsi="Palatino Linotype"/>
          <w:color w:val="000000"/>
          <w:sz w:val="22"/>
          <w:szCs w:val="22"/>
        </w:rPr>
        <w:t xml:space="preserve">A: Under Phase I of this solicitation, the Energy Commission is </w:t>
      </w:r>
      <w:r w:rsidR="00B9496B">
        <w:rPr>
          <w:rFonts w:ascii="Palatino Linotype" w:eastAsia="Times New Roman" w:hAnsi="Palatino Linotype"/>
          <w:color w:val="000000"/>
          <w:sz w:val="22"/>
          <w:szCs w:val="22"/>
        </w:rPr>
        <w:t xml:space="preserve">interested in applications that will: 1) evaluate and pilot innovative planning, permitting and financing approaches </w:t>
      </w:r>
      <w:r w:rsidRPr="00CB4085">
        <w:rPr>
          <w:rFonts w:ascii="Palatino Linotype" w:eastAsia="Times New Roman" w:hAnsi="Palatino Linotype"/>
          <w:color w:val="000000"/>
          <w:sz w:val="22"/>
          <w:szCs w:val="22"/>
        </w:rPr>
        <w:t>that</w:t>
      </w:r>
      <w:r w:rsidR="00A90580" w:rsidRPr="00CB4085">
        <w:rPr>
          <w:rFonts w:ascii="Palatino Linotype" w:eastAsia="Times New Roman" w:hAnsi="Palatino Linotype"/>
          <w:color w:val="000000"/>
          <w:sz w:val="22"/>
          <w:szCs w:val="22"/>
        </w:rPr>
        <w:t xml:space="preserve"> ca</w:t>
      </w:r>
      <w:r w:rsidR="00B9496B">
        <w:rPr>
          <w:rFonts w:ascii="Palatino Linotype" w:eastAsia="Times New Roman" w:hAnsi="Palatino Linotype"/>
          <w:color w:val="000000"/>
          <w:sz w:val="22"/>
          <w:szCs w:val="22"/>
        </w:rPr>
        <w:t xml:space="preserve">n </w:t>
      </w:r>
      <w:r w:rsidR="00A90580" w:rsidRPr="00CB4085">
        <w:rPr>
          <w:rFonts w:ascii="Palatino Linotype" w:eastAsia="Times New Roman" w:hAnsi="Palatino Linotype"/>
          <w:color w:val="000000"/>
          <w:sz w:val="22"/>
          <w:szCs w:val="22"/>
        </w:rPr>
        <w:t>accelerate deployment of Advanced Energy Communities</w:t>
      </w:r>
      <w:r w:rsidR="00B9496B">
        <w:rPr>
          <w:rFonts w:ascii="Palatino Linotype" w:eastAsia="Times New Roman" w:hAnsi="Palatino Linotype"/>
          <w:color w:val="000000"/>
          <w:sz w:val="22"/>
          <w:szCs w:val="22"/>
        </w:rPr>
        <w:t>;</w:t>
      </w:r>
      <w:r w:rsidR="00A90580" w:rsidRPr="00CB4085">
        <w:rPr>
          <w:rFonts w:ascii="Palatino Linotype" w:eastAsia="Times New Roman" w:hAnsi="Palatino Linotype"/>
          <w:color w:val="000000"/>
          <w:sz w:val="22"/>
          <w:szCs w:val="22"/>
        </w:rPr>
        <w:t xml:space="preserve"> </w:t>
      </w:r>
      <w:r w:rsidR="00B9496B">
        <w:rPr>
          <w:rFonts w:ascii="Palatino Linotype" w:eastAsia="Times New Roman" w:hAnsi="Palatino Linotype"/>
          <w:color w:val="000000"/>
          <w:sz w:val="22"/>
          <w:szCs w:val="22"/>
        </w:rPr>
        <w:t xml:space="preserve">and 2) develop a </w:t>
      </w:r>
      <w:r w:rsidR="00A90580" w:rsidRPr="00CB4085">
        <w:rPr>
          <w:rFonts w:ascii="Palatino Linotype" w:eastAsia="Times New Roman" w:hAnsi="Palatino Linotype"/>
          <w:color w:val="000000"/>
          <w:sz w:val="22"/>
          <w:szCs w:val="22"/>
        </w:rPr>
        <w:t>real world conceptual design of an Advanced Energy Community that</w:t>
      </w:r>
      <w:r w:rsidR="00AE1525">
        <w:rPr>
          <w:rFonts w:ascii="Palatino Linotype" w:eastAsia="Times New Roman" w:hAnsi="Palatino Linotype"/>
          <w:color w:val="000000"/>
          <w:sz w:val="22"/>
          <w:szCs w:val="22"/>
        </w:rPr>
        <w:t xml:space="preserve"> </w:t>
      </w:r>
      <w:r w:rsidR="00A90580" w:rsidRPr="00CB4085">
        <w:rPr>
          <w:rFonts w:ascii="Palatino Linotype" w:eastAsia="Times New Roman" w:hAnsi="Palatino Linotype"/>
          <w:color w:val="000000"/>
          <w:sz w:val="22"/>
          <w:szCs w:val="22"/>
        </w:rPr>
        <w:t>include</w:t>
      </w:r>
      <w:r w:rsidR="00AE1525">
        <w:rPr>
          <w:rFonts w:ascii="Palatino Linotype" w:eastAsia="Times New Roman" w:hAnsi="Palatino Linotype"/>
          <w:color w:val="000000"/>
          <w:sz w:val="22"/>
          <w:szCs w:val="22"/>
        </w:rPr>
        <w:t>d</w:t>
      </w:r>
      <w:r w:rsidR="00A90580" w:rsidRPr="00CB4085">
        <w:rPr>
          <w:rFonts w:ascii="Palatino Linotype" w:eastAsia="Times New Roman" w:hAnsi="Palatino Linotype"/>
          <w:color w:val="000000"/>
          <w:sz w:val="22"/>
          <w:szCs w:val="22"/>
        </w:rPr>
        <w:t xml:space="preserve"> technical and engineering considerations. </w:t>
      </w:r>
      <w:r w:rsidR="002A5129">
        <w:rPr>
          <w:rFonts w:ascii="Palatino Linotype" w:eastAsia="Times New Roman" w:hAnsi="Palatino Linotype"/>
          <w:color w:val="000000"/>
          <w:sz w:val="22"/>
          <w:szCs w:val="22"/>
        </w:rPr>
        <w:t>Proposed Advanced Energy Communities need to be shovel ready</w:t>
      </w:r>
      <w:r w:rsidR="00AE1525">
        <w:rPr>
          <w:rFonts w:ascii="Palatino Linotype" w:eastAsia="Times New Roman" w:hAnsi="Palatino Linotype"/>
          <w:color w:val="000000"/>
          <w:sz w:val="22"/>
          <w:szCs w:val="22"/>
        </w:rPr>
        <w:t xml:space="preserve"> or close to shovel ready</w:t>
      </w:r>
      <w:r w:rsidR="002A5129">
        <w:rPr>
          <w:rFonts w:ascii="Palatino Linotype" w:eastAsia="Times New Roman" w:hAnsi="Palatino Linotype"/>
          <w:color w:val="000000"/>
          <w:sz w:val="22"/>
          <w:szCs w:val="22"/>
        </w:rPr>
        <w:t xml:space="preserve"> by the end of Phase I to qualify for Phase II funding.</w:t>
      </w:r>
    </w:p>
    <w:p w:rsidR="008C39FE" w:rsidRPr="00CB4085" w:rsidRDefault="008C39FE" w:rsidP="00670F38">
      <w:pPr>
        <w:ind w:left="360"/>
        <w:rPr>
          <w:rFonts w:ascii="Palatino Linotype" w:eastAsia="Times New Roman" w:hAnsi="Palatino Linotype"/>
          <w:color w:val="000000"/>
          <w:sz w:val="22"/>
          <w:szCs w:val="22"/>
        </w:rPr>
      </w:pPr>
    </w:p>
    <w:p w:rsidR="00492488" w:rsidRPr="006E4930" w:rsidRDefault="00492488" w:rsidP="00492488">
      <w:pPr>
        <w:pStyle w:val="ListParagraph"/>
        <w:numPr>
          <w:ilvl w:val="0"/>
          <w:numId w:val="4"/>
        </w:numPr>
        <w:ind w:left="360"/>
        <w:rPr>
          <w:rFonts w:ascii="Palatino Linotype" w:hAnsi="Palatino Linotype"/>
          <w:b/>
        </w:rPr>
      </w:pPr>
      <w:r w:rsidRPr="006E4930">
        <w:rPr>
          <w:rFonts w:ascii="Palatino Linotype" w:hAnsi="Palatino Linotype"/>
          <w:b/>
        </w:rPr>
        <w:t>Q: Net zero energy is identified in the solicitation, is there also a net zero greenhouse gases component to this?</w:t>
      </w:r>
    </w:p>
    <w:p w:rsidR="00492488" w:rsidRPr="006E4930" w:rsidRDefault="00492488" w:rsidP="00492488">
      <w:pPr>
        <w:ind w:left="360"/>
        <w:rPr>
          <w:rFonts w:ascii="Palatino Linotype" w:hAnsi="Palatino Linotype"/>
          <w:sz w:val="22"/>
          <w:szCs w:val="22"/>
        </w:rPr>
      </w:pPr>
    </w:p>
    <w:p w:rsidR="00492488" w:rsidRPr="006E4930" w:rsidRDefault="00492488" w:rsidP="00492488">
      <w:pPr>
        <w:ind w:left="360"/>
        <w:rPr>
          <w:rFonts w:ascii="Palatino Linotype" w:hAnsi="Palatino Linotype"/>
          <w:sz w:val="22"/>
          <w:szCs w:val="22"/>
        </w:rPr>
      </w:pPr>
      <w:r w:rsidRPr="006E4930">
        <w:rPr>
          <w:rFonts w:ascii="Palatino Linotype" w:hAnsi="Palatino Linotype"/>
          <w:sz w:val="22"/>
          <w:szCs w:val="22"/>
        </w:rPr>
        <w:t xml:space="preserve">A: </w:t>
      </w:r>
      <w:r w:rsidR="00F73F07">
        <w:rPr>
          <w:rFonts w:ascii="Palatino Linotype" w:hAnsi="Palatino Linotype"/>
          <w:sz w:val="22"/>
          <w:szCs w:val="22"/>
        </w:rPr>
        <w:t>N</w:t>
      </w:r>
      <w:r w:rsidRPr="006E4930">
        <w:rPr>
          <w:rFonts w:ascii="Palatino Linotype" w:hAnsi="Palatino Linotype"/>
          <w:sz w:val="22"/>
          <w:szCs w:val="22"/>
        </w:rPr>
        <w:t>et zero greenhouse gas is not identified as a requirement in this solicitation</w:t>
      </w:r>
      <w:r w:rsidR="00F73F07">
        <w:rPr>
          <w:rFonts w:ascii="Palatino Linotype" w:hAnsi="Palatino Linotype"/>
          <w:sz w:val="22"/>
          <w:szCs w:val="22"/>
        </w:rPr>
        <w:t xml:space="preserve"> but applicants may propose that for an Advanced Energy Community in their</w:t>
      </w:r>
      <w:r w:rsidRPr="006E4930">
        <w:rPr>
          <w:rFonts w:ascii="Palatino Linotype" w:hAnsi="Palatino Linotype"/>
          <w:sz w:val="22"/>
          <w:szCs w:val="22"/>
        </w:rPr>
        <w:t xml:space="preserve"> application. </w:t>
      </w:r>
    </w:p>
    <w:p w:rsidR="00492488" w:rsidRPr="00040D29" w:rsidRDefault="00492488" w:rsidP="00492488">
      <w:pPr>
        <w:ind w:left="360"/>
        <w:rPr>
          <w:rFonts w:ascii="Palatino Linotype" w:hAnsi="Palatino Linotype"/>
          <w:sz w:val="22"/>
          <w:szCs w:val="22"/>
          <w:highlight w:val="yellow"/>
        </w:rPr>
      </w:pPr>
    </w:p>
    <w:p w:rsidR="00492488" w:rsidRPr="006E4930" w:rsidRDefault="00492488" w:rsidP="00492488">
      <w:pPr>
        <w:pStyle w:val="ListParagraph"/>
        <w:numPr>
          <w:ilvl w:val="0"/>
          <w:numId w:val="4"/>
        </w:numPr>
        <w:ind w:left="360"/>
        <w:rPr>
          <w:rFonts w:ascii="Palatino Linotype" w:hAnsi="Palatino Linotype"/>
          <w:b/>
        </w:rPr>
      </w:pPr>
      <w:r w:rsidRPr="006E4930">
        <w:rPr>
          <w:rFonts w:ascii="Palatino Linotype" w:hAnsi="Palatino Linotype"/>
          <w:b/>
        </w:rPr>
        <w:t xml:space="preserve">Q: A greenhouse gas calculator would be helpful as well: If the community uses energy that can support other enabling (GHG reduction) technologies, wouldn’t that be a benefit? </w:t>
      </w:r>
    </w:p>
    <w:p w:rsidR="00492488" w:rsidRPr="006E4930"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6E4930">
        <w:rPr>
          <w:rFonts w:ascii="Palatino Linotype" w:hAnsi="Palatino Linotype"/>
          <w:sz w:val="22"/>
          <w:szCs w:val="22"/>
        </w:rPr>
        <w:t>A: Attachment 12 provides reference figures that applicants must use in calculating their proposals expected impact to IOU ratepayers.</w:t>
      </w:r>
      <w:r w:rsidR="00C461CA">
        <w:rPr>
          <w:rFonts w:ascii="Palatino Linotype" w:hAnsi="Palatino Linotype"/>
          <w:sz w:val="22"/>
          <w:szCs w:val="22"/>
        </w:rPr>
        <w:t xml:space="preserve"> The Impacts and Benefits for California IOU Ratepayers</w:t>
      </w:r>
      <w:r w:rsidRPr="006E4930">
        <w:rPr>
          <w:rFonts w:ascii="Palatino Linotype" w:hAnsi="Palatino Linotype"/>
          <w:sz w:val="22"/>
          <w:szCs w:val="22"/>
        </w:rPr>
        <w:t xml:space="preserve"> would be an appropriate section for applicants to discuss expected greenhouse gas reductions that may result from the project.</w:t>
      </w:r>
      <w:r>
        <w:rPr>
          <w:rFonts w:ascii="Palatino Linotype" w:hAnsi="Palatino Linotype"/>
          <w:sz w:val="22"/>
          <w:szCs w:val="22"/>
        </w:rPr>
        <w:t xml:space="preserve">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Are there specific regulatory barriers or solutions </w:t>
      </w:r>
      <w:r>
        <w:rPr>
          <w:rFonts w:ascii="Palatino Linotype" w:hAnsi="Palatino Linotype"/>
          <w:b/>
        </w:rPr>
        <w:t>the Energy Commission</w:t>
      </w:r>
      <w:r w:rsidRPr="00CA6636">
        <w:rPr>
          <w:rFonts w:ascii="Palatino Linotype" w:hAnsi="Palatino Linotype"/>
          <w:b/>
        </w:rPr>
        <w:t xml:space="preserve"> </w:t>
      </w:r>
      <w:r>
        <w:rPr>
          <w:rFonts w:ascii="Palatino Linotype" w:hAnsi="Palatino Linotype"/>
          <w:b/>
        </w:rPr>
        <w:t>is</w:t>
      </w:r>
      <w:r w:rsidRPr="00CA6636">
        <w:rPr>
          <w:rFonts w:ascii="Palatino Linotype" w:hAnsi="Palatino Linotype"/>
          <w:b/>
        </w:rPr>
        <w:t xml:space="preserve"> seeking? </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sidR="00E5464B">
        <w:rPr>
          <w:rFonts w:ascii="Palatino Linotype" w:hAnsi="Palatino Linotype"/>
          <w:sz w:val="22"/>
          <w:szCs w:val="22"/>
        </w:rPr>
        <w:t>There are no specific regulatory barriers the Energy Commission is seeking applicants to address. The Energy Commission is interested in potential actions that can be taken at local levels to improve the business case for Advanced Energy Communities.</w:t>
      </w:r>
      <w:r w:rsidRPr="00CB4085">
        <w:rPr>
          <w:rFonts w:ascii="Palatino Linotype" w:hAnsi="Palatino Linotype"/>
          <w:sz w:val="22"/>
          <w:szCs w:val="22"/>
        </w:rPr>
        <w:t xml:space="preserve"> </w:t>
      </w:r>
    </w:p>
    <w:p w:rsidR="008C39FE" w:rsidRPr="00CB4085" w:rsidRDefault="008C39FE" w:rsidP="00670F38">
      <w:pPr>
        <w:ind w:left="360"/>
        <w:rPr>
          <w:rFonts w:ascii="Palatino Linotype" w:eastAsia="Times New Roman" w:hAnsi="Palatino Linotype"/>
          <w:color w:val="000000"/>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Does the Energy Commission have a preference for </w:t>
      </w:r>
      <w:proofErr w:type="gramStart"/>
      <w:r w:rsidRPr="00CA6636">
        <w:rPr>
          <w:rFonts w:ascii="Palatino Linotype" w:hAnsi="Palatino Linotype"/>
          <w:b/>
        </w:rPr>
        <w:t>greenfield</w:t>
      </w:r>
      <w:proofErr w:type="gramEnd"/>
      <w:r w:rsidRPr="00CA6636">
        <w:rPr>
          <w:rFonts w:ascii="Palatino Linotype" w:hAnsi="Palatino Linotype"/>
          <w:b/>
        </w:rPr>
        <w:t xml:space="preserve"> vs. infill development?</w:t>
      </w:r>
    </w:p>
    <w:p w:rsidR="00492488" w:rsidRPr="00CB4085" w:rsidRDefault="00492488" w:rsidP="00492488">
      <w:pPr>
        <w:ind w:left="360"/>
        <w:rPr>
          <w:rFonts w:ascii="Palatino Linotype" w:hAnsi="Palatino Linotype"/>
          <w:sz w:val="22"/>
          <w:szCs w:val="22"/>
        </w:rPr>
      </w:pPr>
    </w:p>
    <w:p w:rsidR="00492488" w:rsidRPr="00670F38" w:rsidRDefault="006E1781" w:rsidP="00492488">
      <w:pPr>
        <w:pStyle w:val="ListParagraph"/>
        <w:ind w:left="360"/>
        <w:rPr>
          <w:rFonts w:ascii="Palatino Linotype" w:hAnsi="Palatino Linotype"/>
        </w:rPr>
      </w:pPr>
      <w:r>
        <w:rPr>
          <w:rFonts w:ascii="Palatino Linotype" w:hAnsi="Palatino Linotype"/>
        </w:rPr>
        <w:t>A</w:t>
      </w:r>
      <w:r w:rsidR="00492488" w:rsidRPr="00670F38">
        <w:rPr>
          <w:rFonts w:ascii="Palatino Linotype" w:hAnsi="Palatino Linotype"/>
        </w:rPr>
        <w:t xml:space="preserve">: </w:t>
      </w:r>
      <w:r w:rsidR="00914B89">
        <w:rPr>
          <w:rFonts w:ascii="Palatino Linotype" w:hAnsi="Palatino Linotype"/>
        </w:rPr>
        <w:t>Yes, one of the objectives of Advanced Energy Communities is that they</w:t>
      </w:r>
      <w:r w:rsidR="00492488" w:rsidRPr="00670F38">
        <w:rPr>
          <w:rFonts w:ascii="Palatino Linotype" w:hAnsi="Palatino Linotype"/>
        </w:rPr>
        <w:t xml:space="preserve"> are </w:t>
      </w:r>
      <w:r w:rsidR="00914B89">
        <w:rPr>
          <w:rFonts w:ascii="Palatino Linotype" w:hAnsi="Palatino Linotype"/>
        </w:rPr>
        <w:t>aligned</w:t>
      </w:r>
      <w:r w:rsidR="00492488" w:rsidRPr="00670F38">
        <w:rPr>
          <w:rFonts w:ascii="Palatino Linotype" w:hAnsi="Palatino Linotype"/>
        </w:rPr>
        <w:t xml:space="preserve"> with </w:t>
      </w:r>
      <w:r w:rsidR="00914B89">
        <w:rPr>
          <w:rFonts w:ascii="Palatino Linotype" w:hAnsi="Palatino Linotype"/>
        </w:rPr>
        <w:t>other</w:t>
      </w:r>
      <w:r w:rsidR="00492488" w:rsidRPr="00670F38">
        <w:rPr>
          <w:rFonts w:ascii="Palatino Linotype" w:hAnsi="Palatino Linotype"/>
        </w:rPr>
        <w:t xml:space="preserve"> state </w:t>
      </w:r>
      <w:r w:rsidR="00914B89">
        <w:rPr>
          <w:rFonts w:ascii="Palatino Linotype" w:hAnsi="Palatino Linotype"/>
        </w:rPr>
        <w:t>energy</w:t>
      </w:r>
      <w:r w:rsidR="00492488" w:rsidRPr="00670F38">
        <w:rPr>
          <w:rFonts w:ascii="Palatino Linotype" w:hAnsi="Palatino Linotype"/>
        </w:rPr>
        <w:t xml:space="preserve"> </w:t>
      </w:r>
      <w:r w:rsidR="00914B89">
        <w:rPr>
          <w:rFonts w:ascii="Palatino Linotype" w:hAnsi="Palatino Linotype"/>
        </w:rPr>
        <w:t xml:space="preserve">and environmental </w:t>
      </w:r>
      <w:r w:rsidR="00492488" w:rsidRPr="00670F38">
        <w:rPr>
          <w:rFonts w:ascii="Palatino Linotype" w:hAnsi="Palatino Linotype"/>
        </w:rPr>
        <w:t xml:space="preserve">policy goals </w:t>
      </w:r>
      <w:r w:rsidR="00914B89">
        <w:rPr>
          <w:rFonts w:ascii="Palatino Linotype" w:hAnsi="Palatino Linotype"/>
        </w:rPr>
        <w:t>at the community-level</w:t>
      </w:r>
      <w:r w:rsidR="00492488" w:rsidRPr="00670F38">
        <w:rPr>
          <w:rFonts w:ascii="Palatino Linotype" w:hAnsi="Palatino Linotype"/>
        </w:rPr>
        <w:t xml:space="preserve"> such as the Sustainable Communities and Environmental Protection Act (Senate Bill 375 (Steinberg, Chapter 728, Statutes of 2008)</w:t>
      </w:r>
      <w:r w:rsidR="002A5129">
        <w:rPr>
          <w:rFonts w:ascii="Palatino Linotype" w:hAnsi="Palatino Linotype"/>
        </w:rPr>
        <w:t>).</w:t>
      </w:r>
      <w:r w:rsidR="00914B89">
        <w:rPr>
          <w:rFonts w:ascii="Palatino Linotype" w:hAnsi="Palatino Linotype"/>
        </w:rPr>
        <w:t xml:space="preserve"> See page 4 of the Application Manual. Senate Bill 375 seeks to promote greater infill development.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lastRenderedPageBreak/>
        <w:t>Q: Does the Energy Commission have a preference for customer-owned vs. third-party-owned assets?</w:t>
      </w:r>
    </w:p>
    <w:p w:rsidR="00492488" w:rsidRPr="00CB4085" w:rsidRDefault="00492488" w:rsidP="00492488">
      <w:pPr>
        <w:ind w:left="360"/>
        <w:rPr>
          <w:rFonts w:ascii="Palatino Linotype" w:hAnsi="Palatino Linotype"/>
          <w:sz w:val="22"/>
          <w:szCs w:val="22"/>
        </w:rPr>
      </w:pPr>
    </w:p>
    <w:p w:rsidR="00492488" w:rsidRPr="00670F38" w:rsidRDefault="00492488" w:rsidP="00492488">
      <w:pPr>
        <w:pStyle w:val="ListParagraph"/>
        <w:ind w:left="360"/>
        <w:rPr>
          <w:rFonts w:ascii="Palatino Linotype" w:hAnsi="Palatino Linotype"/>
        </w:rPr>
      </w:pPr>
      <w:r w:rsidRPr="00670F38">
        <w:rPr>
          <w:rFonts w:ascii="Palatino Linotype" w:hAnsi="Palatino Linotype"/>
        </w:rPr>
        <w:t xml:space="preserve">A: The Energy Commission does not have a preference between customer-owned and third-party-owned assets.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Q: Does the Energy Commission have a preference for new construction vs. existing facilities?</w:t>
      </w:r>
    </w:p>
    <w:p w:rsidR="00492488" w:rsidRPr="00CB4085" w:rsidRDefault="00492488" w:rsidP="00492488">
      <w:pPr>
        <w:ind w:left="360"/>
        <w:rPr>
          <w:rFonts w:ascii="Palatino Linotype" w:hAnsi="Palatino Linotype"/>
          <w:sz w:val="22"/>
          <w:szCs w:val="22"/>
        </w:rPr>
      </w:pPr>
    </w:p>
    <w:p w:rsidR="00492488" w:rsidRDefault="00492488" w:rsidP="00492488">
      <w:pPr>
        <w:pStyle w:val="ListParagraph"/>
        <w:ind w:left="360"/>
        <w:rPr>
          <w:rFonts w:ascii="Palatino Linotype" w:hAnsi="Palatino Linotype"/>
        </w:rPr>
      </w:pPr>
      <w:r w:rsidRPr="00670F38">
        <w:rPr>
          <w:rFonts w:ascii="Palatino Linotype" w:hAnsi="Palatino Linotype"/>
        </w:rPr>
        <w:t xml:space="preserve">A: The Energy Commission does not have a preference between new construction and existing facilities. </w:t>
      </w:r>
    </w:p>
    <w:p w:rsidR="00492488" w:rsidRDefault="00492488" w:rsidP="00492488">
      <w:pPr>
        <w:pStyle w:val="ListParagraph"/>
        <w:ind w:left="360"/>
        <w:rPr>
          <w:rFonts w:ascii="Palatino Linotype" w:hAnsi="Palatino Linotype"/>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Q: Is this solicitation seeking to fund a report or a demonstration project? Is the intent to have a small scale project or a paper study on how to get it done?</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Phase </w:t>
      </w:r>
      <w:r w:rsidR="003E5C69">
        <w:rPr>
          <w:rFonts w:ascii="Palatino Linotype" w:hAnsi="Palatino Linotype"/>
          <w:sz w:val="22"/>
          <w:szCs w:val="22"/>
        </w:rPr>
        <w:t xml:space="preserve">I </w:t>
      </w:r>
      <w:r>
        <w:rPr>
          <w:rFonts w:ascii="Palatino Linotype" w:hAnsi="Palatino Linotype"/>
          <w:sz w:val="22"/>
          <w:szCs w:val="22"/>
        </w:rPr>
        <w:t xml:space="preserve">of this solicitation seeks to </w:t>
      </w:r>
      <w:r w:rsidR="00914B89">
        <w:rPr>
          <w:rFonts w:ascii="Palatino Linotype" w:hAnsi="Palatino Linotype"/>
          <w:sz w:val="22"/>
          <w:szCs w:val="22"/>
        </w:rPr>
        <w:t>pilot</w:t>
      </w:r>
      <w:r>
        <w:rPr>
          <w:rFonts w:ascii="Palatino Linotype" w:hAnsi="Palatino Linotype"/>
          <w:sz w:val="22"/>
          <w:szCs w:val="22"/>
        </w:rPr>
        <w:t xml:space="preserve"> innovative </w:t>
      </w:r>
      <w:r w:rsidR="00914B89">
        <w:rPr>
          <w:rFonts w:ascii="Palatino Linotype" w:hAnsi="Palatino Linotype"/>
          <w:sz w:val="22"/>
          <w:szCs w:val="22"/>
        </w:rPr>
        <w:t xml:space="preserve">planning, permitting and </w:t>
      </w:r>
      <w:r>
        <w:rPr>
          <w:rFonts w:ascii="Palatino Linotype" w:hAnsi="Palatino Linotype"/>
          <w:sz w:val="22"/>
          <w:szCs w:val="22"/>
        </w:rPr>
        <w:t>financing</w:t>
      </w:r>
      <w:r w:rsidR="00914B89">
        <w:rPr>
          <w:rFonts w:ascii="Palatino Linotype" w:hAnsi="Palatino Linotype"/>
          <w:sz w:val="22"/>
          <w:szCs w:val="22"/>
        </w:rPr>
        <w:t xml:space="preserve"> approaches</w:t>
      </w:r>
      <w:r>
        <w:rPr>
          <w:rFonts w:ascii="Palatino Linotype" w:hAnsi="Palatino Linotype"/>
          <w:sz w:val="22"/>
          <w:szCs w:val="22"/>
        </w:rPr>
        <w:t xml:space="preserve"> that can accelerate deployment of Advanced Energy Communities. A</w:t>
      </w:r>
      <w:r w:rsidR="000C6771">
        <w:rPr>
          <w:rFonts w:ascii="Palatino Linotype" w:hAnsi="Palatino Linotype"/>
          <w:sz w:val="22"/>
          <w:szCs w:val="22"/>
        </w:rPr>
        <w:t>s part of the pilot project</w:t>
      </w:r>
      <w:r>
        <w:rPr>
          <w:rFonts w:ascii="Palatino Linotype" w:hAnsi="Palatino Linotype"/>
          <w:sz w:val="22"/>
          <w:szCs w:val="22"/>
        </w:rPr>
        <w:t xml:space="preserve">, applicants must provide a real world design of a proposed Advanced Energy Community, and all associated plans necessary to get the project shovel ready. Phase </w:t>
      </w:r>
      <w:r w:rsidR="003E5C69">
        <w:rPr>
          <w:rFonts w:ascii="Palatino Linotype" w:hAnsi="Palatino Linotype"/>
          <w:sz w:val="22"/>
          <w:szCs w:val="22"/>
        </w:rPr>
        <w:t>I</w:t>
      </w:r>
      <w:r>
        <w:rPr>
          <w:rFonts w:ascii="Palatino Linotype" w:hAnsi="Palatino Linotype"/>
          <w:sz w:val="22"/>
          <w:szCs w:val="22"/>
        </w:rPr>
        <w:t xml:space="preserve"> is limited to the study and designs</w:t>
      </w:r>
      <w:r w:rsidR="000C6771">
        <w:rPr>
          <w:rFonts w:ascii="Palatino Linotype" w:hAnsi="Palatino Linotype"/>
          <w:sz w:val="22"/>
          <w:szCs w:val="22"/>
        </w:rPr>
        <w:t xml:space="preserve"> and</w:t>
      </w:r>
      <w:r>
        <w:rPr>
          <w:rFonts w:ascii="Palatino Linotype" w:hAnsi="Palatino Linotype"/>
          <w:sz w:val="22"/>
          <w:szCs w:val="22"/>
        </w:rPr>
        <w:t xml:space="preserve"> no construction will take place during Phase </w:t>
      </w:r>
      <w:r w:rsidR="003E5C69">
        <w:rPr>
          <w:rFonts w:ascii="Palatino Linotype" w:hAnsi="Palatino Linotype"/>
          <w:sz w:val="22"/>
          <w:szCs w:val="22"/>
        </w:rPr>
        <w:t>I</w:t>
      </w:r>
      <w:r>
        <w:rPr>
          <w:rFonts w:ascii="Palatino Linotype" w:hAnsi="Palatino Linotype"/>
          <w:sz w:val="22"/>
          <w:szCs w:val="22"/>
        </w:rPr>
        <w:t xml:space="preserve">. </w:t>
      </w:r>
      <w:r w:rsidRPr="00CB4085">
        <w:rPr>
          <w:rFonts w:ascii="Palatino Linotype" w:hAnsi="Palatino Linotype"/>
          <w:sz w:val="22"/>
          <w:szCs w:val="22"/>
        </w:rPr>
        <w:t xml:space="preserve">Phase </w:t>
      </w:r>
      <w:r w:rsidR="003E5C69">
        <w:rPr>
          <w:rFonts w:ascii="Palatino Linotype" w:hAnsi="Palatino Linotype"/>
          <w:sz w:val="22"/>
          <w:szCs w:val="22"/>
        </w:rPr>
        <w:t>II</w:t>
      </w:r>
      <w:r w:rsidR="003E5C69" w:rsidRPr="00CB4085">
        <w:rPr>
          <w:rFonts w:ascii="Palatino Linotype" w:hAnsi="Palatino Linotype"/>
          <w:sz w:val="22"/>
          <w:szCs w:val="22"/>
        </w:rPr>
        <w:t xml:space="preserve"> </w:t>
      </w:r>
      <w:r w:rsidRPr="00CB4085">
        <w:rPr>
          <w:rFonts w:ascii="Palatino Linotype" w:hAnsi="Palatino Linotype"/>
          <w:sz w:val="22"/>
          <w:szCs w:val="22"/>
        </w:rPr>
        <w:t xml:space="preserve">will </w:t>
      </w:r>
      <w:r>
        <w:rPr>
          <w:rFonts w:ascii="Palatino Linotype" w:hAnsi="Palatino Linotype"/>
          <w:sz w:val="22"/>
          <w:szCs w:val="22"/>
        </w:rPr>
        <w:t xml:space="preserve">provide </w:t>
      </w:r>
      <w:r w:rsidR="000C6771">
        <w:rPr>
          <w:rFonts w:ascii="Palatino Linotype" w:hAnsi="Palatino Linotype"/>
          <w:sz w:val="22"/>
          <w:szCs w:val="22"/>
        </w:rPr>
        <w:t>partial</w:t>
      </w:r>
      <w:r>
        <w:rPr>
          <w:rFonts w:ascii="Palatino Linotype" w:hAnsi="Palatino Linotype"/>
          <w:sz w:val="22"/>
          <w:szCs w:val="22"/>
        </w:rPr>
        <w:t xml:space="preserve"> funding </w:t>
      </w:r>
      <w:r w:rsidR="000C6771">
        <w:rPr>
          <w:rFonts w:ascii="Palatino Linotype" w:hAnsi="Palatino Linotype"/>
          <w:sz w:val="22"/>
          <w:szCs w:val="22"/>
        </w:rPr>
        <w:t>for the</w:t>
      </w:r>
      <w:r>
        <w:rPr>
          <w:rFonts w:ascii="Palatino Linotype" w:hAnsi="Palatino Linotype"/>
          <w:sz w:val="22"/>
          <w:szCs w:val="22"/>
        </w:rPr>
        <w:t xml:space="preserve"> build-out of </w:t>
      </w:r>
      <w:r w:rsidR="000C6771">
        <w:rPr>
          <w:rFonts w:ascii="Palatino Linotype" w:hAnsi="Palatino Linotype"/>
          <w:sz w:val="22"/>
          <w:szCs w:val="22"/>
        </w:rPr>
        <w:t>the best</w:t>
      </w:r>
      <w:r>
        <w:rPr>
          <w:rFonts w:ascii="Palatino Linotype" w:hAnsi="Palatino Linotype"/>
          <w:sz w:val="22"/>
          <w:szCs w:val="22"/>
        </w:rPr>
        <w:t xml:space="preserve"> Advanced Energy Communit</w:t>
      </w:r>
      <w:r w:rsidR="000C6771">
        <w:rPr>
          <w:rFonts w:ascii="Palatino Linotype" w:hAnsi="Palatino Linotype"/>
          <w:sz w:val="22"/>
          <w:szCs w:val="22"/>
        </w:rPr>
        <w:t>ies</w:t>
      </w:r>
      <w:r>
        <w:rPr>
          <w:rFonts w:ascii="Palatino Linotype" w:hAnsi="Palatino Linotype"/>
          <w:sz w:val="22"/>
          <w:szCs w:val="22"/>
        </w:rPr>
        <w:t xml:space="preserve">. Additional details on Phase </w:t>
      </w:r>
      <w:r w:rsidR="003E5C69">
        <w:rPr>
          <w:rFonts w:ascii="Palatino Linotype" w:hAnsi="Palatino Linotype"/>
          <w:sz w:val="22"/>
          <w:szCs w:val="22"/>
        </w:rPr>
        <w:t xml:space="preserve">II </w:t>
      </w:r>
      <w:r>
        <w:rPr>
          <w:rFonts w:ascii="Palatino Linotype" w:hAnsi="Palatino Linotype"/>
          <w:sz w:val="22"/>
          <w:szCs w:val="22"/>
        </w:rPr>
        <w:t xml:space="preserve">will be provided as part of a solicitation manual update towards the end of Phase </w:t>
      </w:r>
      <w:r w:rsidR="003E5C69">
        <w:rPr>
          <w:rFonts w:ascii="Palatino Linotype" w:hAnsi="Palatino Linotype"/>
          <w:sz w:val="22"/>
          <w:szCs w:val="22"/>
        </w:rPr>
        <w:t>II</w:t>
      </w:r>
      <w:r>
        <w:rPr>
          <w:rFonts w:ascii="Palatino Linotype" w:hAnsi="Palatino Linotype"/>
          <w:sz w:val="22"/>
          <w:szCs w:val="22"/>
        </w:rPr>
        <w:t xml:space="preserve">. </w:t>
      </w:r>
    </w:p>
    <w:p w:rsidR="00492488" w:rsidRPr="00670F38" w:rsidRDefault="00492488" w:rsidP="00492488">
      <w:pPr>
        <w:pStyle w:val="ListParagraph"/>
        <w:ind w:left="360"/>
        <w:rPr>
          <w:rFonts w:ascii="Palatino Linotype" w:hAnsi="Palatino Linotype"/>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Can </w:t>
      </w:r>
      <w:r>
        <w:rPr>
          <w:rFonts w:ascii="Palatino Linotype" w:hAnsi="Palatino Linotype"/>
          <w:b/>
        </w:rPr>
        <w:t>the Energy Commission provide</w:t>
      </w:r>
      <w:r w:rsidRPr="00CA6636">
        <w:rPr>
          <w:rFonts w:ascii="Palatino Linotype" w:hAnsi="Palatino Linotype"/>
          <w:b/>
        </w:rPr>
        <w:t xml:space="preserve"> clarification on </w:t>
      </w:r>
      <w:r>
        <w:rPr>
          <w:rFonts w:ascii="Palatino Linotype" w:hAnsi="Palatino Linotype"/>
          <w:b/>
        </w:rPr>
        <w:t>Scoring Criteria 3 paragraph</w:t>
      </w:r>
      <w:r w:rsidRPr="00CA6636">
        <w:rPr>
          <w:rFonts w:ascii="Palatino Linotype" w:hAnsi="Palatino Linotype"/>
          <w:b/>
        </w:rPr>
        <w:t xml:space="preserve"> D </w:t>
      </w:r>
      <w:r>
        <w:rPr>
          <w:rFonts w:ascii="Palatino Linotype" w:hAnsi="Palatino Linotype"/>
          <w:b/>
        </w:rPr>
        <w:t xml:space="preserve">on page 35 of the solicitation manual </w:t>
      </w:r>
      <w:r w:rsidRPr="00CA6636">
        <w:rPr>
          <w:rFonts w:ascii="Palatino Linotype" w:hAnsi="Palatino Linotype"/>
          <w:b/>
        </w:rPr>
        <w:t>under Impacts and Benefits to CA IOU Ratepayers</w:t>
      </w:r>
      <w:r>
        <w:rPr>
          <w:rFonts w:ascii="Palatino Linotype" w:hAnsi="Palatino Linotype"/>
          <w:b/>
        </w:rPr>
        <w:t>:</w:t>
      </w:r>
      <w:r w:rsidRPr="00CA6636">
        <w:rPr>
          <w:rFonts w:ascii="Palatino Linotype" w:hAnsi="Palatino Linotype"/>
          <w:b/>
        </w:rPr>
        <w:t xml:space="preserve"> "Identifies impacted market segments in California, including size and penetration or deployment rates, with underlying assumptions." Are market segments impacted by the pilot project or the replicability of the pilot? </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A: The market impacts should consider both. Applicants can make the case for benefits from 1) build-out and demonstration and lessons learned from a specific project, as well as 2) replicability</w:t>
      </w:r>
      <w:r>
        <w:rPr>
          <w:rFonts w:ascii="Palatino Linotype" w:hAnsi="Palatino Linotype"/>
          <w:sz w:val="22"/>
          <w:szCs w:val="22"/>
        </w:rPr>
        <w:t xml:space="preserve"> and how that will benefit a more statewide audience</w:t>
      </w:r>
      <w:r w:rsidRPr="00CB4085">
        <w:rPr>
          <w:rFonts w:ascii="Palatino Linotype" w:hAnsi="Palatino Linotype"/>
          <w:sz w:val="22"/>
          <w:szCs w:val="22"/>
        </w:rPr>
        <w:t>.</w:t>
      </w:r>
    </w:p>
    <w:p w:rsidR="008C39FE" w:rsidRDefault="008C39FE" w:rsidP="00670F38">
      <w:pPr>
        <w:ind w:left="360"/>
        <w:rPr>
          <w:rFonts w:ascii="Palatino Linotype" w:eastAsia="Times New Roman" w:hAnsi="Palatino Linotype"/>
          <w:color w:val="000000"/>
          <w:sz w:val="22"/>
          <w:szCs w:val="22"/>
        </w:rPr>
      </w:pPr>
    </w:p>
    <w:p w:rsidR="00492488" w:rsidRPr="00CA6636" w:rsidRDefault="00492488" w:rsidP="00492488">
      <w:pPr>
        <w:pStyle w:val="ListParagraph"/>
        <w:numPr>
          <w:ilvl w:val="0"/>
          <w:numId w:val="4"/>
        </w:numPr>
        <w:ind w:left="360"/>
        <w:rPr>
          <w:rFonts w:ascii="Palatino Linotype" w:hAnsi="Palatino Linotype"/>
          <w:b/>
        </w:rPr>
      </w:pPr>
      <w:r>
        <w:rPr>
          <w:rFonts w:ascii="Palatino Linotype" w:hAnsi="Palatino Linotype"/>
          <w:b/>
        </w:rPr>
        <w:t>Q: Zero-net Energy developments</w:t>
      </w:r>
      <w:r w:rsidRPr="00CA6636">
        <w:rPr>
          <w:rFonts w:ascii="Palatino Linotype" w:hAnsi="Palatino Linotype"/>
          <w:b/>
        </w:rPr>
        <w:t xml:space="preserve"> can cause higher costs, at distribution, and reduce cost-effectiveness of DERs; how </w:t>
      </w:r>
      <w:r w:rsidR="00052D9F">
        <w:rPr>
          <w:rFonts w:ascii="Palatino Linotype" w:hAnsi="Palatino Linotype"/>
          <w:b/>
        </w:rPr>
        <w:t xml:space="preserve">does the Energy Commission </w:t>
      </w:r>
      <w:r w:rsidRPr="00CA6636">
        <w:rPr>
          <w:rFonts w:ascii="Palatino Linotype" w:hAnsi="Palatino Linotype"/>
          <w:b/>
        </w:rPr>
        <w:t>take this into consideration?</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The Energy Commission is looking for</w:t>
      </w:r>
      <w:r w:rsidRPr="00CB4085">
        <w:rPr>
          <w:rFonts w:ascii="Palatino Linotype" w:hAnsi="Palatino Linotype"/>
          <w:sz w:val="22"/>
          <w:szCs w:val="22"/>
        </w:rPr>
        <w:t xml:space="preserve"> applicants to </w:t>
      </w:r>
      <w:r w:rsidR="000C6771">
        <w:rPr>
          <w:rFonts w:ascii="Palatino Linotype" w:hAnsi="Palatino Linotype"/>
          <w:sz w:val="22"/>
          <w:szCs w:val="22"/>
        </w:rPr>
        <w:t>evaluate and potentially pilot</w:t>
      </w:r>
      <w:r w:rsidR="00C66FC4">
        <w:rPr>
          <w:rFonts w:ascii="Palatino Linotype" w:hAnsi="Palatino Linotype"/>
          <w:sz w:val="22"/>
          <w:szCs w:val="22"/>
        </w:rPr>
        <w:t xml:space="preserve"> innovative</w:t>
      </w:r>
      <w:r w:rsidRPr="00CB4085">
        <w:rPr>
          <w:rFonts w:ascii="Palatino Linotype" w:hAnsi="Palatino Linotype"/>
          <w:sz w:val="22"/>
          <w:szCs w:val="22"/>
        </w:rPr>
        <w:t xml:space="preserve"> solutions </w:t>
      </w:r>
      <w:r w:rsidR="00C66FC4">
        <w:rPr>
          <w:rFonts w:ascii="Palatino Linotype" w:hAnsi="Palatino Linotype"/>
          <w:sz w:val="22"/>
          <w:szCs w:val="22"/>
        </w:rPr>
        <w:t>to overcome barriers to ZNE development, such as barriers caused by higher upfront costs and split incentives</w:t>
      </w:r>
      <w:r w:rsidRPr="00CB4085">
        <w:rPr>
          <w:rFonts w:ascii="Palatino Linotype" w:hAnsi="Palatino Linotype"/>
          <w:sz w:val="22"/>
          <w:szCs w:val="22"/>
        </w:rPr>
        <w:t>.</w:t>
      </w:r>
    </w:p>
    <w:p w:rsidR="00492488" w:rsidRDefault="00492488" w:rsidP="00670F38">
      <w:pPr>
        <w:ind w:left="360"/>
        <w:rPr>
          <w:rFonts w:ascii="Palatino Linotype" w:eastAsia="Times New Roman" w:hAnsi="Palatino Linotype"/>
          <w:color w:val="000000"/>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Please provide clarification on question C under Technical Merit &amp; Need: "Summarizes the current status of regulatory structures and designs as it relates to the </w:t>
      </w:r>
      <w:r w:rsidRPr="00CA6636">
        <w:rPr>
          <w:rFonts w:ascii="Palatino Linotype" w:hAnsi="Palatino Linotype"/>
          <w:b/>
        </w:rPr>
        <w:lastRenderedPageBreak/>
        <w:t>development of Advanced Energy Communities and explains how the proposed project will advance, supplement, and/or replace current regulatory structures and plans."</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A: This is a specific aspect under the technical approach in the solicitation</w:t>
      </w:r>
      <w:r>
        <w:rPr>
          <w:rFonts w:ascii="Palatino Linotype" w:hAnsi="Palatino Linotype"/>
          <w:sz w:val="22"/>
          <w:szCs w:val="22"/>
        </w:rPr>
        <w:t>.</w:t>
      </w:r>
      <w:r w:rsidRPr="00CB4085">
        <w:rPr>
          <w:rFonts w:ascii="Palatino Linotype" w:hAnsi="Palatino Linotype"/>
          <w:sz w:val="22"/>
          <w:szCs w:val="22"/>
        </w:rPr>
        <w:t xml:space="preserve"> </w:t>
      </w:r>
      <w:r>
        <w:rPr>
          <w:rFonts w:ascii="Palatino Linotype" w:hAnsi="Palatino Linotype"/>
          <w:sz w:val="22"/>
          <w:szCs w:val="22"/>
        </w:rPr>
        <w:t>E</w:t>
      </w:r>
      <w:r w:rsidRPr="00CB4085">
        <w:rPr>
          <w:rFonts w:ascii="Palatino Linotype" w:hAnsi="Palatino Linotype"/>
          <w:sz w:val="22"/>
          <w:szCs w:val="22"/>
        </w:rPr>
        <w:t>valuators will be looking for a summary of what the regulatory landscape is for the applicants’ propos</w:t>
      </w:r>
      <w:r w:rsidR="002B2C46">
        <w:rPr>
          <w:rFonts w:ascii="Palatino Linotype" w:hAnsi="Palatino Linotype"/>
          <w:sz w:val="22"/>
          <w:szCs w:val="22"/>
        </w:rPr>
        <w:t>ed development</w:t>
      </w:r>
      <w:r w:rsidRPr="00CB4085">
        <w:rPr>
          <w:rFonts w:ascii="Palatino Linotype" w:hAnsi="Palatino Linotype"/>
          <w:sz w:val="22"/>
          <w:szCs w:val="22"/>
        </w:rPr>
        <w:t xml:space="preserve"> and</w:t>
      </w:r>
      <w:r>
        <w:rPr>
          <w:rFonts w:ascii="Palatino Linotype" w:hAnsi="Palatino Linotype"/>
          <w:sz w:val="22"/>
          <w:szCs w:val="22"/>
        </w:rPr>
        <w:t xml:space="preserve"> looking for the proposed</w:t>
      </w:r>
      <w:r w:rsidRPr="00CB4085">
        <w:rPr>
          <w:rFonts w:ascii="Palatino Linotype" w:hAnsi="Palatino Linotype"/>
          <w:sz w:val="22"/>
          <w:szCs w:val="22"/>
        </w:rPr>
        <w:t xml:space="preserve"> advancements </w:t>
      </w:r>
      <w:r>
        <w:rPr>
          <w:rFonts w:ascii="Palatino Linotype" w:hAnsi="Palatino Linotype"/>
          <w:sz w:val="22"/>
          <w:szCs w:val="22"/>
        </w:rPr>
        <w:t xml:space="preserve">to that regulatory landscape that will help accelerate deployment of Advanced Energy Communities. </w:t>
      </w:r>
    </w:p>
    <w:p w:rsidR="00492488" w:rsidRDefault="00492488" w:rsidP="00492488">
      <w:pPr>
        <w:ind w:left="360"/>
        <w:rPr>
          <w:rFonts w:ascii="Palatino Linotype" w:hAnsi="Palatino Linotype"/>
          <w:sz w:val="22"/>
          <w:szCs w:val="22"/>
        </w:rPr>
      </w:pPr>
    </w:p>
    <w:p w:rsidR="00492488" w:rsidRPr="007F0D78" w:rsidRDefault="00492488" w:rsidP="00492488">
      <w:pPr>
        <w:pStyle w:val="ListParagraph"/>
        <w:numPr>
          <w:ilvl w:val="0"/>
          <w:numId w:val="4"/>
        </w:numPr>
        <w:ind w:left="360"/>
        <w:rPr>
          <w:rFonts w:ascii="Palatino Linotype" w:hAnsi="Palatino Linotype"/>
          <w:b/>
        </w:rPr>
      </w:pPr>
      <w:r w:rsidRPr="007F0D78">
        <w:rPr>
          <w:rFonts w:ascii="Palatino Linotype" w:hAnsi="Palatino Linotype"/>
          <w:b/>
        </w:rPr>
        <w:t>Q: Can the Energy Commission expand Energy Efficiency Financing to all distributed resources (electric vehicles, demand response, demand side management, energy efficiency, and other demand side resources)? Is this grant only limited to electricity?</w:t>
      </w:r>
    </w:p>
    <w:p w:rsidR="00492488" w:rsidRPr="007F0D78"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7F0D78">
        <w:rPr>
          <w:rFonts w:ascii="Palatino Linotype" w:hAnsi="Palatino Linotype"/>
          <w:sz w:val="22"/>
          <w:szCs w:val="22"/>
        </w:rPr>
        <w:t xml:space="preserve">A: </w:t>
      </w:r>
      <w:r>
        <w:rPr>
          <w:rFonts w:ascii="Palatino Linotype" w:hAnsi="Palatino Linotype"/>
          <w:sz w:val="22"/>
          <w:szCs w:val="22"/>
        </w:rPr>
        <w:t xml:space="preserve">This solicitation seeks to have applicants propose a wide range of technologies that they deem appropriate for their proposal, which may include the items identified in the question. </w:t>
      </w:r>
      <w:r w:rsidRPr="007F0D78">
        <w:rPr>
          <w:rFonts w:ascii="Palatino Linotype" w:hAnsi="Palatino Linotype"/>
          <w:sz w:val="22"/>
          <w:szCs w:val="22"/>
        </w:rPr>
        <w:t xml:space="preserve">The focus of this solicitation is on electric energy systems, but </w:t>
      </w:r>
      <w:r w:rsidR="002B2C46">
        <w:rPr>
          <w:rFonts w:ascii="Palatino Linotype" w:hAnsi="Palatino Linotype"/>
          <w:sz w:val="22"/>
          <w:szCs w:val="22"/>
        </w:rPr>
        <w:t xml:space="preserve">other systems that can impact the electric energy consumption of </w:t>
      </w:r>
      <w:r w:rsidR="003E5C69">
        <w:rPr>
          <w:rFonts w:ascii="Palatino Linotype" w:hAnsi="Palatino Linotype"/>
          <w:sz w:val="22"/>
          <w:szCs w:val="22"/>
        </w:rPr>
        <w:t>Advanced E</w:t>
      </w:r>
      <w:r w:rsidR="002B2C46">
        <w:rPr>
          <w:rFonts w:ascii="Palatino Linotype" w:hAnsi="Palatino Linotype"/>
          <w:sz w:val="22"/>
          <w:szCs w:val="22"/>
        </w:rPr>
        <w:t xml:space="preserve">nergy </w:t>
      </w:r>
      <w:r w:rsidR="003E5C69">
        <w:rPr>
          <w:rFonts w:ascii="Palatino Linotype" w:hAnsi="Palatino Linotype"/>
          <w:sz w:val="22"/>
          <w:szCs w:val="22"/>
        </w:rPr>
        <w:t>Communities</w:t>
      </w:r>
      <w:r w:rsidR="002B2C46">
        <w:rPr>
          <w:rFonts w:ascii="Palatino Linotype" w:hAnsi="Palatino Linotype"/>
          <w:sz w:val="22"/>
          <w:szCs w:val="22"/>
        </w:rPr>
        <w:t>, such as natural gas, may also be included as part of this application. Applicants will need to justify the appropriateness of including nonelectric energy systems in their proposals.</w:t>
      </w:r>
    </w:p>
    <w:p w:rsidR="00492488"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w:t>
      </w:r>
      <w:r>
        <w:rPr>
          <w:rFonts w:ascii="Palatino Linotype" w:hAnsi="Palatino Linotype"/>
          <w:b/>
        </w:rPr>
        <w:t>Does the Energy Commission</w:t>
      </w:r>
      <w:r w:rsidRPr="00CA6636">
        <w:rPr>
          <w:rFonts w:ascii="Palatino Linotype" w:hAnsi="Palatino Linotype"/>
          <w:b/>
        </w:rPr>
        <w:t xml:space="preserve"> have any specific performance metrics that </w:t>
      </w:r>
      <w:r w:rsidR="00052D9F">
        <w:rPr>
          <w:rFonts w:ascii="Palatino Linotype" w:hAnsi="Palatino Linotype"/>
          <w:b/>
        </w:rPr>
        <w:t>it is</w:t>
      </w:r>
      <w:r w:rsidRPr="00CA6636">
        <w:rPr>
          <w:rFonts w:ascii="Palatino Linotype" w:hAnsi="Palatino Linotype"/>
          <w:b/>
        </w:rPr>
        <w:t xml:space="preserve"> considering under "replicability"?</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sidR="00E5464B">
        <w:rPr>
          <w:rFonts w:ascii="Palatino Linotype" w:hAnsi="Palatino Linotype"/>
          <w:sz w:val="22"/>
          <w:szCs w:val="22"/>
        </w:rPr>
        <w:t xml:space="preserve">For this solicitation, replicability refers to the ability to deploy Advanced Energy Communities throughout the state as well as the ability to drive down the costs of Advanced Energy Community development. </w:t>
      </w:r>
    </w:p>
    <w:p w:rsidR="00936627" w:rsidRDefault="00936627" w:rsidP="00492488">
      <w:pPr>
        <w:ind w:left="360"/>
        <w:rPr>
          <w:rFonts w:ascii="Palatino Linotype" w:hAnsi="Palatino Linotype"/>
          <w:sz w:val="22"/>
          <w:szCs w:val="22"/>
        </w:rPr>
      </w:pPr>
    </w:p>
    <w:p w:rsidR="00936627" w:rsidRPr="008302E6" w:rsidRDefault="00936627" w:rsidP="00936627">
      <w:pPr>
        <w:pStyle w:val="ListParagraph"/>
        <w:numPr>
          <w:ilvl w:val="0"/>
          <w:numId w:val="4"/>
        </w:numPr>
        <w:ind w:left="360"/>
        <w:rPr>
          <w:rFonts w:ascii="Palatino Linotype" w:hAnsi="Palatino Linotype"/>
          <w:b/>
        </w:rPr>
      </w:pPr>
      <w:r w:rsidRPr="008302E6">
        <w:rPr>
          <w:rFonts w:ascii="Palatino Linotype" w:hAnsi="Palatino Linotype"/>
          <w:b/>
        </w:rPr>
        <w:t xml:space="preserve">Q: Interconnection is crucial. For example if an Advanced Energy Community has the potential to generate 3 megawatts, the current regulatory landscape does not allow any other entities outside of the IOUs to generate or distribute more than 1 MW. How does the Energy Commission anticipate overcoming these major regulatory barriers? </w:t>
      </w:r>
    </w:p>
    <w:p w:rsidR="00936627" w:rsidRPr="008302E6" w:rsidRDefault="00936627" w:rsidP="00936627">
      <w:pPr>
        <w:ind w:left="360"/>
        <w:rPr>
          <w:rFonts w:ascii="Palatino Linotype" w:hAnsi="Palatino Linotype"/>
          <w:sz w:val="22"/>
          <w:szCs w:val="22"/>
        </w:rPr>
      </w:pPr>
    </w:p>
    <w:p w:rsidR="00D17E2A" w:rsidRDefault="00936627" w:rsidP="00585933">
      <w:pPr>
        <w:ind w:left="360"/>
        <w:rPr>
          <w:rFonts w:ascii="Palatino Linotype" w:hAnsi="Palatino Linotype"/>
          <w:sz w:val="22"/>
          <w:szCs w:val="22"/>
        </w:rPr>
      </w:pPr>
      <w:r w:rsidRPr="008302E6">
        <w:rPr>
          <w:rFonts w:ascii="Palatino Linotype" w:hAnsi="Palatino Linotype"/>
          <w:sz w:val="22"/>
          <w:szCs w:val="22"/>
        </w:rPr>
        <w:t xml:space="preserve">A: </w:t>
      </w:r>
      <w:r w:rsidR="00585933">
        <w:rPr>
          <w:rFonts w:ascii="Palatino Linotype" w:hAnsi="Palatino Linotype"/>
          <w:sz w:val="22"/>
          <w:szCs w:val="22"/>
        </w:rPr>
        <w:t>Applicants should describe their plans for overcoming all technical and regulatory barriers for the development of the proposed Advanced Energy Community during the course of the project, and any contingency plan the project team has in the event the barrier cannot be overcome.</w:t>
      </w:r>
    </w:p>
    <w:p w:rsidR="009622C5" w:rsidRDefault="009622C5" w:rsidP="00585933">
      <w:pPr>
        <w:ind w:left="360"/>
        <w:rPr>
          <w:rFonts w:ascii="Palatino Linotype" w:hAnsi="Palatino Linotype"/>
          <w:sz w:val="22"/>
          <w:szCs w:val="22"/>
        </w:rPr>
      </w:pPr>
    </w:p>
    <w:p w:rsidR="009622C5" w:rsidRDefault="009622C5" w:rsidP="00585933">
      <w:pPr>
        <w:ind w:left="360"/>
        <w:rPr>
          <w:rFonts w:ascii="Palatino Linotype" w:hAnsi="Palatino Linotype"/>
          <w:sz w:val="22"/>
          <w:szCs w:val="22"/>
        </w:rPr>
      </w:pPr>
    </w:p>
    <w:p w:rsidR="009622C5" w:rsidRDefault="009622C5" w:rsidP="00585933">
      <w:pPr>
        <w:ind w:left="360"/>
        <w:rPr>
          <w:rFonts w:ascii="Palatino Linotype" w:hAnsi="Palatino Linotype"/>
          <w:sz w:val="22"/>
          <w:szCs w:val="22"/>
        </w:rPr>
      </w:pPr>
    </w:p>
    <w:p w:rsidR="009622C5" w:rsidRDefault="009622C5" w:rsidP="00585933">
      <w:pPr>
        <w:ind w:left="360"/>
        <w:rPr>
          <w:rFonts w:ascii="Palatino Linotype" w:hAnsi="Palatino Linotype"/>
          <w:sz w:val="22"/>
          <w:szCs w:val="22"/>
        </w:rPr>
      </w:pPr>
    </w:p>
    <w:p w:rsidR="009622C5" w:rsidRDefault="009622C5" w:rsidP="00585933">
      <w:pPr>
        <w:ind w:left="360"/>
        <w:rPr>
          <w:rFonts w:ascii="Palatino Linotype" w:hAnsi="Palatino Linotype"/>
          <w:sz w:val="22"/>
          <w:szCs w:val="22"/>
        </w:rPr>
      </w:pPr>
    </w:p>
    <w:p w:rsidR="00492488" w:rsidRDefault="00492488" w:rsidP="00936627">
      <w:pPr>
        <w:pStyle w:val="Heading1"/>
        <w:rPr>
          <w:rFonts w:ascii="Palatino Linotype" w:eastAsia="Times New Roman" w:hAnsi="Palatino Linotype"/>
          <w:szCs w:val="22"/>
        </w:rPr>
      </w:pPr>
      <w:bookmarkStart w:id="10" w:name="_Toc438652256"/>
      <w:r w:rsidRPr="004C6D7B">
        <w:rPr>
          <w:rFonts w:ascii="Palatino Linotype" w:eastAsia="Times New Roman" w:hAnsi="Palatino Linotype"/>
          <w:szCs w:val="22"/>
        </w:rPr>
        <w:lastRenderedPageBreak/>
        <w:t>Utility Involvement</w:t>
      </w:r>
      <w:bookmarkEnd w:id="10"/>
    </w:p>
    <w:p w:rsidR="007D2F69" w:rsidRPr="007D2F69" w:rsidRDefault="007D2F69" w:rsidP="007D2F69"/>
    <w:p w:rsidR="007D2F69" w:rsidRPr="00CA6636" w:rsidRDefault="007D2F69" w:rsidP="007D2F69">
      <w:pPr>
        <w:pStyle w:val="ListParagraph"/>
        <w:numPr>
          <w:ilvl w:val="0"/>
          <w:numId w:val="4"/>
        </w:numPr>
        <w:ind w:left="360"/>
        <w:rPr>
          <w:rFonts w:ascii="Palatino Linotype" w:hAnsi="Palatino Linotype"/>
          <w:b/>
        </w:rPr>
      </w:pPr>
      <w:r w:rsidRPr="00CA6636">
        <w:rPr>
          <w:rFonts w:ascii="Palatino Linotype" w:hAnsi="Palatino Linotype"/>
          <w:b/>
        </w:rPr>
        <w:t xml:space="preserve">Q: Can the Energy Commission engage with the utilities in an active matter for this solicitation?  </w:t>
      </w:r>
    </w:p>
    <w:p w:rsidR="007D2F69" w:rsidRPr="00CB4085" w:rsidRDefault="007D2F69" w:rsidP="007D2F69">
      <w:pPr>
        <w:ind w:left="360"/>
        <w:rPr>
          <w:rFonts w:ascii="Palatino Linotype" w:hAnsi="Palatino Linotype"/>
          <w:sz w:val="22"/>
          <w:szCs w:val="22"/>
        </w:rPr>
      </w:pPr>
    </w:p>
    <w:p w:rsidR="007D2F69" w:rsidRPr="00CB4085" w:rsidRDefault="007D2F69" w:rsidP="007D2F69">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T</w:t>
      </w:r>
      <w:r w:rsidRPr="00CB4085">
        <w:rPr>
          <w:rFonts w:ascii="Palatino Linotype" w:hAnsi="Palatino Linotype"/>
          <w:sz w:val="22"/>
          <w:szCs w:val="22"/>
        </w:rPr>
        <w:t xml:space="preserve">he </w:t>
      </w:r>
      <w:r>
        <w:rPr>
          <w:rFonts w:ascii="Palatino Linotype" w:hAnsi="Palatino Linotype"/>
          <w:sz w:val="22"/>
          <w:szCs w:val="22"/>
        </w:rPr>
        <w:t>Energy Commission</w:t>
      </w:r>
      <w:r w:rsidRPr="00CB4085">
        <w:rPr>
          <w:rFonts w:ascii="Palatino Linotype" w:hAnsi="Palatino Linotype"/>
          <w:sz w:val="22"/>
          <w:szCs w:val="22"/>
        </w:rPr>
        <w:t xml:space="preserve"> is not able to work with </w:t>
      </w:r>
      <w:r>
        <w:rPr>
          <w:rFonts w:ascii="Palatino Linotype" w:hAnsi="Palatino Linotype"/>
          <w:sz w:val="22"/>
          <w:szCs w:val="22"/>
        </w:rPr>
        <w:t>any potential applicant outside of the public process prior to the release of any solicitation. Since the IOUs are not restricted from submitting a proposal, or participating in a team submitting a proposal, the Energy Commission is not in a position to actively engage with the IOUs.</w:t>
      </w:r>
    </w:p>
    <w:p w:rsidR="00492488" w:rsidRDefault="00492488" w:rsidP="00492488">
      <w:pPr>
        <w:rPr>
          <w:rFonts w:ascii="Palatino Linotype" w:eastAsia="Times New Roman" w:hAnsi="Palatino Linotype"/>
          <w:b/>
          <w:color w:val="000000"/>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Has the Energy Commission engaged with Investor-Owned Utilities (IOUs) on this solicitation? It is critical to have IOU input and allow interconnections for these developments. Is this the first time they’ve seen it? What feedback have we gotten from IOUs on this effort? </w:t>
      </w:r>
    </w:p>
    <w:p w:rsidR="00492488" w:rsidRPr="00CB4085" w:rsidRDefault="00492488" w:rsidP="00492488">
      <w:pPr>
        <w:ind w:left="360"/>
        <w:rPr>
          <w:rFonts w:ascii="Palatino Linotype" w:hAnsi="Palatino Linotype"/>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The Energy Commission released a draft of this solicitation earlier this year, but </w:t>
      </w:r>
      <w:r w:rsidR="007D2F69">
        <w:rPr>
          <w:rFonts w:ascii="Palatino Linotype" w:hAnsi="Palatino Linotype"/>
          <w:sz w:val="22"/>
          <w:szCs w:val="22"/>
        </w:rPr>
        <w:t>has</w:t>
      </w:r>
      <w:r>
        <w:rPr>
          <w:rFonts w:ascii="Palatino Linotype" w:hAnsi="Palatino Linotype"/>
          <w:sz w:val="22"/>
          <w:szCs w:val="22"/>
        </w:rPr>
        <w:t xml:space="preserve"> not done specific engagement with the IOUs because they are eligible to receive funding under this solicitation. </w:t>
      </w:r>
      <w:r w:rsidR="007D2F69">
        <w:rPr>
          <w:rFonts w:ascii="Palatino Linotype" w:hAnsi="Palatino Linotype"/>
          <w:sz w:val="22"/>
          <w:szCs w:val="22"/>
        </w:rPr>
        <w:t>Please see the answer to Question 7</w:t>
      </w:r>
      <w:r w:rsidR="00E8687C">
        <w:rPr>
          <w:rFonts w:ascii="Palatino Linotype" w:hAnsi="Palatino Linotype"/>
          <w:sz w:val="22"/>
          <w:szCs w:val="22"/>
        </w:rPr>
        <w:t>6</w:t>
      </w:r>
      <w:r w:rsidR="007D2F69">
        <w:rPr>
          <w:rFonts w:ascii="Palatino Linotype" w:hAnsi="Palatino Linotype"/>
          <w:sz w:val="22"/>
          <w:szCs w:val="22"/>
        </w:rPr>
        <w:t xml:space="preserve"> for more detail.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Would the IOUs be a good partner? </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 xml:space="preserve">A: </w:t>
      </w:r>
      <w:r>
        <w:rPr>
          <w:rFonts w:ascii="Palatino Linotype" w:hAnsi="Palatino Linotype"/>
          <w:sz w:val="22"/>
          <w:szCs w:val="22"/>
        </w:rPr>
        <w:t xml:space="preserve">The Investor Owned Utilities </w:t>
      </w:r>
      <w:r w:rsidR="009C38BA">
        <w:rPr>
          <w:rFonts w:ascii="Palatino Linotype" w:hAnsi="Palatino Linotype"/>
          <w:sz w:val="22"/>
          <w:szCs w:val="22"/>
        </w:rPr>
        <w:t xml:space="preserve">could </w:t>
      </w:r>
      <w:r>
        <w:rPr>
          <w:rFonts w:ascii="Palatino Linotype" w:hAnsi="Palatino Linotype"/>
          <w:sz w:val="22"/>
          <w:szCs w:val="22"/>
        </w:rPr>
        <w:t>be</w:t>
      </w:r>
      <w:r w:rsidR="009C38BA">
        <w:rPr>
          <w:rFonts w:ascii="Palatino Linotype" w:hAnsi="Palatino Linotype"/>
          <w:sz w:val="22"/>
          <w:szCs w:val="22"/>
        </w:rPr>
        <w:t xml:space="preserve"> a</w:t>
      </w:r>
      <w:r>
        <w:rPr>
          <w:rFonts w:ascii="Palatino Linotype" w:hAnsi="Palatino Linotype"/>
          <w:sz w:val="22"/>
          <w:szCs w:val="22"/>
        </w:rPr>
        <w:t xml:space="preserve"> valuable partner to have on this solicitation</w:t>
      </w:r>
      <w:r w:rsidR="009C38BA">
        <w:rPr>
          <w:rFonts w:ascii="Palatino Linotype" w:hAnsi="Palatino Linotype"/>
          <w:sz w:val="22"/>
          <w:szCs w:val="22"/>
        </w:rPr>
        <w:t xml:space="preserve"> depending on their role and contribution to the project</w:t>
      </w:r>
      <w:r>
        <w:rPr>
          <w:rFonts w:ascii="Palatino Linotype" w:hAnsi="Palatino Linotype"/>
          <w:sz w:val="22"/>
          <w:szCs w:val="22"/>
        </w:rPr>
        <w:t xml:space="preserve">. </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b/>
        </w:rPr>
        <w:t xml:space="preserve">Q: Can utilities be a technical partner in this solicitation? </w:t>
      </w:r>
    </w:p>
    <w:p w:rsidR="00492488" w:rsidRPr="00CB4085" w:rsidRDefault="00492488" w:rsidP="00492488">
      <w:pPr>
        <w:ind w:left="360"/>
        <w:rPr>
          <w:rFonts w:ascii="Palatino Linotype" w:hAnsi="Palatino Linotype"/>
          <w:sz w:val="22"/>
          <w:szCs w:val="22"/>
        </w:rPr>
      </w:pPr>
    </w:p>
    <w:p w:rsidR="00492488" w:rsidRDefault="00492488" w:rsidP="00492488">
      <w:pPr>
        <w:ind w:left="360"/>
        <w:rPr>
          <w:rFonts w:ascii="Palatino Linotype" w:hAnsi="Palatino Linotype"/>
          <w:sz w:val="22"/>
          <w:szCs w:val="22"/>
        </w:rPr>
      </w:pPr>
      <w:r w:rsidRPr="00CB4085">
        <w:rPr>
          <w:rFonts w:ascii="Palatino Linotype" w:hAnsi="Palatino Linotype"/>
          <w:sz w:val="22"/>
          <w:szCs w:val="22"/>
        </w:rPr>
        <w:t>A: Yes, Investor Owned Utilities can be a partner in this solicitation. Publicly Owned Utilities are not allowed to receive any funding</w:t>
      </w:r>
      <w:r w:rsidR="00345593">
        <w:rPr>
          <w:rFonts w:ascii="Palatino Linotype" w:hAnsi="Palatino Linotype"/>
          <w:sz w:val="22"/>
          <w:szCs w:val="22"/>
        </w:rPr>
        <w:t>.</w:t>
      </w:r>
    </w:p>
    <w:p w:rsidR="001F12BB" w:rsidRDefault="001F12BB" w:rsidP="00492488">
      <w:pPr>
        <w:ind w:left="360"/>
        <w:rPr>
          <w:rFonts w:ascii="Palatino Linotype" w:hAnsi="Palatino Linotype"/>
          <w:sz w:val="22"/>
          <w:szCs w:val="22"/>
        </w:rPr>
      </w:pPr>
    </w:p>
    <w:p w:rsidR="001F12BB" w:rsidRPr="00CA6636" w:rsidRDefault="001F12BB" w:rsidP="001F12BB">
      <w:pPr>
        <w:pStyle w:val="ListParagraph"/>
        <w:numPr>
          <w:ilvl w:val="0"/>
          <w:numId w:val="4"/>
        </w:numPr>
        <w:ind w:left="360"/>
        <w:rPr>
          <w:rFonts w:ascii="Palatino Linotype" w:hAnsi="Palatino Linotype"/>
          <w:b/>
        </w:rPr>
      </w:pPr>
      <w:r w:rsidRPr="00CA6636">
        <w:rPr>
          <w:rFonts w:ascii="Palatino Linotype" w:hAnsi="Palatino Linotype"/>
          <w:b/>
        </w:rPr>
        <w:t>Q: Are POU’s eligible to be funded or partners in this solicitation?</w:t>
      </w:r>
    </w:p>
    <w:p w:rsidR="001F12BB" w:rsidRPr="00CB4085" w:rsidRDefault="001F12BB" w:rsidP="001F12BB">
      <w:pPr>
        <w:ind w:left="360"/>
        <w:rPr>
          <w:rFonts w:ascii="Palatino Linotype" w:hAnsi="Palatino Linotype"/>
          <w:sz w:val="22"/>
          <w:szCs w:val="22"/>
        </w:rPr>
      </w:pPr>
    </w:p>
    <w:p w:rsidR="001F12BB" w:rsidRPr="00CB4085" w:rsidRDefault="001F12BB" w:rsidP="001F12BB">
      <w:pPr>
        <w:ind w:left="360"/>
        <w:rPr>
          <w:rFonts w:ascii="Palatino Linotype" w:hAnsi="Palatino Linotype"/>
          <w:sz w:val="22"/>
          <w:szCs w:val="22"/>
        </w:rPr>
      </w:pPr>
      <w:r w:rsidRPr="00CB4085">
        <w:rPr>
          <w:rFonts w:ascii="Palatino Linotype" w:hAnsi="Palatino Linotype"/>
          <w:sz w:val="22"/>
          <w:szCs w:val="22"/>
        </w:rPr>
        <w:t>A: POU’s</w:t>
      </w:r>
      <w:r>
        <w:rPr>
          <w:rFonts w:ascii="Palatino Linotype" w:hAnsi="Palatino Linotype"/>
          <w:sz w:val="22"/>
          <w:szCs w:val="22"/>
        </w:rPr>
        <w:t xml:space="preserve"> are not eligible to receive any funding under this solicitation</w:t>
      </w:r>
      <w:r w:rsidR="00345593">
        <w:rPr>
          <w:rFonts w:ascii="Palatino Linotype" w:hAnsi="Palatino Linotype"/>
          <w:sz w:val="22"/>
          <w:szCs w:val="22"/>
        </w:rPr>
        <w:t>. H</w:t>
      </w:r>
      <w:r>
        <w:rPr>
          <w:rFonts w:ascii="Palatino Linotype" w:hAnsi="Palatino Linotype"/>
          <w:sz w:val="22"/>
          <w:szCs w:val="22"/>
        </w:rPr>
        <w:t>owever</w:t>
      </w:r>
      <w:r w:rsidR="00345593">
        <w:rPr>
          <w:rFonts w:ascii="Palatino Linotype" w:hAnsi="Palatino Linotype"/>
          <w:sz w:val="22"/>
          <w:szCs w:val="22"/>
        </w:rPr>
        <w:t>,</w:t>
      </w:r>
      <w:r>
        <w:rPr>
          <w:rFonts w:ascii="Palatino Linotype" w:hAnsi="Palatino Linotype"/>
          <w:sz w:val="22"/>
          <w:szCs w:val="22"/>
        </w:rPr>
        <w:t xml:space="preserve"> </w:t>
      </w:r>
      <w:r w:rsidR="00345593">
        <w:rPr>
          <w:rFonts w:ascii="Palatino Linotype" w:hAnsi="Palatino Linotype"/>
          <w:sz w:val="22"/>
          <w:szCs w:val="22"/>
        </w:rPr>
        <w:t xml:space="preserve">POU employees that can provide technical expertise to the project are eligible to </w:t>
      </w:r>
      <w:r>
        <w:rPr>
          <w:rFonts w:ascii="Palatino Linotype" w:hAnsi="Palatino Linotype"/>
          <w:sz w:val="22"/>
          <w:szCs w:val="22"/>
        </w:rPr>
        <w:t xml:space="preserve">serve on project </w:t>
      </w:r>
      <w:r w:rsidR="00345593">
        <w:rPr>
          <w:rFonts w:ascii="Palatino Linotype" w:hAnsi="Palatino Linotype"/>
          <w:sz w:val="22"/>
          <w:szCs w:val="22"/>
        </w:rPr>
        <w:t>Technical Advisory Committee</w:t>
      </w:r>
      <w:r>
        <w:rPr>
          <w:rFonts w:ascii="Palatino Linotype" w:hAnsi="Palatino Linotype"/>
          <w:sz w:val="22"/>
          <w:szCs w:val="22"/>
        </w:rPr>
        <w:t>. The proposed site of the Advanced Energy Community must be in IOU service territory.</w:t>
      </w:r>
      <w:r w:rsidR="004C38AB">
        <w:rPr>
          <w:rFonts w:ascii="Palatino Linotype" w:hAnsi="Palatino Linotype"/>
          <w:sz w:val="22"/>
          <w:szCs w:val="22"/>
        </w:rPr>
        <w:t xml:space="preserve"> POUs can also provide match funding. </w:t>
      </w:r>
    </w:p>
    <w:p w:rsidR="00492488" w:rsidRDefault="00492488" w:rsidP="00492488">
      <w:pPr>
        <w:ind w:left="360"/>
        <w:rPr>
          <w:rFonts w:ascii="Palatino Linotype" w:hAnsi="Palatino Linotype"/>
          <w:sz w:val="22"/>
          <w:szCs w:val="22"/>
        </w:rPr>
      </w:pPr>
    </w:p>
    <w:p w:rsidR="00492488" w:rsidRPr="009C04D0" w:rsidRDefault="00492488" w:rsidP="00492488">
      <w:pPr>
        <w:pStyle w:val="ListParagraph"/>
        <w:numPr>
          <w:ilvl w:val="0"/>
          <w:numId w:val="4"/>
        </w:numPr>
        <w:ind w:left="360"/>
        <w:rPr>
          <w:rFonts w:ascii="Palatino Linotype" w:hAnsi="Palatino Linotype"/>
          <w:b/>
        </w:rPr>
      </w:pPr>
      <w:r w:rsidRPr="009C04D0">
        <w:rPr>
          <w:rFonts w:ascii="Palatino Linotype" w:hAnsi="Palatino Linotype"/>
          <w:b/>
        </w:rPr>
        <w:t xml:space="preserve">Q: POUs cannot receive any funds, but they are allowed on technical advisory committees (TACs) and would they be allowed to be compensated for serving on a TAC? </w:t>
      </w:r>
    </w:p>
    <w:p w:rsidR="00492488" w:rsidRPr="009C04D0" w:rsidRDefault="00492488" w:rsidP="00492488">
      <w:pPr>
        <w:rPr>
          <w:rFonts w:ascii="Palatino Linotype" w:hAnsi="Palatino Linotype"/>
          <w:sz w:val="22"/>
          <w:szCs w:val="22"/>
        </w:rPr>
      </w:pPr>
    </w:p>
    <w:p w:rsidR="00492488" w:rsidRPr="00CB4085" w:rsidRDefault="009C04D0" w:rsidP="00492488">
      <w:pPr>
        <w:ind w:left="360"/>
        <w:rPr>
          <w:rFonts w:ascii="Palatino Linotype" w:hAnsi="Palatino Linotype"/>
          <w:sz w:val="22"/>
          <w:szCs w:val="22"/>
        </w:rPr>
      </w:pPr>
      <w:r w:rsidRPr="009C04D0">
        <w:rPr>
          <w:rFonts w:ascii="Palatino Linotype" w:hAnsi="Palatino Linotype"/>
          <w:sz w:val="22"/>
          <w:szCs w:val="22"/>
        </w:rPr>
        <w:t xml:space="preserve">A: </w:t>
      </w:r>
      <w:r w:rsidR="003062B4" w:rsidRPr="009C04D0">
        <w:rPr>
          <w:rFonts w:ascii="Palatino Linotype" w:hAnsi="Palatino Linotype"/>
          <w:sz w:val="22"/>
          <w:szCs w:val="22"/>
        </w:rPr>
        <w:t xml:space="preserve">TAC members can only be compensated for their time if they are listed on the Direct Labor budget sheet as an employee of either the Prime Recipient or a Subcontractor. The Energy Commission can only pay for the salaries of personnel that are listed in the budget. Travel expenses, however, can be reimbursed for TAC members as long as those expenses </w:t>
      </w:r>
      <w:r w:rsidR="003062B4" w:rsidRPr="009C04D0">
        <w:rPr>
          <w:rFonts w:ascii="Palatino Linotype" w:hAnsi="Palatino Linotype"/>
          <w:sz w:val="22"/>
          <w:szCs w:val="22"/>
        </w:rPr>
        <w:lastRenderedPageBreak/>
        <w:t>are factored into the Budget Form’s Travel spreadsheet as part of the Prime Recipient or Subcontractor costs.</w:t>
      </w:r>
    </w:p>
    <w:p w:rsidR="00492488" w:rsidRPr="00CB4085" w:rsidRDefault="00492488" w:rsidP="00492488">
      <w:pPr>
        <w:ind w:left="360"/>
        <w:rPr>
          <w:rFonts w:ascii="Palatino Linotype" w:hAnsi="Palatino Linotype"/>
          <w:sz w:val="22"/>
          <w:szCs w:val="22"/>
        </w:rPr>
      </w:pPr>
    </w:p>
    <w:p w:rsidR="00492488" w:rsidRPr="00CA6636" w:rsidRDefault="00492488" w:rsidP="00492488">
      <w:pPr>
        <w:pStyle w:val="ListParagraph"/>
        <w:numPr>
          <w:ilvl w:val="0"/>
          <w:numId w:val="4"/>
        </w:numPr>
        <w:ind w:left="360"/>
        <w:rPr>
          <w:rFonts w:ascii="Palatino Linotype" w:hAnsi="Palatino Linotype"/>
          <w:b/>
        </w:rPr>
      </w:pPr>
      <w:r w:rsidRPr="00CA6636">
        <w:rPr>
          <w:rFonts w:ascii="Palatino Linotype" w:hAnsi="Palatino Linotype" w:cs="Times"/>
          <w:b/>
        </w:rPr>
        <w:t>Q: The solicitation manual states on page 19:</w:t>
      </w:r>
      <w:r w:rsidRPr="00CA6636">
        <w:rPr>
          <w:rFonts w:ascii="Palatino Linotype" w:hAnsi="Palatino Linotype" w:cs="Times"/>
          <w:b/>
          <w:iCs/>
        </w:rPr>
        <w:t xml:space="preserve"> “…funds administered by the Energy Commission may not be used for any purposes associated with publicly-owned utility activities.”</w:t>
      </w:r>
      <w:r w:rsidRPr="00CA6636">
        <w:rPr>
          <w:rFonts w:ascii="Palatino Linotype" w:hAnsi="Palatino Linotype"/>
          <w:b/>
        </w:rPr>
        <w:t xml:space="preserve"> </w:t>
      </w:r>
      <w:r w:rsidRPr="00CA6636">
        <w:rPr>
          <w:rFonts w:ascii="Palatino Linotype" w:hAnsi="Palatino Linotype" w:cstheme="minorBidi"/>
          <w:b/>
        </w:rPr>
        <w:t xml:space="preserve">Would this apply to a regional waste authority (i.e. Special Districts/JPA’s that manage local landfills)? </w:t>
      </w:r>
    </w:p>
    <w:p w:rsidR="00492488" w:rsidRPr="00CB4085" w:rsidRDefault="00492488" w:rsidP="00492488">
      <w:pPr>
        <w:ind w:left="360"/>
        <w:rPr>
          <w:rFonts w:ascii="Palatino Linotype" w:hAnsi="Palatino Linotype" w:cstheme="minorBidi"/>
          <w:sz w:val="22"/>
          <w:szCs w:val="22"/>
        </w:rPr>
      </w:pPr>
    </w:p>
    <w:p w:rsidR="00492488" w:rsidRPr="00CB4085" w:rsidRDefault="00492488" w:rsidP="00492488">
      <w:pPr>
        <w:ind w:left="360"/>
        <w:rPr>
          <w:rFonts w:ascii="Palatino Linotype" w:hAnsi="Palatino Linotype"/>
          <w:sz w:val="22"/>
          <w:szCs w:val="22"/>
        </w:rPr>
      </w:pPr>
      <w:r w:rsidRPr="00CB4085">
        <w:rPr>
          <w:rFonts w:ascii="Palatino Linotype" w:hAnsi="Palatino Linotype" w:cstheme="minorBidi"/>
          <w:sz w:val="22"/>
          <w:szCs w:val="22"/>
        </w:rPr>
        <w:t xml:space="preserve">A: </w:t>
      </w:r>
      <w:r w:rsidR="000569D5">
        <w:rPr>
          <w:rFonts w:ascii="Palatino Linotype" w:hAnsi="Palatino Linotype" w:cstheme="minorBidi"/>
          <w:sz w:val="22"/>
          <w:szCs w:val="22"/>
        </w:rPr>
        <w:t xml:space="preserve">This restriction is limited to publicly-owned electric utilities. </w:t>
      </w:r>
      <w:r w:rsidRPr="00CB4085">
        <w:rPr>
          <w:rFonts w:ascii="Palatino Linotype" w:hAnsi="Palatino Linotype" w:cstheme="minorBidi"/>
          <w:sz w:val="22"/>
          <w:szCs w:val="22"/>
        </w:rPr>
        <w:t xml:space="preserve">Regional waste authorities would qualify as project partners under this solicitation. </w:t>
      </w:r>
    </w:p>
    <w:p w:rsidR="00492488" w:rsidRPr="004C6D7B" w:rsidRDefault="00936627" w:rsidP="00936627">
      <w:pPr>
        <w:pStyle w:val="Heading1"/>
        <w:rPr>
          <w:rFonts w:ascii="Palatino Linotype" w:eastAsia="Times New Roman" w:hAnsi="Palatino Linotype"/>
          <w:szCs w:val="22"/>
        </w:rPr>
      </w:pPr>
      <w:bookmarkStart w:id="11" w:name="_Toc438652257"/>
      <w:r w:rsidRPr="004C6D7B">
        <w:rPr>
          <w:rFonts w:ascii="Palatino Linotype" w:eastAsia="Times New Roman" w:hAnsi="Palatino Linotype"/>
          <w:szCs w:val="22"/>
        </w:rPr>
        <w:t>Benefits Measurement</w:t>
      </w:r>
      <w:bookmarkEnd w:id="11"/>
    </w:p>
    <w:p w:rsidR="00936627" w:rsidRDefault="00936627" w:rsidP="00492488">
      <w:pPr>
        <w:rPr>
          <w:rFonts w:ascii="Palatino Linotype" w:eastAsia="Times New Roman" w:hAnsi="Palatino Linotype"/>
          <w:b/>
          <w:color w:val="000000"/>
          <w:sz w:val="22"/>
          <w:szCs w:val="22"/>
        </w:rPr>
      </w:pPr>
    </w:p>
    <w:p w:rsidR="008C39FE" w:rsidRPr="00CA6636" w:rsidRDefault="006E1781" w:rsidP="00670F38">
      <w:pPr>
        <w:pStyle w:val="ListParagraph"/>
        <w:numPr>
          <w:ilvl w:val="0"/>
          <w:numId w:val="4"/>
        </w:numPr>
        <w:ind w:left="360"/>
        <w:rPr>
          <w:rFonts w:ascii="Palatino Linotype" w:eastAsia="Times New Roman" w:hAnsi="Palatino Linotype"/>
          <w:b/>
          <w:color w:val="000000"/>
        </w:rPr>
      </w:pPr>
      <w:r>
        <w:rPr>
          <w:rFonts w:ascii="Palatino Linotype" w:eastAsia="Times New Roman" w:hAnsi="Palatino Linotype"/>
          <w:b/>
          <w:color w:val="000000"/>
        </w:rPr>
        <w:t>Q</w:t>
      </w:r>
      <w:r w:rsidR="00F143CD" w:rsidRPr="00CA6636">
        <w:rPr>
          <w:rFonts w:ascii="Palatino Linotype" w:eastAsia="Times New Roman" w:hAnsi="Palatino Linotype"/>
          <w:b/>
          <w:color w:val="000000"/>
        </w:rPr>
        <w:t xml:space="preserve">: Can the Energy Commission provide </w:t>
      </w:r>
      <w:r w:rsidR="008C39FE" w:rsidRPr="00CA6636">
        <w:rPr>
          <w:rFonts w:ascii="Palatino Linotype" w:eastAsia="Times New Roman" w:hAnsi="Palatino Linotype"/>
          <w:b/>
          <w:color w:val="000000"/>
        </w:rPr>
        <w:t xml:space="preserve">clarification on the use of values contained in Attachment 12.  Although not discussed in the GFO manual, Attachment 12 was included on the website and its introduction states: "Applicants must use these tables when estimating the proposed project’s energy and peak demand savings and greenhouse gas (GHG) impacts, to the extent that the data </w:t>
      </w:r>
      <w:r w:rsidR="00670F38" w:rsidRPr="00CA6636">
        <w:rPr>
          <w:rFonts w:ascii="Palatino Linotype" w:eastAsia="Times New Roman" w:hAnsi="Palatino Linotype"/>
          <w:b/>
          <w:color w:val="000000"/>
        </w:rPr>
        <w:t>apply to the proposed project.” I</w:t>
      </w:r>
      <w:r w:rsidR="008C39FE" w:rsidRPr="00CA6636">
        <w:rPr>
          <w:rFonts w:ascii="Palatino Linotype" w:eastAsia="Times New Roman" w:hAnsi="Palatino Linotype"/>
          <w:b/>
          <w:color w:val="000000"/>
        </w:rPr>
        <w:t xml:space="preserve">n the </w:t>
      </w:r>
      <w:proofErr w:type="spellStart"/>
      <w:r w:rsidR="008C39FE" w:rsidRPr="00CA6636">
        <w:rPr>
          <w:rFonts w:ascii="Palatino Linotype" w:eastAsia="Times New Roman" w:hAnsi="Palatino Linotype"/>
          <w:b/>
          <w:color w:val="000000"/>
        </w:rPr>
        <w:t>webex</w:t>
      </w:r>
      <w:proofErr w:type="spellEnd"/>
      <w:r w:rsidR="008C39FE" w:rsidRPr="00CA6636">
        <w:rPr>
          <w:rFonts w:ascii="Palatino Linotype" w:eastAsia="Times New Roman" w:hAnsi="Palatino Linotype"/>
          <w:b/>
          <w:color w:val="000000"/>
        </w:rPr>
        <w:t xml:space="preserve"> yesterday, in response to my question, we were told that we are allowed to use site-specific data if that is available.  We would like to request a formal clarification regarding the values that can be used for estimating energy and GHG savings.</w:t>
      </w:r>
    </w:p>
    <w:p w:rsidR="00F143CD" w:rsidRPr="00CB4085" w:rsidRDefault="00F143CD" w:rsidP="008C39FE">
      <w:pPr>
        <w:rPr>
          <w:rFonts w:ascii="Palatino Linotype" w:eastAsia="Times New Roman" w:hAnsi="Palatino Linotype"/>
          <w:color w:val="000000"/>
          <w:sz w:val="22"/>
          <w:szCs w:val="22"/>
        </w:rPr>
      </w:pPr>
    </w:p>
    <w:p w:rsidR="00F143CD" w:rsidRDefault="00F143CD" w:rsidP="00670F38">
      <w:pPr>
        <w:ind w:left="360"/>
        <w:rPr>
          <w:rFonts w:ascii="Palatino Linotype" w:eastAsia="Times New Roman" w:hAnsi="Palatino Linotype"/>
          <w:color w:val="000000"/>
          <w:sz w:val="22"/>
          <w:szCs w:val="22"/>
        </w:rPr>
      </w:pPr>
      <w:r w:rsidRPr="00CB4085">
        <w:rPr>
          <w:rFonts w:ascii="Palatino Linotype" w:eastAsia="Times New Roman" w:hAnsi="Palatino Linotype"/>
          <w:color w:val="000000"/>
          <w:sz w:val="22"/>
          <w:szCs w:val="22"/>
        </w:rPr>
        <w:t>A: The values contained in Attachment 12 must be used when estimating the project’s potential energy and greenhouse gas savings. If the applicant has additional site-specific data they may include those estimates in their application as well.</w:t>
      </w:r>
    </w:p>
    <w:p w:rsidR="00936627" w:rsidRDefault="00936627" w:rsidP="00670F38">
      <w:pPr>
        <w:ind w:left="360"/>
        <w:rPr>
          <w:rFonts w:ascii="Palatino Linotype" w:eastAsia="Times New Roman" w:hAnsi="Palatino Linotype"/>
          <w:color w:val="000000"/>
          <w:sz w:val="22"/>
          <w:szCs w:val="22"/>
        </w:rPr>
      </w:pPr>
    </w:p>
    <w:p w:rsidR="00936627" w:rsidRPr="009E4B3F" w:rsidRDefault="00936627" w:rsidP="00936627">
      <w:pPr>
        <w:pStyle w:val="ListParagraph"/>
        <w:numPr>
          <w:ilvl w:val="0"/>
          <w:numId w:val="4"/>
        </w:numPr>
        <w:ind w:left="360"/>
        <w:rPr>
          <w:rFonts w:ascii="Palatino Linotype" w:hAnsi="Palatino Linotype"/>
          <w:b/>
        </w:rPr>
      </w:pPr>
      <w:r w:rsidRPr="009E4B3F">
        <w:rPr>
          <w:rFonts w:ascii="Palatino Linotype" w:hAnsi="Palatino Linotype"/>
          <w:b/>
        </w:rPr>
        <w:t>Q: Please clarify how the values in Attachment 12 need to be used in the proposal. What if the applicant has more site specific data?</w:t>
      </w:r>
    </w:p>
    <w:p w:rsidR="00936627" w:rsidRPr="009E4B3F" w:rsidRDefault="00936627" w:rsidP="00936627">
      <w:pPr>
        <w:ind w:left="360"/>
        <w:rPr>
          <w:rFonts w:ascii="Palatino Linotype" w:hAnsi="Palatino Linotype"/>
          <w:sz w:val="22"/>
          <w:szCs w:val="22"/>
        </w:rPr>
      </w:pPr>
    </w:p>
    <w:p w:rsidR="008C39FE" w:rsidRPr="00CB4085" w:rsidRDefault="00936627" w:rsidP="00670F38">
      <w:pPr>
        <w:ind w:left="360"/>
        <w:rPr>
          <w:rFonts w:ascii="Palatino Linotype" w:hAnsi="Palatino Linotype"/>
          <w:sz w:val="22"/>
          <w:szCs w:val="22"/>
        </w:rPr>
      </w:pPr>
      <w:r w:rsidRPr="009E4B3F">
        <w:rPr>
          <w:rFonts w:ascii="Palatino Linotype" w:hAnsi="Palatino Linotype"/>
          <w:sz w:val="22"/>
          <w:szCs w:val="22"/>
        </w:rPr>
        <w:t xml:space="preserve">A: </w:t>
      </w:r>
      <w:r w:rsidR="007D2F69">
        <w:rPr>
          <w:rFonts w:ascii="Palatino Linotype" w:hAnsi="Palatino Linotype"/>
          <w:sz w:val="22"/>
          <w:szCs w:val="22"/>
        </w:rPr>
        <w:t>Please see answer to Question 8</w:t>
      </w:r>
      <w:r w:rsidR="00E8687C">
        <w:rPr>
          <w:rFonts w:ascii="Palatino Linotype" w:hAnsi="Palatino Linotype"/>
          <w:sz w:val="22"/>
          <w:szCs w:val="22"/>
        </w:rPr>
        <w:t>3</w:t>
      </w:r>
      <w:r w:rsidR="007D2F69">
        <w:rPr>
          <w:rFonts w:ascii="Palatino Linotype" w:hAnsi="Palatino Linotype"/>
          <w:sz w:val="22"/>
          <w:szCs w:val="22"/>
        </w:rPr>
        <w:t xml:space="preserve">. </w:t>
      </w:r>
    </w:p>
    <w:p w:rsidR="008C39FE" w:rsidRPr="00CB4085" w:rsidRDefault="008302E6" w:rsidP="000145FC">
      <w:pPr>
        <w:ind w:left="360"/>
        <w:rPr>
          <w:rFonts w:ascii="Palatino Linotype" w:hAnsi="Palatino Linotype"/>
          <w:sz w:val="22"/>
          <w:szCs w:val="22"/>
        </w:rPr>
      </w:pPr>
      <w:r>
        <w:rPr>
          <w:rFonts w:ascii="Palatino Linotype" w:hAnsi="Palatino Linotype"/>
          <w:sz w:val="22"/>
          <w:szCs w:val="22"/>
        </w:rPr>
        <w:t xml:space="preserve"> </w:t>
      </w:r>
    </w:p>
    <w:sectPr w:rsidR="008C39FE" w:rsidRPr="00CB408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82" w:rsidRDefault="00F07382" w:rsidP="00BA677B">
      <w:r>
        <w:separator/>
      </w:r>
    </w:p>
  </w:endnote>
  <w:endnote w:type="continuationSeparator" w:id="0">
    <w:p w:rsidR="00F07382" w:rsidRDefault="00F07382" w:rsidP="00BA677B">
      <w:r>
        <w:continuationSeparator/>
      </w:r>
    </w:p>
  </w:endnote>
  <w:endnote w:type="continuationNotice" w:id="1">
    <w:p w:rsidR="00F07382" w:rsidRDefault="00F07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86251"/>
      <w:docPartObj>
        <w:docPartGallery w:val="Page Numbers (Bottom of Page)"/>
        <w:docPartUnique/>
      </w:docPartObj>
    </w:sdtPr>
    <w:sdtEndPr>
      <w:rPr>
        <w:rFonts w:ascii="Palatino Linotype" w:hAnsi="Palatino Linotype"/>
        <w:noProof/>
        <w:sz w:val="22"/>
      </w:rPr>
    </w:sdtEndPr>
    <w:sdtContent>
      <w:p w:rsidR="00345593" w:rsidRPr="004D09B5" w:rsidRDefault="00345593">
        <w:pPr>
          <w:pStyle w:val="Footer"/>
          <w:jc w:val="center"/>
          <w:rPr>
            <w:rFonts w:ascii="Palatino Linotype" w:hAnsi="Palatino Linotype"/>
            <w:sz w:val="22"/>
          </w:rPr>
        </w:pPr>
        <w:r w:rsidRPr="004D09B5">
          <w:rPr>
            <w:rFonts w:ascii="Palatino Linotype" w:hAnsi="Palatino Linotype"/>
            <w:sz w:val="22"/>
          </w:rPr>
          <w:fldChar w:fldCharType="begin"/>
        </w:r>
        <w:r w:rsidRPr="004D09B5">
          <w:rPr>
            <w:rFonts w:ascii="Palatino Linotype" w:hAnsi="Palatino Linotype"/>
            <w:sz w:val="22"/>
          </w:rPr>
          <w:instrText xml:space="preserve"> PAGE   \* MERGEFORMAT </w:instrText>
        </w:r>
        <w:r w:rsidRPr="004D09B5">
          <w:rPr>
            <w:rFonts w:ascii="Palatino Linotype" w:hAnsi="Palatino Linotype"/>
            <w:sz w:val="22"/>
          </w:rPr>
          <w:fldChar w:fldCharType="separate"/>
        </w:r>
        <w:r w:rsidR="00FF07B5">
          <w:rPr>
            <w:rFonts w:ascii="Palatino Linotype" w:hAnsi="Palatino Linotype"/>
            <w:noProof/>
            <w:sz w:val="22"/>
          </w:rPr>
          <w:t>2</w:t>
        </w:r>
        <w:r w:rsidRPr="004D09B5">
          <w:rPr>
            <w:rFonts w:ascii="Palatino Linotype" w:hAnsi="Palatino Linotype"/>
            <w:noProof/>
            <w:sz w:val="22"/>
          </w:rPr>
          <w:fldChar w:fldCharType="end"/>
        </w:r>
        <w:r w:rsidRPr="004D09B5">
          <w:rPr>
            <w:rFonts w:ascii="Palatino Linotype" w:hAnsi="Palatino Linotype"/>
            <w:noProof/>
            <w:sz w:val="22"/>
          </w:rPr>
          <w:t xml:space="preserve"> of 19</w:t>
        </w:r>
      </w:p>
    </w:sdtContent>
  </w:sdt>
  <w:p w:rsidR="00345593" w:rsidRDefault="0034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82" w:rsidRDefault="00F07382" w:rsidP="00BA677B">
      <w:r>
        <w:separator/>
      </w:r>
    </w:p>
  </w:footnote>
  <w:footnote w:type="continuationSeparator" w:id="0">
    <w:p w:rsidR="00F07382" w:rsidRDefault="00F07382" w:rsidP="00BA677B">
      <w:r>
        <w:continuationSeparator/>
      </w:r>
    </w:p>
  </w:footnote>
  <w:footnote w:type="continuationNotice" w:id="1">
    <w:p w:rsidR="00F07382" w:rsidRDefault="00F073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AD5"/>
    <w:multiLevelType w:val="hybridMultilevel"/>
    <w:tmpl w:val="B3BA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AB7C13"/>
    <w:multiLevelType w:val="hybridMultilevel"/>
    <w:tmpl w:val="81FE7E4E"/>
    <w:lvl w:ilvl="0" w:tplc="FA842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1192"/>
    <w:multiLevelType w:val="hybridMultilevel"/>
    <w:tmpl w:val="9E209C60"/>
    <w:lvl w:ilvl="0" w:tplc="15C4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C75E0"/>
    <w:multiLevelType w:val="hybridMultilevel"/>
    <w:tmpl w:val="E0662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8E569D"/>
    <w:multiLevelType w:val="hybridMultilevel"/>
    <w:tmpl w:val="0B12F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CF1737"/>
    <w:multiLevelType w:val="hybridMultilevel"/>
    <w:tmpl w:val="BA8C3014"/>
    <w:lvl w:ilvl="0" w:tplc="15C4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24AD5"/>
    <w:multiLevelType w:val="multilevel"/>
    <w:tmpl w:val="385C7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0F60139"/>
    <w:multiLevelType w:val="hybridMultilevel"/>
    <w:tmpl w:val="2C369612"/>
    <w:lvl w:ilvl="0" w:tplc="15C4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46E30"/>
    <w:multiLevelType w:val="hybridMultilevel"/>
    <w:tmpl w:val="F790102E"/>
    <w:lvl w:ilvl="0" w:tplc="15C46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FE"/>
    <w:rsid w:val="00003F29"/>
    <w:rsid w:val="00003F5B"/>
    <w:rsid w:val="00004931"/>
    <w:rsid w:val="00004A2E"/>
    <w:rsid w:val="000145FC"/>
    <w:rsid w:val="00040D29"/>
    <w:rsid w:val="00052D9F"/>
    <w:rsid w:val="000569D5"/>
    <w:rsid w:val="00060B18"/>
    <w:rsid w:val="00083686"/>
    <w:rsid w:val="0009142A"/>
    <w:rsid w:val="000C05C5"/>
    <w:rsid w:val="000C6771"/>
    <w:rsid w:val="000E31CB"/>
    <w:rsid w:val="00114789"/>
    <w:rsid w:val="00125D1D"/>
    <w:rsid w:val="001679E1"/>
    <w:rsid w:val="001A715B"/>
    <w:rsid w:val="001E02E8"/>
    <w:rsid w:val="001E0423"/>
    <w:rsid w:val="001F12BB"/>
    <w:rsid w:val="00204F73"/>
    <w:rsid w:val="002173A4"/>
    <w:rsid w:val="0024735E"/>
    <w:rsid w:val="0025535C"/>
    <w:rsid w:val="00270B1C"/>
    <w:rsid w:val="00296A2F"/>
    <w:rsid w:val="002A5129"/>
    <w:rsid w:val="002A76A1"/>
    <w:rsid w:val="002B2C46"/>
    <w:rsid w:val="002B42A4"/>
    <w:rsid w:val="003015AB"/>
    <w:rsid w:val="003062B4"/>
    <w:rsid w:val="0031337E"/>
    <w:rsid w:val="0031796A"/>
    <w:rsid w:val="00322A04"/>
    <w:rsid w:val="003422AD"/>
    <w:rsid w:val="00345593"/>
    <w:rsid w:val="00373DBE"/>
    <w:rsid w:val="00374E4C"/>
    <w:rsid w:val="00391B7B"/>
    <w:rsid w:val="003A44CD"/>
    <w:rsid w:val="003A4D99"/>
    <w:rsid w:val="003C572C"/>
    <w:rsid w:val="003C5B0B"/>
    <w:rsid w:val="003D456E"/>
    <w:rsid w:val="003D4E1A"/>
    <w:rsid w:val="003D64F2"/>
    <w:rsid w:val="003E5C69"/>
    <w:rsid w:val="003E6CA4"/>
    <w:rsid w:val="003E77B1"/>
    <w:rsid w:val="00407723"/>
    <w:rsid w:val="00412629"/>
    <w:rsid w:val="00464F11"/>
    <w:rsid w:val="004666CA"/>
    <w:rsid w:val="00487275"/>
    <w:rsid w:val="00492488"/>
    <w:rsid w:val="004C38AB"/>
    <w:rsid w:val="004C4F68"/>
    <w:rsid w:val="004C501C"/>
    <w:rsid w:val="004C6D7B"/>
    <w:rsid w:val="004D09B5"/>
    <w:rsid w:val="004D44F5"/>
    <w:rsid w:val="004E2EF3"/>
    <w:rsid w:val="004E336F"/>
    <w:rsid w:val="004F7DA9"/>
    <w:rsid w:val="0050671B"/>
    <w:rsid w:val="005151F9"/>
    <w:rsid w:val="0052365A"/>
    <w:rsid w:val="00526CDE"/>
    <w:rsid w:val="00564DB3"/>
    <w:rsid w:val="00582F28"/>
    <w:rsid w:val="00585933"/>
    <w:rsid w:val="005B32C5"/>
    <w:rsid w:val="005D2D0E"/>
    <w:rsid w:val="005D3750"/>
    <w:rsid w:val="005E5D2F"/>
    <w:rsid w:val="005F44E9"/>
    <w:rsid w:val="005F6133"/>
    <w:rsid w:val="006252AB"/>
    <w:rsid w:val="00651C53"/>
    <w:rsid w:val="00666482"/>
    <w:rsid w:val="0066677D"/>
    <w:rsid w:val="00670F38"/>
    <w:rsid w:val="006E16BE"/>
    <w:rsid w:val="006E1781"/>
    <w:rsid w:val="006E4930"/>
    <w:rsid w:val="00701E16"/>
    <w:rsid w:val="007054E3"/>
    <w:rsid w:val="00745B9C"/>
    <w:rsid w:val="0075069D"/>
    <w:rsid w:val="007521BE"/>
    <w:rsid w:val="00752637"/>
    <w:rsid w:val="00767E14"/>
    <w:rsid w:val="007C2556"/>
    <w:rsid w:val="007D2F69"/>
    <w:rsid w:val="007F0D78"/>
    <w:rsid w:val="007F3A72"/>
    <w:rsid w:val="00812288"/>
    <w:rsid w:val="00826184"/>
    <w:rsid w:val="008302E6"/>
    <w:rsid w:val="00834270"/>
    <w:rsid w:val="00851722"/>
    <w:rsid w:val="0086176F"/>
    <w:rsid w:val="008A54B8"/>
    <w:rsid w:val="008C39FE"/>
    <w:rsid w:val="008C42BB"/>
    <w:rsid w:val="008D3D0F"/>
    <w:rsid w:val="00904E25"/>
    <w:rsid w:val="00914B89"/>
    <w:rsid w:val="009329F9"/>
    <w:rsid w:val="00936627"/>
    <w:rsid w:val="00944F6F"/>
    <w:rsid w:val="009622C5"/>
    <w:rsid w:val="0096425A"/>
    <w:rsid w:val="00985B2C"/>
    <w:rsid w:val="009A0383"/>
    <w:rsid w:val="009A5B37"/>
    <w:rsid w:val="009C04D0"/>
    <w:rsid w:val="009C38BA"/>
    <w:rsid w:val="009C5B59"/>
    <w:rsid w:val="009E4B3F"/>
    <w:rsid w:val="009F3681"/>
    <w:rsid w:val="00A019D7"/>
    <w:rsid w:val="00A33A2D"/>
    <w:rsid w:val="00A40FAC"/>
    <w:rsid w:val="00A70B2C"/>
    <w:rsid w:val="00A82085"/>
    <w:rsid w:val="00A90580"/>
    <w:rsid w:val="00AA200E"/>
    <w:rsid w:val="00AB5BA4"/>
    <w:rsid w:val="00AC69D0"/>
    <w:rsid w:val="00AC7B96"/>
    <w:rsid w:val="00AD770C"/>
    <w:rsid w:val="00AE1525"/>
    <w:rsid w:val="00B61F17"/>
    <w:rsid w:val="00B6478F"/>
    <w:rsid w:val="00B81926"/>
    <w:rsid w:val="00B82110"/>
    <w:rsid w:val="00B85024"/>
    <w:rsid w:val="00B9496B"/>
    <w:rsid w:val="00B97923"/>
    <w:rsid w:val="00BA677B"/>
    <w:rsid w:val="00BD4C92"/>
    <w:rsid w:val="00BD6FF8"/>
    <w:rsid w:val="00BD7533"/>
    <w:rsid w:val="00BE7D06"/>
    <w:rsid w:val="00BF0C8E"/>
    <w:rsid w:val="00C04B11"/>
    <w:rsid w:val="00C163C5"/>
    <w:rsid w:val="00C34ED5"/>
    <w:rsid w:val="00C375A1"/>
    <w:rsid w:val="00C455F0"/>
    <w:rsid w:val="00C461CA"/>
    <w:rsid w:val="00C57E17"/>
    <w:rsid w:val="00C66FC4"/>
    <w:rsid w:val="00C80A8D"/>
    <w:rsid w:val="00C86161"/>
    <w:rsid w:val="00CA6636"/>
    <w:rsid w:val="00CB4085"/>
    <w:rsid w:val="00CF2A85"/>
    <w:rsid w:val="00D15703"/>
    <w:rsid w:val="00D17E2A"/>
    <w:rsid w:val="00D17FCC"/>
    <w:rsid w:val="00D37FE4"/>
    <w:rsid w:val="00D52D3A"/>
    <w:rsid w:val="00D5692B"/>
    <w:rsid w:val="00D65C65"/>
    <w:rsid w:val="00D804E9"/>
    <w:rsid w:val="00D939EC"/>
    <w:rsid w:val="00D93C29"/>
    <w:rsid w:val="00DA087B"/>
    <w:rsid w:val="00DB5F65"/>
    <w:rsid w:val="00DD3456"/>
    <w:rsid w:val="00DF4450"/>
    <w:rsid w:val="00DF55FB"/>
    <w:rsid w:val="00E04030"/>
    <w:rsid w:val="00E227BA"/>
    <w:rsid w:val="00E518E1"/>
    <w:rsid w:val="00E5464B"/>
    <w:rsid w:val="00E57000"/>
    <w:rsid w:val="00E613ED"/>
    <w:rsid w:val="00E768B8"/>
    <w:rsid w:val="00E8687C"/>
    <w:rsid w:val="00EA4686"/>
    <w:rsid w:val="00EB4BBB"/>
    <w:rsid w:val="00EC0B5E"/>
    <w:rsid w:val="00EE407E"/>
    <w:rsid w:val="00EF1212"/>
    <w:rsid w:val="00F00AEF"/>
    <w:rsid w:val="00F030DC"/>
    <w:rsid w:val="00F07382"/>
    <w:rsid w:val="00F102BB"/>
    <w:rsid w:val="00F1415E"/>
    <w:rsid w:val="00F143CD"/>
    <w:rsid w:val="00F154BA"/>
    <w:rsid w:val="00F4152B"/>
    <w:rsid w:val="00F5079A"/>
    <w:rsid w:val="00F51A3A"/>
    <w:rsid w:val="00F618E8"/>
    <w:rsid w:val="00F73F07"/>
    <w:rsid w:val="00F75E6D"/>
    <w:rsid w:val="00FB2AFB"/>
    <w:rsid w:val="00FD17E7"/>
    <w:rsid w:val="00FF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F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366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FE"/>
    <w:pPr>
      <w:ind w:left="720"/>
    </w:pPr>
    <w:rPr>
      <w:rFonts w:ascii="Calibri" w:hAnsi="Calibri"/>
      <w:sz w:val="22"/>
      <w:szCs w:val="22"/>
    </w:rPr>
  </w:style>
  <w:style w:type="paragraph" w:styleId="PlainText">
    <w:name w:val="Plain Text"/>
    <w:basedOn w:val="Normal"/>
    <w:link w:val="PlainTextChar"/>
    <w:uiPriority w:val="99"/>
    <w:unhideWhenUsed/>
    <w:rsid w:val="008C39FE"/>
    <w:rPr>
      <w:rFonts w:ascii="Calibri" w:hAnsi="Calibri" w:cstheme="minorBidi"/>
      <w:sz w:val="22"/>
      <w:szCs w:val="21"/>
    </w:rPr>
  </w:style>
  <w:style w:type="character" w:customStyle="1" w:styleId="PlainTextChar">
    <w:name w:val="Plain Text Char"/>
    <w:basedOn w:val="DefaultParagraphFont"/>
    <w:link w:val="PlainText"/>
    <w:uiPriority w:val="99"/>
    <w:rsid w:val="008C39FE"/>
    <w:rPr>
      <w:rFonts w:ascii="Calibri" w:hAnsi="Calibri"/>
      <w:szCs w:val="21"/>
    </w:rPr>
  </w:style>
  <w:style w:type="character" w:styleId="Hyperlink">
    <w:name w:val="Hyperlink"/>
    <w:basedOn w:val="DefaultParagraphFont"/>
    <w:uiPriority w:val="99"/>
    <w:unhideWhenUsed/>
    <w:rsid w:val="00F143CD"/>
    <w:rPr>
      <w:color w:val="0000FF" w:themeColor="hyperlink"/>
      <w:u w:val="single"/>
    </w:rPr>
  </w:style>
  <w:style w:type="character" w:customStyle="1" w:styleId="Heading1Char">
    <w:name w:val="Heading 1 Char"/>
    <w:basedOn w:val="DefaultParagraphFont"/>
    <w:link w:val="Heading1"/>
    <w:uiPriority w:val="9"/>
    <w:rsid w:val="009366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6627"/>
    <w:pPr>
      <w:spacing w:line="276" w:lineRule="auto"/>
      <w:outlineLvl w:val="9"/>
    </w:pPr>
    <w:rPr>
      <w:lang w:eastAsia="ja-JP"/>
    </w:rPr>
  </w:style>
  <w:style w:type="paragraph" w:styleId="TOC1">
    <w:name w:val="toc 1"/>
    <w:basedOn w:val="Normal"/>
    <w:next w:val="Normal"/>
    <w:autoRedefine/>
    <w:uiPriority w:val="39"/>
    <w:unhideWhenUsed/>
    <w:rsid w:val="00936627"/>
    <w:pPr>
      <w:spacing w:after="100"/>
    </w:pPr>
  </w:style>
  <w:style w:type="paragraph" w:styleId="BalloonText">
    <w:name w:val="Balloon Text"/>
    <w:basedOn w:val="Normal"/>
    <w:link w:val="BalloonTextChar"/>
    <w:uiPriority w:val="99"/>
    <w:semiHidden/>
    <w:unhideWhenUsed/>
    <w:rsid w:val="00F75E6D"/>
    <w:rPr>
      <w:rFonts w:ascii="Tahoma" w:hAnsi="Tahoma" w:cs="Tahoma"/>
      <w:sz w:val="16"/>
      <w:szCs w:val="16"/>
    </w:rPr>
  </w:style>
  <w:style w:type="character" w:customStyle="1" w:styleId="BalloonTextChar">
    <w:name w:val="Balloon Text Char"/>
    <w:basedOn w:val="DefaultParagraphFont"/>
    <w:link w:val="BalloonText"/>
    <w:uiPriority w:val="99"/>
    <w:semiHidden/>
    <w:rsid w:val="00F75E6D"/>
    <w:rPr>
      <w:rFonts w:ascii="Tahoma" w:hAnsi="Tahoma" w:cs="Tahoma"/>
      <w:sz w:val="16"/>
      <w:szCs w:val="16"/>
    </w:rPr>
  </w:style>
  <w:style w:type="character" w:styleId="CommentReference">
    <w:name w:val="annotation reference"/>
    <w:basedOn w:val="DefaultParagraphFont"/>
    <w:uiPriority w:val="99"/>
    <w:semiHidden/>
    <w:unhideWhenUsed/>
    <w:rsid w:val="00F75E6D"/>
    <w:rPr>
      <w:sz w:val="16"/>
      <w:szCs w:val="16"/>
    </w:rPr>
  </w:style>
  <w:style w:type="paragraph" w:styleId="CommentText">
    <w:name w:val="annotation text"/>
    <w:basedOn w:val="Normal"/>
    <w:link w:val="CommentTextChar"/>
    <w:uiPriority w:val="99"/>
    <w:semiHidden/>
    <w:unhideWhenUsed/>
    <w:rsid w:val="00F75E6D"/>
    <w:rPr>
      <w:sz w:val="20"/>
      <w:szCs w:val="20"/>
    </w:rPr>
  </w:style>
  <w:style w:type="character" w:customStyle="1" w:styleId="CommentTextChar">
    <w:name w:val="Comment Text Char"/>
    <w:basedOn w:val="DefaultParagraphFont"/>
    <w:link w:val="CommentText"/>
    <w:uiPriority w:val="99"/>
    <w:semiHidden/>
    <w:rsid w:val="00F75E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E6D"/>
    <w:rPr>
      <w:b/>
      <w:bCs/>
    </w:rPr>
  </w:style>
  <w:style w:type="character" w:customStyle="1" w:styleId="CommentSubjectChar">
    <w:name w:val="Comment Subject Char"/>
    <w:basedOn w:val="CommentTextChar"/>
    <w:link w:val="CommentSubject"/>
    <w:uiPriority w:val="99"/>
    <w:semiHidden/>
    <w:rsid w:val="00F75E6D"/>
    <w:rPr>
      <w:rFonts w:ascii="Times New Roman" w:hAnsi="Times New Roman" w:cs="Times New Roman"/>
      <w:b/>
      <w:bCs/>
      <w:sz w:val="20"/>
      <w:szCs w:val="20"/>
    </w:rPr>
  </w:style>
  <w:style w:type="paragraph" w:styleId="Header">
    <w:name w:val="header"/>
    <w:basedOn w:val="Normal"/>
    <w:link w:val="HeaderChar"/>
    <w:uiPriority w:val="99"/>
    <w:unhideWhenUsed/>
    <w:rsid w:val="00BA677B"/>
    <w:pPr>
      <w:tabs>
        <w:tab w:val="center" w:pos="4680"/>
        <w:tab w:val="right" w:pos="9360"/>
      </w:tabs>
    </w:pPr>
  </w:style>
  <w:style w:type="character" w:customStyle="1" w:styleId="HeaderChar">
    <w:name w:val="Header Char"/>
    <w:basedOn w:val="DefaultParagraphFont"/>
    <w:link w:val="Header"/>
    <w:uiPriority w:val="99"/>
    <w:rsid w:val="00BA677B"/>
    <w:rPr>
      <w:rFonts w:ascii="Times New Roman" w:hAnsi="Times New Roman" w:cs="Times New Roman"/>
      <w:sz w:val="24"/>
      <w:szCs w:val="24"/>
    </w:rPr>
  </w:style>
  <w:style w:type="paragraph" w:styleId="Footer">
    <w:name w:val="footer"/>
    <w:basedOn w:val="Normal"/>
    <w:link w:val="FooterChar"/>
    <w:uiPriority w:val="99"/>
    <w:unhideWhenUsed/>
    <w:rsid w:val="00BA677B"/>
    <w:pPr>
      <w:tabs>
        <w:tab w:val="center" w:pos="4680"/>
        <w:tab w:val="right" w:pos="9360"/>
      </w:tabs>
    </w:pPr>
  </w:style>
  <w:style w:type="character" w:customStyle="1" w:styleId="FooterChar">
    <w:name w:val="Footer Char"/>
    <w:basedOn w:val="DefaultParagraphFont"/>
    <w:link w:val="Footer"/>
    <w:uiPriority w:val="99"/>
    <w:rsid w:val="00BA677B"/>
    <w:rPr>
      <w:rFonts w:ascii="Times New Roman" w:hAnsi="Times New Roman" w:cs="Times New Roman"/>
      <w:sz w:val="24"/>
      <w:szCs w:val="24"/>
    </w:rPr>
  </w:style>
  <w:style w:type="paragraph" w:styleId="Revision">
    <w:name w:val="Revision"/>
    <w:hidden/>
    <w:uiPriority w:val="99"/>
    <w:semiHidden/>
    <w:rsid w:val="00F154BA"/>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F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366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FE"/>
    <w:pPr>
      <w:ind w:left="720"/>
    </w:pPr>
    <w:rPr>
      <w:rFonts w:ascii="Calibri" w:hAnsi="Calibri"/>
      <w:sz w:val="22"/>
      <w:szCs w:val="22"/>
    </w:rPr>
  </w:style>
  <w:style w:type="paragraph" w:styleId="PlainText">
    <w:name w:val="Plain Text"/>
    <w:basedOn w:val="Normal"/>
    <w:link w:val="PlainTextChar"/>
    <w:uiPriority w:val="99"/>
    <w:unhideWhenUsed/>
    <w:rsid w:val="008C39FE"/>
    <w:rPr>
      <w:rFonts w:ascii="Calibri" w:hAnsi="Calibri" w:cstheme="minorBidi"/>
      <w:sz w:val="22"/>
      <w:szCs w:val="21"/>
    </w:rPr>
  </w:style>
  <w:style w:type="character" w:customStyle="1" w:styleId="PlainTextChar">
    <w:name w:val="Plain Text Char"/>
    <w:basedOn w:val="DefaultParagraphFont"/>
    <w:link w:val="PlainText"/>
    <w:uiPriority w:val="99"/>
    <w:rsid w:val="008C39FE"/>
    <w:rPr>
      <w:rFonts w:ascii="Calibri" w:hAnsi="Calibri"/>
      <w:szCs w:val="21"/>
    </w:rPr>
  </w:style>
  <w:style w:type="character" w:styleId="Hyperlink">
    <w:name w:val="Hyperlink"/>
    <w:basedOn w:val="DefaultParagraphFont"/>
    <w:uiPriority w:val="99"/>
    <w:unhideWhenUsed/>
    <w:rsid w:val="00F143CD"/>
    <w:rPr>
      <w:color w:val="0000FF" w:themeColor="hyperlink"/>
      <w:u w:val="single"/>
    </w:rPr>
  </w:style>
  <w:style w:type="character" w:customStyle="1" w:styleId="Heading1Char">
    <w:name w:val="Heading 1 Char"/>
    <w:basedOn w:val="DefaultParagraphFont"/>
    <w:link w:val="Heading1"/>
    <w:uiPriority w:val="9"/>
    <w:rsid w:val="009366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6627"/>
    <w:pPr>
      <w:spacing w:line="276" w:lineRule="auto"/>
      <w:outlineLvl w:val="9"/>
    </w:pPr>
    <w:rPr>
      <w:lang w:eastAsia="ja-JP"/>
    </w:rPr>
  </w:style>
  <w:style w:type="paragraph" w:styleId="TOC1">
    <w:name w:val="toc 1"/>
    <w:basedOn w:val="Normal"/>
    <w:next w:val="Normal"/>
    <w:autoRedefine/>
    <w:uiPriority w:val="39"/>
    <w:unhideWhenUsed/>
    <w:rsid w:val="00936627"/>
    <w:pPr>
      <w:spacing w:after="100"/>
    </w:pPr>
  </w:style>
  <w:style w:type="paragraph" w:styleId="BalloonText">
    <w:name w:val="Balloon Text"/>
    <w:basedOn w:val="Normal"/>
    <w:link w:val="BalloonTextChar"/>
    <w:uiPriority w:val="99"/>
    <w:semiHidden/>
    <w:unhideWhenUsed/>
    <w:rsid w:val="00F75E6D"/>
    <w:rPr>
      <w:rFonts w:ascii="Tahoma" w:hAnsi="Tahoma" w:cs="Tahoma"/>
      <w:sz w:val="16"/>
      <w:szCs w:val="16"/>
    </w:rPr>
  </w:style>
  <w:style w:type="character" w:customStyle="1" w:styleId="BalloonTextChar">
    <w:name w:val="Balloon Text Char"/>
    <w:basedOn w:val="DefaultParagraphFont"/>
    <w:link w:val="BalloonText"/>
    <w:uiPriority w:val="99"/>
    <w:semiHidden/>
    <w:rsid w:val="00F75E6D"/>
    <w:rPr>
      <w:rFonts w:ascii="Tahoma" w:hAnsi="Tahoma" w:cs="Tahoma"/>
      <w:sz w:val="16"/>
      <w:szCs w:val="16"/>
    </w:rPr>
  </w:style>
  <w:style w:type="character" w:styleId="CommentReference">
    <w:name w:val="annotation reference"/>
    <w:basedOn w:val="DefaultParagraphFont"/>
    <w:uiPriority w:val="99"/>
    <w:semiHidden/>
    <w:unhideWhenUsed/>
    <w:rsid w:val="00F75E6D"/>
    <w:rPr>
      <w:sz w:val="16"/>
      <w:szCs w:val="16"/>
    </w:rPr>
  </w:style>
  <w:style w:type="paragraph" w:styleId="CommentText">
    <w:name w:val="annotation text"/>
    <w:basedOn w:val="Normal"/>
    <w:link w:val="CommentTextChar"/>
    <w:uiPriority w:val="99"/>
    <w:semiHidden/>
    <w:unhideWhenUsed/>
    <w:rsid w:val="00F75E6D"/>
    <w:rPr>
      <w:sz w:val="20"/>
      <w:szCs w:val="20"/>
    </w:rPr>
  </w:style>
  <w:style w:type="character" w:customStyle="1" w:styleId="CommentTextChar">
    <w:name w:val="Comment Text Char"/>
    <w:basedOn w:val="DefaultParagraphFont"/>
    <w:link w:val="CommentText"/>
    <w:uiPriority w:val="99"/>
    <w:semiHidden/>
    <w:rsid w:val="00F75E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5E6D"/>
    <w:rPr>
      <w:b/>
      <w:bCs/>
    </w:rPr>
  </w:style>
  <w:style w:type="character" w:customStyle="1" w:styleId="CommentSubjectChar">
    <w:name w:val="Comment Subject Char"/>
    <w:basedOn w:val="CommentTextChar"/>
    <w:link w:val="CommentSubject"/>
    <w:uiPriority w:val="99"/>
    <w:semiHidden/>
    <w:rsid w:val="00F75E6D"/>
    <w:rPr>
      <w:rFonts w:ascii="Times New Roman" w:hAnsi="Times New Roman" w:cs="Times New Roman"/>
      <w:b/>
      <w:bCs/>
      <w:sz w:val="20"/>
      <w:szCs w:val="20"/>
    </w:rPr>
  </w:style>
  <w:style w:type="paragraph" w:styleId="Header">
    <w:name w:val="header"/>
    <w:basedOn w:val="Normal"/>
    <w:link w:val="HeaderChar"/>
    <w:uiPriority w:val="99"/>
    <w:unhideWhenUsed/>
    <w:rsid w:val="00BA677B"/>
    <w:pPr>
      <w:tabs>
        <w:tab w:val="center" w:pos="4680"/>
        <w:tab w:val="right" w:pos="9360"/>
      </w:tabs>
    </w:pPr>
  </w:style>
  <w:style w:type="character" w:customStyle="1" w:styleId="HeaderChar">
    <w:name w:val="Header Char"/>
    <w:basedOn w:val="DefaultParagraphFont"/>
    <w:link w:val="Header"/>
    <w:uiPriority w:val="99"/>
    <w:rsid w:val="00BA677B"/>
    <w:rPr>
      <w:rFonts w:ascii="Times New Roman" w:hAnsi="Times New Roman" w:cs="Times New Roman"/>
      <w:sz w:val="24"/>
      <w:szCs w:val="24"/>
    </w:rPr>
  </w:style>
  <w:style w:type="paragraph" w:styleId="Footer">
    <w:name w:val="footer"/>
    <w:basedOn w:val="Normal"/>
    <w:link w:val="FooterChar"/>
    <w:uiPriority w:val="99"/>
    <w:unhideWhenUsed/>
    <w:rsid w:val="00BA677B"/>
    <w:pPr>
      <w:tabs>
        <w:tab w:val="center" w:pos="4680"/>
        <w:tab w:val="right" w:pos="9360"/>
      </w:tabs>
    </w:pPr>
  </w:style>
  <w:style w:type="character" w:customStyle="1" w:styleId="FooterChar">
    <w:name w:val="Footer Char"/>
    <w:basedOn w:val="DefaultParagraphFont"/>
    <w:link w:val="Footer"/>
    <w:uiPriority w:val="99"/>
    <w:rsid w:val="00BA677B"/>
    <w:rPr>
      <w:rFonts w:ascii="Times New Roman" w:hAnsi="Times New Roman" w:cs="Times New Roman"/>
      <w:sz w:val="24"/>
      <w:szCs w:val="24"/>
    </w:rPr>
  </w:style>
  <w:style w:type="paragraph" w:styleId="Revision">
    <w:name w:val="Revision"/>
    <w:hidden/>
    <w:uiPriority w:val="99"/>
    <w:semiHidden/>
    <w:rsid w:val="00F154B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8699">
      <w:bodyDiv w:val="1"/>
      <w:marLeft w:val="0"/>
      <w:marRight w:val="0"/>
      <w:marTop w:val="0"/>
      <w:marBottom w:val="0"/>
      <w:divBdr>
        <w:top w:val="none" w:sz="0" w:space="0" w:color="auto"/>
        <w:left w:val="none" w:sz="0" w:space="0" w:color="auto"/>
        <w:bottom w:val="none" w:sz="0" w:space="0" w:color="auto"/>
        <w:right w:val="none" w:sz="0" w:space="0" w:color="auto"/>
      </w:divBdr>
    </w:div>
    <w:div w:id="522519700">
      <w:bodyDiv w:val="1"/>
      <w:marLeft w:val="0"/>
      <w:marRight w:val="0"/>
      <w:marTop w:val="0"/>
      <w:marBottom w:val="0"/>
      <w:divBdr>
        <w:top w:val="none" w:sz="0" w:space="0" w:color="auto"/>
        <w:left w:val="none" w:sz="0" w:space="0" w:color="auto"/>
        <w:bottom w:val="none" w:sz="0" w:space="0" w:color="auto"/>
        <w:right w:val="none" w:sz="0" w:space="0" w:color="auto"/>
      </w:divBdr>
    </w:div>
    <w:div w:id="592709274">
      <w:bodyDiv w:val="1"/>
      <w:marLeft w:val="0"/>
      <w:marRight w:val="0"/>
      <w:marTop w:val="0"/>
      <w:marBottom w:val="0"/>
      <w:divBdr>
        <w:top w:val="none" w:sz="0" w:space="0" w:color="auto"/>
        <w:left w:val="none" w:sz="0" w:space="0" w:color="auto"/>
        <w:bottom w:val="none" w:sz="0" w:space="0" w:color="auto"/>
        <w:right w:val="none" w:sz="0" w:space="0" w:color="auto"/>
      </w:divBdr>
    </w:div>
    <w:div w:id="712582345">
      <w:bodyDiv w:val="1"/>
      <w:marLeft w:val="0"/>
      <w:marRight w:val="0"/>
      <w:marTop w:val="0"/>
      <w:marBottom w:val="0"/>
      <w:divBdr>
        <w:top w:val="none" w:sz="0" w:space="0" w:color="auto"/>
        <w:left w:val="none" w:sz="0" w:space="0" w:color="auto"/>
        <w:bottom w:val="none" w:sz="0" w:space="0" w:color="auto"/>
        <w:right w:val="none" w:sz="0" w:space="0" w:color="auto"/>
      </w:divBdr>
    </w:div>
    <w:div w:id="814181259">
      <w:bodyDiv w:val="1"/>
      <w:marLeft w:val="0"/>
      <w:marRight w:val="0"/>
      <w:marTop w:val="0"/>
      <w:marBottom w:val="0"/>
      <w:divBdr>
        <w:top w:val="none" w:sz="0" w:space="0" w:color="auto"/>
        <w:left w:val="none" w:sz="0" w:space="0" w:color="auto"/>
        <w:bottom w:val="none" w:sz="0" w:space="0" w:color="auto"/>
        <w:right w:val="none" w:sz="0" w:space="0" w:color="auto"/>
      </w:divBdr>
    </w:div>
    <w:div w:id="1187019533">
      <w:bodyDiv w:val="1"/>
      <w:marLeft w:val="0"/>
      <w:marRight w:val="0"/>
      <w:marTop w:val="0"/>
      <w:marBottom w:val="0"/>
      <w:divBdr>
        <w:top w:val="none" w:sz="0" w:space="0" w:color="auto"/>
        <w:left w:val="none" w:sz="0" w:space="0" w:color="auto"/>
        <w:bottom w:val="none" w:sz="0" w:space="0" w:color="auto"/>
        <w:right w:val="none" w:sz="0" w:space="0" w:color="auto"/>
      </w:divBdr>
    </w:div>
    <w:div w:id="1206988734">
      <w:bodyDiv w:val="1"/>
      <w:marLeft w:val="0"/>
      <w:marRight w:val="0"/>
      <w:marTop w:val="0"/>
      <w:marBottom w:val="0"/>
      <w:divBdr>
        <w:top w:val="none" w:sz="0" w:space="0" w:color="auto"/>
        <w:left w:val="none" w:sz="0" w:space="0" w:color="auto"/>
        <w:bottom w:val="none" w:sz="0" w:space="0" w:color="auto"/>
        <w:right w:val="none" w:sz="0" w:space="0" w:color="auto"/>
      </w:divBdr>
    </w:div>
    <w:div w:id="1577592370">
      <w:bodyDiv w:val="1"/>
      <w:marLeft w:val="0"/>
      <w:marRight w:val="0"/>
      <w:marTop w:val="0"/>
      <w:marBottom w:val="0"/>
      <w:divBdr>
        <w:top w:val="none" w:sz="0" w:space="0" w:color="auto"/>
        <w:left w:val="none" w:sz="0" w:space="0" w:color="auto"/>
        <w:bottom w:val="none" w:sz="0" w:space="0" w:color="auto"/>
        <w:right w:val="none" w:sz="0" w:space="0" w:color="auto"/>
      </w:divBdr>
    </w:div>
    <w:div w:id="1901744433">
      <w:bodyDiv w:val="1"/>
      <w:marLeft w:val="0"/>
      <w:marRight w:val="0"/>
      <w:marTop w:val="0"/>
      <w:marBottom w:val="0"/>
      <w:divBdr>
        <w:top w:val="none" w:sz="0" w:space="0" w:color="auto"/>
        <w:left w:val="none" w:sz="0" w:space="0" w:color="auto"/>
        <w:bottom w:val="none" w:sz="0" w:space="0" w:color="auto"/>
        <w:right w:val="none" w:sz="0" w:space="0" w:color="auto"/>
      </w:divBdr>
    </w:div>
    <w:div w:id="20024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groups/7021976/prof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y.ca.gov/contracts/epic.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ergy.ca.gov/contracts/epic.html" TargetMode="External"/><Relationship Id="rId4" Type="http://schemas.microsoft.com/office/2007/relationships/stylesWithEffects" Target="stylesWithEffects.xml"/><Relationship Id="rId9" Type="http://schemas.openxmlformats.org/officeDocument/2006/relationships/hyperlink" Target="http://www.energy.ca.gov/contract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227F-5AF9-4602-985E-A246326D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5850</Words>
  <Characters>33347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jfranks</cp:lastModifiedBy>
  <cp:revision>3</cp:revision>
  <cp:lastPrinted>2016-01-06T22:35:00Z</cp:lastPrinted>
  <dcterms:created xsi:type="dcterms:W3CDTF">2016-01-06T21:57:00Z</dcterms:created>
  <dcterms:modified xsi:type="dcterms:W3CDTF">2016-01-06T22:38:00Z</dcterms:modified>
</cp:coreProperties>
</file>