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F4" w:rsidRPr="00C926A8" w:rsidRDefault="002644F4" w:rsidP="000701AC">
      <w:pPr>
        <w:spacing w:after="0" w:line="240" w:lineRule="auto"/>
        <w:jc w:val="center"/>
        <w:rPr>
          <w:rFonts w:ascii="Arial" w:eastAsia="Times New Roman" w:hAnsi="Arial" w:cs="Arial"/>
          <w:b/>
          <w:sz w:val="24"/>
          <w:szCs w:val="24"/>
        </w:rPr>
      </w:pPr>
      <w:bookmarkStart w:id="0" w:name="_GoBack"/>
      <w:bookmarkEnd w:id="0"/>
      <w:r w:rsidRPr="00C926A8">
        <w:rPr>
          <w:rFonts w:ascii="Arial" w:eastAsia="Times New Roman" w:hAnsi="Arial" w:cs="Arial"/>
          <w:b/>
          <w:sz w:val="24"/>
          <w:szCs w:val="24"/>
        </w:rPr>
        <w:t>Questions and Answers</w:t>
      </w:r>
      <w:r w:rsidR="00EA7BA8" w:rsidRPr="00C926A8">
        <w:rPr>
          <w:rFonts w:ascii="Arial" w:eastAsia="Times New Roman" w:hAnsi="Arial" w:cs="Arial"/>
          <w:b/>
          <w:sz w:val="24"/>
          <w:szCs w:val="24"/>
        </w:rPr>
        <w:t xml:space="preserve"> #2</w:t>
      </w:r>
    </w:p>
    <w:p w:rsidR="002644F4" w:rsidRPr="00C926A8" w:rsidRDefault="002644F4" w:rsidP="000701AC">
      <w:pPr>
        <w:spacing w:after="0" w:line="240" w:lineRule="auto"/>
        <w:jc w:val="center"/>
        <w:rPr>
          <w:rFonts w:ascii="Arial" w:eastAsia="Times New Roman" w:hAnsi="Arial" w:cs="Arial"/>
          <w:b/>
          <w:sz w:val="24"/>
          <w:szCs w:val="24"/>
        </w:rPr>
      </w:pPr>
      <w:r w:rsidRPr="00C926A8">
        <w:rPr>
          <w:rFonts w:ascii="Arial" w:eastAsia="Times New Roman" w:hAnsi="Arial" w:cs="Arial"/>
          <w:b/>
          <w:sz w:val="24"/>
          <w:szCs w:val="24"/>
        </w:rPr>
        <w:t>Light Duty Vehicle Hydrogen Refueling Infrastructure</w:t>
      </w:r>
    </w:p>
    <w:p w:rsidR="00EF5E21" w:rsidRPr="00C926A8" w:rsidRDefault="00EF5E21" w:rsidP="000701AC">
      <w:pPr>
        <w:spacing w:after="0" w:line="240" w:lineRule="auto"/>
        <w:jc w:val="center"/>
        <w:rPr>
          <w:rFonts w:ascii="Arial" w:eastAsia="Times New Roman" w:hAnsi="Arial" w:cs="Arial"/>
          <w:b/>
          <w:sz w:val="24"/>
          <w:szCs w:val="24"/>
        </w:rPr>
      </w:pPr>
      <w:r w:rsidRPr="00C926A8">
        <w:rPr>
          <w:rFonts w:ascii="Arial" w:eastAsia="Times New Roman" w:hAnsi="Arial" w:cs="Arial"/>
          <w:b/>
          <w:sz w:val="24"/>
          <w:szCs w:val="24"/>
        </w:rPr>
        <w:t>GFO-15-605</w:t>
      </w:r>
    </w:p>
    <w:p w:rsidR="00EF5E21" w:rsidRPr="00C926A8" w:rsidRDefault="00EF5E21" w:rsidP="000701AC">
      <w:pPr>
        <w:spacing w:after="0" w:line="240" w:lineRule="auto"/>
        <w:rPr>
          <w:rFonts w:ascii="Arial" w:eastAsia="Times New Roman" w:hAnsi="Arial" w:cs="Arial"/>
          <w:sz w:val="24"/>
          <w:szCs w:val="24"/>
        </w:rPr>
      </w:pPr>
    </w:p>
    <w:p w:rsidR="002644F4" w:rsidRPr="00C926A8" w:rsidRDefault="002644F4" w:rsidP="000701AC">
      <w:pPr>
        <w:spacing w:after="0" w:line="240" w:lineRule="auto"/>
        <w:rPr>
          <w:rFonts w:ascii="Arial" w:eastAsia="Times New Roman" w:hAnsi="Arial" w:cs="Arial"/>
          <w:sz w:val="24"/>
          <w:szCs w:val="24"/>
        </w:rPr>
      </w:pPr>
      <w:r w:rsidRPr="00C926A8">
        <w:rPr>
          <w:rFonts w:ascii="Arial" w:eastAsia="Times New Roman" w:hAnsi="Arial" w:cs="Arial"/>
          <w:sz w:val="24"/>
          <w:szCs w:val="24"/>
        </w:rPr>
        <w:t>These answers</w:t>
      </w:r>
      <w:r w:rsidR="00EF5E21" w:rsidRPr="00C926A8">
        <w:rPr>
          <w:rFonts w:ascii="Arial" w:eastAsia="Times New Roman" w:hAnsi="Arial" w:cs="Arial"/>
          <w:sz w:val="24"/>
          <w:szCs w:val="24"/>
        </w:rPr>
        <w:t xml:space="preserve"> </w:t>
      </w:r>
      <w:r w:rsidRPr="00C926A8">
        <w:rPr>
          <w:rFonts w:ascii="Arial" w:eastAsia="Times New Roman" w:hAnsi="Arial" w:cs="Arial"/>
          <w:sz w:val="24"/>
          <w:szCs w:val="24"/>
        </w:rPr>
        <w:t>are based on the Energy Commission’s</w:t>
      </w:r>
      <w:r w:rsidR="00EF5E21" w:rsidRPr="00C926A8">
        <w:rPr>
          <w:rFonts w:ascii="Arial" w:eastAsia="Times New Roman" w:hAnsi="Arial" w:cs="Arial"/>
          <w:sz w:val="24"/>
          <w:szCs w:val="24"/>
        </w:rPr>
        <w:t xml:space="preserve"> </w:t>
      </w:r>
      <w:r w:rsidRPr="00C926A8">
        <w:rPr>
          <w:rFonts w:ascii="Arial" w:eastAsia="Times New Roman" w:hAnsi="Arial" w:cs="Arial"/>
          <w:sz w:val="24"/>
          <w:szCs w:val="24"/>
        </w:rPr>
        <w:t>interpretation of the questions received.</w:t>
      </w:r>
      <w:r w:rsidR="00EF5E21" w:rsidRPr="00C926A8">
        <w:rPr>
          <w:rFonts w:ascii="Arial" w:eastAsia="Times New Roman" w:hAnsi="Arial" w:cs="Arial"/>
          <w:sz w:val="24"/>
          <w:szCs w:val="24"/>
        </w:rPr>
        <w:t xml:space="preserve"> </w:t>
      </w:r>
      <w:r w:rsidRPr="00C926A8">
        <w:rPr>
          <w:rFonts w:ascii="Arial" w:eastAsia="Times New Roman" w:hAnsi="Arial" w:cs="Arial"/>
          <w:sz w:val="24"/>
          <w:szCs w:val="24"/>
        </w:rPr>
        <w:t xml:space="preserve">It is the applicant’s responsibility to determine whether or not their particular proposed project is eligible for funding, by reviewing the Eligibility Requirements within the solicitation. The Energy Commission cannot give advice as to whether or not your particular project is eligible for funding, because all proposal details are not known. </w:t>
      </w:r>
    </w:p>
    <w:p w:rsidR="00FE3A66" w:rsidRPr="00C926A8" w:rsidRDefault="00FE3A66" w:rsidP="000701AC">
      <w:pPr>
        <w:spacing w:after="0" w:line="240" w:lineRule="auto"/>
        <w:rPr>
          <w:rFonts w:ascii="Arial" w:eastAsia="Times New Roman" w:hAnsi="Arial" w:cs="Arial"/>
          <w:sz w:val="24"/>
          <w:szCs w:val="24"/>
        </w:rPr>
      </w:pPr>
    </w:p>
    <w:p w:rsidR="00FE3A66" w:rsidRPr="00C926A8" w:rsidRDefault="00FE3A66" w:rsidP="000701AC">
      <w:pPr>
        <w:spacing w:after="0" w:line="240" w:lineRule="auto"/>
        <w:rPr>
          <w:rFonts w:ascii="Arial" w:eastAsia="Times New Roman" w:hAnsi="Arial" w:cs="Arial"/>
          <w:sz w:val="24"/>
          <w:szCs w:val="24"/>
        </w:rPr>
      </w:pPr>
      <w:r w:rsidRPr="00C926A8">
        <w:rPr>
          <w:rFonts w:ascii="Arial" w:eastAsia="Times New Roman" w:hAnsi="Arial" w:cs="Arial"/>
          <w:sz w:val="24"/>
          <w:szCs w:val="24"/>
        </w:rPr>
        <w:t xml:space="preserve">There are two Addendums to this solicitation as of the release date of this document. </w:t>
      </w:r>
    </w:p>
    <w:p w:rsidR="00EA7BA8" w:rsidRPr="00C926A8" w:rsidRDefault="00EA7BA8" w:rsidP="000701AC">
      <w:pPr>
        <w:spacing w:after="0" w:line="240" w:lineRule="auto"/>
        <w:rPr>
          <w:rFonts w:ascii="Arial" w:eastAsia="Times New Roman" w:hAnsi="Arial" w:cs="Arial"/>
          <w:sz w:val="24"/>
          <w:szCs w:val="24"/>
        </w:rPr>
      </w:pPr>
    </w:p>
    <w:p w:rsidR="00EA7BA8" w:rsidRPr="00C926A8" w:rsidRDefault="00EA7BA8" w:rsidP="000701AC">
      <w:pPr>
        <w:spacing w:after="0" w:line="240" w:lineRule="auto"/>
        <w:rPr>
          <w:rFonts w:ascii="Arial" w:eastAsia="Times New Roman" w:hAnsi="Arial" w:cs="Arial"/>
          <w:sz w:val="24"/>
          <w:szCs w:val="24"/>
        </w:rPr>
      </w:pPr>
      <w:r w:rsidRPr="00C926A8">
        <w:rPr>
          <w:rFonts w:ascii="Arial" w:eastAsia="Times New Roman" w:hAnsi="Arial" w:cs="Arial"/>
          <w:sz w:val="24"/>
          <w:szCs w:val="24"/>
        </w:rPr>
        <w:t xml:space="preserve">There is also a separate Questions and Answers document that was published on June 2, 2016, which contains </w:t>
      </w:r>
      <w:r w:rsidR="00E85798" w:rsidRPr="00C926A8">
        <w:rPr>
          <w:rFonts w:ascii="Arial" w:eastAsia="Times New Roman" w:hAnsi="Arial" w:cs="Arial"/>
          <w:sz w:val="24"/>
          <w:szCs w:val="24"/>
        </w:rPr>
        <w:t xml:space="preserve">the </w:t>
      </w:r>
      <w:r w:rsidRPr="00C926A8">
        <w:rPr>
          <w:rFonts w:ascii="Arial" w:eastAsia="Times New Roman" w:hAnsi="Arial" w:cs="Arial"/>
          <w:sz w:val="24"/>
          <w:szCs w:val="24"/>
        </w:rPr>
        <w:t xml:space="preserve">first set of questions and answers. </w:t>
      </w:r>
    </w:p>
    <w:p w:rsidR="001732DC" w:rsidRPr="00C926A8" w:rsidRDefault="001732DC" w:rsidP="000701AC">
      <w:pPr>
        <w:spacing w:after="0" w:line="240" w:lineRule="auto"/>
        <w:rPr>
          <w:rFonts w:ascii="Arial" w:hAnsi="Arial" w:cs="Arial"/>
          <w:sz w:val="24"/>
          <w:szCs w:val="24"/>
        </w:rPr>
      </w:pPr>
    </w:p>
    <w:p w:rsidR="00AE35C2" w:rsidRPr="00C926A8" w:rsidRDefault="00AE35C2" w:rsidP="000701AC">
      <w:pPr>
        <w:spacing w:after="0" w:line="240" w:lineRule="auto"/>
        <w:rPr>
          <w:rFonts w:ascii="Arial" w:hAnsi="Arial" w:cs="Arial"/>
          <w:b/>
          <w:i/>
          <w:sz w:val="24"/>
          <w:szCs w:val="24"/>
          <w:u w:val="single"/>
        </w:rPr>
      </w:pPr>
      <w:r w:rsidRPr="00C926A8">
        <w:rPr>
          <w:rFonts w:ascii="Arial" w:hAnsi="Arial" w:cs="Arial"/>
          <w:b/>
          <w:i/>
          <w:sz w:val="24"/>
          <w:szCs w:val="24"/>
          <w:u w:val="single"/>
        </w:rPr>
        <w:t>Administrative</w:t>
      </w:r>
      <w:r w:rsidR="00E40892" w:rsidRPr="00C926A8">
        <w:rPr>
          <w:rFonts w:ascii="Arial" w:hAnsi="Arial" w:cs="Arial"/>
          <w:b/>
          <w:i/>
          <w:sz w:val="24"/>
          <w:szCs w:val="24"/>
          <w:u w:val="single"/>
        </w:rPr>
        <w:t>/Miscellaneous</w:t>
      </w:r>
    </w:p>
    <w:p w:rsidR="00EF1706" w:rsidRPr="00C926A8" w:rsidRDefault="00EF1706" w:rsidP="000701AC">
      <w:pPr>
        <w:spacing w:after="0" w:line="240" w:lineRule="auto"/>
        <w:rPr>
          <w:rFonts w:ascii="Arial" w:hAnsi="Arial" w:cs="Arial"/>
          <w:b/>
          <w:i/>
          <w:sz w:val="24"/>
          <w:szCs w:val="24"/>
          <w:u w:val="single"/>
        </w:rPr>
      </w:pPr>
    </w:p>
    <w:p w:rsidR="001537CF" w:rsidRPr="00C926A8" w:rsidRDefault="001537CF" w:rsidP="000701AC">
      <w:pPr>
        <w:spacing w:after="0" w:line="240" w:lineRule="auto"/>
        <w:ind w:left="720" w:hanging="720"/>
        <w:rPr>
          <w:rFonts w:ascii="Arial" w:hAnsi="Arial" w:cs="Arial"/>
          <w:b/>
          <w:sz w:val="24"/>
          <w:szCs w:val="24"/>
        </w:rPr>
      </w:pPr>
      <w:r w:rsidRPr="00C926A8">
        <w:rPr>
          <w:rFonts w:ascii="Arial" w:hAnsi="Arial" w:cs="Arial"/>
          <w:b/>
          <w:sz w:val="24"/>
          <w:szCs w:val="24"/>
        </w:rPr>
        <w:t>Q.</w:t>
      </w:r>
      <w:r w:rsidR="00AE35C2" w:rsidRPr="00C926A8">
        <w:rPr>
          <w:rFonts w:ascii="Arial" w:hAnsi="Arial" w:cs="Arial"/>
          <w:b/>
          <w:sz w:val="24"/>
          <w:szCs w:val="24"/>
        </w:rPr>
        <w:t>1</w:t>
      </w:r>
      <w:r w:rsidRPr="00C926A8">
        <w:rPr>
          <w:rFonts w:ascii="Arial" w:hAnsi="Arial" w:cs="Arial"/>
          <w:b/>
          <w:sz w:val="24"/>
          <w:szCs w:val="24"/>
        </w:rPr>
        <w:t>:</w:t>
      </w:r>
      <w:r w:rsidRPr="00C926A8">
        <w:rPr>
          <w:rFonts w:ascii="Arial" w:hAnsi="Arial" w:cs="Arial"/>
          <w:b/>
          <w:sz w:val="24"/>
          <w:szCs w:val="24"/>
        </w:rPr>
        <w:tab/>
        <w:t xml:space="preserve">Will this solicitation be </w:t>
      </w:r>
      <w:r w:rsidR="00E85798" w:rsidRPr="00C926A8">
        <w:rPr>
          <w:rFonts w:ascii="Arial" w:hAnsi="Arial" w:cs="Arial"/>
          <w:b/>
          <w:sz w:val="24"/>
          <w:szCs w:val="24"/>
        </w:rPr>
        <w:t xml:space="preserve">released again </w:t>
      </w:r>
      <w:r w:rsidRPr="00C926A8">
        <w:rPr>
          <w:rFonts w:ascii="Arial" w:hAnsi="Arial" w:cs="Arial"/>
          <w:b/>
          <w:sz w:val="24"/>
          <w:szCs w:val="24"/>
        </w:rPr>
        <w:t xml:space="preserve">next year? </w:t>
      </w:r>
    </w:p>
    <w:p w:rsidR="001537CF" w:rsidRPr="00C926A8" w:rsidRDefault="001537CF" w:rsidP="000701AC">
      <w:pPr>
        <w:spacing w:after="0" w:line="240" w:lineRule="auto"/>
        <w:ind w:left="720" w:hanging="720"/>
        <w:rPr>
          <w:rFonts w:ascii="Arial" w:hAnsi="Arial" w:cs="Arial"/>
          <w:sz w:val="24"/>
          <w:szCs w:val="24"/>
        </w:rPr>
      </w:pPr>
    </w:p>
    <w:p w:rsidR="001537CF" w:rsidRPr="00C926A8" w:rsidRDefault="001537CF" w:rsidP="000701AC">
      <w:pPr>
        <w:spacing w:after="0" w:line="240" w:lineRule="auto"/>
        <w:ind w:left="720" w:hanging="720"/>
        <w:rPr>
          <w:rFonts w:ascii="Arial" w:hAnsi="Arial" w:cs="Arial"/>
          <w:sz w:val="24"/>
          <w:szCs w:val="24"/>
        </w:rPr>
      </w:pPr>
      <w:r w:rsidRPr="00C926A8">
        <w:rPr>
          <w:rFonts w:ascii="Arial" w:hAnsi="Arial" w:cs="Arial"/>
          <w:sz w:val="24"/>
          <w:szCs w:val="24"/>
        </w:rPr>
        <w:t>A.</w:t>
      </w:r>
      <w:r w:rsidR="00AE35C2" w:rsidRPr="00C926A8">
        <w:rPr>
          <w:rFonts w:ascii="Arial" w:hAnsi="Arial" w:cs="Arial"/>
          <w:sz w:val="24"/>
          <w:szCs w:val="24"/>
        </w:rPr>
        <w:t>1</w:t>
      </w:r>
      <w:r w:rsidRPr="00C926A8">
        <w:rPr>
          <w:rFonts w:ascii="Arial" w:hAnsi="Arial" w:cs="Arial"/>
          <w:sz w:val="24"/>
          <w:szCs w:val="24"/>
        </w:rPr>
        <w:t>:</w:t>
      </w:r>
      <w:r w:rsidRPr="00C926A8">
        <w:rPr>
          <w:rFonts w:ascii="Arial" w:hAnsi="Arial" w:cs="Arial"/>
          <w:sz w:val="24"/>
          <w:szCs w:val="24"/>
        </w:rPr>
        <w:tab/>
      </w:r>
      <w:r w:rsidR="000D50D7">
        <w:rPr>
          <w:rFonts w:ascii="Arial" w:hAnsi="Arial" w:cs="Arial"/>
          <w:sz w:val="24"/>
          <w:szCs w:val="24"/>
        </w:rPr>
        <w:t>Likely not</w:t>
      </w:r>
      <w:r w:rsidRPr="00C926A8">
        <w:rPr>
          <w:rFonts w:ascii="Arial" w:hAnsi="Arial" w:cs="Arial"/>
          <w:sz w:val="24"/>
          <w:szCs w:val="24"/>
        </w:rPr>
        <w:t xml:space="preserve">. The </w:t>
      </w:r>
      <w:r w:rsidR="000228D1" w:rsidRPr="00C926A8">
        <w:rPr>
          <w:rFonts w:ascii="Arial" w:hAnsi="Arial" w:cs="Arial"/>
          <w:sz w:val="24"/>
          <w:szCs w:val="24"/>
        </w:rPr>
        <w:t>max</w:t>
      </w:r>
      <w:r w:rsidR="00DF7975" w:rsidRPr="00C926A8">
        <w:rPr>
          <w:rFonts w:ascii="Arial" w:hAnsi="Arial" w:cs="Arial"/>
          <w:sz w:val="24"/>
          <w:szCs w:val="24"/>
        </w:rPr>
        <w:t>imum available funding amount of</w:t>
      </w:r>
      <w:r w:rsidR="000228D1" w:rsidRPr="00C926A8">
        <w:rPr>
          <w:rFonts w:ascii="Arial" w:hAnsi="Arial" w:cs="Arial"/>
          <w:sz w:val="24"/>
          <w:szCs w:val="24"/>
        </w:rPr>
        <w:t xml:space="preserve"> $33.0 million</w:t>
      </w:r>
      <w:r w:rsidR="00DF7975" w:rsidRPr="00C926A8">
        <w:rPr>
          <w:rFonts w:ascii="Arial" w:hAnsi="Arial" w:cs="Arial"/>
          <w:sz w:val="24"/>
          <w:szCs w:val="24"/>
        </w:rPr>
        <w:t xml:space="preserve"> represents </w:t>
      </w:r>
      <w:r w:rsidR="00947C25" w:rsidRPr="00C926A8">
        <w:rPr>
          <w:rFonts w:ascii="Arial" w:hAnsi="Arial" w:cs="Arial"/>
          <w:sz w:val="24"/>
          <w:szCs w:val="24"/>
        </w:rPr>
        <w:t>the funding allocation</w:t>
      </w:r>
      <w:r w:rsidR="00D65F26" w:rsidRPr="00C926A8">
        <w:rPr>
          <w:rFonts w:ascii="Arial" w:hAnsi="Arial" w:cs="Arial"/>
          <w:sz w:val="24"/>
          <w:szCs w:val="24"/>
        </w:rPr>
        <w:t>s</w:t>
      </w:r>
      <w:r w:rsidR="00947C25" w:rsidRPr="00C926A8">
        <w:rPr>
          <w:rFonts w:ascii="Arial" w:hAnsi="Arial" w:cs="Arial"/>
          <w:sz w:val="24"/>
          <w:szCs w:val="24"/>
        </w:rPr>
        <w:t xml:space="preserve"> for </w:t>
      </w:r>
      <w:r w:rsidR="00DF7975" w:rsidRPr="00C926A8">
        <w:rPr>
          <w:rFonts w:ascii="Arial" w:hAnsi="Arial" w:cs="Arial"/>
          <w:sz w:val="24"/>
          <w:szCs w:val="24"/>
        </w:rPr>
        <w:t xml:space="preserve">FY </w:t>
      </w:r>
      <w:r w:rsidR="001D2868" w:rsidRPr="00C926A8">
        <w:rPr>
          <w:rFonts w:ascii="Arial" w:hAnsi="Arial" w:cs="Arial"/>
          <w:sz w:val="24"/>
          <w:szCs w:val="24"/>
        </w:rPr>
        <w:t>20</w:t>
      </w:r>
      <w:r w:rsidR="00DF7975" w:rsidRPr="00C926A8">
        <w:rPr>
          <w:rFonts w:ascii="Arial" w:hAnsi="Arial" w:cs="Arial"/>
          <w:sz w:val="24"/>
          <w:szCs w:val="24"/>
        </w:rPr>
        <w:t>15/</w:t>
      </w:r>
      <w:r w:rsidR="001D2868" w:rsidRPr="00C926A8">
        <w:rPr>
          <w:rFonts w:ascii="Arial" w:hAnsi="Arial" w:cs="Arial"/>
          <w:sz w:val="24"/>
          <w:szCs w:val="24"/>
        </w:rPr>
        <w:t>20</w:t>
      </w:r>
      <w:r w:rsidR="00DF7975" w:rsidRPr="00C926A8">
        <w:rPr>
          <w:rFonts w:ascii="Arial" w:hAnsi="Arial" w:cs="Arial"/>
          <w:sz w:val="24"/>
          <w:szCs w:val="24"/>
        </w:rPr>
        <w:t xml:space="preserve">16 and FY </w:t>
      </w:r>
      <w:r w:rsidR="001D2868" w:rsidRPr="00C926A8">
        <w:rPr>
          <w:rFonts w:ascii="Arial" w:hAnsi="Arial" w:cs="Arial"/>
          <w:sz w:val="24"/>
          <w:szCs w:val="24"/>
        </w:rPr>
        <w:t>20</w:t>
      </w:r>
      <w:r w:rsidR="00DF7975" w:rsidRPr="00C926A8">
        <w:rPr>
          <w:rFonts w:ascii="Arial" w:hAnsi="Arial" w:cs="Arial"/>
          <w:sz w:val="24"/>
          <w:szCs w:val="24"/>
        </w:rPr>
        <w:t>16/</w:t>
      </w:r>
      <w:r w:rsidR="001D2868" w:rsidRPr="00C926A8">
        <w:rPr>
          <w:rFonts w:ascii="Arial" w:hAnsi="Arial" w:cs="Arial"/>
          <w:sz w:val="24"/>
          <w:szCs w:val="24"/>
        </w:rPr>
        <w:t>20</w:t>
      </w:r>
      <w:r w:rsidR="00DF7975" w:rsidRPr="00C926A8">
        <w:rPr>
          <w:rFonts w:ascii="Arial" w:hAnsi="Arial" w:cs="Arial"/>
          <w:sz w:val="24"/>
          <w:szCs w:val="24"/>
        </w:rPr>
        <w:t>17</w:t>
      </w:r>
      <w:r w:rsidR="000228D1" w:rsidRPr="00C926A8">
        <w:rPr>
          <w:rFonts w:ascii="Arial" w:hAnsi="Arial" w:cs="Arial"/>
          <w:sz w:val="24"/>
          <w:szCs w:val="24"/>
        </w:rPr>
        <w:t xml:space="preserve">. </w:t>
      </w:r>
    </w:p>
    <w:p w:rsidR="000228D1" w:rsidRPr="00C926A8" w:rsidRDefault="000228D1" w:rsidP="000701AC">
      <w:pPr>
        <w:spacing w:after="0" w:line="240" w:lineRule="auto"/>
        <w:ind w:left="720" w:hanging="720"/>
        <w:rPr>
          <w:rFonts w:ascii="Arial" w:hAnsi="Arial" w:cs="Arial"/>
          <w:b/>
          <w:sz w:val="24"/>
          <w:szCs w:val="24"/>
        </w:rPr>
      </w:pPr>
    </w:p>
    <w:p w:rsidR="00815718" w:rsidRPr="00C926A8" w:rsidRDefault="00815718" w:rsidP="000701AC">
      <w:pPr>
        <w:spacing w:after="0" w:line="240" w:lineRule="auto"/>
        <w:ind w:left="720" w:hanging="720"/>
        <w:rPr>
          <w:rFonts w:ascii="Arial" w:hAnsi="Arial" w:cs="Arial"/>
          <w:b/>
          <w:sz w:val="24"/>
          <w:szCs w:val="24"/>
        </w:rPr>
      </w:pPr>
      <w:r w:rsidRPr="00C926A8">
        <w:rPr>
          <w:rFonts w:ascii="Arial" w:hAnsi="Arial" w:cs="Arial"/>
          <w:b/>
          <w:sz w:val="24"/>
          <w:szCs w:val="24"/>
        </w:rPr>
        <w:t>Q.</w:t>
      </w:r>
      <w:r w:rsidR="00AE35C2" w:rsidRPr="00C926A8">
        <w:rPr>
          <w:rFonts w:ascii="Arial" w:hAnsi="Arial" w:cs="Arial"/>
          <w:b/>
          <w:sz w:val="24"/>
          <w:szCs w:val="24"/>
        </w:rPr>
        <w:t>2</w:t>
      </w:r>
      <w:r w:rsidRPr="00C926A8">
        <w:rPr>
          <w:rFonts w:ascii="Arial" w:hAnsi="Arial" w:cs="Arial"/>
          <w:b/>
          <w:sz w:val="24"/>
          <w:szCs w:val="24"/>
        </w:rPr>
        <w:t>:</w:t>
      </w:r>
      <w:r w:rsidRPr="00C926A8">
        <w:rPr>
          <w:rFonts w:ascii="Arial" w:hAnsi="Arial" w:cs="Arial"/>
          <w:b/>
          <w:sz w:val="24"/>
          <w:szCs w:val="24"/>
        </w:rPr>
        <w:tab/>
        <w:t>Can I obtain copies of applications from the previous solicitation?</w:t>
      </w:r>
    </w:p>
    <w:p w:rsidR="00815718" w:rsidRPr="00C926A8" w:rsidRDefault="00815718" w:rsidP="000701AC">
      <w:pPr>
        <w:spacing w:after="0" w:line="240" w:lineRule="auto"/>
        <w:ind w:left="720" w:hanging="720"/>
        <w:rPr>
          <w:rFonts w:ascii="Arial" w:hAnsi="Arial" w:cs="Arial"/>
          <w:sz w:val="24"/>
          <w:szCs w:val="24"/>
        </w:rPr>
      </w:pPr>
    </w:p>
    <w:p w:rsidR="00815718" w:rsidRPr="00C926A8" w:rsidRDefault="00815718" w:rsidP="000701AC">
      <w:pPr>
        <w:spacing w:after="0" w:line="240" w:lineRule="auto"/>
        <w:ind w:left="720" w:hanging="720"/>
        <w:rPr>
          <w:rFonts w:ascii="Arial" w:hAnsi="Arial" w:cs="Arial"/>
          <w:sz w:val="24"/>
          <w:szCs w:val="24"/>
        </w:rPr>
      </w:pPr>
      <w:r w:rsidRPr="00C926A8">
        <w:rPr>
          <w:rFonts w:ascii="Arial" w:hAnsi="Arial" w:cs="Arial"/>
          <w:sz w:val="24"/>
          <w:szCs w:val="24"/>
        </w:rPr>
        <w:t>A.</w:t>
      </w:r>
      <w:r w:rsidR="00AE35C2" w:rsidRPr="00C926A8">
        <w:rPr>
          <w:rFonts w:ascii="Arial" w:hAnsi="Arial" w:cs="Arial"/>
          <w:sz w:val="24"/>
          <w:szCs w:val="24"/>
        </w:rPr>
        <w:t>2</w:t>
      </w:r>
      <w:r w:rsidRPr="00C926A8">
        <w:rPr>
          <w:rFonts w:ascii="Arial" w:hAnsi="Arial" w:cs="Arial"/>
          <w:sz w:val="24"/>
          <w:szCs w:val="24"/>
        </w:rPr>
        <w:t>:</w:t>
      </w:r>
      <w:r w:rsidRPr="00C926A8">
        <w:rPr>
          <w:rFonts w:ascii="Arial" w:hAnsi="Arial" w:cs="Arial"/>
          <w:sz w:val="24"/>
          <w:szCs w:val="24"/>
        </w:rPr>
        <w:tab/>
        <w:t xml:space="preserve">Yes. Please contact Kevyn Piper at 916-654-4845 or </w:t>
      </w:r>
      <w:hyperlink r:id="rId10" w:history="1">
        <w:r w:rsidRPr="00C926A8">
          <w:rPr>
            <w:rStyle w:val="Hyperlink"/>
            <w:rFonts w:ascii="Arial" w:hAnsi="Arial" w:cs="Arial"/>
            <w:sz w:val="24"/>
            <w:szCs w:val="24"/>
          </w:rPr>
          <w:t>Kevyn.Piper@energy.ca.gov</w:t>
        </w:r>
      </w:hyperlink>
      <w:r w:rsidRPr="00C926A8">
        <w:rPr>
          <w:rFonts w:ascii="Arial" w:hAnsi="Arial" w:cs="Arial"/>
          <w:sz w:val="24"/>
          <w:szCs w:val="24"/>
        </w:rPr>
        <w:t>. However, it is important to know that the requirements and the Evaluation Criteria for this solicitation are different from previous solicitations and the success of an application under a previous solicitation may not mean</w:t>
      </w:r>
      <w:r w:rsidR="000D50D7">
        <w:rPr>
          <w:rFonts w:ascii="Arial" w:hAnsi="Arial" w:cs="Arial"/>
          <w:sz w:val="24"/>
          <w:szCs w:val="24"/>
        </w:rPr>
        <w:t xml:space="preserve"> that</w:t>
      </w:r>
      <w:r w:rsidRPr="00C926A8">
        <w:rPr>
          <w:rFonts w:ascii="Arial" w:hAnsi="Arial" w:cs="Arial"/>
          <w:sz w:val="24"/>
          <w:szCs w:val="24"/>
        </w:rPr>
        <w:t xml:space="preserve"> it would be successful under this current solicitation. </w:t>
      </w:r>
    </w:p>
    <w:p w:rsidR="00AE35C2" w:rsidRPr="00C926A8" w:rsidRDefault="00AE35C2" w:rsidP="000701AC">
      <w:pPr>
        <w:spacing w:after="0" w:line="240" w:lineRule="auto"/>
        <w:ind w:left="720" w:hanging="720"/>
        <w:rPr>
          <w:rFonts w:ascii="Arial" w:hAnsi="Arial" w:cs="Arial"/>
          <w:b/>
          <w:sz w:val="24"/>
          <w:szCs w:val="24"/>
        </w:rPr>
      </w:pPr>
    </w:p>
    <w:p w:rsidR="00AE35C2" w:rsidRPr="00C926A8" w:rsidRDefault="00AE35C2" w:rsidP="000701AC">
      <w:pPr>
        <w:spacing w:after="0" w:line="240" w:lineRule="auto"/>
        <w:ind w:left="720" w:hanging="720"/>
        <w:rPr>
          <w:rFonts w:ascii="Arial" w:hAnsi="Arial" w:cs="Arial"/>
          <w:b/>
          <w:sz w:val="24"/>
          <w:szCs w:val="24"/>
        </w:rPr>
      </w:pPr>
      <w:r w:rsidRPr="00C926A8">
        <w:rPr>
          <w:rFonts w:ascii="Arial" w:hAnsi="Arial" w:cs="Arial"/>
          <w:b/>
          <w:sz w:val="24"/>
          <w:szCs w:val="24"/>
        </w:rPr>
        <w:t xml:space="preserve">Q.3: </w:t>
      </w:r>
      <w:r w:rsidRPr="00C926A8">
        <w:rPr>
          <w:rFonts w:ascii="Arial" w:hAnsi="Arial" w:cs="Arial"/>
          <w:b/>
          <w:sz w:val="24"/>
          <w:szCs w:val="24"/>
        </w:rPr>
        <w:tab/>
        <w:t>Table 7: Application Organization in the GFO (pages 53 of 80) references Tab 4 as the Executive Summary. However, the Application Content listed on Page 54 of 80 does not reference inclusion of an Executive Summary. Please clarify whether an application should include an executive summary.</w:t>
      </w:r>
    </w:p>
    <w:p w:rsidR="00AE35C2" w:rsidRPr="00C926A8" w:rsidRDefault="00AE35C2"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sz w:val="24"/>
          <w:szCs w:val="24"/>
        </w:rPr>
      </w:pPr>
      <w:r w:rsidRPr="00C926A8">
        <w:rPr>
          <w:rFonts w:ascii="Arial" w:hAnsi="Arial" w:cs="Arial"/>
          <w:sz w:val="24"/>
          <w:szCs w:val="24"/>
        </w:rPr>
        <w:t xml:space="preserve">A.3: </w:t>
      </w:r>
      <w:r w:rsidRPr="00C926A8">
        <w:rPr>
          <w:rFonts w:ascii="Arial" w:hAnsi="Arial" w:cs="Arial"/>
          <w:sz w:val="24"/>
          <w:szCs w:val="24"/>
        </w:rPr>
        <w:tab/>
        <w:t xml:space="preserve">Table 7 should not have contained “Executive Summary.” An Executive Summary is not required in the application. Please follow the IX. F. Application Content for what to include in the application. </w:t>
      </w:r>
    </w:p>
    <w:p w:rsidR="00AE35C2" w:rsidRPr="00C926A8" w:rsidRDefault="00AE35C2"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b/>
          <w:sz w:val="24"/>
          <w:szCs w:val="24"/>
        </w:rPr>
      </w:pPr>
      <w:r w:rsidRPr="00C926A8">
        <w:rPr>
          <w:rFonts w:ascii="Arial" w:hAnsi="Arial" w:cs="Arial"/>
          <w:b/>
          <w:sz w:val="24"/>
          <w:szCs w:val="24"/>
        </w:rPr>
        <w:t xml:space="preserve">Q.4: </w:t>
      </w:r>
      <w:r w:rsidRPr="00C926A8">
        <w:rPr>
          <w:rFonts w:ascii="Arial" w:hAnsi="Arial" w:cs="Arial"/>
          <w:b/>
          <w:sz w:val="24"/>
          <w:szCs w:val="24"/>
        </w:rPr>
        <w:tab/>
        <w:t xml:space="preserve">If an Applicant intends to deploy a certain number of stations upon successful award, but plans to include potential locations in their application that exceeds this number (which could result in more awards than the applicant is prepared to accept), would the Energy Commission </w:t>
      </w:r>
      <w:r w:rsidRPr="00C926A8">
        <w:rPr>
          <w:rFonts w:ascii="Arial" w:hAnsi="Arial" w:cs="Arial"/>
          <w:b/>
          <w:sz w:val="24"/>
          <w:szCs w:val="24"/>
        </w:rPr>
        <w:lastRenderedPageBreak/>
        <w:t>prefer the applicant to state the number of stations they are willing to deploy in their application or address excess awards during contracting?</w:t>
      </w:r>
    </w:p>
    <w:p w:rsidR="00AE35C2" w:rsidRPr="00C926A8" w:rsidRDefault="00AE35C2"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sz w:val="24"/>
          <w:szCs w:val="24"/>
        </w:rPr>
      </w:pPr>
      <w:r w:rsidRPr="00C926A8">
        <w:rPr>
          <w:rFonts w:ascii="Arial" w:hAnsi="Arial" w:cs="Arial"/>
          <w:sz w:val="24"/>
          <w:szCs w:val="24"/>
        </w:rPr>
        <w:t xml:space="preserve">A.4: </w:t>
      </w:r>
      <w:r w:rsidRPr="00C926A8">
        <w:rPr>
          <w:rFonts w:ascii="Arial" w:hAnsi="Arial" w:cs="Arial"/>
          <w:sz w:val="24"/>
          <w:szCs w:val="24"/>
        </w:rPr>
        <w:tab/>
        <w:t xml:space="preserve">It is up to an Applicant to decide how many stations to propose. </w:t>
      </w:r>
      <w:r w:rsidR="000D120A">
        <w:rPr>
          <w:rFonts w:ascii="Arial" w:hAnsi="Arial" w:cs="Arial"/>
          <w:sz w:val="24"/>
          <w:szCs w:val="24"/>
        </w:rPr>
        <w:t>Upon release of a Notice of Proposed Awards, Applicants may withdraw from one or more recommended awards. If this occurs, the Energy Commission reserves the right to recommend funding to the next highest ranked station following the rules and procedures contained within GFO-15-605.</w:t>
      </w:r>
    </w:p>
    <w:p w:rsidR="00AE35C2" w:rsidRPr="00C926A8" w:rsidRDefault="00AE35C2"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b/>
          <w:sz w:val="24"/>
          <w:szCs w:val="24"/>
        </w:rPr>
      </w:pPr>
      <w:r w:rsidRPr="00C926A8">
        <w:rPr>
          <w:rFonts w:ascii="Arial" w:hAnsi="Arial" w:cs="Arial"/>
          <w:b/>
          <w:sz w:val="24"/>
          <w:szCs w:val="24"/>
        </w:rPr>
        <w:t>Q.5:</w:t>
      </w:r>
      <w:r w:rsidRPr="00C926A8">
        <w:rPr>
          <w:rFonts w:ascii="Arial" w:hAnsi="Arial" w:cs="Arial"/>
          <w:b/>
          <w:sz w:val="24"/>
          <w:szCs w:val="24"/>
        </w:rPr>
        <w:tab/>
        <w:t>Section II.G, on page 20: the Energy Commission will not release the 15% retention until after the Final Report has been approved by the CAM. The final report requires a minimum of 12 months of station operational data. If the grant recipient receives an O&amp;M grant can they submit the Final Report after 12 months of station operational data has been collected?</w:t>
      </w:r>
    </w:p>
    <w:p w:rsidR="00AE35C2" w:rsidRPr="00C926A8" w:rsidRDefault="00AE35C2"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sz w:val="24"/>
          <w:szCs w:val="24"/>
        </w:rPr>
      </w:pPr>
      <w:r w:rsidRPr="00C926A8">
        <w:rPr>
          <w:rFonts w:ascii="Arial" w:hAnsi="Arial" w:cs="Arial"/>
          <w:sz w:val="24"/>
          <w:szCs w:val="24"/>
        </w:rPr>
        <w:t>A.5:</w:t>
      </w:r>
      <w:r w:rsidRPr="00C926A8">
        <w:rPr>
          <w:rFonts w:ascii="Arial" w:hAnsi="Arial" w:cs="Arial"/>
          <w:sz w:val="24"/>
          <w:szCs w:val="24"/>
        </w:rPr>
        <w:tab/>
        <w:t xml:space="preserve">If a Recipient receives an O&amp;M grant, then the Recipient is no longer required to conduct data reporting under its </w:t>
      </w:r>
      <w:r w:rsidR="000D120A">
        <w:rPr>
          <w:rFonts w:ascii="Arial" w:hAnsi="Arial" w:cs="Arial"/>
          <w:sz w:val="24"/>
          <w:szCs w:val="24"/>
        </w:rPr>
        <w:t>capital expense (</w:t>
      </w:r>
      <w:r w:rsidRPr="00C926A8">
        <w:rPr>
          <w:rFonts w:ascii="Arial" w:hAnsi="Arial" w:cs="Arial"/>
          <w:sz w:val="24"/>
          <w:szCs w:val="24"/>
        </w:rPr>
        <w:t>Cap-X</w:t>
      </w:r>
      <w:r w:rsidR="000D120A">
        <w:rPr>
          <w:rFonts w:ascii="Arial" w:hAnsi="Arial" w:cs="Arial"/>
          <w:sz w:val="24"/>
          <w:szCs w:val="24"/>
        </w:rPr>
        <w:t>)</w:t>
      </w:r>
      <w:r w:rsidRPr="00C926A8">
        <w:rPr>
          <w:rFonts w:ascii="Arial" w:hAnsi="Arial" w:cs="Arial"/>
          <w:sz w:val="24"/>
          <w:szCs w:val="24"/>
        </w:rPr>
        <w:t xml:space="preserve"> grant agreement on a station by station basis</w:t>
      </w:r>
      <w:r w:rsidR="00F96E98">
        <w:rPr>
          <w:rFonts w:ascii="Arial" w:hAnsi="Arial" w:cs="Arial"/>
          <w:sz w:val="24"/>
          <w:szCs w:val="24"/>
        </w:rPr>
        <w:t xml:space="preserve"> (Attachment 14, Special Terms &amp; Conditions)</w:t>
      </w:r>
      <w:r w:rsidRPr="00C926A8">
        <w:rPr>
          <w:rFonts w:ascii="Arial" w:hAnsi="Arial" w:cs="Arial"/>
          <w:sz w:val="24"/>
          <w:szCs w:val="24"/>
        </w:rPr>
        <w:t>. The 15% retention will be released, on a station by station basis, when the Recipient submits a satisfactory Final Report under the Cap-X grant agreement upon the station becoming operational</w:t>
      </w:r>
      <w:r w:rsidR="00FE333F">
        <w:rPr>
          <w:rFonts w:ascii="Arial" w:hAnsi="Arial" w:cs="Arial"/>
          <w:sz w:val="24"/>
          <w:szCs w:val="24"/>
        </w:rPr>
        <w:t xml:space="preserve"> (Section II. G.)</w:t>
      </w:r>
      <w:r w:rsidRPr="00C926A8">
        <w:rPr>
          <w:rFonts w:ascii="Arial" w:hAnsi="Arial" w:cs="Arial"/>
          <w:sz w:val="24"/>
          <w:szCs w:val="24"/>
        </w:rPr>
        <w:t>. See the Questions and Answers document posted on June 2, 2016 (numbers 9 and 10) and Addendum 2, Section II.G. of the solicitation Application Manual.</w:t>
      </w:r>
    </w:p>
    <w:p w:rsidR="00AE35C2" w:rsidRPr="00C926A8" w:rsidRDefault="00AE35C2"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b/>
          <w:sz w:val="24"/>
          <w:szCs w:val="24"/>
        </w:rPr>
      </w:pPr>
      <w:r w:rsidRPr="00C926A8">
        <w:rPr>
          <w:rFonts w:ascii="Arial" w:hAnsi="Arial" w:cs="Arial"/>
          <w:b/>
          <w:sz w:val="24"/>
          <w:szCs w:val="24"/>
        </w:rPr>
        <w:t>Q.6:</w:t>
      </w:r>
      <w:r w:rsidRPr="00C926A8">
        <w:rPr>
          <w:rFonts w:ascii="Arial" w:hAnsi="Arial" w:cs="Arial"/>
          <w:b/>
          <w:sz w:val="24"/>
          <w:szCs w:val="24"/>
        </w:rPr>
        <w:tab/>
        <w:t xml:space="preserve">Open-retail stations are required to remain functioning for a minimum of five years. What is the expected term of the grant agreement, with and without an O&amp;M agreement? </w:t>
      </w:r>
    </w:p>
    <w:p w:rsidR="00AE35C2" w:rsidRPr="00C926A8" w:rsidRDefault="00AE35C2"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sz w:val="24"/>
          <w:szCs w:val="24"/>
        </w:rPr>
      </w:pPr>
      <w:r w:rsidRPr="00C926A8">
        <w:rPr>
          <w:rFonts w:ascii="Arial" w:hAnsi="Arial" w:cs="Arial"/>
          <w:sz w:val="24"/>
          <w:szCs w:val="24"/>
        </w:rPr>
        <w:t>A.6:</w:t>
      </w:r>
      <w:r w:rsidRPr="00C926A8">
        <w:rPr>
          <w:rFonts w:ascii="Arial" w:hAnsi="Arial" w:cs="Arial"/>
          <w:sz w:val="24"/>
          <w:szCs w:val="24"/>
        </w:rPr>
        <w:tab/>
      </w:r>
      <w:r w:rsidR="000D120A">
        <w:rPr>
          <w:rFonts w:ascii="Arial" w:hAnsi="Arial" w:cs="Arial"/>
          <w:sz w:val="24"/>
          <w:szCs w:val="24"/>
        </w:rPr>
        <w:t xml:space="preserve">The term of a Cap-X agreement </w:t>
      </w:r>
      <w:r w:rsidR="0014134D">
        <w:rPr>
          <w:rFonts w:ascii="Arial" w:hAnsi="Arial" w:cs="Arial"/>
          <w:sz w:val="24"/>
          <w:szCs w:val="24"/>
        </w:rPr>
        <w:t xml:space="preserve">should </w:t>
      </w:r>
      <w:r w:rsidR="000D120A">
        <w:rPr>
          <w:rFonts w:ascii="Arial" w:hAnsi="Arial" w:cs="Arial"/>
          <w:sz w:val="24"/>
          <w:szCs w:val="24"/>
        </w:rPr>
        <w:t xml:space="preserve">provide sufficient time for a Recipient to complete all tasks in the Scope of Work (including making a station “operational” in accordance with the definition contained in GFO-15-605 and completion of a final report). </w:t>
      </w:r>
      <w:r w:rsidR="00770BF4">
        <w:rPr>
          <w:rFonts w:ascii="Arial" w:hAnsi="Arial" w:cs="Arial"/>
          <w:sz w:val="24"/>
          <w:szCs w:val="24"/>
        </w:rPr>
        <w:t>O</w:t>
      </w:r>
      <w:r w:rsidR="000D120A">
        <w:rPr>
          <w:rFonts w:ascii="Arial" w:hAnsi="Arial" w:cs="Arial"/>
          <w:sz w:val="24"/>
          <w:szCs w:val="24"/>
        </w:rPr>
        <w:t xml:space="preserve">pen-retail stations </w:t>
      </w:r>
      <w:r w:rsidR="0014134D">
        <w:rPr>
          <w:rFonts w:ascii="Arial" w:hAnsi="Arial" w:cs="Arial"/>
          <w:sz w:val="24"/>
          <w:szCs w:val="24"/>
        </w:rPr>
        <w:t>must</w:t>
      </w:r>
      <w:r w:rsidR="000D120A">
        <w:rPr>
          <w:rFonts w:ascii="Arial" w:hAnsi="Arial" w:cs="Arial"/>
          <w:sz w:val="24"/>
          <w:szCs w:val="24"/>
        </w:rPr>
        <w:t xml:space="preserve"> remain functioning for a minimum of five years </w:t>
      </w:r>
      <w:r w:rsidR="00770BF4">
        <w:rPr>
          <w:rFonts w:ascii="Arial" w:hAnsi="Arial" w:cs="Arial"/>
          <w:sz w:val="24"/>
          <w:szCs w:val="24"/>
        </w:rPr>
        <w:t>after</w:t>
      </w:r>
      <w:r w:rsidR="000D120A">
        <w:rPr>
          <w:rFonts w:ascii="Arial" w:hAnsi="Arial" w:cs="Arial"/>
          <w:sz w:val="24"/>
          <w:szCs w:val="24"/>
        </w:rPr>
        <w:t xml:space="preserve"> the end term of the agreement.</w:t>
      </w:r>
    </w:p>
    <w:p w:rsidR="00AE35C2" w:rsidRPr="00C926A8" w:rsidRDefault="00AE35C2" w:rsidP="000701AC">
      <w:pPr>
        <w:spacing w:after="0" w:line="240" w:lineRule="auto"/>
        <w:ind w:left="720" w:hanging="720"/>
        <w:rPr>
          <w:rFonts w:ascii="Arial" w:hAnsi="Arial" w:cs="Arial"/>
          <w:b/>
          <w:sz w:val="24"/>
          <w:szCs w:val="24"/>
        </w:rPr>
      </w:pPr>
    </w:p>
    <w:p w:rsidR="00AE35C2" w:rsidRPr="00C926A8" w:rsidRDefault="00AE35C2" w:rsidP="000701AC">
      <w:pPr>
        <w:spacing w:after="0" w:line="240" w:lineRule="auto"/>
        <w:ind w:left="720" w:hanging="720"/>
        <w:rPr>
          <w:rFonts w:ascii="Arial" w:hAnsi="Arial" w:cs="Arial"/>
          <w:b/>
          <w:sz w:val="24"/>
          <w:szCs w:val="24"/>
        </w:rPr>
      </w:pPr>
      <w:r w:rsidRPr="00C926A8">
        <w:rPr>
          <w:rFonts w:ascii="Arial" w:hAnsi="Arial" w:cs="Arial"/>
          <w:b/>
          <w:sz w:val="24"/>
          <w:szCs w:val="24"/>
        </w:rPr>
        <w:t>Q.7:</w:t>
      </w:r>
      <w:r w:rsidRPr="00C926A8">
        <w:rPr>
          <w:rFonts w:ascii="Arial" w:hAnsi="Arial" w:cs="Arial"/>
          <w:b/>
          <w:sz w:val="24"/>
          <w:szCs w:val="24"/>
        </w:rPr>
        <w:tab/>
        <w:t>I would like to obtain information for gas station locations in California and its numbers.</w:t>
      </w:r>
    </w:p>
    <w:p w:rsidR="00AE35C2" w:rsidRPr="00C926A8" w:rsidRDefault="00AE35C2"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sz w:val="24"/>
          <w:szCs w:val="24"/>
        </w:rPr>
      </w:pPr>
      <w:r w:rsidRPr="00C926A8">
        <w:rPr>
          <w:rFonts w:ascii="Arial" w:hAnsi="Arial" w:cs="Arial"/>
          <w:sz w:val="24"/>
          <w:szCs w:val="24"/>
        </w:rPr>
        <w:t>A.7:</w:t>
      </w:r>
      <w:r w:rsidRPr="00C926A8">
        <w:rPr>
          <w:rFonts w:ascii="Arial" w:hAnsi="Arial" w:cs="Arial"/>
          <w:sz w:val="24"/>
          <w:szCs w:val="24"/>
        </w:rPr>
        <w:tab/>
        <w:t xml:space="preserve">Retail fuel outlet information can be found at: </w:t>
      </w:r>
      <w:hyperlink r:id="rId11" w:history="1">
        <w:r w:rsidRPr="00C926A8">
          <w:rPr>
            <w:rStyle w:val="Hyperlink"/>
            <w:rFonts w:ascii="Arial" w:hAnsi="Arial" w:cs="Arial"/>
            <w:sz w:val="24"/>
            <w:szCs w:val="24"/>
          </w:rPr>
          <w:t>http://www.energyalmanac.ca.gov/gasoline/piira_retail_survey.html</w:t>
        </w:r>
      </w:hyperlink>
      <w:r w:rsidRPr="00C926A8">
        <w:rPr>
          <w:rFonts w:ascii="Arial" w:hAnsi="Arial" w:cs="Arial"/>
          <w:sz w:val="24"/>
          <w:szCs w:val="24"/>
        </w:rPr>
        <w:t>. The Energy Commission does not release actual address information for retail sites as this information was filed under the Petroleum Industry Information Reporting Act</w:t>
      </w:r>
      <w:r w:rsidR="003A381B">
        <w:rPr>
          <w:rFonts w:ascii="Arial" w:hAnsi="Arial" w:cs="Arial"/>
          <w:sz w:val="24"/>
          <w:szCs w:val="24"/>
        </w:rPr>
        <w:t xml:space="preserve"> and is confidential.</w:t>
      </w:r>
      <w:r w:rsidRPr="00C926A8">
        <w:rPr>
          <w:rFonts w:ascii="Arial" w:hAnsi="Arial" w:cs="Arial"/>
          <w:sz w:val="24"/>
          <w:szCs w:val="24"/>
        </w:rPr>
        <w:t xml:space="preserve"> </w:t>
      </w:r>
    </w:p>
    <w:p w:rsidR="00AE35C2" w:rsidRPr="00C926A8" w:rsidRDefault="00AE35C2" w:rsidP="000701AC">
      <w:pPr>
        <w:spacing w:after="0" w:line="240" w:lineRule="auto"/>
        <w:ind w:left="720" w:hanging="720"/>
        <w:rPr>
          <w:rFonts w:ascii="Arial" w:hAnsi="Arial" w:cs="Arial"/>
          <w:sz w:val="24"/>
          <w:szCs w:val="24"/>
        </w:rPr>
      </w:pPr>
    </w:p>
    <w:p w:rsidR="00867FA1" w:rsidRDefault="00867FA1" w:rsidP="000701AC">
      <w:pPr>
        <w:spacing w:after="0" w:line="240" w:lineRule="auto"/>
        <w:rPr>
          <w:rFonts w:ascii="Arial" w:hAnsi="Arial" w:cs="Arial"/>
          <w:b/>
          <w:i/>
          <w:sz w:val="24"/>
          <w:szCs w:val="24"/>
          <w:u w:val="single"/>
        </w:rPr>
      </w:pPr>
      <w:r>
        <w:rPr>
          <w:rFonts w:ascii="Arial" w:hAnsi="Arial" w:cs="Arial"/>
          <w:b/>
          <w:i/>
          <w:sz w:val="24"/>
          <w:szCs w:val="24"/>
          <w:u w:val="single"/>
        </w:rPr>
        <w:br w:type="page"/>
      </w:r>
    </w:p>
    <w:p w:rsidR="00AE35C2" w:rsidRPr="00C926A8" w:rsidRDefault="00AE35C2" w:rsidP="000701AC">
      <w:pPr>
        <w:spacing w:after="0" w:line="240" w:lineRule="auto"/>
        <w:ind w:left="720" w:hanging="720"/>
        <w:rPr>
          <w:rFonts w:ascii="Arial" w:hAnsi="Arial" w:cs="Arial"/>
          <w:b/>
          <w:i/>
          <w:sz w:val="24"/>
          <w:szCs w:val="24"/>
          <w:u w:val="single"/>
        </w:rPr>
      </w:pPr>
      <w:r w:rsidRPr="00C926A8">
        <w:rPr>
          <w:rFonts w:ascii="Arial" w:hAnsi="Arial" w:cs="Arial"/>
          <w:b/>
          <w:i/>
          <w:sz w:val="24"/>
          <w:szCs w:val="24"/>
          <w:u w:val="single"/>
        </w:rPr>
        <w:lastRenderedPageBreak/>
        <w:t>Capital Expense Grants</w:t>
      </w:r>
    </w:p>
    <w:p w:rsidR="00EF1706" w:rsidRPr="00C926A8" w:rsidRDefault="00EF1706" w:rsidP="000701AC">
      <w:pPr>
        <w:spacing w:after="0" w:line="240" w:lineRule="auto"/>
        <w:rPr>
          <w:rFonts w:ascii="Arial" w:hAnsi="Arial" w:cs="Arial"/>
          <w:sz w:val="24"/>
          <w:szCs w:val="24"/>
        </w:rPr>
      </w:pPr>
    </w:p>
    <w:p w:rsidR="00AE35C2" w:rsidRPr="00C926A8" w:rsidRDefault="00AE35C2" w:rsidP="000701AC">
      <w:pPr>
        <w:spacing w:after="0" w:line="240" w:lineRule="auto"/>
        <w:ind w:left="720" w:hanging="720"/>
        <w:rPr>
          <w:rFonts w:ascii="Arial" w:hAnsi="Arial" w:cs="Arial"/>
          <w:b/>
          <w:sz w:val="24"/>
          <w:szCs w:val="24"/>
        </w:rPr>
      </w:pPr>
      <w:r w:rsidRPr="00C926A8">
        <w:rPr>
          <w:rFonts w:ascii="Arial" w:hAnsi="Arial" w:cs="Arial"/>
          <w:b/>
          <w:sz w:val="24"/>
          <w:szCs w:val="24"/>
        </w:rPr>
        <w:t>Q.8:</w:t>
      </w:r>
      <w:r w:rsidRPr="00C926A8">
        <w:rPr>
          <w:rFonts w:ascii="Arial" w:hAnsi="Arial" w:cs="Arial"/>
          <w:b/>
          <w:sz w:val="24"/>
          <w:szCs w:val="24"/>
        </w:rPr>
        <w:tab/>
        <w:t xml:space="preserve">In the solicitation Application Manual (Table 3), there is a “Monthly Incentive” column along with Cap-X funding. Is this Monthly Incentive funding in addition to the Cap-X and O&amp;M? </w:t>
      </w:r>
    </w:p>
    <w:p w:rsidR="00AE35C2" w:rsidRPr="00C926A8" w:rsidRDefault="00AE35C2" w:rsidP="000701AC">
      <w:pPr>
        <w:spacing w:after="0" w:line="240" w:lineRule="auto"/>
        <w:rPr>
          <w:rFonts w:ascii="Arial" w:hAnsi="Arial" w:cs="Arial"/>
          <w:sz w:val="24"/>
          <w:szCs w:val="24"/>
        </w:rPr>
      </w:pPr>
    </w:p>
    <w:p w:rsidR="00AE35C2" w:rsidRPr="00C926A8" w:rsidRDefault="00AE35C2" w:rsidP="000701AC">
      <w:pPr>
        <w:spacing w:after="0" w:line="240" w:lineRule="auto"/>
        <w:ind w:left="720" w:hanging="720"/>
        <w:rPr>
          <w:rFonts w:ascii="Arial" w:hAnsi="Arial" w:cs="Arial"/>
          <w:sz w:val="24"/>
          <w:szCs w:val="24"/>
        </w:rPr>
      </w:pPr>
      <w:r w:rsidRPr="00C926A8">
        <w:rPr>
          <w:rFonts w:ascii="Arial" w:hAnsi="Arial" w:cs="Arial"/>
          <w:sz w:val="24"/>
          <w:szCs w:val="24"/>
        </w:rPr>
        <w:t>A.8:</w:t>
      </w:r>
      <w:r w:rsidRPr="00C926A8">
        <w:rPr>
          <w:rFonts w:ascii="Arial" w:hAnsi="Arial" w:cs="Arial"/>
          <w:sz w:val="24"/>
          <w:szCs w:val="24"/>
        </w:rPr>
        <w:tab/>
        <w:t xml:space="preserve">No. The “Monthly Incentive” column </w:t>
      </w:r>
      <w:r w:rsidR="00867FA1">
        <w:rPr>
          <w:rFonts w:ascii="Arial" w:hAnsi="Arial" w:cs="Arial"/>
          <w:sz w:val="24"/>
          <w:szCs w:val="24"/>
        </w:rPr>
        <w:t xml:space="preserve">simply </w:t>
      </w:r>
      <w:r w:rsidRPr="00C926A8">
        <w:rPr>
          <w:rFonts w:ascii="Arial" w:hAnsi="Arial" w:cs="Arial"/>
          <w:sz w:val="24"/>
          <w:szCs w:val="24"/>
        </w:rPr>
        <w:t xml:space="preserve">shows the difference in maximum Cap-X funding amount depending on when the station becomes operational. </w:t>
      </w:r>
      <w:r w:rsidR="00867FA1">
        <w:rPr>
          <w:rFonts w:ascii="Arial" w:hAnsi="Arial" w:cs="Arial"/>
          <w:sz w:val="24"/>
          <w:szCs w:val="24"/>
        </w:rPr>
        <w:t xml:space="preserve">The “Monthly Incentive” amounts are already included in the “Maximum Cap-X Funding Amount” column and are </w:t>
      </w:r>
      <w:r w:rsidR="00867FA1" w:rsidRPr="00591959">
        <w:rPr>
          <w:rFonts w:ascii="Arial" w:hAnsi="Arial" w:cs="Arial"/>
          <w:b/>
          <w:i/>
          <w:sz w:val="24"/>
          <w:szCs w:val="24"/>
        </w:rPr>
        <w:t>not</w:t>
      </w:r>
      <w:r w:rsidR="00867FA1">
        <w:rPr>
          <w:rFonts w:ascii="Arial" w:hAnsi="Arial" w:cs="Arial"/>
          <w:sz w:val="24"/>
          <w:szCs w:val="24"/>
        </w:rPr>
        <w:t xml:space="preserve"> in addition to the “Maximum Cap-X Funding Amount.” </w:t>
      </w:r>
    </w:p>
    <w:p w:rsidR="00AE35C2" w:rsidRPr="00C926A8" w:rsidRDefault="00AE35C2"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b/>
          <w:i/>
          <w:sz w:val="24"/>
          <w:szCs w:val="24"/>
          <w:u w:val="single"/>
        </w:rPr>
      </w:pPr>
      <w:r w:rsidRPr="00C926A8">
        <w:rPr>
          <w:rFonts w:ascii="Arial" w:hAnsi="Arial" w:cs="Arial"/>
          <w:b/>
          <w:i/>
          <w:sz w:val="24"/>
          <w:szCs w:val="24"/>
          <w:u w:val="single"/>
        </w:rPr>
        <w:t>Safety Plan</w:t>
      </w:r>
    </w:p>
    <w:p w:rsidR="00AE35C2" w:rsidRPr="00C926A8" w:rsidRDefault="00AE35C2" w:rsidP="000701AC">
      <w:pPr>
        <w:spacing w:after="0" w:line="240" w:lineRule="auto"/>
        <w:ind w:left="720" w:hanging="720"/>
        <w:rPr>
          <w:rFonts w:ascii="Arial" w:hAnsi="Arial" w:cs="Arial"/>
          <w:b/>
          <w:i/>
          <w:sz w:val="24"/>
          <w:szCs w:val="24"/>
          <w:u w:val="single"/>
        </w:rPr>
      </w:pPr>
    </w:p>
    <w:p w:rsidR="00D7698B" w:rsidRPr="00C926A8" w:rsidRDefault="00D7698B" w:rsidP="000701AC">
      <w:pPr>
        <w:spacing w:after="0" w:line="240" w:lineRule="auto"/>
        <w:ind w:left="720" w:hanging="720"/>
        <w:rPr>
          <w:rFonts w:ascii="Arial" w:hAnsi="Arial" w:cs="Arial"/>
          <w:b/>
          <w:sz w:val="24"/>
          <w:szCs w:val="24"/>
        </w:rPr>
      </w:pPr>
      <w:r w:rsidRPr="00C926A8">
        <w:rPr>
          <w:rFonts w:ascii="Arial" w:hAnsi="Arial" w:cs="Arial"/>
          <w:b/>
          <w:sz w:val="24"/>
          <w:szCs w:val="24"/>
        </w:rPr>
        <w:t>Q.</w:t>
      </w:r>
      <w:r w:rsidR="00AE35C2" w:rsidRPr="00C926A8">
        <w:rPr>
          <w:rFonts w:ascii="Arial" w:hAnsi="Arial" w:cs="Arial"/>
          <w:b/>
          <w:sz w:val="24"/>
          <w:szCs w:val="24"/>
        </w:rPr>
        <w:t>9</w:t>
      </w:r>
      <w:r w:rsidRPr="00C926A8">
        <w:rPr>
          <w:rFonts w:ascii="Arial" w:hAnsi="Arial" w:cs="Arial"/>
          <w:b/>
          <w:sz w:val="24"/>
          <w:szCs w:val="24"/>
        </w:rPr>
        <w:t>:</w:t>
      </w:r>
      <w:r w:rsidRPr="00C926A8">
        <w:rPr>
          <w:rFonts w:ascii="Arial" w:hAnsi="Arial" w:cs="Arial"/>
          <w:b/>
          <w:sz w:val="24"/>
          <w:szCs w:val="24"/>
        </w:rPr>
        <w:tab/>
        <w:t>Our safety plan will follow recommended inputs per "Safety Planning for Hydrogen and Fuel Cell Projects March 2016." However, we will not have specifics since a hydrogen equipment supplier/installer will likely not be identified before the submission. So we will follow accepted best practices and applicable safety codes (NFPA2). Therefore, most of our discussion in the Safety Plan will address future actions following award (i.e., Hazard Analysis/Risk Assessment, details on design, construction, operation, maintenance on specific equipment for the hydrogen infrastructure).  Is this normal and will it be acceptable?</w:t>
      </w:r>
    </w:p>
    <w:p w:rsidR="00D7698B" w:rsidRPr="00C926A8" w:rsidRDefault="00D7698B" w:rsidP="000701AC">
      <w:pPr>
        <w:spacing w:after="0" w:line="240" w:lineRule="auto"/>
        <w:ind w:left="720" w:hanging="720"/>
        <w:rPr>
          <w:rFonts w:ascii="Arial" w:hAnsi="Arial" w:cs="Arial"/>
          <w:sz w:val="24"/>
          <w:szCs w:val="24"/>
        </w:rPr>
      </w:pPr>
    </w:p>
    <w:p w:rsidR="00D7698B" w:rsidRPr="00C926A8" w:rsidRDefault="00D7698B" w:rsidP="000701AC">
      <w:pPr>
        <w:spacing w:after="0" w:line="240" w:lineRule="auto"/>
        <w:ind w:left="720" w:hanging="720"/>
        <w:rPr>
          <w:rFonts w:ascii="Arial" w:hAnsi="Arial" w:cs="Arial"/>
          <w:sz w:val="24"/>
          <w:szCs w:val="24"/>
        </w:rPr>
      </w:pPr>
      <w:r w:rsidRPr="00C926A8">
        <w:rPr>
          <w:rFonts w:ascii="Arial" w:hAnsi="Arial" w:cs="Arial"/>
          <w:sz w:val="24"/>
          <w:szCs w:val="24"/>
        </w:rPr>
        <w:t>A.</w:t>
      </w:r>
      <w:r w:rsidR="00AE35C2" w:rsidRPr="00C926A8">
        <w:rPr>
          <w:rFonts w:ascii="Arial" w:hAnsi="Arial" w:cs="Arial"/>
          <w:sz w:val="24"/>
          <w:szCs w:val="24"/>
        </w:rPr>
        <w:t>9</w:t>
      </w:r>
      <w:r w:rsidRPr="00C926A8">
        <w:rPr>
          <w:rFonts w:ascii="Arial" w:hAnsi="Arial" w:cs="Arial"/>
          <w:sz w:val="24"/>
          <w:szCs w:val="24"/>
        </w:rPr>
        <w:t xml:space="preserve">: </w:t>
      </w:r>
      <w:r w:rsidRPr="00C926A8">
        <w:rPr>
          <w:rFonts w:ascii="Arial" w:hAnsi="Arial" w:cs="Arial"/>
          <w:sz w:val="24"/>
          <w:szCs w:val="24"/>
        </w:rPr>
        <w:tab/>
      </w:r>
      <w:r w:rsidR="008D41EE" w:rsidRPr="00C926A8">
        <w:rPr>
          <w:rFonts w:ascii="Arial" w:hAnsi="Arial" w:cs="Arial"/>
          <w:sz w:val="24"/>
          <w:szCs w:val="24"/>
        </w:rPr>
        <w:t xml:space="preserve">If the hydrogen equipment suppliers or installers have been identified by the time of application, that information should be included in the Safety Plan. Regardless, the specifications of the equipment and materials which will be installed, and the safety precautions and procedures which will be observed during their installation, should be fully explained in the Safety Plan to assure the </w:t>
      </w:r>
      <w:r w:rsidR="00603C14">
        <w:rPr>
          <w:rFonts w:ascii="Arial" w:hAnsi="Arial" w:cs="Arial"/>
          <w:sz w:val="24"/>
          <w:szCs w:val="24"/>
        </w:rPr>
        <w:t xml:space="preserve">Hydrogen Safety Panel and the </w:t>
      </w:r>
      <w:r w:rsidR="008D41EE" w:rsidRPr="00C926A8">
        <w:rPr>
          <w:rFonts w:ascii="Arial" w:hAnsi="Arial" w:cs="Arial"/>
          <w:sz w:val="24"/>
          <w:szCs w:val="24"/>
        </w:rPr>
        <w:t xml:space="preserve">Energy Commission that stations built based on that design will </w:t>
      </w:r>
      <w:r w:rsidR="00F554D7">
        <w:rPr>
          <w:rFonts w:ascii="Arial" w:hAnsi="Arial" w:cs="Arial"/>
          <w:sz w:val="24"/>
          <w:szCs w:val="24"/>
        </w:rPr>
        <w:t>follow established and acceptable safety protocols</w:t>
      </w:r>
      <w:r w:rsidR="008D41EE" w:rsidRPr="00C926A8">
        <w:rPr>
          <w:rFonts w:ascii="Arial" w:hAnsi="Arial" w:cs="Arial"/>
          <w:sz w:val="24"/>
          <w:szCs w:val="24"/>
        </w:rPr>
        <w:t xml:space="preserve">. The Applicant is invited to consult with the Hydrogen Safety Panel </w:t>
      </w:r>
      <w:r w:rsidR="00A753EB">
        <w:rPr>
          <w:rFonts w:ascii="Arial" w:hAnsi="Arial" w:cs="Arial"/>
          <w:sz w:val="24"/>
          <w:szCs w:val="24"/>
        </w:rPr>
        <w:t>in a pre-application consultation</w:t>
      </w:r>
      <w:r w:rsidR="008D41EE" w:rsidRPr="00C926A8">
        <w:rPr>
          <w:rFonts w:ascii="Arial" w:hAnsi="Arial" w:cs="Arial"/>
          <w:sz w:val="24"/>
          <w:szCs w:val="24"/>
        </w:rPr>
        <w:t>. However, final responsibility for the safety of the proposed station design rests with the Applicant.</w:t>
      </w:r>
    </w:p>
    <w:p w:rsidR="00D7698B" w:rsidRPr="00C926A8" w:rsidRDefault="00D7698B" w:rsidP="000701AC">
      <w:pPr>
        <w:spacing w:after="0" w:line="240" w:lineRule="auto"/>
        <w:ind w:left="720" w:hanging="720"/>
        <w:rPr>
          <w:rFonts w:ascii="Arial" w:hAnsi="Arial" w:cs="Arial"/>
          <w:sz w:val="24"/>
          <w:szCs w:val="24"/>
        </w:rPr>
      </w:pPr>
    </w:p>
    <w:p w:rsidR="00D7698B" w:rsidRPr="00C926A8" w:rsidRDefault="00D7698B" w:rsidP="000701AC">
      <w:pPr>
        <w:spacing w:after="0" w:line="240" w:lineRule="auto"/>
        <w:ind w:left="720" w:hanging="720"/>
        <w:rPr>
          <w:rFonts w:ascii="Arial" w:hAnsi="Arial" w:cs="Arial"/>
          <w:b/>
          <w:sz w:val="24"/>
          <w:szCs w:val="24"/>
        </w:rPr>
      </w:pPr>
      <w:r w:rsidRPr="00C926A8">
        <w:rPr>
          <w:rFonts w:ascii="Arial" w:hAnsi="Arial" w:cs="Arial"/>
          <w:b/>
          <w:sz w:val="24"/>
          <w:szCs w:val="24"/>
        </w:rPr>
        <w:t>Q.</w:t>
      </w:r>
      <w:r w:rsidR="00AE35C2" w:rsidRPr="00C926A8">
        <w:rPr>
          <w:rFonts w:ascii="Arial" w:hAnsi="Arial" w:cs="Arial"/>
          <w:b/>
          <w:sz w:val="24"/>
          <w:szCs w:val="24"/>
        </w:rPr>
        <w:t>10</w:t>
      </w:r>
      <w:r w:rsidRPr="00C926A8">
        <w:rPr>
          <w:rFonts w:ascii="Arial" w:hAnsi="Arial" w:cs="Arial"/>
          <w:b/>
          <w:sz w:val="24"/>
          <w:szCs w:val="24"/>
        </w:rPr>
        <w:t>:</w:t>
      </w:r>
      <w:r w:rsidRPr="00C926A8">
        <w:rPr>
          <w:rFonts w:ascii="Arial" w:hAnsi="Arial" w:cs="Arial"/>
          <w:b/>
          <w:sz w:val="24"/>
          <w:szCs w:val="24"/>
        </w:rPr>
        <w:tab/>
        <w:t xml:space="preserve">Please confirm that the Safety Plan and its Applicant’s name will not be divulged until post award. </w:t>
      </w:r>
    </w:p>
    <w:p w:rsidR="00D7698B" w:rsidRPr="00C926A8" w:rsidRDefault="00D7698B" w:rsidP="000701AC">
      <w:pPr>
        <w:spacing w:after="0" w:line="240" w:lineRule="auto"/>
        <w:ind w:left="720" w:hanging="720"/>
        <w:rPr>
          <w:rFonts w:ascii="Arial" w:hAnsi="Arial" w:cs="Arial"/>
          <w:sz w:val="24"/>
          <w:szCs w:val="24"/>
        </w:rPr>
      </w:pPr>
    </w:p>
    <w:p w:rsidR="00D7698B" w:rsidRPr="00C926A8" w:rsidRDefault="00D7698B" w:rsidP="000701AC">
      <w:pPr>
        <w:spacing w:after="0" w:line="240" w:lineRule="auto"/>
        <w:ind w:left="720" w:hanging="720"/>
        <w:rPr>
          <w:rFonts w:ascii="Arial" w:hAnsi="Arial" w:cs="Arial"/>
          <w:sz w:val="24"/>
          <w:szCs w:val="24"/>
        </w:rPr>
      </w:pPr>
      <w:r w:rsidRPr="00C926A8">
        <w:rPr>
          <w:rFonts w:ascii="Arial" w:hAnsi="Arial" w:cs="Arial"/>
          <w:sz w:val="24"/>
          <w:szCs w:val="24"/>
        </w:rPr>
        <w:t>A.</w:t>
      </w:r>
      <w:r w:rsidR="00AE35C2" w:rsidRPr="00C926A8">
        <w:rPr>
          <w:rFonts w:ascii="Arial" w:hAnsi="Arial" w:cs="Arial"/>
          <w:sz w:val="24"/>
          <w:szCs w:val="24"/>
        </w:rPr>
        <w:t>10</w:t>
      </w:r>
      <w:r w:rsidRPr="00C926A8">
        <w:rPr>
          <w:rFonts w:ascii="Arial" w:hAnsi="Arial" w:cs="Arial"/>
          <w:sz w:val="24"/>
          <w:szCs w:val="24"/>
        </w:rPr>
        <w:t xml:space="preserve">: </w:t>
      </w:r>
      <w:r w:rsidRPr="00C926A8">
        <w:rPr>
          <w:rFonts w:ascii="Arial" w:hAnsi="Arial" w:cs="Arial"/>
          <w:sz w:val="24"/>
          <w:szCs w:val="24"/>
        </w:rPr>
        <w:tab/>
        <w:t>All application contents</w:t>
      </w:r>
      <w:r w:rsidR="0047076E" w:rsidRPr="00C926A8">
        <w:rPr>
          <w:rFonts w:ascii="Arial" w:hAnsi="Arial" w:cs="Arial"/>
          <w:sz w:val="24"/>
          <w:szCs w:val="24"/>
        </w:rPr>
        <w:t>,</w:t>
      </w:r>
      <w:r w:rsidR="007B7D18" w:rsidRPr="00C926A8">
        <w:rPr>
          <w:rFonts w:ascii="Arial" w:hAnsi="Arial" w:cs="Arial"/>
          <w:sz w:val="24"/>
          <w:szCs w:val="24"/>
        </w:rPr>
        <w:t xml:space="preserve"> except for the Confidential Business Plan information </w:t>
      </w:r>
      <w:r w:rsidR="0047076E" w:rsidRPr="00C926A8">
        <w:rPr>
          <w:rFonts w:ascii="Arial" w:hAnsi="Arial" w:cs="Arial"/>
          <w:sz w:val="24"/>
          <w:szCs w:val="24"/>
        </w:rPr>
        <w:t>described in section IX.F.14 (a and b),</w:t>
      </w:r>
      <w:r w:rsidRPr="00C926A8">
        <w:rPr>
          <w:rFonts w:ascii="Arial" w:hAnsi="Arial" w:cs="Arial"/>
          <w:sz w:val="24"/>
          <w:szCs w:val="24"/>
        </w:rPr>
        <w:t xml:space="preserve"> will be</w:t>
      </w:r>
      <w:r w:rsidR="0047076E" w:rsidRPr="00C926A8">
        <w:rPr>
          <w:rFonts w:ascii="Arial" w:hAnsi="Arial" w:cs="Arial"/>
          <w:sz w:val="24"/>
          <w:szCs w:val="24"/>
        </w:rPr>
        <w:t>come</w:t>
      </w:r>
      <w:r w:rsidRPr="00C926A8">
        <w:rPr>
          <w:rFonts w:ascii="Arial" w:hAnsi="Arial" w:cs="Arial"/>
          <w:sz w:val="24"/>
          <w:szCs w:val="24"/>
        </w:rPr>
        <w:t xml:space="preserve"> public </w:t>
      </w:r>
      <w:r w:rsidR="0047076E" w:rsidRPr="00C926A8">
        <w:rPr>
          <w:rFonts w:ascii="Arial" w:hAnsi="Arial" w:cs="Arial"/>
          <w:sz w:val="24"/>
          <w:szCs w:val="24"/>
        </w:rPr>
        <w:t>only after</w:t>
      </w:r>
      <w:r w:rsidRPr="00C926A8">
        <w:rPr>
          <w:rFonts w:ascii="Arial" w:hAnsi="Arial" w:cs="Arial"/>
          <w:sz w:val="24"/>
          <w:szCs w:val="24"/>
        </w:rPr>
        <w:t xml:space="preserve"> the Notice of Proposed Awards is published.</w:t>
      </w:r>
    </w:p>
    <w:p w:rsidR="00D7698B" w:rsidRPr="00C926A8" w:rsidRDefault="00D7698B"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b/>
          <w:i/>
          <w:sz w:val="24"/>
          <w:szCs w:val="24"/>
          <w:u w:val="single"/>
        </w:rPr>
      </w:pPr>
      <w:r w:rsidRPr="00C926A8">
        <w:rPr>
          <w:rFonts w:ascii="Arial" w:hAnsi="Arial" w:cs="Arial"/>
          <w:b/>
          <w:i/>
          <w:sz w:val="24"/>
          <w:szCs w:val="24"/>
          <w:u w:val="single"/>
        </w:rPr>
        <w:t>Renewable Hydrogen Requirements</w:t>
      </w:r>
    </w:p>
    <w:p w:rsidR="00AE35C2" w:rsidRPr="00C926A8" w:rsidRDefault="00AE35C2" w:rsidP="000701AC">
      <w:pPr>
        <w:spacing w:after="0" w:line="240" w:lineRule="auto"/>
        <w:ind w:left="720" w:hanging="720"/>
        <w:rPr>
          <w:rFonts w:ascii="Arial" w:hAnsi="Arial" w:cs="Arial"/>
          <w:b/>
          <w:i/>
          <w:sz w:val="24"/>
          <w:szCs w:val="24"/>
          <w:u w:val="single"/>
        </w:rPr>
      </w:pPr>
    </w:p>
    <w:p w:rsidR="00D0080D" w:rsidRPr="00C926A8" w:rsidRDefault="00D0080D" w:rsidP="000701AC">
      <w:pPr>
        <w:spacing w:after="0" w:line="240" w:lineRule="auto"/>
        <w:ind w:left="720" w:hanging="720"/>
        <w:rPr>
          <w:rFonts w:ascii="Arial" w:hAnsi="Arial" w:cs="Arial"/>
          <w:b/>
          <w:sz w:val="24"/>
          <w:szCs w:val="24"/>
        </w:rPr>
      </w:pPr>
      <w:r w:rsidRPr="00C926A8">
        <w:rPr>
          <w:rFonts w:ascii="Arial" w:hAnsi="Arial" w:cs="Arial"/>
          <w:b/>
          <w:sz w:val="24"/>
          <w:szCs w:val="24"/>
        </w:rPr>
        <w:t>Q.</w:t>
      </w:r>
      <w:r w:rsidR="00AE35C2" w:rsidRPr="00C926A8">
        <w:rPr>
          <w:rFonts w:ascii="Arial" w:hAnsi="Arial" w:cs="Arial"/>
          <w:b/>
          <w:sz w:val="24"/>
          <w:szCs w:val="24"/>
        </w:rPr>
        <w:t>11</w:t>
      </w:r>
      <w:r w:rsidRPr="00C926A8">
        <w:rPr>
          <w:rFonts w:ascii="Arial" w:hAnsi="Arial" w:cs="Arial"/>
          <w:b/>
          <w:sz w:val="24"/>
          <w:szCs w:val="24"/>
        </w:rPr>
        <w:t>:</w:t>
      </w:r>
      <w:r w:rsidRPr="00C926A8">
        <w:rPr>
          <w:rFonts w:ascii="Arial" w:hAnsi="Arial" w:cs="Arial"/>
          <w:b/>
          <w:sz w:val="24"/>
          <w:szCs w:val="24"/>
        </w:rPr>
        <w:tab/>
        <w:t xml:space="preserve">In Section VII.A on page 45, </w:t>
      </w:r>
      <w:r w:rsidR="00DF0AAD" w:rsidRPr="00C926A8">
        <w:rPr>
          <w:rFonts w:ascii="Arial" w:hAnsi="Arial" w:cs="Arial"/>
          <w:b/>
          <w:sz w:val="24"/>
          <w:szCs w:val="24"/>
        </w:rPr>
        <w:t>the solicitation</w:t>
      </w:r>
      <w:r w:rsidRPr="00C926A8">
        <w:rPr>
          <w:rFonts w:ascii="Arial" w:hAnsi="Arial" w:cs="Arial"/>
          <w:b/>
          <w:sz w:val="24"/>
          <w:szCs w:val="24"/>
        </w:rPr>
        <w:t xml:space="preserve"> specifies that on a per kilogram basis at least 33% of the hydrogen dispensed must be renewable. Under Section VII.E on page 46, </w:t>
      </w:r>
      <w:r w:rsidR="00DF0AAD" w:rsidRPr="00C926A8">
        <w:rPr>
          <w:rFonts w:ascii="Arial" w:hAnsi="Arial" w:cs="Arial"/>
          <w:b/>
          <w:sz w:val="24"/>
          <w:szCs w:val="24"/>
        </w:rPr>
        <w:t>the solicitation</w:t>
      </w:r>
      <w:r w:rsidRPr="00C926A8">
        <w:rPr>
          <w:rFonts w:ascii="Arial" w:hAnsi="Arial" w:cs="Arial"/>
          <w:b/>
          <w:sz w:val="24"/>
          <w:szCs w:val="24"/>
        </w:rPr>
        <w:t xml:space="preserve"> requires that on an energy equivalent basis the proposal must demonstrate in a “well-to-wheel” evaluation that the required percent of the energy used to produce, deliver, dispense, and use hydrogen was from renewable feedstock. Please clarify this difference. Must at least 33% of the total energy consumed (from well-to</w:t>
      </w:r>
      <w:r w:rsidR="004A7369" w:rsidRPr="00C926A8">
        <w:rPr>
          <w:rFonts w:ascii="Arial" w:hAnsi="Arial" w:cs="Arial"/>
          <w:b/>
          <w:sz w:val="24"/>
          <w:szCs w:val="24"/>
        </w:rPr>
        <w:t>-</w:t>
      </w:r>
      <w:r w:rsidRPr="00C926A8">
        <w:rPr>
          <w:rFonts w:ascii="Arial" w:hAnsi="Arial" w:cs="Arial"/>
          <w:b/>
          <w:sz w:val="24"/>
          <w:szCs w:val="24"/>
        </w:rPr>
        <w:t>wheel)</w:t>
      </w:r>
      <w:r w:rsidR="00CA3147" w:rsidRPr="00C926A8">
        <w:rPr>
          <w:rFonts w:ascii="Arial" w:hAnsi="Arial" w:cs="Arial"/>
          <w:b/>
          <w:sz w:val="24"/>
          <w:szCs w:val="24"/>
        </w:rPr>
        <w:t xml:space="preserve"> </w:t>
      </w:r>
      <w:r w:rsidRPr="00C926A8">
        <w:rPr>
          <w:rFonts w:ascii="Arial" w:hAnsi="Arial" w:cs="Arial"/>
          <w:b/>
          <w:sz w:val="24"/>
          <w:szCs w:val="24"/>
        </w:rPr>
        <w:t>be sourced from renewable energy?</w:t>
      </w:r>
    </w:p>
    <w:p w:rsidR="00CA3147" w:rsidRPr="00C926A8" w:rsidRDefault="00CA3147" w:rsidP="000701AC">
      <w:pPr>
        <w:spacing w:after="0" w:line="240" w:lineRule="auto"/>
        <w:ind w:left="720" w:hanging="720"/>
        <w:rPr>
          <w:rFonts w:ascii="Arial" w:hAnsi="Arial" w:cs="Arial"/>
          <w:sz w:val="24"/>
          <w:szCs w:val="24"/>
        </w:rPr>
      </w:pPr>
    </w:p>
    <w:p w:rsidR="00CA3147" w:rsidRPr="00C926A8" w:rsidRDefault="00CA3147" w:rsidP="000701AC">
      <w:pPr>
        <w:spacing w:after="0" w:line="240" w:lineRule="auto"/>
        <w:ind w:left="720" w:hanging="720"/>
        <w:rPr>
          <w:rFonts w:ascii="Arial" w:hAnsi="Arial" w:cs="Arial"/>
          <w:sz w:val="24"/>
          <w:szCs w:val="24"/>
        </w:rPr>
      </w:pPr>
      <w:r w:rsidRPr="00C926A8">
        <w:rPr>
          <w:rFonts w:ascii="Arial" w:hAnsi="Arial" w:cs="Arial"/>
          <w:sz w:val="24"/>
          <w:szCs w:val="24"/>
        </w:rPr>
        <w:t>A.</w:t>
      </w:r>
      <w:r w:rsidR="00AE35C2" w:rsidRPr="00C926A8">
        <w:rPr>
          <w:rFonts w:ascii="Arial" w:hAnsi="Arial" w:cs="Arial"/>
          <w:sz w:val="24"/>
          <w:szCs w:val="24"/>
        </w:rPr>
        <w:t>11</w:t>
      </w:r>
      <w:r w:rsidRPr="00C926A8">
        <w:rPr>
          <w:rFonts w:ascii="Arial" w:hAnsi="Arial" w:cs="Arial"/>
          <w:sz w:val="24"/>
          <w:szCs w:val="24"/>
        </w:rPr>
        <w:t xml:space="preserve">: </w:t>
      </w:r>
      <w:r w:rsidRPr="00C926A8">
        <w:rPr>
          <w:rFonts w:ascii="Arial" w:hAnsi="Arial" w:cs="Arial"/>
          <w:sz w:val="24"/>
          <w:szCs w:val="24"/>
        </w:rPr>
        <w:tab/>
      </w:r>
      <w:r w:rsidR="00FA4E5C" w:rsidRPr="00C926A8">
        <w:rPr>
          <w:rFonts w:ascii="Arial" w:hAnsi="Arial" w:cs="Arial"/>
          <w:sz w:val="24"/>
          <w:szCs w:val="24"/>
        </w:rPr>
        <w:t>No. The requirement is for the dispensed hydrogen to be 33% renewable. As stated in the solicitation, t</w:t>
      </w:r>
      <w:r w:rsidR="009D348E" w:rsidRPr="00C926A8">
        <w:rPr>
          <w:rFonts w:ascii="Arial" w:hAnsi="Arial" w:cs="Arial"/>
          <w:sz w:val="24"/>
          <w:szCs w:val="24"/>
        </w:rPr>
        <w:t xml:space="preserve">he content of renewable hydrogen which Applicants must dispense is specified in VII. A. Minimum Renewable Hydrogen Content: “Proposed projects must dispense a minimum renewable hydrogen content of at least 33% renewable hydrogen (on a per kilogram basis) …”. </w:t>
      </w:r>
      <w:r w:rsidR="00FA4E5C" w:rsidRPr="00C926A8">
        <w:rPr>
          <w:rFonts w:ascii="Arial" w:hAnsi="Arial" w:cs="Arial"/>
          <w:sz w:val="24"/>
          <w:szCs w:val="24"/>
        </w:rPr>
        <w:t>S</w:t>
      </w:r>
      <w:r w:rsidR="009D348E" w:rsidRPr="00C926A8">
        <w:rPr>
          <w:rFonts w:ascii="Arial" w:hAnsi="Arial" w:cs="Arial"/>
          <w:sz w:val="24"/>
          <w:szCs w:val="24"/>
        </w:rPr>
        <w:t>ection VII.E., Required Information</w:t>
      </w:r>
      <w:r w:rsidR="00FA4E5C" w:rsidRPr="00C926A8">
        <w:rPr>
          <w:rFonts w:ascii="Arial" w:hAnsi="Arial" w:cs="Arial"/>
          <w:sz w:val="24"/>
          <w:szCs w:val="24"/>
        </w:rPr>
        <w:t xml:space="preserve"> of the solicitation</w:t>
      </w:r>
      <w:r w:rsidR="009D348E" w:rsidRPr="00C926A8">
        <w:rPr>
          <w:rFonts w:ascii="Arial" w:hAnsi="Arial" w:cs="Arial"/>
          <w:sz w:val="24"/>
          <w:szCs w:val="24"/>
        </w:rPr>
        <w:t xml:space="preserve"> requires Applicants to explain, to the best of their ability, the assumptions and calculations which determine the percentage of energy and feedstock usage due to hydrogen dispensed which was renewably generated or obtained.</w:t>
      </w:r>
    </w:p>
    <w:p w:rsidR="00CA3147" w:rsidRPr="00C926A8" w:rsidRDefault="00CA3147" w:rsidP="000701AC">
      <w:pPr>
        <w:spacing w:after="0" w:line="240" w:lineRule="auto"/>
        <w:ind w:left="720" w:hanging="720"/>
        <w:rPr>
          <w:rFonts w:ascii="Arial" w:hAnsi="Arial" w:cs="Arial"/>
          <w:sz w:val="24"/>
          <w:szCs w:val="24"/>
        </w:rPr>
      </w:pPr>
    </w:p>
    <w:p w:rsidR="00D0080D" w:rsidRPr="00C926A8" w:rsidRDefault="00CA3147" w:rsidP="000701AC">
      <w:pPr>
        <w:spacing w:after="0" w:line="240" w:lineRule="auto"/>
        <w:ind w:left="720" w:hanging="720"/>
        <w:rPr>
          <w:rFonts w:ascii="Arial" w:hAnsi="Arial" w:cs="Arial"/>
          <w:b/>
          <w:sz w:val="24"/>
          <w:szCs w:val="24"/>
        </w:rPr>
      </w:pPr>
      <w:r w:rsidRPr="00C926A8">
        <w:rPr>
          <w:rFonts w:ascii="Arial" w:hAnsi="Arial" w:cs="Arial"/>
          <w:b/>
          <w:sz w:val="24"/>
          <w:szCs w:val="24"/>
        </w:rPr>
        <w:t>Q.</w:t>
      </w:r>
      <w:r w:rsidR="00AE35C2" w:rsidRPr="00C926A8">
        <w:rPr>
          <w:rFonts w:ascii="Arial" w:hAnsi="Arial" w:cs="Arial"/>
          <w:b/>
          <w:sz w:val="24"/>
          <w:szCs w:val="24"/>
        </w:rPr>
        <w:t>12</w:t>
      </w:r>
      <w:r w:rsidRPr="00C926A8">
        <w:rPr>
          <w:rFonts w:ascii="Arial" w:hAnsi="Arial" w:cs="Arial"/>
          <w:b/>
          <w:sz w:val="24"/>
          <w:szCs w:val="24"/>
        </w:rPr>
        <w:t xml:space="preserve">: </w:t>
      </w:r>
      <w:r w:rsidRPr="00C926A8">
        <w:rPr>
          <w:rFonts w:ascii="Arial" w:hAnsi="Arial" w:cs="Arial"/>
          <w:b/>
          <w:sz w:val="24"/>
          <w:szCs w:val="24"/>
        </w:rPr>
        <w:tab/>
      </w:r>
      <w:r w:rsidR="00D0080D" w:rsidRPr="00C926A8">
        <w:rPr>
          <w:rFonts w:ascii="Arial" w:hAnsi="Arial" w:cs="Arial"/>
          <w:b/>
          <w:sz w:val="24"/>
          <w:szCs w:val="24"/>
        </w:rPr>
        <w:t>Can RECs be used to make up the renewable requirement, even if the hydrogen feedstock is</w:t>
      </w:r>
      <w:r w:rsidRPr="00C926A8">
        <w:rPr>
          <w:rFonts w:ascii="Arial" w:hAnsi="Arial" w:cs="Arial"/>
          <w:b/>
          <w:sz w:val="24"/>
          <w:szCs w:val="24"/>
        </w:rPr>
        <w:t xml:space="preserve"> </w:t>
      </w:r>
      <w:r w:rsidR="00D0080D" w:rsidRPr="00C926A8">
        <w:rPr>
          <w:rFonts w:ascii="Arial" w:hAnsi="Arial" w:cs="Arial"/>
          <w:b/>
          <w:sz w:val="24"/>
          <w:szCs w:val="24"/>
        </w:rPr>
        <w:t>derived from methane reformation?</w:t>
      </w:r>
      <w:r w:rsidRPr="00C926A8">
        <w:rPr>
          <w:rFonts w:ascii="Arial" w:hAnsi="Arial" w:cs="Arial"/>
          <w:b/>
          <w:sz w:val="24"/>
          <w:szCs w:val="24"/>
        </w:rPr>
        <w:t xml:space="preserve"> </w:t>
      </w:r>
    </w:p>
    <w:p w:rsidR="00CA3147" w:rsidRPr="00C926A8" w:rsidRDefault="00CA3147" w:rsidP="000701AC">
      <w:pPr>
        <w:spacing w:after="0" w:line="240" w:lineRule="auto"/>
        <w:ind w:left="720" w:hanging="720"/>
        <w:rPr>
          <w:rFonts w:ascii="Arial" w:hAnsi="Arial" w:cs="Arial"/>
          <w:sz w:val="24"/>
          <w:szCs w:val="24"/>
        </w:rPr>
      </w:pPr>
    </w:p>
    <w:p w:rsidR="00CA3147" w:rsidRPr="00C926A8" w:rsidRDefault="00CA3147" w:rsidP="000701AC">
      <w:pPr>
        <w:spacing w:after="0" w:line="240" w:lineRule="auto"/>
        <w:ind w:left="720" w:hanging="720"/>
        <w:rPr>
          <w:rFonts w:ascii="Arial" w:hAnsi="Arial"/>
          <w:sz w:val="24"/>
        </w:rPr>
      </w:pPr>
      <w:r w:rsidRPr="00C926A8">
        <w:rPr>
          <w:rFonts w:ascii="Arial" w:hAnsi="Arial"/>
          <w:sz w:val="24"/>
        </w:rPr>
        <w:t>A.</w:t>
      </w:r>
      <w:r w:rsidR="00AE35C2" w:rsidRPr="00C926A8">
        <w:rPr>
          <w:rFonts w:ascii="Arial" w:hAnsi="Arial"/>
          <w:sz w:val="24"/>
        </w:rPr>
        <w:t>12</w:t>
      </w:r>
      <w:r w:rsidRPr="00C926A8">
        <w:rPr>
          <w:rFonts w:ascii="Arial" w:hAnsi="Arial"/>
          <w:sz w:val="24"/>
        </w:rPr>
        <w:t>:</w:t>
      </w:r>
      <w:r w:rsidRPr="00C926A8">
        <w:rPr>
          <w:rFonts w:ascii="Arial" w:hAnsi="Arial"/>
          <w:sz w:val="24"/>
        </w:rPr>
        <w:tab/>
      </w:r>
      <w:r w:rsidR="00410F7D">
        <w:rPr>
          <w:rFonts w:ascii="Arial" w:hAnsi="Arial" w:cs="Arial"/>
          <w:sz w:val="24"/>
          <w:szCs w:val="24"/>
        </w:rPr>
        <w:t xml:space="preserve">RECs can be used to meet renewable requirements for process energy used in producing hydrogen. For methane reformation, an eligible renewable feedstock must be used to meet the renewable hydrogen requirement. </w:t>
      </w:r>
    </w:p>
    <w:p w:rsidR="00CA3147" w:rsidRPr="00C926A8" w:rsidRDefault="00CA3147" w:rsidP="000701AC">
      <w:pPr>
        <w:spacing w:after="0" w:line="240" w:lineRule="auto"/>
        <w:ind w:left="720" w:hanging="720"/>
        <w:rPr>
          <w:rFonts w:ascii="Arial" w:hAnsi="Arial" w:cs="Arial"/>
          <w:sz w:val="24"/>
          <w:szCs w:val="24"/>
        </w:rPr>
      </w:pPr>
    </w:p>
    <w:p w:rsidR="00D0080D" w:rsidRPr="00C926A8" w:rsidRDefault="00CA3147" w:rsidP="000701AC">
      <w:pPr>
        <w:spacing w:after="0" w:line="240" w:lineRule="auto"/>
        <w:ind w:left="720" w:hanging="720"/>
        <w:rPr>
          <w:rFonts w:ascii="Arial" w:hAnsi="Arial" w:cs="Arial"/>
          <w:b/>
          <w:sz w:val="24"/>
          <w:szCs w:val="24"/>
        </w:rPr>
      </w:pPr>
      <w:r w:rsidRPr="00C926A8">
        <w:rPr>
          <w:rFonts w:ascii="Arial" w:hAnsi="Arial" w:cs="Arial"/>
          <w:b/>
          <w:sz w:val="24"/>
          <w:szCs w:val="24"/>
        </w:rPr>
        <w:t>Q.</w:t>
      </w:r>
      <w:r w:rsidR="00E40892" w:rsidRPr="00C926A8">
        <w:rPr>
          <w:rFonts w:ascii="Arial" w:hAnsi="Arial" w:cs="Arial"/>
          <w:b/>
          <w:sz w:val="24"/>
          <w:szCs w:val="24"/>
        </w:rPr>
        <w:t>13</w:t>
      </w:r>
      <w:r w:rsidRPr="00C926A8">
        <w:rPr>
          <w:rFonts w:ascii="Arial" w:hAnsi="Arial" w:cs="Arial"/>
          <w:b/>
          <w:sz w:val="24"/>
          <w:szCs w:val="24"/>
        </w:rPr>
        <w:t xml:space="preserve">: </w:t>
      </w:r>
      <w:r w:rsidRPr="00C926A8">
        <w:rPr>
          <w:rFonts w:ascii="Arial" w:hAnsi="Arial" w:cs="Arial"/>
          <w:b/>
          <w:sz w:val="24"/>
          <w:szCs w:val="24"/>
        </w:rPr>
        <w:tab/>
      </w:r>
      <w:r w:rsidR="00D0080D" w:rsidRPr="00C926A8">
        <w:rPr>
          <w:rFonts w:ascii="Arial" w:hAnsi="Arial" w:cs="Arial"/>
          <w:b/>
          <w:sz w:val="24"/>
          <w:szCs w:val="24"/>
        </w:rPr>
        <w:t>If a “well to wheel” evaluation is required to demonstrate renewable content, what lookup</w:t>
      </w:r>
      <w:r w:rsidRPr="00C926A8">
        <w:rPr>
          <w:rFonts w:ascii="Arial" w:hAnsi="Arial" w:cs="Arial"/>
          <w:b/>
          <w:sz w:val="24"/>
          <w:szCs w:val="24"/>
        </w:rPr>
        <w:t xml:space="preserve"> </w:t>
      </w:r>
      <w:r w:rsidR="00D0080D" w:rsidRPr="00C926A8">
        <w:rPr>
          <w:rFonts w:ascii="Arial" w:hAnsi="Arial" w:cs="Arial"/>
          <w:b/>
          <w:sz w:val="24"/>
          <w:szCs w:val="24"/>
        </w:rPr>
        <w:t>tables and/or published reference data should be used to account for energy use for:</w:t>
      </w:r>
      <w:r w:rsidRPr="00C926A8">
        <w:rPr>
          <w:rFonts w:ascii="Arial" w:hAnsi="Arial" w:cs="Arial"/>
          <w:b/>
          <w:sz w:val="24"/>
          <w:szCs w:val="24"/>
        </w:rPr>
        <w:t xml:space="preserve"> </w:t>
      </w:r>
    </w:p>
    <w:p w:rsidR="00D0080D" w:rsidRPr="00C926A8" w:rsidRDefault="00D0080D" w:rsidP="000701AC">
      <w:pPr>
        <w:pStyle w:val="ListParagraph"/>
        <w:numPr>
          <w:ilvl w:val="0"/>
          <w:numId w:val="12"/>
        </w:numPr>
        <w:spacing w:after="0" w:line="240" w:lineRule="auto"/>
        <w:rPr>
          <w:rFonts w:ascii="Arial" w:hAnsi="Arial" w:cs="Arial"/>
          <w:b/>
          <w:sz w:val="24"/>
          <w:szCs w:val="24"/>
        </w:rPr>
      </w:pPr>
      <w:r w:rsidRPr="00C926A8">
        <w:rPr>
          <w:rFonts w:ascii="Arial" w:hAnsi="Arial" w:cs="Arial"/>
          <w:b/>
          <w:sz w:val="24"/>
          <w:szCs w:val="24"/>
        </w:rPr>
        <w:t>Production of hydrogen</w:t>
      </w:r>
    </w:p>
    <w:p w:rsidR="00D0080D" w:rsidRPr="00C926A8" w:rsidRDefault="00D0080D" w:rsidP="000701AC">
      <w:pPr>
        <w:pStyle w:val="ListParagraph"/>
        <w:numPr>
          <w:ilvl w:val="0"/>
          <w:numId w:val="12"/>
        </w:numPr>
        <w:spacing w:after="0" w:line="240" w:lineRule="auto"/>
        <w:rPr>
          <w:rFonts w:ascii="Arial" w:hAnsi="Arial" w:cs="Arial"/>
          <w:b/>
          <w:sz w:val="24"/>
          <w:szCs w:val="24"/>
        </w:rPr>
      </w:pPr>
      <w:r w:rsidRPr="00C926A8">
        <w:rPr>
          <w:rFonts w:ascii="Arial" w:hAnsi="Arial" w:cs="Arial"/>
          <w:b/>
          <w:sz w:val="24"/>
          <w:szCs w:val="24"/>
        </w:rPr>
        <w:t>Liquefaction of hydrogen (if transported to the station as a liquid)</w:t>
      </w:r>
    </w:p>
    <w:p w:rsidR="00D0080D" w:rsidRPr="00C926A8" w:rsidRDefault="00D0080D" w:rsidP="000701AC">
      <w:pPr>
        <w:pStyle w:val="ListParagraph"/>
        <w:numPr>
          <w:ilvl w:val="0"/>
          <w:numId w:val="12"/>
        </w:numPr>
        <w:spacing w:after="0" w:line="240" w:lineRule="auto"/>
        <w:rPr>
          <w:rFonts w:ascii="Arial" w:hAnsi="Arial" w:cs="Arial"/>
          <w:b/>
          <w:sz w:val="24"/>
          <w:szCs w:val="24"/>
        </w:rPr>
      </w:pPr>
      <w:r w:rsidRPr="00C926A8">
        <w:rPr>
          <w:rFonts w:ascii="Arial" w:hAnsi="Arial" w:cs="Arial"/>
          <w:b/>
          <w:sz w:val="24"/>
          <w:szCs w:val="24"/>
        </w:rPr>
        <w:t>Compression</w:t>
      </w:r>
    </w:p>
    <w:p w:rsidR="00D0080D" w:rsidRPr="00C926A8" w:rsidRDefault="00D0080D" w:rsidP="000701AC">
      <w:pPr>
        <w:pStyle w:val="ListParagraph"/>
        <w:numPr>
          <w:ilvl w:val="0"/>
          <w:numId w:val="12"/>
        </w:numPr>
        <w:spacing w:after="0" w:line="240" w:lineRule="auto"/>
        <w:rPr>
          <w:rFonts w:ascii="Arial" w:hAnsi="Arial" w:cs="Arial"/>
          <w:b/>
          <w:sz w:val="24"/>
          <w:szCs w:val="24"/>
        </w:rPr>
      </w:pPr>
      <w:r w:rsidRPr="00C926A8">
        <w:rPr>
          <w:rFonts w:ascii="Arial" w:hAnsi="Arial" w:cs="Arial"/>
          <w:b/>
          <w:sz w:val="24"/>
          <w:szCs w:val="24"/>
        </w:rPr>
        <w:t>Delivery</w:t>
      </w:r>
    </w:p>
    <w:p w:rsidR="00D0080D" w:rsidRPr="00C926A8" w:rsidRDefault="00D0080D" w:rsidP="000701AC">
      <w:pPr>
        <w:pStyle w:val="ListParagraph"/>
        <w:numPr>
          <w:ilvl w:val="0"/>
          <w:numId w:val="12"/>
        </w:numPr>
        <w:spacing w:after="0" w:line="240" w:lineRule="auto"/>
        <w:rPr>
          <w:rFonts w:ascii="Arial" w:hAnsi="Arial" w:cs="Arial"/>
          <w:b/>
          <w:sz w:val="24"/>
          <w:szCs w:val="24"/>
        </w:rPr>
      </w:pPr>
      <w:r w:rsidRPr="00C926A8">
        <w:rPr>
          <w:rFonts w:ascii="Arial" w:hAnsi="Arial" w:cs="Arial"/>
          <w:b/>
          <w:sz w:val="24"/>
          <w:szCs w:val="24"/>
        </w:rPr>
        <w:t>Regasification of hydrogen it (if stored at the station as a liquid)</w:t>
      </w:r>
    </w:p>
    <w:p w:rsidR="00D0080D" w:rsidRPr="00C926A8" w:rsidRDefault="00D0080D" w:rsidP="000701AC">
      <w:pPr>
        <w:pStyle w:val="ListParagraph"/>
        <w:numPr>
          <w:ilvl w:val="0"/>
          <w:numId w:val="12"/>
        </w:numPr>
        <w:spacing w:after="0" w:line="240" w:lineRule="auto"/>
        <w:rPr>
          <w:rFonts w:ascii="Arial" w:hAnsi="Arial" w:cs="Arial"/>
          <w:b/>
          <w:sz w:val="24"/>
          <w:szCs w:val="24"/>
        </w:rPr>
      </w:pPr>
      <w:r w:rsidRPr="00C926A8">
        <w:rPr>
          <w:rFonts w:ascii="Arial" w:hAnsi="Arial" w:cs="Arial"/>
          <w:b/>
          <w:sz w:val="24"/>
          <w:szCs w:val="24"/>
        </w:rPr>
        <w:t>Further compression on site to 900 Bar</w:t>
      </w:r>
    </w:p>
    <w:p w:rsidR="00D0080D" w:rsidRPr="00C926A8" w:rsidRDefault="00D0080D" w:rsidP="000701AC">
      <w:pPr>
        <w:pStyle w:val="ListParagraph"/>
        <w:numPr>
          <w:ilvl w:val="0"/>
          <w:numId w:val="12"/>
        </w:numPr>
        <w:spacing w:after="0" w:line="240" w:lineRule="auto"/>
        <w:rPr>
          <w:rFonts w:ascii="Arial" w:hAnsi="Arial" w:cs="Arial"/>
          <w:b/>
          <w:sz w:val="24"/>
          <w:szCs w:val="24"/>
        </w:rPr>
      </w:pPr>
      <w:r w:rsidRPr="00C926A8">
        <w:rPr>
          <w:rFonts w:ascii="Arial" w:hAnsi="Arial" w:cs="Arial"/>
          <w:b/>
          <w:sz w:val="24"/>
          <w:szCs w:val="24"/>
        </w:rPr>
        <w:t>Dispense it, and</w:t>
      </w:r>
    </w:p>
    <w:p w:rsidR="00D0080D" w:rsidRPr="00C926A8" w:rsidRDefault="00D0080D" w:rsidP="000701AC">
      <w:pPr>
        <w:pStyle w:val="ListParagraph"/>
        <w:numPr>
          <w:ilvl w:val="0"/>
          <w:numId w:val="12"/>
        </w:numPr>
        <w:spacing w:after="0" w:line="240" w:lineRule="auto"/>
        <w:rPr>
          <w:rFonts w:ascii="Arial" w:hAnsi="Arial" w:cs="Arial"/>
          <w:b/>
          <w:sz w:val="24"/>
          <w:szCs w:val="24"/>
        </w:rPr>
      </w:pPr>
      <w:r w:rsidRPr="00C926A8">
        <w:rPr>
          <w:rFonts w:ascii="Arial" w:hAnsi="Arial" w:cs="Arial"/>
          <w:b/>
          <w:sz w:val="24"/>
          <w:szCs w:val="24"/>
        </w:rPr>
        <w:t>Consume it?</w:t>
      </w:r>
    </w:p>
    <w:p w:rsidR="00CA3147" w:rsidRPr="00C926A8" w:rsidRDefault="00CA3147" w:rsidP="000701AC">
      <w:pPr>
        <w:pStyle w:val="ListParagraph"/>
        <w:spacing w:after="0" w:line="240" w:lineRule="auto"/>
        <w:ind w:left="1080"/>
        <w:rPr>
          <w:rFonts w:ascii="Arial" w:hAnsi="Arial" w:cs="Arial"/>
          <w:sz w:val="24"/>
          <w:szCs w:val="24"/>
        </w:rPr>
      </w:pPr>
    </w:p>
    <w:p w:rsidR="00CA3147" w:rsidRPr="00C926A8" w:rsidRDefault="00CA3147" w:rsidP="000701AC">
      <w:pPr>
        <w:spacing w:after="0" w:line="240" w:lineRule="auto"/>
        <w:ind w:left="720" w:hanging="720"/>
        <w:rPr>
          <w:rFonts w:ascii="Arial" w:hAnsi="Arial" w:cs="Arial"/>
          <w:sz w:val="24"/>
          <w:szCs w:val="24"/>
        </w:rPr>
      </w:pPr>
      <w:r w:rsidRPr="00C926A8">
        <w:rPr>
          <w:rFonts w:ascii="Arial" w:hAnsi="Arial" w:cs="Arial"/>
          <w:sz w:val="24"/>
          <w:szCs w:val="24"/>
        </w:rPr>
        <w:t>A.</w:t>
      </w:r>
      <w:r w:rsidR="00E40892" w:rsidRPr="00C926A8">
        <w:rPr>
          <w:rFonts w:ascii="Arial" w:hAnsi="Arial" w:cs="Arial"/>
          <w:sz w:val="24"/>
          <w:szCs w:val="24"/>
        </w:rPr>
        <w:t>13</w:t>
      </w:r>
      <w:r w:rsidRPr="00C926A8">
        <w:rPr>
          <w:rFonts w:ascii="Arial" w:hAnsi="Arial" w:cs="Arial"/>
          <w:sz w:val="24"/>
          <w:szCs w:val="24"/>
        </w:rPr>
        <w:t xml:space="preserve">: </w:t>
      </w:r>
      <w:r w:rsidRPr="00C926A8">
        <w:rPr>
          <w:rFonts w:ascii="Arial" w:hAnsi="Arial" w:cs="Arial"/>
          <w:sz w:val="24"/>
          <w:szCs w:val="24"/>
        </w:rPr>
        <w:tab/>
      </w:r>
      <w:r w:rsidR="00AB38B0" w:rsidRPr="00C926A8">
        <w:rPr>
          <w:rFonts w:ascii="Arial" w:hAnsi="Arial" w:cs="Arial"/>
          <w:sz w:val="24"/>
          <w:szCs w:val="24"/>
        </w:rPr>
        <w:t>A “well to wheel” evaluation is required</w:t>
      </w:r>
      <w:r w:rsidR="00FE333F">
        <w:rPr>
          <w:rFonts w:ascii="Arial" w:hAnsi="Arial" w:cs="Arial"/>
          <w:sz w:val="24"/>
          <w:szCs w:val="24"/>
        </w:rPr>
        <w:t xml:space="preserve"> (Section VII. E.)</w:t>
      </w:r>
      <w:r w:rsidR="00AB38B0" w:rsidRPr="00C926A8">
        <w:rPr>
          <w:rFonts w:ascii="Arial" w:hAnsi="Arial" w:cs="Arial"/>
          <w:sz w:val="24"/>
          <w:szCs w:val="24"/>
        </w:rPr>
        <w:t xml:space="preserve">. </w:t>
      </w:r>
      <w:r w:rsidR="002E71EA" w:rsidRPr="00C926A8">
        <w:rPr>
          <w:rFonts w:ascii="Arial" w:hAnsi="Arial" w:cs="Arial"/>
          <w:sz w:val="24"/>
          <w:szCs w:val="24"/>
        </w:rPr>
        <w:t>L</w:t>
      </w:r>
      <w:r w:rsidR="009D348E" w:rsidRPr="00C926A8">
        <w:rPr>
          <w:rFonts w:ascii="Arial" w:hAnsi="Arial" w:cs="Arial"/>
          <w:sz w:val="24"/>
          <w:szCs w:val="24"/>
        </w:rPr>
        <w:t>ookup tables and published references used by Applicant</w:t>
      </w:r>
      <w:r w:rsidR="002E71EA" w:rsidRPr="00C926A8">
        <w:rPr>
          <w:rFonts w:ascii="Arial" w:hAnsi="Arial" w:cs="Arial"/>
          <w:sz w:val="24"/>
          <w:szCs w:val="24"/>
        </w:rPr>
        <w:t>s</w:t>
      </w:r>
      <w:r w:rsidR="009D348E" w:rsidRPr="00C926A8">
        <w:rPr>
          <w:rFonts w:ascii="Arial" w:hAnsi="Arial" w:cs="Arial"/>
          <w:sz w:val="24"/>
          <w:szCs w:val="24"/>
        </w:rPr>
        <w:t xml:space="preserve"> to demonstrate the “well to wheel” renewable content of their hydrogen should be carefully</w:t>
      </w:r>
      <w:r w:rsidR="002E71EA" w:rsidRPr="00C926A8">
        <w:rPr>
          <w:rFonts w:ascii="Arial" w:hAnsi="Arial" w:cs="Arial"/>
          <w:sz w:val="24"/>
          <w:szCs w:val="24"/>
        </w:rPr>
        <w:t xml:space="preserve"> and defensibly selected by </w:t>
      </w:r>
      <w:r w:rsidR="009D348E" w:rsidRPr="00C926A8">
        <w:rPr>
          <w:rFonts w:ascii="Arial" w:hAnsi="Arial" w:cs="Arial"/>
          <w:sz w:val="24"/>
          <w:szCs w:val="24"/>
        </w:rPr>
        <w:t>Applicant</w:t>
      </w:r>
      <w:r w:rsidR="002E71EA" w:rsidRPr="00C926A8">
        <w:rPr>
          <w:rFonts w:ascii="Arial" w:hAnsi="Arial" w:cs="Arial"/>
          <w:sz w:val="24"/>
          <w:szCs w:val="24"/>
        </w:rPr>
        <w:t>s</w:t>
      </w:r>
      <w:r w:rsidR="009D348E" w:rsidRPr="00C926A8">
        <w:rPr>
          <w:rFonts w:ascii="Arial" w:hAnsi="Arial" w:cs="Arial"/>
          <w:sz w:val="24"/>
          <w:szCs w:val="24"/>
        </w:rPr>
        <w:t>.</w:t>
      </w:r>
    </w:p>
    <w:p w:rsidR="00895F51" w:rsidRPr="00C926A8" w:rsidRDefault="00895F51" w:rsidP="000701AC">
      <w:pPr>
        <w:spacing w:after="0" w:line="240" w:lineRule="auto"/>
        <w:ind w:left="720" w:hanging="720"/>
        <w:rPr>
          <w:rFonts w:ascii="Arial" w:hAnsi="Arial" w:cs="Arial"/>
          <w:sz w:val="24"/>
          <w:szCs w:val="24"/>
        </w:rPr>
      </w:pPr>
    </w:p>
    <w:p w:rsidR="00895F51" w:rsidRPr="00C926A8" w:rsidRDefault="00895F51" w:rsidP="000701AC">
      <w:pPr>
        <w:spacing w:after="0" w:line="240" w:lineRule="auto"/>
        <w:ind w:left="720" w:hanging="720"/>
        <w:rPr>
          <w:rFonts w:ascii="Arial" w:hAnsi="Arial" w:cs="Arial"/>
          <w:b/>
          <w:sz w:val="24"/>
          <w:szCs w:val="24"/>
        </w:rPr>
      </w:pPr>
      <w:r w:rsidRPr="00C926A8">
        <w:rPr>
          <w:rFonts w:ascii="Arial" w:hAnsi="Arial" w:cs="Arial"/>
          <w:b/>
          <w:sz w:val="24"/>
          <w:szCs w:val="24"/>
        </w:rPr>
        <w:t>Q.1</w:t>
      </w:r>
      <w:r w:rsidR="00E40892" w:rsidRPr="00C926A8">
        <w:rPr>
          <w:rFonts w:ascii="Arial" w:hAnsi="Arial" w:cs="Arial"/>
          <w:b/>
          <w:sz w:val="24"/>
          <w:szCs w:val="24"/>
        </w:rPr>
        <w:t>4</w:t>
      </w:r>
      <w:r w:rsidRPr="00C926A8">
        <w:rPr>
          <w:rFonts w:ascii="Arial" w:hAnsi="Arial" w:cs="Arial"/>
          <w:b/>
          <w:sz w:val="24"/>
          <w:szCs w:val="24"/>
        </w:rPr>
        <w:t>:</w:t>
      </w:r>
      <w:r w:rsidRPr="00C926A8">
        <w:rPr>
          <w:rFonts w:ascii="Arial" w:hAnsi="Arial" w:cs="Arial"/>
          <w:b/>
          <w:sz w:val="24"/>
          <w:szCs w:val="24"/>
        </w:rPr>
        <w:tab/>
        <w:t>Is it correctly understood that both the feedstock (e.g.</w:t>
      </w:r>
      <w:r w:rsidR="00F554D7">
        <w:rPr>
          <w:rFonts w:ascii="Arial" w:hAnsi="Arial" w:cs="Arial"/>
          <w:b/>
          <w:sz w:val="24"/>
          <w:szCs w:val="24"/>
        </w:rPr>
        <w:t>,</w:t>
      </w:r>
      <w:r w:rsidRPr="00C926A8">
        <w:rPr>
          <w:rFonts w:ascii="Arial" w:hAnsi="Arial" w:cs="Arial"/>
          <w:b/>
          <w:sz w:val="24"/>
          <w:szCs w:val="24"/>
        </w:rPr>
        <w:t xml:space="preserve"> gas or electricity for hydrogen production) and system power (e.g.</w:t>
      </w:r>
      <w:r w:rsidR="00F554D7">
        <w:rPr>
          <w:rFonts w:ascii="Arial" w:hAnsi="Arial" w:cs="Arial"/>
          <w:b/>
          <w:sz w:val="24"/>
          <w:szCs w:val="24"/>
        </w:rPr>
        <w:t>,</w:t>
      </w:r>
      <w:r w:rsidRPr="00C926A8">
        <w:rPr>
          <w:rFonts w:ascii="Arial" w:hAnsi="Arial" w:cs="Arial"/>
          <w:b/>
          <w:sz w:val="24"/>
          <w:szCs w:val="24"/>
        </w:rPr>
        <w:t xml:space="preserve"> electricity for compression and dispensing) both are to be included in the calculation of the Well-to-Wheels energy consumption? (</w:t>
      </w:r>
      <w:r w:rsidR="00FE333F" w:rsidRPr="00C926A8">
        <w:rPr>
          <w:rFonts w:ascii="Arial" w:hAnsi="Arial" w:cs="Arial"/>
          <w:b/>
          <w:sz w:val="24"/>
          <w:szCs w:val="24"/>
        </w:rPr>
        <w:t>Sections</w:t>
      </w:r>
      <w:r w:rsidRPr="00C926A8">
        <w:rPr>
          <w:rFonts w:ascii="Arial" w:hAnsi="Arial" w:cs="Arial"/>
          <w:b/>
          <w:sz w:val="24"/>
          <w:szCs w:val="24"/>
        </w:rPr>
        <w:t xml:space="preserve"> VII F and VII G)</w:t>
      </w:r>
    </w:p>
    <w:p w:rsidR="00895F51" w:rsidRPr="00C926A8" w:rsidRDefault="00895F51" w:rsidP="000701AC">
      <w:pPr>
        <w:spacing w:after="0" w:line="240" w:lineRule="auto"/>
        <w:ind w:left="720" w:hanging="720"/>
        <w:rPr>
          <w:rFonts w:ascii="Arial" w:hAnsi="Arial" w:cs="Arial"/>
          <w:sz w:val="24"/>
          <w:szCs w:val="24"/>
        </w:rPr>
      </w:pPr>
    </w:p>
    <w:p w:rsidR="00895F51" w:rsidRPr="00C926A8" w:rsidRDefault="00895F51" w:rsidP="000701AC">
      <w:pPr>
        <w:spacing w:after="0" w:line="240" w:lineRule="auto"/>
        <w:ind w:left="720" w:hanging="720"/>
        <w:rPr>
          <w:rFonts w:ascii="Arial" w:hAnsi="Arial" w:cs="Arial"/>
          <w:sz w:val="24"/>
          <w:szCs w:val="24"/>
        </w:rPr>
      </w:pPr>
      <w:r w:rsidRPr="00C926A8">
        <w:rPr>
          <w:rFonts w:ascii="Arial" w:hAnsi="Arial" w:cs="Arial"/>
          <w:sz w:val="24"/>
          <w:szCs w:val="24"/>
        </w:rPr>
        <w:t>A.1</w:t>
      </w:r>
      <w:r w:rsidR="00E40892" w:rsidRPr="00C926A8">
        <w:rPr>
          <w:rFonts w:ascii="Arial" w:hAnsi="Arial" w:cs="Arial"/>
          <w:sz w:val="24"/>
          <w:szCs w:val="24"/>
        </w:rPr>
        <w:t>4</w:t>
      </w:r>
      <w:r w:rsidRPr="00C926A8">
        <w:rPr>
          <w:rFonts w:ascii="Arial" w:hAnsi="Arial" w:cs="Arial"/>
          <w:sz w:val="24"/>
          <w:szCs w:val="24"/>
        </w:rPr>
        <w:t>:</w:t>
      </w:r>
      <w:r w:rsidRPr="00C926A8">
        <w:rPr>
          <w:rFonts w:ascii="Arial" w:hAnsi="Arial" w:cs="Arial"/>
          <w:sz w:val="24"/>
          <w:szCs w:val="24"/>
        </w:rPr>
        <w:tab/>
      </w:r>
      <w:r w:rsidR="009A0B64" w:rsidRPr="00C926A8">
        <w:rPr>
          <w:rFonts w:ascii="Arial" w:hAnsi="Arial" w:cs="Arial"/>
          <w:sz w:val="24"/>
          <w:szCs w:val="24"/>
        </w:rPr>
        <w:t>Yes.</w:t>
      </w:r>
    </w:p>
    <w:p w:rsidR="00895F51" w:rsidRPr="00C926A8" w:rsidRDefault="00895F51" w:rsidP="000701AC">
      <w:pPr>
        <w:spacing w:after="0" w:line="240" w:lineRule="auto"/>
        <w:ind w:left="720" w:hanging="720"/>
        <w:rPr>
          <w:rFonts w:ascii="Arial" w:hAnsi="Arial" w:cs="Arial"/>
          <w:sz w:val="24"/>
          <w:szCs w:val="24"/>
        </w:rPr>
      </w:pPr>
    </w:p>
    <w:p w:rsidR="00895F51" w:rsidRPr="00C926A8" w:rsidRDefault="00895F51" w:rsidP="000701AC">
      <w:pPr>
        <w:spacing w:after="0" w:line="240" w:lineRule="auto"/>
        <w:ind w:left="720" w:hanging="720"/>
        <w:rPr>
          <w:rFonts w:ascii="Arial" w:hAnsi="Arial" w:cs="Arial"/>
          <w:b/>
          <w:sz w:val="24"/>
          <w:szCs w:val="24"/>
        </w:rPr>
      </w:pPr>
      <w:r w:rsidRPr="00C926A8">
        <w:rPr>
          <w:rFonts w:ascii="Arial" w:hAnsi="Arial" w:cs="Arial"/>
          <w:b/>
          <w:sz w:val="24"/>
          <w:szCs w:val="24"/>
        </w:rPr>
        <w:t>Q.1</w:t>
      </w:r>
      <w:r w:rsidR="00E40892" w:rsidRPr="00C926A8">
        <w:rPr>
          <w:rFonts w:ascii="Arial" w:hAnsi="Arial" w:cs="Arial"/>
          <w:b/>
          <w:sz w:val="24"/>
          <w:szCs w:val="24"/>
        </w:rPr>
        <w:t>5</w:t>
      </w:r>
      <w:r w:rsidRPr="00C926A8">
        <w:rPr>
          <w:rFonts w:ascii="Arial" w:hAnsi="Arial" w:cs="Arial"/>
          <w:b/>
          <w:sz w:val="24"/>
          <w:szCs w:val="24"/>
        </w:rPr>
        <w:t xml:space="preserve">: </w:t>
      </w:r>
      <w:r w:rsidRPr="00C926A8">
        <w:rPr>
          <w:rFonts w:ascii="Arial" w:hAnsi="Arial" w:cs="Arial"/>
          <w:b/>
          <w:sz w:val="24"/>
          <w:szCs w:val="24"/>
        </w:rPr>
        <w:tab/>
        <w:t>Is it correctly understood that “greening” of both the feedstock (e.g.</w:t>
      </w:r>
      <w:r w:rsidR="00F554D7">
        <w:rPr>
          <w:rFonts w:ascii="Arial" w:hAnsi="Arial" w:cs="Arial"/>
          <w:b/>
          <w:sz w:val="24"/>
          <w:szCs w:val="24"/>
        </w:rPr>
        <w:t>,</w:t>
      </w:r>
      <w:r w:rsidRPr="00C926A8">
        <w:rPr>
          <w:rFonts w:ascii="Arial" w:hAnsi="Arial" w:cs="Arial"/>
          <w:b/>
          <w:sz w:val="24"/>
          <w:szCs w:val="24"/>
        </w:rPr>
        <w:t xml:space="preserve"> using biogas) and system power (e.g.</w:t>
      </w:r>
      <w:r w:rsidR="00F554D7">
        <w:rPr>
          <w:rFonts w:ascii="Arial" w:hAnsi="Arial" w:cs="Arial"/>
          <w:b/>
          <w:sz w:val="24"/>
          <w:szCs w:val="24"/>
        </w:rPr>
        <w:t>,</w:t>
      </w:r>
      <w:r w:rsidRPr="00C926A8">
        <w:rPr>
          <w:rFonts w:ascii="Arial" w:hAnsi="Arial" w:cs="Arial"/>
          <w:b/>
          <w:sz w:val="24"/>
          <w:szCs w:val="24"/>
        </w:rPr>
        <w:t xml:space="preserve"> using renewable electricity or RECs) both contributes towards reaching the minimum requirement of 33% renewable hydrogen content for a given station or network? (</w:t>
      </w:r>
      <w:r w:rsidR="00FE333F" w:rsidRPr="00C926A8">
        <w:rPr>
          <w:rFonts w:ascii="Arial" w:hAnsi="Arial" w:cs="Arial"/>
          <w:b/>
          <w:sz w:val="24"/>
          <w:szCs w:val="24"/>
        </w:rPr>
        <w:t>Sections</w:t>
      </w:r>
      <w:r w:rsidRPr="00C926A8">
        <w:rPr>
          <w:rFonts w:ascii="Arial" w:hAnsi="Arial" w:cs="Arial"/>
          <w:b/>
          <w:sz w:val="24"/>
          <w:szCs w:val="24"/>
        </w:rPr>
        <w:t xml:space="preserve"> VII F and VII G)</w:t>
      </w:r>
    </w:p>
    <w:p w:rsidR="000701AC" w:rsidRDefault="000701AC" w:rsidP="000701AC">
      <w:pPr>
        <w:spacing w:after="0" w:line="240" w:lineRule="auto"/>
        <w:ind w:left="720" w:hanging="720"/>
        <w:rPr>
          <w:rFonts w:ascii="Arial" w:hAnsi="Arial" w:cs="Arial"/>
          <w:sz w:val="24"/>
          <w:szCs w:val="24"/>
        </w:rPr>
      </w:pPr>
    </w:p>
    <w:p w:rsidR="00895F51" w:rsidRDefault="00895F51" w:rsidP="000701AC">
      <w:pPr>
        <w:spacing w:after="0" w:line="240" w:lineRule="auto"/>
        <w:ind w:left="720" w:hanging="720"/>
        <w:rPr>
          <w:rFonts w:ascii="Arial" w:hAnsi="Arial" w:cs="Arial"/>
          <w:sz w:val="24"/>
          <w:szCs w:val="24"/>
        </w:rPr>
      </w:pPr>
      <w:r w:rsidRPr="00C926A8">
        <w:rPr>
          <w:rFonts w:ascii="Arial" w:hAnsi="Arial" w:cs="Arial"/>
          <w:sz w:val="24"/>
          <w:szCs w:val="24"/>
        </w:rPr>
        <w:t>A.1</w:t>
      </w:r>
      <w:r w:rsidR="00E40892" w:rsidRPr="00C926A8">
        <w:rPr>
          <w:rFonts w:ascii="Arial" w:hAnsi="Arial" w:cs="Arial"/>
          <w:sz w:val="24"/>
          <w:szCs w:val="24"/>
        </w:rPr>
        <w:t>5</w:t>
      </w:r>
      <w:r w:rsidRPr="00C926A8">
        <w:rPr>
          <w:rFonts w:ascii="Arial" w:hAnsi="Arial" w:cs="Arial"/>
          <w:sz w:val="24"/>
          <w:szCs w:val="24"/>
        </w:rPr>
        <w:t>:</w:t>
      </w:r>
      <w:r w:rsidRPr="00C926A8">
        <w:rPr>
          <w:rFonts w:ascii="Arial" w:hAnsi="Arial" w:cs="Arial"/>
          <w:sz w:val="24"/>
          <w:szCs w:val="24"/>
        </w:rPr>
        <w:tab/>
      </w:r>
      <w:r w:rsidR="009A0B64" w:rsidRPr="00C926A8">
        <w:rPr>
          <w:rFonts w:ascii="Arial" w:hAnsi="Arial" w:cs="Arial"/>
          <w:sz w:val="24"/>
          <w:szCs w:val="24"/>
        </w:rPr>
        <w:t>Yes.</w:t>
      </w:r>
    </w:p>
    <w:p w:rsidR="000701AC" w:rsidRPr="00C926A8" w:rsidRDefault="000701AC" w:rsidP="000701AC">
      <w:pPr>
        <w:spacing w:after="0" w:line="240" w:lineRule="auto"/>
        <w:ind w:left="720" w:hanging="720"/>
        <w:rPr>
          <w:rFonts w:ascii="Arial" w:hAnsi="Arial" w:cs="Arial"/>
          <w:sz w:val="24"/>
          <w:szCs w:val="24"/>
        </w:rPr>
      </w:pPr>
    </w:p>
    <w:p w:rsidR="00895F51" w:rsidRPr="00C926A8" w:rsidRDefault="00895F51" w:rsidP="000701AC">
      <w:pPr>
        <w:spacing w:after="0" w:line="240" w:lineRule="auto"/>
        <w:ind w:left="720" w:hanging="720"/>
        <w:rPr>
          <w:rFonts w:ascii="Arial" w:hAnsi="Arial" w:cs="Arial"/>
          <w:b/>
          <w:sz w:val="24"/>
          <w:szCs w:val="24"/>
        </w:rPr>
      </w:pPr>
      <w:r w:rsidRPr="00C926A8">
        <w:rPr>
          <w:rFonts w:ascii="Arial" w:hAnsi="Arial" w:cs="Arial"/>
          <w:b/>
          <w:sz w:val="24"/>
          <w:szCs w:val="24"/>
        </w:rPr>
        <w:t>Q.1</w:t>
      </w:r>
      <w:r w:rsidR="00E40892" w:rsidRPr="00C926A8">
        <w:rPr>
          <w:rFonts w:ascii="Arial" w:hAnsi="Arial" w:cs="Arial"/>
          <w:b/>
          <w:sz w:val="24"/>
          <w:szCs w:val="24"/>
        </w:rPr>
        <w:t>6</w:t>
      </w:r>
      <w:r w:rsidRPr="00C926A8">
        <w:rPr>
          <w:rFonts w:ascii="Arial" w:hAnsi="Arial" w:cs="Arial"/>
          <w:b/>
          <w:sz w:val="24"/>
          <w:szCs w:val="24"/>
        </w:rPr>
        <w:t>:</w:t>
      </w:r>
      <w:r w:rsidRPr="00C926A8">
        <w:rPr>
          <w:rFonts w:ascii="Arial" w:hAnsi="Arial" w:cs="Arial"/>
          <w:b/>
          <w:sz w:val="24"/>
          <w:szCs w:val="24"/>
        </w:rPr>
        <w:tab/>
        <w:t>Is it correctly understood that RECs can be used to “green” both the feedstock (e.g.</w:t>
      </w:r>
      <w:r w:rsidR="00F554D7">
        <w:rPr>
          <w:rFonts w:ascii="Arial" w:hAnsi="Arial" w:cs="Arial"/>
          <w:b/>
          <w:sz w:val="24"/>
          <w:szCs w:val="24"/>
        </w:rPr>
        <w:t>,</w:t>
      </w:r>
      <w:r w:rsidRPr="00C926A8">
        <w:rPr>
          <w:rFonts w:ascii="Arial" w:hAnsi="Arial" w:cs="Arial"/>
          <w:b/>
          <w:sz w:val="24"/>
          <w:szCs w:val="24"/>
        </w:rPr>
        <w:t xml:space="preserve"> natural gas or electricity for hydrogen production) and system power (e.g.</w:t>
      </w:r>
      <w:r w:rsidR="00F554D7">
        <w:rPr>
          <w:rFonts w:ascii="Arial" w:hAnsi="Arial" w:cs="Arial"/>
          <w:b/>
          <w:sz w:val="24"/>
          <w:szCs w:val="24"/>
        </w:rPr>
        <w:t>,</w:t>
      </w:r>
      <w:r w:rsidRPr="00C926A8">
        <w:rPr>
          <w:rFonts w:ascii="Arial" w:hAnsi="Arial" w:cs="Arial"/>
          <w:b/>
          <w:sz w:val="24"/>
          <w:szCs w:val="24"/>
        </w:rPr>
        <w:t xml:space="preserve"> grid electricity for compression and dispensing), in the attempt to meet the minimum requirement of 33% renewable hydrogen content for a given station or network? (Sections VII C and VII D)</w:t>
      </w:r>
    </w:p>
    <w:p w:rsidR="000701AC" w:rsidRDefault="000701AC" w:rsidP="000701AC">
      <w:pPr>
        <w:spacing w:after="0" w:line="240" w:lineRule="auto"/>
        <w:ind w:left="720" w:hanging="720"/>
        <w:rPr>
          <w:rFonts w:ascii="Arial" w:hAnsi="Arial" w:cs="Arial"/>
          <w:sz w:val="24"/>
          <w:szCs w:val="24"/>
        </w:rPr>
      </w:pPr>
    </w:p>
    <w:p w:rsidR="00895F51" w:rsidRDefault="00895F51" w:rsidP="000701AC">
      <w:pPr>
        <w:spacing w:after="0" w:line="240" w:lineRule="auto"/>
        <w:ind w:left="720" w:hanging="720"/>
        <w:rPr>
          <w:rFonts w:ascii="Arial" w:hAnsi="Arial" w:cs="Arial"/>
          <w:sz w:val="24"/>
          <w:szCs w:val="24"/>
        </w:rPr>
      </w:pPr>
      <w:r w:rsidRPr="00C926A8">
        <w:rPr>
          <w:rFonts w:ascii="Arial" w:hAnsi="Arial" w:cs="Arial"/>
          <w:sz w:val="24"/>
          <w:szCs w:val="24"/>
        </w:rPr>
        <w:t>A.1</w:t>
      </w:r>
      <w:r w:rsidR="00E40892" w:rsidRPr="00C926A8">
        <w:rPr>
          <w:rFonts w:ascii="Arial" w:hAnsi="Arial" w:cs="Arial"/>
          <w:sz w:val="24"/>
          <w:szCs w:val="24"/>
        </w:rPr>
        <w:t>6</w:t>
      </w:r>
      <w:r w:rsidRPr="00C926A8">
        <w:rPr>
          <w:rFonts w:ascii="Arial" w:hAnsi="Arial" w:cs="Arial"/>
          <w:sz w:val="24"/>
          <w:szCs w:val="24"/>
        </w:rPr>
        <w:t>:</w:t>
      </w:r>
      <w:r w:rsidR="009A0B64" w:rsidRPr="00C926A8">
        <w:rPr>
          <w:rFonts w:ascii="Arial" w:hAnsi="Arial" w:cs="Arial"/>
          <w:sz w:val="24"/>
          <w:szCs w:val="24"/>
        </w:rPr>
        <w:tab/>
      </w:r>
      <w:r w:rsidR="00410F7D">
        <w:rPr>
          <w:rFonts w:ascii="Arial" w:hAnsi="Arial" w:cs="Arial"/>
          <w:sz w:val="24"/>
          <w:szCs w:val="24"/>
        </w:rPr>
        <w:t>RECs can be used to meet renewable requirements for process energy used in producing hydrogen. For methane reformation, an eligible renewable feedstock must be used to meet the renewable hydrogen requirement.</w:t>
      </w:r>
    </w:p>
    <w:p w:rsidR="000701AC" w:rsidRPr="00C926A8" w:rsidRDefault="000701AC" w:rsidP="000701AC">
      <w:pPr>
        <w:spacing w:after="0" w:line="240" w:lineRule="auto"/>
        <w:ind w:left="720" w:hanging="720"/>
        <w:rPr>
          <w:rFonts w:ascii="Arial" w:hAnsi="Arial" w:cs="Arial"/>
          <w:sz w:val="24"/>
          <w:szCs w:val="24"/>
        </w:rPr>
      </w:pPr>
    </w:p>
    <w:p w:rsidR="00895F51" w:rsidRPr="00C926A8" w:rsidRDefault="00895F51" w:rsidP="000701AC">
      <w:pPr>
        <w:spacing w:after="0" w:line="240" w:lineRule="auto"/>
        <w:ind w:left="720" w:hanging="720"/>
        <w:rPr>
          <w:rFonts w:ascii="Arial" w:hAnsi="Arial" w:cs="Arial"/>
          <w:b/>
          <w:sz w:val="24"/>
          <w:szCs w:val="24"/>
        </w:rPr>
      </w:pPr>
      <w:r w:rsidRPr="00C926A8">
        <w:rPr>
          <w:rFonts w:ascii="Arial" w:hAnsi="Arial" w:cs="Arial"/>
          <w:b/>
          <w:sz w:val="24"/>
          <w:szCs w:val="24"/>
        </w:rPr>
        <w:t>Q.1</w:t>
      </w:r>
      <w:r w:rsidR="00E40892" w:rsidRPr="00C926A8">
        <w:rPr>
          <w:rFonts w:ascii="Arial" w:hAnsi="Arial" w:cs="Arial"/>
          <w:b/>
          <w:sz w:val="24"/>
          <w:szCs w:val="24"/>
        </w:rPr>
        <w:t>7</w:t>
      </w:r>
      <w:r w:rsidRPr="00C926A8">
        <w:rPr>
          <w:rFonts w:ascii="Arial" w:hAnsi="Arial" w:cs="Arial"/>
          <w:b/>
          <w:sz w:val="24"/>
          <w:szCs w:val="24"/>
        </w:rPr>
        <w:t>:</w:t>
      </w:r>
      <w:r w:rsidRPr="00C926A8">
        <w:rPr>
          <w:rFonts w:ascii="Arial" w:hAnsi="Arial" w:cs="Arial"/>
          <w:b/>
          <w:sz w:val="24"/>
          <w:szCs w:val="24"/>
        </w:rPr>
        <w:tab/>
        <w:t>Is it correctly understood that the methodology in Attachment 13 is sufficient for calculating the CO2 emissions reductions for a certain station or network and associated pathway?</w:t>
      </w:r>
    </w:p>
    <w:p w:rsidR="000701AC" w:rsidRDefault="000701AC" w:rsidP="000701AC">
      <w:pPr>
        <w:spacing w:after="0" w:line="240" w:lineRule="auto"/>
        <w:ind w:left="720" w:hanging="720"/>
        <w:rPr>
          <w:rFonts w:ascii="Arial" w:hAnsi="Arial" w:cs="Arial"/>
          <w:sz w:val="24"/>
          <w:szCs w:val="24"/>
        </w:rPr>
      </w:pPr>
    </w:p>
    <w:p w:rsidR="00895F51" w:rsidRDefault="00895F51" w:rsidP="000701AC">
      <w:pPr>
        <w:spacing w:after="0" w:line="240" w:lineRule="auto"/>
        <w:ind w:left="720" w:hanging="720"/>
        <w:rPr>
          <w:rFonts w:ascii="Arial" w:hAnsi="Arial" w:cs="Arial"/>
          <w:sz w:val="24"/>
          <w:szCs w:val="24"/>
        </w:rPr>
      </w:pPr>
      <w:r w:rsidRPr="00C926A8">
        <w:rPr>
          <w:rFonts w:ascii="Arial" w:hAnsi="Arial" w:cs="Arial"/>
          <w:sz w:val="24"/>
          <w:szCs w:val="24"/>
        </w:rPr>
        <w:t>A.1</w:t>
      </w:r>
      <w:r w:rsidR="00E40892" w:rsidRPr="00C926A8">
        <w:rPr>
          <w:rFonts w:ascii="Arial" w:hAnsi="Arial" w:cs="Arial"/>
          <w:sz w:val="24"/>
          <w:szCs w:val="24"/>
        </w:rPr>
        <w:t>7</w:t>
      </w:r>
      <w:r w:rsidRPr="00C926A8">
        <w:rPr>
          <w:rFonts w:ascii="Arial" w:hAnsi="Arial" w:cs="Arial"/>
          <w:sz w:val="24"/>
          <w:szCs w:val="24"/>
        </w:rPr>
        <w:t>:</w:t>
      </w:r>
      <w:r w:rsidRPr="00C926A8">
        <w:rPr>
          <w:rFonts w:ascii="Arial" w:hAnsi="Arial" w:cs="Arial"/>
          <w:sz w:val="24"/>
          <w:szCs w:val="24"/>
        </w:rPr>
        <w:tab/>
      </w:r>
      <w:r w:rsidR="009A0B64" w:rsidRPr="00C926A8">
        <w:rPr>
          <w:rFonts w:ascii="Arial" w:hAnsi="Arial" w:cs="Arial"/>
          <w:sz w:val="24"/>
          <w:szCs w:val="24"/>
        </w:rPr>
        <w:t>Yes.</w:t>
      </w:r>
    </w:p>
    <w:p w:rsidR="000701AC" w:rsidRPr="00C926A8" w:rsidRDefault="000701AC" w:rsidP="000701AC">
      <w:pPr>
        <w:spacing w:after="0" w:line="240" w:lineRule="auto"/>
        <w:ind w:left="720" w:hanging="720"/>
        <w:rPr>
          <w:rFonts w:ascii="Arial" w:hAnsi="Arial" w:cs="Arial"/>
          <w:sz w:val="24"/>
          <w:szCs w:val="24"/>
        </w:rPr>
      </w:pPr>
    </w:p>
    <w:p w:rsidR="00895F51" w:rsidRPr="00C926A8" w:rsidRDefault="00895F51" w:rsidP="000701AC">
      <w:pPr>
        <w:spacing w:after="0" w:line="240" w:lineRule="auto"/>
        <w:ind w:left="720" w:hanging="720"/>
        <w:rPr>
          <w:rFonts w:ascii="Arial" w:hAnsi="Arial" w:cs="Arial"/>
          <w:b/>
          <w:sz w:val="24"/>
          <w:szCs w:val="24"/>
        </w:rPr>
      </w:pPr>
      <w:r w:rsidRPr="00C926A8">
        <w:rPr>
          <w:rFonts w:ascii="Arial" w:hAnsi="Arial" w:cs="Arial"/>
          <w:b/>
          <w:sz w:val="24"/>
          <w:szCs w:val="24"/>
        </w:rPr>
        <w:t>Q.</w:t>
      </w:r>
      <w:r w:rsidR="00E40892" w:rsidRPr="00C926A8">
        <w:rPr>
          <w:rFonts w:ascii="Arial" w:hAnsi="Arial" w:cs="Arial"/>
          <w:b/>
          <w:sz w:val="24"/>
          <w:szCs w:val="24"/>
        </w:rPr>
        <w:t>18</w:t>
      </w:r>
      <w:r w:rsidRPr="00C926A8">
        <w:rPr>
          <w:rFonts w:ascii="Arial" w:hAnsi="Arial" w:cs="Arial"/>
          <w:b/>
          <w:sz w:val="24"/>
          <w:szCs w:val="24"/>
        </w:rPr>
        <w:t>:</w:t>
      </w:r>
      <w:r w:rsidRPr="00C926A8">
        <w:rPr>
          <w:rFonts w:ascii="Arial" w:hAnsi="Arial" w:cs="Arial"/>
          <w:b/>
          <w:sz w:val="24"/>
          <w:szCs w:val="24"/>
        </w:rPr>
        <w:tab/>
        <w:t>Is it correctly understood that the “Well to Wheels” energy consumption calculation as required in section VII G, should only include energy consumption for the feedstock (production) and system power (compression and dispensing), thus indirectly it is only a “Well to Pump” calculation?</w:t>
      </w:r>
    </w:p>
    <w:p w:rsidR="000701AC" w:rsidRDefault="000701AC" w:rsidP="000701AC">
      <w:pPr>
        <w:spacing w:after="0" w:line="240" w:lineRule="auto"/>
        <w:ind w:left="720" w:hanging="720"/>
        <w:rPr>
          <w:rFonts w:ascii="Arial" w:hAnsi="Arial" w:cs="Arial"/>
          <w:sz w:val="24"/>
          <w:szCs w:val="24"/>
        </w:rPr>
      </w:pPr>
    </w:p>
    <w:p w:rsidR="000701AC" w:rsidRDefault="00895F51" w:rsidP="000701AC">
      <w:pPr>
        <w:spacing w:after="0" w:line="240" w:lineRule="auto"/>
        <w:ind w:left="720" w:hanging="720"/>
        <w:rPr>
          <w:rFonts w:ascii="Arial" w:hAnsi="Arial" w:cs="Arial"/>
          <w:sz w:val="24"/>
          <w:szCs w:val="24"/>
        </w:rPr>
      </w:pPr>
      <w:r w:rsidRPr="00C926A8">
        <w:rPr>
          <w:rFonts w:ascii="Arial" w:hAnsi="Arial" w:cs="Arial"/>
          <w:sz w:val="24"/>
          <w:szCs w:val="24"/>
        </w:rPr>
        <w:t>A.</w:t>
      </w:r>
      <w:r w:rsidR="00E40892" w:rsidRPr="00C926A8">
        <w:rPr>
          <w:rFonts w:ascii="Arial" w:hAnsi="Arial" w:cs="Arial"/>
          <w:sz w:val="24"/>
          <w:szCs w:val="24"/>
        </w:rPr>
        <w:t>18</w:t>
      </w:r>
      <w:r w:rsidRPr="00C926A8">
        <w:rPr>
          <w:rFonts w:ascii="Arial" w:hAnsi="Arial" w:cs="Arial"/>
          <w:sz w:val="24"/>
          <w:szCs w:val="24"/>
        </w:rPr>
        <w:t>:</w:t>
      </w:r>
      <w:r w:rsidRPr="00C926A8">
        <w:rPr>
          <w:rFonts w:ascii="Arial" w:hAnsi="Arial" w:cs="Arial"/>
          <w:sz w:val="24"/>
          <w:szCs w:val="24"/>
        </w:rPr>
        <w:tab/>
      </w:r>
      <w:r w:rsidR="00423A97">
        <w:rPr>
          <w:rFonts w:ascii="Arial" w:hAnsi="Arial" w:cs="Arial"/>
          <w:sz w:val="24"/>
          <w:szCs w:val="24"/>
        </w:rPr>
        <w:t>No</w:t>
      </w:r>
      <w:r w:rsidR="009A0B64" w:rsidRPr="00C926A8">
        <w:rPr>
          <w:rFonts w:ascii="Arial" w:hAnsi="Arial" w:cs="Arial"/>
          <w:sz w:val="24"/>
          <w:szCs w:val="24"/>
        </w:rPr>
        <w:t>.</w:t>
      </w:r>
      <w:r w:rsidR="00423A97">
        <w:rPr>
          <w:rFonts w:ascii="Arial" w:hAnsi="Arial" w:cs="Arial"/>
          <w:sz w:val="24"/>
          <w:szCs w:val="24"/>
        </w:rPr>
        <w:t xml:space="preserve"> A “well to wheel” evaluation is required</w:t>
      </w:r>
      <w:r w:rsidR="00C25273">
        <w:rPr>
          <w:rFonts w:ascii="Arial" w:hAnsi="Arial" w:cs="Arial"/>
          <w:sz w:val="24"/>
          <w:szCs w:val="24"/>
        </w:rPr>
        <w:t xml:space="preserve"> (Section VII. E.)</w:t>
      </w:r>
      <w:r w:rsidR="00C25273" w:rsidRPr="00C926A8">
        <w:rPr>
          <w:rFonts w:ascii="Arial" w:hAnsi="Arial" w:cs="Arial"/>
          <w:sz w:val="24"/>
          <w:szCs w:val="24"/>
        </w:rPr>
        <w:t>.</w:t>
      </w:r>
    </w:p>
    <w:p w:rsidR="00C25273" w:rsidRPr="00C926A8" w:rsidRDefault="00C25273"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rPr>
          <w:rFonts w:ascii="Arial" w:hAnsi="Arial" w:cs="Arial"/>
          <w:b/>
          <w:i/>
          <w:sz w:val="24"/>
          <w:szCs w:val="24"/>
          <w:u w:val="single"/>
        </w:rPr>
      </w:pPr>
      <w:r w:rsidRPr="00C926A8">
        <w:rPr>
          <w:rFonts w:ascii="Arial" w:hAnsi="Arial" w:cs="Arial"/>
          <w:b/>
          <w:i/>
          <w:sz w:val="24"/>
          <w:szCs w:val="24"/>
          <w:u w:val="single"/>
        </w:rPr>
        <w:t>Confidential Business Plan</w:t>
      </w:r>
    </w:p>
    <w:p w:rsidR="00AE35C2" w:rsidRPr="00C926A8" w:rsidRDefault="00AE35C2" w:rsidP="000701AC">
      <w:pPr>
        <w:spacing w:after="0" w:line="240" w:lineRule="auto"/>
        <w:rPr>
          <w:rFonts w:ascii="Arial" w:hAnsi="Arial" w:cs="Arial"/>
          <w:b/>
          <w:i/>
          <w:sz w:val="24"/>
          <w:szCs w:val="24"/>
          <w:u w:val="single"/>
        </w:rPr>
      </w:pPr>
    </w:p>
    <w:p w:rsidR="00AE35C2" w:rsidRPr="00C926A8" w:rsidRDefault="00AE35C2" w:rsidP="000701AC">
      <w:pPr>
        <w:spacing w:after="0" w:line="240" w:lineRule="auto"/>
        <w:ind w:left="720" w:hanging="720"/>
        <w:rPr>
          <w:rFonts w:ascii="Arial" w:hAnsi="Arial" w:cs="Arial"/>
          <w:b/>
          <w:sz w:val="24"/>
          <w:szCs w:val="24"/>
        </w:rPr>
      </w:pPr>
      <w:r w:rsidRPr="00C926A8">
        <w:rPr>
          <w:rFonts w:ascii="Arial" w:hAnsi="Arial" w:cs="Arial"/>
          <w:b/>
          <w:sz w:val="24"/>
          <w:szCs w:val="24"/>
        </w:rPr>
        <w:t>Q.1</w:t>
      </w:r>
      <w:r w:rsidR="00E40892" w:rsidRPr="00C926A8">
        <w:rPr>
          <w:rFonts w:ascii="Arial" w:hAnsi="Arial" w:cs="Arial"/>
          <w:b/>
          <w:sz w:val="24"/>
          <w:szCs w:val="24"/>
        </w:rPr>
        <w:t>9</w:t>
      </w:r>
      <w:r w:rsidRPr="00C926A8">
        <w:rPr>
          <w:rFonts w:ascii="Arial" w:hAnsi="Arial" w:cs="Arial"/>
          <w:b/>
          <w:sz w:val="24"/>
          <w:szCs w:val="24"/>
        </w:rPr>
        <w:t>:</w:t>
      </w:r>
      <w:r w:rsidRPr="00C926A8">
        <w:rPr>
          <w:rFonts w:ascii="Arial" w:hAnsi="Arial" w:cs="Arial"/>
          <w:b/>
          <w:sz w:val="24"/>
          <w:szCs w:val="24"/>
        </w:rPr>
        <w:tab/>
        <w:t>Section IX.F.14. (a and b), page 63: If an applicant is a newly formed division of a Fortune 500 company but the size and complexity of that company makes it extremely difficult, if not impossible, to provide balance and cash flow statements, as well as highly confidential pro forma statements, would any or all of the following documentation serve as sufficient documentation of the applicant’s financial strength to build and operate the proposed station:</w:t>
      </w:r>
    </w:p>
    <w:p w:rsidR="00AE35C2" w:rsidRPr="00C926A8" w:rsidRDefault="00AE35C2" w:rsidP="000701AC">
      <w:pPr>
        <w:pStyle w:val="ListParagraph"/>
        <w:numPr>
          <w:ilvl w:val="0"/>
          <w:numId w:val="14"/>
        </w:numPr>
        <w:spacing w:after="0" w:line="240" w:lineRule="auto"/>
        <w:rPr>
          <w:rFonts w:ascii="Arial" w:hAnsi="Arial" w:cs="Arial"/>
          <w:b/>
          <w:sz w:val="24"/>
          <w:szCs w:val="24"/>
        </w:rPr>
      </w:pPr>
      <w:r w:rsidRPr="00C926A8">
        <w:rPr>
          <w:rFonts w:ascii="Arial" w:hAnsi="Arial" w:cs="Arial"/>
          <w:b/>
          <w:sz w:val="24"/>
          <w:szCs w:val="24"/>
        </w:rPr>
        <w:t>Certification of the parent company’s credit rating</w:t>
      </w:r>
    </w:p>
    <w:p w:rsidR="00AE35C2" w:rsidRPr="00C926A8" w:rsidRDefault="00AE35C2" w:rsidP="000701AC">
      <w:pPr>
        <w:pStyle w:val="ListParagraph"/>
        <w:numPr>
          <w:ilvl w:val="0"/>
          <w:numId w:val="14"/>
        </w:numPr>
        <w:spacing w:after="0" w:line="240" w:lineRule="auto"/>
        <w:rPr>
          <w:rFonts w:ascii="Arial" w:hAnsi="Arial" w:cs="Arial"/>
          <w:b/>
          <w:sz w:val="24"/>
          <w:szCs w:val="24"/>
        </w:rPr>
      </w:pPr>
      <w:r w:rsidRPr="00C926A8">
        <w:rPr>
          <w:rFonts w:ascii="Arial" w:hAnsi="Arial" w:cs="Arial"/>
          <w:b/>
          <w:sz w:val="24"/>
          <w:szCs w:val="24"/>
        </w:rPr>
        <w:t>If a publicly traded company, the SEC filing and annual report?</w:t>
      </w:r>
    </w:p>
    <w:p w:rsidR="00AE35C2" w:rsidRPr="00C926A8" w:rsidRDefault="00AE35C2" w:rsidP="000701AC">
      <w:pPr>
        <w:spacing w:after="0" w:line="240" w:lineRule="auto"/>
        <w:rPr>
          <w:rFonts w:ascii="Arial" w:hAnsi="Arial" w:cs="Arial"/>
          <w:sz w:val="24"/>
          <w:szCs w:val="24"/>
        </w:rPr>
      </w:pPr>
    </w:p>
    <w:p w:rsidR="00AE35C2" w:rsidRPr="00E67C56" w:rsidRDefault="00AE35C2" w:rsidP="000701AC">
      <w:pPr>
        <w:spacing w:after="0" w:line="240" w:lineRule="auto"/>
        <w:ind w:left="720" w:hanging="720"/>
        <w:rPr>
          <w:rFonts w:ascii="Arial" w:hAnsi="Arial" w:cs="Arial"/>
          <w:sz w:val="24"/>
          <w:szCs w:val="24"/>
        </w:rPr>
      </w:pPr>
      <w:r w:rsidRPr="00C926A8">
        <w:rPr>
          <w:rFonts w:ascii="Arial" w:hAnsi="Arial" w:cs="Arial"/>
          <w:sz w:val="24"/>
          <w:szCs w:val="24"/>
        </w:rPr>
        <w:t>A.1</w:t>
      </w:r>
      <w:r w:rsidR="00E40892" w:rsidRPr="00C926A8">
        <w:rPr>
          <w:rFonts w:ascii="Arial" w:hAnsi="Arial" w:cs="Arial"/>
          <w:sz w:val="24"/>
          <w:szCs w:val="24"/>
        </w:rPr>
        <w:t>9</w:t>
      </w:r>
      <w:r w:rsidRPr="00C926A8">
        <w:rPr>
          <w:rFonts w:ascii="Arial" w:hAnsi="Arial" w:cs="Arial"/>
          <w:sz w:val="24"/>
          <w:szCs w:val="24"/>
        </w:rPr>
        <w:t>:</w:t>
      </w:r>
      <w:r w:rsidRPr="00C926A8">
        <w:rPr>
          <w:rFonts w:ascii="Arial" w:hAnsi="Arial" w:cs="Arial"/>
          <w:sz w:val="24"/>
          <w:szCs w:val="24"/>
        </w:rPr>
        <w:tab/>
      </w:r>
      <w:r w:rsidR="0057097C" w:rsidRPr="0057097C">
        <w:rPr>
          <w:rFonts w:ascii="Arial" w:hAnsi="Arial" w:cs="Arial"/>
          <w:sz w:val="24"/>
          <w:szCs w:val="24"/>
        </w:rPr>
        <w:t xml:space="preserve">Applicants should provide the specific documentation listed in Section IX.F.14(a) and (b). </w:t>
      </w:r>
      <w:r w:rsidR="0057097C" w:rsidRPr="003920A8">
        <w:rPr>
          <w:rFonts w:ascii="Arial" w:hAnsi="Arial" w:cs="Arial"/>
          <w:sz w:val="24"/>
          <w:szCs w:val="24"/>
        </w:rPr>
        <w:t>The financial data requested from Applicants in this section will be kept confidential by the Energy Commission, pursuant to California Government Code sections 6254(k) and 6254.15</w:t>
      </w:r>
      <w:r w:rsidR="0057097C">
        <w:rPr>
          <w:rFonts w:ascii="Arial" w:hAnsi="Arial" w:cs="Arial"/>
          <w:sz w:val="24"/>
          <w:szCs w:val="24"/>
        </w:rPr>
        <w:t xml:space="preserve"> for a period of 7 years,</w:t>
      </w:r>
      <w:r w:rsidR="0057097C" w:rsidRPr="003920A8">
        <w:rPr>
          <w:rFonts w:ascii="Arial" w:hAnsi="Arial" w:cs="Arial"/>
          <w:sz w:val="24"/>
          <w:szCs w:val="24"/>
        </w:rPr>
        <w:t xml:space="preserve"> unless the Energy Commission is ordered to release it by a court or other entity with jurisdiction over the issue or the information otherwise becomes public. </w:t>
      </w:r>
      <w:r w:rsidR="00E67C56">
        <w:rPr>
          <w:rFonts w:ascii="Arial" w:hAnsi="Arial" w:cs="Arial"/>
          <w:sz w:val="24"/>
          <w:szCs w:val="24"/>
        </w:rPr>
        <w:t xml:space="preserve">The information requested in </w:t>
      </w:r>
      <w:r w:rsidR="00E67C56" w:rsidRPr="00591959">
        <w:rPr>
          <w:rFonts w:ascii="Arial" w:hAnsi="Arial" w:cs="Arial"/>
          <w:sz w:val="24"/>
          <w:szCs w:val="24"/>
        </w:rPr>
        <w:t>Section IX.F.14. (a and b)</w:t>
      </w:r>
      <w:r w:rsidR="00E67C56">
        <w:rPr>
          <w:rFonts w:ascii="Arial" w:hAnsi="Arial" w:cs="Arial"/>
          <w:sz w:val="24"/>
          <w:szCs w:val="24"/>
        </w:rPr>
        <w:t xml:space="preserve"> will be used to evaluate the proposal under the “Financial Plan” </w:t>
      </w:r>
      <w:r w:rsidR="00E05A1C">
        <w:rPr>
          <w:rFonts w:ascii="Arial" w:hAnsi="Arial" w:cs="Arial"/>
          <w:sz w:val="24"/>
          <w:szCs w:val="24"/>
        </w:rPr>
        <w:t>Evaluation Criterion</w:t>
      </w:r>
      <w:r w:rsidR="00E67C56">
        <w:rPr>
          <w:rFonts w:ascii="Arial" w:hAnsi="Arial" w:cs="Arial"/>
          <w:sz w:val="24"/>
          <w:szCs w:val="24"/>
        </w:rPr>
        <w:t>.</w:t>
      </w:r>
      <w:r w:rsidR="0057097C">
        <w:rPr>
          <w:rFonts w:ascii="Arial" w:hAnsi="Arial" w:cs="Arial"/>
          <w:sz w:val="24"/>
          <w:szCs w:val="24"/>
        </w:rPr>
        <w:t xml:space="preserve"> Failure to provide the information may negatively impact the </w:t>
      </w:r>
      <w:r w:rsidR="00FE333F">
        <w:rPr>
          <w:rFonts w:ascii="Arial" w:hAnsi="Arial" w:cs="Arial"/>
          <w:sz w:val="24"/>
          <w:szCs w:val="24"/>
        </w:rPr>
        <w:t>A</w:t>
      </w:r>
      <w:r w:rsidR="0057097C">
        <w:rPr>
          <w:rFonts w:ascii="Arial" w:hAnsi="Arial" w:cs="Arial"/>
          <w:sz w:val="24"/>
          <w:szCs w:val="24"/>
        </w:rPr>
        <w:t xml:space="preserve">pplicant’s score. </w:t>
      </w:r>
    </w:p>
    <w:p w:rsidR="00AE35C2" w:rsidRPr="00C926A8" w:rsidRDefault="00AE35C2" w:rsidP="000701AC">
      <w:pPr>
        <w:spacing w:after="0" w:line="240" w:lineRule="auto"/>
        <w:rPr>
          <w:rFonts w:ascii="Arial" w:hAnsi="Arial" w:cs="Arial"/>
          <w:sz w:val="24"/>
          <w:szCs w:val="24"/>
        </w:rPr>
      </w:pPr>
    </w:p>
    <w:p w:rsidR="00AE35C2" w:rsidRPr="00C926A8" w:rsidRDefault="00AE35C2" w:rsidP="000701AC">
      <w:pPr>
        <w:spacing w:after="0" w:line="240" w:lineRule="auto"/>
        <w:ind w:left="720" w:hanging="720"/>
        <w:rPr>
          <w:rFonts w:ascii="Arial" w:hAnsi="Arial" w:cs="Arial"/>
          <w:b/>
          <w:sz w:val="24"/>
          <w:szCs w:val="24"/>
        </w:rPr>
      </w:pPr>
      <w:r w:rsidRPr="00C926A8">
        <w:rPr>
          <w:rFonts w:ascii="Arial" w:hAnsi="Arial" w:cs="Arial"/>
          <w:b/>
          <w:sz w:val="24"/>
          <w:szCs w:val="24"/>
        </w:rPr>
        <w:t>Q.</w:t>
      </w:r>
      <w:r w:rsidR="00E40892" w:rsidRPr="00C926A8">
        <w:rPr>
          <w:rFonts w:ascii="Arial" w:hAnsi="Arial" w:cs="Arial"/>
          <w:b/>
          <w:sz w:val="24"/>
          <w:szCs w:val="24"/>
        </w:rPr>
        <w:t>20</w:t>
      </w:r>
      <w:r w:rsidRPr="00C926A8">
        <w:rPr>
          <w:rFonts w:ascii="Arial" w:hAnsi="Arial" w:cs="Arial"/>
          <w:b/>
          <w:sz w:val="24"/>
          <w:szCs w:val="24"/>
        </w:rPr>
        <w:t>:</w:t>
      </w:r>
      <w:r w:rsidRPr="00C926A8">
        <w:rPr>
          <w:rFonts w:ascii="Arial" w:hAnsi="Arial" w:cs="Arial"/>
          <w:b/>
          <w:sz w:val="24"/>
          <w:szCs w:val="24"/>
        </w:rPr>
        <w:tab/>
        <w:t>Section IX.F.14.b., page 64: Is there an alternative to providing requested market supply and demand conditions of the industry, and market fluctuations, which the applicant considers confidential and competitive business information?</w:t>
      </w:r>
    </w:p>
    <w:p w:rsidR="00AE35C2" w:rsidRPr="00C926A8" w:rsidRDefault="00AE35C2"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sz w:val="24"/>
          <w:szCs w:val="24"/>
        </w:rPr>
      </w:pPr>
      <w:r w:rsidRPr="00C926A8">
        <w:rPr>
          <w:rFonts w:ascii="Arial" w:hAnsi="Arial" w:cs="Arial"/>
          <w:sz w:val="24"/>
          <w:szCs w:val="24"/>
        </w:rPr>
        <w:t>A.</w:t>
      </w:r>
      <w:r w:rsidR="00E40892" w:rsidRPr="00C926A8">
        <w:rPr>
          <w:rFonts w:ascii="Arial" w:hAnsi="Arial" w:cs="Arial"/>
          <w:sz w:val="24"/>
          <w:szCs w:val="24"/>
        </w:rPr>
        <w:t>20</w:t>
      </w:r>
      <w:r w:rsidRPr="00C926A8">
        <w:rPr>
          <w:rFonts w:ascii="Arial" w:hAnsi="Arial" w:cs="Arial"/>
          <w:sz w:val="24"/>
          <w:szCs w:val="24"/>
        </w:rPr>
        <w:t>:</w:t>
      </w:r>
      <w:r w:rsidRPr="00C926A8">
        <w:rPr>
          <w:rFonts w:ascii="Arial" w:hAnsi="Arial" w:cs="Arial"/>
          <w:sz w:val="24"/>
          <w:szCs w:val="24"/>
        </w:rPr>
        <w:tab/>
      </w:r>
      <w:r w:rsidR="00E428E8">
        <w:rPr>
          <w:rFonts w:ascii="Arial" w:hAnsi="Arial" w:cs="Arial"/>
          <w:sz w:val="24"/>
          <w:szCs w:val="24"/>
        </w:rPr>
        <w:t xml:space="preserve">All assumptions supporting the </w:t>
      </w:r>
      <w:r w:rsidR="00FE333F">
        <w:rPr>
          <w:rFonts w:ascii="Arial" w:hAnsi="Arial" w:cs="Arial"/>
          <w:sz w:val="24"/>
          <w:szCs w:val="24"/>
        </w:rPr>
        <w:t>A</w:t>
      </w:r>
      <w:r w:rsidR="00E428E8">
        <w:rPr>
          <w:rFonts w:ascii="Arial" w:hAnsi="Arial" w:cs="Arial"/>
          <w:sz w:val="24"/>
          <w:szCs w:val="24"/>
        </w:rPr>
        <w:t xml:space="preserve">pplicant’s proforma statement should be listed. One example of an assumption is market supply and demand conditions of the industry. </w:t>
      </w:r>
      <w:r w:rsidR="00E428E8" w:rsidRPr="00D70730">
        <w:rPr>
          <w:rFonts w:ascii="Arial" w:hAnsi="Arial" w:cs="Arial"/>
          <w:sz w:val="24"/>
          <w:szCs w:val="24"/>
        </w:rPr>
        <w:t>The financial data requested from Applicants in this section will be kept confidential by the Energy Commission, pursuant to California Government Code sections 6254(k) and 6254.15</w:t>
      </w:r>
      <w:r w:rsidR="00E428E8">
        <w:rPr>
          <w:rFonts w:ascii="Arial" w:hAnsi="Arial" w:cs="Arial"/>
          <w:sz w:val="24"/>
          <w:szCs w:val="24"/>
        </w:rPr>
        <w:t xml:space="preserve"> for a period of 7 years,</w:t>
      </w:r>
      <w:r w:rsidR="00E428E8" w:rsidRPr="00D70730">
        <w:rPr>
          <w:rFonts w:ascii="Arial" w:hAnsi="Arial" w:cs="Arial"/>
          <w:sz w:val="24"/>
          <w:szCs w:val="24"/>
        </w:rPr>
        <w:t xml:space="preserve"> unless the Energy Commission is ordered to release it by a court or other entity with jurisdiction over the issue or the information otherwise becomes public. </w:t>
      </w:r>
      <w:r w:rsidR="00E428E8">
        <w:rPr>
          <w:rFonts w:ascii="Arial" w:hAnsi="Arial" w:cs="Arial"/>
          <w:sz w:val="24"/>
          <w:szCs w:val="24"/>
        </w:rPr>
        <w:t xml:space="preserve"> </w:t>
      </w:r>
      <w:r w:rsidRPr="00C926A8">
        <w:rPr>
          <w:rFonts w:ascii="Arial" w:hAnsi="Arial" w:cs="Arial"/>
          <w:sz w:val="24"/>
          <w:szCs w:val="24"/>
        </w:rPr>
        <w:t xml:space="preserve">Applicants should keep in mind that confidential information is requested to demonstrate the economic viability of the proposed project. </w:t>
      </w:r>
      <w:r w:rsidR="00E428E8">
        <w:rPr>
          <w:rFonts w:ascii="Arial" w:hAnsi="Arial" w:cs="Arial"/>
          <w:sz w:val="24"/>
          <w:szCs w:val="24"/>
        </w:rPr>
        <w:t xml:space="preserve">The information requested in </w:t>
      </w:r>
      <w:r w:rsidR="00E428E8" w:rsidRPr="00591959">
        <w:rPr>
          <w:rFonts w:ascii="Arial" w:hAnsi="Arial" w:cs="Arial"/>
          <w:sz w:val="24"/>
          <w:szCs w:val="24"/>
        </w:rPr>
        <w:t>Section IX.F.14. (a and b)</w:t>
      </w:r>
      <w:r w:rsidR="00E428E8">
        <w:rPr>
          <w:rFonts w:ascii="Arial" w:hAnsi="Arial" w:cs="Arial"/>
          <w:sz w:val="24"/>
          <w:szCs w:val="24"/>
        </w:rPr>
        <w:t xml:space="preserve"> will be used to evaluate the proposal under the “Financial Plan” Evaluation Criterion. Failure to provide the information </w:t>
      </w:r>
      <w:r w:rsidR="0054161E">
        <w:rPr>
          <w:rFonts w:ascii="Arial" w:hAnsi="Arial" w:cs="Arial"/>
          <w:sz w:val="24"/>
          <w:szCs w:val="24"/>
        </w:rPr>
        <w:t xml:space="preserve">and, for that in section (b), the assumptions on which it is based, </w:t>
      </w:r>
      <w:r w:rsidR="00E428E8">
        <w:rPr>
          <w:rFonts w:ascii="Arial" w:hAnsi="Arial" w:cs="Arial"/>
          <w:sz w:val="24"/>
          <w:szCs w:val="24"/>
        </w:rPr>
        <w:t xml:space="preserve">may negatively impact the </w:t>
      </w:r>
      <w:r w:rsidR="00FE333F">
        <w:rPr>
          <w:rFonts w:ascii="Arial" w:hAnsi="Arial" w:cs="Arial"/>
          <w:sz w:val="24"/>
          <w:szCs w:val="24"/>
        </w:rPr>
        <w:t>A</w:t>
      </w:r>
      <w:r w:rsidR="00E428E8">
        <w:rPr>
          <w:rFonts w:ascii="Arial" w:hAnsi="Arial" w:cs="Arial"/>
          <w:sz w:val="24"/>
          <w:szCs w:val="24"/>
        </w:rPr>
        <w:t>pplicant’s score.</w:t>
      </w:r>
      <w:r w:rsidR="0054161E">
        <w:rPr>
          <w:rFonts w:ascii="Arial" w:hAnsi="Arial" w:cs="Arial"/>
          <w:sz w:val="24"/>
          <w:szCs w:val="24"/>
        </w:rPr>
        <w:t xml:space="preserve"> </w:t>
      </w:r>
    </w:p>
    <w:p w:rsidR="00AE35C2" w:rsidRPr="00C926A8" w:rsidRDefault="00AE35C2"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b/>
          <w:sz w:val="24"/>
          <w:szCs w:val="24"/>
        </w:rPr>
      </w:pPr>
      <w:r w:rsidRPr="00C926A8">
        <w:rPr>
          <w:rFonts w:ascii="Arial" w:hAnsi="Arial" w:cs="Arial"/>
          <w:b/>
          <w:sz w:val="24"/>
          <w:szCs w:val="24"/>
        </w:rPr>
        <w:t>Q.</w:t>
      </w:r>
      <w:r w:rsidR="00E40892" w:rsidRPr="00C926A8">
        <w:rPr>
          <w:rFonts w:ascii="Arial" w:hAnsi="Arial" w:cs="Arial"/>
          <w:b/>
          <w:sz w:val="24"/>
          <w:szCs w:val="24"/>
        </w:rPr>
        <w:t>21</w:t>
      </w:r>
      <w:r w:rsidRPr="00C926A8">
        <w:rPr>
          <w:rFonts w:ascii="Arial" w:hAnsi="Arial" w:cs="Arial"/>
          <w:b/>
          <w:sz w:val="24"/>
          <w:szCs w:val="24"/>
        </w:rPr>
        <w:t>:</w:t>
      </w:r>
      <w:r w:rsidRPr="00C926A8">
        <w:rPr>
          <w:rFonts w:ascii="Arial" w:hAnsi="Arial" w:cs="Arial"/>
          <w:b/>
          <w:sz w:val="24"/>
          <w:szCs w:val="24"/>
        </w:rPr>
        <w:tab/>
        <w:t xml:space="preserve">Section IX.F.4.l, page 58: Is there any alternative available to an applicant to demonstrate the Applicant’s liability coverage, in lieu to providing a list of pending or filed litigation, which a corporation would consider highly sensitive and confidential, and may not necessarily provide any demonstration of applicant’s liability? Would either of the following options be acceptable to the Energy Commission: </w:t>
      </w:r>
    </w:p>
    <w:p w:rsidR="00AE35C2" w:rsidRPr="00C926A8" w:rsidRDefault="00AE35C2" w:rsidP="000701AC">
      <w:pPr>
        <w:pStyle w:val="ListParagraph"/>
        <w:numPr>
          <w:ilvl w:val="0"/>
          <w:numId w:val="16"/>
        </w:numPr>
        <w:spacing w:after="0" w:line="240" w:lineRule="auto"/>
        <w:rPr>
          <w:rFonts w:ascii="Arial" w:hAnsi="Arial" w:cs="Arial"/>
          <w:b/>
          <w:sz w:val="24"/>
          <w:szCs w:val="24"/>
        </w:rPr>
      </w:pPr>
      <w:r w:rsidRPr="00C926A8">
        <w:rPr>
          <w:rFonts w:ascii="Arial" w:hAnsi="Arial" w:cs="Arial"/>
          <w:b/>
          <w:sz w:val="24"/>
          <w:szCs w:val="24"/>
        </w:rPr>
        <w:t>Certification of the parent company’s credit rating</w:t>
      </w:r>
    </w:p>
    <w:p w:rsidR="00AE35C2" w:rsidRPr="00C926A8" w:rsidRDefault="00AE35C2" w:rsidP="000701AC">
      <w:pPr>
        <w:pStyle w:val="ListParagraph"/>
        <w:numPr>
          <w:ilvl w:val="0"/>
          <w:numId w:val="16"/>
        </w:numPr>
        <w:spacing w:after="0" w:line="240" w:lineRule="auto"/>
        <w:rPr>
          <w:rFonts w:ascii="Arial" w:hAnsi="Arial" w:cs="Arial"/>
          <w:b/>
          <w:sz w:val="24"/>
          <w:szCs w:val="24"/>
        </w:rPr>
      </w:pPr>
      <w:r w:rsidRPr="00C926A8">
        <w:rPr>
          <w:rFonts w:ascii="Arial" w:hAnsi="Arial" w:cs="Arial"/>
          <w:b/>
          <w:sz w:val="24"/>
          <w:szCs w:val="24"/>
        </w:rPr>
        <w:t>If a publicly traded company, the SEC filing and annual report?</w:t>
      </w:r>
    </w:p>
    <w:p w:rsidR="00AE35C2" w:rsidRPr="00C926A8" w:rsidRDefault="00AE35C2" w:rsidP="000701AC">
      <w:pPr>
        <w:spacing w:after="0" w:line="240" w:lineRule="auto"/>
        <w:rPr>
          <w:rFonts w:ascii="Arial" w:hAnsi="Arial" w:cs="Arial"/>
          <w:b/>
          <w:sz w:val="24"/>
          <w:szCs w:val="24"/>
        </w:rPr>
      </w:pPr>
    </w:p>
    <w:p w:rsidR="000421A5" w:rsidRPr="00E67C56" w:rsidRDefault="00AE35C2" w:rsidP="000421A5">
      <w:pPr>
        <w:spacing w:after="0" w:line="240" w:lineRule="auto"/>
        <w:ind w:left="720" w:hanging="720"/>
        <w:rPr>
          <w:rFonts w:ascii="Arial" w:hAnsi="Arial" w:cs="Arial"/>
          <w:sz w:val="24"/>
          <w:szCs w:val="24"/>
        </w:rPr>
      </w:pPr>
      <w:r w:rsidRPr="00C926A8">
        <w:rPr>
          <w:rFonts w:ascii="Arial" w:hAnsi="Arial" w:cs="Arial"/>
          <w:sz w:val="24"/>
          <w:szCs w:val="24"/>
        </w:rPr>
        <w:t>A.</w:t>
      </w:r>
      <w:r w:rsidR="00E40892" w:rsidRPr="00C926A8">
        <w:rPr>
          <w:rFonts w:ascii="Arial" w:hAnsi="Arial" w:cs="Arial"/>
          <w:sz w:val="24"/>
          <w:szCs w:val="24"/>
        </w:rPr>
        <w:t>21</w:t>
      </w:r>
      <w:r w:rsidRPr="00C926A8">
        <w:rPr>
          <w:rFonts w:ascii="Arial" w:hAnsi="Arial" w:cs="Arial"/>
          <w:sz w:val="24"/>
          <w:szCs w:val="24"/>
        </w:rPr>
        <w:t>:</w:t>
      </w:r>
      <w:r w:rsidRPr="00C926A8">
        <w:rPr>
          <w:rFonts w:ascii="Arial" w:hAnsi="Arial" w:cs="Arial"/>
          <w:sz w:val="24"/>
          <w:szCs w:val="24"/>
        </w:rPr>
        <w:tab/>
      </w:r>
      <w:r w:rsidR="002C3F86">
        <w:rPr>
          <w:rFonts w:ascii="Arial" w:hAnsi="Arial" w:cs="Arial"/>
          <w:sz w:val="24"/>
          <w:szCs w:val="24"/>
        </w:rPr>
        <w:t>Applicants should provide a business plan which includes all items listed under Section IX.F.4.l</w:t>
      </w:r>
      <w:r w:rsidR="000421A5">
        <w:rPr>
          <w:rFonts w:ascii="Arial" w:hAnsi="Arial" w:cs="Arial"/>
          <w:sz w:val="24"/>
          <w:szCs w:val="24"/>
        </w:rPr>
        <w:t>. The information requested in</w:t>
      </w:r>
      <w:r w:rsidR="00A97700">
        <w:rPr>
          <w:rFonts w:ascii="Arial" w:hAnsi="Arial" w:cs="Arial"/>
          <w:sz w:val="24"/>
          <w:szCs w:val="24"/>
        </w:rPr>
        <w:t xml:space="preserve"> </w:t>
      </w:r>
      <w:r w:rsidR="000421A5">
        <w:rPr>
          <w:rFonts w:ascii="Arial" w:hAnsi="Arial" w:cs="Arial"/>
          <w:sz w:val="24"/>
          <w:szCs w:val="24"/>
        </w:rPr>
        <w:t>this Section will be used to evaluate the proposal under the</w:t>
      </w:r>
      <w:r w:rsidR="001C4A72">
        <w:rPr>
          <w:rFonts w:ascii="Arial" w:hAnsi="Arial" w:cs="Arial"/>
          <w:sz w:val="24"/>
          <w:szCs w:val="24"/>
        </w:rPr>
        <w:t xml:space="preserve"> “Financial Plan” </w:t>
      </w:r>
      <w:r w:rsidR="000421A5">
        <w:rPr>
          <w:rFonts w:ascii="Arial" w:hAnsi="Arial" w:cs="Arial"/>
          <w:sz w:val="24"/>
          <w:szCs w:val="24"/>
        </w:rPr>
        <w:t xml:space="preserve">Evaluation Criterion. Failure to provide the information may negatively impact the applicant’s score. </w:t>
      </w:r>
    </w:p>
    <w:p w:rsidR="00AE35C2" w:rsidRDefault="00AE35C2" w:rsidP="000701AC">
      <w:pPr>
        <w:spacing w:after="0" w:line="240" w:lineRule="auto"/>
        <w:ind w:left="720" w:hanging="720"/>
        <w:rPr>
          <w:rFonts w:ascii="Arial" w:hAnsi="Arial" w:cs="Arial"/>
          <w:sz w:val="24"/>
          <w:szCs w:val="24"/>
        </w:rPr>
      </w:pPr>
      <w:r w:rsidRPr="00C926A8">
        <w:rPr>
          <w:rFonts w:ascii="Arial" w:hAnsi="Arial" w:cs="Arial"/>
          <w:sz w:val="24"/>
          <w:szCs w:val="24"/>
        </w:rPr>
        <w:t xml:space="preserve"> </w:t>
      </w:r>
    </w:p>
    <w:p w:rsidR="003920A8" w:rsidRDefault="003920A8" w:rsidP="000701AC">
      <w:pPr>
        <w:spacing w:after="0" w:line="240" w:lineRule="auto"/>
        <w:ind w:left="720" w:hanging="720"/>
        <w:rPr>
          <w:rFonts w:ascii="Arial" w:hAnsi="Arial" w:cs="Arial"/>
          <w:sz w:val="24"/>
          <w:szCs w:val="24"/>
        </w:rPr>
      </w:pPr>
    </w:p>
    <w:p w:rsidR="003920A8" w:rsidRPr="00C926A8" w:rsidRDefault="003920A8" w:rsidP="000701AC">
      <w:pPr>
        <w:spacing w:after="0" w:line="240" w:lineRule="auto"/>
        <w:ind w:left="720" w:hanging="720"/>
        <w:rPr>
          <w:rFonts w:ascii="Arial" w:hAnsi="Arial" w:cs="Arial"/>
          <w:sz w:val="24"/>
          <w:szCs w:val="24"/>
        </w:rPr>
      </w:pPr>
    </w:p>
    <w:p w:rsidR="00AE35C2" w:rsidRPr="00C926A8" w:rsidRDefault="00AE35C2" w:rsidP="000701AC">
      <w:pPr>
        <w:spacing w:after="0" w:line="240" w:lineRule="auto"/>
        <w:ind w:left="720" w:hanging="720"/>
        <w:rPr>
          <w:rFonts w:ascii="Arial" w:hAnsi="Arial" w:cs="Arial"/>
          <w:b/>
          <w:sz w:val="24"/>
          <w:szCs w:val="24"/>
        </w:rPr>
      </w:pPr>
    </w:p>
    <w:p w:rsidR="00AE35C2" w:rsidRPr="00C926A8" w:rsidRDefault="00AE35C2" w:rsidP="000701AC">
      <w:pPr>
        <w:spacing w:after="0" w:line="240" w:lineRule="auto"/>
        <w:ind w:left="720" w:hanging="720"/>
        <w:rPr>
          <w:rFonts w:ascii="Arial" w:hAnsi="Arial" w:cs="Arial"/>
          <w:b/>
          <w:i/>
          <w:sz w:val="24"/>
          <w:szCs w:val="24"/>
          <w:u w:val="single"/>
        </w:rPr>
      </w:pPr>
      <w:r w:rsidRPr="00C926A8">
        <w:rPr>
          <w:rFonts w:ascii="Arial" w:hAnsi="Arial" w:cs="Arial"/>
          <w:b/>
          <w:i/>
          <w:sz w:val="24"/>
          <w:szCs w:val="24"/>
          <w:u w:val="single"/>
        </w:rPr>
        <w:t>CHIT</w:t>
      </w:r>
    </w:p>
    <w:p w:rsidR="00AE35C2" w:rsidRPr="00C926A8" w:rsidRDefault="00AE35C2" w:rsidP="000701AC">
      <w:pPr>
        <w:spacing w:after="0" w:line="240" w:lineRule="auto"/>
        <w:ind w:left="720" w:hanging="720"/>
        <w:rPr>
          <w:rFonts w:ascii="Arial" w:hAnsi="Arial" w:cs="Arial"/>
          <w:b/>
          <w:i/>
          <w:sz w:val="24"/>
          <w:szCs w:val="24"/>
          <w:u w:val="single"/>
        </w:rPr>
      </w:pPr>
    </w:p>
    <w:p w:rsidR="001F34A0" w:rsidRPr="00C926A8" w:rsidRDefault="001F34A0" w:rsidP="000701AC">
      <w:pPr>
        <w:spacing w:after="0" w:line="240" w:lineRule="auto"/>
        <w:ind w:left="720" w:hanging="720"/>
        <w:rPr>
          <w:rFonts w:ascii="Arial" w:hAnsi="Arial" w:cs="Arial"/>
          <w:b/>
          <w:sz w:val="24"/>
          <w:szCs w:val="24"/>
        </w:rPr>
      </w:pPr>
      <w:r w:rsidRPr="00C926A8">
        <w:rPr>
          <w:rFonts w:ascii="Arial" w:hAnsi="Arial" w:cs="Arial"/>
          <w:b/>
          <w:sz w:val="24"/>
          <w:szCs w:val="24"/>
        </w:rPr>
        <w:t>Q.22:</w:t>
      </w:r>
      <w:r w:rsidRPr="00C926A8">
        <w:rPr>
          <w:rFonts w:ascii="Arial" w:hAnsi="Arial" w:cs="Arial"/>
          <w:b/>
          <w:sz w:val="24"/>
          <w:szCs w:val="24"/>
        </w:rPr>
        <w:tab/>
        <w:t>Please clarify the ranges of values shown for Location Value, Capacity Value, and Capacity Need on the CHIT online map. Also, please provide guidance for interpreting Location and Capacity Values provided both through the CHIT online map and through correspondence with the Air Resources Board.</w:t>
      </w:r>
    </w:p>
    <w:p w:rsidR="001F34A0" w:rsidRPr="00C926A8" w:rsidRDefault="001F34A0" w:rsidP="000701AC">
      <w:pPr>
        <w:spacing w:after="0" w:line="240" w:lineRule="auto"/>
        <w:ind w:left="720" w:hanging="720"/>
        <w:rPr>
          <w:rFonts w:ascii="Arial" w:hAnsi="Arial" w:cs="Arial"/>
          <w:b/>
          <w:sz w:val="24"/>
          <w:szCs w:val="24"/>
        </w:rPr>
      </w:pPr>
    </w:p>
    <w:p w:rsidR="001F34A0" w:rsidRPr="00C926A8" w:rsidRDefault="001F34A0" w:rsidP="000701AC">
      <w:pPr>
        <w:spacing w:after="0" w:line="240" w:lineRule="auto"/>
        <w:ind w:left="720" w:hanging="720"/>
        <w:rPr>
          <w:rFonts w:ascii="Arial" w:hAnsi="Arial" w:cs="Arial"/>
          <w:sz w:val="24"/>
          <w:szCs w:val="24"/>
        </w:rPr>
      </w:pPr>
      <w:r w:rsidRPr="00C926A8">
        <w:rPr>
          <w:rFonts w:ascii="Arial" w:hAnsi="Arial" w:cs="Arial"/>
          <w:sz w:val="24"/>
          <w:szCs w:val="24"/>
        </w:rPr>
        <w:t>A.22:</w:t>
      </w:r>
      <w:r w:rsidRPr="00C926A8">
        <w:rPr>
          <w:rFonts w:ascii="Arial" w:hAnsi="Arial" w:cs="Arial"/>
          <w:sz w:val="24"/>
          <w:szCs w:val="24"/>
        </w:rPr>
        <w:tab/>
        <w:t>On the topic of ranges:</w:t>
      </w:r>
    </w:p>
    <w:p w:rsidR="001F34A0" w:rsidRPr="00C926A8" w:rsidRDefault="001F34A0" w:rsidP="000701AC">
      <w:pPr>
        <w:spacing w:after="0" w:line="240" w:lineRule="auto"/>
        <w:ind w:left="720"/>
        <w:rPr>
          <w:rFonts w:ascii="Arial" w:hAnsi="Arial" w:cs="Arial"/>
          <w:sz w:val="24"/>
          <w:szCs w:val="24"/>
          <w:u w:val="single"/>
        </w:rPr>
      </w:pPr>
    </w:p>
    <w:p w:rsidR="001F34A0" w:rsidRPr="00C926A8" w:rsidRDefault="001F34A0" w:rsidP="000701AC">
      <w:pPr>
        <w:spacing w:after="0" w:line="240" w:lineRule="auto"/>
        <w:ind w:left="720"/>
        <w:rPr>
          <w:rFonts w:ascii="Arial" w:hAnsi="Arial" w:cs="Arial"/>
          <w:sz w:val="24"/>
          <w:szCs w:val="24"/>
        </w:rPr>
      </w:pPr>
      <w:r w:rsidRPr="00C926A8">
        <w:rPr>
          <w:rFonts w:ascii="Arial" w:hAnsi="Arial" w:cs="Arial"/>
          <w:sz w:val="24"/>
          <w:szCs w:val="24"/>
          <w:u w:val="single"/>
        </w:rPr>
        <w:t>Location Value:</w:t>
      </w:r>
      <w:r w:rsidRPr="00C926A8">
        <w:rPr>
          <w:rFonts w:ascii="Arial" w:hAnsi="Arial" w:cs="Arial"/>
          <w:sz w:val="24"/>
          <w:szCs w:val="24"/>
        </w:rPr>
        <w:t xml:space="preserve"> Location Value measures the degree to which coverage provided by existing and funded stations meets ARB’s assessment of local potential for the FCEV early adopter market. A high value indicates that the strong potential for a local first adopter FCEV market that is not met with a correspondingly high degree of coverage. The coverage gap is therefore high, which means that the area has a higher priority for a new station. A lower value means that the market is well-served by the existing network coverage or that the strength of the local FCEV first adopter market potential is not very high. Location Values range from 0 to 1. </w:t>
      </w:r>
    </w:p>
    <w:p w:rsidR="001F34A0" w:rsidRPr="00C926A8" w:rsidRDefault="001F34A0" w:rsidP="000701AC">
      <w:pPr>
        <w:spacing w:after="0" w:line="240" w:lineRule="auto"/>
        <w:ind w:left="720"/>
        <w:rPr>
          <w:rFonts w:ascii="Arial" w:hAnsi="Arial" w:cs="Arial"/>
          <w:sz w:val="24"/>
          <w:szCs w:val="24"/>
          <w:u w:val="single"/>
        </w:rPr>
      </w:pPr>
    </w:p>
    <w:p w:rsidR="001F34A0" w:rsidRPr="00C926A8" w:rsidRDefault="001F34A0" w:rsidP="000701AC">
      <w:pPr>
        <w:spacing w:after="0" w:line="240" w:lineRule="auto"/>
        <w:ind w:left="720"/>
        <w:rPr>
          <w:rFonts w:ascii="Arial" w:hAnsi="Arial" w:cs="Arial"/>
          <w:sz w:val="24"/>
          <w:szCs w:val="24"/>
        </w:rPr>
      </w:pPr>
      <w:r w:rsidRPr="00C926A8">
        <w:rPr>
          <w:rFonts w:ascii="Arial" w:hAnsi="Arial" w:cs="Arial"/>
          <w:sz w:val="24"/>
          <w:szCs w:val="24"/>
          <w:u w:val="single"/>
        </w:rPr>
        <w:t>Capacity Value:</w:t>
      </w:r>
      <w:r w:rsidRPr="00C926A8">
        <w:rPr>
          <w:rFonts w:ascii="Arial" w:hAnsi="Arial" w:cs="Arial"/>
          <w:sz w:val="24"/>
          <w:szCs w:val="24"/>
        </w:rPr>
        <w:t xml:space="preserve"> Capacity Value measures the degree to which a proposed station’s nameplate daily capacity is appropriate for the projected FCEV first adopter market’s likely daily consumption. Capacity values are directly dependent on an assessment of the market potential in an area and the applicant’s indicated nameplate capacity; therefore, capacity values are provided in the online map for only two example cases: 180 kg/day and 350 kg/day nameplate capacities. Capacity values range from 0 to 1, with values closer to 1 indicating more appropriate match between the proposed station nameplate capacity and the calculated need. </w:t>
      </w:r>
    </w:p>
    <w:p w:rsidR="001F34A0" w:rsidRPr="00C926A8" w:rsidRDefault="001F34A0" w:rsidP="000701AC">
      <w:pPr>
        <w:spacing w:after="0" w:line="240" w:lineRule="auto"/>
        <w:ind w:left="720"/>
        <w:rPr>
          <w:rFonts w:ascii="Arial" w:hAnsi="Arial" w:cs="Arial"/>
          <w:sz w:val="24"/>
          <w:szCs w:val="24"/>
          <w:u w:val="single"/>
        </w:rPr>
      </w:pPr>
    </w:p>
    <w:p w:rsidR="001F34A0" w:rsidRPr="00C926A8" w:rsidRDefault="001F34A0" w:rsidP="000701AC">
      <w:pPr>
        <w:spacing w:after="0" w:line="240" w:lineRule="auto"/>
        <w:ind w:left="720"/>
        <w:rPr>
          <w:rFonts w:ascii="Arial" w:hAnsi="Arial" w:cs="Arial"/>
          <w:sz w:val="24"/>
          <w:szCs w:val="24"/>
        </w:rPr>
      </w:pPr>
      <w:r w:rsidRPr="00C926A8">
        <w:rPr>
          <w:rFonts w:ascii="Arial" w:hAnsi="Arial" w:cs="Arial"/>
          <w:sz w:val="24"/>
          <w:szCs w:val="24"/>
          <w:u w:val="single"/>
        </w:rPr>
        <w:t>Capacity Need:</w:t>
      </w:r>
      <w:r w:rsidRPr="00C926A8">
        <w:rPr>
          <w:rFonts w:ascii="Arial" w:hAnsi="Arial" w:cs="Arial"/>
          <w:sz w:val="24"/>
          <w:szCs w:val="24"/>
        </w:rPr>
        <w:t xml:space="preserve">  Capacity need is determined by ARB’s assessment of FCEV early adopter market potential. It is based on distributing ARB’s projected 34,300 vehicles in 2021 across the entire state according to market potential and population density. Local capacity need is determined by defining local market areas and calculating the difference between existing hydrogen fueling capacity and the demand from the assumed vehicles. Local capacity need ranges from 0 kg/day to 2168 kg/day. </w:t>
      </w:r>
    </w:p>
    <w:p w:rsidR="001F34A0" w:rsidRPr="00C926A8" w:rsidRDefault="001F34A0" w:rsidP="000701AC">
      <w:pPr>
        <w:spacing w:after="0" w:line="240" w:lineRule="auto"/>
        <w:ind w:left="720"/>
        <w:rPr>
          <w:rFonts w:ascii="Arial" w:hAnsi="Arial" w:cs="Arial"/>
          <w:sz w:val="24"/>
          <w:szCs w:val="24"/>
        </w:rPr>
      </w:pPr>
    </w:p>
    <w:p w:rsidR="001F34A0" w:rsidRPr="00C926A8" w:rsidRDefault="001F34A0" w:rsidP="000701AC">
      <w:pPr>
        <w:spacing w:after="0" w:line="240" w:lineRule="auto"/>
        <w:ind w:left="720"/>
        <w:rPr>
          <w:rFonts w:ascii="Arial" w:hAnsi="Arial" w:cs="Arial"/>
          <w:sz w:val="24"/>
          <w:szCs w:val="24"/>
        </w:rPr>
      </w:pPr>
      <w:r w:rsidRPr="00C926A8">
        <w:rPr>
          <w:rFonts w:ascii="Arial" w:hAnsi="Arial" w:cs="Arial"/>
          <w:sz w:val="24"/>
          <w:szCs w:val="24"/>
        </w:rPr>
        <w:t>On the topic of interpretation:</w:t>
      </w:r>
    </w:p>
    <w:p w:rsidR="001F34A0" w:rsidRPr="00C926A8" w:rsidRDefault="001F34A0" w:rsidP="000701AC">
      <w:pPr>
        <w:spacing w:after="0" w:line="240" w:lineRule="auto"/>
        <w:ind w:left="720"/>
        <w:rPr>
          <w:rFonts w:ascii="Arial" w:hAnsi="Arial" w:cs="Arial"/>
          <w:sz w:val="24"/>
          <w:szCs w:val="24"/>
        </w:rPr>
      </w:pPr>
    </w:p>
    <w:p w:rsidR="001F34A0" w:rsidRPr="001F34A0" w:rsidRDefault="00591959" w:rsidP="00591959">
      <w:pPr>
        <w:spacing w:after="0" w:line="240" w:lineRule="auto"/>
        <w:ind w:left="720"/>
        <w:rPr>
          <w:rFonts w:ascii="Arial" w:hAnsi="Arial" w:cs="Arial"/>
          <w:sz w:val="24"/>
          <w:szCs w:val="24"/>
        </w:rPr>
      </w:pPr>
      <w:r w:rsidRPr="00591959">
        <w:rPr>
          <w:rFonts w:ascii="Arial" w:hAnsi="Arial" w:cs="Arial"/>
          <w:sz w:val="24"/>
          <w:szCs w:val="24"/>
        </w:rPr>
        <w:t>High CHIT Station Coverage Values and high CHIT Station Capacity Values demonstrate (in part) the coverage, capacity and market viability of the proposed station and will be evaluated as part  of the “Coverage, Capacity and Market V</w:t>
      </w:r>
      <w:r>
        <w:rPr>
          <w:rFonts w:ascii="Arial" w:hAnsi="Arial" w:cs="Arial"/>
          <w:sz w:val="24"/>
          <w:szCs w:val="24"/>
        </w:rPr>
        <w:t>iability” Evaluation Criterion.</w:t>
      </w:r>
    </w:p>
    <w:sectPr w:rsidR="001F34A0" w:rsidRPr="001F34A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9B" w:rsidRDefault="00201E9B" w:rsidP="002644F4">
      <w:pPr>
        <w:spacing w:after="0" w:line="240" w:lineRule="auto"/>
      </w:pPr>
      <w:r>
        <w:separator/>
      </w:r>
    </w:p>
  </w:endnote>
  <w:endnote w:type="continuationSeparator" w:id="0">
    <w:p w:rsidR="00201E9B" w:rsidRDefault="00201E9B" w:rsidP="002644F4">
      <w:pPr>
        <w:spacing w:after="0" w:line="240" w:lineRule="auto"/>
      </w:pPr>
      <w:r>
        <w:continuationSeparator/>
      </w:r>
    </w:p>
  </w:endnote>
  <w:endnote w:type="continuationNotice" w:id="1">
    <w:p w:rsidR="00201E9B" w:rsidRDefault="00201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183" w:rsidRDefault="00BD6183">
    <w:pPr>
      <w:pStyle w:val="Footer"/>
      <w:rPr>
        <w:rFonts w:ascii="Arial" w:hAnsi="Arial" w:cs="Arial"/>
        <w:noProof/>
      </w:rPr>
    </w:pPr>
    <w:r w:rsidRPr="002644F4">
      <w:rPr>
        <w:rFonts w:ascii="Arial" w:hAnsi="Arial" w:cs="Arial"/>
      </w:rPr>
      <w:t xml:space="preserve">Questions and </w:t>
    </w:r>
    <w:r>
      <w:rPr>
        <w:rFonts w:ascii="Arial" w:hAnsi="Arial" w:cs="Arial"/>
      </w:rPr>
      <w:t>Answers</w:t>
    </w:r>
    <w:r w:rsidR="00EA7BA8">
      <w:rPr>
        <w:rFonts w:ascii="Arial" w:hAnsi="Arial" w:cs="Arial"/>
      </w:rPr>
      <w:t xml:space="preserve"> #2</w:t>
    </w:r>
    <w:r>
      <w:rPr>
        <w:rFonts w:ascii="Arial" w:hAnsi="Arial" w:cs="Arial"/>
      </w:rPr>
      <w:tab/>
    </w:r>
    <w:r w:rsidRPr="0097333D">
      <w:rPr>
        <w:rFonts w:ascii="Arial" w:hAnsi="Arial" w:cs="Arial"/>
      </w:rPr>
      <w:t xml:space="preserve">Page </w:t>
    </w:r>
    <w:r w:rsidRPr="0097333D">
      <w:rPr>
        <w:rFonts w:ascii="Arial" w:hAnsi="Arial" w:cs="Arial"/>
      </w:rPr>
      <w:fldChar w:fldCharType="begin"/>
    </w:r>
    <w:r w:rsidRPr="0097333D">
      <w:rPr>
        <w:rFonts w:ascii="Arial" w:hAnsi="Arial" w:cs="Arial"/>
      </w:rPr>
      <w:instrText xml:space="preserve"> PAGE  \* Arabic  \* MERGEFORMAT </w:instrText>
    </w:r>
    <w:r w:rsidRPr="0097333D">
      <w:rPr>
        <w:rFonts w:ascii="Arial" w:hAnsi="Arial" w:cs="Arial"/>
      </w:rPr>
      <w:fldChar w:fldCharType="separate"/>
    </w:r>
    <w:r w:rsidR="00BF5F53">
      <w:rPr>
        <w:rFonts w:ascii="Arial" w:hAnsi="Arial" w:cs="Arial"/>
        <w:noProof/>
      </w:rPr>
      <w:t>1</w:t>
    </w:r>
    <w:r w:rsidRPr="0097333D">
      <w:rPr>
        <w:rFonts w:ascii="Arial" w:hAnsi="Arial" w:cs="Arial"/>
      </w:rPr>
      <w:fldChar w:fldCharType="end"/>
    </w:r>
    <w:r w:rsidR="005E21BE">
      <w:rPr>
        <w:rFonts w:ascii="Arial" w:hAnsi="Arial" w:cs="Arial"/>
      </w:rPr>
      <w:t xml:space="preserve"> of </w:t>
    </w:r>
    <w:r w:rsidR="00A1565E">
      <w:rPr>
        <w:rFonts w:ascii="Arial" w:hAnsi="Arial" w:cs="Arial"/>
      </w:rPr>
      <w:t>7</w:t>
    </w:r>
    <w:r>
      <w:rPr>
        <w:rFonts w:ascii="Arial" w:hAnsi="Arial" w:cs="Arial"/>
        <w:noProof/>
      </w:rPr>
      <w:tab/>
      <w:t>LD Vehicle H</w:t>
    </w:r>
    <w:r w:rsidRPr="002644F4">
      <w:rPr>
        <w:rFonts w:ascii="Arial" w:hAnsi="Arial" w:cs="Arial"/>
        <w:noProof/>
        <w:vertAlign w:val="subscript"/>
      </w:rPr>
      <w:t>2</w:t>
    </w:r>
    <w:r>
      <w:rPr>
        <w:rFonts w:ascii="Arial" w:hAnsi="Arial" w:cs="Arial"/>
        <w:noProof/>
      </w:rPr>
      <w:t xml:space="preserve"> Refueling Infrastructure</w:t>
    </w:r>
  </w:p>
  <w:p w:rsidR="00BD6183" w:rsidRPr="002644F4" w:rsidRDefault="00815718">
    <w:pPr>
      <w:pStyle w:val="Footer"/>
      <w:rPr>
        <w:rFonts w:ascii="Arial" w:hAnsi="Arial" w:cs="Arial"/>
        <w:noProof/>
      </w:rPr>
    </w:pPr>
    <w:r>
      <w:rPr>
        <w:rFonts w:ascii="Arial" w:hAnsi="Arial" w:cs="Arial"/>
        <w:noProof/>
      </w:rPr>
      <w:fldChar w:fldCharType="begin"/>
    </w:r>
    <w:r>
      <w:rPr>
        <w:rFonts w:ascii="Arial" w:hAnsi="Arial" w:cs="Arial"/>
        <w:noProof/>
      </w:rPr>
      <w:instrText xml:space="preserve"> DATE \@ "M/d/yyyy" </w:instrText>
    </w:r>
    <w:r>
      <w:rPr>
        <w:rFonts w:ascii="Arial" w:hAnsi="Arial" w:cs="Arial"/>
        <w:noProof/>
      </w:rPr>
      <w:fldChar w:fldCharType="separate"/>
    </w:r>
    <w:r w:rsidR="00BF5F53">
      <w:rPr>
        <w:rFonts w:ascii="Arial" w:hAnsi="Arial" w:cs="Arial"/>
        <w:noProof/>
      </w:rPr>
      <w:t>7/7/2016</w:t>
    </w:r>
    <w:r>
      <w:rPr>
        <w:rFonts w:ascii="Arial" w:hAnsi="Arial" w:cs="Arial"/>
        <w:noProof/>
      </w:rPr>
      <w:fldChar w:fldCharType="end"/>
    </w:r>
    <w:r w:rsidR="00BD6183">
      <w:rPr>
        <w:rFonts w:ascii="Arial" w:hAnsi="Arial" w:cs="Arial"/>
        <w:noProof/>
      </w:rPr>
      <w:tab/>
    </w:r>
    <w:r w:rsidR="00BD6183">
      <w:rPr>
        <w:rFonts w:ascii="Arial" w:hAnsi="Arial" w:cs="Arial"/>
        <w:noProof/>
      </w:rPr>
      <w:tab/>
      <w:t>GFO-15-605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9B" w:rsidRDefault="00201E9B" w:rsidP="002644F4">
      <w:pPr>
        <w:spacing w:after="0" w:line="240" w:lineRule="auto"/>
      </w:pPr>
      <w:r>
        <w:separator/>
      </w:r>
    </w:p>
  </w:footnote>
  <w:footnote w:type="continuationSeparator" w:id="0">
    <w:p w:rsidR="00201E9B" w:rsidRDefault="00201E9B" w:rsidP="002644F4">
      <w:pPr>
        <w:spacing w:after="0" w:line="240" w:lineRule="auto"/>
      </w:pPr>
      <w:r>
        <w:continuationSeparator/>
      </w:r>
    </w:p>
  </w:footnote>
  <w:footnote w:type="continuationNotice" w:id="1">
    <w:p w:rsidR="00201E9B" w:rsidRDefault="00201E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F6C"/>
    <w:multiLevelType w:val="hybridMultilevel"/>
    <w:tmpl w:val="9D484D7A"/>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CD44706"/>
    <w:multiLevelType w:val="hybridMultilevel"/>
    <w:tmpl w:val="26BA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0061D"/>
    <w:multiLevelType w:val="hybridMultilevel"/>
    <w:tmpl w:val="1A9EA6D6"/>
    <w:lvl w:ilvl="0" w:tplc="AEB6F6D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003C1"/>
    <w:multiLevelType w:val="hybridMultilevel"/>
    <w:tmpl w:val="5E92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164F8"/>
    <w:multiLevelType w:val="hybridMultilevel"/>
    <w:tmpl w:val="1BA88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8FB"/>
    <w:multiLevelType w:val="hybridMultilevel"/>
    <w:tmpl w:val="D66EE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20754"/>
    <w:multiLevelType w:val="hybridMultilevel"/>
    <w:tmpl w:val="826E3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4112F8"/>
    <w:multiLevelType w:val="hybridMultilevel"/>
    <w:tmpl w:val="BA48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7FF56B0"/>
    <w:multiLevelType w:val="hybridMultilevel"/>
    <w:tmpl w:val="DAA8F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00D21"/>
    <w:multiLevelType w:val="hybridMultilevel"/>
    <w:tmpl w:val="DE32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91F60"/>
    <w:multiLevelType w:val="hybridMultilevel"/>
    <w:tmpl w:val="C88AEC88"/>
    <w:lvl w:ilvl="0" w:tplc="70B8DC8A">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63D0C"/>
    <w:multiLevelType w:val="hybridMultilevel"/>
    <w:tmpl w:val="795A137E"/>
    <w:lvl w:ilvl="0" w:tplc="70B8DC8A">
      <w:numFmt w:val="bullet"/>
      <w:lvlText w:val=""/>
      <w:lvlJc w:val="left"/>
      <w:pPr>
        <w:ind w:left="1440" w:hanging="360"/>
      </w:pPr>
      <w:rPr>
        <w:rFonts w:ascii="Symbol" w:eastAsiaTheme="minorEastAsia"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E83275"/>
    <w:multiLevelType w:val="hybridMultilevel"/>
    <w:tmpl w:val="09127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D49BF"/>
    <w:multiLevelType w:val="hybridMultilevel"/>
    <w:tmpl w:val="D882701A"/>
    <w:lvl w:ilvl="0" w:tplc="FEBE4FA8">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39C67A4"/>
    <w:multiLevelType w:val="hybridMultilevel"/>
    <w:tmpl w:val="2514FA0C"/>
    <w:lvl w:ilvl="0" w:tplc="70B8DC8A">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214DAC"/>
    <w:multiLevelType w:val="hybridMultilevel"/>
    <w:tmpl w:val="EBF2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8"/>
  </w:num>
  <w:num w:numId="6">
    <w:abstractNumId w:val="12"/>
  </w:num>
  <w:num w:numId="7">
    <w:abstractNumId w:val="0"/>
  </w:num>
  <w:num w:numId="8">
    <w:abstractNumId w:val="4"/>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0"/>
  </w:num>
  <w:num w:numId="14">
    <w:abstractNumId w:val="1"/>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E0"/>
    <w:rsid w:val="00001EA3"/>
    <w:rsid w:val="00012466"/>
    <w:rsid w:val="00014619"/>
    <w:rsid w:val="0002165A"/>
    <w:rsid w:val="000228D1"/>
    <w:rsid w:val="00034008"/>
    <w:rsid w:val="00034FF2"/>
    <w:rsid w:val="00035C62"/>
    <w:rsid w:val="000421A5"/>
    <w:rsid w:val="00042F31"/>
    <w:rsid w:val="00045651"/>
    <w:rsid w:val="00045900"/>
    <w:rsid w:val="00051EED"/>
    <w:rsid w:val="000520D6"/>
    <w:rsid w:val="00053B79"/>
    <w:rsid w:val="000545E6"/>
    <w:rsid w:val="00062CD7"/>
    <w:rsid w:val="000650D7"/>
    <w:rsid w:val="0006631F"/>
    <w:rsid w:val="000701AC"/>
    <w:rsid w:val="00076E62"/>
    <w:rsid w:val="0008578D"/>
    <w:rsid w:val="000865DF"/>
    <w:rsid w:val="000903C9"/>
    <w:rsid w:val="00090E16"/>
    <w:rsid w:val="000929DA"/>
    <w:rsid w:val="00096E10"/>
    <w:rsid w:val="000A44E2"/>
    <w:rsid w:val="000B241D"/>
    <w:rsid w:val="000B2C93"/>
    <w:rsid w:val="000B68E0"/>
    <w:rsid w:val="000B7F3A"/>
    <w:rsid w:val="000C1412"/>
    <w:rsid w:val="000C1804"/>
    <w:rsid w:val="000D120A"/>
    <w:rsid w:val="000D2D7F"/>
    <w:rsid w:val="000D50D7"/>
    <w:rsid w:val="000D6F17"/>
    <w:rsid w:val="000D72D1"/>
    <w:rsid w:val="000E4D97"/>
    <w:rsid w:val="000F3FA5"/>
    <w:rsid w:val="000F478C"/>
    <w:rsid w:val="00101FA5"/>
    <w:rsid w:val="00103081"/>
    <w:rsid w:val="001033E1"/>
    <w:rsid w:val="0010518E"/>
    <w:rsid w:val="0010571F"/>
    <w:rsid w:val="00124BE6"/>
    <w:rsid w:val="001268D2"/>
    <w:rsid w:val="00130CFC"/>
    <w:rsid w:val="001346E1"/>
    <w:rsid w:val="00137A1E"/>
    <w:rsid w:val="0014134D"/>
    <w:rsid w:val="0014512D"/>
    <w:rsid w:val="001533C9"/>
    <w:rsid w:val="001537CF"/>
    <w:rsid w:val="00156CC3"/>
    <w:rsid w:val="00161058"/>
    <w:rsid w:val="001621C4"/>
    <w:rsid w:val="00163891"/>
    <w:rsid w:val="00163AEE"/>
    <w:rsid w:val="001714F1"/>
    <w:rsid w:val="00171BD2"/>
    <w:rsid w:val="00171ED0"/>
    <w:rsid w:val="001732DC"/>
    <w:rsid w:val="00177945"/>
    <w:rsid w:val="00193ADB"/>
    <w:rsid w:val="001A2EAE"/>
    <w:rsid w:val="001A43DF"/>
    <w:rsid w:val="001A5FB7"/>
    <w:rsid w:val="001B6AA9"/>
    <w:rsid w:val="001C1B95"/>
    <w:rsid w:val="001C1E26"/>
    <w:rsid w:val="001C2A98"/>
    <w:rsid w:val="001C4A72"/>
    <w:rsid w:val="001C6414"/>
    <w:rsid w:val="001C6A9A"/>
    <w:rsid w:val="001C6FC3"/>
    <w:rsid w:val="001D1562"/>
    <w:rsid w:val="001D21E5"/>
    <w:rsid w:val="001D2868"/>
    <w:rsid w:val="001D613E"/>
    <w:rsid w:val="001E1050"/>
    <w:rsid w:val="001E122B"/>
    <w:rsid w:val="001E3A2E"/>
    <w:rsid w:val="001E7636"/>
    <w:rsid w:val="001F1922"/>
    <w:rsid w:val="001F34A0"/>
    <w:rsid w:val="001F39B4"/>
    <w:rsid w:val="001F716F"/>
    <w:rsid w:val="00201769"/>
    <w:rsid w:val="00201E9B"/>
    <w:rsid w:val="002021BB"/>
    <w:rsid w:val="002035A2"/>
    <w:rsid w:val="00210DBE"/>
    <w:rsid w:val="002112CC"/>
    <w:rsid w:val="0021361A"/>
    <w:rsid w:val="00216AE2"/>
    <w:rsid w:val="00220B40"/>
    <w:rsid w:val="0022363F"/>
    <w:rsid w:val="00223E27"/>
    <w:rsid w:val="00224C21"/>
    <w:rsid w:val="00226091"/>
    <w:rsid w:val="00241BA9"/>
    <w:rsid w:val="002422A3"/>
    <w:rsid w:val="0024459E"/>
    <w:rsid w:val="0024657B"/>
    <w:rsid w:val="00246805"/>
    <w:rsid w:val="00252430"/>
    <w:rsid w:val="00260DC5"/>
    <w:rsid w:val="00261D89"/>
    <w:rsid w:val="00262D15"/>
    <w:rsid w:val="0026382E"/>
    <w:rsid w:val="002644F4"/>
    <w:rsid w:val="002754E9"/>
    <w:rsid w:val="00275E55"/>
    <w:rsid w:val="00277673"/>
    <w:rsid w:val="00285F51"/>
    <w:rsid w:val="00286A8A"/>
    <w:rsid w:val="00291F9E"/>
    <w:rsid w:val="00292533"/>
    <w:rsid w:val="002967AC"/>
    <w:rsid w:val="002A46C4"/>
    <w:rsid w:val="002A5236"/>
    <w:rsid w:val="002A6D97"/>
    <w:rsid w:val="002A6E15"/>
    <w:rsid w:val="002B1026"/>
    <w:rsid w:val="002B616C"/>
    <w:rsid w:val="002B6483"/>
    <w:rsid w:val="002C076A"/>
    <w:rsid w:val="002C1E57"/>
    <w:rsid w:val="002C3F86"/>
    <w:rsid w:val="002C75C1"/>
    <w:rsid w:val="002D7726"/>
    <w:rsid w:val="002E71EA"/>
    <w:rsid w:val="002F3EEB"/>
    <w:rsid w:val="002F58F7"/>
    <w:rsid w:val="002F7425"/>
    <w:rsid w:val="002F7D19"/>
    <w:rsid w:val="003021DB"/>
    <w:rsid w:val="0030601F"/>
    <w:rsid w:val="0031194A"/>
    <w:rsid w:val="00311E13"/>
    <w:rsid w:val="0031438D"/>
    <w:rsid w:val="0031630F"/>
    <w:rsid w:val="00317182"/>
    <w:rsid w:val="0031729D"/>
    <w:rsid w:val="00324AE8"/>
    <w:rsid w:val="00331C97"/>
    <w:rsid w:val="0033763B"/>
    <w:rsid w:val="0036227A"/>
    <w:rsid w:val="00366A8C"/>
    <w:rsid w:val="003739BB"/>
    <w:rsid w:val="003841AB"/>
    <w:rsid w:val="003847D9"/>
    <w:rsid w:val="00387D86"/>
    <w:rsid w:val="003920A8"/>
    <w:rsid w:val="00392A61"/>
    <w:rsid w:val="00394F2A"/>
    <w:rsid w:val="00395B8D"/>
    <w:rsid w:val="00397C42"/>
    <w:rsid w:val="003A0C60"/>
    <w:rsid w:val="003A1ABB"/>
    <w:rsid w:val="003A381B"/>
    <w:rsid w:val="003A5533"/>
    <w:rsid w:val="003B2AA8"/>
    <w:rsid w:val="003D0A73"/>
    <w:rsid w:val="003D6CBD"/>
    <w:rsid w:val="003E2F99"/>
    <w:rsid w:val="003F376E"/>
    <w:rsid w:val="00410F7D"/>
    <w:rsid w:val="004160D8"/>
    <w:rsid w:val="00423264"/>
    <w:rsid w:val="00423A97"/>
    <w:rsid w:val="00426F38"/>
    <w:rsid w:val="0043322B"/>
    <w:rsid w:val="00437F5A"/>
    <w:rsid w:val="00442EBF"/>
    <w:rsid w:val="00446DF2"/>
    <w:rsid w:val="00454D8A"/>
    <w:rsid w:val="004637C7"/>
    <w:rsid w:val="0047076E"/>
    <w:rsid w:val="004742AA"/>
    <w:rsid w:val="00475D27"/>
    <w:rsid w:val="00484A65"/>
    <w:rsid w:val="00487F7B"/>
    <w:rsid w:val="004929A5"/>
    <w:rsid w:val="00497816"/>
    <w:rsid w:val="004A05AE"/>
    <w:rsid w:val="004A07F7"/>
    <w:rsid w:val="004A7369"/>
    <w:rsid w:val="004B7AF3"/>
    <w:rsid w:val="004B7E00"/>
    <w:rsid w:val="004C0B8A"/>
    <w:rsid w:val="004C0D70"/>
    <w:rsid w:val="004C3E78"/>
    <w:rsid w:val="004D0F89"/>
    <w:rsid w:val="004D3BF2"/>
    <w:rsid w:val="004D4A8F"/>
    <w:rsid w:val="004E21E1"/>
    <w:rsid w:val="004F71B9"/>
    <w:rsid w:val="00504AAB"/>
    <w:rsid w:val="005057E5"/>
    <w:rsid w:val="00505F09"/>
    <w:rsid w:val="00506F2F"/>
    <w:rsid w:val="00506FB8"/>
    <w:rsid w:val="00510739"/>
    <w:rsid w:val="005120EB"/>
    <w:rsid w:val="005160D3"/>
    <w:rsid w:val="00517CC5"/>
    <w:rsid w:val="005236EC"/>
    <w:rsid w:val="005306FA"/>
    <w:rsid w:val="0054161E"/>
    <w:rsid w:val="0054513B"/>
    <w:rsid w:val="005451A2"/>
    <w:rsid w:val="00555181"/>
    <w:rsid w:val="005565B1"/>
    <w:rsid w:val="005565CB"/>
    <w:rsid w:val="005671A0"/>
    <w:rsid w:val="0057097C"/>
    <w:rsid w:val="00585959"/>
    <w:rsid w:val="005863E5"/>
    <w:rsid w:val="00591959"/>
    <w:rsid w:val="0059731A"/>
    <w:rsid w:val="005A0268"/>
    <w:rsid w:val="005A1ED1"/>
    <w:rsid w:val="005B386B"/>
    <w:rsid w:val="005B632F"/>
    <w:rsid w:val="005B7B8B"/>
    <w:rsid w:val="005C0DF3"/>
    <w:rsid w:val="005C1556"/>
    <w:rsid w:val="005C2735"/>
    <w:rsid w:val="005C39F5"/>
    <w:rsid w:val="005D60EF"/>
    <w:rsid w:val="005E21BE"/>
    <w:rsid w:val="005E31E4"/>
    <w:rsid w:val="005E52C6"/>
    <w:rsid w:val="005E6F32"/>
    <w:rsid w:val="005F04D5"/>
    <w:rsid w:val="005F11C3"/>
    <w:rsid w:val="005F1896"/>
    <w:rsid w:val="005F2D30"/>
    <w:rsid w:val="005F5999"/>
    <w:rsid w:val="0060220F"/>
    <w:rsid w:val="00602284"/>
    <w:rsid w:val="0060388E"/>
    <w:rsid w:val="00603C14"/>
    <w:rsid w:val="00604B2B"/>
    <w:rsid w:val="00611EF8"/>
    <w:rsid w:val="0061280D"/>
    <w:rsid w:val="00614ACD"/>
    <w:rsid w:val="00620FAC"/>
    <w:rsid w:val="006262FE"/>
    <w:rsid w:val="00635AD1"/>
    <w:rsid w:val="0063777F"/>
    <w:rsid w:val="0064029F"/>
    <w:rsid w:val="00652012"/>
    <w:rsid w:val="0065287F"/>
    <w:rsid w:val="00657AE4"/>
    <w:rsid w:val="00660504"/>
    <w:rsid w:val="00662FBF"/>
    <w:rsid w:val="00664892"/>
    <w:rsid w:val="00665DA7"/>
    <w:rsid w:val="00666C16"/>
    <w:rsid w:val="0067011C"/>
    <w:rsid w:val="006718E5"/>
    <w:rsid w:val="00672026"/>
    <w:rsid w:val="00672BD7"/>
    <w:rsid w:val="00682D34"/>
    <w:rsid w:val="00683F30"/>
    <w:rsid w:val="0068635F"/>
    <w:rsid w:val="006C22FB"/>
    <w:rsid w:val="006C622C"/>
    <w:rsid w:val="006C6B63"/>
    <w:rsid w:val="006D1414"/>
    <w:rsid w:val="006E37AC"/>
    <w:rsid w:val="006E4E02"/>
    <w:rsid w:val="006E6BC2"/>
    <w:rsid w:val="006F02B9"/>
    <w:rsid w:val="00701C50"/>
    <w:rsid w:val="0070646C"/>
    <w:rsid w:val="00706692"/>
    <w:rsid w:val="007104C2"/>
    <w:rsid w:val="00710C11"/>
    <w:rsid w:val="007117CD"/>
    <w:rsid w:val="00722D80"/>
    <w:rsid w:val="00725597"/>
    <w:rsid w:val="007445AC"/>
    <w:rsid w:val="00752753"/>
    <w:rsid w:val="00757ADB"/>
    <w:rsid w:val="0076350B"/>
    <w:rsid w:val="00770BF4"/>
    <w:rsid w:val="0077386E"/>
    <w:rsid w:val="007917A6"/>
    <w:rsid w:val="0079491C"/>
    <w:rsid w:val="007A0C66"/>
    <w:rsid w:val="007A0F7C"/>
    <w:rsid w:val="007A44D9"/>
    <w:rsid w:val="007B020D"/>
    <w:rsid w:val="007B4D7E"/>
    <w:rsid w:val="007B7D18"/>
    <w:rsid w:val="007C4159"/>
    <w:rsid w:val="007C530B"/>
    <w:rsid w:val="007D31DB"/>
    <w:rsid w:val="007D4FF3"/>
    <w:rsid w:val="007D6311"/>
    <w:rsid w:val="007F1232"/>
    <w:rsid w:val="007F2657"/>
    <w:rsid w:val="0080692E"/>
    <w:rsid w:val="008106EC"/>
    <w:rsid w:val="00812503"/>
    <w:rsid w:val="00815718"/>
    <w:rsid w:val="00822877"/>
    <w:rsid w:val="008236B6"/>
    <w:rsid w:val="00832FD6"/>
    <w:rsid w:val="008345D0"/>
    <w:rsid w:val="00845CB4"/>
    <w:rsid w:val="00863B22"/>
    <w:rsid w:val="008672A2"/>
    <w:rsid w:val="00867626"/>
    <w:rsid w:val="00867FA1"/>
    <w:rsid w:val="00874F07"/>
    <w:rsid w:val="0087503D"/>
    <w:rsid w:val="00883F7E"/>
    <w:rsid w:val="0088406C"/>
    <w:rsid w:val="00892481"/>
    <w:rsid w:val="00895F51"/>
    <w:rsid w:val="008A16E1"/>
    <w:rsid w:val="008A39FE"/>
    <w:rsid w:val="008B36FE"/>
    <w:rsid w:val="008B7ED9"/>
    <w:rsid w:val="008D1023"/>
    <w:rsid w:val="008D23F1"/>
    <w:rsid w:val="008D41EE"/>
    <w:rsid w:val="008D5D20"/>
    <w:rsid w:val="008D5FA8"/>
    <w:rsid w:val="008D7EF0"/>
    <w:rsid w:val="008E102F"/>
    <w:rsid w:val="008E6DBA"/>
    <w:rsid w:val="00904E04"/>
    <w:rsid w:val="009054B8"/>
    <w:rsid w:val="00911824"/>
    <w:rsid w:val="0091220D"/>
    <w:rsid w:val="00912681"/>
    <w:rsid w:val="009169C6"/>
    <w:rsid w:val="009173DA"/>
    <w:rsid w:val="00922F4B"/>
    <w:rsid w:val="00933453"/>
    <w:rsid w:val="00947C25"/>
    <w:rsid w:val="0095035C"/>
    <w:rsid w:val="00953580"/>
    <w:rsid w:val="00954318"/>
    <w:rsid w:val="00955D72"/>
    <w:rsid w:val="0096451D"/>
    <w:rsid w:val="00964964"/>
    <w:rsid w:val="00965CC7"/>
    <w:rsid w:val="0097333D"/>
    <w:rsid w:val="009776FC"/>
    <w:rsid w:val="00983621"/>
    <w:rsid w:val="009964B0"/>
    <w:rsid w:val="009A0B64"/>
    <w:rsid w:val="009A3916"/>
    <w:rsid w:val="009B7737"/>
    <w:rsid w:val="009C6711"/>
    <w:rsid w:val="009C691C"/>
    <w:rsid w:val="009D152A"/>
    <w:rsid w:val="009D348E"/>
    <w:rsid w:val="009E0AF0"/>
    <w:rsid w:val="009E3EAE"/>
    <w:rsid w:val="009E64EE"/>
    <w:rsid w:val="00A00CE5"/>
    <w:rsid w:val="00A13DD3"/>
    <w:rsid w:val="00A1565E"/>
    <w:rsid w:val="00A216CB"/>
    <w:rsid w:val="00A23989"/>
    <w:rsid w:val="00A24A1D"/>
    <w:rsid w:val="00A263B9"/>
    <w:rsid w:val="00A30317"/>
    <w:rsid w:val="00A33C90"/>
    <w:rsid w:val="00A35503"/>
    <w:rsid w:val="00A42B9E"/>
    <w:rsid w:val="00A45E72"/>
    <w:rsid w:val="00A54EE6"/>
    <w:rsid w:val="00A56BC5"/>
    <w:rsid w:val="00A7034F"/>
    <w:rsid w:val="00A730D3"/>
    <w:rsid w:val="00A753EB"/>
    <w:rsid w:val="00A8403C"/>
    <w:rsid w:val="00A849B5"/>
    <w:rsid w:val="00A97700"/>
    <w:rsid w:val="00AA3167"/>
    <w:rsid w:val="00AB0AC9"/>
    <w:rsid w:val="00AB1FC6"/>
    <w:rsid w:val="00AB38B0"/>
    <w:rsid w:val="00AB73B8"/>
    <w:rsid w:val="00AB7B98"/>
    <w:rsid w:val="00AC1B4A"/>
    <w:rsid w:val="00AC39E2"/>
    <w:rsid w:val="00AC4BA3"/>
    <w:rsid w:val="00AC66C5"/>
    <w:rsid w:val="00AD3C0A"/>
    <w:rsid w:val="00AD52EE"/>
    <w:rsid w:val="00AD60BE"/>
    <w:rsid w:val="00AD749B"/>
    <w:rsid w:val="00AE0E11"/>
    <w:rsid w:val="00AE35C2"/>
    <w:rsid w:val="00AE6DAC"/>
    <w:rsid w:val="00AF03AD"/>
    <w:rsid w:val="00AF738F"/>
    <w:rsid w:val="00B031DF"/>
    <w:rsid w:val="00B057EB"/>
    <w:rsid w:val="00B06F1D"/>
    <w:rsid w:val="00B16EEB"/>
    <w:rsid w:val="00B203AA"/>
    <w:rsid w:val="00B231E7"/>
    <w:rsid w:val="00B31CF8"/>
    <w:rsid w:val="00B35892"/>
    <w:rsid w:val="00B4062D"/>
    <w:rsid w:val="00B41D76"/>
    <w:rsid w:val="00B42D44"/>
    <w:rsid w:val="00B46CD0"/>
    <w:rsid w:val="00B52C63"/>
    <w:rsid w:val="00B60B40"/>
    <w:rsid w:val="00B615E3"/>
    <w:rsid w:val="00B71831"/>
    <w:rsid w:val="00B7546B"/>
    <w:rsid w:val="00B84FC3"/>
    <w:rsid w:val="00B92EF1"/>
    <w:rsid w:val="00BA006D"/>
    <w:rsid w:val="00BA1A00"/>
    <w:rsid w:val="00BA6EF3"/>
    <w:rsid w:val="00BB1FE5"/>
    <w:rsid w:val="00BB4B13"/>
    <w:rsid w:val="00BB5A98"/>
    <w:rsid w:val="00BC6062"/>
    <w:rsid w:val="00BC6457"/>
    <w:rsid w:val="00BD1ACD"/>
    <w:rsid w:val="00BD2451"/>
    <w:rsid w:val="00BD30C7"/>
    <w:rsid w:val="00BD5A8E"/>
    <w:rsid w:val="00BD6183"/>
    <w:rsid w:val="00BD66B4"/>
    <w:rsid w:val="00BF1A45"/>
    <w:rsid w:val="00BF5F53"/>
    <w:rsid w:val="00C04F37"/>
    <w:rsid w:val="00C07FC0"/>
    <w:rsid w:val="00C12EF3"/>
    <w:rsid w:val="00C155D0"/>
    <w:rsid w:val="00C25273"/>
    <w:rsid w:val="00C353A1"/>
    <w:rsid w:val="00C42DF5"/>
    <w:rsid w:val="00C51029"/>
    <w:rsid w:val="00C5650F"/>
    <w:rsid w:val="00C56762"/>
    <w:rsid w:val="00C63391"/>
    <w:rsid w:val="00C64F74"/>
    <w:rsid w:val="00C651F0"/>
    <w:rsid w:val="00C6606A"/>
    <w:rsid w:val="00C76E89"/>
    <w:rsid w:val="00C81468"/>
    <w:rsid w:val="00C86710"/>
    <w:rsid w:val="00C913D0"/>
    <w:rsid w:val="00C926A8"/>
    <w:rsid w:val="00C96597"/>
    <w:rsid w:val="00C9694D"/>
    <w:rsid w:val="00CA03E2"/>
    <w:rsid w:val="00CA3147"/>
    <w:rsid w:val="00CA427C"/>
    <w:rsid w:val="00CA4CB8"/>
    <w:rsid w:val="00CA4D6F"/>
    <w:rsid w:val="00CB16A8"/>
    <w:rsid w:val="00CB1E15"/>
    <w:rsid w:val="00CC4DB6"/>
    <w:rsid w:val="00CD1688"/>
    <w:rsid w:val="00CD5F47"/>
    <w:rsid w:val="00CD772A"/>
    <w:rsid w:val="00CE00BE"/>
    <w:rsid w:val="00CF3898"/>
    <w:rsid w:val="00CF5E40"/>
    <w:rsid w:val="00D0080D"/>
    <w:rsid w:val="00D01DB8"/>
    <w:rsid w:val="00D12946"/>
    <w:rsid w:val="00D144F1"/>
    <w:rsid w:val="00D2107D"/>
    <w:rsid w:val="00D26D3F"/>
    <w:rsid w:val="00D3157E"/>
    <w:rsid w:val="00D36CD3"/>
    <w:rsid w:val="00D57FBA"/>
    <w:rsid w:val="00D64197"/>
    <w:rsid w:val="00D64CA2"/>
    <w:rsid w:val="00D65F26"/>
    <w:rsid w:val="00D70A43"/>
    <w:rsid w:val="00D716E2"/>
    <w:rsid w:val="00D717E8"/>
    <w:rsid w:val="00D7308C"/>
    <w:rsid w:val="00D7698B"/>
    <w:rsid w:val="00D80AB7"/>
    <w:rsid w:val="00D811AE"/>
    <w:rsid w:val="00D8255A"/>
    <w:rsid w:val="00D84007"/>
    <w:rsid w:val="00D86494"/>
    <w:rsid w:val="00D901B6"/>
    <w:rsid w:val="00D926F5"/>
    <w:rsid w:val="00D946B4"/>
    <w:rsid w:val="00DA2DD2"/>
    <w:rsid w:val="00DA372D"/>
    <w:rsid w:val="00DA3E3D"/>
    <w:rsid w:val="00DA4818"/>
    <w:rsid w:val="00DA4FC5"/>
    <w:rsid w:val="00DA793A"/>
    <w:rsid w:val="00DA7ABA"/>
    <w:rsid w:val="00DB1BA4"/>
    <w:rsid w:val="00DB2726"/>
    <w:rsid w:val="00DB673B"/>
    <w:rsid w:val="00DC51C5"/>
    <w:rsid w:val="00DC66B2"/>
    <w:rsid w:val="00DD4DAE"/>
    <w:rsid w:val="00DE58A3"/>
    <w:rsid w:val="00DE7320"/>
    <w:rsid w:val="00DF0AAD"/>
    <w:rsid w:val="00DF393E"/>
    <w:rsid w:val="00DF7975"/>
    <w:rsid w:val="00E0000E"/>
    <w:rsid w:val="00E05A1C"/>
    <w:rsid w:val="00E05C4A"/>
    <w:rsid w:val="00E117E4"/>
    <w:rsid w:val="00E17BB2"/>
    <w:rsid w:val="00E21A2C"/>
    <w:rsid w:val="00E40892"/>
    <w:rsid w:val="00E428E8"/>
    <w:rsid w:val="00E46F12"/>
    <w:rsid w:val="00E5254F"/>
    <w:rsid w:val="00E53EDD"/>
    <w:rsid w:val="00E55A3E"/>
    <w:rsid w:val="00E55E51"/>
    <w:rsid w:val="00E62A54"/>
    <w:rsid w:val="00E63EF1"/>
    <w:rsid w:val="00E67C56"/>
    <w:rsid w:val="00E76C1B"/>
    <w:rsid w:val="00E85798"/>
    <w:rsid w:val="00E905BA"/>
    <w:rsid w:val="00EA06B6"/>
    <w:rsid w:val="00EA1B81"/>
    <w:rsid w:val="00EA59B8"/>
    <w:rsid w:val="00EA7BA8"/>
    <w:rsid w:val="00EC1E66"/>
    <w:rsid w:val="00ED2143"/>
    <w:rsid w:val="00ED4DA7"/>
    <w:rsid w:val="00ED78C8"/>
    <w:rsid w:val="00EE1922"/>
    <w:rsid w:val="00EE244B"/>
    <w:rsid w:val="00EE5A50"/>
    <w:rsid w:val="00EE74EB"/>
    <w:rsid w:val="00EF1706"/>
    <w:rsid w:val="00EF54C9"/>
    <w:rsid w:val="00EF5E21"/>
    <w:rsid w:val="00EF638D"/>
    <w:rsid w:val="00EF7DB7"/>
    <w:rsid w:val="00F02124"/>
    <w:rsid w:val="00F07C49"/>
    <w:rsid w:val="00F25DD4"/>
    <w:rsid w:val="00F26A9F"/>
    <w:rsid w:val="00F31307"/>
    <w:rsid w:val="00F342B5"/>
    <w:rsid w:val="00F34700"/>
    <w:rsid w:val="00F36C15"/>
    <w:rsid w:val="00F440C4"/>
    <w:rsid w:val="00F4551F"/>
    <w:rsid w:val="00F46E40"/>
    <w:rsid w:val="00F5027F"/>
    <w:rsid w:val="00F5437A"/>
    <w:rsid w:val="00F554D7"/>
    <w:rsid w:val="00F609D2"/>
    <w:rsid w:val="00F60E92"/>
    <w:rsid w:val="00F66183"/>
    <w:rsid w:val="00F70451"/>
    <w:rsid w:val="00F70E62"/>
    <w:rsid w:val="00F920B5"/>
    <w:rsid w:val="00F93AB9"/>
    <w:rsid w:val="00F93AE3"/>
    <w:rsid w:val="00F954FA"/>
    <w:rsid w:val="00F96E98"/>
    <w:rsid w:val="00FA4E5C"/>
    <w:rsid w:val="00FA6512"/>
    <w:rsid w:val="00FB02EB"/>
    <w:rsid w:val="00FB0F37"/>
    <w:rsid w:val="00FB57B3"/>
    <w:rsid w:val="00FC011F"/>
    <w:rsid w:val="00FC4894"/>
    <w:rsid w:val="00FD66D3"/>
    <w:rsid w:val="00FD7B34"/>
    <w:rsid w:val="00FE067A"/>
    <w:rsid w:val="00FE333F"/>
    <w:rsid w:val="00FE3A66"/>
    <w:rsid w:val="00FF09CF"/>
    <w:rsid w:val="00FF5122"/>
    <w:rsid w:val="00FF5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F4"/>
  </w:style>
  <w:style w:type="paragraph" w:styleId="Footer">
    <w:name w:val="footer"/>
    <w:basedOn w:val="Normal"/>
    <w:link w:val="FooterChar"/>
    <w:uiPriority w:val="99"/>
    <w:unhideWhenUsed/>
    <w:rsid w:val="00264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F4"/>
  </w:style>
  <w:style w:type="paragraph" w:styleId="ListParagraph">
    <w:name w:val="List Paragraph"/>
    <w:basedOn w:val="Normal"/>
    <w:uiPriority w:val="34"/>
    <w:qFormat/>
    <w:rsid w:val="00EF5E21"/>
    <w:pPr>
      <w:ind w:left="720"/>
      <w:contextualSpacing/>
    </w:pPr>
  </w:style>
  <w:style w:type="paragraph" w:customStyle="1" w:styleId="Default">
    <w:name w:val="Default"/>
    <w:rsid w:val="00D01D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F02B9"/>
    <w:rPr>
      <w:color w:val="0000FF"/>
      <w:u w:val="single"/>
    </w:rPr>
  </w:style>
  <w:style w:type="paragraph" w:styleId="BalloonText">
    <w:name w:val="Balloon Text"/>
    <w:basedOn w:val="Normal"/>
    <w:link w:val="BalloonTextChar"/>
    <w:uiPriority w:val="99"/>
    <w:semiHidden/>
    <w:unhideWhenUsed/>
    <w:rsid w:val="0097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3D"/>
    <w:rPr>
      <w:rFonts w:ascii="Tahoma" w:hAnsi="Tahoma" w:cs="Tahoma"/>
      <w:sz w:val="16"/>
      <w:szCs w:val="16"/>
    </w:rPr>
  </w:style>
  <w:style w:type="table" w:styleId="TableGrid">
    <w:name w:val="Table Grid"/>
    <w:basedOn w:val="TableNormal"/>
    <w:uiPriority w:val="59"/>
    <w:rsid w:val="00DA3E3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081"/>
    <w:rPr>
      <w:sz w:val="16"/>
      <w:szCs w:val="16"/>
    </w:rPr>
  </w:style>
  <w:style w:type="paragraph" w:styleId="CommentText">
    <w:name w:val="annotation text"/>
    <w:basedOn w:val="Normal"/>
    <w:link w:val="CommentTextChar"/>
    <w:uiPriority w:val="99"/>
    <w:semiHidden/>
    <w:unhideWhenUsed/>
    <w:rsid w:val="00103081"/>
    <w:pPr>
      <w:spacing w:line="240" w:lineRule="auto"/>
    </w:pPr>
    <w:rPr>
      <w:sz w:val="20"/>
      <w:szCs w:val="20"/>
    </w:rPr>
  </w:style>
  <w:style w:type="character" w:customStyle="1" w:styleId="CommentTextChar">
    <w:name w:val="Comment Text Char"/>
    <w:basedOn w:val="DefaultParagraphFont"/>
    <w:link w:val="CommentText"/>
    <w:uiPriority w:val="99"/>
    <w:semiHidden/>
    <w:rsid w:val="00103081"/>
    <w:rPr>
      <w:sz w:val="20"/>
      <w:szCs w:val="20"/>
    </w:rPr>
  </w:style>
  <w:style w:type="paragraph" w:styleId="CommentSubject">
    <w:name w:val="annotation subject"/>
    <w:basedOn w:val="CommentText"/>
    <w:next w:val="CommentText"/>
    <w:link w:val="CommentSubjectChar"/>
    <w:uiPriority w:val="99"/>
    <w:semiHidden/>
    <w:unhideWhenUsed/>
    <w:rsid w:val="00103081"/>
    <w:rPr>
      <w:b/>
      <w:bCs/>
    </w:rPr>
  </w:style>
  <w:style w:type="character" w:customStyle="1" w:styleId="CommentSubjectChar">
    <w:name w:val="Comment Subject Char"/>
    <w:basedOn w:val="CommentTextChar"/>
    <w:link w:val="CommentSubject"/>
    <w:uiPriority w:val="99"/>
    <w:semiHidden/>
    <w:rsid w:val="00103081"/>
    <w:rPr>
      <w:b/>
      <w:bCs/>
      <w:sz w:val="20"/>
      <w:szCs w:val="20"/>
    </w:rPr>
  </w:style>
  <w:style w:type="paragraph" w:styleId="Revision">
    <w:name w:val="Revision"/>
    <w:hidden/>
    <w:uiPriority w:val="99"/>
    <w:semiHidden/>
    <w:rsid w:val="000D120A"/>
    <w:pPr>
      <w:spacing w:after="0" w:line="240" w:lineRule="auto"/>
    </w:pPr>
  </w:style>
  <w:style w:type="character" w:styleId="FollowedHyperlink">
    <w:name w:val="FollowedHyperlink"/>
    <w:basedOn w:val="DefaultParagraphFont"/>
    <w:uiPriority w:val="99"/>
    <w:semiHidden/>
    <w:unhideWhenUsed/>
    <w:rsid w:val="00867F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F4"/>
  </w:style>
  <w:style w:type="paragraph" w:styleId="Footer">
    <w:name w:val="footer"/>
    <w:basedOn w:val="Normal"/>
    <w:link w:val="FooterChar"/>
    <w:uiPriority w:val="99"/>
    <w:unhideWhenUsed/>
    <w:rsid w:val="00264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F4"/>
  </w:style>
  <w:style w:type="paragraph" w:styleId="ListParagraph">
    <w:name w:val="List Paragraph"/>
    <w:basedOn w:val="Normal"/>
    <w:uiPriority w:val="34"/>
    <w:qFormat/>
    <w:rsid w:val="00EF5E21"/>
    <w:pPr>
      <w:ind w:left="720"/>
      <w:contextualSpacing/>
    </w:pPr>
  </w:style>
  <w:style w:type="paragraph" w:customStyle="1" w:styleId="Default">
    <w:name w:val="Default"/>
    <w:rsid w:val="00D01D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F02B9"/>
    <w:rPr>
      <w:color w:val="0000FF"/>
      <w:u w:val="single"/>
    </w:rPr>
  </w:style>
  <w:style w:type="paragraph" w:styleId="BalloonText">
    <w:name w:val="Balloon Text"/>
    <w:basedOn w:val="Normal"/>
    <w:link w:val="BalloonTextChar"/>
    <w:uiPriority w:val="99"/>
    <w:semiHidden/>
    <w:unhideWhenUsed/>
    <w:rsid w:val="0097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3D"/>
    <w:rPr>
      <w:rFonts w:ascii="Tahoma" w:hAnsi="Tahoma" w:cs="Tahoma"/>
      <w:sz w:val="16"/>
      <w:szCs w:val="16"/>
    </w:rPr>
  </w:style>
  <w:style w:type="table" w:styleId="TableGrid">
    <w:name w:val="Table Grid"/>
    <w:basedOn w:val="TableNormal"/>
    <w:uiPriority w:val="59"/>
    <w:rsid w:val="00DA3E3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081"/>
    <w:rPr>
      <w:sz w:val="16"/>
      <w:szCs w:val="16"/>
    </w:rPr>
  </w:style>
  <w:style w:type="paragraph" w:styleId="CommentText">
    <w:name w:val="annotation text"/>
    <w:basedOn w:val="Normal"/>
    <w:link w:val="CommentTextChar"/>
    <w:uiPriority w:val="99"/>
    <w:semiHidden/>
    <w:unhideWhenUsed/>
    <w:rsid w:val="00103081"/>
    <w:pPr>
      <w:spacing w:line="240" w:lineRule="auto"/>
    </w:pPr>
    <w:rPr>
      <w:sz w:val="20"/>
      <w:szCs w:val="20"/>
    </w:rPr>
  </w:style>
  <w:style w:type="character" w:customStyle="1" w:styleId="CommentTextChar">
    <w:name w:val="Comment Text Char"/>
    <w:basedOn w:val="DefaultParagraphFont"/>
    <w:link w:val="CommentText"/>
    <w:uiPriority w:val="99"/>
    <w:semiHidden/>
    <w:rsid w:val="00103081"/>
    <w:rPr>
      <w:sz w:val="20"/>
      <w:szCs w:val="20"/>
    </w:rPr>
  </w:style>
  <w:style w:type="paragraph" w:styleId="CommentSubject">
    <w:name w:val="annotation subject"/>
    <w:basedOn w:val="CommentText"/>
    <w:next w:val="CommentText"/>
    <w:link w:val="CommentSubjectChar"/>
    <w:uiPriority w:val="99"/>
    <w:semiHidden/>
    <w:unhideWhenUsed/>
    <w:rsid w:val="00103081"/>
    <w:rPr>
      <w:b/>
      <w:bCs/>
    </w:rPr>
  </w:style>
  <w:style w:type="character" w:customStyle="1" w:styleId="CommentSubjectChar">
    <w:name w:val="Comment Subject Char"/>
    <w:basedOn w:val="CommentTextChar"/>
    <w:link w:val="CommentSubject"/>
    <w:uiPriority w:val="99"/>
    <w:semiHidden/>
    <w:rsid w:val="00103081"/>
    <w:rPr>
      <w:b/>
      <w:bCs/>
      <w:sz w:val="20"/>
      <w:szCs w:val="20"/>
    </w:rPr>
  </w:style>
  <w:style w:type="paragraph" w:styleId="Revision">
    <w:name w:val="Revision"/>
    <w:hidden/>
    <w:uiPriority w:val="99"/>
    <w:semiHidden/>
    <w:rsid w:val="000D120A"/>
    <w:pPr>
      <w:spacing w:after="0" w:line="240" w:lineRule="auto"/>
    </w:pPr>
  </w:style>
  <w:style w:type="character" w:styleId="FollowedHyperlink">
    <w:name w:val="FollowedHyperlink"/>
    <w:basedOn w:val="DefaultParagraphFont"/>
    <w:uiPriority w:val="99"/>
    <w:semiHidden/>
    <w:unhideWhenUsed/>
    <w:rsid w:val="00867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4449">
      <w:bodyDiv w:val="1"/>
      <w:marLeft w:val="0"/>
      <w:marRight w:val="0"/>
      <w:marTop w:val="0"/>
      <w:marBottom w:val="0"/>
      <w:divBdr>
        <w:top w:val="none" w:sz="0" w:space="0" w:color="auto"/>
        <w:left w:val="none" w:sz="0" w:space="0" w:color="auto"/>
        <w:bottom w:val="none" w:sz="0" w:space="0" w:color="auto"/>
        <w:right w:val="none" w:sz="0" w:space="0" w:color="auto"/>
      </w:divBdr>
    </w:div>
    <w:div w:id="281155146">
      <w:bodyDiv w:val="1"/>
      <w:marLeft w:val="0"/>
      <w:marRight w:val="0"/>
      <w:marTop w:val="0"/>
      <w:marBottom w:val="0"/>
      <w:divBdr>
        <w:top w:val="none" w:sz="0" w:space="0" w:color="auto"/>
        <w:left w:val="none" w:sz="0" w:space="0" w:color="auto"/>
        <w:bottom w:val="none" w:sz="0" w:space="0" w:color="auto"/>
        <w:right w:val="none" w:sz="0" w:space="0" w:color="auto"/>
      </w:divBdr>
    </w:div>
    <w:div w:id="332681390">
      <w:bodyDiv w:val="1"/>
      <w:marLeft w:val="0"/>
      <w:marRight w:val="0"/>
      <w:marTop w:val="0"/>
      <w:marBottom w:val="0"/>
      <w:divBdr>
        <w:top w:val="none" w:sz="0" w:space="0" w:color="auto"/>
        <w:left w:val="none" w:sz="0" w:space="0" w:color="auto"/>
        <w:bottom w:val="none" w:sz="0" w:space="0" w:color="auto"/>
        <w:right w:val="none" w:sz="0" w:space="0" w:color="auto"/>
      </w:divBdr>
    </w:div>
    <w:div w:id="335310579">
      <w:bodyDiv w:val="1"/>
      <w:marLeft w:val="0"/>
      <w:marRight w:val="0"/>
      <w:marTop w:val="0"/>
      <w:marBottom w:val="0"/>
      <w:divBdr>
        <w:top w:val="none" w:sz="0" w:space="0" w:color="auto"/>
        <w:left w:val="none" w:sz="0" w:space="0" w:color="auto"/>
        <w:bottom w:val="none" w:sz="0" w:space="0" w:color="auto"/>
        <w:right w:val="none" w:sz="0" w:space="0" w:color="auto"/>
      </w:divBdr>
    </w:div>
    <w:div w:id="581991300">
      <w:bodyDiv w:val="1"/>
      <w:marLeft w:val="0"/>
      <w:marRight w:val="0"/>
      <w:marTop w:val="0"/>
      <w:marBottom w:val="0"/>
      <w:divBdr>
        <w:top w:val="none" w:sz="0" w:space="0" w:color="auto"/>
        <w:left w:val="none" w:sz="0" w:space="0" w:color="auto"/>
        <w:bottom w:val="none" w:sz="0" w:space="0" w:color="auto"/>
        <w:right w:val="none" w:sz="0" w:space="0" w:color="auto"/>
      </w:divBdr>
    </w:div>
    <w:div w:id="833647893">
      <w:bodyDiv w:val="1"/>
      <w:marLeft w:val="0"/>
      <w:marRight w:val="0"/>
      <w:marTop w:val="0"/>
      <w:marBottom w:val="0"/>
      <w:divBdr>
        <w:top w:val="none" w:sz="0" w:space="0" w:color="auto"/>
        <w:left w:val="none" w:sz="0" w:space="0" w:color="auto"/>
        <w:bottom w:val="none" w:sz="0" w:space="0" w:color="auto"/>
        <w:right w:val="none" w:sz="0" w:space="0" w:color="auto"/>
      </w:divBdr>
    </w:div>
    <w:div w:id="924000066">
      <w:bodyDiv w:val="1"/>
      <w:marLeft w:val="0"/>
      <w:marRight w:val="0"/>
      <w:marTop w:val="0"/>
      <w:marBottom w:val="0"/>
      <w:divBdr>
        <w:top w:val="none" w:sz="0" w:space="0" w:color="auto"/>
        <w:left w:val="none" w:sz="0" w:space="0" w:color="auto"/>
        <w:bottom w:val="none" w:sz="0" w:space="0" w:color="auto"/>
        <w:right w:val="none" w:sz="0" w:space="0" w:color="auto"/>
      </w:divBdr>
    </w:div>
    <w:div w:id="1062408786">
      <w:bodyDiv w:val="1"/>
      <w:marLeft w:val="0"/>
      <w:marRight w:val="0"/>
      <w:marTop w:val="0"/>
      <w:marBottom w:val="0"/>
      <w:divBdr>
        <w:top w:val="none" w:sz="0" w:space="0" w:color="auto"/>
        <w:left w:val="none" w:sz="0" w:space="0" w:color="auto"/>
        <w:bottom w:val="none" w:sz="0" w:space="0" w:color="auto"/>
        <w:right w:val="none" w:sz="0" w:space="0" w:color="auto"/>
      </w:divBdr>
    </w:div>
    <w:div w:id="1194349343">
      <w:bodyDiv w:val="1"/>
      <w:marLeft w:val="0"/>
      <w:marRight w:val="0"/>
      <w:marTop w:val="0"/>
      <w:marBottom w:val="0"/>
      <w:divBdr>
        <w:top w:val="none" w:sz="0" w:space="0" w:color="auto"/>
        <w:left w:val="none" w:sz="0" w:space="0" w:color="auto"/>
        <w:bottom w:val="none" w:sz="0" w:space="0" w:color="auto"/>
        <w:right w:val="none" w:sz="0" w:space="0" w:color="auto"/>
      </w:divBdr>
    </w:div>
    <w:div w:id="1284074510">
      <w:bodyDiv w:val="1"/>
      <w:marLeft w:val="0"/>
      <w:marRight w:val="0"/>
      <w:marTop w:val="0"/>
      <w:marBottom w:val="0"/>
      <w:divBdr>
        <w:top w:val="none" w:sz="0" w:space="0" w:color="auto"/>
        <w:left w:val="none" w:sz="0" w:space="0" w:color="auto"/>
        <w:bottom w:val="none" w:sz="0" w:space="0" w:color="auto"/>
        <w:right w:val="none" w:sz="0" w:space="0" w:color="auto"/>
      </w:divBdr>
    </w:div>
    <w:div w:id="1437795271">
      <w:bodyDiv w:val="1"/>
      <w:marLeft w:val="0"/>
      <w:marRight w:val="0"/>
      <w:marTop w:val="0"/>
      <w:marBottom w:val="0"/>
      <w:divBdr>
        <w:top w:val="none" w:sz="0" w:space="0" w:color="auto"/>
        <w:left w:val="none" w:sz="0" w:space="0" w:color="auto"/>
        <w:bottom w:val="none" w:sz="0" w:space="0" w:color="auto"/>
        <w:right w:val="none" w:sz="0" w:space="0" w:color="auto"/>
      </w:divBdr>
    </w:div>
    <w:div w:id="1514298221">
      <w:bodyDiv w:val="1"/>
      <w:marLeft w:val="0"/>
      <w:marRight w:val="0"/>
      <w:marTop w:val="0"/>
      <w:marBottom w:val="0"/>
      <w:divBdr>
        <w:top w:val="none" w:sz="0" w:space="0" w:color="auto"/>
        <w:left w:val="none" w:sz="0" w:space="0" w:color="auto"/>
        <w:bottom w:val="none" w:sz="0" w:space="0" w:color="auto"/>
        <w:right w:val="none" w:sz="0" w:space="0" w:color="auto"/>
      </w:divBdr>
    </w:div>
    <w:div w:id="1524705168">
      <w:bodyDiv w:val="1"/>
      <w:marLeft w:val="0"/>
      <w:marRight w:val="0"/>
      <w:marTop w:val="0"/>
      <w:marBottom w:val="0"/>
      <w:divBdr>
        <w:top w:val="none" w:sz="0" w:space="0" w:color="auto"/>
        <w:left w:val="none" w:sz="0" w:space="0" w:color="auto"/>
        <w:bottom w:val="none" w:sz="0" w:space="0" w:color="auto"/>
        <w:right w:val="none" w:sz="0" w:space="0" w:color="auto"/>
      </w:divBdr>
    </w:div>
    <w:div w:id="1618902462">
      <w:bodyDiv w:val="1"/>
      <w:marLeft w:val="0"/>
      <w:marRight w:val="0"/>
      <w:marTop w:val="0"/>
      <w:marBottom w:val="0"/>
      <w:divBdr>
        <w:top w:val="none" w:sz="0" w:space="0" w:color="auto"/>
        <w:left w:val="none" w:sz="0" w:space="0" w:color="auto"/>
        <w:bottom w:val="none" w:sz="0" w:space="0" w:color="auto"/>
        <w:right w:val="none" w:sz="0" w:space="0" w:color="auto"/>
      </w:divBdr>
    </w:div>
    <w:div w:id="1679887007">
      <w:bodyDiv w:val="1"/>
      <w:marLeft w:val="0"/>
      <w:marRight w:val="0"/>
      <w:marTop w:val="0"/>
      <w:marBottom w:val="0"/>
      <w:divBdr>
        <w:top w:val="none" w:sz="0" w:space="0" w:color="auto"/>
        <w:left w:val="none" w:sz="0" w:space="0" w:color="auto"/>
        <w:bottom w:val="none" w:sz="0" w:space="0" w:color="auto"/>
        <w:right w:val="none" w:sz="0" w:space="0" w:color="auto"/>
      </w:divBdr>
    </w:div>
    <w:div w:id="1707487358">
      <w:bodyDiv w:val="1"/>
      <w:marLeft w:val="0"/>
      <w:marRight w:val="0"/>
      <w:marTop w:val="0"/>
      <w:marBottom w:val="0"/>
      <w:divBdr>
        <w:top w:val="none" w:sz="0" w:space="0" w:color="auto"/>
        <w:left w:val="none" w:sz="0" w:space="0" w:color="auto"/>
        <w:bottom w:val="none" w:sz="0" w:space="0" w:color="auto"/>
        <w:right w:val="none" w:sz="0" w:space="0" w:color="auto"/>
      </w:divBdr>
    </w:div>
    <w:div w:id="1800101215">
      <w:bodyDiv w:val="1"/>
      <w:marLeft w:val="0"/>
      <w:marRight w:val="0"/>
      <w:marTop w:val="0"/>
      <w:marBottom w:val="0"/>
      <w:divBdr>
        <w:top w:val="none" w:sz="0" w:space="0" w:color="auto"/>
        <w:left w:val="none" w:sz="0" w:space="0" w:color="auto"/>
        <w:bottom w:val="none" w:sz="0" w:space="0" w:color="auto"/>
        <w:right w:val="none" w:sz="0" w:space="0" w:color="auto"/>
      </w:divBdr>
    </w:div>
    <w:div w:id="1868369341">
      <w:bodyDiv w:val="1"/>
      <w:marLeft w:val="0"/>
      <w:marRight w:val="0"/>
      <w:marTop w:val="0"/>
      <w:marBottom w:val="0"/>
      <w:divBdr>
        <w:top w:val="none" w:sz="0" w:space="0" w:color="auto"/>
        <w:left w:val="none" w:sz="0" w:space="0" w:color="auto"/>
        <w:bottom w:val="none" w:sz="0" w:space="0" w:color="auto"/>
        <w:right w:val="none" w:sz="0" w:space="0" w:color="auto"/>
      </w:divBdr>
    </w:div>
    <w:div w:id="2010283359">
      <w:bodyDiv w:val="1"/>
      <w:marLeft w:val="0"/>
      <w:marRight w:val="0"/>
      <w:marTop w:val="0"/>
      <w:marBottom w:val="0"/>
      <w:divBdr>
        <w:top w:val="none" w:sz="0" w:space="0" w:color="auto"/>
        <w:left w:val="none" w:sz="0" w:space="0" w:color="auto"/>
        <w:bottom w:val="none" w:sz="0" w:space="0" w:color="auto"/>
        <w:right w:val="none" w:sz="0" w:space="0" w:color="auto"/>
      </w:divBdr>
    </w:div>
    <w:div w:id="2062552252">
      <w:bodyDiv w:val="1"/>
      <w:marLeft w:val="0"/>
      <w:marRight w:val="0"/>
      <w:marTop w:val="0"/>
      <w:marBottom w:val="0"/>
      <w:divBdr>
        <w:top w:val="none" w:sz="0" w:space="0" w:color="auto"/>
        <w:left w:val="none" w:sz="0" w:space="0" w:color="auto"/>
        <w:bottom w:val="none" w:sz="0" w:space="0" w:color="auto"/>
        <w:right w:val="none" w:sz="0" w:space="0" w:color="auto"/>
      </w:divBdr>
    </w:div>
    <w:div w:id="2069957541">
      <w:bodyDiv w:val="1"/>
      <w:marLeft w:val="0"/>
      <w:marRight w:val="0"/>
      <w:marTop w:val="0"/>
      <w:marBottom w:val="0"/>
      <w:divBdr>
        <w:top w:val="none" w:sz="0" w:space="0" w:color="auto"/>
        <w:left w:val="none" w:sz="0" w:space="0" w:color="auto"/>
        <w:bottom w:val="none" w:sz="0" w:space="0" w:color="auto"/>
        <w:right w:val="none" w:sz="0" w:space="0" w:color="auto"/>
      </w:divBdr>
      <w:divsChild>
        <w:div w:id="1609193125">
          <w:marLeft w:val="0"/>
          <w:marRight w:val="0"/>
          <w:marTop w:val="0"/>
          <w:marBottom w:val="0"/>
          <w:divBdr>
            <w:top w:val="none" w:sz="0" w:space="0" w:color="auto"/>
            <w:left w:val="none" w:sz="0" w:space="0" w:color="auto"/>
            <w:bottom w:val="none" w:sz="0" w:space="0" w:color="auto"/>
            <w:right w:val="none" w:sz="0" w:space="0" w:color="auto"/>
          </w:divBdr>
        </w:div>
        <w:div w:id="652948180">
          <w:marLeft w:val="0"/>
          <w:marRight w:val="0"/>
          <w:marTop w:val="0"/>
          <w:marBottom w:val="0"/>
          <w:divBdr>
            <w:top w:val="none" w:sz="0" w:space="0" w:color="auto"/>
            <w:left w:val="none" w:sz="0" w:space="0" w:color="auto"/>
            <w:bottom w:val="none" w:sz="0" w:space="0" w:color="auto"/>
            <w:right w:val="none" w:sz="0" w:space="0" w:color="auto"/>
          </w:divBdr>
        </w:div>
        <w:div w:id="238172731">
          <w:marLeft w:val="0"/>
          <w:marRight w:val="0"/>
          <w:marTop w:val="0"/>
          <w:marBottom w:val="0"/>
          <w:divBdr>
            <w:top w:val="none" w:sz="0" w:space="0" w:color="auto"/>
            <w:left w:val="none" w:sz="0" w:space="0" w:color="auto"/>
            <w:bottom w:val="none" w:sz="0" w:space="0" w:color="auto"/>
            <w:right w:val="none" w:sz="0" w:space="0" w:color="auto"/>
          </w:divBdr>
        </w:div>
        <w:div w:id="149370948">
          <w:marLeft w:val="0"/>
          <w:marRight w:val="0"/>
          <w:marTop w:val="0"/>
          <w:marBottom w:val="0"/>
          <w:divBdr>
            <w:top w:val="none" w:sz="0" w:space="0" w:color="auto"/>
            <w:left w:val="none" w:sz="0" w:space="0" w:color="auto"/>
            <w:bottom w:val="none" w:sz="0" w:space="0" w:color="auto"/>
            <w:right w:val="none" w:sz="0" w:space="0" w:color="auto"/>
          </w:divBdr>
        </w:div>
        <w:div w:id="335349811">
          <w:marLeft w:val="0"/>
          <w:marRight w:val="0"/>
          <w:marTop w:val="0"/>
          <w:marBottom w:val="0"/>
          <w:divBdr>
            <w:top w:val="none" w:sz="0" w:space="0" w:color="auto"/>
            <w:left w:val="none" w:sz="0" w:space="0" w:color="auto"/>
            <w:bottom w:val="none" w:sz="0" w:space="0" w:color="auto"/>
            <w:right w:val="none" w:sz="0" w:space="0" w:color="auto"/>
          </w:divBdr>
        </w:div>
        <w:div w:id="235747465">
          <w:marLeft w:val="0"/>
          <w:marRight w:val="0"/>
          <w:marTop w:val="0"/>
          <w:marBottom w:val="0"/>
          <w:divBdr>
            <w:top w:val="none" w:sz="0" w:space="0" w:color="auto"/>
            <w:left w:val="none" w:sz="0" w:space="0" w:color="auto"/>
            <w:bottom w:val="none" w:sz="0" w:space="0" w:color="auto"/>
            <w:right w:val="none" w:sz="0" w:space="0" w:color="auto"/>
          </w:divBdr>
        </w:div>
        <w:div w:id="1856649869">
          <w:marLeft w:val="0"/>
          <w:marRight w:val="0"/>
          <w:marTop w:val="0"/>
          <w:marBottom w:val="0"/>
          <w:divBdr>
            <w:top w:val="none" w:sz="0" w:space="0" w:color="auto"/>
            <w:left w:val="none" w:sz="0" w:space="0" w:color="auto"/>
            <w:bottom w:val="none" w:sz="0" w:space="0" w:color="auto"/>
            <w:right w:val="none" w:sz="0" w:space="0" w:color="auto"/>
          </w:divBdr>
        </w:div>
        <w:div w:id="1401556325">
          <w:marLeft w:val="0"/>
          <w:marRight w:val="0"/>
          <w:marTop w:val="0"/>
          <w:marBottom w:val="0"/>
          <w:divBdr>
            <w:top w:val="none" w:sz="0" w:space="0" w:color="auto"/>
            <w:left w:val="none" w:sz="0" w:space="0" w:color="auto"/>
            <w:bottom w:val="none" w:sz="0" w:space="0" w:color="auto"/>
            <w:right w:val="none" w:sz="0" w:space="0" w:color="auto"/>
          </w:divBdr>
        </w:div>
        <w:div w:id="1771385929">
          <w:marLeft w:val="0"/>
          <w:marRight w:val="0"/>
          <w:marTop w:val="0"/>
          <w:marBottom w:val="0"/>
          <w:divBdr>
            <w:top w:val="none" w:sz="0" w:space="0" w:color="auto"/>
            <w:left w:val="none" w:sz="0" w:space="0" w:color="auto"/>
            <w:bottom w:val="none" w:sz="0" w:space="0" w:color="auto"/>
            <w:right w:val="none" w:sz="0" w:space="0" w:color="auto"/>
          </w:divBdr>
        </w:div>
        <w:div w:id="1740905043">
          <w:marLeft w:val="0"/>
          <w:marRight w:val="0"/>
          <w:marTop w:val="0"/>
          <w:marBottom w:val="0"/>
          <w:divBdr>
            <w:top w:val="none" w:sz="0" w:space="0" w:color="auto"/>
            <w:left w:val="none" w:sz="0" w:space="0" w:color="auto"/>
            <w:bottom w:val="none" w:sz="0" w:space="0" w:color="auto"/>
            <w:right w:val="none" w:sz="0" w:space="0" w:color="auto"/>
          </w:divBdr>
        </w:div>
        <w:div w:id="1626740525">
          <w:marLeft w:val="0"/>
          <w:marRight w:val="0"/>
          <w:marTop w:val="0"/>
          <w:marBottom w:val="0"/>
          <w:divBdr>
            <w:top w:val="none" w:sz="0" w:space="0" w:color="auto"/>
            <w:left w:val="none" w:sz="0" w:space="0" w:color="auto"/>
            <w:bottom w:val="none" w:sz="0" w:space="0" w:color="auto"/>
            <w:right w:val="none" w:sz="0" w:space="0" w:color="auto"/>
          </w:divBdr>
        </w:div>
        <w:div w:id="869757937">
          <w:marLeft w:val="0"/>
          <w:marRight w:val="0"/>
          <w:marTop w:val="0"/>
          <w:marBottom w:val="0"/>
          <w:divBdr>
            <w:top w:val="none" w:sz="0" w:space="0" w:color="auto"/>
            <w:left w:val="none" w:sz="0" w:space="0" w:color="auto"/>
            <w:bottom w:val="none" w:sz="0" w:space="0" w:color="auto"/>
            <w:right w:val="none" w:sz="0" w:space="0" w:color="auto"/>
          </w:divBdr>
        </w:div>
        <w:div w:id="167137204">
          <w:marLeft w:val="0"/>
          <w:marRight w:val="0"/>
          <w:marTop w:val="0"/>
          <w:marBottom w:val="0"/>
          <w:divBdr>
            <w:top w:val="none" w:sz="0" w:space="0" w:color="auto"/>
            <w:left w:val="none" w:sz="0" w:space="0" w:color="auto"/>
            <w:bottom w:val="none" w:sz="0" w:space="0" w:color="auto"/>
            <w:right w:val="none" w:sz="0" w:space="0" w:color="auto"/>
          </w:divBdr>
        </w:div>
        <w:div w:id="1327826156">
          <w:marLeft w:val="0"/>
          <w:marRight w:val="0"/>
          <w:marTop w:val="0"/>
          <w:marBottom w:val="0"/>
          <w:divBdr>
            <w:top w:val="none" w:sz="0" w:space="0" w:color="auto"/>
            <w:left w:val="none" w:sz="0" w:space="0" w:color="auto"/>
            <w:bottom w:val="none" w:sz="0" w:space="0" w:color="auto"/>
            <w:right w:val="none" w:sz="0" w:space="0" w:color="auto"/>
          </w:divBdr>
        </w:div>
        <w:div w:id="1742171374">
          <w:marLeft w:val="0"/>
          <w:marRight w:val="0"/>
          <w:marTop w:val="0"/>
          <w:marBottom w:val="0"/>
          <w:divBdr>
            <w:top w:val="none" w:sz="0" w:space="0" w:color="auto"/>
            <w:left w:val="none" w:sz="0" w:space="0" w:color="auto"/>
            <w:bottom w:val="none" w:sz="0" w:space="0" w:color="auto"/>
            <w:right w:val="none" w:sz="0" w:space="0" w:color="auto"/>
          </w:divBdr>
        </w:div>
        <w:div w:id="182061517">
          <w:marLeft w:val="0"/>
          <w:marRight w:val="0"/>
          <w:marTop w:val="0"/>
          <w:marBottom w:val="0"/>
          <w:divBdr>
            <w:top w:val="none" w:sz="0" w:space="0" w:color="auto"/>
            <w:left w:val="none" w:sz="0" w:space="0" w:color="auto"/>
            <w:bottom w:val="none" w:sz="0" w:space="0" w:color="auto"/>
            <w:right w:val="none" w:sz="0" w:space="0" w:color="auto"/>
          </w:divBdr>
        </w:div>
        <w:div w:id="169102868">
          <w:marLeft w:val="0"/>
          <w:marRight w:val="0"/>
          <w:marTop w:val="0"/>
          <w:marBottom w:val="0"/>
          <w:divBdr>
            <w:top w:val="none" w:sz="0" w:space="0" w:color="auto"/>
            <w:left w:val="none" w:sz="0" w:space="0" w:color="auto"/>
            <w:bottom w:val="none" w:sz="0" w:space="0" w:color="auto"/>
            <w:right w:val="none" w:sz="0" w:space="0" w:color="auto"/>
          </w:divBdr>
        </w:div>
        <w:div w:id="1671564295">
          <w:marLeft w:val="0"/>
          <w:marRight w:val="0"/>
          <w:marTop w:val="0"/>
          <w:marBottom w:val="0"/>
          <w:divBdr>
            <w:top w:val="none" w:sz="0" w:space="0" w:color="auto"/>
            <w:left w:val="none" w:sz="0" w:space="0" w:color="auto"/>
            <w:bottom w:val="none" w:sz="0" w:space="0" w:color="auto"/>
            <w:right w:val="none" w:sz="0" w:space="0" w:color="auto"/>
          </w:divBdr>
        </w:div>
        <w:div w:id="1882402612">
          <w:marLeft w:val="0"/>
          <w:marRight w:val="0"/>
          <w:marTop w:val="0"/>
          <w:marBottom w:val="0"/>
          <w:divBdr>
            <w:top w:val="none" w:sz="0" w:space="0" w:color="auto"/>
            <w:left w:val="none" w:sz="0" w:space="0" w:color="auto"/>
            <w:bottom w:val="none" w:sz="0" w:space="0" w:color="auto"/>
            <w:right w:val="none" w:sz="0" w:space="0" w:color="auto"/>
          </w:divBdr>
        </w:div>
        <w:div w:id="1991712054">
          <w:marLeft w:val="0"/>
          <w:marRight w:val="0"/>
          <w:marTop w:val="0"/>
          <w:marBottom w:val="0"/>
          <w:divBdr>
            <w:top w:val="none" w:sz="0" w:space="0" w:color="auto"/>
            <w:left w:val="none" w:sz="0" w:space="0" w:color="auto"/>
            <w:bottom w:val="none" w:sz="0" w:space="0" w:color="auto"/>
            <w:right w:val="none" w:sz="0" w:space="0" w:color="auto"/>
          </w:divBdr>
        </w:div>
        <w:div w:id="1113744691">
          <w:marLeft w:val="0"/>
          <w:marRight w:val="0"/>
          <w:marTop w:val="0"/>
          <w:marBottom w:val="0"/>
          <w:divBdr>
            <w:top w:val="none" w:sz="0" w:space="0" w:color="auto"/>
            <w:left w:val="none" w:sz="0" w:space="0" w:color="auto"/>
            <w:bottom w:val="none" w:sz="0" w:space="0" w:color="auto"/>
            <w:right w:val="none" w:sz="0" w:space="0" w:color="auto"/>
          </w:divBdr>
        </w:div>
        <w:div w:id="1993361819">
          <w:marLeft w:val="0"/>
          <w:marRight w:val="0"/>
          <w:marTop w:val="0"/>
          <w:marBottom w:val="0"/>
          <w:divBdr>
            <w:top w:val="none" w:sz="0" w:space="0" w:color="auto"/>
            <w:left w:val="none" w:sz="0" w:space="0" w:color="auto"/>
            <w:bottom w:val="none" w:sz="0" w:space="0" w:color="auto"/>
            <w:right w:val="none" w:sz="0" w:space="0" w:color="auto"/>
          </w:divBdr>
        </w:div>
        <w:div w:id="1522427025">
          <w:marLeft w:val="0"/>
          <w:marRight w:val="0"/>
          <w:marTop w:val="0"/>
          <w:marBottom w:val="0"/>
          <w:divBdr>
            <w:top w:val="none" w:sz="0" w:space="0" w:color="auto"/>
            <w:left w:val="none" w:sz="0" w:space="0" w:color="auto"/>
            <w:bottom w:val="none" w:sz="0" w:space="0" w:color="auto"/>
            <w:right w:val="none" w:sz="0" w:space="0" w:color="auto"/>
          </w:divBdr>
        </w:div>
        <w:div w:id="1081945411">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368803306">
          <w:marLeft w:val="0"/>
          <w:marRight w:val="0"/>
          <w:marTop w:val="0"/>
          <w:marBottom w:val="0"/>
          <w:divBdr>
            <w:top w:val="none" w:sz="0" w:space="0" w:color="auto"/>
            <w:left w:val="none" w:sz="0" w:space="0" w:color="auto"/>
            <w:bottom w:val="none" w:sz="0" w:space="0" w:color="auto"/>
            <w:right w:val="none" w:sz="0" w:space="0" w:color="auto"/>
          </w:divBdr>
        </w:div>
        <w:div w:id="388384373">
          <w:marLeft w:val="0"/>
          <w:marRight w:val="0"/>
          <w:marTop w:val="0"/>
          <w:marBottom w:val="0"/>
          <w:divBdr>
            <w:top w:val="none" w:sz="0" w:space="0" w:color="auto"/>
            <w:left w:val="none" w:sz="0" w:space="0" w:color="auto"/>
            <w:bottom w:val="none" w:sz="0" w:space="0" w:color="auto"/>
            <w:right w:val="none" w:sz="0" w:space="0" w:color="auto"/>
          </w:divBdr>
        </w:div>
        <w:div w:id="506136989">
          <w:marLeft w:val="0"/>
          <w:marRight w:val="0"/>
          <w:marTop w:val="0"/>
          <w:marBottom w:val="0"/>
          <w:divBdr>
            <w:top w:val="none" w:sz="0" w:space="0" w:color="auto"/>
            <w:left w:val="none" w:sz="0" w:space="0" w:color="auto"/>
            <w:bottom w:val="none" w:sz="0" w:space="0" w:color="auto"/>
            <w:right w:val="none" w:sz="0" w:space="0" w:color="auto"/>
          </w:divBdr>
        </w:div>
        <w:div w:id="1708069001">
          <w:marLeft w:val="0"/>
          <w:marRight w:val="0"/>
          <w:marTop w:val="0"/>
          <w:marBottom w:val="0"/>
          <w:divBdr>
            <w:top w:val="none" w:sz="0" w:space="0" w:color="auto"/>
            <w:left w:val="none" w:sz="0" w:space="0" w:color="auto"/>
            <w:bottom w:val="none" w:sz="0" w:space="0" w:color="auto"/>
            <w:right w:val="none" w:sz="0" w:space="0" w:color="auto"/>
          </w:divBdr>
        </w:div>
        <w:div w:id="1631010430">
          <w:marLeft w:val="0"/>
          <w:marRight w:val="0"/>
          <w:marTop w:val="0"/>
          <w:marBottom w:val="0"/>
          <w:divBdr>
            <w:top w:val="none" w:sz="0" w:space="0" w:color="auto"/>
            <w:left w:val="none" w:sz="0" w:space="0" w:color="auto"/>
            <w:bottom w:val="none" w:sz="0" w:space="0" w:color="auto"/>
            <w:right w:val="none" w:sz="0" w:space="0" w:color="auto"/>
          </w:divBdr>
        </w:div>
        <w:div w:id="33501247">
          <w:marLeft w:val="0"/>
          <w:marRight w:val="0"/>
          <w:marTop w:val="0"/>
          <w:marBottom w:val="0"/>
          <w:divBdr>
            <w:top w:val="none" w:sz="0" w:space="0" w:color="auto"/>
            <w:left w:val="none" w:sz="0" w:space="0" w:color="auto"/>
            <w:bottom w:val="none" w:sz="0" w:space="0" w:color="auto"/>
            <w:right w:val="none" w:sz="0" w:space="0" w:color="auto"/>
          </w:divBdr>
        </w:div>
        <w:div w:id="143395901">
          <w:marLeft w:val="0"/>
          <w:marRight w:val="0"/>
          <w:marTop w:val="0"/>
          <w:marBottom w:val="0"/>
          <w:divBdr>
            <w:top w:val="none" w:sz="0" w:space="0" w:color="auto"/>
            <w:left w:val="none" w:sz="0" w:space="0" w:color="auto"/>
            <w:bottom w:val="none" w:sz="0" w:space="0" w:color="auto"/>
            <w:right w:val="none" w:sz="0" w:space="0" w:color="auto"/>
          </w:divBdr>
        </w:div>
      </w:divsChild>
    </w:div>
    <w:div w:id="20768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yalmanac.ca.gov/gasoline/piira_retail_survey.html" TargetMode="External"/><Relationship Id="rId5" Type="http://schemas.microsoft.com/office/2007/relationships/stylesWithEffects" Target="stylesWithEffects.xml"/><Relationship Id="rId10" Type="http://schemas.openxmlformats.org/officeDocument/2006/relationships/hyperlink" Target="mailto:Kevyn.Piper@energy.ca.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621A-D6F7-4411-9FCC-5E0FA912AC7A}">
  <ds:schemaRefs>
    <ds:schemaRef ds:uri="http://schemas.openxmlformats.org/officeDocument/2006/bibliography"/>
  </ds:schemaRefs>
</ds:datastoreItem>
</file>

<file path=customXml/itemProps2.xml><?xml version="1.0" encoding="utf-8"?>
<ds:datastoreItem xmlns:ds="http://schemas.openxmlformats.org/officeDocument/2006/customXml" ds:itemID="{BCD48DCC-8AAC-4E2F-8F96-5AF6188C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2513</Words>
  <Characters>14325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Jenks</dc:creator>
  <cp:lastModifiedBy>Piper, Kevyn@Energy</cp:lastModifiedBy>
  <cp:revision>2</cp:revision>
  <cp:lastPrinted>2016-07-07T18:53:00Z</cp:lastPrinted>
  <dcterms:created xsi:type="dcterms:W3CDTF">2016-07-07T22:55:00Z</dcterms:created>
  <dcterms:modified xsi:type="dcterms:W3CDTF">2016-07-07T22:55:00Z</dcterms:modified>
</cp:coreProperties>
</file>