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CB21" w14:textId="77777777" w:rsidR="0065470C" w:rsidRDefault="0065470C" w:rsidP="00CD5882">
      <w:pPr>
        <w:keepLines/>
        <w:widowControl w:val="0"/>
        <w:ind w:right="-216"/>
        <w:jc w:val="center"/>
        <w:rPr>
          <w:b/>
          <w:sz w:val="40"/>
          <w:szCs w:val="40"/>
        </w:rPr>
      </w:pPr>
    </w:p>
    <w:p w14:paraId="6FE362F6" w14:textId="77777777" w:rsidR="001C2D56" w:rsidRPr="00756976" w:rsidRDefault="0065470C" w:rsidP="00CD5882">
      <w:pPr>
        <w:keepLines/>
        <w:widowControl w:val="0"/>
        <w:ind w:right="-216"/>
        <w:jc w:val="center"/>
        <w:rPr>
          <w:b/>
          <w:sz w:val="40"/>
          <w:szCs w:val="40"/>
        </w:rPr>
      </w:pPr>
      <w:r>
        <w:rPr>
          <w:b/>
          <w:sz w:val="40"/>
          <w:szCs w:val="40"/>
        </w:rPr>
        <w:t>GRANT FUNDING OPPORTUNITY</w:t>
      </w:r>
    </w:p>
    <w:p w14:paraId="01587D7E" w14:textId="77777777" w:rsidR="0049610E" w:rsidRPr="00393F3E" w:rsidRDefault="0049610E" w:rsidP="00CD5882">
      <w:pPr>
        <w:keepLines/>
        <w:widowControl w:val="0"/>
        <w:ind w:right="-216"/>
        <w:jc w:val="center"/>
        <w:rPr>
          <w:b/>
          <w:u w:val="single"/>
        </w:rPr>
      </w:pPr>
    </w:p>
    <w:p w14:paraId="3AD303A5" w14:textId="311D66C0" w:rsidR="0065470C" w:rsidRPr="00C31C1D" w:rsidRDefault="00D91C81" w:rsidP="0065470C">
      <w:pPr>
        <w:keepLines/>
        <w:widowControl w:val="0"/>
        <w:jc w:val="center"/>
        <w:rPr>
          <w:b/>
          <w:sz w:val="36"/>
        </w:rPr>
      </w:pPr>
      <w:r>
        <w:rPr>
          <w:b/>
          <w:color w:val="0070C0"/>
          <w:sz w:val="36"/>
        </w:rPr>
        <w:t>Developing non-Lithium</w:t>
      </w:r>
      <w:r w:rsidR="00C6265B" w:rsidRPr="00C6265B">
        <w:rPr>
          <w:b/>
          <w:color w:val="0070C0"/>
          <w:sz w:val="36"/>
        </w:rPr>
        <w:t xml:space="preserve"> </w:t>
      </w:r>
      <w:r w:rsidR="00F6594E">
        <w:rPr>
          <w:b/>
          <w:color w:val="0070C0"/>
          <w:sz w:val="36"/>
        </w:rPr>
        <w:t xml:space="preserve">Ion </w:t>
      </w:r>
      <w:r w:rsidR="00C6265B" w:rsidRPr="00C6265B">
        <w:rPr>
          <w:b/>
          <w:color w:val="0070C0"/>
          <w:sz w:val="36"/>
        </w:rPr>
        <w:t xml:space="preserve">Energy Storage Technologies </w:t>
      </w:r>
      <w:r w:rsidR="000C6C27">
        <w:rPr>
          <w:b/>
          <w:color w:val="0070C0"/>
          <w:sz w:val="36"/>
        </w:rPr>
        <w:t xml:space="preserve">to </w:t>
      </w:r>
      <w:r w:rsidR="00405099">
        <w:rPr>
          <w:b/>
          <w:color w:val="0070C0"/>
          <w:sz w:val="36"/>
        </w:rPr>
        <w:t>Support California’s Clean Energy Goals</w:t>
      </w:r>
      <w:r w:rsidR="000C6C27">
        <w:rPr>
          <w:b/>
          <w:color w:val="0070C0"/>
          <w:sz w:val="36"/>
        </w:rPr>
        <w:t xml:space="preserve"> </w:t>
      </w:r>
    </w:p>
    <w:p w14:paraId="4C3FA59C" w14:textId="77777777" w:rsidR="0043353E" w:rsidRPr="0043353E" w:rsidRDefault="0043353E" w:rsidP="00CD4B7D">
      <w:pPr>
        <w:keepLines/>
        <w:widowControl w:val="0"/>
        <w:jc w:val="center"/>
        <w:rPr>
          <w:sz w:val="96"/>
          <w:szCs w:val="96"/>
        </w:rPr>
      </w:pPr>
    </w:p>
    <w:p w14:paraId="40C140B7" w14:textId="77777777" w:rsidR="001C2D56" w:rsidRPr="00C31C1D" w:rsidRDefault="008643CD" w:rsidP="00CD4B7D">
      <w:pPr>
        <w:keepLines/>
        <w:widowControl w:val="0"/>
        <w:jc w:val="center"/>
        <w:rPr>
          <w:szCs w:val="22"/>
        </w:rPr>
      </w:pPr>
      <w:r w:rsidRPr="001C5FD4">
        <w:rPr>
          <w:noProof/>
        </w:rPr>
        <w:drawing>
          <wp:inline distT="0" distB="0" distL="0" distR="0" wp14:anchorId="2E7C890B" wp14:editId="7AA235EC">
            <wp:extent cx="2855508" cy="2559697"/>
            <wp:effectExtent l="0" t="0" r="2540" b="0"/>
            <wp:docPr id="2" name="Picture 2" descr="logo text reads: State of California Energy Commission since 1975"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55508" cy="2559697"/>
                    </a:xfrm>
                    <a:prstGeom prst="rect">
                      <a:avLst/>
                    </a:prstGeom>
                  </pic:spPr>
                </pic:pic>
              </a:graphicData>
            </a:graphic>
          </wp:inline>
        </w:drawing>
      </w:r>
    </w:p>
    <w:p w14:paraId="50DC8DA9" w14:textId="77777777" w:rsidR="001C2D56" w:rsidRPr="0043353E" w:rsidRDefault="001C2D56" w:rsidP="00CD4B7D">
      <w:pPr>
        <w:keepLines/>
        <w:widowControl w:val="0"/>
        <w:jc w:val="center"/>
        <w:rPr>
          <w:sz w:val="96"/>
          <w:szCs w:val="96"/>
        </w:rPr>
      </w:pPr>
    </w:p>
    <w:p w14:paraId="38337CCA" w14:textId="4926EF23" w:rsidR="001C2D56" w:rsidRPr="00C31C1D" w:rsidRDefault="0049610E" w:rsidP="00CD4B7D">
      <w:pPr>
        <w:keepLines/>
        <w:widowControl w:val="0"/>
        <w:jc w:val="center"/>
        <w:rPr>
          <w:b/>
          <w:sz w:val="24"/>
        </w:rPr>
      </w:pPr>
      <w:r>
        <w:rPr>
          <w:b/>
          <w:sz w:val="24"/>
          <w:szCs w:val="22"/>
        </w:rPr>
        <w:t>GFO</w:t>
      </w:r>
      <w:r w:rsidR="001C2D56" w:rsidRPr="00DF51D2">
        <w:rPr>
          <w:b/>
          <w:sz w:val="24"/>
          <w:szCs w:val="22"/>
        </w:rPr>
        <w:t>-</w:t>
      </w:r>
      <w:r w:rsidR="009D55B2" w:rsidRPr="00DF51D2">
        <w:rPr>
          <w:b/>
          <w:sz w:val="24"/>
          <w:szCs w:val="22"/>
        </w:rPr>
        <w:t>19</w:t>
      </w:r>
      <w:r w:rsidR="001C2D56" w:rsidRPr="00DF51D2">
        <w:rPr>
          <w:b/>
          <w:sz w:val="24"/>
          <w:szCs w:val="22"/>
        </w:rPr>
        <w:t>-</w:t>
      </w:r>
      <w:r w:rsidR="009D55B2" w:rsidRPr="00DF51D2">
        <w:rPr>
          <w:b/>
          <w:sz w:val="24"/>
          <w:szCs w:val="22"/>
        </w:rPr>
        <w:t>305</w:t>
      </w:r>
    </w:p>
    <w:p w14:paraId="4F544758" w14:textId="563BBFCD" w:rsidR="00443C9B" w:rsidRPr="00C31C1D" w:rsidRDefault="00443C9B" w:rsidP="00CD4B7D">
      <w:pPr>
        <w:keepLines/>
        <w:widowControl w:val="0"/>
        <w:jc w:val="center"/>
        <w:rPr>
          <w:sz w:val="24"/>
          <w:szCs w:val="22"/>
        </w:rPr>
      </w:pPr>
      <w:hyperlink r:id="rId9" w:tooltip="Click this link to open the California Energy Commission's Available Solicitations page" w:history="1">
        <w:r w:rsidRPr="00404C1C">
          <w:rPr>
            <w:rStyle w:val="Hyperlink"/>
            <w:rFonts w:cs="Arial"/>
            <w:sz w:val="24"/>
            <w:szCs w:val="22"/>
          </w:rPr>
          <w:t>http://www.energy.ca.gov/cont</w:t>
        </w:r>
        <w:r w:rsidRPr="00404C1C">
          <w:rPr>
            <w:rStyle w:val="Hyperlink"/>
            <w:rFonts w:cs="Arial"/>
            <w:sz w:val="24"/>
            <w:szCs w:val="22"/>
          </w:rPr>
          <w:t>r</w:t>
        </w:r>
        <w:r w:rsidRPr="00404C1C">
          <w:rPr>
            <w:rStyle w:val="Hyperlink"/>
            <w:rFonts w:cs="Arial"/>
            <w:sz w:val="24"/>
            <w:szCs w:val="22"/>
          </w:rPr>
          <w:t>acts/index.html</w:t>
        </w:r>
      </w:hyperlink>
    </w:p>
    <w:p w14:paraId="04389F14" w14:textId="77777777" w:rsidR="001C2D56" w:rsidRPr="00C31C1D" w:rsidRDefault="001C2D56" w:rsidP="00CD4B7D">
      <w:pPr>
        <w:keepLines/>
        <w:widowControl w:val="0"/>
        <w:jc w:val="center"/>
        <w:rPr>
          <w:b/>
          <w:sz w:val="24"/>
          <w:szCs w:val="22"/>
        </w:rPr>
      </w:pPr>
      <w:r w:rsidRPr="00C31C1D">
        <w:rPr>
          <w:b/>
          <w:sz w:val="24"/>
          <w:szCs w:val="22"/>
        </w:rPr>
        <w:t>State of California</w:t>
      </w:r>
    </w:p>
    <w:p w14:paraId="0B3B67CF" w14:textId="77777777" w:rsidR="001C2D56" w:rsidRPr="00C31C1D" w:rsidRDefault="001C2D56" w:rsidP="00CD4B7D">
      <w:pPr>
        <w:keepLines/>
        <w:widowControl w:val="0"/>
        <w:jc w:val="center"/>
        <w:rPr>
          <w:b/>
          <w:sz w:val="24"/>
          <w:szCs w:val="22"/>
        </w:rPr>
      </w:pPr>
      <w:r w:rsidRPr="00C31C1D">
        <w:rPr>
          <w:b/>
          <w:sz w:val="24"/>
          <w:szCs w:val="22"/>
        </w:rPr>
        <w:t>California Energy Commission</w:t>
      </w:r>
    </w:p>
    <w:p w14:paraId="010A23C1" w14:textId="05FEAFAC" w:rsidR="0065470C" w:rsidRPr="00DF51D2" w:rsidRDefault="009D55B2" w:rsidP="0065470C">
      <w:pPr>
        <w:keepLines/>
        <w:widowControl w:val="0"/>
        <w:tabs>
          <w:tab w:val="left" w:pos="1440"/>
        </w:tabs>
        <w:jc w:val="center"/>
      </w:pPr>
      <w:r w:rsidRPr="00DF51D2">
        <w:t xml:space="preserve">December </w:t>
      </w:r>
      <w:r w:rsidR="00EA30E0" w:rsidRPr="00DF51D2">
        <w:t>2019</w:t>
      </w:r>
    </w:p>
    <w:p w14:paraId="7D0A5563" w14:textId="77777777" w:rsidR="0065470C" w:rsidRPr="00945323" w:rsidRDefault="0065470C" w:rsidP="0065470C">
      <w:pPr>
        <w:keepLines/>
        <w:widowControl w:val="0"/>
        <w:tabs>
          <w:tab w:val="left" w:pos="1440"/>
        </w:tabs>
        <w:jc w:val="center"/>
      </w:pPr>
    </w:p>
    <w:p w14:paraId="107AB29A" w14:textId="77777777" w:rsidR="00510283" w:rsidRPr="00510283" w:rsidRDefault="00510283" w:rsidP="00510283">
      <w:pPr>
        <w:keepLines/>
        <w:widowControl w:val="0"/>
        <w:tabs>
          <w:tab w:val="left" w:pos="1440"/>
        </w:tabs>
        <w:jc w:val="center"/>
        <w:rPr>
          <w:color w:val="0070C0"/>
          <w:szCs w:val="22"/>
        </w:rPr>
        <w:sectPr w:rsidR="00510283" w:rsidRPr="00510283" w:rsidSect="00EF3F96">
          <w:type w:val="continuous"/>
          <w:pgSz w:w="12240" w:h="15840" w:code="1"/>
          <w:pgMar w:top="1440" w:right="1440" w:bottom="1440" w:left="1440" w:header="1008" w:footer="432" w:gutter="0"/>
          <w:pgNumType w:fmt="lowerRoman" w:start="1"/>
          <w:cols w:space="720"/>
        </w:sectPr>
      </w:pPr>
    </w:p>
    <w:p w14:paraId="4E2271B8"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03A3887B" w14:textId="2C14DAD5" w:rsidR="00151FE6" w:rsidRDefault="0083690A">
      <w:pPr>
        <w:pStyle w:val="TOC1"/>
        <w:rPr>
          <w:rFonts w:asciiTheme="minorHAnsi" w:eastAsiaTheme="minorEastAsia" w:hAnsiTheme="minorHAnsi" w:cstheme="minorBidi"/>
          <w:b w:val="0"/>
          <w:bCs w:val="0"/>
          <w:caps w:val="0"/>
          <w:noProof/>
          <w:sz w:val="22"/>
          <w:szCs w:val="22"/>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151FE6">
        <w:rPr>
          <w:noProof/>
        </w:rPr>
        <w:t>I.</w:t>
      </w:r>
      <w:r w:rsidR="00151FE6">
        <w:rPr>
          <w:rFonts w:asciiTheme="minorHAnsi" w:eastAsiaTheme="minorEastAsia" w:hAnsiTheme="minorHAnsi" w:cstheme="minorBidi"/>
          <w:b w:val="0"/>
          <w:bCs w:val="0"/>
          <w:caps w:val="0"/>
          <w:noProof/>
          <w:sz w:val="22"/>
          <w:szCs w:val="22"/>
        </w:rPr>
        <w:tab/>
      </w:r>
      <w:r w:rsidR="00151FE6">
        <w:rPr>
          <w:noProof/>
        </w:rPr>
        <w:t>Introduction</w:t>
      </w:r>
      <w:r w:rsidR="00151FE6">
        <w:rPr>
          <w:noProof/>
        </w:rPr>
        <w:tab/>
      </w:r>
      <w:r w:rsidR="00151FE6">
        <w:rPr>
          <w:noProof/>
        </w:rPr>
        <w:fldChar w:fldCharType="begin"/>
      </w:r>
      <w:r w:rsidR="00151FE6">
        <w:rPr>
          <w:noProof/>
        </w:rPr>
        <w:instrText xml:space="preserve"> PAGEREF _Toc27467012 \h </w:instrText>
      </w:r>
      <w:r w:rsidR="00151FE6">
        <w:rPr>
          <w:noProof/>
        </w:rPr>
      </w:r>
      <w:r w:rsidR="00151FE6">
        <w:rPr>
          <w:noProof/>
        </w:rPr>
        <w:fldChar w:fldCharType="separate"/>
      </w:r>
      <w:r w:rsidR="00383AFB">
        <w:rPr>
          <w:noProof/>
        </w:rPr>
        <w:t>1</w:t>
      </w:r>
      <w:r w:rsidR="00151FE6">
        <w:rPr>
          <w:noProof/>
        </w:rPr>
        <w:fldChar w:fldCharType="end"/>
      </w:r>
    </w:p>
    <w:p w14:paraId="33B78DC2" w14:textId="437578B8"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sidRPr="00E4173A">
        <w:rPr>
          <w:noProof/>
        </w:rPr>
        <w:t>A.</w:t>
      </w:r>
      <w:r>
        <w:rPr>
          <w:rFonts w:asciiTheme="minorHAnsi" w:eastAsiaTheme="minorEastAsia" w:hAnsiTheme="minorHAnsi" w:cstheme="minorBidi"/>
          <w:smallCaps w:val="0"/>
          <w:noProof/>
          <w:sz w:val="22"/>
          <w:szCs w:val="22"/>
        </w:rPr>
        <w:tab/>
      </w:r>
      <w:r>
        <w:rPr>
          <w:noProof/>
        </w:rPr>
        <w:t>Purpose of Solicitation</w:t>
      </w:r>
      <w:r>
        <w:rPr>
          <w:noProof/>
        </w:rPr>
        <w:tab/>
      </w:r>
      <w:r>
        <w:rPr>
          <w:noProof/>
        </w:rPr>
        <w:fldChar w:fldCharType="begin"/>
      </w:r>
      <w:r>
        <w:rPr>
          <w:noProof/>
        </w:rPr>
        <w:instrText xml:space="preserve"> PAGEREF _Toc27467013 \h </w:instrText>
      </w:r>
      <w:r>
        <w:rPr>
          <w:noProof/>
        </w:rPr>
      </w:r>
      <w:r>
        <w:rPr>
          <w:noProof/>
        </w:rPr>
        <w:fldChar w:fldCharType="separate"/>
      </w:r>
      <w:r w:rsidR="00383AFB">
        <w:rPr>
          <w:noProof/>
        </w:rPr>
        <w:t>1</w:t>
      </w:r>
      <w:r>
        <w:rPr>
          <w:noProof/>
        </w:rPr>
        <w:fldChar w:fldCharType="end"/>
      </w:r>
    </w:p>
    <w:p w14:paraId="23C6125C" w14:textId="3180A172"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sidRPr="00E4173A">
        <w:rPr>
          <w:noProof/>
        </w:rPr>
        <w:t>B.</w:t>
      </w:r>
      <w:r>
        <w:rPr>
          <w:rFonts w:asciiTheme="minorHAnsi" w:eastAsiaTheme="minorEastAsia" w:hAnsiTheme="minorHAnsi" w:cstheme="minorBidi"/>
          <w:smallCaps w:val="0"/>
          <w:noProof/>
          <w:sz w:val="22"/>
          <w:szCs w:val="22"/>
        </w:rPr>
        <w:tab/>
      </w:r>
      <w:r>
        <w:rPr>
          <w:noProof/>
        </w:rPr>
        <w:t>Key Words/Terms</w:t>
      </w:r>
      <w:r>
        <w:rPr>
          <w:noProof/>
        </w:rPr>
        <w:tab/>
      </w:r>
      <w:r>
        <w:rPr>
          <w:noProof/>
        </w:rPr>
        <w:fldChar w:fldCharType="begin"/>
      </w:r>
      <w:r>
        <w:rPr>
          <w:noProof/>
        </w:rPr>
        <w:instrText xml:space="preserve"> PAGEREF _Toc27467014 \h </w:instrText>
      </w:r>
      <w:r>
        <w:rPr>
          <w:noProof/>
        </w:rPr>
      </w:r>
      <w:r>
        <w:rPr>
          <w:noProof/>
        </w:rPr>
        <w:fldChar w:fldCharType="separate"/>
      </w:r>
      <w:r w:rsidR="00383AFB">
        <w:rPr>
          <w:noProof/>
        </w:rPr>
        <w:t>2</w:t>
      </w:r>
      <w:r>
        <w:rPr>
          <w:noProof/>
        </w:rPr>
        <w:fldChar w:fldCharType="end"/>
      </w:r>
    </w:p>
    <w:p w14:paraId="00BB26D2" w14:textId="593AB792"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Applicants’ Admonishment</w:t>
      </w:r>
      <w:r>
        <w:rPr>
          <w:noProof/>
        </w:rPr>
        <w:tab/>
      </w:r>
      <w:r>
        <w:rPr>
          <w:noProof/>
        </w:rPr>
        <w:fldChar w:fldCharType="begin"/>
      </w:r>
      <w:r>
        <w:rPr>
          <w:noProof/>
        </w:rPr>
        <w:instrText xml:space="preserve"> PAGEREF _Toc27467015 \h </w:instrText>
      </w:r>
      <w:r>
        <w:rPr>
          <w:noProof/>
        </w:rPr>
      </w:r>
      <w:r>
        <w:rPr>
          <w:noProof/>
        </w:rPr>
        <w:fldChar w:fldCharType="separate"/>
      </w:r>
      <w:r w:rsidR="00383AFB">
        <w:rPr>
          <w:noProof/>
        </w:rPr>
        <w:t>4</w:t>
      </w:r>
      <w:r>
        <w:rPr>
          <w:noProof/>
        </w:rPr>
        <w:fldChar w:fldCharType="end"/>
      </w:r>
    </w:p>
    <w:p w14:paraId="26CD0023" w14:textId="10B95D9C"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additional requirements</w:t>
      </w:r>
      <w:r>
        <w:rPr>
          <w:noProof/>
        </w:rPr>
        <w:tab/>
      </w:r>
      <w:r>
        <w:rPr>
          <w:noProof/>
        </w:rPr>
        <w:fldChar w:fldCharType="begin"/>
      </w:r>
      <w:r>
        <w:rPr>
          <w:noProof/>
        </w:rPr>
        <w:instrText xml:space="preserve"> PAGEREF _Toc27467016 \h </w:instrText>
      </w:r>
      <w:r>
        <w:rPr>
          <w:noProof/>
        </w:rPr>
      </w:r>
      <w:r>
        <w:rPr>
          <w:noProof/>
        </w:rPr>
        <w:fldChar w:fldCharType="separate"/>
      </w:r>
      <w:r w:rsidR="00383AFB">
        <w:rPr>
          <w:noProof/>
        </w:rPr>
        <w:t>4</w:t>
      </w:r>
      <w:r>
        <w:rPr>
          <w:noProof/>
        </w:rPr>
        <w:fldChar w:fldCharType="end"/>
      </w:r>
    </w:p>
    <w:p w14:paraId="218AFAE3" w14:textId="32611512"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Background</w:t>
      </w:r>
      <w:r>
        <w:rPr>
          <w:noProof/>
        </w:rPr>
        <w:tab/>
      </w:r>
      <w:r>
        <w:rPr>
          <w:noProof/>
        </w:rPr>
        <w:fldChar w:fldCharType="begin"/>
      </w:r>
      <w:r>
        <w:rPr>
          <w:noProof/>
        </w:rPr>
        <w:instrText xml:space="preserve"> PAGEREF _Toc27467017 \h </w:instrText>
      </w:r>
      <w:r>
        <w:rPr>
          <w:noProof/>
        </w:rPr>
      </w:r>
      <w:r>
        <w:rPr>
          <w:noProof/>
        </w:rPr>
        <w:fldChar w:fldCharType="separate"/>
      </w:r>
      <w:r w:rsidR="00383AFB">
        <w:rPr>
          <w:noProof/>
        </w:rPr>
        <w:t>5</w:t>
      </w:r>
      <w:r>
        <w:rPr>
          <w:noProof/>
        </w:rPr>
        <w:fldChar w:fldCharType="end"/>
      </w:r>
    </w:p>
    <w:p w14:paraId="6BC78FF8" w14:textId="21A5F20C"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Funding</w:t>
      </w:r>
      <w:r>
        <w:rPr>
          <w:noProof/>
        </w:rPr>
        <w:tab/>
      </w:r>
      <w:r>
        <w:rPr>
          <w:noProof/>
        </w:rPr>
        <w:fldChar w:fldCharType="begin"/>
      </w:r>
      <w:r>
        <w:rPr>
          <w:noProof/>
        </w:rPr>
        <w:instrText xml:space="preserve"> PAGEREF _Toc27467018 \h </w:instrText>
      </w:r>
      <w:r>
        <w:rPr>
          <w:noProof/>
        </w:rPr>
      </w:r>
      <w:r>
        <w:rPr>
          <w:noProof/>
        </w:rPr>
        <w:fldChar w:fldCharType="separate"/>
      </w:r>
      <w:r w:rsidR="00383AFB">
        <w:rPr>
          <w:noProof/>
        </w:rPr>
        <w:t>10</w:t>
      </w:r>
      <w:r>
        <w:rPr>
          <w:noProof/>
        </w:rPr>
        <w:fldChar w:fldCharType="end"/>
      </w:r>
    </w:p>
    <w:p w14:paraId="61EB19CF" w14:textId="1359E741"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G.</w:t>
      </w:r>
      <w:r>
        <w:rPr>
          <w:rFonts w:asciiTheme="minorHAnsi" w:eastAsiaTheme="minorEastAsia" w:hAnsiTheme="minorHAnsi" w:cstheme="minorBidi"/>
          <w:smallCaps w:val="0"/>
          <w:noProof/>
          <w:sz w:val="22"/>
          <w:szCs w:val="22"/>
        </w:rPr>
        <w:tab/>
      </w:r>
      <w:r>
        <w:rPr>
          <w:noProof/>
        </w:rPr>
        <w:t>Key Activities Schedule</w:t>
      </w:r>
      <w:r>
        <w:rPr>
          <w:noProof/>
        </w:rPr>
        <w:tab/>
      </w:r>
      <w:r>
        <w:rPr>
          <w:noProof/>
        </w:rPr>
        <w:fldChar w:fldCharType="begin"/>
      </w:r>
      <w:r>
        <w:rPr>
          <w:noProof/>
        </w:rPr>
        <w:instrText xml:space="preserve"> PAGEREF _Toc27467019 \h </w:instrText>
      </w:r>
      <w:r>
        <w:rPr>
          <w:noProof/>
        </w:rPr>
      </w:r>
      <w:r>
        <w:rPr>
          <w:noProof/>
        </w:rPr>
        <w:fldChar w:fldCharType="separate"/>
      </w:r>
      <w:r w:rsidR="00383AFB">
        <w:rPr>
          <w:noProof/>
        </w:rPr>
        <w:t>13</w:t>
      </w:r>
      <w:r>
        <w:rPr>
          <w:noProof/>
        </w:rPr>
        <w:fldChar w:fldCharType="end"/>
      </w:r>
    </w:p>
    <w:p w14:paraId="134A1469" w14:textId="31412E7A"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H.</w:t>
      </w:r>
      <w:r>
        <w:rPr>
          <w:rFonts w:asciiTheme="minorHAnsi" w:eastAsiaTheme="minorEastAsia" w:hAnsiTheme="minorHAnsi" w:cstheme="minorBidi"/>
          <w:smallCaps w:val="0"/>
          <w:noProof/>
          <w:sz w:val="22"/>
          <w:szCs w:val="22"/>
        </w:rPr>
        <w:tab/>
      </w:r>
      <w:r>
        <w:rPr>
          <w:noProof/>
        </w:rPr>
        <w:t>Notice of Pre-Application Workshop</w:t>
      </w:r>
      <w:r>
        <w:rPr>
          <w:noProof/>
        </w:rPr>
        <w:tab/>
      </w:r>
      <w:r>
        <w:rPr>
          <w:noProof/>
        </w:rPr>
        <w:fldChar w:fldCharType="begin"/>
      </w:r>
      <w:r>
        <w:rPr>
          <w:noProof/>
        </w:rPr>
        <w:instrText xml:space="preserve"> PAGEREF _Toc27467020 \h </w:instrText>
      </w:r>
      <w:r>
        <w:rPr>
          <w:noProof/>
        </w:rPr>
      </w:r>
      <w:r>
        <w:rPr>
          <w:noProof/>
        </w:rPr>
        <w:fldChar w:fldCharType="separate"/>
      </w:r>
      <w:r w:rsidR="00383AFB">
        <w:rPr>
          <w:noProof/>
        </w:rPr>
        <w:t>14</w:t>
      </w:r>
      <w:r>
        <w:rPr>
          <w:noProof/>
        </w:rPr>
        <w:fldChar w:fldCharType="end"/>
      </w:r>
    </w:p>
    <w:p w14:paraId="1BFDBD70" w14:textId="2FDC823A"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I.</w:t>
      </w:r>
      <w:r>
        <w:rPr>
          <w:rFonts w:asciiTheme="minorHAnsi" w:eastAsiaTheme="minorEastAsia" w:hAnsiTheme="minorHAnsi" w:cstheme="minorBidi"/>
          <w:smallCaps w:val="0"/>
          <w:noProof/>
          <w:sz w:val="22"/>
          <w:szCs w:val="22"/>
        </w:rPr>
        <w:tab/>
      </w:r>
      <w:r>
        <w:rPr>
          <w:noProof/>
        </w:rPr>
        <w:t>Questions</w:t>
      </w:r>
      <w:r>
        <w:rPr>
          <w:noProof/>
        </w:rPr>
        <w:tab/>
      </w:r>
      <w:r>
        <w:rPr>
          <w:noProof/>
        </w:rPr>
        <w:fldChar w:fldCharType="begin"/>
      </w:r>
      <w:r>
        <w:rPr>
          <w:noProof/>
        </w:rPr>
        <w:instrText xml:space="preserve"> PAGEREF _Toc27467021 \h </w:instrText>
      </w:r>
      <w:r>
        <w:rPr>
          <w:noProof/>
        </w:rPr>
      </w:r>
      <w:r>
        <w:rPr>
          <w:noProof/>
        </w:rPr>
        <w:fldChar w:fldCharType="separate"/>
      </w:r>
      <w:r w:rsidR="00383AFB">
        <w:rPr>
          <w:noProof/>
        </w:rPr>
        <w:t>15</w:t>
      </w:r>
      <w:r>
        <w:rPr>
          <w:noProof/>
        </w:rPr>
        <w:fldChar w:fldCharType="end"/>
      </w:r>
    </w:p>
    <w:p w14:paraId="70593B7D" w14:textId="7EACDD94" w:rsidR="00151FE6" w:rsidRDefault="00151FE6">
      <w:pPr>
        <w:pStyle w:val="TOC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_Toc27467022 \h </w:instrText>
      </w:r>
      <w:r>
        <w:rPr>
          <w:noProof/>
        </w:rPr>
      </w:r>
      <w:r>
        <w:rPr>
          <w:noProof/>
        </w:rPr>
        <w:fldChar w:fldCharType="separate"/>
      </w:r>
      <w:r w:rsidR="00383AFB">
        <w:rPr>
          <w:noProof/>
        </w:rPr>
        <w:t>16</w:t>
      </w:r>
      <w:r>
        <w:rPr>
          <w:noProof/>
        </w:rPr>
        <w:fldChar w:fldCharType="end"/>
      </w:r>
    </w:p>
    <w:p w14:paraId="2A4C2764" w14:textId="25287542"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sidRPr="00E4173A">
        <w:rPr>
          <w:smallCaps w:val="0"/>
          <w:noProof/>
        </w:rPr>
        <w:t>A.</w:t>
      </w:r>
      <w:r>
        <w:rPr>
          <w:rFonts w:asciiTheme="minorHAnsi" w:eastAsiaTheme="minorEastAsia" w:hAnsiTheme="minorHAnsi" w:cstheme="minorBidi"/>
          <w:smallCaps w:val="0"/>
          <w:noProof/>
          <w:sz w:val="22"/>
          <w:szCs w:val="22"/>
        </w:rPr>
        <w:tab/>
      </w:r>
      <w:r>
        <w:rPr>
          <w:noProof/>
        </w:rPr>
        <w:t>Applicant Requirements</w:t>
      </w:r>
      <w:r>
        <w:rPr>
          <w:noProof/>
        </w:rPr>
        <w:tab/>
      </w:r>
      <w:r>
        <w:rPr>
          <w:noProof/>
        </w:rPr>
        <w:fldChar w:fldCharType="begin"/>
      </w:r>
      <w:r>
        <w:rPr>
          <w:noProof/>
        </w:rPr>
        <w:instrText xml:space="preserve"> PAGEREF _Toc27467023 \h </w:instrText>
      </w:r>
      <w:r>
        <w:rPr>
          <w:noProof/>
        </w:rPr>
      </w:r>
      <w:r>
        <w:rPr>
          <w:noProof/>
        </w:rPr>
        <w:fldChar w:fldCharType="separate"/>
      </w:r>
      <w:r w:rsidR="00383AFB">
        <w:rPr>
          <w:noProof/>
        </w:rPr>
        <w:t>16</w:t>
      </w:r>
      <w:r>
        <w:rPr>
          <w:noProof/>
        </w:rPr>
        <w:fldChar w:fldCharType="end"/>
      </w:r>
    </w:p>
    <w:p w14:paraId="46900045" w14:textId="284E4D5A"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sidRPr="00E4173A">
        <w:rPr>
          <w:smallCaps w:val="0"/>
          <w:noProof/>
        </w:rPr>
        <w:t>B.</w:t>
      </w:r>
      <w:r>
        <w:rPr>
          <w:rFonts w:asciiTheme="minorHAnsi" w:eastAsiaTheme="minorEastAsia" w:hAnsiTheme="minorHAnsi" w:cstheme="minorBidi"/>
          <w:smallCaps w:val="0"/>
          <w:noProof/>
          <w:sz w:val="22"/>
          <w:szCs w:val="22"/>
        </w:rPr>
        <w:tab/>
      </w:r>
      <w:r>
        <w:rPr>
          <w:noProof/>
        </w:rPr>
        <w:t>Project Requirements</w:t>
      </w:r>
      <w:r>
        <w:rPr>
          <w:noProof/>
        </w:rPr>
        <w:tab/>
      </w:r>
      <w:r>
        <w:rPr>
          <w:noProof/>
        </w:rPr>
        <w:fldChar w:fldCharType="begin"/>
      </w:r>
      <w:r>
        <w:rPr>
          <w:noProof/>
        </w:rPr>
        <w:instrText xml:space="preserve"> PAGEREF _Toc27467024 \h </w:instrText>
      </w:r>
      <w:r>
        <w:rPr>
          <w:noProof/>
        </w:rPr>
      </w:r>
      <w:r>
        <w:rPr>
          <w:noProof/>
        </w:rPr>
        <w:fldChar w:fldCharType="separate"/>
      </w:r>
      <w:r w:rsidR="00383AFB">
        <w:rPr>
          <w:noProof/>
        </w:rPr>
        <w:t>17</w:t>
      </w:r>
      <w:r>
        <w:rPr>
          <w:noProof/>
        </w:rPr>
        <w:fldChar w:fldCharType="end"/>
      </w:r>
    </w:p>
    <w:p w14:paraId="1D6721D9" w14:textId="3EA2A7CD" w:rsidR="00151FE6" w:rsidRDefault="00151FE6">
      <w:pPr>
        <w:pStyle w:val="TOC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_Toc27467025 \h </w:instrText>
      </w:r>
      <w:r>
        <w:rPr>
          <w:noProof/>
        </w:rPr>
      </w:r>
      <w:r>
        <w:rPr>
          <w:noProof/>
        </w:rPr>
        <w:fldChar w:fldCharType="separate"/>
      </w:r>
      <w:r w:rsidR="00383AFB">
        <w:rPr>
          <w:noProof/>
        </w:rPr>
        <w:t>23</w:t>
      </w:r>
      <w:r>
        <w:rPr>
          <w:noProof/>
        </w:rPr>
        <w:fldChar w:fldCharType="end"/>
      </w:r>
    </w:p>
    <w:p w14:paraId="188A3FF3" w14:textId="4F4B0435"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_Toc27467026 \h </w:instrText>
      </w:r>
      <w:r>
        <w:rPr>
          <w:noProof/>
        </w:rPr>
      </w:r>
      <w:r>
        <w:rPr>
          <w:noProof/>
        </w:rPr>
        <w:fldChar w:fldCharType="separate"/>
      </w:r>
      <w:r w:rsidR="00383AFB">
        <w:rPr>
          <w:noProof/>
        </w:rPr>
        <w:t>23</w:t>
      </w:r>
      <w:r>
        <w:rPr>
          <w:noProof/>
        </w:rPr>
        <w:fldChar w:fldCharType="end"/>
      </w:r>
    </w:p>
    <w:p w14:paraId="0AC41703" w14:textId="2644483F"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Preferred Method For Delivery</w:t>
      </w:r>
      <w:r>
        <w:rPr>
          <w:noProof/>
        </w:rPr>
        <w:tab/>
      </w:r>
      <w:r>
        <w:rPr>
          <w:noProof/>
        </w:rPr>
        <w:fldChar w:fldCharType="begin"/>
      </w:r>
      <w:r>
        <w:rPr>
          <w:noProof/>
        </w:rPr>
        <w:instrText xml:space="preserve"> PAGEREF _Toc27467027 \h </w:instrText>
      </w:r>
      <w:r>
        <w:rPr>
          <w:noProof/>
        </w:rPr>
      </w:r>
      <w:r>
        <w:rPr>
          <w:noProof/>
        </w:rPr>
        <w:fldChar w:fldCharType="separate"/>
      </w:r>
      <w:r w:rsidR="00383AFB">
        <w:rPr>
          <w:noProof/>
        </w:rPr>
        <w:t>24</w:t>
      </w:r>
      <w:r>
        <w:rPr>
          <w:noProof/>
        </w:rPr>
        <w:fldChar w:fldCharType="end"/>
      </w:r>
    </w:p>
    <w:p w14:paraId="1FB37761" w14:textId="6B7E3835"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Hard Copy Delivery</w:t>
      </w:r>
      <w:r>
        <w:rPr>
          <w:noProof/>
        </w:rPr>
        <w:tab/>
      </w:r>
      <w:r>
        <w:rPr>
          <w:noProof/>
        </w:rPr>
        <w:fldChar w:fldCharType="begin"/>
      </w:r>
      <w:r>
        <w:rPr>
          <w:noProof/>
        </w:rPr>
        <w:instrText xml:space="preserve"> PAGEREF _Toc27467028 \h </w:instrText>
      </w:r>
      <w:r>
        <w:rPr>
          <w:noProof/>
        </w:rPr>
      </w:r>
      <w:r>
        <w:rPr>
          <w:noProof/>
        </w:rPr>
        <w:fldChar w:fldCharType="separate"/>
      </w:r>
      <w:r w:rsidR="00383AFB">
        <w:rPr>
          <w:noProof/>
        </w:rPr>
        <w:t>24</w:t>
      </w:r>
      <w:r>
        <w:rPr>
          <w:noProof/>
        </w:rPr>
        <w:fldChar w:fldCharType="end"/>
      </w:r>
    </w:p>
    <w:p w14:paraId="42F77AF0" w14:textId="6B3C9BE3"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Application Organization and Content</w:t>
      </w:r>
      <w:r>
        <w:rPr>
          <w:noProof/>
        </w:rPr>
        <w:tab/>
      </w:r>
      <w:r>
        <w:rPr>
          <w:noProof/>
        </w:rPr>
        <w:fldChar w:fldCharType="begin"/>
      </w:r>
      <w:r>
        <w:rPr>
          <w:noProof/>
        </w:rPr>
        <w:instrText xml:space="preserve"> PAGEREF _Toc27467029 \h </w:instrText>
      </w:r>
      <w:r>
        <w:rPr>
          <w:noProof/>
        </w:rPr>
      </w:r>
      <w:r>
        <w:rPr>
          <w:noProof/>
        </w:rPr>
        <w:fldChar w:fldCharType="separate"/>
      </w:r>
      <w:r w:rsidR="00383AFB">
        <w:rPr>
          <w:noProof/>
        </w:rPr>
        <w:t>25</w:t>
      </w:r>
      <w:r>
        <w:rPr>
          <w:noProof/>
        </w:rPr>
        <w:fldChar w:fldCharType="end"/>
      </w:r>
    </w:p>
    <w:p w14:paraId="2B341398" w14:textId="0842A20D" w:rsidR="00151FE6" w:rsidRDefault="00151FE6">
      <w:pPr>
        <w:pStyle w:val="TOC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_Toc27467030 \h </w:instrText>
      </w:r>
      <w:r>
        <w:rPr>
          <w:noProof/>
        </w:rPr>
      </w:r>
      <w:r>
        <w:rPr>
          <w:noProof/>
        </w:rPr>
        <w:fldChar w:fldCharType="separate"/>
      </w:r>
      <w:r w:rsidR="00383AFB">
        <w:rPr>
          <w:noProof/>
        </w:rPr>
        <w:t>31</w:t>
      </w:r>
      <w:r>
        <w:rPr>
          <w:noProof/>
        </w:rPr>
        <w:fldChar w:fldCharType="end"/>
      </w:r>
    </w:p>
    <w:p w14:paraId="07E06FDC" w14:textId="296E8542"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A.</w:t>
      </w:r>
      <w:r>
        <w:rPr>
          <w:rFonts w:asciiTheme="minorHAnsi" w:eastAsiaTheme="minorEastAsia" w:hAnsiTheme="minorHAnsi" w:cstheme="minorBidi"/>
          <w:smallCaps w:val="0"/>
          <w:noProof/>
          <w:sz w:val="22"/>
          <w:szCs w:val="22"/>
        </w:rPr>
        <w:tab/>
      </w:r>
      <w:r>
        <w:rPr>
          <w:noProof/>
        </w:rPr>
        <w:t>Application Evaluation</w:t>
      </w:r>
      <w:r>
        <w:rPr>
          <w:noProof/>
        </w:rPr>
        <w:tab/>
      </w:r>
      <w:r>
        <w:rPr>
          <w:noProof/>
        </w:rPr>
        <w:fldChar w:fldCharType="begin"/>
      </w:r>
      <w:r>
        <w:rPr>
          <w:noProof/>
        </w:rPr>
        <w:instrText xml:space="preserve"> PAGEREF _Toc27467031 \h </w:instrText>
      </w:r>
      <w:r>
        <w:rPr>
          <w:noProof/>
        </w:rPr>
      </w:r>
      <w:r>
        <w:rPr>
          <w:noProof/>
        </w:rPr>
        <w:fldChar w:fldCharType="separate"/>
      </w:r>
      <w:r w:rsidR="00383AFB">
        <w:rPr>
          <w:noProof/>
        </w:rPr>
        <w:t>31</w:t>
      </w:r>
      <w:r>
        <w:rPr>
          <w:noProof/>
        </w:rPr>
        <w:fldChar w:fldCharType="end"/>
      </w:r>
    </w:p>
    <w:p w14:paraId="483002E5" w14:textId="2CFB7F08"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B.</w:t>
      </w:r>
      <w:r>
        <w:rPr>
          <w:rFonts w:asciiTheme="minorHAnsi" w:eastAsiaTheme="minorEastAsia" w:hAnsiTheme="minorHAnsi" w:cstheme="minorBidi"/>
          <w:smallCaps w:val="0"/>
          <w:noProof/>
          <w:sz w:val="22"/>
          <w:szCs w:val="22"/>
        </w:rPr>
        <w:tab/>
      </w:r>
      <w:r>
        <w:rPr>
          <w:noProof/>
        </w:rPr>
        <w:t>Ranking, Notice of Proposed Award, and Agreement Development</w:t>
      </w:r>
      <w:r>
        <w:rPr>
          <w:noProof/>
        </w:rPr>
        <w:tab/>
      </w:r>
      <w:r>
        <w:rPr>
          <w:noProof/>
        </w:rPr>
        <w:fldChar w:fldCharType="begin"/>
      </w:r>
      <w:r>
        <w:rPr>
          <w:noProof/>
        </w:rPr>
        <w:instrText xml:space="preserve"> PAGEREF _Toc27467032 \h </w:instrText>
      </w:r>
      <w:r>
        <w:rPr>
          <w:noProof/>
        </w:rPr>
      </w:r>
      <w:r>
        <w:rPr>
          <w:noProof/>
        </w:rPr>
        <w:fldChar w:fldCharType="separate"/>
      </w:r>
      <w:r w:rsidR="00383AFB">
        <w:rPr>
          <w:noProof/>
        </w:rPr>
        <w:t>31</w:t>
      </w:r>
      <w:r>
        <w:rPr>
          <w:noProof/>
        </w:rPr>
        <w:fldChar w:fldCharType="end"/>
      </w:r>
    </w:p>
    <w:p w14:paraId="74EBD8F7" w14:textId="4165A52B"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C.</w:t>
      </w:r>
      <w:r>
        <w:rPr>
          <w:rFonts w:asciiTheme="minorHAnsi" w:eastAsiaTheme="minorEastAsia" w:hAnsiTheme="minorHAnsi" w:cstheme="minorBidi"/>
          <w:smallCaps w:val="0"/>
          <w:noProof/>
          <w:sz w:val="22"/>
          <w:szCs w:val="22"/>
        </w:rPr>
        <w:tab/>
      </w:r>
      <w:r>
        <w:rPr>
          <w:noProof/>
        </w:rPr>
        <w:t>Grounds to Reject an Application or Cancel an Award</w:t>
      </w:r>
      <w:r>
        <w:rPr>
          <w:noProof/>
        </w:rPr>
        <w:tab/>
      </w:r>
      <w:r>
        <w:rPr>
          <w:noProof/>
        </w:rPr>
        <w:fldChar w:fldCharType="begin"/>
      </w:r>
      <w:r>
        <w:rPr>
          <w:noProof/>
        </w:rPr>
        <w:instrText xml:space="preserve"> PAGEREF _Toc27467033 \h </w:instrText>
      </w:r>
      <w:r>
        <w:rPr>
          <w:noProof/>
        </w:rPr>
      </w:r>
      <w:r>
        <w:rPr>
          <w:noProof/>
        </w:rPr>
        <w:fldChar w:fldCharType="separate"/>
      </w:r>
      <w:r w:rsidR="00383AFB">
        <w:rPr>
          <w:noProof/>
        </w:rPr>
        <w:t>32</w:t>
      </w:r>
      <w:r>
        <w:rPr>
          <w:noProof/>
        </w:rPr>
        <w:fldChar w:fldCharType="end"/>
      </w:r>
    </w:p>
    <w:p w14:paraId="16EF6A67" w14:textId="49F12E6C"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D.</w:t>
      </w:r>
      <w:r>
        <w:rPr>
          <w:rFonts w:asciiTheme="minorHAnsi" w:eastAsiaTheme="minorEastAsia" w:hAnsiTheme="minorHAnsi" w:cstheme="minorBidi"/>
          <w:smallCaps w:val="0"/>
          <w:noProof/>
          <w:sz w:val="22"/>
          <w:szCs w:val="22"/>
        </w:rPr>
        <w:tab/>
      </w:r>
      <w:r>
        <w:rPr>
          <w:noProof/>
        </w:rPr>
        <w:t>Miscellaneous</w:t>
      </w:r>
      <w:r>
        <w:rPr>
          <w:noProof/>
        </w:rPr>
        <w:tab/>
      </w:r>
      <w:r>
        <w:rPr>
          <w:noProof/>
        </w:rPr>
        <w:fldChar w:fldCharType="begin"/>
      </w:r>
      <w:r>
        <w:rPr>
          <w:noProof/>
        </w:rPr>
        <w:instrText xml:space="preserve"> PAGEREF _Toc27467034 \h </w:instrText>
      </w:r>
      <w:r>
        <w:rPr>
          <w:noProof/>
        </w:rPr>
      </w:r>
      <w:r>
        <w:rPr>
          <w:noProof/>
        </w:rPr>
        <w:fldChar w:fldCharType="separate"/>
      </w:r>
      <w:r w:rsidR="00383AFB">
        <w:rPr>
          <w:noProof/>
        </w:rPr>
        <w:t>33</w:t>
      </w:r>
      <w:r>
        <w:rPr>
          <w:noProof/>
        </w:rPr>
        <w:fldChar w:fldCharType="end"/>
      </w:r>
    </w:p>
    <w:p w14:paraId="79D1AFD4" w14:textId="340884C8"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E.</w:t>
      </w:r>
      <w:r>
        <w:rPr>
          <w:rFonts w:asciiTheme="minorHAnsi" w:eastAsiaTheme="minorEastAsia" w:hAnsiTheme="minorHAnsi" w:cstheme="minorBidi"/>
          <w:smallCaps w:val="0"/>
          <w:noProof/>
          <w:sz w:val="22"/>
          <w:szCs w:val="22"/>
        </w:rPr>
        <w:tab/>
      </w:r>
      <w:r>
        <w:rPr>
          <w:noProof/>
        </w:rPr>
        <w:t>Stage One:  Application Screening</w:t>
      </w:r>
      <w:r>
        <w:rPr>
          <w:noProof/>
        </w:rPr>
        <w:tab/>
      </w:r>
      <w:r>
        <w:rPr>
          <w:noProof/>
        </w:rPr>
        <w:fldChar w:fldCharType="begin"/>
      </w:r>
      <w:r>
        <w:rPr>
          <w:noProof/>
        </w:rPr>
        <w:instrText xml:space="preserve"> PAGEREF _Toc27467035 \h </w:instrText>
      </w:r>
      <w:r>
        <w:rPr>
          <w:noProof/>
        </w:rPr>
      </w:r>
      <w:r>
        <w:rPr>
          <w:noProof/>
        </w:rPr>
        <w:fldChar w:fldCharType="separate"/>
      </w:r>
      <w:r w:rsidR="00383AFB">
        <w:rPr>
          <w:noProof/>
        </w:rPr>
        <w:t>34</w:t>
      </w:r>
      <w:r>
        <w:rPr>
          <w:noProof/>
        </w:rPr>
        <w:fldChar w:fldCharType="end"/>
      </w:r>
    </w:p>
    <w:p w14:paraId="7C5363FA" w14:textId="732C1CC2" w:rsidR="00151FE6" w:rsidRDefault="00151FE6">
      <w:pPr>
        <w:pStyle w:val="TOC2"/>
        <w:tabs>
          <w:tab w:val="left" w:pos="660"/>
          <w:tab w:val="right" w:leader="dot" w:pos="9350"/>
        </w:tabs>
        <w:rPr>
          <w:rFonts w:asciiTheme="minorHAnsi" w:eastAsiaTheme="minorEastAsia" w:hAnsiTheme="minorHAnsi" w:cstheme="minorBidi"/>
          <w:smallCaps w:val="0"/>
          <w:noProof/>
          <w:sz w:val="22"/>
          <w:szCs w:val="22"/>
        </w:rPr>
      </w:pPr>
      <w:r>
        <w:rPr>
          <w:noProof/>
        </w:rPr>
        <w:t>F.</w:t>
      </w:r>
      <w:r>
        <w:rPr>
          <w:rFonts w:asciiTheme="minorHAnsi" w:eastAsiaTheme="minorEastAsia" w:hAnsiTheme="minorHAnsi" w:cstheme="minorBidi"/>
          <w:smallCaps w:val="0"/>
          <w:noProof/>
          <w:sz w:val="22"/>
          <w:szCs w:val="22"/>
        </w:rPr>
        <w:tab/>
      </w:r>
      <w:r>
        <w:rPr>
          <w:noProof/>
        </w:rPr>
        <w:t>Stage Two:  Application Scoring</w:t>
      </w:r>
      <w:r>
        <w:rPr>
          <w:noProof/>
        </w:rPr>
        <w:tab/>
      </w:r>
      <w:r>
        <w:rPr>
          <w:noProof/>
        </w:rPr>
        <w:fldChar w:fldCharType="begin"/>
      </w:r>
      <w:r>
        <w:rPr>
          <w:noProof/>
        </w:rPr>
        <w:instrText xml:space="preserve"> PAGEREF _Toc27467036 \h </w:instrText>
      </w:r>
      <w:r>
        <w:rPr>
          <w:noProof/>
        </w:rPr>
      </w:r>
      <w:r>
        <w:rPr>
          <w:noProof/>
        </w:rPr>
        <w:fldChar w:fldCharType="separate"/>
      </w:r>
      <w:r w:rsidR="00383AFB">
        <w:rPr>
          <w:noProof/>
        </w:rPr>
        <w:t>36</w:t>
      </w:r>
      <w:r>
        <w:rPr>
          <w:noProof/>
        </w:rPr>
        <w:fldChar w:fldCharType="end"/>
      </w:r>
    </w:p>
    <w:p w14:paraId="75E97247" w14:textId="70C9AA9F" w:rsidR="001C2D56" w:rsidRPr="00C31C1D" w:rsidRDefault="0083690A" w:rsidP="00FC0D90">
      <w:pPr>
        <w:widowControl w:val="0"/>
        <w:jc w:val="both"/>
      </w:pPr>
      <w:r w:rsidRPr="0070672A">
        <w:rPr>
          <w:b/>
          <w:bCs/>
          <w:caps/>
          <w:noProof/>
          <w:szCs w:val="22"/>
        </w:rPr>
        <w:fldChar w:fldCharType="end"/>
      </w:r>
    </w:p>
    <w:p w14:paraId="17D213B1" w14:textId="77777777" w:rsidR="008643CD" w:rsidRDefault="008643CD" w:rsidP="00EC1873">
      <w:pPr>
        <w:spacing w:after="360"/>
        <w:jc w:val="center"/>
      </w:pPr>
      <w:r>
        <w:rPr>
          <w:b/>
        </w:rPr>
        <w:br w:type="page"/>
      </w:r>
      <w:r w:rsidR="00EC1873" w:rsidRPr="00C94D43">
        <w:rPr>
          <w:rFonts w:ascii="Arial Bold" w:hAnsi="Arial Bold"/>
          <w:caps/>
          <w:szCs w:val="22"/>
        </w:rPr>
        <w:lastRenderedPageBreak/>
        <w:t>Attachments</w:t>
      </w:r>
    </w:p>
    <w:tbl>
      <w:tblPr>
        <w:tblStyle w:val="TableGrid1"/>
        <w:tblW w:w="0" w:type="auto"/>
        <w:tblLayout w:type="fixed"/>
        <w:tblLook w:val="0020" w:firstRow="1" w:lastRow="0" w:firstColumn="0" w:lastColumn="0" w:noHBand="0" w:noVBand="0"/>
        <w:tblCaption w:val="Attachments"/>
        <w:tblDescription w:val="Attachment numbers and title of attachments"/>
      </w:tblPr>
      <w:tblGrid>
        <w:gridCol w:w="1548"/>
        <w:gridCol w:w="7560"/>
      </w:tblGrid>
      <w:tr w:rsidR="008643CD" w:rsidRPr="007D7A86" w14:paraId="50F5B61E" w14:textId="77777777" w:rsidTr="00EC1873">
        <w:trPr>
          <w:cantSplit/>
          <w:tblHeader/>
        </w:trPr>
        <w:tc>
          <w:tcPr>
            <w:tcW w:w="1548" w:type="dxa"/>
            <w:shd w:val="clear" w:color="auto" w:fill="D9D9D9" w:themeFill="background1" w:themeFillShade="D9"/>
          </w:tcPr>
          <w:p w14:paraId="4E51F308" w14:textId="77777777" w:rsidR="008643CD" w:rsidRPr="00D868ED" w:rsidRDefault="0083690A" w:rsidP="00A10CB4">
            <w:pPr>
              <w:keepLines/>
              <w:jc w:val="both"/>
              <w:rPr>
                <w:b/>
                <w:szCs w:val="22"/>
              </w:rPr>
            </w:pPr>
            <w:r w:rsidRPr="00D868ED">
              <w:rPr>
                <w:b/>
                <w:szCs w:val="22"/>
              </w:rPr>
              <w:t>Attachment Number</w:t>
            </w:r>
          </w:p>
        </w:tc>
        <w:tc>
          <w:tcPr>
            <w:tcW w:w="7560" w:type="dxa"/>
            <w:shd w:val="clear" w:color="auto" w:fill="D9D9D9" w:themeFill="background1" w:themeFillShade="D9"/>
          </w:tcPr>
          <w:p w14:paraId="38E554DF" w14:textId="77777777" w:rsidR="008643CD" w:rsidRPr="00D868ED" w:rsidRDefault="0083690A" w:rsidP="00F97725">
            <w:pPr>
              <w:keepNext/>
              <w:keepLines/>
              <w:spacing w:before="120"/>
              <w:jc w:val="both"/>
              <w:outlineLvl w:val="1"/>
              <w:rPr>
                <w:b/>
                <w:szCs w:val="22"/>
              </w:rPr>
            </w:pPr>
            <w:r w:rsidRPr="00D868ED">
              <w:rPr>
                <w:b/>
                <w:szCs w:val="22"/>
              </w:rPr>
              <w:t>Title</w:t>
            </w:r>
          </w:p>
        </w:tc>
      </w:tr>
      <w:tr w:rsidR="001C2D56" w:rsidRPr="007D7A86" w14:paraId="7B0C253D" w14:textId="77777777" w:rsidTr="00EC1873">
        <w:trPr>
          <w:cantSplit/>
          <w:tblHeader/>
        </w:trPr>
        <w:tc>
          <w:tcPr>
            <w:tcW w:w="1548" w:type="dxa"/>
          </w:tcPr>
          <w:p w14:paraId="7D588532" w14:textId="77777777" w:rsidR="001C2D56" w:rsidRPr="0024770C" w:rsidRDefault="001C2D56" w:rsidP="00A10CB4">
            <w:pPr>
              <w:keepLines/>
              <w:jc w:val="both"/>
              <w:rPr>
                <w:szCs w:val="22"/>
              </w:rPr>
            </w:pPr>
            <w:r w:rsidRPr="0024770C">
              <w:rPr>
                <w:szCs w:val="22"/>
              </w:rPr>
              <w:t>1</w:t>
            </w:r>
          </w:p>
        </w:tc>
        <w:tc>
          <w:tcPr>
            <w:tcW w:w="7560" w:type="dxa"/>
          </w:tcPr>
          <w:p w14:paraId="47FAC95F" w14:textId="77777777" w:rsidR="001C2D56" w:rsidRPr="0024770C" w:rsidRDefault="001C2D56">
            <w:pPr>
              <w:keepLines/>
              <w:jc w:val="both"/>
              <w:rPr>
                <w:szCs w:val="22"/>
              </w:rPr>
            </w:pPr>
            <w:r w:rsidRPr="0024770C">
              <w:rPr>
                <w:szCs w:val="22"/>
              </w:rPr>
              <w:t xml:space="preserve">Application Form </w:t>
            </w:r>
            <w:r w:rsidRPr="0024770C">
              <w:rPr>
                <w:i/>
                <w:szCs w:val="22"/>
              </w:rPr>
              <w:t>(requires signature)</w:t>
            </w:r>
            <w:r w:rsidR="00C434B4" w:rsidRPr="0024770C">
              <w:rPr>
                <w:i/>
                <w:szCs w:val="22"/>
              </w:rPr>
              <w:t xml:space="preserve"> </w:t>
            </w:r>
          </w:p>
        </w:tc>
      </w:tr>
      <w:tr w:rsidR="001C2D56" w:rsidRPr="007D7A86" w14:paraId="29552EDE" w14:textId="77777777" w:rsidTr="00EC1873">
        <w:trPr>
          <w:cantSplit/>
          <w:tblHeader/>
        </w:trPr>
        <w:tc>
          <w:tcPr>
            <w:tcW w:w="1548" w:type="dxa"/>
          </w:tcPr>
          <w:p w14:paraId="1BFD8C4C" w14:textId="77777777" w:rsidR="001C2D56" w:rsidRPr="0024770C" w:rsidRDefault="001C2D56" w:rsidP="00A10CB4">
            <w:pPr>
              <w:keepLines/>
              <w:jc w:val="both"/>
              <w:rPr>
                <w:szCs w:val="22"/>
              </w:rPr>
            </w:pPr>
            <w:r w:rsidRPr="0024770C">
              <w:rPr>
                <w:szCs w:val="22"/>
              </w:rPr>
              <w:t>2</w:t>
            </w:r>
          </w:p>
        </w:tc>
        <w:tc>
          <w:tcPr>
            <w:tcW w:w="7560" w:type="dxa"/>
          </w:tcPr>
          <w:p w14:paraId="68FC1241" w14:textId="77777777" w:rsidR="001C2D56" w:rsidRPr="0024770C" w:rsidRDefault="001C2D56" w:rsidP="00A10CB4">
            <w:pPr>
              <w:keepLines/>
              <w:jc w:val="both"/>
              <w:rPr>
                <w:szCs w:val="22"/>
              </w:rPr>
            </w:pPr>
            <w:r w:rsidRPr="0024770C">
              <w:rPr>
                <w:szCs w:val="22"/>
              </w:rPr>
              <w:t>Executive Summary Form</w:t>
            </w:r>
          </w:p>
        </w:tc>
      </w:tr>
      <w:tr w:rsidR="001C2D56" w:rsidRPr="007D7A86" w14:paraId="77F19728" w14:textId="77777777" w:rsidTr="00EC1873">
        <w:trPr>
          <w:cantSplit/>
          <w:tblHeader/>
        </w:trPr>
        <w:tc>
          <w:tcPr>
            <w:tcW w:w="1548" w:type="dxa"/>
          </w:tcPr>
          <w:p w14:paraId="43F3B9AA" w14:textId="77777777" w:rsidR="001C2D56" w:rsidRPr="0024770C" w:rsidRDefault="001C2D56" w:rsidP="00A10CB4">
            <w:pPr>
              <w:keepLines/>
              <w:jc w:val="both"/>
              <w:rPr>
                <w:szCs w:val="22"/>
              </w:rPr>
            </w:pPr>
            <w:r w:rsidRPr="0024770C">
              <w:rPr>
                <w:szCs w:val="22"/>
              </w:rPr>
              <w:t>3</w:t>
            </w:r>
          </w:p>
        </w:tc>
        <w:tc>
          <w:tcPr>
            <w:tcW w:w="7560" w:type="dxa"/>
          </w:tcPr>
          <w:p w14:paraId="78267F61" w14:textId="77777777" w:rsidR="001C2D56" w:rsidRPr="0024770C" w:rsidRDefault="001C2D56" w:rsidP="00A10CB4">
            <w:pPr>
              <w:keepLines/>
              <w:jc w:val="both"/>
              <w:rPr>
                <w:szCs w:val="22"/>
              </w:rPr>
            </w:pPr>
            <w:r w:rsidRPr="0024770C">
              <w:rPr>
                <w:szCs w:val="22"/>
              </w:rPr>
              <w:t>Fact Sheet Template</w:t>
            </w:r>
          </w:p>
        </w:tc>
      </w:tr>
      <w:tr w:rsidR="001C2D56" w:rsidRPr="007D7A86" w14:paraId="2F6131FC" w14:textId="77777777" w:rsidTr="00EC1873">
        <w:trPr>
          <w:cantSplit/>
          <w:tblHeader/>
        </w:trPr>
        <w:tc>
          <w:tcPr>
            <w:tcW w:w="1548" w:type="dxa"/>
          </w:tcPr>
          <w:p w14:paraId="0A40E188" w14:textId="77777777" w:rsidR="001C2D56" w:rsidRPr="0024770C" w:rsidRDefault="001C2D56" w:rsidP="00A10CB4">
            <w:pPr>
              <w:keepLines/>
              <w:jc w:val="both"/>
              <w:rPr>
                <w:szCs w:val="22"/>
              </w:rPr>
            </w:pPr>
            <w:r w:rsidRPr="0024770C">
              <w:rPr>
                <w:szCs w:val="22"/>
              </w:rPr>
              <w:t>4</w:t>
            </w:r>
          </w:p>
        </w:tc>
        <w:tc>
          <w:tcPr>
            <w:tcW w:w="7560" w:type="dxa"/>
          </w:tcPr>
          <w:p w14:paraId="7618C597" w14:textId="77777777" w:rsidR="001C2D56" w:rsidRPr="0024770C" w:rsidRDefault="001C2D56" w:rsidP="00A10CB4">
            <w:pPr>
              <w:keepLines/>
              <w:widowControl w:val="0"/>
              <w:jc w:val="both"/>
              <w:rPr>
                <w:szCs w:val="22"/>
              </w:rPr>
            </w:pPr>
            <w:r w:rsidRPr="0024770C">
              <w:rPr>
                <w:szCs w:val="22"/>
              </w:rPr>
              <w:t>Project Narrative Form</w:t>
            </w:r>
          </w:p>
        </w:tc>
      </w:tr>
      <w:tr w:rsidR="001C2D56" w:rsidRPr="007D7A86" w14:paraId="01CC717A" w14:textId="77777777" w:rsidTr="00EC1873">
        <w:trPr>
          <w:cantSplit/>
          <w:tblHeader/>
        </w:trPr>
        <w:tc>
          <w:tcPr>
            <w:tcW w:w="1548" w:type="dxa"/>
          </w:tcPr>
          <w:p w14:paraId="3EC75B67" w14:textId="77777777" w:rsidR="001C2D56" w:rsidRPr="0024770C" w:rsidRDefault="001C2D56" w:rsidP="00A10CB4">
            <w:pPr>
              <w:keepLines/>
              <w:jc w:val="both"/>
              <w:rPr>
                <w:szCs w:val="22"/>
              </w:rPr>
            </w:pPr>
            <w:r w:rsidRPr="0024770C">
              <w:rPr>
                <w:szCs w:val="22"/>
              </w:rPr>
              <w:t>5</w:t>
            </w:r>
          </w:p>
        </w:tc>
        <w:tc>
          <w:tcPr>
            <w:tcW w:w="7560" w:type="dxa"/>
          </w:tcPr>
          <w:p w14:paraId="010A4382" w14:textId="77777777" w:rsidR="001C2D56" w:rsidRPr="0024770C" w:rsidRDefault="001C2D56" w:rsidP="00A10CB4">
            <w:pPr>
              <w:keepLines/>
              <w:widowControl w:val="0"/>
              <w:jc w:val="both"/>
              <w:rPr>
                <w:szCs w:val="22"/>
              </w:rPr>
            </w:pPr>
            <w:r w:rsidRPr="0024770C">
              <w:rPr>
                <w:szCs w:val="22"/>
              </w:rPr>
              <w:t>Project Team Form</w:t>
            </w:r>
          </w:p>
        </w:tc>
      </w:tr>
      <w:tr w:rsidR="0037765A" w:rsidRPr="007D7A86" w14:paraId="52390683" w14:textId="77777777" w:rsidTr="00EC1873">
        <w:trPr>
          <w:cantSplit/>
          <w:trHeight w:val="315"/>
          <w:tblHeader/>
        </w:trPr>
        <w:tc>
          <w:tcPr>
            <w:tcW w:w="1548" w:type="dxa"/>
          </w:tcPr>
          <w:p w14:paraId="1B29FEFC" w14:textId="77777777" w:rsidR="0037765A" w:rsidRPr="0024770C" w:rsidRDefault="0037765A" w:rsidP="00A10CB4">
            <w:pPr>
              <w:keepLines/>
              <w:jc w:val="both"/>
              <w:rPr>
                <w:szCs w:val="22"/>
              </w:rPr>
            </w:pPr>
            <w:r w:rsidRPr="0024770C">
              <w:rPr>
                <w:szCs w:val="22"/>
              </w:rPr>
              <w:t>6</w:t>
            </w:r>
          </w:p>
        </w:tc>
        <w:tc>
          <w:tcPr>
            <w:tcW w:w="7560" w:type="dxa"/>
          </w:tcPr>
          <w:p w14:paraId="3527C839" w14:textId="77777777" w:rsidR="0037765A" w:rsidRPr="0024770C" w:rsidRDefault="0037765A" w:rsidP="0037765A">
            <w:pPr>
              <w:keepLines/>
              <w:widowControl w:val="0"/>
              <w:jc w:val="both"/>
              <w:rPr>
                <w:szCs w:val="22"/>
              </w:rPr>
            </w:pPr>
            <w:r w:rsidRPr="0024770C">
              <w:rPr>
                <w:szCs w:val="22"/>
              </w:rPr>
              <w:t xml:space="preserve">Scope of Work Template </w:t>
            </w:r>
          </w:p>
        </w:tc>
      </w:tr>
      <w:tr w:rsidR="0037765A" w:rsidRPr="007D7A86" w14:paraId="20FB3214" w14:textId="77777777" w:rsidTr="00EC1873">
        <w:trPr>
          <w:cantSplit/>
          <w:trHeight w:val="315"/>
          <w:tblHeader/>
        </w:trPr>
        <w:tc>
          <w:tcPr>
            <w:tcW w:w="1548" w:type="dxa"/>
          </w:tcPr>
          <w:p w14:paraId="70BBC2F0" w14:textId="77777777" w:rsidR="0037765A" w:rsidRPr="0024770C" w:rsidRDefault="0075644B" w:rsidP="00A10CB4">
            <w:pPr>
              <w:keepLines/>
              <w:jc w:val="both"/>
              <w:rPr>
                <w:szCs w:val="22"/>
              </w:rPr>
            </w:pPr>
            <w:r>
              <w:rPr>
                <w:szCs w:val="22"/>
              </w:rPr>
              <w:t>6a</w:t>
            </w:r>
          </w:p>
        </w:tc>
        <w:tc>
          <w:tcPr>
            <w:tcW w:w="7560" w:type="dxa"/>
          </w:tcPr>
          <w:p w14:paraId="6E32768F" w14:textId="77777777" w:rsidR="0037765A" w:rsidRPr="0024770C" w:rsidRDefault="00D94EBE" w:rsidP="00F56181">
            <w:pPr>
              <w:keepLines/>
              <w:widowControl w:val="0"/>
              <w:jc w:val="both"/>
              <w:rPr>
                <w:szCs w:val="22"/>
              </w:rPr>
            </w:pPr>
            <w:r>
              <w:rPr>
                <w:szCs w:val="22"/>
              </w:rPr>
              <w:t xml:space="preserve">Scope of Work Template:  </w:t>
            </w:r>
            <w:r w:rsidR="0037765A" w:rsidRPr="0024770C">
              <w:rPr>
                <w:szCs w:val="22"/>
              </w:rPr>
              <w:t xml:space="preserve">Project Schedule </w:t>
            </w:r>
            <w:r w:rsidR="00400238">
              <w:rPr>
                <w:i/>
                <w:szCs w:val="22"/>
              </w:rPr>
              <w:t>(E</w:t>
            </w:r>
            <w:r w:rsidR="0037765A" w:rsidRPr="0024770C">
              <w:rPr>
                <w:i/>
                <w:szCs w:val="22"/>
              </w:rPr>
              <w:t>xcel spreadsheet)</w:t>
            </w:r>
          </w:p>
        </w:tc>
      </w:tr>
      <w:tr w:rsidR="001C2D56" w:rsidRPr="007D7A86" w14:paraId="594293B0" w14:textId="77777777" w:rsidTr="00EC1873">
        <w:trPr>
          <w:cantSplit/>
          <w:tblHeader/>
        </w:trPr>
        <w:tc>
          <w:tcPr>
            <w:tcW w:w="1548" w:type="dxa"/>
          </w:tcPr>
          <w:p w14:paraId="5FBCF2EB" w14:textId="77777777" w:rsidR="001C2D56" w:rsidRPr="0024770C" w:rsidRDefault="001C2D56" w:rsidP="00A10CB4">
            <w:pPr>
              <w:keepLines/>
              <w:jc w:val="both"/>
              <w:rPr>
                <w:szCs w:val="22"/>
              </w:rPr>
            </w:pPr>
            <w:r w:rsidRPr="0024770C">
              <w:rPr>
                <w:szCs w:val="22"/>
              </w:rPr>
              <w:t>7</w:t>
            </w:r>
          </w:p>
        </w:tc>
        <w:tc>
          <w:tcPr>
            <w:tcW w:w="7560" w:type="dxa"/>
          </w:tcPr>
          <w:p w14:paraId="6EC0106A" w14:textId="77777777" w:rsidR="001C2D56" w:rsidRPr="0024770C" w:rsidRDefault="001C2D56" w:rsidP="003219EB">
            <w:pPr>
              <w:keepLines/>
              <w:widowControl w:val="0"/>
              <w:jc w:val="both"/>
              <w:rPr>
                <w:szCs w:val="22"/>
              </w:rPr>
            </w:pPr>
            <w:r w:rsidRPr="0024770C">
              <w:rPr>
                <w:szCs w:val="22"/>
              </w:rPr>
              <w:t xml:space="preserve">Budget Forms </w:t>
            </w:r>
            <w:r w:rsidR="00400238">
              <w:rPr>
                <w:i/>
                <w:szCs w:val="22"/>
              </w:rPr>
              <w:t>(E</w:t>
            </w:r>
            <w:r w:rsidRPr="0024770C">
              <w:rPr>
                <w:i/>
                <w:szCs w:val="22"/>
              </w:rPr>
              <w:t>xcel spreadsheet)</w:t>
            </w:r>
          </w:p>
        </w:tc>
      </w:tr>
      <w:tr w:rsidR="001C2D56" w:rsidRPr="007D7A86" w14:paraId="1CF79F1A" w14:textId="77777777" w:rsidTr="00EC1873">
        <w:trPr>
          <w:cantSplit/>
          <w:tblHeader/>
        </w:trPr>
        <w:tc>
          <w:tcPr>
            <w:tcW w:w="1548" w:type="dxa"/>
          </w:tcPr>
          <w:p w14:paraId="6A28B767" w14:textId="77777777" w:rsidR="001C2D56" w:rsidRPr="0024770C" w:rsidRDefault="001C2D56" w:rsidP="00A10CB4">
            <w:pPr>
              <w:keepLines/>
              <w:jc w:val="both"/>
              <w:rPr>
                <w:szCs w:val="22"/>
              </w:rPr>
            </w:pPr>
            <w:r w:rsidRPr="0024770C">
              <w:rPr>
                <w:szCs w:val="22"/>
              </w:rPr>
              <w:t>8</w:t>
            </w:r>
          </w:p>
        </w:tc>
        <w:tc>
          <w:tcPr>
            <w:tcW w:w="7560" w:type="dxa"/>
          </w:tcPr>
          <w:p w14:paraId="3710DCE9" w14:textId="1C4C3B1F" w:rsidR="001C2D56" w:rsidRPr="0024770C" w:rsidRDefault="001C2D56" w:rsidP="009D55B2">
            <w:pPr>
              <w:keepLines/>
              <w:jc w:val="both"/>
              <w:rPr>
                <w:b/>
                <w:szCs w:val="22"/>
              </w:rPr>
            </w:pPr>
            <w:r w:rsidRPr="0024770C">
              <w:rPr>
                <w:szCs w:val="22"/>
              </w:rPr>
              <w:t xml:space="preserve">CEQA Compliance Form </w:t>
            </w:r>
            <w:r w:rsidR="001358AA" w:rsidRPr="00384392">
              <w:rPr>
                <w:i/>
                <w:szCs w:val="22"/>
              </w:rPr>
              <w:t>(requires signature)</w:t>
            </w:r>
          </w:p>
        </w:tc>
      </w:tr>
      <w:tr w:rsidR="001C2D56" w:rsidRPr="007D7A86" w14:paraId="31EFDEFB" w14:textId="77777777" w:rsidTr="00EC1873">
        <w:trPr>
          <w:cantSplit/>
          <w:tblHeader/>
        </w:trPr>
        <w:tc>
          <w:tcPr>
            <w:tcW w:w="1548" w:type="dxa"/>
          </w:tcPr>
          <w:p w14:paraId="629F74B8" w14:textId="77777777" w:rsidR="001C2D56" w:rsidRPr="0024770C" w:rsidRDefault="001C2D56" w:rsidP="00EA4F5D">
            <w:pPr>
              <w:keepLines/>
              <w:jc w:val="both"/>
              <w:rPr>
                <w:szCs w:val="22"/>
              </w:rPr>
            </w:pPr>
            <w:r w:rsidRPr="0024770C">
              <w:rPr>
                <w:szCs w:val="22"/>
              </w:rPr>
              <w:t>9</w:t>
            </w:r>
          </w:p>
        </w:tc>
        <w:tc>
          <w:tcPr>
            <w:tcW w:w="7560" w:type="dxa"/>
          </w:tcPr>
          <w:p w14:paraId="1A4DB39A" w14:textId="77777777" w:rsidR="001C2D56" w:rsidRPr="0024770C" w:rsidRDefault="001C2D56" w:rsidP="00B509FC">
            <w:pPr>
              <w:keepLines/>
              <w:widowControl w:val="0"/>
              <w:jc w:val="both"/>
              <w:rPr>
                <w:szCs w:val="22"/>
              </w:rPr>
            </w:pPr>
            <w:r w:rsidRPr="0024770C">
              <w:rPr>
                <w:szCs w:val="22"/>
              </w:rPr>
              <w:t xml:space="preserve">Reference and Work Product Form </w:t>
            </w:r>
          </w:p>
        </w:tc>
      </w:tr>
      <w:tr w:rsidR="001C2D56" w:rsidRPr="007D7A86" w14:paraId="3505E086" w14:textId="77777777" w:rsidTr="00EC1873">
        <w:trPr>
          <w:cantSplit/>
          <w:tblHeader/>
        </w:trPr>
        <w:tc>
          <w:tcPr>
            <w:tcW w:w="1548" w:type="dxa"/>
          </w:tcPr>
          <w:p w14:paraId="5A4A1A53" w14:textId="77777777" w:rsidR="001C2D56" w:rsidRPr="0024770C" w:rsidRDefault="001C2D56" w:rsidP="00EA4F5D">
            <w:pPr>
              <w:keepLines/>
              <w:jc w:val="both"/>
              <w:rPr>
                <w:szCs w:val="22"/>
              </w:rPr>
            </w:pPr>
            <w:r w:rsidRPr="0024770C">
              <w:rPr>
                <w:szCs w:val="22"/>
              </w:rPr>
              <w:t>10</w:t>
            </w:r>
          </w:p>
        </w:tc>
        <w:tc>
          <w:tcPr>
            <w:tcW w:w="7560" w:type="dxa"/>
          </w:tcPr>
          <w:p w14:paraId="67E0C581" w14:textId="77777777" w:rsidR="001C2D56" w:rsidRPr="0024770C" w:rsidRDefault="001C2D56" w:rsidP="005C32D9">
            <w:pPr>
              <w:keepLines/>
              <w:widowControl w:val="0"/>
              <w:jc w:val="both"/>
              <w:rPr>
                <w:szCs w:val="22"/>
              </w:rPr>
            </w:pPr>
            <w:r w:rsidRPr="0024770C">
              <w:rPr>
                <w:szCs w:val="22"/>
              </w:rPr>
              <w:t xml:space="preserve">Contact List </w:t>
            </w:r>
            <w:r w:rsidR="00374035" w:rsidRPr="0024770C">
              <w:rPr>
                <w:szCs w:val="22"/>
              </w:rPr>
              <w:t>Template</w:t>
            </w:r>
          </w:p>
        </w:tc>
      </w:tr>
      <w:tr w:rsidR="001C2D56" w:rsidRPr="007D7A86" w14:paraId="72FBD2ED" w14:textId="77777777" w:rsidTr="00EC1873">
        <w:trPr>
          <w:cantSplit/>
          <w:tblHeader/>
        </w:trPr>
        <w:tc>
          <w:tcPr>
            <w:tcW w:w="1548" w:type="dxa"/>
          </w:tcPr>
          <w:p w14:paraId="3D83356B" w14:textId="77777777" w:rsidR="001C2D56" w:rsidRPr="0024770C" w:rsidRDefault="001C2D56" w:rsidP="00A10CB4">
            <w:pPr>
              <w:keepLines/>
              <w:jc w:val="both"/>
              <w:rPr>
                <w:szCs w:val="22"/>
              </w:rPr>
            </w:pPr>
            <w:r w:rsidRPr="0024770C">
              <w:rPr>
                <w:szCs w:val="22"/>
              </w:rPr>
              <w:t>11</w:t>
            </w:r>
          </w:p>
        </w:tc>
        <w:tc>
          <w:tcPr>
            <w:tcW w:w="7560" w:type="dxa"/>
          </w:tcPr>
          <w:p w14:paraId="6DA5214F" w14:textId="77777777" w:rsidR="001C2D56" w:rsidRPr="0024770C" w:rsidDel="00A829C1" w:rsidRDefault="001C2D56" w:rsidP="00456EAA">
            <w:pPr>
              <w:keepLines/>
              <w:jc w:val="both"/>
              <w:rPr>
                <w:szCs w:val="22"/>
                <w:highlight w:val="yellow"/>
              </w:rPr>
            </w:pPr>
            <w:r w:rsidRPr="0024770C">
              <w:rPr>
                <w:szCs w:val="22"/>
              </w:rPr>
              <w:t>Commitment and Support Letter</w:t>
            </w:r>
            <w:r w:rsidR="006520E3" w:rsidRPr="0024770C">
              <w:rPr>
                <w:szCs w:val="22"/>
              </w:rPr>
              <w:t xml:space="preserve"> Form</w:t>
            </w:r>
            <w:r w:rsidRPr="0024770C">
              <w:rPr>
                <w:szCs w:val="22"/>
              </w:rPr>
              <w:t xml:space="preserve"> </w:t>
            </w:r>
            <w:r w:rsidRPr="0024770C">
              <w:rPr>
                <w:i/>
                <w:szCs w:val="22"/>
              </w:rPr>
              <w:t>(letters require signature)</w:t>
            </w:r>
          </w:p>
        </w:tc>
      </w:tr>
      <w:tr w:rsidR="00E64E9A" w:rsidRPr="007D7A86" w14:paraId="7FB97820" w14:textId="77777777" w:rsidTr="00EC1873">
        <w:trPr>
          <w:cantSplit/>
          <w:tblHeader/>
        </w:trPr>
        <w:tc>
          <w:tcPr>
            <w:tcW w:w="1548" w:type="dxa"/>
          </w:tcPr>
          <w:p w14:paraId="41D7B86C" w14:textId="77777777" w:rsidR="00E64E9A" w:rsidRPr="0024770C" w:rsidRDefault="00E64E9A" w:rsidP="00A10CB4">
            <w:pPr>
              <w:keepLines/>
              <w:jc w:val="both"/>
              <w:rPr>
                <w:szCs w:val="22"/>
              </w:rPr>
            </w:pPr>
            <w:r>
              <w:rPr>
                <w:szCs w:val="22"/>
              </w:rPr>
              <w:t>12</w:t>
            </w:r>
          </w:p>
        </w:tc>
        <w:tc>
          <w:tcPr>
            <w:tcW w:w="7560" w:type="dxa"/>
          </w:tcPr>
          <w:p w14:paraId="0BCAD77C" w14:textId="77777777" w:rsidR="00E64E9A" w:rsidRPr="0024770C" w:rsidRDefault="00E64E9A" w:rsidP="00456EAA">
            <w:pPr>
              <w:keepLines/>
              <w:jc w:val="both"/>
              <w:rPr>
                <w:szCs w:val="22"/>
              </w:rPr>
            </w:pPr>
            <w:r w:rsidRPr="00E64E9A">
              <w:rPr>
                <w:szCs w:val="22"/>
              </w:rPr>
              <w:t>Applicant Declaration</w:t>
            </w:r>
            <w:r w:rsidR="00857E08">
              <w:rPr>
                <w:szCs w:val="22"/>
              </w:rPr>
              <w:t xml:space="preserve"> </w:t>
            </w:r>
            <w:r w:rsidR="00857E08" w:rsidRPr="0024770C">
              <w:rPr>
                <w:i/>
                <w:szCs w:val="22"/>
              </w:rPr>
              <w:t>(requires signature)</w:t>
            </w:r>
          </w:p>
        </w:tc>
      </w:tr>
      <w:tr w:rsidR="001C2D56" w:rsidRPr="007D7A86" w14:paraId="04FBE4DA" w14:textId="77777777" w:rsidTr="00EC1873">
        <w:trPr>
          <w:cantSplit/>
          <w:tblHeader/>
        </w:trPr>
        <w:tc>
          <w:tcPr>
            <w:tcW w:w="1548" w:type="dxa"/>
          </w:tcPr>
          <w:p w14:paraId="094259CA" w14:textId="77777777" w:rsidR="001C2D56" w:rsidRPr="0024770C" w:rsidRDefault="001C2D56" w:rsidP="00A10CB4">
            <w:pPr>
              <w:keepLines/>
              <w:jc w:val="both"/>
              <w:rPr>
                <w:szCs w:val="22"/>
              </w:rPr>
            </w:pPr>
            <w:r w:rsidRPr="0024770C">
              <w:rPr>
                <w:szCs w:val="22"/>
              </w:rPr>
              <w:t>1</w:t>
            </w:r>
            <w:r w:rsidR="00E64E9A">
              <w:rPr>
                <w:szCs w:val="22"/>
              </w:rPr>
              <w:t>3</w:t>
            </w:r>
          </w:p>
        </w:tc>
        <w:tc>
          <w:tcPr>
            <w:tcW w:w="7560" w:type="dxa"/>
          </w:tcPr>
          <w:p w14:paraId="517B5F17" w14:textId="77777777" w:rsidR="001C2D56" w:rsidRPr="0024770C" w:rsidRDefault="00F91CFD" w:rsidP="007274E4">
            <w:pPr>
              <w:keepLines/>
              <w:jc w:val="both"/>
              <w:rPr>
                <w:szCs w:val="22"/>
              </w:rPr>
            </w:pPr>
            <w:r w:rsidRPr="00930EDF">
              <w:rPr>
                <w:szCs w:val="22"/>
              </w:rPr>
              <w:t>References for Calculating Energy End-Use and GHG Emissions</w:t>
            </w:r>
          </w:p>
        </w:tc>
      </w:tr>
      <w:tr w:rsidR="00151FE6" w:rsidRPr="007D7A86" w14:paraId="7B926F81" w14:textId="77777777" w:rsidTr="00EC1873">
        <w:trPr>
          <w:cantSplit/>
          <w:tblHeader/>
        </w:trPr>
        <w:tc>
          <w:tcPr>
            <w:tcW w:w="1548" w:type="dxa"/>
          </w:tcPr>
          <w:p w14:paraId="20212474" w14:textId="03190865" w:rsidR="00151FE6" w:rsidRPr="0024770C" w:rsidRDefault="00767695" w:rsidP="00A10CB4">
            <w:pPr>
              <w:keepLines/>
              <w:jc w:val="both"/>
              <w:rPr>
                <w:szCs w:val="22"/>
              </w:rPr>
            </w:pPr>
            <w:bookmarkStart w:id="0" w:name="_Toc481569610"/>
            <w:bookmarkStart w:id="1" w:name="_Toc481570193"/>
            <w:bookmarkStart w:id="2" w:name="_Toc12770880"/>
            <w:r>
              <w:rPr>
                <w:szCs w:val="22"/>
              </w:rPr>
              <w:t>14</w:t>
            </w:r>
          </w:p>
        </w:tc>
        <w:tc>
          <w:tcPr>
            <w:tcW w:w="7560" w:type="dxa"/>
          </w:tcPr>
          <w:p w14:paraId="32803588" w14:textId="0F10F22A" w:rsidR="00151FE6" w:rsidRPr="00930EDF" w:rsidRDefault="00767695" w:rsidP="00767695">
            <w:pPr>
              <w:keepLines/>
              <w:jc w:val="both"/>
              <w:rPr>
                <w:szCs w:val="22"/>
              </w:rPr>
            </w:pPr>
            <w:r w:rsidRPr="00151FE6">
              <w:rPr>
                <w:szCs w:val="22"/>
              </w:rPr>
              <w:t>S</w:t>
            </w:r>
            <w:r>
              <w:rPr>
                <w:szCs w:val="22"/>
              </w:rPr>
              <w:t>pecial</w:t>
            </w:r>
            <w:r w:rsidRPr="00151FE6">
              <w:rPr>
                <w:szCs w:val="22"/>
              </w:rPr>
              <w:t xml:space="preserve"> T</w:t>
            </w:r>
            <w:r>
              <w:rPr>
                <w:szCs w:val="22"/>
              </w:rPr>
              <w:t>erms</w:t>
            </w:r>
            <w:r w:rsidRPr="00151FE6">
              <w:rPr>
                <w:szCs w:val="22"/>
              </w:rPr>
              <w:t xml:space="preserve"> </w:t>
            </w:r>
            <w:r>
              <w:rPr>
                <w:szCs w:val="22"/>
              </w:rPr>
              <w:t>and</w:t>
            </w:r>
            <w:r w:rsidRPr="00151FE6">
              <w:rPr>
                <w:szCs w:val="22"/>
              </w:rPr>
              <w:t xml:space="preserve"> C</w:t>
            </w:r>
            <w:r>
              <w:rPr>
                <w:szCs w:val="22"/>
              </w:rPr>
              <w:t>onditions for Native American</w:t>
            </w:r>
            <w:r w:rsidRPr="00151FE6">
              <w:rPr>
                <w:szCs w:val="22"/>
              </w:rPr>
              <w:t xml:space="preserve"> T</w:t>
            </w:r>
            <w:r>
              <w:rPr>
                <w:szCs w:val="22"/>
              </w:rPr>
              <w:t>ribes and</w:t>
            </w:r>
            <w:r w:rsidRPr="00151FE6">
              <w:rPr>
                <w:szCs w:val="22"/>
              </w:rPr>
              <w:t xml:space="preserve"> T</w:t>
            </w:r>
            <w:r>
              <w:rPr>
                <w:szCs w:val="22"/>
              </w:rPr>
              <w:t>ribal</w:t>
            </w:r>
            <w:r w:rsidRPr="00151FE6">
              <w:rPr>
                <w:szCs w:val="22"/>
              </w:rPr>
              <w:t xml:space="preserve"> C</w:t>
            </w:r>
            <w:r>
              <w:rPr>
                <w:szCs w:val="22"/>
              </w:rPr>
              <w:t>orporations</w:t>
            </w:r>
            <w:r w:rsidRPr="00151FE6">
              <w:rPr>
                <w:szCs w:val="22"/>
              </w:rPr>
              <w:t xml:space="preserve"> </w:t>
            </w:r>
            <w:r>
              <w:rPr>
                <w:szCs w:val="22"/>
              </w:rPr>
              <w:t>with</w:t>
            </w:r>
            <w:r w:rsidRPr="00151FE6">
              <w:rPr>
                <w:szCs w:val="22"/>
              </w:rPr>
              <w:t xml:space="preserve"> S</w:t>
            </w:r>
            <w:r>
              <w:rPr>
                <w:szCs w:val="22"/>
              </w:rPr>
              <w:t xml:space="preserve">overeign </w:t>
            </w:r>
            <w:r w:rsidRPr="00151FE6">
              <w:rPr>
                <w:szCs w:val="22"/>
              </w:rPr>
              <w:t>I</w:t>
            </w:r>
            <w:r>
              <w:rPr>
                <w:szCs w:val="22"/>
              </w:rPr>
              <w:t>mmunity</w:t>
            </w:r>
          </w:p>
        </w:tc>
      </w:tr>
    </w:tbl>
    <w:p w14:paraId="4E873D76" w14:textId="77777777" w:rsidR="001C2D56" w:rsidRPr="00C31C1D" w:rsidRDefault="001C2D56" w:rsidP="00A10CB4">
      <w:pPr>
        <w:pStyle w:val="Heading3"/>
        <w:widowControl w:val="0"/>
        <w:spacing w:after="120"/>
        <w:sectPr w:rsidR="001C2D56" w:rsidRPr="00C31C1D" w:rsidSect="00EF3F96">
          <w:headerReference w:type="default" r:id="rId10"/>
          <w:footerReference w:type="default" r:id="rId11"/>
          <w:pgSz w:w="12240" w:h="15840" w:code="1"/>
          <w:pgMar w:top="1440" w:right="1440" w:bottom="1440" w:left="1440" w:header="1008" w:footer="432" w:gutter="0"/>
          <w:pgNumType w:fmt="lowerRoman" w:start="1"/>
          <w:cols w:space="720"/>
        </w:sectPr>
      </w:pPr>
    </w:p>
    <w:p w14:paraId="354DAF89" w14:textId="77777777" w:rsidR="001C2D56" w:rsidRPr="00C31C1D" w:rsidRDefault="001C2D56" w:rsidP="00A10CB4">
      <w:pPr>
        <w:pStyle w:val="Heading1"/>
        <w:spacing w:after="120"/>
        <w:jc w:val="both"/>
      </w:pPr>
      <w:bookmarkStart w:id="3" w:name="_Toc219275079"/>
      <w:bookmarkStart w:id="4" w:name="_Toc336443614"/>
      <w:bookmarkStart w:id="5" w:name="_Toc366671167"/>
      <w:bookmarkStart w:id="6" w:name="_Toc20331576"/>
      <w:bookmarkStart w:id="7" w:name="_Toc27467012"/>
      <w:r w:rsidRPr="00C31C1D">
        <w:lastRenderedPageBreak/>
        <w:t>I.</w:t>
      </w:r>
      <w:r w:rsidRPr="00C31C1D">
        <w:tab/>
        <w:t>Introduction</w:t>
      </w:r>
      <w:bookmarkEnd w:id="0"/>
      <w:bookmarkEnd w:id="1"/>
      <w:bookmarkEnd w:id="2"/>
      <w:bookmarkEnd w:id="3"/>
      <w:bookmarkEnd w:id="4"/>
      <w:bookmarkEnd w:id="5"/>
      <w:bookmarkEnd w:id="6"/>
      <w:bookmarkEnd w:id="7"/>
    </w:p>
    <w:p w14:paraId="0053E22E" w14:textId="77777777" w:rsidR="00344986" w:rsidRPr="00D868ED" w:rsidRDefault="001C2D56" w:rsidP="0018649E">
      <w:pPr>
        <w:pStyle w:val="Heading2"/>
        <w:numPr>
          <w:ilvl w:val="0"/>
          <w:numId w:val="32"/>
        </w:numPr>
        <w:spacing w:before="240"/>
        <w:ind w:left="360" w:hanging="360"/>
        <w:jc w:val="both"/>
        <w:rPr>
          <w:b w:val="0"/>
        </w:rPr>
      </w:pPr>
      <w:bookmarkStart w:id="8" w:name="_Toc20331577"/>
      <w:bookmarkStart w:id="9" w:name="_Toc27467013"/>
      <w:bookmarkStart w:id="10" w:name="_Toc481569612"/>
      <w:bookmarkStart w:id="11" w:name="_Toc481570195"/>
      <w:bookmarkStart w:id="12" w:name="_Toc219275081"/>
      <w:bookmarkStart w:id="13" w:name="_Toc336443615"/>
      <w:r w:rsidRPr="000E2BBC">
        <w:rPr>
          <w:sz w:val="26"/>
          <w:szCs w:val="26"/>
        </w:rPr>
        <w:t>Purpose of Solicitation</w:t>
      </w:r>
      <w:bookmarkEnd w:id="8"/>
      <w:bookmarkEnd w:id="9"/>
      <w:r w:rsidRPr="000E2BBC">
        <w:rPr>
          <w:sz w:val="26"/>
          <w:szCs w:val="26"/>
        </w:rPr>
        <w:t xml:space="preserve"> </w:t>
      </w:r>
      <w:bookmarkStart w:id="14" w:name="_Toc395180593"/>
      <w:bookmarkStart w:id="15" w:name="_Toc381079833"/>
      <w:bookmarkStart w:id="16" w:name="_Toc382571091"/>
    </w:p>
    <w:bookmarkEnd w:id="14"/>
    <w:p w14:paraId="2D18B629" w14:textId="77777777" w:rsidR="002E6712" w:rsidRPr="00D4533A" w:rsidRDefault="002E6712" w:rsidP="00945323">
      <w:pPr>
        <w:jc w:val="both"/>
        <w:rPr>
          <w:szCs w:val="22"/>
        </w:rPr>
      </w:pPr>
    </w:p>
    <w:p w14:paraId="28110642" w14:textId="77777777" w:rsidR="002E6712" w:rsidRDefault="002E6712" w:rsidP="00A055EF">
      <w:pPr>
        <w:jc w:val="both"/>
      </w:pPr>
      <w:bookmarkStart w:id="17" w:name="_Toc395180594"/>
      <w:bookmarkStart w:id="18" w:name="_Toc433981248"/>
      <w:r>
        <w:t xml:space="preserve">The </w:t>
      </w:r>
      <w:r w:rsidRPr="00835B8D">
        <w:t xml:space="preserve">purpose of this solicitation is to </w:t>
      </w:r>
      <w:r w:rsidRPr="00945323">
        <w:t>fund</w:t>
      </w:r>
      <w:r w:rsidR="00063E66" w:rsidRPr="00945323">
        <w:t xml:space="preserve"> innovative energy storage research </w:t>
      </w:r>
      <w:r w:rsidRPr="00945323">
        <w:t xml:space="preserve">projects </w:t>
      </w:r>
      <w:r w:rsidRPr="00835B8D">
        <w:t>that meet the following objectives:</w:t>
      </w:r>
      <w:bookmarkEnd w:id="17"/>
      <w:bookmarkEnd w:id="18"/>
      <w:r w:rsidRPr="00835B8D">
        <w:t xml:space="preserve"> </w:t>
      </w:r>
    </w:p>
    <w:p w14:paraId="6DEDC168" w14:textId="77777777" w:rsidR="009B4D80" w:rsidRPr="000F1358" w:rsidRDefault="009B4D80" w:rsidP="009B4D80">
      <w:pPr>
        <w:ind w:left="360"/>
        <w:jc w:val="both"/>
        <w:rPr>
          <w:szCs w:val="22"/>
        </w:rPr>
      </w:pPr>
      <w:r w:rsidRPr="000F1358">
        <w:rPr>
          <w:szCs w:val="22"/>
        </w:rPr>
        <w:t xml:space="preserve">SB-350 (de León, Chapter 547, Statutes of 2015) and SB-100 (de León, Chapter 312, Statutes of 2018) cannot be met with currently fielded technologies alone, because they do not have the energy density, daily cycle capability, longevity, safety, and price to be viable for the diverse set of applications that will be needed in the State. SB-1369 (Skinner, Chapter 567, Statutes of 2018) identifies the need for the Energy Commission to “consider green electrolytic hydrogen an eligible form of energy storage, and shall consider other potential uses of green electrolytic hydrogen.” </w:t>
      </w:r>
    </w:p>
    <w:p w14:paraId="10299E23" w14:textId="1780E14C" w:rsidR="009B4D80" w:rsidRPr="000F1358" w:rsidRDefault="009B4D80" w:rsidP="009B4D80">
      <w:pPr>
        <w:ind w:left="360"/>
        <w:jc w:val="both"/>
        <w:rPr>
          <w:szCs w:val="22"/>
        </w:rPr>
      </w:pPr>
      <w:r w:rsidRPr="000F1358">
        <w:rPr>
          <w:szCs w:val="22"/>
        </w:rPr>
        <w:t>The timing is right for supporting emerging technologies that can out-perform existing energy storage technologies because a substantial amount of the energy storage in California was installed in the last few years and will need to be upgraded or replaced in the next 7-15 years. Additionally, as the State makes changes to the electric grid to accommodate higher levels of renewables and a carbon free future by 2045, the need for cost effective and high performing energy storage solutions are expected to increase and be diversified. This means that developing new and emerging technologies now will enable them to be positioned for substantial upcoming market opportunities.</w:t>
      </w:r>
    </w:p>
    <w:p w14:paraId="464FE073" w14:textId="11CC972D" w:rsidR="009B3101" w:rsidRPr="000F1358" w:rsidRDefault="009B3101" w:rsidP="009B4D80">
      <w:pPr>
        <w:ind w:left="360"/>
        <w:jc w:val="both"/>
        <w:rPr>
          <w:szCs w:val="22"/>
        </w:rPr>
      </w:pPr>
      <w:r w:rsidRPr="000F1358">
        <w:rPr>
          <w:szCs w:val="22"/>
        </w:rPr>
        <w:t xml:space="preserve">This solicitation aims to fund </w:t>
      </w:r>
      <w:r w:rsidR="00F90C84" w:rsidRPr="000F1358">
        <w:rPr>
          <w:szCs w:val="22"/>
        </w:rPr>
        <w:t xml:space="preserve">the development and field testing of </w:t>
      </w:r>
      <w:r w:rsidRPr="000F1358">
        <w:rPr>
          <w:szCs w:val="22"/>
        </w:rPr>
        <w:t>eme</w:t>
      </w:r>
      <w:r w:rsidR="00D338B4" w:rsidRPr="000F1358">
        <w:rPr>
          <w:szCs w:val="22"/>
        </w:rPr>
        <w:t xml:space="preserve">rging energy storage technologies </w:t>
      </w:r>
      <w:r w:rsidRPr="000F1358">
        <w:rPr>
          <w:szCs w:val="22"/>
        </w:rPr>
        <w:t xml:space="preserve">for the purpose of raising the Technology Readiness Level (TRL) and accelerating market penetration. </w:t>
      </w:r>
    </w:p>
    <w:p w14:paraId="3029DF27" w14:textId="58CDFDC7" w:rsidR="00B57E56" w:rsidRPr="000F1358" w:rsidRDefault="00B57E56" w:rsidP="0018649E">
      <w:pPr>
        <w:pStyle w:val="ListParagraph"/>
        <w:numPr>
          <w:ilvl w:val="0"/>
          <w:numId w:val="44"/>
        </w:numPr>
        <w:jc w:val="both"/>
        <w:rPr>
          <w:b/>
          <w:szCs w:val="22"/>
        </w:rPr>
      </w:pPr>
      <w:r w:rsidRPr="000F1358">
        <w:rPr>
          <w:b/>
          <w:szCs w:val="22"/>
        </w:rPr>
        <w:t xml:space="preserve">Group 1: </w:t>
      </w:r>
      <w:r w:rsidR="00D91C81" w:rsidRPr="000F1358">
        <w:rPr>
          <w:szCs w:val="22"/>
        </w:rPr>
        <w:t xml:space="preserve">Develop and validate </w:t>
      </w:r>
      <w:r w:rsidRPr="000F1358">
        <w:rPr>
          <w:szCs w:val="22"/>
        </w:rPr>
        <w:t xml:space="preserve">new and emerging </w:t>
      </w:r>
      <w:r w:rsidR="00D91C81" w:rsidRPr="000F1358">
        <w:rPr>
          <w:szCs w:val="22"/>
        </w:rPr>
        <w:t xml:space="preserve">non-Lithium </w:t>
      </w:r>
      <w:r w:rsidR="00E85363" w:rsidRPr="000F1358">
        <w:rPr>
          <w:szCs w:val="22"/>
        </w:rPr>
        <w:t xml:space="preserve">ion </w:t>
      </w:r>
      <w:r w:rsidR="00D91C81" w:rsidRPr="000F1358">
        <w:rPr>
          <w:szCs w:val="22"/>
        </w:rPr>
        <w:t>e</w:t>
      </w:r>
      <w:r w:rsidRPr="000F1358">
        <w:rPr>
          <w:szCs w:val="22"/>
        </w:rPr>
        <w:t xml:space="preserve">nergy storage technologies that focus on customer side of the meter applications.  </w:t>
      </w:r>
    </w:p>
    <w:p w14:paraId="48D8AF45" w14:textId="463CAD48" w:rsidR="009B4D80" w:rsidRPr="000F1358" w:rsidRDefault="00F90C84" w:rsidP="00D65B9B">
      <w:pPr>
        <w:ind w:left="1440"/>
        <w:jc w:val="both"/>
        <w:rPr>
          <w:szCs w:val="22"/>
        </w:rPr>
      </w:pPr>
      <w:r w:rsidRPr="000F1358">
        <w:rPr>
          <w:szCs w:val="22"/>
        </w:rPr>
        <w:t>This group</w:t>
      </w:r>
      <w:r w:rsidR="009B4D80" w:rsidRPr="000F1358">
        <w:rPr>
          <w:szCs w:val="22"/>
        </w:rPr>
        <w:t xml:space="preserve"> will focus on supporting energy storage technologies that are in the early stages of development. Group 1 will support the de</w:t>
      </w:r>
      <w:r w:rsidR="00D338B4" w:rsidRPr="000F1358">
        <w:rPr>
          <w:szCs w:val="22"/>
        </w:rPr>
        <w:t>velopment</w:t>
      </w:r>
      <w:r w:rsidR="009B4D80" w:rsidRPr="000F1358">
        <w:rPr>
          <w:szCs w:val="22"/>
        </w:rPr>
        <w:t xml:space="preserve"> and field testing of emerging and prototype energy storage systems.  </w:t>
      </w:r>
    </w:p>
    <w:p w14:paraId="5162B874" w14:textId="77777777" w:rsidR="00B57E56" w:rsidRPr="000F1358" w:rsidRDefault="00B57E56" w:rsidP="0018649E">
      <w:pPr>
        <w:pStyle w:val="ListParagraph"/>
        <w:numPr>
          <w:ilvl w:val="0"/>
          <w:numId w:val="44"/>
        </w:numPr>
        <w:jc w:val="both"/>
        <w:rPr>
          <w:szCs w:val="22"/>
        </w:rPr>
      </w:pPr>
      <w:r w:rsidRPr="000F1358">
        <w:rPr>
          <w:b/>
          <w:szCs w:val="22"/>
        </w:rPr>
        <w:t>Group 2</w:t>
      </w:r>
      <w:r w:rsidRPr="000F1358">
        <w:rPr>
          <w:szCs w:val="22"/>
        </w:rPr>
        <w:t xml:space="preserve">:  </w:t>
      </w:r>
      <w:r w:rsidR="00D91C81" w:rsidRPr="000F1358">
        <w:rPr>
          <w:szCs w:val="22"/>
        </w:rPr>
        <w:t>Develop and validate</w:t>
      </w:r>
      <w:r w:rsidRPr="000F1358">
        <w:rPr>
          <w:szCs w:val="22"/>
        </w:rPr>
        <w:t xml:space="preserve"> green electrolytic hydrogen </w:t>
      </w:r>
      <w:r w:rsidR="00D91C81" w:rsidRPr="000F1358">
        <w:rPr>
          <w:szCs w:val="22"/>
        </w:rPr>
        <w:t xml:space="preserve">storage </w:t>
      </w:r>
      <w:r w:rsidRPr="000F1358">
        <w:rPr>
          <w:szCs w:val="22"/>
        </w:rPr>
        <w:t xml:space="preserve">systems </w:t>
      </w:r>
      <w:r w:rsidR="00700D26" w:rsidRPr="000F1358">
        <w:rPr>
          <w:szCs w:val="22"/>
        </w:rPr>
        <w:t>in</w:t>
      </w:r>
      <w:r w:rsidRPr="000F1358">
        <w:rPr>
          <w:szCs w:val="22"/>
        </w:rPr>
        <w:t xml:space="preserve"> customer side of the meter applications with an electricity-in and electricity-out capability.</w:t>
      </w:r>
    </w:p>
    <w:bookmarkEnd w:id="15"/>
    <w:bookmarkEnd w:id="16"/>
    <w:p w14:paraId="6AE0BDF7" w14:textId="6DD00598" w:rsidR="00A67920" w:rsidRPr="000F1358" w:rsidRDefault="00F90C84" w:rsidP="00D80D73">
      <w:pPr>
        <w:ind w:left="1440"/>
        <w:jc w:val="both"/>
        <w:rPr>
          <w:szCs w:val="22"/>
        </w:rPr>
      </w:pPr>
      <w:r w:rsidRPr="000F1358">
        <w:rPr>
          <w:szCs w:val="22"/>
        </w:rPr>
        <w:t xml:space="preserve">This group </w:t>
      </w:r>
      <w:r w:rsidR="00722CCB" w:rsidRPr="000F1358">
        <w:rPr>
          <w:szCs w:val="22"/>
        </w:rPr>
        <w:t xml:space="preserve">will </w:t>
      </w:r>
      <w:r w:rsidR="00D80D73" w:rsidRPr="000F1358">
        <w:rPr>
          <w:szCs w:val="22"/>
        </w:rPr>
        <w:t xml:space="preserve">focus specifically on </w:t>
      </w:r>
      <w:r w:rsidR="00722CCB" w:rsidRPr="000F1358">
        <w:rPr>
          <w:szCs w:val="22"/>
        </w:rPr>
        <w:t>green electrolytic hydrogen systems</w:t>
      </w:r>
      <w:r w:rsidR="00D80D73" w:rsidRPr="000F1358">
        <w:rPr>
          <w:szCs w:val="22"/>
        </w:rPr>
        <w:t>.</w:t>
      </w:r>
      <w:r w:rsidR="00722CCB" w:rsidRPr="000F1358">
        <w:rPr>
          <w:szCs w:val="22"/>
        </w:rPr>
        <w:t xml:space="preserve">  </w:t>
      </w:r>
      <w:r w:rsidR="00D80D73" w:rsidRPr="000F1358">
        <w:rPr>
          <w:szCs w:val="22"/>
        </w:rPr>
        <w:t xml:space="preserve">Group 2 </w:t>
      </w:r>
      <w:r w:rsidR="00193CCB" w:rsidRPr="000F1358">
        <w:rPr>
          <w:szCs w:val="22"/>
        </w:rPr>
        <w:t xml:space="preserve">will be open to Applied Research applications of </w:t>
      </w:r>
      <w:r w:rsidR="00D80D73" w:rsidRPr="000F1358">
        <w:rPr>
          <w:szCs w:val="22"/>
        </w:rPr>
        <w:t xml:space="preserve">green </w:t>
      </w:r>
      <w:r w:rsidR="00193CCB" w:rsidRPr="000F1358">
        <w:rPr>
          <w:szCs w:val="22"/>
        </w:rPr>
        <w:t xml:space="preserve">electrolytic hydrogen as a stationary energy storage system that is comparable in performance to other stationary energy storage systems </w:t>
      </w:r>
      <w:r w:rsidR="00D80D73" w:rsidRPr="000F1358">
        <w:rPr>
          <w:szCs w:val="22"/>
        </w:rPr>
        <w:t>(</w:t>
      </w:r>
      <w:r w:rsidR="00193CCB" w:rsidRPr="000F1358">
        <w:rPr>
          <w:szCs w:val="22"/>
        </w:rPr>
        <w:t>like advanced batteries, flywheels, thermal storage, and compressed air systems</w:t>
      </w:r>
      <w:r w:rsidR="00D80D73" w:rsidRPr="000F1358">
        <w:rPr>
          <w:szCs w:val="22"/>
        </w:rPr>
        <w:t>)</w:t>
      </w:r>
      <w:r w:rsidR="00193CCB" w:rsidRPr="000F1358">
        <w:rPr>
          <w:szCs w:val="22"/>
        </w:rPr>
        <w:t>.</w:t>
      </w:r>
      <w:r w:rsidR="00D324DC" w:rsidRPr="000F1358">
        <w:rPr>
          <w:szCs w:val="22"/>
        </w:rPr>
        <w:t xml:space="preserve">  </w:t>
      </w:r>
      <w:r w:rsidRPr="000F1358">
        <w:rPr>
          <w:szCs w:val="22"/>
        </w:rPr>
        <w:t xml:space="preserve">The </w:t>
      </w:r>
      <w:r w:rsidR="00D80D73" w:rsidRPr="000F1358">
        <w:rPr>
          <w:szCs w:val="22"/>
        </w:rPr>
        <w:t xml:space="preserve">hydrogen </w:t>
      </w:r>
      <w:r w:rsidR="00D324DC" w:rsidRPr="000F1358">
        <w:rPr>
          <w:szCs w:val="22"/>
        </w:rPr>
        <w:t>systems must demonstrate an electricity-in and electricity-out solution</w:t>
      </w:r>
      <w:r w:rsidR="00D80D73" w:rsidRPr="000F1358">
        <w:rPr>
          <w:szCs w:val="22"/>
        </w:rPr>
        <w:t xml:space="preserve"> in customer side of the meter applications</w:t>
      </w:r>
      <w:r w:rsidR="00D324DC" w:rsidRPr="000F1358">
        <w:rPr>
          <w:szCs w:val="22"/>
        </w:rPr>
        <w:t xml:space="preserve"> </w:t>
      </w:r>
      <w:r w:rsidR="00D80D73" w:rsidRPr="000F1358">
        <w:rPr>
          <w:szCs w:val="22"/>
        </w:rPr>
        <w:t>(</w:t>
      </w:r>
      <w:r w:rsidR="00D324DC" w:rsidRPr="000F1358">
        <w:rPr>
          <w:szCs w:val="22"/>
        </w:rPr>
        <w:t>not just generate electrolytic hydrogen</w:t>
      </w:r>
      <w:r w:rsidR="00D80D73" w:rsidRPr="000F1358">
        <w:rPr>
          <w:szCs w:val="22"/>
        </w:rPr>
        <w:t>)</w:t>
      </w:r>
      <w:r w:rsidR="00D324DC" w:rsidRPr="000F1358">
        <w:rPr>
          <w:szCs w:val="22"/>
        </w:rPr>
        <w:t>.</w:t>
      </w:r>
      <w:r w:rsidR="00831477" w:rsidRPr="000F1358">
        <w:rPr>
          <w:szCs w:val="22"/>
        </w:rPr>
        <w:t xml:space="preserve"> </w:t>
      </w:r>
      <w:r w:rsidR="004946AB" w:rsidRPr="000F1358">
        <w:rPr>
          <w:szCs w:val="22"/>
        </w:rPr>
        <w:t xml:space="preserve">Additional services (such as heat, oxygen, compressed air or other non-electricity products) can be proposed as long as they have value to the customer and the primary input and output is electricity and the overall system is </w:t>
      </w:r>
      <w:r w:rsidR="0072612E" w:rsidRPr="000F1358">
        <w:rPr>
          <w:szCs w:val="22"/>
        </w:rPr>
        <w:t xml:space="preserve">projected to be </w:t>
      </w:r>
      <w:r w:rsidR="004946AB" w:rsidRPr="000F1358">
        <w:rPr>
          <w:szCs w:val="22"/>
        </w:rPr>
        <w:t>cost effective</w:t>
      </w:r>
      <w:r w:rsidR="0072612E" w:rsidRPr="000F1358">
        <w:rPr>
          <w:szCs w:val="22"/>
        </w:rPr>
        <w:t xml:space="preserve"> when it reaches the scale necessary for </w:t>
      </w:r>
      <w:r w:rsidR="00EA4731" w:rsidRPr="000F1358">
        <w:rPr>
          <w:szCs w:val="22"/>
        </w:rPr>
        <w:t xml:space="preserve">future </w:t>
      </w:r>
      <w:r w:rsidR="0072612E" w:rsidRPr="000F1358">
        <w:rPr>
          <w:szCs w:val="22"/>
        </w:rPr>
        <w:t>commercialization</w:t>
      </w:r>
      <w:r w:rsidR="004946AB" w:rsidRPr="000F1358">
        <w:rPr>
          <w:szCs w:val="22"/>
        </w:rPr>
        <w:t>.</w:t>
      </w:r>
    </w:p>
    <w:p w14:paraId="4AE4964E" w14:textId="77777777" w:rsidR="002E6712" w:rsidRPr="00D324DC" w:rsidRDefault="002E6712" w:rsidP="00945323">
      <w:pPr>
        <w:keepNext/>
        <w:keepLines/>
        <w:jc w:val="both"/>
        <w:rPr>
          <w:szCs w:val="22"/>
        </w:rPr>
      </w:pPr>
      <w:r w:rsidRPr="00D324DC">
        <w:rPr>
          <w:szCs w:val="22"/>
        </w:rPr>
        <w:lastRenderedPageBreak/>
        <w:t xml:space="preserve">See Part II of this solicitation for project eligibility requirements. Applications will be evaluated as follows: Stage One proposal screening and Stage Two proposal scoring. Applicants may submit multiple applications, though each application </w:t>
      </w:r>
      <w:r w:rsidR="00585618" w:rsidRPr="00D324DC">
        <w:rPr>
          <w:szCs w:val="22"/>
        </w:rPr>
        <w:t xml:space="preserve">must </w:t>
      </w:r>
      <w:r w:rsidRPr="00D324DC">
        <w:rPr>
          <w:szCs w:val="22"/>
        </w:rPr>
        <w:t>address only one of the project groups identified above. If an applicant submits multiple applications that address the same project group, each application must be for a distinct project (i.e., no overlap with respect to the tasks described in the Scope of Work</w:t>
      </w:r>
      <w:r w:rsidR="00E85363">
        <w:rPr>
          <w:szCs w:val="22"/>
        </w:rPr>
        <w:t>)</w:t>
      </w:r>
      <w:r w:rsidR="00A67920" w:rsidRPr="00D324DC">
        <w:rPr>
          <w:szCs w:val="22"/>
        </w:rPr>
        <w:t>.</w:t>
      </w:r>
    </w:p>
    <w:p w14:paraId="14BF54D9" w14:textId="77777777" w:rsidR="00F6594F" w:rsidRDefault="00F6594F">
      <w:pPr>
        <w:spacing w:after="0"/>
        <w:rPr>
          <w:rFonts w:cs="Times New Roman"/>
          <w:b/>
          <w:smallCaps/>
          <w:sz w:val="26"/>
          <w:szCs w:val="26"/>
        </w:rPr>
      </w:pPr>
    </w:p>
    <w:p w14:paraId="0B26B378" w14:textId="77777777" w:rsidR="002E6712" w:rsidRPr="00FD3E98" w:rsidRDefault="002E6712" w:rsidP="0018649E">
      <w:pPr>
        <w:pStyle w:val="Heading2"/>
        <w:numPr>
          <w:ilvl w:val="0"/>
          <w:numId w:val="32"/>
        </w:numPr>
        <w:ind w:left="360" w:hanging="360"/>
        <w:jc w:val="both"/>
        <w:rPr>
          <w:b w:val="0"/>
        </w:rPr>
      </w:pPr>
      <w:bookmarkStart w:id="19" w:name="_Toc20331578"/>
      <w:bookmarkStart w:id="20" w:name="_Toc27467014"/>
      <w:r w:rsidRPr="00FD3E98">
        <w:t>Key Words/Terms</w:t>
      </w:r>
      <w:bookmarkEnd w:id="19"/>
      <w:bookmarkEnd w:id="20"/>
    </w:p>
    <w:p w14:paraId="66BFC3A1" w14:textId="77777777" w:rsidR="002E6712" w:rsidRPr="008B5A2C" w:rsidRDefault="002E6712" w:rsidP="00A055EF">
      <w:pPr>
        <w:jc w:val="both"/>
      </w:pPr>
    </w:p>
    <w:tbl>
      <w:tblPr>
        <w:tblStyle w:val="TableGrid1"/>
        <w:tblW w:w="9360" w:type="dxa"/>
        <w:tblLayout w:type="fixed"/>
        <w:tblLook w:val="0000" w:firstRow="0" w:lastRow="0" w:firstColumn="0" w:lastColumn="0" w:noHBand="0" w:noVBand="0"/>
        <w:tblCaption w:val="Key Words/Terms"/>
        <w:tblDescription w:val="Key Words and Definitions"/>
      </w:tblPr>
      <w:tblGrid>
        <w:gridCol w:w="2430"/>
        <w:gridCol w:w="6930"/>
      </w:tblGrid>
      <w:tr w:rsidR="002E6712" w:rsidRPr="002E6712" w14:paraId="5BF48EA7" w14:textId="77777777" w:rsidTr="00EC1873">
        <w:trPr>
          <w:cantSplit/>
          <w:trHeight w:val="235"/>
          <w:tblHeader/>
        </w:trPr>
        <w:tc>
          <w:tcPr>
            <w:tcW w:w="2430" w:type="dxa"/>
            <w:shd w:val="clear" w:color="auto" w:fill="D9D9D9" w:themeFill="background1" w:themeFillShade="D9"/>
          </w:tcPr>
          <w:p w14:paraId="65C0EACD" w14:textId="77777777" w:rsidR="002E6712" w:rsidRPr="002E6712" w:rsidRDefault="002E6712" w:rsidP="002E6712">
            <w:pPr>
              <w:spacing w:after="0"/>
              <w:rPr>
                <w:b/>
              </w:rPr>
            </w:pPr>
            <w:r w:rsidRPr="002E6712">
              <w:rPr>
                <w:b/>
              </w:rPr>
              <w:t>Word/Term</w:t>
            </w:r>
          </w:p>
        </w:tc>
        <w:tc>
          <w:tcPr>
            <w:tcW w:w="6930" w:type="dxa"/>
            <w:shd w:val="clear" w:color="auto" w:fill="D9D9D9" w:themeFill="background1" w:themeFillShade="D9"/>
          </w:tcPr>
          <w:p w14:paraId="34FCA938" w14:textId="77777777" w:rsidR="002E6712" w:rsidRPr="002E6712" w:rsidRDefault="002E6712" w:rsidP="002E6712">
            <w:pPr>
              <w:spacing w:after="0"/>
              <w:rPr>
                <w:b/>
              </w:rPr>
            </w:pPr>
            <w:r w:rsidRPr="002E6712">
              <w:rPr>
                <w:b/>
              </w:rPr>
              <w:t>Definition</w:t>
            </w:r>
          </w:p>
        </w:tc>
      </w:tr>
      <w:tr w:rsidR="002E6712" w:rsidRPr="002E6712" w14:paraId="6D804BF5" w14:textId="77777777" w:rsidTr="00EC1873">
        <w:tc>
          <w:tcPr>
            <w:tcW w:w="2430" w:type="dxa"/>
          </w:tcPr>
          <w:p w14:paraId="5011772E" w14:textId="77777777" w:rsidR="002E6712" w:rsidRPr="002E6712" w:rsidRDefault="002E6712" w:rsidP="002E6712">
            <w:pPr>
              <w:jc w:val="both"/>
            </w:pPr>
            <w:r w:rsidRPr="002E6712">
              <w:t>Applicant</w:t>
            </w:r>
          </w:p>
        </w:tc>
        <w:tc>
          <w:tcPr>
            <w:tcW w:w="6930" w:type="dxa"/>
          </w:tcPr>
          <w:p w14:paraId="491609BC" w14:textId="77777777" w:rsidR="002E6712" w:rsidRPr="002E6712" w:rsidRDefault="002E6712" w:rsidP="00585618">
            <w:pPr>
              <w:jc w:val="both"/>
            </w:pPr>
            <w:r w:rsidRPr="002E6712">
              <w:t xml:space="preserve">The </w:t>
            </w:r>
            <w:r w:rsidR="00585618">
              <w:t xml:space="preserve">entity that submits an application </w:t>
            </w:r>
            <w:r w:rsidRPr="002E6712">
              <w:t>to this solicitation</w:t>
            </w:r>
          </w:p>
        </w:tc>
      </w:tr>
      <w:tr w:rsidR="002E6712" w:rsidRPr="002E6712" w14:paraId="6A855D75" w14:textId="77777777" w:rsidTr="00EC1873">
        <w:tc>
          <w:tcPr>
            <w:tcW w:w="2430" w:type="dxa"/>
          </w:tcPr>
          <w:p w14:paraId="6DEEEDF6" w14:textId="77777777" w:rsidR="002E6712" w:rsidRPr="002E6712" w:rsidRDefault="002E6712" w:rsidP="002E6712">
            <w:pPr>
              <w:jc w:val="both"/>
            </w:pPr>
            <w:r w:rsidRPr="002E6712">
              <w:t>Application</w:t>
            </w:r>
          </w:p>
        </w:tc>
        <w:tc>
          <w:tcPr>
            <w:tcW w:w="6930" w:type="dxa"/>
          </w:tcPr>
          <w:p w14:paraId="022BEF3B" w14:textId="77777777" w:rsidR="002E6712" w:rsidRPr="002E6712" w:rsidRDefault="002E6712" w:rsidP="00B67796">
            <w:pPr>
              <w:jc w:val="both"/>
            </w:pPr>
            <w:r w:rsidRPr="002E6712">
              <w:t xml:space="preserve">An applicant’s written response to this solicitation </w:t>
            </w:r>
          </w:p>
        </w:tc>
      </w:tr>
      <w:tr w:rsidR="002E6712" w:rsidRPr="002E6712" w14:paraId="5ED9B03B" w14:textId="77777777" w:rsidTr="00EC1873">
        <w:tc>
          <w:tcPr>
            <w:tcW w:w="2430" w:type="dxa"/>
          </w:tcPr>
          <w:p w14:paraId="195F4619" w14:textId="77777777" w:rsidR="002E6712" w:rsidRPr="002E6712" w:rsidRDefault="002E6712" w:rsidP="002E6712">
            <w:pPr>
              <w:jc w:val="both"/>
            </w:pPr>
            <w:r w:rsidRPr="002E6712">
              <w:t>CAM</w:t>
            </w:r>
          </w:p>
        </w:tc>
        <w:tc>
          <w:tcPr>
            <w:tcW w:w="6930" w:type="dxa"/>
          </w:tcPr>
          <w:p w14:paraId="7710E979" w14:textId="77777777" w:rsidR="002E6712" w:rsidRPr="002E6712" w:rsidRDefault="002E6712" w:rsidP="002E6712">
            <w:pPr>
              <w:jc w:val="both"/>
            </w:pPr>
            <w:r w:rsidRPr="002E6712">
              <w:rPr>
                <w:i/>
              </w:rPr>
              <w:t>Commission Agreement Manager,</w:t>
            </w:r>
            <w:r w:rsidRPr="002E6712">
              <w:t xml:space="preserve"> the person designated by the Energy Commission to oversee the performance of an agreement resulting from this solicitation and to serve as the main point of contact for the Recipient</w:t>
            </w:r>
          </w:p>
        </w:tc>
      </w:tr>
      <w:tr w:rsidR="007011DF" w:rsidRPr="0040540A" w14:paraId="63DFB33E" w14:textId="77777777" w:rsidTr="00EC1873">
        <w:tc>
          <w:tcPr>
            <w:tcW w:w="2430" w:type="dxa"/>
          </w:tcPr>
          <w:p w14:paraId="604AA937" w14:textId="77777777" w:rsidR="007011DF" w:rsidRPr="0040540A" w:rsidRDefault="007011DF" w:rsidP="002D721D">
            <w:pPr>
              <w:jc w:val="both"/>
            </w:pPr>
            <w:r>
              <w:t>CAO</w:t>
            </w:r>
          </w:p>
        </w:tc>
        <w:tc>
          <w:tcPr>
            <w:tcW w:w="6930" w:type="dxa"/>
          </w:tcPr>
          <w:p w14:paraId="2B4A7E65" w14:textId="77777777" w:rsidR="007011DF" w:rsidRPr="0040540A" w:rsidRDefault="00162357" w:rsidP="002D721D">
            <w:pPr>
              <w:jc w:val="both"/>
              <w:rPr>
                <w:i/>
              </w:rPr>
            </w:pPr>
            <w:r w:rsidRPr="007B315F">
              <w:t>Commission Agreement Officer</w:t>
            </w:r>
          </w:p>
        </w:tc>
      </w:tr>
      <w:tr w:rsidR="007011DF" w:rsidRPr="0040540A" w14:paraId="2ECE5EE5" w14:textId="77777777" w:rsidTr="00EC1873">
        <w:tc>
          <w:tcPr>
            <w:tcW w:w="2430" w:type="dxa"/>
          </w:tcPr>
          <w:p w14:paraId="17EC4777" w14:textId="77777777" w:rsidR="007011DF" w:rsidRPr="0040540A" w:rsidRDefault="007011DF" w:rsidP="002D721D">
            <w:pPr>
              <w:jc w:val="both"/>
            </w:pPr>
            <w:r>
              <w:t>CEQA</w:t>
            </w:r>
          </w:p>
        </w:tc>
        <w:tc>
          <w:tcPr>
            <w:tcW w:w="6930" w:type="dxa"/>
          </w:tcPr>
          <w:p w14:paraId="5E7E4FF5" w14:textId="77777777" w:rsidR="007011DF" w:rsidRPr="007B76BC" w:rsidRDefault="00162357" w:rsidP="002D721D">
            <w:pPr>
              <w:keepNext/>
              <w:spacing w:before="120"/>
              <w:jc w:val="both"/>
              <w:outlineLvl w:val="1"/>
            </w:pPr>
            <w:r w:rsidRPr="007B76BC">
              <w:t>California Environmental Quality Act</w:t>
            </w:r>
            <w:r w:rsidR="00AF4D81">
              <w:t xml:space="preserve">, </w:t>
            </w:r>
            <w:r w:rsidR="005265E2">
              <w:t xml:space="preserve">California </w:t>
            </w:r>
            <w:r w:rsidR="00AF4D81">
              <w:t>Public Resources Code Section 21000 et seq.</w:t>
            </w:r>
          </w:p>
        </w:tc>
      </w:tr>
      <w:tr w:rsidR="002E6712" w:rsidRPr="0040540A" w14:paraId="16DA6805" w14:textId="77777777" w:rsidTr="00EC1873">
        <w:tc>
          <w:tcPr>
            <w:tcW w:w="2430" w:type="dxa"/>
          </w:tcPr>
          <w:p w14:paraId="3E1B3874" w14:textId="77777777" w:rsidR="002E6712" w:rsidRPr="0040540A" w:rsidRDefault="002E6712" w:rsidP="002D721D">
            <w:pPr>
              <w:jc w:val="both"/>
            </w:pPr>
            <w:r w:rsidRPr="0040540A">
              <w:t>Days</w:t>
            </w:r>
          </w:p>
        </w:tc>
        <w:tc>
          <w:tcPr>
            <w:tcW w:w="6930" w:type="dxa"/>
          </w:tcPr>
          <w:p w14:paraId="35519BFF" w14:textId="77777777" w:rsidR="002E6712" w:rsidRPr="0040540A" w:rsidRDefault="002E6712" w:rsidP="002D721D">
            <w:pPr>
              <w:jc w:val="both"/>
              <w:rPr>
                <w:i/>
              </w:rPr>
            </w:pPr>
            <w:r w:rsidRPr="0040540A">
              <w:rPr>
                <w:i/>
              </w:rPr>
              <w:t xml:space="preserve">Days refers to calendar days </w:t>
            </w:r>
          </w:p>
        </w:tc>
      </w:tr>
      <w:tr w:rsidR="002E6712" w:rsidRPr="0040540A" w14:paraId="44922019" w14:textId="77777777" w:rsidTr="00EC1873">
        <w:tc>
          <w:tcPr>
            <w:tcW w:w="2430" w:type="dxa"/>
          </w:tcPr>
          <w:p w14:paraId="53D54E40" w14:textId="77777777" w:rsidR="002E6712" w:rsidRPr="0040540A" w:rsidRDefault="002E6712" w:rsidP="002D721D">
            <w:pPr>
              <w:jc w:val="both"/>
            </w:pPr>
            <w:r w:rsidRPr="0040540A">
              <w:t>Disadvantaged Community</w:t>
            </w:r>
          </w:p>
        </w:tc>
        <w:tc>
          <w:tcPr>
            <w:tcW w:w="6930" w:type="dxa"/>
          </w:tcPr>
          <w:p w14:paraId="3927BD33" w14:textId="10344D8C" w:rsidR="002E6712" w:rsidRPr="0040540A" w:rsidRDefault="002E6712" w:rsidP="00443C9B">
            <w:pPr>
              <w:rPr>
                <w:i/>
              </w:rPr>
            </w:pPr>
            <w:r w:rsidRPr="0040540A">
              <w:t xml:space="preserve">These are communities defined as areas representing census tracts scoring in the top 25 </w:t>
            </w:r>
            <w:r w:rsidR="00162357">
              <w:t>%</w:t>
            </w:r>
            <w:r w:rsidRPr="0040540A">
              <w:t xml:space="preserve"> in </w:t>
            </w:r>
            <w:proofErr w:type="spellStart"/>
            <w:r w:rsidRPr="0040540A">
              <w:rPr>
                <w:i/>
              </w:rPr>
              <w:t>CalEnviroScreen</w:t>
            </w:r>
            <w:proofErr w:type="spellEnd"/>
            <w:r w:rsidRPr="0040540A">
              <w:rPr>
                <w:i/>
              </w:rPr>
              <w:t xml:space="preserve"> </w:t>
            </w:r>
            <w:r w:rsidR="00E9682D">
              <w:rPr>
                <w:i/>
              </w:rPr>
              <w:t>3</w:t>
            </w:r>
            <w:r w:rsidRPr="0040540A">
              <w:rPr>
                <w:i/>
              </w:rPr>
              <w:t>.0</w:t>
            </w:r>
            <w:r w:rsidRPr="0040540A">
              <w:t>. (</w:t>
            </w:r>
            <w:hyperlink r:id="rId12" w:tooltip="Click here to go to the California Communities Environmental Health Screening Tool" w:history="1">
              <w:r w:rsidR="00443C9B" w:rsidRPr="00404C1C">
                <w:rPr>
                  <w:rStyle w:val="Hyperlink"/>
                  <w:rFonts w:cs="Arial"/>
                </w:rPr>
                <w:t>https://oehha.ca.gov/calenvi</w:t>
              </w:r>
              <w:r w:rsidR="00443C9B" w:rsidRPr="00404C1C">
                <w:rPr>
                  <w:rStyle w:val="Hyperlink"/>
                  <w:rFonts w:cs="Arial"/>
                </w:rPr>
                <w:t>r</w:t>
              </w:r>
              <w:r w:rsidR="00443C9B" w:rsidRPr="00404C1C">
                <w:rPr>
                  <w:rStyle w:val="Hyperlink"/>
                  <w:rFonts w:cs="Arial"/>
                </w:rPr>
                <w:t>osc</w:t>
              </w:r>
              <w:r w:rsidR="00443C9B" w:rsidRPr="00404C1C">
                <w:rPr>
                  <w:rStyle w:val="Hyperlink"/>
                  <w:rFonts w:cs="Arial"/>
                </w:rPr>
                <w:t>r</w:t>
              </w:r>
              <w:r w:rsidR="00443C9B" w:rsidRPr="00404C1C">
                <w:rPr>
                  <w:rStyle w:val="Hyperlink"/>
                  <w:rFonts w:cs="Arial"/>
                </w:rPr>
                <w:t>een/report/calenviroscreen-30</w:t>
              </w:r>
            </w:hyperlink>
            <w:r w:rsidRPr="0040540A">
              <w:t xml:space="preserve">) </w:t>
            </w:r>
          </w:p>
        </w:tc>
      </w:tr>
      <w:tr w:rsidR="00C6646C" w:rsidRPr="002E6712" w14:paraId="76590CC4" w14:textId="77777777" w:rsidTr="00EC1873">
        <w:tc>
          <w:tcPr>
            <w:tcW w:w="2430" w:type="dxa"/>
          </w:tcPr>
          <w:p w14:paraId="34E63F5E" w14:textId="77777777" w:rsidR="00C6646C" w:rsidRPr="00DF51D2" w:rsidRDefault="00783851" w:rsidP="00C6646C">
            <w:r w:rsidRPr="00DF51D2">
              <w:rPr>
                <w:szCs w:val="22"/>
              </w:rPr>
              <w:t>G</w:t>
            </w:r>
            <w:r w:rsidR="00C6646C" w:rsidRPr="00DF51D2">
              <w:rPr>
                <w:szCs w:val="22"/>
              </w:rPr>
              <w:t>reen electrolytic hydrogen</w:t>
            </w:r>
          </w:p>
        </w:tc>
        <w:tc>
          <w:tcPr>
            <w:tcW w:w="6930" w:type="dxa"/>
          </w:tcPr>
          <w:p w14:paraId="0019BC4A" w14:textId="08493F64" w:rsidR="00C6646C" w:rsidRPr="00DF51D2" w:rsidRDefault="00AB2CA3" w:rsidP="00405099">
            <w:pPr>
              <w:jc w:val="both"/>
            </w:pPr>
            <w:r w:rsidRPr="00DF51D2">
              <w:t>As defined in SB-1369</w:t>
            </w:r>
            <w:r w:rsidR="00C00C47" w:rsidRPr="00DF51D2">
              <w:t xml:space="preserve"> </w:t>
            </w:r>
            <w:r w:rsidR="00C00C47" w:rsidRPr="00DF51D2">
              <w:rPr>
                <w:szCs w:val="22"/>
              </w:rPr>
              <w:t xml:space="preserve">(Skinner, Chapter 567, Statutes of </w:t>
            </w:r>
            <w:r w:rsidR="00405099" w:rsidRPr="00DF51D2">
              <w:rPr>
                <w:szCs w:val="22"/>
              </w:rPr>
              <w:t>2</w:t>
            </w:r>
            <w:r w:rsidR="00C00C47" w:rsidRPr="00DF51D2">
              <w:rPr>
                <w:szCs w:val="22"/>
              </w:rPr>
              <w:t>018):</w:t>
            </w:r>
            <w:r w:rsidR="0043353E" w:rsidRPr="00DF51D2">
              <w:rPr>
                <w:szCs w:val="22"/>
              </w:rPr>
              <w:t xml:space="preserve"> </w:t>
            </w:r>
            <w:r w:rsidR="00C00C47" w:rsidRPr="00DF51D2">
              <w:t>“green electrolytic hydrogen” means hydrogen gas produced through electrolysis and does not include hydrogen gas manufactured using steam reforming or any other conversion technology that produces hydrogen from a fossil fuel feedstock.</w:t>
            </w:r>
          </w:p>
        </w:tc>
      </w:tr>
      <w:tr w:rsidR="00727B27" w:rsidRPr="002E6712" w14:paraId="591F59A5" w14:textId="77777777" w:rsidTr="00EC1873">
        <w:tc>
          <w:tcPr>
            <w:tcW w:w="2430" w:type="dxa"/>
          </w:tcPr>
          <w:p w14:paraId="514BA9A6" w14:textId="77777777" w:rsidR="00727B27" w:rsidRPr="002E6712" w:rsidRDefault="00727B27" w:rsidP="002E6712">
            <w:pPr>
              <w:jc w:val="both"/>
            </w:pPr>
            <w:r w:rsidRPr="002E6712">
              <w:t>EPIC</w:t>
            </w:r>
          </w:p>
        </w:tc>
        <w:tc>
          <w:tcPr>
            <w:tcW w:w="6930" w:type="dxa"/>
          </w:tcPr>
          <w:p w14:paraId="5EB822E3" w14:textId="77777777" w:rsidR="00727B27" w:rsidRPr="002E6712" w:rsidRDefault="00727B27" w:rsidP="002E6712">
            <w:pPr>
              <w:jc w:val="both"/>
            </w:pPr>
            <w:r w:rsidRPr="002E6712">
              <w:rPr>
                <w:i/>
              </w:rPr>
              <w:t>Electric Program Investment Charge,</w:t>
            </w:r>
            <w:r w:rsidRPr="002E6712">
              <w:t xml:space="preserve"> the source of funding for the projects awarded under this solicitation</w:t>
            </w:r>
          </w:p>
        </w:tc>
      </w:tr>
      <w:tr w:rsidR="00727B27" w:rsidRPr="002E6712" w14:paraId="43B7AF5B" w14:textId="77777777" w:rsidTr="00EC1873">
        <w:tc>
          <w:tcPr>
            <w:tcW w:w="2430" w:type="dxa"/>
          </w:tcPr>
          <w:p w14:paraId="22BF0076" w14:textId="3F13E980" w:rsidR="00727B27" w:rsidRPr="002E6712" w:rsidRDefault="001358AA" w:rsidP="00384392">
            <w:r>
              <w:t xml:space="preserve">California </w:t>
            </w:r>
            <w:r w:rsidR="00727B27" w:rsidRPr="002E6712">
              <w:t>Energy Commission</w:t>
            </w:r>
            <w:r w:rsidR="003D6319">
              <w:t xml:space="preserve"> </w:t>
            </w:r>
            <w:r>
              <w:t xml:space="preserve">(CEC) </w:t>
            </w:r>
          </w:p>
        </w:tc>
        <w:tc>
          <w:tcPr>
            <w:tcW w:w="6930" w:type="dxa"/>
          </w:tcPr>
          <w:p w14:paraId="14816977" w14:textId="77777777" w:rsidR="00727B27" w:rsidRPr="002E6712" w:rsidRDefault="004E339D" w:rsidP="002E6712">
            <w:pPr>
              <w:jc w:val="both"/>
            </w:pPr>
            <w:r>
              <w:t xml:space="preserve">State Energy Resources Conservation and Development Commission or as commonly called, the </w:t>
            </w:r>
            <w:r w:rsidR="00727B27" w:rsidRPr="002E6712">
              <w:t>California Energy Commission</w:t>
            </w:r>
          </w:p>
        </w:tc>
      </w:tr>
      <w:tr w:rsidR="00727B27" w:rsidRPr="002E6712" w14:paraId="1936ECAC" w14:textId="77777777" w:rsidTr="00EC1873">
        <w:tc>
          <w:tcPr>
            <w:tcW w:w="2430" w:type="dxa"/>
          </w:tcPr>
          <w:p w14:paraId="78CF0794" w14:textId="77777777" w:rsidR="00727B27" w:rsidRPr="002E6712" w:rsidRDefault="00727B27" w:rsidP="002E6712">
            <w:pPr>
              <w:jc w:val="both"/>
            </w:pPr>
            <w:r w:rsidRPr="002E6712">
              <w:t>IOU</w:t>
            </w:r>
          </w:p>
        </w:tc>
        <w:tc>
          <w:tcPr>
            <w:tcW w:w="6930" w:type="dxa"/>
          </w:tcPr>
          <w:p w14:paraId="3962AA95" w14:textId="77777777" w:rsidR="00727B27" w:rsidRPr="002E6712" w:rsidRDefault="00727B27" w:rsidP="003D6319">
            <w:pPr>
              <w:jc w:val="both"/>
            </w:pPr>
            <w:r w:rsidRPr="002E6712">
              <w:rPr>
                <w:i/>
              </w:rPr>
              <w:t>Investor-owned utility,</w:t>
            </w:r>
            <w:r w:rsidRPr="002E6712">
              <w:t xml:space="preserve"> </w:t>
            </w:r>
            <w:r w:rsidR="003D6319">
              <w:t xml:space="preserve">an electrical corporation as defined in in California Public Utilities Code section 218. For purposes of this EPIC solicitation, it includes </w:t>
            </w:r>
            <w:r w:rsidRPr="002E6712">
              <w:t>Pacific Gas and Electric Co., San Diego Gas and Electric Co., and Southern California Edison Co.</w:t>
            </w:r>
          </w:p>
        </w:tc>
      </w:tr>
      <w:tr w:rsidR="00727B27" w:rsidRPr="002E6712" w14:paraId="1803E29A" w14:textId="77777777" w:rsidTr="00EC1873">
        <w:tc>
          <w:tcPr>
            <w:tcW w:w="2430" w:type="dxa"/>
          </w:tcPr>
          <w:p w14:paraId="6B225474" w14:textId="77777777" w:rsidR="00727B27" w:rsidRPr="002E6712" w:rsidRDefault="00727B27" w:rsidP="002E6712">
            <w:pPr>
              <w:jc w:val="both"/>
            </w:pPr>
            <w:r w:rsidRPr="002E6712">
              <w:t>NOPA</w:t>
            </w:r>
          </w:p>
        </w:tc>
        <w:tc>
          <w:tcPr>
            <w:tcW w:w="6930" w:type="dxa"/>
          </w:tcPr>
          <w:p w14:paraId="1F0EDB68" w14:textId="77777777" w:rsidR="00727B27" w:rsidRPr="002E6712" w:rsidRDefault="00727B27" w:rsidP="002E6712">
            <w:pPr>
              <w:jc w:val="both"/>
            </w:pPr>
            <w:r w:rsidRPr="002E6712">
              <w:rPr>
                <w:i/>
              </w:rPr>
              <w:t>Notice of Proposed Award,</w:t>
            </w:r>
            <w:r w:rsidRPr="002E6712">
              <w:t xml:space="preserve"> a public notice </w:t>
            </w:r>
            <w:r w:rsidR="004E339D">
              <w:t xml:space="preserve">by the Energy Commission </w:t>
            </w:r>
            <w:r w:rsidRPr="002E6712">
              <w:t>that identifies award recipients</w:t>
            </w:r>
          </w:p>
        </w:tc>
      </w:tr>
      <w:tr w:rsidR="00727B27" w:rsidRPr="002E6712" w14:paraId="6CBD40DE" w14:textId="77777777" w:rsidTr="00EC1873">
        <w:tc>
          <w:tcPr>
            <w:tcW w:w="2430" w:type="dxa"/>
          </w:tcPr>
          <w:p w14:paraId="6818DBCD" w14:textId="77777777" w:rsidR="00727B27" w:rsidRPr="002E6712" w:rsidRDefault="00727B27" w:rsidP="002E6712">
            <w:pPr>
              <w:jc w:val="both"/>
            </w:pPr>
            <w:r>
              <w:t>Pre-Commercial</w:t>
            </w:r>
          </w:p>
        </w:tc>
        <w:tc>
          <w:tcPr>
            <w:tcW w:w="6930" w:type="dxa"/>
          </w:tcPr>
          <w:p w14:paraId="1CB5279C" w14:textId="77777777" w:rsidR="00727B27" w:rsidRPr="002E6712" w:rsidRDefault="00727B27" w:rsidP="002E6712">
            <w:pPr>
              <w:spacing w:before="100" w:beforeAutospacing="1" w:after="100" w:afterAutospacing="1"/>
            </w:pPr>
            <w:r w:rsidRPr="00014A18">
              <w:rPr>
                <w:i/>
              </w:rPr>
              <w:t>Pre-commercial Technology</w:t>
            </w:r>
            <w:r w:rsidRPr="00A97604">
              <w:t xml:space="preserve"> means a technology that has not reached commercial maturity or been deployed at scales sufficiently large and in conditions sufficiently reflective of anticipated actual </w:t>
            </w:r>
            <w:r w:rsidRPr="00A97604">
              <w:lastRenderedPageBreak/>
              <w:t>operating environments to enable the appraisal of operational and performance characteristics, or of financial risks.</w:t>
            </w:r>
          </w:p>
        </w:tc>
      </w:tr>
      <w:tr w:rsidR="00727B27" w:rsidRPr="002E6712" w14:paraId="19B6EA1A" w14:textId="77777777" w:rsidTr="00EC1873">
        <w:tc>
          <w:tcPr>
            <w:tcW w:w="2430" w:type="dxa"/>
          </w:tcPr>
          <w:p w14:paraId="336E8381" w14:textId="77777777" w:rsidR="00727B27" w:rsidRPr="002E6712" w:rsidRDefault="00727B27" w:rsidP="002E6712">
            <w:pPr>
              <w:jc w:val="both"/>
            </w:pPr>
            <w:r>
              <w:lastRenderedPageBreak/>
              <w:t>Pilot Test</w:t>
            </w:r>
          </w:p>
        </w:tc>
        <w:tc>
          <w:tcPr>
            <w:tcW w:w="6930" w:type="dxa"/>
          </w:tcPr>
          <w:p w14:paraId="31B7B345" w14:textId="77777777" w:rsidR="009D55B2" w:rsidRDefault="008145C8" w:rsidP="002E6712">
            <w:pPr>
              <w:spacing w:before="100" w:beforeAutospacing="1" w:after="100" w:afterAutospacing="1"/>
            </w:pPr>
            <w:r w:rsidRPr="005F76F7">
              <w:rPr>
                <w:i/>
              </w:rPr>
              <w:t>Pilot test</w:t>
            </w:r>
            <w:r w:rsidRPr="008145C8">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p w14:paraId="6F653BE0" w14:textId="77777777" w:rsidR="00727B27" w:rsidRPr="009D55B2" w:rsidRDefault="00727B27" w:rsidP="00D90860"/>
        </w:tc>
      </w:tr>
      <w:tr w:rsidR="00727B27" w:rsidRPr="002E6712" w14:paraId="4A084B8D" w14:textId="77777777" w:rsidTr="00EC1873">
        <w:tc>
          <w:tcPr>
            <w:tcW w:w="2430" w:type="dxa"/>
          </w:tcPr>
          <w:p w14:paraId="193FA650" w14:textId="77777777" w:rsidR="00727B27" w:rsidRPr="002E6712" w:rsidRDefault="00727B27" w:rsidP="002E6712">
            <w:pPr>
              <w:jc w:val="both"/>
            </w:pPr>
            <w:r w:rsidRPr="002E6712">
              <w:t>Principal Investigator</w:t>
            </w:r>
          </w:p>
        </w:tc>
        <w:tc>
          <w:tcPr>
            <w:tcW w:w="6930" w:type="dxa"/>
          </w:tcPr>
          <w:p w14:paraId="39DC0DC0" w14:textId="77777777" w:rsidR="00727B27" w:rsidRPr="002E6712" w:rsidRDefault="00727B27" w:rsidP="00D33E1C">
            <w:pPr>
              <w:spacing w:before="100" w:beforeAutospacing="1" w:after="100" w:afterAutospacing="1"/>
              <w:rPr>
                <w:rFonts w:cs="Times New Roman"/>
                <w:sz w:val="24"/>
                <w:szCs w:val="24"/>
              </w:rPr>
            </w:pPr>
            <w:r w:rsidRPr="002E6712">
              <w:t xml:space="preserve">The </w:t>
            </w:r>
            <w:r w:rsidR="00D33E1C">
              <w:t xml:space="preserve">technical </w:t>
            </w:r>
            <w:r w:rsidRPr="002E6712">
              <w:t xml:space="preserve">lead for the applicant’s project, who is responsible for overseeing the project; in some instances, the </w:t>
            </w:r>
            <w:r w:rsidR="00CB705C" w:rsidRPr="002E6712">
              <w:t>Principal</w:t>
            </w:r>
            <w:r w:rsidRPr="002E6712">
              <w:t xml:space="preserve"> Investigator and Project Manager may be the same person  </w:t>
            </w:r>
          </w:p>
        </w:tc>
      </w:tr>
      <w:tr w:rsidR="00727B27" w:rsidRPr="002E6712" w14:paraId="28236B45" w14:textId="77777777" w:rsidTr="00EC1873">
        <w:tc>
          <w:tcPr>
            <w:tcW w:w="2430" w:type="dxa"/>
          </w:tcPr>
          <w:p w14:paraId="3B474108" w14:textId="77777777" w:rsidR="00727B27" w:rsidRPr="002E6712" w:rsidRDefault="00727B27" w:rsidP="002E6712">
            <w:pPr>
              <w:jc w:val="both"/>
            </w:pPr>
            <w:r w:rsidRPr="002E6712">
              <w:t>Project Manager</w:t>
            </w:r>
          </w:p>
        </w:tc>
        <w:tc>
          <w:tcPr>
            <w:tcW w:w="6930" w:type="dxa"/>
          </w:tcPr>
          <w:p w14:paraId="37969D75" w14:textId="77777777" w:rsidR="00727B27" w:rsidRPr="002E6712" w:rsidRDefault="00727B27" w:rsidP="002E6712">
            <w:pPr>
              <w:jc w:val="both"/>
            </w:pPr>
            <w:r w:rsidRPr="002E6712">
              <w:t>The person designated by the applicant to oversee the project and to serve as the main point of contact for the Energy Commission</w:t>
            </w:r>
          </w:p>
        </w:tc>
      </w:tr>
      <w:tr w:rsidR="00727B27" w:rsidRPr="002E6712" w14:paraId="60F6C41D" w14:textId="77777777" w:rsidTr="00EC1873">
        <w:tc>
          <w:tcPr>
            <w:tcW w:w="2430" w:type="dxa"/>
          </w:tcPr>
          <w:p w14:paraId="71D700C4" w14:textId="77777777" w:rsidR="00727B27" w:rsidRPr="002E6712" w:rsidRDefault="00727B27" w:rsidP="002E6712">
            <w:pPr>
              <w:jc w:val="both"/>
            </w:pPr>
            <w:r w:rsidRPr="002E6712">
              <w:t>Project Partner</w:t>
            </w:r>
          </w:p>
        </w:tc>
        <w:tc>
          <w:tcPr>
            <w:tcW w:w="6930" w:type="dxa"/>
          </w:tcPr>
          <w:p w14:paraId="60456313" w14:textId="77777777" w:rsidR="00727B27" w:rsidRPr="002E6712" w:rsidRDefault="00727B27" w:rsidP="002E6712">
            <w:pPr>
              <w:jc w:val="both"/>
            </w:pPr>
            <w:r w:rsidRPr="002E6712">
              <w:t xml:space="preserve">An entity or individual that contributes financially or otherwise to the project (e.g., match funding, provision of a </w:t>
            </w:r>
            <w:r>
              <w:t>test</w:t>
            </w:r>
            <w:r w:rsidR="002227B7">
              <w:t xml:space="preserve">, </w:t>
            </w:r>
            <w:r w:rsidRPr="002E6712">
              <w:t xml:space="preserve">demonstration </w:t>
            </w:r>
            <w:r w:rsidR="002227B7">
              <w:t xml:space="preserve">or deployment </w:t>
            </w:r>
            <w:r w:rsidRPr="002E6712">
              <w:t xml:space="preserve">site), and does not receive Energy Commission funds </w:t>
            </w:r>
          </w:p>
        </w:tc>
      </w:tr>
      <w:tr w:rsidR="00727B27" w:rsidRPr="002E6712" w14:paraId="482343C2" w14:textId="77777777" w:rsidTr="00EC1873">
        <w:tc>
          <w:tcPr>
            <w:tcW w:w="2430" w:type="dxa"/>
          </w:tcPr>
          <w:p w14:paraId="75CE822B" w14:textId="77777777" w:rsidR="00727B27" w:rsidRPr="002E6712" w:rsidRDefault="00727B27" w:rsidP="002E6712">
            <w:pPr>
              <w:jc w:val="both"/>
            </w:pPr>
            <w:r w:rsidRPr="002E6712">
              <w:t>Recipient</w:t>
            </w:r>
          </w:p>
        </w:tc>
        <w:tc>
          <w:tcPr>
            <w:tcW w:w="6930" w:type="dxa"/>
          </w:tcPr>
          <w:p w14:paraId="0E64B292" w14:textId="321286DC" w:rsidR="00727B27" w:rsidRPr="002E6712" w:rsidRDefault="00D33E1C" w:rsidP="00D33E1C">
            <w:pPr>
              <w:jc w:val="both"/>
            </w:pPr>
            <w:r>
              <w:t xml:space="preserve">An entity </w:t>
            </w:r>
            <w:r w:rsidR="00346AD4">
              <w:t>receiving</w:t>
            </w:r>
            <w:r>
              <w:t xml:space="preserve"> </w:t>
            </w:r>
            <w:r w:rsidR="00727B27" w:rsidRPr="002E6712">
              <w:t>an award under this solicitation</w:t>
            </w:r>
          </w:p>
        </w:tc>
      </w:tr>
      <w:tr w:rsidR="00727B27" w:rsidRPr="002E6712" w14:paraId="655E825F" w14:textId="77777777" w:rsidTr="00EC1873">
        <w:tc>
          <w:tcPr>
            <w:tcW w:w="2430" w:type="dxa"/>
          </w:tcPr>
          <w:p w14:paraId="0BEB5693" w14:textId="77777777" w:rsidR="00727B27" w:rsidRPr="002E6712" w:rsidRDefault="00727B27" w:rsidP="002E6712">
            <w:pPr>
              <w:jc w:val="both"/>
            </w:pPr>
            <w:r w:rsidRPr="002E6712">
              <w:t>Solicitation</w:t>
            </w:r>
          </w:p>
        </w:tc>
        <w:tc>
          <w:tcPr>
            <w:tcW w:w="6930" w:type="dxa"/>
          </w:tcPr>
          <w:p w14:paraId="5E650ADC" w14:textId="77777777" w:rsidR="00727B27" w:rsidRPr="002E6712" w:rsidRDefault="00727B27" w:rsidP="006D5DBE">
            <w:pPr>
              <w:jc w:val="both"/>
            </w:pPr>
            <w:r w:rsidRPr="002E6712">
              <w:t>This entire document, including all attachments</w:t>
            </w:r>
            <w:r w:rsidR="006D5DBE">
              <w:t>,</w:t>
            </w:r>
            <w:r w:rsidRPr="002E6712">
              <w:t xml:space="preserve"> exhibits</w:t>
            </w:r>
            <w:r w:rsidR="006D5DBE">
              <w:t xml:space="preserve">, any addendum </w:t>
            </w:r>
            <w:r w:rsidR="00173327">
              <w:t xml:space="preserve">and </w:t>
            </w:r>
            <w:r w:rsidR="006D5DBE">
              <w:t xml:space="preserve">written notices, and questions and answers </w:t>
            </w:r>
            <w:r w:rsidRPr="002E6712">
              <w:t xml:space="preserve">  (“solicitation” may be used interchangeably with “</w:t>
            </w:r>
            <w:r w:rsidRPr="00727B27">
              <w:t>Grant Funding Opportunity</w:t>
            </w:r>
            <w:r w:rsidRPr="002E6712">
              <w:t>”)</w:t>
            </w:r>
            <w:r w:rsidR="006D5DBE">
              <w:t xml:space="preserve"> </w:t>
            </w:r>
          </w:p>
        </w:tc>
      </w:tr>
      <w:tr w:rsidR="00727B27" w:rsidRPr="002E6712" w14:paraId="2C4FEDF3" w14:textId="77777777" w:rsidTr="00EC1873">
        <w:tc>
          <w:tcPr>
            <w:tcW w:w="2430" w:type="dxa"/>
          </w:tcPr>
          <w:p w14:paraId="75BC584A" w14:textId="77777777" w:rsidR="00727B27" w:rsidRPr="002E6712" w:rsidRDefault="00727B27" w:rsidP="002E6712">
            <w:pPr>
              <w:jc w:val="both"/>
            </w:pPr>
            <w:r w:rsidRPr="002E6712">
              <w:t>State</w:t>
            </w:r>
          </w:p>
        </w:tc>
        <w:tc>
          <w:tcPr>
            <w:tcW w:w="6930" w:type="dxa"/>
          </w:tcPr>
          <w:p w14:paraId="559410A8" w14:textId="77777777" w:rsidR="00727B27" w:rsidRPr="002E6712" w:rsidRDefault="00727B27" w:rsidP="002E6712">
            <w:pPr>
              <w:jc w:val="both"/>
            </w:pPr>
            <w:r w:rsidRPr="002E6712">
              <w:t>State of California</w:t>
            </w:r>
          </w:p>
        </w:tc>
      </w:tr>
      <w:tr w:rsidR="00EF7DAC" w:rsidRPr="002E6712" w14:paraId="19382469" w14:textId="77777777" w:rsidTr="00EC1873">
        <w:tc>
          <w:tcPr>
            <w:tcW w:w="2430" w:type="dxa"/>
          </w:tcPr>
          <w:p w14:paraId="116852DB" w14:textId="77777777" w:rsidR="00EF7DAC" w:rsidRPr="00DF51D2" w:rsidRDefault="00EF7DAC" w:rsidP="00EF7DAC">
            <w:pPr>
              <w:jc w:val="both"/>
            </w:pPr>
            <w:r w:rsidRPr="00DF51D2">
              <w:t>TRL</w:t>
            </w:r>
          </w:p>
        </w:tc>
        <w:tc>
          <w:tcPr>
            <w:tcW w:w="6930" w:type="dxa"/>
          </w:tcPr>
          <w:p w14:paraId="6A3F4B49" w14:textId="77777777" w:rsidR="00EF7DAC" w:rsidRPr="00DF51D2" w:rsidRDefault="00EF7DAC" w:rsidP="00EF7DAC">
            <w:pPr>
              <w:jc w:val="both"/>
            </w:pPr>
            <w:r w:rsidRPr="00DF51D2">
              <w:t>Technology Readiness Level</w:t>
            </w:r>
          </w:p>
        </w:tc>
      </w:tr>
    </w:tbl>
    <w:p w14:paraId="19D99169" w14:textId="77777777" w:rsidR="00A1133A" w:rsidRPr="00A1133A" w:rsidRDefault="00A1133A" w:rsidP="0018649E">
      <w:pPr>
        <w:pStyle w:val="Heading2"/>
        <w:numPr>
          <w:ilvl w:val="0"/>
          <w:numId w:val="32"/>
        </w:numPr>
        <w:ind w:left="360" w:hanging="360"/>
        <w:jc w:val="both"/>
        <w:rPr>
          <w:sz w:val="26"/>
          <w:szCs w:val="26"/>
        </w:rPr>
      </w:pPr>
      <w:r>
        <w:rPr>
          <w:sz w:val="26"/>
          <w:szCs w:val="26"/>
        </w:rPr>
        <w:br w:type="page"/>
      </w:r>
      <w:bookmarkStart w:id="21" w:name="_Toc27467015"/>
      <w:r w:rsidR="001C2D56" w:rsidRPr="00A1133A">
        <w:rPr>
          <w:sz w:val="26"/>
          <w:szCs w:val="26"/>
        </w:rPr>
        <w:lastRenderedPageBreak/>
        <w:t>Applicants’ Admonishment</w:t>
      </w:r>
      <w:bookmarkEnd w:id="21"/>
    </w:p>
    <w:p w14:paraId="4AAC24A3" w14:textId="0211939D" w:rsidR="001C2D56" w:rsidRDefault="001C2D56" w:rsidP="00A055EF">
      <w:pPr>
        <w:jc w:val="both"/>
      </w:pPr>
      <w:r w:rsidRPr="00E742FA">
        <w:t xml:space="preserve">This </w:t>
      </w:r>
      <w:r>
        <w:t>solicitation</w:t>
      </w:r>
      <w:r w:rsidRPr="00E742FA">
        <w:t xml:space="preserve"> contains</w:t>
      </w:r>
      <w:r>
        <w:t xml:space="preserve"> application requirements and instructions.  </w:t>
      </w:r>
      <w:r w:rsidRPr="00E742FA">
        <w:t xml:space="preserve">Applicants </w:t>
      </w:r>
      <w:r>
        <w:t>are</w:t>
      </w:r>
      <w:r w:rsidRPr="00E742FA">
        <w:t xml:space="preserve"> responsib</w:t>
      </w:r>
      <w:r>
        <w:t>le for</w:t>
      </w:r>
      <w:r w:rsidRPr="00E742FA">
        <w:t xml:space="preserve"> </w:t>
      </w:r>
      <w:r w:rsidRPr="009A37E8">
        <w:rPr>
          <w:b/>
        </w:rPr>
        <w:t>carefully reading</w:t>
      </w:r>
      <w:r w:rsidRPr="00E742FA">
        <w:t xml:space="preserve"> the </w:t>
      </w:r>
      <w:r>
        <w:t>solicitation</w:t>
      </w:r>
      <w:r w:rsidRPr="00E742FA">
        <w:t>, ask</w:t>
      </w:r>
      <w:r>
        <w:t>ing</w:t>
      </w:r>
      <w:r w:rsidRPr="00E742FA">
        <w:t xml:space="preserve"> appropriate questions in a timely manner, </w:t>
      </w:r>
      <w:r>
        <w:t>ensuring</w:t>
      </w:r>
      <w:r w:rsidRPr="00E742FA">
        <w:t xml:space="preserve"> that all </w:t>
      </w:r>
      <w:r>
        <w:t xml:space="preserve">solicitation </w:t>
      </w:r>
      <w:r w:rsidRPr="00E742FA">
        <w:t xml:space="preserve">requirements are </w:t>
      </w:r>
      <w:r>
        <w:t>met,</w:t>
      </w:r>
      <w:r w:rsidRPr="00E742FA">
        <w:t xml:space="preserve"> submit</w:t>
      </w:r>
      <w:r>
        <w:t>ting</w:t>
      </w:r>
      <w:r w:rsidRPr="00E742FA">
        <w:t xml:space="preserve"> all required responses in a complete manner by the required date and time, and </w:t>
      </w:r>
      <w:r w:rsidRPr="00E13E5A">
        <w:rPr>
          <w:b/>
        </w:rPr>
        <w:t>carefully rereading</w:t>
      </w:r>
      <w:r w:rsidRPr="00E742FA">
        <w:t xml:space="preserve"> the </w:t>
      </w:r>
      <w:r>
        <w:t xml:space="preserve">solicitation </w:t>
      </w:r>
      <w:r w:rsidRPr="00E742FA">
        <w:t>before submitting an application</w:t>
      </w:r>
      <w:r>
        <w:t xml:space="preserve">.  In particular, please carefully read the </w:t>
      </w:r>
      <w:r w:rsidRPr="00E13E5A">
        <w:rPr>
          <w:b/>
        </w:rPr>
        <w:t>Screening/Scoring Criteria</w:t>
      </w:r>
      <w:r>
        <w:rPr>
          <w:b/>
        </w:rPr>
        <w:t xml:space="preserve"> and</w:t>
      </w:r>
      <w:r>
        <w:t xml:space="preserve"> </w:t>
      </w:r>
      <w:r w:rsidRPr="00E13E5A">
        <w:rPr>
          <w:b/>
        </w:rPr>
        <w:t>Grounds for Rejection</w:t>
      </w:r>
      <w:r>
        <w:rPr>
          <w:b/>
        </w:rPr>
        <w:t xml:space="preserve"> </w:t>
      </w:r>
      <w:r>
        <w:t xml:space="preserve">in Part IV, and the </w:t>
      </w:r>
      <w:r w:rsidR="00FD57F5">
        <w:t xml:space="preserve">relevant EPIC grant </w:t>
      </w:r>
      <w:r>
        <w:t xml:space="preserve">terms and conditions located at: </w:t>
      </w:r>
      <w:hyperlink r:id="rId13" w:tooltip="click here for EPIC grant terms and conditions " w:history="1">
        <w:r w:rsidR="00443C9B" w:rsidRPr="00404C1C">
          <w:rPr>
            <w:rStyle w:val="Hyperlink"/>
            <w:rFonts w:cs="Arial"/>
          </w:rPr>
          <w:t>https://www.energy.ca.gov/funding-opportunities/funding-resources</w:t>
        </w:r>
      </w:hyperlink>
      <w:r w:rsidR="00857E08" w:rsidRPr="00E742FA">
        <w:t>.</w:t>
      </w:r>
    </w:p>
    <w:p w14:paraId="49066398" w14:textId="77777777" w:rsidR="001C2D56" w:rsidRDefault="001C2D56" w:rsidP="00A055EF">
      <w:pPr>
        <w:jc w:val="both"/>
        <w:rPr>
          <w:b/>
        </w:rPr>
      </w:pPr>
      <w:bookmarkStart w:id="22" w:name="_Toc381079868"/>
      <w:bookmarkStart w:id="23" w:name="_Toc382571127"/>
      <w:bookmarkStart w:id="24" w:name="_Toc395180625"/>
      <w:bookmarkStart w:id="25" w:name="_Toc433981277"/>
      <w:r>
        <w:t xml:space="preserve">Applicants are </w:t>
      </w:r>
      <w:r w:rsidR="00173327">
        <w:t xml:space="preserve">solely </w:t>
      </w:r>
      <w:r>
        <w:t>responsible for the cost of developing applications.  This cost cannot be charged to the State.  All submitted documents will become public</w:t>
      </w:r>
      <w:r w:rsidR="00173327">
        <w:t>ly available</w:t>
      </w:r>
      <w:r>
        <w:t xml:space="preserve"> records upon the posting of the Notice of Proposed Award.</w:t>
      </w:r>
      <w:bookmarkEnd w:id="22"/>
      <w:bookmarkEnd w:id="23"/>
      <w:bookmarkEnd w:id="24"/>
      <w:bookmarkEnd w:id="25"/>
    </w:p>
    <w:p w14:paraId="1527AB04" w14:textId="77777777" w:rsidR="00DF520D" w:rsidRDefault="00DF520D" w:rsidP="0018649E">
      <w:pPr>
        <w:pStyle w:val="Heading2"/>
        <w:numPr>
          <w:ilvl w:val="0"/>
          <w:numId w:val="32"/>
        </w:numPr>
        <w:ind w:left="360" w:hanging="360"/>
        <w:jc w:val="both"/>
        <w:rPr>
          <w:sz w:val="26"/>
          <w:szCs w:val="26"/>
        </w:rPr>
      </w:pPr>
      <w:bookmarkStart w:id="26" w:name="_Toc20331579"/>
      <w:bookmarkStart w:id="27" w:name="_Toc27467016"/>
      <w:r>
        <w:rPr>
          <w:sz w:val="26"/>
          <w:szCs w:val="26"/>
        </w:rPr>
        <w:t>additional requirements</w:t>
      </w:r>
      <w:bookmarkEnd w:id="26"/>
      <w:bookmarkEnd w:id="27"/>
    </w:p>
    <w:p w14:paraId="2DD88867" w14:textId="3C3DE366" w:rsidR="00DF520D" w:rsidRPr="00767695" w:rsidRDefault="00DF520D" w:rsidP="0018649E">
      <w:pPr>
        <w:pStyle w:val="ListParagraph"/>
        <w:numPr>
          <w:ilvl w:val="0"/>
          <w:numId w:val="42"/>
        </w:numPr>
        <w:spacing w:after="160"/>
        <w:ind w:right="720"/>
        <w:jc w:val="both"/>
        <w:rPr>
          <w:szCs w:val="22"/>
        </w:rPr>
      </w:pPr>
      <w:r w:rsidRPr="00091FF9">
        <w:rPr>
          <w:szCs w:val="22"/>
        </w:rPr>
        <w:t xml:space="preserve">Time is of the essence. Funds available under this solicitation have encumbrance deadlines as </w:t>
      </w:r>
      <w:r w:rsidRPr="008B5A2C">
        <w:rPr>
          <w:szCs w:val="22"/>
        </w:rPr>
        <w:t xml:space="preserve">early as </w:t>
      </w:r>
      <w:r w:rsidR="008E6D20" w:rsidRPr="008B5A2C">
        <w:rPr>
          <w:szCs w:val="22"/>
        </w:rPr>
        <w:t>June 30, 2020</w:t>
      </w:r>
      <w:r w:rsidRPr="008B5A2C">
        <w:rPr>
          <w:szCs w:val="22"/>
        </w:rPr>
        <w:t xml:space="preserve">.  This means that the Energy Commission must approve proposed awards at a business meeting </w:t>
      </w:r>
      <w:r w:rsidR="00173327" w:rsidRPr="008B5A2C">
        <w:rPr>
          <w:szCs w:val="22"/>
        </w:rPr>
        <w:t xml:space="preserve">(usually held monthly) </w:t>
      </w:r>
      <w:r w:rsidR="008E6D20" w:rsidRPr="008B5A2C">
        <w:rPr>
          <w:szCs w:val="22"/>
        </w:rPr>
        <w:t xml:space="preserve">no later than June 10, 2020 </w:t>
      </w:r>
      <w:r w:rsidRPr="008B5A2C">
        <w:rPr>
          <w:szCs w:val="22"/>
        </w:rPr>
        <w:t xml:space="preserve">in order to avoid expiration of the funds. Prior to approval and encumbrance, </w:t>
      </w:r>
      <w:r w:rsidRPr="00091FF9">
        <w:rPr>
          <w:szCs w:val="22"/>
        </w:rPr>
        <w:t>the Energy Commission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r w:rsidRPr="00767695">
        <w:rPr>
          <w:szCs w:val="22"/>
        </w:rPr>
        <w:t>.</w:t>
      </w:r>
      <w:r w:rsidR="004F74C8" w:rsidRPr="00767695">
        <w:rPr>
          <w:szCs w:val="22"/>
        </w:rPr>
        <w:t xml:space="preserve"> </w:t>
      </w:r>
      <w:r w:rsidR="0080064E" w:rsidRPr="00767695">
        <w:rPr>
          <w:szCs w:val="22"/>
        </w:rPr>
        <w:t xml:space="preserve"> </w:t>
      </w:r>
      <w:r w:rsidR="004F74C8" w:rsidRPr="00767695">
        <w:rPr>
          <w:szCs w:val="22"/>
        </w:rPr>
        <w:t xml:space="preserve">Due to the encumbrance deadline for applicable funding, the status of lead agency CEQA approval for the proposed project, if any, must be included with the application and all final CEQA approval documents must be received in time to make the schedule for the June 2020 Business Meeting. </w:t>
      </w:r>
      <w:r w:rsidR="0080064E" w:rsidRPr="00767695">
        <w:rPr>
          <w:szCs w:val="22"/>
        </w:rPr>
        <w:t xml:space="preserve"> </w:t>
      </w:r>
      <w:r w:rsidR="004F74C8" w:rsidRPr="00767695">
        <w:rPr>
          <w:szCs w:val="22"/>
        </w:rPr>
        <w:t xml:space="preserve">Applications with energy storage technologies that </w:t>
      </w:r>
      <w:r w:rsidR="0080064E" w:rsidRPr="00767695">
        <w:rPr>
          <w:szCs w:val="22"/>
        </w:rPr>
        <w:t>(1)</w:t>
      </w:r>
      <w:r w:rsidR="004F74C8" w:rsidRPr="00767695">
        <w:rPr>
          <w:szCs w:val="22"/>
        </w:rPr>
        <w:t xml:space="preserve"> fall under a statutory or categorical CEQA exemption</w:t>
      </w:r>
      <w:r w:rsidR="0080064E" w:rsidRPr="00767695">
        <w:rPr>
          <w:szCs w:val="22"/>
        </w:rPr>
        <w:t>,</w:t>
      </w:r>
      <w:r w:rsidR="004F74C8" w:rsidRPr="00767695">
        <w:rPr>
          <w:szCs w:val="22"/>
        </w:rPr>
        <w:t xml:space="preserve"> or </w:t>
      </w:r>
      <w:r w:rsidR="0080064E" w:rsidRPr="00767695">
        <w:rPr>
          <w:szCs w:val="22"/>
        </w:rPr>
        <w:t xml:space="preserve">(2) </w:t>
      </w:r>
      <w:r w:rsidR="004F74C8" w:rsidRPr="00767695">
        <w:rPr>
          <w:szCs w:val="22"/>
        </w:rPr>
        <w:t xml:space="preserve">are already </w:t>
      </w:r>
      <w:r w:rsidR="0080064E" w:rsidRPr="00767695">
        <w:rPr>
          <w:szCs w:val="22"/>
        </w:rPr>
        <w:t xml:space="preserve">approved, </w:t>
      </w:r>
      <w:r w:rsidR="004F74C8" w:rsidRPr="00767695">
        <w:rPr>
          <w:szCs w:val="22"/>
        </w:rPr>
        <w:t xml:space="preserve">or </w:t>
      </w:r>
      <w:r w:rsidR="0080064E" w:rsidRPr="00767695">
        <w:rPr>
          <w:szCs w:val="22"/>
        </w:rPr>
        <w:t xml:space="preserve">(3) </w:t>
      </w:r>
      <w:r w:rsidR="004F74C8" w:rsidRPr="00767695">
        <w:rPr>
          <w:szCs w:val="22"/>
        </w:rPr>
        <w:t>can be easily approved</w:t>
      </w:r>
      <w:r w:rsidR="0080064E" w:rsidRPr="00767695">
        <w:rPr>
          <w:szCs w:val="22"/>
        </w:rPr>
        <w:t>,</w:t>
      </w:r>
      <w:r w:rsidR="004F74C8" w:rsidRPr="00767695">
        <w:rPr>
          <w:szCs w:val="22"/>
        </w:rPr>
        <w:t xml:space="preserve"> by any applicable lead agency are highly encouraged and will be scored accordingly.</w:t>
      </w:r>
    </w:p>
    <w:p w14:paraId="66F5A9FD" w14:textId="77777777" w:rsidR="00DF520D" w:rsidRPr="00091FF9" w:rsidRDefault="00DF520D" w:rsidP="0018649E">
      <w:pPr>
        <w:pStyle w:val="ListParagraph"/>
        <w:numPr>
          <w:ilvl w:val="0"/>
          <w:numId w:val="42"/>
        </w:numPr>
        <w:spacing w:after="160"/>
        <w:ind w:right="720"/>
        <w:jc w:val="both"/>
        <w:rPr>
          <w:szCs w:val="22"/>
        </w:rPr>
      </w:pPr>
      <w:r w:rsidRPr="00091FF9">
        <w:rPr>
          <w:szCs w:val="22"/>
        </w:rPr>
        <w:t xml:space="preserve">Reservation of right to cancel proposed award. In addition to any other right reserved to it under this solicitation or that it otherwise has, if the Energy Commission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Energy Commission may cancel a proposed award and award funds to the next highest scoring applicant, regardless of the originally proposed applicant’s diligence in submitting information and </w:t>
      </w:r>
      <w:r w:rsidRPr="00091FF9">
        <w:rPr>
          <w:szCs w:val="22"/>
        </w:rPr>
        <w:lastRenderedPageBreak/>
        <w:t xml:space="preserve">materials for CEQA review. </w:t>
      </w:r>
      <w:r w:rsidRPr="00091FF9">
        <w:t xml:space="preserve">Examples of situations </w:t>
      </w:r>
      <w:r w:rsidR="00702A77">
        <w:t>that</w:t>
      </w:r>
      <w:r w:rsidR="00702A77" w:rsidRPr="00091FF9">
        <w:t xml:space="preserve"> </w:t>
      </w:r>
      <w:r w:rsidRPr="00091FF9">
        <w:t>may arise related to CEQA review include but are not limited to</w:t>
      </w:r>
      <w:r w:rsidRPr="00091FF9">
        <w:rPr>
          <w:szCs w:val="22"/>
        </w:rPr>
        <w:t>:</w:t>
      </w:r>
    </w:p>
    <w:p w14:paraId="79872F31" w14:textId="7D328BAD" w:rsidR="00DF520D" w:rsidRPr="00BA62D7" w:rsidRDefault="00DF520D" w:rsidP="0018649E">
      <w:pPr>
        <w:pStyle w:val="ListParagraph"/>
        <w:numPr>
          <w:ilvl w:val="0"/>
          <w:numId w:val="43"/>
        </w:numPr>
        <w:spacing w:after="160"/>
        <w:ind w:right="720"/>
        <w:jc w:val="both"/>
        <w:rPr>
          <w:szCs w:val="22"/>
        </w:rPr>
      </w:pPr>
      <w:r w:rsidRPr="00DF520D">
        <w:rPr>
          <w:szCs w:val="22"/>
        </w:rPr>
        <w:t>Ex</w:t>
      </w:r>
      <w:r w:rsidRPr="00BA62D7">
        <w:rPr>
          <w:szCs w:val="22"/>
        </w:rPr>
        <w:t xml:space="preserve">ample 1: If another </w:t>
      </w:r>
      <w:r w:rsidR="00D338B4">
        <w:rPr>
          <w:szCs w:val="22"/>
        </w:rPr>
        <w:t>S</w:t>
      </w:r>
      <w:r w:rsidR="00A0160E">
        <w:rPr>
          <w:szCs w:val="22"/>
        </w:rPr>
        <w:t xml:space="preserve">tate agency or local </w:t>
      </w:r>
      <w:r w:rsidRPr="00BA62D7">
        <w:rPr>
          <w:szCs w:val="22"/>
        </w:rPr>
        <w:t>jurisdiction, such as a city or county, has taken the role of lead agency</w:t>
      </w:r>
      <w:r w:rsidR="00A0160E">
        <w:rPr>
          <w:szCs w:val="22"/>
        </w:rPr>
        <w:t xml:space="preserve"> under CEQA</w:t>
      </w:r>
      <w:r w:rsidRPr="00BA62D7">
        <w:rPr>
          <w:szCs w:val="22"/>
        </w:rPr>
        <w:t>, the Energy Commission’s review may be delayed while waiting for a determination from the lead agency.</w:t>
      </w:r>
    </w:p>
    <w:p w14:paraId="522A544D" w14:textId="0E907302" w:rsidR="00DF520D" w:rsidRPr="00BA62D7" w:rsidRDefault="00DF520D" w:rsidP="0018649E">
      <w:pPr>
        <w:pStyle w:val="ListParagraph"/>
        <w:numPr>
          <w:ilvl w:val="0"/>
          <w:numId w:val="43"/>
        </w:numPr>
        <w:spacing w:after="160"/>
        <w:ind w:right="720"/>
        <w:jc w:val="both"/>
        <w:rPr>
          <w:szCs w:val="22"/>
        </w:rPr>
      </w:pPr>
      <w:r w:rsidRPr="00BA62D7">
        <w:rPr>
          <w:szCs w:val="22"/>
        </w:rPr>
        <w:t xml:space="preserve">Example 2: If the proposed work is part of a larger project for which a detailed environmental analysis has been or will be prepared by another </w:t>
      </w:r>
      <w:r w:rsidR="00D338B4">
        <w:rPr>
          <w:szCs w:val="22"/>
        </w:rPr>
        <w:t>State</w:t>
      </w:r>
      <w:r w:rsidR="00A0160E">
        <w:rPr>
          <w:szCs w:val="22"/>
        </w:rPr>
        <w:t xml:space="preserve"> </w:t>
      </w:r>
      <w:r w:rsidRPr="00BA62D7">
        <w:rPr>
          <w:szCs w:val="22"/>
        </w:rPr>
        <w:t>agency</w:t>
      </w:r>
      <w:r w:rsidR="00A0160E">
        <w:rPr>
          <w:szCs w:val="22"/>
        </w:rPr>
        <w:t xml:space="preserve"> or local jurisdiction</w:t>
      </w:r>
      <w:r w:rsidRPr="00BA62D7">
        <w:rPr>
          <w:szCs w:val="22"/>
        </w:rPr>
        <w:t>, the Energy Commission’s review may be delayed as a result of waiting for a supplemental or initial analysis, respectively, from the other agency.</w:t>
      </w:r>
    </w:p>
    <w:p w14:paraId="3CF0DE39" w14:textId="6C2C059D" w:rsidR="00DF520D" w:rsidRPr="00A83A60" w:rsidRDefault="00DF520D" w:rsidP="0018649E">
      <w:pPr>
        <w:pStyle w:val="ListParagraph"/>
        <w:numPr>
          <w:ilvl w:val="0"/>
          <w:numId w:val="43"/>
        </w:numPr>
        <w:ind w:right="720"/>
        <w:jc w:val="both"/>
        <w:rPr>
          <w:szCs w:val="22"/>
        </w:rPr>
      </w:pPr>
      <w:r w:rsidRPr="00BA62D7">
        <w:rPr>
          <w:szCs w:val="22"/>
        </w:rPr>
        <w:t>Example 3: If the nature of the proposed work is such that a project is not categorically or otherwise exempt from the requirements of CEQA, and an initial st</w:t>
      </w:r>
      <w:r w:rsidRPr="00DA380A">
        <w:rPr>
          <w:szCs w:val="22"/>
        </w:rPr>
        <w:t xml:space="preserve">udy or other detailed environmental analysis appears to be necessary, the Energy Commission’s review, or </w:t>
      </w:r>
      <w:r w:rsidR="00A0160E">
        <w:rPr>
          <w:szCs w:val="22"/>
        </w:rPr>
        <w:t xml:space="preserve">the </w:t>
      </w:r>
      <w:r w:rsidRPr="00DA380A">
        <w:rPr>
          <w:szCs w:val="22"/>
        </w:rPr>
        <w:t xml:space="preserve">lead agency’s review, may take longer than the time available to encumber the funds. If an initial study or environmental impact report has already been completed by </w:t>
      </w:r>
      <w:r w:rsidR="00A0160E">
        <w:rPr>
          <w:szCs w:val="22"/>
        </w:rPr>
        <w:t xml:space="preserve">another </w:t>
      </w:r>
      <w:r w:rsidR="00D338B4">
        <w:rPr>
          <w:szCs w:val="22"/>
        </w:rPr>
        <w:t>State</w:t>
      </w:r>
      <w:r w:rsidR="00A0160E">
        <w:rPr>
          <w:szCs w:val="22"/>
        </w:rPr>
        <w:t xml:space="preserve"> agency or </w:t>
      </w:r>
      <w:r w:rsidRPr="00DA380A">
        <w:rPr>
          <w:szCs w:val="22"/>
        </w:rPr>
        <w:t xml:space="preserve">a local jurisdiction, </w:t>
      </w:r>
      <w:r w:rsidR="00A0160E">
        <w:rPr>
          <w:szCs w:val="22"/>
        </w:rPr>
        <w:t xml:space="preserve">serving as the lead agency, </w:t>
      </w:r>
      <w:r w:rsidRPr="00DA380A">
        <w:rPr>
          <w:szCs w:val="22"/>
        </w:rPr>
        <w:t>the</w:t>
      </w:r>
      <w:r w:rsidRPr="004B53DC">
        <w:rPr>
          <w:szCs w:val="22"/>
        </w:rPr>
        <w:t xml:space="preserve"> applicant must ensure that such an analysis covers the work in the proposed project, or must obtain a revised analysis and determination from the </w:t>
      </w:r>
      <w:r w:rsidR="00A0160E">
        <w:rPr>
          <w:szCs w:val="22"/>
        </w:rPr>
        <w:t>lead agency</w:t>
      </w:r>
      <w:r w:rsidRPr="004B53DC">
        <w:rPr>
          <w:szCs w:val="22"/>
        </w:rPr>
        <w:t xml:space="preserve"> reviewing the proposed project.</w:t>
      </w:r>
    </w:p>
    <w:p w14:paraId="7F89F8C9" w14:textId="4903D9CE" w:rsidR="00DF520D" w:rsidRPr="00091FF9" w:rsidRDefault="00DF520D" w:rsidP="0018649E">
      <w:pPr>
        <w:pStyle w:val="ListParagraph"/>
        <w:numPr>
          <w:ilvl w:val="0"/>
          <w:numId w:val="43"/>
        </w:numPr>
        <w:spacing w:after="160"/>
        <w:ind w:right="720"/>
        <w:jc w:val="both"/>
        <w:rPr>
          <w:b/>
          <w:szCs w:val="22"/>
        </w:rPr>
      </w:pPr>
      <w:r w:rsidRPr="00A83A60">
        <w:rPr>
          <w:szCs w:val="22"/>
        </w:rPr>
        <w:t xml:space="preserve">Example 4: If the proposed project clearly falls under a statutory or categorical exemption, or is </w:t>
      </w:r>
      <w:r w:rsidR="00190809">
        <w:rPr>
          <w:szCs w:val="22"/>
        </w:rPr>
        <w:t>project</w:t>
      </w:r>
      <w:r w:rsidR="00190809" w:rsidRPr="00A83A60">
        <w:rPr>
          <w:szCs w:val="22"/>
        </w:rPr>
        <w:t xml:space="preserve"> </w:t>
      </w:r>
      <w:r w:rsidRPr="00A83A60">
        <w:rPr>
          <w:szCs w:val="22"/>
        </w:rPr>
        <w:t xml:space="preserve">for which another </w:t>
      </w:r>
      <w:r w:rsidR="00D338B4">
        <w:rPr>
          <w:szCs w:val="22"/>
        </w:rPr>
        <w:t>State</w:t>
      </w:r>
      <w:r w:rsidR="00190809">
        <w:rPr>
          <w:szCs w:val="22"/>
        </w:rPr>
        <w:t xml:space="preserve"> </w:t>
      </w:r>
      <w:r w:rsidRPr="00A83A60">
        <w:rPr>
          <w:szCs w:val="22"/>
        </w:rPr>
        <w:t xml:space="preserve">agency </w:t>
      </w:r>
      <w:r w:rsidR="00190809">
        <w:rPr>
          <w:szCs w:val="22"/>
        </w:rPr>
        <w:t xml:space="preserve">or local jurisdiction </w:t>
      </w:r>
      <w:r w:rsidRPr="00A83A60">
        <w:rPr>
          <w:szCs w:val="22"/>
        </w:rPr>
        <w:t>has already adopted a CEQA finding</w:t>
      </w:r>
      <w:r w:rsidR="00190809">
        <w:rPr>
          <w:szCs w:val="22"/>
        </w:rPr>
        <w:t xml:space="preserve"> that the project will cause no significant effect on the environment</w:t>
      </w:r>
      <w:r w:rsidRPr="00A83A60">
        <w:rPr>
          <w:szCs w:val="22"/>
        </w:rPr>
        <w:t>, the project will likely  have greater success in attaining rapid completion of CEQA requirements.</w:t>
      </w:r>
    </w:p>
    <w:p w14:paraId="6B1A2D2E" w14:textId="77777777" w:rsidR="00DF520D" w:rsidRPr="00091FF9" w:rsidRDefault="00DF520D" w:rsidP="00091FF9">
      <w:pPr>
        <w:spacing w:after="240"/>
        <w:jc w:val="both"/>
      </w:pPr>
      <w:r w:rsidRPr="00091FF9">
        <w:t xml:space="preserve">The above examples are not exhaustive of instances in which the Energy Commission may or may not be able to comply with CEQA within the encumbrance deadline, and are only provided as further clarification for potential applicants.  Please plan project proposals accordingly.  </w:t>
      </w:r>
    </w:p>
    <w:p w14:paraId="664428C8" w14:textId="77777777" w:rsidR="001C2D56" w:rsidRDefault="001C2D56" w:rsidP="0018649E">
      <w:pPr>
        <w:pStyle w:val="Heading2"/>
        <w:numPr>
          <w:ilvl w:val="0"/>
          <w:numId w:val="32"/>
        </w:numPr>
        <w:ind w:left="360" w:hanging="360"/>
        <w:jc w:val="both"/>
        <w:rPr>
          <w:sz w:val="26"/>
          <w:szCs w:val="26"/>
        </w:rPr>
      </w:pPr>
      <w:bookmarkStart w:id="28" w:name="_Toc20331580"/>
      <w:bookmarkStart w:id="29" w:name="_Toc27467017"/>
      <w:r>
        <w:rPr>
          <w:sz w:val="26"/>
          <w:szCs w:val="26"/>
        </w:rPr>
        <w:t>Background</w:t>
      </w:r>
      <w:bookmarkEnd w:id="28"/>
      <w:bookmarkEnd w:id="29"/>
    </w:p>
    <w:p w14:paraId="5FDD7039" w14:textId="77777777" w:rsidR="001C2D56" w:rsidRPr="00151FE6" w:rsidRDefault="001C2D56" w:rsidP="0018649E">
      <w:pPr>
        <w:pStyle w:val="ListParagraph"/>
        <w:numPr>
          <w:ilvl w:val="0"/>
          <w:numId w:val="60"/>
        </w:numPr>
        <w:ind w:left="720" w:hanging="360"/>
        <w:rPr>
          <w:b/>
          <w:sz w:val="24"/>
          <w:szCs w:val="24"/>
        </w:rPr>
      </w:pPr>
      <w:bookmarkStart w:id="30" w:name="_Toc381079870"/>
      <w:bookmarkStart w:id="31" w:name="_Toc382571129"/>
      <w:bookmarkStart w:id="32" w:name="_Toc395180627"/>
      <w:bookmarkStart w:id="33" w:name="_Toc433981280"/>
      <w:r w:rsidRPr="00151FE6">
        <w:rPr>
          <w:b/>
          <w:sz w:val="24"/>
          <w:szCs w:val="24"/>
        </w:rPr>
        <w:t>Electric Program Investment Charge (EPIC) Program</w:t>
      </w:r>
      <w:bookmarkEnd w:id="30"/>
      <w:bookmarkEnd w:id="31"/>
      <w:bookmarkEnd w:id="32"/>
      <w:bookmarkEnd w:id="33"/>
    </w:p>
    <w:p w14:paraId="4D27264E" w14:textId="1034C0C2" w:rsidR="001C2D56" w:rsidRDefault="001C2D56" w:rsidP="00A055EF">
      <w:pPr>
        <w:jc w:val="both"/>
      </w:pPr>
      <w:r>
        <w:t xml:space="preserve">This solicitation will award projects funded by </w:t>
      </w:r>
      <w:r w:rsidRPr="00C31C1D">
        <w:t xml:space="preserve">the </w:t>
      </w:r>
      <w:r>
        <w:t>E</w:t>
      </w:r>
      <w:r w:rsidRPr="00C31C1D">
        <w:t>PIC</w:t>
      </w:r>
      <w:r>
        <w:t>, an electricity ratepayer surcharge established by t</w:t>
      </w:r>
      <w:r w:rsidRPr="00C31C1D">
        <w:t>he California Public Utilities Commission (CPUC) in December 2011</w:t>
      </w:r>
      <w:r>
        <w:t>.</w:t>
      </w:r>
      <w:r>
        <w:rPr>
          <w:rStyle w:val="FootnoteReference"/>
          <w:rFonts w:cs="Arial"/>
        </w:rPr>
        <w:footnoteReference w:id="2"/>
      </w:r>
      <w:r>
        <w:t xml:space="preserve"> The purpose of the EPIC program is to benefit the ratepayers of three investor-owned utilities </w:t>
      </w:r>
      <w:r w:rsidR="00DB1581">
        <w:t xml:space="preserve">(IOUs), including </w:t>
      </w:r>
      <w:r>
        <w:t>Pacific Gas and Electric Co., San Diego Gas and Electric Co., and Southern California Edison</w:t>
      </w:r>
      <w:r w:rsidR="0097461A">
        <w:t xml:space="preserve"> Co</w:t>
      </w:r>
      <w:r w:rsidR="00E15902">
        <w:t xml:space="preserve">. </w:t>
      </w:r>
      <w:r w:rsidR="00DB1581">
        <w:t>The EPIC funds</w:t>
      </w:r>
      <w:r>
        <w:t xml:space="preserve"> clean energy technology projects that promote greater electricity </w:t>
      </w:r>
      <w:r>
        <w:lastRenderedPageBreak/>
        <w:t>reliability, lower costs, and increased safety.</w:t>
      </w:r>
      <w:r>
        <w:rPr>
          <w:rStyle w:val="FootnoteReference"/>
          <w:rFonts w:cs="Arial"/>
        </w:rPr>
        <w:footnoteReference w:id="3"/>
      </w:r>
      <w:r>
        <w:t xml:space="preserve">  In addition to providing IOU ratepayer benefits, funded projects must lead to technological advancement and breakthroughs to overcome the barriers that prevent the achievement of the </w:t>
      </w:r>
      <w:r w:rsidR="00D338B4">
        <w:t>State</w:t>
      </w:r>
      <w:r>
        <w:t>’s statutory energy goals.</w:t>
      </w:r>
      <w:r>
        <w:rPr>
          <w:rStyle w:val="FootnoteReference"/>
          <w:rFonts w:cs="Arial"/>
        </w:rPr>
        <w:footnoteReference w:id="4"/>
      </w:r>
      <w:r w:rsidR="0075644B">
        <w:t xml:space="preserve">  The </w:t>
      </w:r>
      <w:r w:rsidR="002E0E55">
        <w:t xml:space="preserve">EPIC </w:t>
      </w:r>
      <w:r w:rsidR="00411500">
        <w:t xml:space="preserve">program </w:t>
      </w:r>
      <w:r w:rsidR="002E0E55">
        <w:t>is</w:t>
      </w:r>
      <w:r w:rsidR="00411500">
        <w:t xml:space="preserve"> administered by the California Energy Commission and the IOUs</w:t>
      </w:r>
      <w:r w:rsidR="0075644B">
        <w:t>.</w:t>
      </w:r>
    </w:p>
    <w:p w14:paraId="71F551E1" w14:textId="77777777" w:rsidR="00721B17" w:rsidRDefault="00721B17" w:rsidP="00A055EF">
      <w:pPr>
        <w:jc w:val="both"/>
      </w:pPr>
    </w:p>
    <w:p w14:paraId="6B5312E1" w14:textId="77777777" w:rsidR="001C2D56" w:rsidRPr="00151FE6" w:rsidRDefault="001C2D56" w:rsidP="0018649E">
      <w:pPr>
        <w:pStyle w:val="ListParagraph"/>
        <w:numPr>
          <w:ilvl w:val="0"/>
          <w:numId w:val="60"/>
        </w:numPr>
        <w:ind w:left="720" w:hanging="360"/>
        <w:rPr>
          <w:b/>
          <w:sz w:val="24"/>
          <w:szCs w:val="24"/>
        </w:rPr>
      </w:pPr>
      <w:r w:rsidRPr="00151FE6">
        <w:rPr>
          <w:b/>
          <w:sz w:val="24"/>
          <w:szCs w:val="24"/>
        </w:rPr>
        <w:t>Program Areas, Strategic Objectives, and Funding Initiatives</w:t>
      </w:r>
    </w:p>
    <w:p w14:paraId="6D08428A" w14:textId="77777777" w:rsidR="001C2D56" w:rsidRPr="00D51641" w:rsidRDefault="001C2D56" w:rsidP="00A055EF">
      <w:pPr>
        <w:jc w:val="both"/>
        <w:rPr>
          <w:b/>
        </w:rPr>
      </w:pPr>
      <w:r>
        <w:t xml:space="preserve">EPIC projects must fall within the following </w:t>
      </w:r>
      <w:r>
        <w:rPr>
          <w:b/>
        </w:rPr>
        <w:t>program</w:t>
      </w:r>
      <w:r w:rsidRPr="00D51641">
        <w:rPr>
          <w:b/>
        </w:rPr>
        <w:t xml:space="preserve"> areas</w:t>
      </w:r>
      <w:r>
        <w:rPr>
          <w:b/>
        </w:rPr>
        <w:t xml:space="preserve"> </w:t>
      </w:r>
      <w:r>
        <w:t>identified by the CPUC</w:t>
      </w:r>
      <w:r w:rsidRPr="003634AC">
        <w:t>:</w:t>
      </w:r>
    </w:p>
    <w:p w14:paraId="70ED8B43" w14:textId="77777777" w:rsidR="001C2D56" w:rsidRDefault="001C2D56" w:rsidP="0018649E">
      <w:pPr>
        <w:pStyle w:val="ListParagraph"/>
        <w:numPr>
          <w:ilvl w:val="0"/>
          <w:numId w:val="45"/>
        </w:numPr>
        <w:jc w:val="both"/>
      </w:pPr>
      <w:r>
        <w:t>Applied research and development;</w:t>
      </w:r>
    </w:p>
    <w:p w14:paraId="64046F2A" w14:textId="77777777" w:rsidR="001C2D56" w:rsidRDefault="001C2D56" w:rsidP="0018649E">
      <w:pPr>
        <w:pStyle w:val="ListParagraph"/>
        <w:numPr>
          <w:ilvl w:val="0"/>
          <w:numId w:val="45"/>
        </w:numPr>
        <w:jc w:val="both"/>
      </w:pPr>
      <w:r>
        <w:t xml:space="preserve">Technology demonstration and deployment; and </w:t>
      </w:r>
    </w:p>
    <w:p w14:paraId="192998C5" w14:textId="77777777" w:rsidR="001C2D56" w:rsidRDefault="001C2D56" w:rsidP="0018649E">
      <w:pPr>
        <w:pStyle w:val="ListParagraph"/>
        <w:numPr>
          <w:ilvl w:val="0"/>
          <w:numId w:val="45"/>
        </w:numPr>
        <w:jc w:val="both"/>
      </w:pPr>
      <w:r>
        <w:t>Market facilitation</w:t>
      </w:r>
    </w:p>
    <w:p w14:paraId="6BD6705E" w14:textId="77777777" w:rsidR="008D73A7" w:rsidRPr="00767695" w:rsidRDefault="008D73A7" w:rsidP="008D73A7">
      <w:pPr>
        <w:jc w:val="both"/>
        <w:rPr>
          <w:szCs w:val="22"/>
        </w:rPr>
      </w:pPr>
      <w:r w:rsidRPr="00767695">
        <w:t>In addition, projects must fall within one of the general focus areas (</w:t>
      </w:r>
      <w:r w:rsidRPr="00767695">
        <w:rPr>
          <w:b/>
        </w:rPr>
        <w:t>“strategic objectives”</w:t>
      </w:r>
      <w:r w:rsidRPr="00767695">
        <w:t>) identified in the Energy Commission’s EPIC Investment Plans</w:t>
      </w:r>
      <w:r w:rsidRPr="00767695">
        <w:rPr>
          <w:vertAlign w:val="superscript"/>
        </w:rPr>
        <w:footnoteReference w:id="5"/>
      </w:r>
      <w:r w:rsidRPr="00767695">
        <w:t xml:space="preserve"> </w:t>
      </w:r>
      <w:r w:rsidRPr="00767695">
        <w:rPr>
          <w:rFonts w:cs="Times New Roman"/>
          <w:vertAlign w:val="superscript"/>
        </w:rPr>
        <w:footnoteReference w:id="6"/>
      </w:r>
      <w:r w:rsidRPr="00767695">
        <w:t xml:space="preserve"> and within one or more specific focus areas (</w:t>
      </w:r>
      <w:r w:rsidRPr="00767695">
        <w:rPr>
          <w:b/>
        </w:rPr>
        <w:t>“funding initiatives”</w:t>
      </w:r>
      <w:r w:rsidRPr="00767695">
        <w:t>) identified in the plan.  This solicitation targets the following</w:t>
      </w:r>
      <w:r w:rsidRPr="00767695">
        <w:rPr>
          <w:szCs w:val="22"/>
        </w:rPr>
        <w:t xml:space="preserve"> program area(s), strategic objective(s), and funding initiative(s):</w:t>
      </w:r>
    </w:p>
    <w:p w14:paraId="1CA1A5D6" w14:textId="77777777" w:rsidR="00EF7DAC" w:rsidRPr="00767695" w:rsidRDefault="00EF7DAC" w:rsidP="00EF7DAC">
      <w:pPr>
        <w:jc w:val="both"/>
        <w:rPr>
          <w:b/>
        </w:rPr>
      </w:pPr>
      <w:r w:rsidRPr="00767695">
        <w:rPr>
          <w:b/>
        </w:rPr>
        <w:t>2018 - 2020 EPIC Investment Plan</w:t>
      </w:r>
    </w:p>
    <w:p w14:paraId="0063B493" w14:textId="77777777" w:rsidR="00EF7DAC" w:rsidRPr="00767695" w:rsidRDefault="00EF7DAC" w:rsidP="0018649E">
      <w:pPr>
        <w:numPr>
          <w:ilvl w:val="0"/>
          <w:numId w:val="46"/>
        </w:numPr>
      </w:pPr>
      <w:r w:rsidRPr="00767695">
        <w:rPr>
          <w:b/>
        </w:rPr>
        <w:t>Program Area</w:t>
      </w:r>
      <w:r w:rsidRPr="00767695">
        <w:t>:  Applied Research</w:t>
      </w:r>
    </w:p>
    <w:p w14:paraId="0C1316DD" w14:textId="77777777" w:rsidR="00EF7DAC" w:rsidRPr="00767695" w:rsidRDefault="00EF7DAC" w:rsidP="0018649E">
      <w:pPr>
        <w:numPr>
          <w:ilvl w:val="0"/>
          <w:numId w:val="46"/>
        </w:numPr>
        <w:ind w:left="990"/>
        <w:jc w:val="both"/>
        <w:rPr>
          <w:sz w:val="16"/>
          <w:szCs w:val="16"/>
        </w:rPr>
      </w:pPr>
      <w:r w:rsidRPr="00767695">
        <w:rPr>
          <w:b/>
        </w:rPr>
        <w:t>Strategic Objective</w:t>
      </w:r>
      <w:r w:rsidRPr="00767695">
        <w:t xml:space="preserve"> S2 (See below)</w:t>
      </w:r>
    </w:p>
    <w:p w14:paraId="5360DD40" w14:textId="77777777" w:rsidR="00EF7DAC" w:rsidRPr="00767695" w:rsidRDefault="00EF7DAC" w:rsidP="0018649E">
      <w:pPr>
        <w:numPr>
          <w:ilvl w:val="1"/>
          <w:numId w:val="46"/>
        </w:numPr>
        <w:jc w:val="both"/>
        <w:rPr>
          <w:szCs w:val="22"/>
        </w:rPr>
      </w:pPr>
      <w:r w:rsidRPr="00767695">
        <w:rPr>
          <w:szCs w:val="22"/>
        </w:rPr>
        <w:t>Funding Initiative S2.3: Define and Improve the Customer’s Business Proposition of Integrated Distributed Storage</w:t>
      </w:r>
    </w:p>
    <w:p w14:paraId="4614B49C" w14:textId="77777777" w:rsidR="001C2D56" w:rsidRPr="00151FE6" w:rsidRDefault="001C2D56" w:rsidP="0018649E">
      <w:pPr>
        <w:pStyle w:val="ListParagraph"/>
        <w:numPr>
          <w:ilvl w:val="0"/>
          <w:numId w:val="60"/>
        </w:numPr>
        <w:ind w:left="720" w:hanging="360"/>
        <w:rPr>
          <w:b/>
          <w:sz w:val="24"/>
          <w:szCs w:val="24"/>
        </w:rPr>
      </w:pPr>
      <w:bookmarkStart w:id="35" w:name="chkAugment"/>
      <w:r w:rsidRPr="00151FE6">
        <w:rPr>
          <w:b/>
          <w:sz w:val="24"/>
          <w:szCs w:val="24"/>
        </w:rPr>
        <w:t xml:space="preserve">Applicable Laws, Policies, and Background Documents </w:t>
      </w:r>
    </w:p>
    <w:p w14:paraId="2361A375" w14:textId="77777777" w:rsidR="0040653E" w:rsidRDefault="002D721D" w:rsidP="00A90FE5">
      <w:pPr>
        <w:jc w:val="both"/>
      </w:pPr>
      <w:r>
        <w:t>This solicitation addresses the energy goals described in the following laws, policies, and background documents.</w:t>
      </w:r>
    </w:p>
    <w:p w14:paraId="73C890B9" w14:textId="77777777" w:rsidR="00AB0FB9" w:rsidRDefault="00AB0FB9" w:rsidP="00A055EF">
      <w:pPr>
        <w:spacing w:after="0"/>
        <w:jc w:val="both"/>
        <w:rPr>
          <w:szCs w:val="22"/>
          <w:u w:val="single"/>
        </w:rPr>
      </w:pPr>
    </w:p>
    <w:p w14:paraId="70650583" w14:textId="77777777" w:rsidR="00F717AD" w:rsidRPr="00531575" w:rsidRDefault="00F717AD" w:rsidP="00F717AD">
      <w:pPr>
        <w:jc w:val="both"/>
        <w:rPr>
          <w:color w:val="000000" w:themeColor="text1"/>
          <w:u w:val="single"/>
        </w:rPr>
      </w:pPr>
      <w:r w:rsidRPr="00531575">
        <w:rPr>
          <w:color w:val="000000" w:themeColor="text1"/>
          <w:u w:val="single"/>
        </w:rPr>
        <w:t>Laws/Regulations</w:t>
      </w:r>
    </w:p>
    <w:p w14:paraId="6E91599D" w14:textId="77777777" w:rsidR="00F717AD" w:rsidRPr="00531575" w:rsidRDefault="00F717AD" w:rsidP="0018649E">
      <w:pPr>
        <w:pStyle w:val="0PIERNormal"/>
        <w:numPr>
          <w:ilvl w:val="0"/>
          <w:numId w:val="38"/>
        </w:numPr>
        <w:spacing w:after="120"/>
        <w:ind w:left="1080"/>
        <w:jc w:val="both"/>
        <w:rPr>
          <w:b/>
          <w:color w:val="000000" w:themeColor="text1"/>
        </w:rPr>
      </w:pPr>
      <w:r w:rsidRPr="00531575">
        <w:rPr>
          <w:rFonts w:ascii="Arial" w:hAnsi="Arial" w:cs="Arial"/>
          <w:b/>
          <w:color w:val="000000" w:themeColor="text1"/>
        </w:rPr>
        <w:t xml:space="preserve">Senate Bill </w:t>
      </w:r>
      <w:r>
        <w:rPr>
          <w:rFonts w:ascii="Arial" w:hAnsi="Arial" w:cs="Arial"/>
          <w:b/>
          <w:color w:val="000000" w:themeColor="text1"/>
        </w:rPr>
        <w:t xml:space="preserve">(SB) </w:t>
      </w:r>
      <w:r w:rsidRPr="00531575">
        <w:rPr>
          <w:rFonts w:ascii="Arial" w:hAnsi="Arial" w:cs="Arial"/>
          <w:b/>
          <w:color w:val="000000" w:themeColor="text1"/>
        </w:rPr>
        <w:t xml:space="preserve">350 (De Leon) - Clean Energy and Pollution Reduction Act of 2015 </w:t>
      </w:r>
    </w:p>
    <w:p w14:paraId="5927D2F2" w14:textId="2D605D71" w:rsidR="00F717AD" w:rsidRPr="00531575" w:rsidRDefault="00F717AD" w:rsidP="00F717AD">
      <w:pPr>
        <w:autoSpaceDE w:val="0"/>
        <w:autoSpaceDN w:val="0"/>
        <w:adjustRightInd w:val="0"/>
        <w:ind w:left="1080"/>
        <w:jc w:val="both"/>
        <w:rPr>
          <w:color w:val="000000" w:themeColor="text1"/>
          <w:szCs w:val="22"/>
        </w:rPr>
      </w:pPr>
      <w:r w:rsidRPr="00531575">
        <w:rPr>
          <w:color w:val="000000" w:themeColor="text1"/>
          <w:szCs w:val="22"/>
        </w:rPr>
        <w:t xml:space="preserve">SB 350 requires the following: 1) the amount of electricity generated and sold to retail customers per year from eligible renewable energy resources be increased; 2) the California Energy Commission to establish annual targets for </w:t>
      </w:r>
      <w:r w:rsidR="00D338B4">
        <w:rPr>
          <w:color w:val="000000" w:themeColor="text1"/>
          <w:szCs w:val="22"/>
        </w:rPr>
        <w:t>statewide</w:t>
      </w:r>
      <w:r w:rsidRPr="00531575">
        <w:rPr>
          <w:color w:val="000000" w:themeColor="text1"/>
          <w:szCs w:val="22"/>
        </w:rPr>
        <w:t xml:space="preserve"> energy </w:t>
      </w:r>
      <w:r w:rsidRPr="00531575">
        <w:rPr>
          <w:color w:val="000000" w:themeColor="text1"/>
          <w:szCs w:val="22"/>
        </w:rPr>
        <w:lastRenderedPageBreak/>
        <w:t xml:space="preserve">efficiency savings in electricity and natural gas final end uses of retail customers; and 3) provide for transformation of the Independent System Operator into a regional organization.  </w:t>
      </w:r>
    </w:p>
    <w:p w14:paraId="4006E04D" w14:textId="50780E3C" w:rsidR="00443C9B" w:rsidRPr="00531575" w:rsidRDefault="00F717AD" w:rsidP="00F717AD">
      <w:pPr>
        <w:pStyle w:val="0PIERNormal"/>
        <w:spacing w:after="120"/>
        <w:ind w:left="1080"/>
        <w:rPr>
          <w:rStyle w:val="Hyperlink"/>
          <w:rFonts w:ascii="Arial" w:hAnsi="Arial" w:cs="Arial"/>
          <w:color w:val="000000" w:themeColor="text1"/>
          <w:u w:val="none"/>
        </w:rPr>
      </w:pPr>
      <w:r w:rsidRPr="00531575">
        <w:rPr>
          <w:rFonts w:ascii="Arial" w:hAnsi="Arial" w:cs="Arial"/>
          <w:color w:val="000000" w:themeColor="text1"/>
        </w:rPr>
        <w:t xml:space="preserve">Additional information: </w:t>
      </w:r>
      <w:hyperlink r:id="rId14" w:tooltip="Click here to go to the Senate Bill 350 link" w:history="1">
        <w:r w:rsidR="00443C9B" w:rsidRPr="00404C1C">
          <w:rPr>
            <w:rStyle w:val="Hyperlink"/>
            <w:rFonts w:ascii="Arial" w:hAnsi="Arial" w:cs="Arial"/>
          </w:rPr>
          <w:t>http://ww</w:t>
        </w:r>
        <w:r w:rsidR="00443C9B" w:rsidRPr="00404C1C">
          <w:rPr>
            <w:rStyle w:val="Hyperlink"/>
            <w:rFonts w:ascii="Arial" w:hAnsi="Arial" w:cs="Arial"/>
          </w:rPr>
          <w:t>w</w:t>
        </w:r>
        <w:r w:rsidR="00443C9B" w:rsidRPr="00404C1C">
          <w:rPr>
            <w:rStyle w:val="Hyperlink"/>
            <w:rFonts w:ascii="Arial" w:hAnsi="Arial" w:cs="Arial"/>
          </w:rPr>
          <w:t>.leginfo.ca.gov/pub/15-16/bill/sen/sb_0301-0350/sb_350_bill_20151007_chaptered.htm</w:t>
        </w:r>
      </w:hyperlink>
    </w:p>
    <w:p w14:paraId="5C241732" w14:textId="77777777" w:rsidR="00EE231C" w:rsidRPr="00F74087" w:rsidRDefault="00EE231C" w:rsidP="0018649E">
      <w:pPr>
        <w:pStyle w:val="ListParagraph"/>
        <w:numPr>
          <w:ilvl w:val="0"/>
          <w:numId w:val="47"/>
        </w:numPr>
        <w:rPr>
          <w:b/>
          <w:color w:val="333333"/>
          <w:bdr w:val="none" w:sz="0" w:space="0" w:color="auto" w:frame="1"/>
          <w:lang w:val="en"/>
        </w:rPr>
      </w:pPr>
      <w:r w:rsidRPr="00F74087">
        <w:rPr>
          <w:b/>
          <w:bCs/>
          <w:color w:val="111111"/>
          <w:szCs w:val="22"/>
          <w:bdr w:val="none" w:sz="0" w:space="0" w:color="auto" w:frame="1"/>
          <w:lang w:val="en"/>
        </w:rPr>
        <w:t xml:space="preserve">Senate Bill (SB) 100 (De León) - </w:t>
      </w:r>
      <w:r w:rsidRPr="00F74087">
        <w:rPr>
          <w:b/>
          <w:color w:val="333333"/>
          <w:szCs w:val="22"/>
          <w:bdr w:val="none" w:sz="0" w:space="0" w:color="auto" w:frame="1"/>
          <w:lang w:val="en"/>
        </w:rPr>
        <w:t>California Renewables Portfolio Standard Program: emissions of greenhouse gases.</w:t>
      </w:r>
    </w:p>
    <w:p w14:paraId="6F9AC189" w14:textId="2E476726" w:rsidR="00EE231C" w:rsidRPr="00F74087" w:rsidRDefault="00EE231C" w:rsidP="00EE231C">
      <w:pPr>
        <w:pStyle w:val="ListParagraph"/>
        <w:ind w:left="1080"/>
        <w:rPr>
          <w:bCs/>
          <w:color w:val="111111"/>
          <w:szCs w:val="22"/>
          <w:bdr w:val="none" w:sz="0" w:space="0" w:color="auto" w:frame="1"/>
          <w:lang w:val="en"/>
        </w:rPr>
      </w:pPr>
      <w:r w:rsidRPr="00EE231C">
        <w:rPr>
          <w:color w:val="333333"/>
          <w:szCs w:val="22"/>
          <w:bdr w:val="none" w:sz="0" w:space="0" w:color="auto" w:frame="1"/>
          <w:lang w:val="en"/>
        </w:rPr>
        <w:t xml:space="preserve">SB 100 established the </w:t>
      </w:r>
      <w:r w:rsidR="00D338B4">
        <w:rPr>
          <w:color w:val="333333"/>
          <w:szCs w:val="22"/>
          <w:bdr w:val="none" w:sz="0" w:space="0" w:color="auto" w:frame="1"/>
          <w:lang w:val="en"/>
        </w:rPr>
        <w:t>State</w:t>
      </w:r>
      <w:r w:rsidRPr="00EE231C">
        <w:rPr>
          <w:color w:val="333333"/>
          <w:szCs w:val="22"/>
          <w:bdr w:val="none" w:sz="0" w:space="0" w:color="auto" w:frame="1"/>
          <w:lang w:val="en"/>
        </w:rPr>
        <w:t xml:space="preserve"> policy that renewable energy and zero-carbon resources supply 100 percent of California’s electricity by 2045. The bill also increased the Renewables Portfolio Standard to 44 percent by 2024, 52 percent by 2027, and 60 percent by 2030.</w:t>
      </w:r>
    </w:p>
    <w:p w14:paraId="7D8FDC9A" w14:textId="699FEC6D" w:rsidR="00443C9B" w:rsidRPr="00F74087" w:rsidRDefault="00EE231C" w:rsidP="00EE231C">
      <w:pPr>
        <w:pStyle w:val="ListParagraph"/>
        <w:ind w:left="1080"/>
        <w:rPr>
          <w:color w:val="000000" w:themeColor="text1"/>
        </w:rPr>
      </w:pPr>
      <w:r w:rsidRPr="00F74087">
        <w:rPr>
          <w:color w:val="000000" w:themeColor="text1"/>
        </w:rPr>
        <w:t xml:space="preserve">Additional information:  </w:t>
      </w:r>
      <w:hyperlink r:id="rId15" w:tooltip="Click here to go to the Senate Bill 100 link" w:history="1">
        <w:r w:rsidR="00443C9B" w:rsidRPr="00404C1C">
          <w:rPr>
            <w:rStyle w:val="Hyperlink"/>
            <w:rFonts w:cs="Arial"/>
          </w:rPr>
          <w:t>https://leginfo.legi</w:t>
        </w:r>
        <w:r w:rsidR="00443C9B" w:rsidRPr="00404C1C">
          <w:rPr>
            <w:rStyle w:val="Hyperlink"/>
            <w:rFonts w:cs="Arial"/>
          </w:rPr>
          <w:t>s</w:t>
        </w:r>
        <w:r w:rsidR="00443C9B" w:rsidRPr="00404C1C">
          <w:rPr>
            <w:rStyle w:val="Hyperlink"/>
            <w:rFonts w:cs="Arial"/>
          </w:rPr>
          <w:t>lature.ca.gov/faces/billTextClient.xhtml?bill_id=201720180SB100</w:t>
        </w:r>
      </w:hyperlink>
    </w:p>
    <w:p w14:paraId="508E1472" w14:textId="77777777" w:rsidR="00F717AD" w:rsidRPr="00531575" w:rsidRDefault="0057515C" w:rsidP="0018649E">
      <w:pPr>
        <w:pStyle w:val="ListParagraph"/>
        <w:numPr>
          <w:ilvl w:val="0"/>
          <w:numId w:val="47"/>
        </w:numPr>
        <w:jc w:val="both"/>
        <w:rPr>
          <w:b/>
          <w:color w:val="000000" w:themeColor="text1"/>
        </w:rPr>
      </w:pPr>
      <w:r>
        <w:rPr>
          <w:b/>
          <w:color w:val="000000" w:themeColor="text1"/>
        </w:rPr>
        <w:t>Senate</w:t>
      </w:r>
      <w:r w:rsidR="00F717AD" w:rsidRPr="00531575">
        <w:rPr>
          <w:b/>
          <w:color w:val="000000" w:themeColor="text1"/>
        </w:rPr>
        <w:t xml:space="preserve"> Bill </w:t>
      </w:r>
      <w:r w:rsidR="00F717AD">
        <w:rPr>
          <w:b/>
          <w:color w:val="000000" w:themeColor="text1"/>
        </w:rPr>
        <w:t xml:space="preserve">(AB) </w:t>
      </w:r>
      <w:r>
        <w:rPr>
          <w:b/>
          <w:color w:val="000000" w:themeColor="text1"/>
        </w:rPr>
        <w:t>32 (</w:t>
      </w:r>
      <w:proofErr w:type="spellStart"/>
      <w:r>
        <w:rPr>
          <w:b/>
          <w:color w:val="000000" w:themeColor="text1"/>
        </w:rPr>
        <w:t>Pavley</w:t>
      </w:r>
      <w:proofErr w:type="spellEnd"/>
      <w:r w:rsidR="00F717AD" w:rsidRPr="00531575">
        <w:rPr>
          <w:b/>
          <w:color w:val="000000" w:themeColor="text1"/>
        </w:rPr>
        <w:t>) – Glo</w:t>
      </w:r>
      <w:r>
        <w:rPr>
          <w:b/>
          <w:color w:val="000000" w:themeColor="text1"/>
        </w:rPr>
        <w:t>bal Warming Solutions Act of 201</w:t>
      </w:r>
      <w:r w:rsidR="00F717AD" w:rsidRPr="00531575">
        <w:rPr>
          <w:b/>
          <w:color w:val="000000" w:themeColor="text1"/>
        </w:rPr>
        <w:t>6</w:t>
      </w:r>
      <w:r w:rsidRPr="0057515C">
        <w:rPr>
          <w:b/>
          <w:color w:val="000000" w:themeColor="text1"/>
        </w:rPr>
        <w:t>: emissions limit</w:t>
      </w:r>
    </w:p>
    <w:p w14:paraId="75B349F4" w14:textId="67EAF867" w:rsidR="00F717AD" w:rsidRPr="00531575" w:rsidRDefault="0057515C" w:rsidP="00F717AD">
      <w:pPr>
        <w:ind w:left="1080"/>
        <w:jc w:val="both"/>
        <w:rPr>
          <w:color w:val="000000" w:themeColor="text1"/>
        </w:rPr>
      </w:pPr>
      <w:r w:rsidRPr="0057515C">
        <w:rPr>
          <w:color w:val="000000" w:themeColor="text1"/>
        </w:rPr>
        <w:t xml:space="preserve">The California Global Warming Solutions Act of 2006 (Division 25.5 (commencing with Section 38500) of the Health and Safety Code) requires the </w:t>
      </w:r>
      <w:r w:rsidR="00D338B4">
        <w:rPr>
          <w:color w:val="000000" w:themeColor="text1"/>
        </w:rPr>
        <w:t>State</w:t>
      </w:r>
      <w:r w:rsidRPr="0057515C">
        <w:rPr>
          <w:color w:val="000000" w:themeColor="text1"/>
        </w:rPr>
        <w:t xml:space="preserve"> Air Resources Board to reduce </w:t>
      </w:r>
      <w:r w:rsidR="00D338B4">
        <w:rPr>
          <w:color w:val="000000" w:themeColor="text1"/>
        </w:rPr>
        <w:t>statewide</w:t>
      </w:r>
      <w:r w:rsidRPr="0057515C">
        <w:rPr>
          <w:color w:val="000000" w:themeColor="text1"/>
        </w:rPr>
        <w:t xml:space="preserve"> emissions of greenhouse gases to at least the 1990 emissions level by 2020 and to maintain and continue reductions thereafter.</w:t>
      </w:r>
      <w:r>
        <w:rPr>
          <w:color w:val="000000" w:themeColor="text1"/>
        </w:rPr>
        <w:t xml:space="preserve"> </w:t>
      </w:r>
    </w:p>
    <w:p w14:paraId="7A290F19" w14:textId="77777777" w:rsidR="00F717AD" w:rsidRDefault="00F717AD" w:rsidP="00F717AD">
      <w:pPr>
        <w:pStyle w:val="ListParagraph"/>
        <w:ind w:left="1080"/>
        <w:jc w:val="both"/>
        <w:rPr>
          <w:color w:val="000000" w:themeColor="text1"/>
        </w:rPr>
      </w:pPr>
      <w:r w:rsidRPr="00531575">
        <w:rPr>
          <w:color w:val="000000" w:themeColor="text1"/>
        </w:rPr>
        <w:t xml:space="preserve">Applicable Law: California Health and Safety Code §§ 38500 </w:t>
      </w:r>
      <w:proofErr w:type="gramStart"/>
      <w:r w:rsidRPr="00531575">
        <w:rPr>
          <w:color w:val="000000" w:themeColor="text1"/>
        </w:rPr>
        <w:t>et</w:t>
      </w:r>
      <w:proofErr w:type="gramEnd"/>
      <w:r w:rsidRPr="00531575">
        <w:rPr>
          <w:color w:val="000000" w:themeColor="text1"/>
        </w:rPr>
        <w:t xml:space="preserve">. seq. </w:t>
      </w:r>
    </w:p>
    <w:p w14:paraId="14351CDC" w14:textId="77777777" w:rsidR="00F717AD" w:rsidRPr="0008070D" w:rsidRDefault="00F717AD" w:rsidP="00F717AD">
      <w:pPr>
        <w:numPr>
          <w:ilvl w:val="0"/>
          <w:numId w:val="7"/>
        </w:numPr>
        <w:tabs>
          <w:tab w:val="left" w:pos="360"/>
          <w:tab w:val="left" w:pos="720"/>
        </w:tabs>
        <w:rPr>
          <w:b/>
        </w:rPr>
      </w:pPr>
      <w:r w:rsidRPr="0008070D">
        <w:rPr>
          <w:b/>
        </w:rPr>
        <w:t>AB 2514</w:t>
      </w:r>
      <w:r>
        <w:rPr>
          <w:b/>
        </w:rPr>
        <w:t xml:space="preserve"> (Skinner) </w:t>
      </w:r>
      <w:r w:rsidRPr="0008070D">
        <w:rPr>
          <w:rStyle w:val="FootnoteReference"/>
          <w:b/>
        </w:rPr>
        <w:footnoteReference w:id="7"/>
      </w:r>
      <w:r w:rsidRPr="0008070D">
        <w:rPr>
          <w:b/>
        </w:rPr>
        <w:t xml:space="preserve"> - Energy Storage Systems </w:t>
      </w:r>
    </w:p>
    <w:p w14:paraId="54A0D141" w14:textId="77777777" w:rsidR="00F717AD" w:rsidRPr="0008070D" w:rsidRDefault="00F717AD" w:rsidP="00F717AD">
      <w:pPr>
        <w:tabs>
          <w:tab w:val="left" w:pos="1170"/>
        </w:tabs>
        <w:ind w:left="1080"/>
      </w:pPr>
      <w:r w:rsidRPr="0008070D">
        <w:t>AB 2514 require</w:t>
      </w:r>
      <w:r>
        <w:t>s</w:t>
      </w:r>
      <w:r w:rsidRPr="0008070D">
        <w:t xml:space="preserve">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38888055" w14:textId="7FEA2A06" w:rsidR="00F717AD" w:rsidRPr="0008070D" w:rsidRDefault="00F717AD" w:rsidP="00F717AD">
      <w:pPr>
        <w:spacing w:after="0"/>
        <w:ind w:left="1080"/>
        <w:rPr>
          <w:u w:val="single"/>
        </w:rPr>
      </w:pPr>
      <w:r w:rsidRPr="0008070D">
        <w:rPr>
          <w:szCs w:val="22"/>
        </w:rPr>
        <w:t>Additional information:</w:t>
      </w:r>
      <w:r w:rsidRPr="0008070D">
        <w:t xml:space="preserve"> </w:t>
      </w:r>
      <w:hyperlink w:history="1"/>
      <w:r w:rsidRPr="0008070D">
        <w:t xml:space="preserve"> </w:t>
      </w:r>
      <w:hyperlink r:id="rId16" w:tooltip="Click here to go to the California Public Utilities Commission website" w:history="1">
        <w:r w:rsidR="00234E63" w:rsidRPr="00404C1C">
          <w:rPr>
            <w:rStyle w:val="Hyperlink"/>
            <w:rFonts w:cs="Arial"/>
          </w:rPr>
          <w:t>http://www.cp</w:t>
        </w:r>
        <w:r w:rsidR="00234E63" w:rsidRPr="00404C1C">
          <w:rPr>
            <w:rStyle w:val="Hyperlink"/>
            <w:rFonts w:cs="Arial"/>
          </w:rPr>
          <w:t>u</w:t>
        </w:r>
        <w:r w:rsidR="00234E63" w:rsidRPr="00404C1C">
          <w:rPr>
            <w:rStyle w:val="Hyperlink"/>
            <w:rFonts w:cs="Arial"/>
          </w:rPr>
          <w:t>c.ca.gov/general.aspx?id=3462</w:t>
        </w:r>
      </w:hyperlink>
    </w:p>
    <w:p w14:paraId="327ED898" w14:textId="5B1BE660" w:rsidR="005C15EA" w:rsidRPr="0008070D" w:rsidRDefault="00F717AD" w:rsidP="00F717AD">
      <w:pPr>
        <w:tabs>
          <w:tab w:val="left" w:pos="720"/>
          <w:tab w:val="left" w:pos="1170"/>
        </w:tabs>
        <w:spacing w:after="240"/>
        <w:ind w:left="1080"/>
        <w:rPr>
          <w:u w:val="single"/>
        </w:rPr>
      </w:pPr>
      <w:r w:rsidRPr="0008070D">
        <w:rPr>
          <w:szCs w:val="22"/>
        </w:rPr>
        <w:t>Applicable Law:</w:t>
      </w:r>
      <w:r w:rsidRPr="0008070D">
        <w:rPr>
          <w:color w:val="000000"/>
          <w:szCs w:val="22"/>
          <w:u w:val="single"/>
        </w:rPr>
        <w:t xml:space="preserve"> California Public Utilities Code §§ 2835 </w:t>
      </w:r>
      <w:proofErr w:type="gramStart"/>
      <w:r w:rsidRPr="0008070D">
        <w:rPr>
          <w:color w:val="000000"/>
          <w:szCs w:val="22"/>
          <w:u w:val="single"/>
        </w:rPr>
        <w:t>et</w:t>
      </w:r>
      <w:proofErr w:type="gramEnd"/>
      <w:r w:rsidRPr="0008070D">
        <w:rPr>
          <w:color w:val="000000"/>
          <w:szCs w:val="22"/>
          <w:u w:val="single"/>
        </w:rPr>
        <w:t>. seq., and § 9620 (</w:t>
      </w:r>
      <w:hyperlink r:id="rId17" w:tooltip="Click here to go to the Assembly Bill 2514 link" w:history="1">
        <w:r w:rsidR="00234E63" w:rsidRPr="00404C1C">
          <w:rPr>
            <w:rStyle w:val="Hyperlink"/>
            <w:rFonts w:cs="Arial"/>
          </w:rPr>
          <w:t>http://leginfo.legislature.ca.gov/face</w:t>
        </w:r>
        <w:r w:rsidR="00234E63" w:rsidRPr="00404C1C">
          <w:rPr>
            <w:rStyle w:val="Hyperlink"/>
            <w:rFonts w:cs="Arial"/>
          </w:rPr>
          <w:t>s</w:t>
        </w:r>
        <w:r w:rsidR="00234E63" w:rsidRPr="00404C1C">
          <w:rPr>
            <w:rStyle w:val="Hyperlink"/>
            <w:rFonts w:cs="Arial"/>
          </w:rPr>
          <w:t>/billNavClient.xhtml?bill_id=200920100AB2514</w:t>
        </w:r>
      </w:hyperlink>
      <w:r w:rsidRPr="0008070D">
        <w:rPr>
          <w:u w:val="single"/>
        </w:rPr>
        <w:t>)</w:t>
      </w:r>
    </w:p>
    <w:p w14:paraId="68396FF7" w14:textId="77777777" w:rsidR="00F717AD" w:rsidRPr="0008070D" w:rsidRDefault="00F717AD" w:rsidP="0018649E">
      <w:pPr>
        <w:pStyle w:val="ListParagraph"/>
        <w:numPr>
          <w:ilvl w:val="0"/>
          <w:numId w:val="47"/>
        </w:numPr>
        <w:jc w:val="both"/>
        <w:rPr>
          <w:b/>
          <w:color w:val="000000" w:themeColor="text1"/>
        </w:rPr>
      </w:pPr>
      <w:r w:rsidRPr="0008070D">
        <w:rPr>
          <w:b/>
          <w:color w:val="000000" w:themeColor="text1"/>
        </w:rPr>
        <w:t>AB 2868 (</w:t>
      </w:r>
      <w:proofErr w:type="spellStart"/>
      <w:r w:rsidRPr="0008070D">
        <w:rPr>
          <w:b/>
          <w:color w:val="000000" w:themeColor="text1"/>
        </w:rPr>
        <w:t>Gatto</w:t>
      </w:r>
      <w:proofErr w:type="spellEnd"/>
      <w:r w:rsidRPr="0008070D">
        <w:rPr>
          <w:b/>
          <w:color w:val="000000" w:themeColor="text1"/>
        </w:rPr>
        <w:t xml:space="preserve">) – Energy Storage </w:t>
      </w:r>
    </w:p>
    <w:p w14:paraId="7E8936B6" w14:textId="267AC346" w:rsidR="00F717AD" w:rsidRPr="0008070D" w:rsidRDefault="00F717AD" w:rsidP="0014666E">
      <w:pPr>
        <w:ind w:left="1080"/>
        <w:jc w:val="both"/>
        <w:rPr>
          <w:color w:val="000000" w:themeColor="text1"/>
        </w:rPr>
      </w:pPr>
      <w:r w:rsidRPr="0008070D">
        <w:rPr>
          <w:color w:val="000000" w:themeColor="text1"/>
        </w:rPr>
        <w:t xml:space="preserve">AB 2868 requires the CPUC, in consultation with the State Air Resources Board and the </w:t>
      </w:r>
      <w:r>
        <w:rPr>
          <w:color w:val="000000" w:themeColor="text1"/>
        </w:rPr>
        <w:t>Energy Commission</w:t>
      </w:r>
      <w:r w:rsidRPr="0008070D">
        <w:rPr>
          <w:color w:val="000000" w:themeColor="text1"/>
        </w:rPr>
        <w:t xml:space="preserve">, to direct the </w:t>
      </w:r>
      <w:r w:rsidR="00D338B4">
        <w:rPr>
          <w:color w:val="000000" w:themeColor="text1"/>
        </w:rPr>
        <w:t>State</w:t>
      </w:r>
      <w:r w:rsidRPr="0008070D">
        <w:rPr>
          <w:color w:val="000000" w:themeColor="text1"/>
        </w:rPr>
        <w:t>’s 3 largest electrical corporations to file applications for programs and investments to accelerate widespread deployment of distributed energy storage systems.</w:t>
      </w:r>
    </w:p>
    <w:p w14:paraId="5B0E0DD3" w14:textId="2809D552" w:rsidR="00234E63" w:rsidRPr="001C2630" w:rsidRDefault="00F717AD" w:rsidP="00F717AD">
      <w:pPr>
        <w:ind w:left="1080"/>
        <w:rPr>
          <w:b/>
          <w:color w:val="000000" w:themeColor="text1"/>
          <w:u w:val="single"/>
        </w:rPr>
      </w:pPr>
      <w:r w:rsidRPr="0008070D">
        <w:rPr>
          <w:color w:val="000000" w:themeColor="text1"/>
        </w:rPr>
        <w:t>Additional information:</w:t>
      </w:r>
      <w:r w:rsidRPr="0008070D">
        <w:t xml:space="preserve"> </w:t>
      </w:r>
      <w:hyperlink r:id="rId18" w:tooltip="Click here to go to the Assembly Bill 2868 website" w:history="1">
        <w:r w:rsidR="00234E63" w:rsidRPr="00404C1C">
          <w:rPr>
            <w:rStyle w:val="Hyperlink"/>
            <w:rFonts w:cs="Arial"/>
          </w:rPr>
          <w:t>https://leginfo.legislature.ca.gov/face</w:t>
        </w:r>
        <w:r w:rsidR="00234E63" w:rsidRPr="00404C1C">
          <w:rPr>
            <w:rStyle w:val="Hyperlink"/>
            <w:rFonts w:cs="Arial"/>
          </w:rPr>
          <w:t>s</w:t>
        </w:r>
        <w:r w:rsidR="00234E63" w:rsidRPr="00404C1C">
          <w:rPr>
            <w:rStyle w:val="Hyperlink"/>
            <w:rFonts w:cs="Arial"/>
          </w:rPr>
          <w:t>/billTextClient.xhtml?bill_id=201520160AB2868</w:t>
        </w:r>
      </w:hyperlink>
    </w:p>
    <w:p w14:paraId="61E3648A" w14:textId="77777777" w:rsidR="00F717AD" w:rsidRDefault="00F717AD" w:rsidP="00A055EF">
      <w:pPr>
        <w:spacing w:after="0"/>
        <w:jc w:val="both"/>
        <w:rPr>
          <w:szCs w:val="22"/>
          <w:u w:val="single"/>
        </w:rPr>
      </w:pPr>
    </w:p>
    <w:p w14:paraId="6B94EF27" w14:textId="14DA76C3" w:rsidR="0014666E" w:rsidRPr="00767695" w:rsidRDefault="0014666E" w:rsidP="0018649E">
      <w:pPr>
        <w:pStyle w:val="0PIERNormal"/>
        <w:keepNext/>
        <w:numPr>
          <w:ilvl w:val="0"/>
          <w:numId w:val="38"/>
        </w:numPr>
        <w:spacing w:after="120"/>
        <w:ind w:left="1080"/>
        <w:jc w:val="both"/>
        <w:rPr>
          <w:rFonts w:ascii="Arial" w:hAnsi="Arial" w:cs="Arial"/>
          <w:b/>
          <w:color w:val="auto"/>
        </w:rPr>
      </w:pPr>
      <w:r w:rsidRPr="00767695">
        <w:rPr>
          <w:rFonts w:ascii="Arial" w:hAnsi="Arial" w:cs="Arial"/>
          <w:b/>
          <w:color w:val="auto"/>
          <w:szCs w:val="22"/>
        </w:rPr>
        <w:lastRenderedPageBreak/>
        <w:t xml:space="preserve">SB-1369 (Skinner, Chapter 567, Statutes of </w:t>
      </w:r>
      <w:r w:rsidR="00A07A31" w:rsidRPr="00767695">
        <w:rPr>
          <w:rFonts w:ascii="Arial" w:hAnsi="Arial" w:cs="Arial"/>
          <w:b/>
          <w:color w:val="auto"/>
          <w:szCs w:val="22"/>
        </w:rPr>
        <w:t>2018</w:t>
      </w:r>
      <w:r w:rsidRPr="00767695">
        <w:rPr>
          <w:rFonts w:ascii="Arial" w:hAnsi="Arial" w:cs="Arial"/>
          <w:b/>
          <w:color w:val="auto"/>
          <w:szCs w:val="22"/>
        </w:rPr>
        <w:t>) - Energy: green electrolytic hydrogen</w:t>
      </w:r>
    </w:p>
    <w:p w14:paraId="4BA79005" w14:textId="77777777" w:rsidR="0014666E" w:rsidRPr="00767695" w:rsidRDefault="0014666E" w:rsidP="0014666E">
      <w:pPr>
        <w:pStyle w:val="0PIERNormal"/>
        <w:keepNext/>
        <w:spacing w:after="0" w:line="240" w:lineRule="auto"/>
        <w:ind w:left="1080"/>
        <w:jc w:val="both"/>
        <w:rPr>
          <w:rFonts w:ascii="Arial" w:hAnsi="Arial" w:cs="Arial"/>
          <w:color w:val="auto"/>
        </w:rPr>
      </w:pPr>
      <w:r w:rsidRPr="00767695">
        <w:rPr>
          <w:rFonts w:ascii="Arial" w:hAnsi="Arial" w:cs="Arial"/>
          <w:color w:val="auto"/>
        </w:rPr>
        <w:t>SB-1369 requires the Energy Commission consider green electrolytic hydrogen an eligible form of energy storage, and shall consider other potential uses of green electrolytic hydrogen.</w:t>
      </w:r>
    </w:p>
    <w:p w14:paraId="764CFC89" w14:textId="77777777" w:rsidR="0014666E" w:rsidRPr="0014666E" w:rsidRDefault="0014666E" w:rsidP="0014666E">
      <w:pPr>
        <w:pStyle w:val="0PIERNormal"/>
        <w:keepNext/>
        <w:spacing w:after="0" w:line="240" w:lineRule="auto"/>
        <w:ind w:left="1080"/>
        <w:jc w:val="both"/>
        <w:rPr>
          <w:rFonts w:ascii="Arial" w:hAnsi="Arial" w:cs="Arial"/>
        </w:rPr>
      </w:pPr>
    </w:p>
    <w:p w14:paraId="0281031E" w14:textId="77777777" w:rsidR="002E358C" w:rsidRPr="00F5006B" w:rsidRDefault="002E358C" w:rsidP="0018649E">
      <w:pPr>
        <w:pStyle w:val="0PIERNormal"/>
        <w:keepNext/>
        <w:numPr>
          <w:ilvl w:val="0"/>
          <w:numId w:val="38"/>
        </w:numPr>
        <w:jc w:val="both"/>
        <w:rPr>
          <w:rFonts w:ascii="Arial" w:hAnsi="Arial" w:cs="Arial"/>
        </w:rPr>
      </w:pPr>
      <w:r>
        <w:rPr>
          <w:rFonts w:ascii="Arial" w:hAnsi="Arial" w:cs="Arial"/>
          <w:b/>
        </w:rPr>
        <w:t>California Energy Code</w:t>
      </w:r>
    </w:p>
    <w:p w14:paraId="2A614661" w14:textId="771684E7" w:rsidR="002E358C" w:rsidRPr="00F526EC" w:rsidRDefault="002E358C" w:rsidP="00721B17">
      <w:pPr>
        <w:keepNext/>
        <w:ind w:left="720"/>
        <w:jc w:val="both"/>
        <w:rPr>
          <w:color w:val="404040"/>
          <w:szCs w:val="22"/>
        </w:rPr>
      </w:pPr>
      <w:r>
        <w:rPr>
          <w:szCs w:val="22"/>
        </w:rPr>
        <w:t xml:space="preserve">The Energy Code is a component of the California Building Standards Code, and is published every three years through the collaborative efforts of </w:t>
      </w:r>
      <w:r w:rsidR="00D338B4">
        <w:rPr>
          <w:szCs w:val="22"/>
        </w:rPr>
        <w:t>State</w:t>
      </w:r>
      <w:r>
        <w:rPr>
          <w:szCs w:val="22"/>
        </w:rPr>
        <w:t xml:space="preserve"> agencies including the California Building Standards Commission and the Energy Commission. </w:t>
      </w:r>
      <w:r w:rsidRPr="00F526EC">
        <w:rPr>
          <w:szCs w:val="22"/>
        </w:rPr>
        <w:t xml:space="preserve">The </w:t>
      </w:r>
      <w:r>
        <w:rPr>
          <w:szCs w:val="22"/>
        </w:rPr>
        <w:t>Code</w:t>
      </w:r>
      <w:r w:rsidRPr="00F526EC">
        <w:rPr>
          <w:szCs w:val="22"/>
        </w:rPr>
        <w:t xml:space="preserve"> ensure</w:t>
      </w:r>
      <w:r>
        <w:rPr>
          <w:szCs w:val="22"/>
        </w:rPr>
        <w:t>s that</w:t>
      </w:r>
      <w:r w:rsidRPr="00F526EC">
        <w:rPr>
          <w:szCs w:val="22"/>
        </w:rPr>
        <w:t xml:space="preserve"> new and existing buildings achieve energy efficiency and preserve outdoor and indoor environmental quality</w:t>
      </w:r>
      <w:r>
        <w:rPr>
          <w:szCs w:val="22"/>
        </w:rPr>
        <w:t xml:space="preserve"> through use of </w:t>
      </w:r>
      <w:r w:rsidRPr="00F526EC">
        <w:rPr>
          <w:szCs w:val="22"/>
        </w:rPr>
        <w:t>the most energy efficient technologies and construction</w:t>
      </w:r>
      <w:r w:rsidRPr="00F526EC">
        <w:rPr>
          <w:rFonts w:cs="Frutiger LT Std 57 Cn"/>
          <w:color w:val="000000"/>
          <w:sz w:val="18"/>
          <w:szCs w:val="18"/>
        </w:rPr>
        <w:t>.</w:t>
      </w:r>
    </w:p>
    <w:p w14:paraId="2C4B949E" w14:textId="0BB09A0F" w:rsidR="00234E63" w:rsidRPr="00F526EC" w:rsidRDefault="002E358C" w:rsidP="00A055EF">
      <w:pPr>
        <w:spacing w:after="0"/>
        <w:ind w:left="720"/>
        <w:jc w:val="both"/>
      </w:pPr>
      <w:r w:rsidRPr="00F526EC">
        <w:rPr>
          <w:szCs w:val="22"/>
        </w:rPr>
        <w:t>Additional information:</w:t>
      </w:r>
      <w:r w:rsidRPr="00F526EC">
        <w:t xml:space="preserve"> </w:t>
      </w:r>
      <w:hyperlink r:id="rId19" w:tooltip="Click here to go to the California Building Energy Efficiency Standards Title 24 website" w:history="1">
        <w:r w:rsidR="00234E63" w:rsidRPr="00404C1C">
          <w:rPr>
            <w:rStyle w:val="Hyperlink"/>
            <w:rFonts w:cs="Arial"/>
          </w:rPr>
          <w:t>http://ww</w:t>
        </w:r>
        <w:r w:rsidR="00234E63" w:rsidRPr="00404C1C">
          <w:rPr>
            <w:rStyle w:val="Hyperlink"/>
            <w:rFonts w:cs="Arial"/>
          </w:rPr>
          <w:t>w</w:t>
        </w:r>
        <w:r w:rsidR="00234E63" w:rsidRPr="00404C1C">
          <w:rPr>
            <w:rStyle w:val="Hyperlink"/>
            <w:rFonts w:cs="Arial"/>
          </w:rPr>
          <w:t>.energy.ca.gov/title24/</w:t>
        </w:r>
      </w:hyperlink>
    </w:p>
    <w:p w14:paraId="530294A0" w14:textId="77777777" w:rsidR="002E358C" w:rsidRDefault="002E358C" w:rsidP="00A055EF">
      <w:pPr>
        <w:spacing w:after="0"/>
        <w:ind w:left="720"/>
        <w:jc w:val="both"/>
        <w:rPr>
          <w:color w:val="000000"/>
          <w:szCs w:val="22"/>
        </w:rPr>
      </w:pPr>
      <w:r w:rsidRPr="00F526EC">
        <w:rPr>
          <w:szCs w:val="22"/>
        </w:rPr>
        <w:t>Applicable Law:</w:t>
      </w:r>
      <w:r w:rsidRPr="00F526EC">
        <w:rPr>
          <w:color w:val="000000"/>
          <w:szCs w:val="22"/>
        </w:rPr>
        <w:t xml:space="preserve"> California Code of Regulations, Title 24, Part 6</w:t>
      </w:r>
      <w:r w:rsidR="00B34CCD">
        <w:rPr>
          <w:color w:val="000000"/>
          <w:szCs w:val="22"/>
        </w:rPr>
        <w:t xml:space="preserve"> </w:t>
      </w:r>
      <w:r w:rsidRPr="00F526EC">
        <w:rPr>
          <w:color w:val="000000"/>
          <w:szCs w:val="22"/>
        </w:rPr>
        <w:t>and associated administrative regulations in Part 1</w:t>
      </w:r>
    </w:p>
    <w:p w14:paraId="250C9AAA" w14:textId="77777777" w:rsidR="002E358C" w:rsidRDefault="002E358C" w:rsidP="00A055EF">
      <w:pPr>
        <w:tabs>
          <w:tab w:val="left" w:pos="1170"/>
        </w:tabs>
        <w:spacing w:after="0"/>
        <w:jc w:val="both"/>
        <w:rPr>
          <w:color w:val="000000"/>
          <w:szCs w:val="22"/>
        </w:rPr>
      </w:pPr>
    </w:p>
    <w:p w14:paraId="6F962BBE" w14:textId="77777777" w:rsidR="00593F15" w:rsidRPr="00593F15" w:rsidRDefault="00593F15" w:rsidP="00A055EF">
      <w:pPr>
        <w:keepLines/>
        <w:jc w:val="both"/>
        <w:rPr>
          <w:szCs w:val="24"/>
          <w:u w:val="single"/>
        </w:rPr>
      </w:pPr>
      <w:r w:rsidRPr="00593F15">
        <w:rPr>
          <w:szCs w:val="24"/>
          <w:u w:val="single"/>
        </w:rPr>
        <w:t>Policies/Plans</w:t>
      </w:r>
    </w:p>
    <w:p w14:paraId="6F191CDE" w14:textId="77777777" w:rsidR="00310341" w:rsidRDefault="00310341" w:rsidP="00A055EF">
      <w:pPr>
        <w:numPr>
          <w:ilvl w:val="0"/>
          <w:numId w:val="7"/>
        </w:numPr>
        <w:tabs>
          <w:tab w:val="left" w:pos="720"/>
        </w:tabs>
        <w:ind w:left="720"/>
        <w:jc w:val="both"/>
        <w:rPr>
          <w:b/>
        </w:rPr>
      </w:pPr>
      <w:r w:rsidRPr="0080467C">
        <w:rPr>
          <w:b/>
        </w:rPr>
        <w:t>Governor’s Clean Energy Jobs Plan</w:t>
      </w:r>
      <w:r>
        <w:rPr>
          <w:b/>
        </w:rPr>
        <w:t xml:space="preserve"> (2011)</w:t>
      </w:r>
    </w:p>
    <w:p w14:paraId="317572CD" w14:textId="77777777" w:rsidR="00310341" w:rsidRDefault="00310341" w:rsidP="00A055EF">
      <w:pPr>
        <w:tabs>
          <w:tab w:val="left" w:pos="1170"/>
        </w:tabs>
        <w:ind w:left="720"/>
        <w:jc w:val="both"/>
      </w:pPr>
      <w:r>
        <w:t>In June 2011, Governor Jerry Brown announced a plan to invest in clean energy and increase efficiency.  The plan includes a goal of producing 20,000 megawatts (MW) of renewable electricity by 2020 by taking the following actions: addressing peak energy needs, developing energy storage, creating efficiency standards for buildings and appliances, and developing combined heat and power (CHP) projects.  Specific goals include building 8,000 MW of large-scale renewable and transmission lines, 12,000 MW of localized energy, and 6,500 MW of CHP.</w:t>
      </w:r>
    </w:p>
    <w:p w14:paraId="5B2710AB" w14:textId="42B71B11" w:rsidR="00234E63" w:rsidRPr="00497C01" w:rsidRDefault="00310341" w:rsidP="00A055EF">
      <w:pPr>
        <w:tabs>
          <w:tab w:val="left" w:pos="1170"/>
        </w:tabs>
        <w:spacing w:after="240"/>
        <w:ind w:left="720"/>
        <w:jc w:val="both"/>
      </w:pPr>
      <w:r w:rsidRPr="00B577A8">
        <w:rPr>
          <w:szCs w:val="22"/>
        </w:rPr>
        <w:t>Additional information</w:t>
      </w:r>
      <w:r w:rsidR="00365D2D">
        <w:rPr>
          <w:szCs w:val="22"/>
        </w:rPr>
        <w:t>, on page 2 of the Integrated Energy Policy Report 201</w:t>
      </w:r>
      <w:r w:rsidR="004C50E0">
        <w:rPr>
          <w:szCs w:val="22"/>
        </w:rPr>
        <w:t>1</w:t>
      </w:r>
      <w:r w:rsidRPr="00B577A8">
        <w:rPr>
          <w:szCs w:val="22"/>
        </w:rPr>
        <w:t>:</w:t>
      </w:r>
      <w:r w:rsidRPr="00873EFE">
        <w:rPr>
          <w:color w:val="000000"/>
          <w:szCs w:val="22"/>
        </w:rPr>
        <w:t xml:space="preserve"> </w:t>
      </w:r>
      <w:hyperlink r:id="rId20" w:tooltip="Click here to open the 2011 Integrated Energy Policy Report" w:history="1">
        <w:r w:rsidR="00234E63" w:rsidRPr="00404C1C">
          <w:rPr>
            <w:rStyle w:val="Hyperlink"/>
            <w:rFonts w:cs="Arial"/>
          </w:rPr>
          <w:t>https://ww2.energy.ca.gov/20</w:t>
        </w:r>
        <w:r w:rsidR="00234E63" w:rsidRPr="00404C1C">
          <w:rPr>
            <w:rStyle w:val="Hyperlink"/>
            <w:rFonts w:cs="Arial"/>
          </w:rPr>
          <w:t>1</w:t>
        </w:r>
        <w:r w:rsidR="00234E63" w:rsidRPr="00404C1C">
          <w:rPr>
            <w:rStyle w:val="Hyperlink"/>
            <w:rFonts w:cs="Arial"/>
          </w:rPr>
          <w:t>1publications/CEC-100-2011-001/CEC-100-2011-001-CMF.pdf</w:t>
        </w:r>
      </w:hyperlink>
    </w:p>
    <w:p w14:paraId="072ABB12" w14:textId="77777777" w:rsidR="005E52CD" w:rsidRDefault="001C2D56" w:rsidP="00A055EF">
      <w:pPr>
        <w:numPr>
          <w:ilvl w:val="0"/>
          <w:numId w:val="7"/>
        </w:numPr>
        <w:tabs>
          <w:tab w:val="left" w:pos="720"/>
        </w:tabs>
        <w:ind w:left="720"/>
        <w:jc w:val="both"/>
        <w:rPr>
          <w:b/>
          <w:szCs w:val="22"/>
        </w:rPr>
      </w:pPr>
      <w:r w:rsidRPr="00FD4FCF">
        <w:rPr>
          <w:b/>
          <w:szCs w:val="22"/>
        </w:rPr>
        <w:t>Integrated Energy Policy Report (Biennial)</w:t>
      </w:r>
    </w:p>
    <w:p w14:paraId="0D574F07" w14:textId="0E6DC2F9" w:rsidR="001C2D56" w:rsidRDefault="001C2D56" w:rsidP="00A055EF">
      <w:pPr>
        <w:ind w:left="720"/>
        <w:jc w:val="both"/>
      </w:pPr>
      <w:r w:rsidRPr="00FD4FCF">
        <w:rPr>
          <w:szCs w:val="22"/>
        </w:rPr>
        <w:t>California Public Resources Code Section 25302 requires the Energy Commission to release a biennial report that provides an overview of major energy</w:t>
      </w:r>
      <w:r w:rsidRPr="00470121">
        <w:t xml:space="preserve"> trend</w:t>
      </w:r>
      <w:r w:rsidR="003D14D9">
        <w:t xml:space="preserve">s and issues facing the </w:t>
      </w:r>
      <w:r w:rsidR="00D338B4">
        <w:t>State</w:t>
      </w:r>
      <w:r w:rsidR="003D14D9">
        <w:t xml:space="preserve">. </w:t>
      </w:r>
      <w:r w:rsidRPr="00872A98">
        <w:rPr>
          <w:szCs w:val="24"/>
        </w:rPr>
        <w:t>The IEPR assesses</w:t>
      </w:r>
      <w:r w:rsidRPr="00E742FA">
        <w:rPr>
          <w:szCs w:val="24"/>
        </w:rPr>
        <w:t xml:space="preserve"> and forecasts all aspects of energy industry supply, production, transportation, delivery</w:t>
      </w:r>
      <w:r>
        <w:rPr>
          <w:szCs w:val="24"/>
        </w:rPr>
        <w:t>,</w:t>
      </w:r>
      <w:r w:rsidRPr="00E742FA">
        <w:rPr>
          <w:szCs w:val="24"/>
        </w:rPr>
        <w:t xml:space="preserve"> distribution, demand, and pricing. The Energy Commission uses these assessments and forecasts to develop energy policies</w:t>
      </w:r>
      <w:r>
        <w:rPr>
          <w:szCs w:val="24"/>
        </w:rPr>
        <w:t xml:space="preserve">.  </w:t>
      </w:r>
      <w:r w:rsidR="006B018E">
        <w:rPr>
          <w:szCs w:val="24"/>
        </w:rPr>
        <w:t>The 2015 IEPR included a multi-agency hearing on drought response and provided recommendations for future research and analysis areas.</w:t>
      </w:r>
    </w:p>
    <w:p w14:paraId="026B3F36" w14:textId="52BF6D10" w:rsidR="0018538C" w:rsidRDefault="001C2D56" w:rsidP="00E72C61">
      <w:pPr>
        <w:ind w:left="720"/>
        <w:jc w:val="both"/>
      </w:pPr>
      <w:r w:rsidRPr="00B577A8">
        <w:rPr>
          <w:szCs w:val="22"/>
        </w:rPr>
        <w:t>Additional information</w:t>
      </w:r>
      <w:r w:rsidRPr="00470121">
        <w:rPr>
          <w:szCs w:val="22"/>
        </w:rPr>
        <w:t>:</w:t>
      </w:r>
      <w:r w:rsidRPr="00470121">
        <w:t xml:space="preserve"> </w:t>
      </w:r>
      <w:hyperlink r:id="rId21" w:tooltip="Click here to go to the Integrated Energy Policy Report (IEPR)" w:history="1">
        <w:r w:rsidR="0018538C" w:rsidRPr="00404C1C">
          <w:rPr>
            <w:rStyle w:val="Hyperlink"/>
            <w:rFonts w:cs="Arial"/>
          </w:rPr>
          <w:t>http://www.</w:t>
        </w:r>
        <w:r w:rsidR="0018538C" w:rsidRPr="00404C1C">
          <w:rPr>
            <w:rStyle w:val="Hyperlink"/>
            <w:rFonts w:cs="Arial"/>
          </w:rPr>
          <w:t>e</w:t>
        </w:r>
        <w:r w:rsidR="0018538C" w:rsidRPr="00404C1C">
          <w:rPr>
            <w:rStyle w:val="Hyperlink"/>
            <w:rFonts w:cs="Arial"/>
          </w:rPr>
          <w:t>nergy.ca.gov/energypolicy</w:t>
        </w:r>
      </w:hyperlink>
    </w:p>
    <w:p w14:paraId="58974613" w14:textId="77777777" w:rsidR="001C2D56" w:rsidRDefault="001C2D56" w:rsidP="00E72C61">
      <w:pPr>
        <w:ind w:left="720"/>
        <w:jc w:val="both"/>
      </w:pPr>
      <w:r w:rsidRPr="00B577A8">
        <w:rPr>
          <w:szCs w:val="22"/>
        </w:rPr>
        <w:t>Applicable Law</w:t>
      </w:r>
      <w:r>
        <w:rPr>
          <w:szCs w:val="22"/>
        </w:rPr>
        <w:t>:</w:t>
      </w:r>
      <w:r>
        <w:rPr>
          <w:color w:val="000000"/>
          <w:szCs w:val="22"/>
        </w:rPr>
        <w:t xml:space="preserve"> </w:t>
      </w:r>
      <w:r w:rsidRPr="004B4D2A">
        <w:rPr>
          <w:color w:val="000000"/>
          <w:szCs w:val="22"/>
        </w:rPr>
        <w:t xml:space="preserve">California </w:t>
      </w:r>
      <w:r>
        <w:rPr>
          <w:color w:val="000000"/>
          <w:szCs w:val="22"/>
        </w:rPr>
        <w:t xml:space="preserve">Public Resources </w:t>
      </w:r>
      <w:r w:rsidR="00190809">
        <w:rPr>
          <w:color w:val="000000"/>
          <w:szCs w:val="22"/>
        </w:rPr>
        <w:t xml:space="preserve">Code </w:t>
      </w:r>
      <w:r w:rsidRPr="004B4D2A">
        <w:rPr>
          <w:color w:val="000000"/>
          <w:szCs w:val="22"/>
        </w:rPr>
        <w:t xml:space="preserve">§ </w:t>
      </w:r>
      <w:r>
        <w:rPr>
          <w:color w:val="000000"/>
          <w:szCs w:val="22"/>
        </w:rPr>
        <w:t>25300</w:t>
      </w:r>
      <w:r w:rsidRPr="004B4D2A">
        <w:rPr>
          <w:color w:val="000000"/>
          <w:szCs w:val="22"/>
        </w:rPr>
        <w:t xml:space="preserve"> et seq.</w:t>
      </w:r>
      <w:r w:rsidRPr="00470121">
        <w:t xml:space="preserve"> </w:t>
      </w:r>
    </w:p>
    <w:p w14:paraId="3E6823AA" w14:textId="77777777" w:rsidR="00AA2255" w:rsidRPr="007820EE" w:rsidRDefault="00AA2255" w:rsidP="00721B17">
      <w:pPr>
        <w:keepNext/>
        <w:numPr>
          <w:ilvl w:val="0"/>
          <w:numId w:val="7"/>
        </w:numPr>
        <w:tabs>
          <w:tab w:val="left" w:pos="720"/>
        </w:tabs>
        <w:ind w:left="720"/>
        <w:jc w:val="both"/>
        <w:rPr>
          <w:b/>
        </w:rPr>
      </w:pPr>
      <w:r w:rsidRPr="007820EE">
        <w:rPr>
          <w:b/>
        </w:rPr>
        <w:lastRenderedPageBreak/>
        <w:t>CPUC Decision 13-10-040, “Decision Adopting Energy Storage Procurement Framework and Design Program” (2013)</w:t>
      </w:r>
    </w:p>
    <w:p w14:paraId="3C2D05A7" w14:textId="77777777" w:rsidR="00AA2255" w:rsidRDefault="00AA2255" w:rsidP="00721B17">
      <w:pPr>
        <w:keepNext/>
        <w:tabs>
          <w:tab w:val="left" w:pos="720"/>
        </w:tabs>
        <w:ind w:left="720"/>
        <w:jc w:val="both"/>
      </w:pPr>
      <w:r w:rsidRPr="007820EE">
        <w:t>The Decision establishes p</w:t>
      </w:r>
      <w:r>
        <w:t>olicies and mechanisms for energy storage procurement, as required by AB 2514 (described above). The IOU procurement target is 1,325 megawatts of energy storage by 2020, with installations required no later than the end of 2024.</w:t>
      </w:r>
    </w:p>
    <w:p w14:paraId="6F2180CB" w14:textId="6524C91F" w:rsidR="0018538C" w:rsidRPr="00705C51" w:rsidRDefault="00AA2255" w:rsidP="00B9322A">
      <w:pPr>
        <w:tabs>
          <w:tab w:val="left" w:pos="720"/>
        </w:tabs>
        <w:spacing w:after="240"/>
        <w:ind w:left="720"/>
        <w:rPr>
          <w:szCs w:val="22"/>
        </w:rPr>
      </w:pPr>
      <w:r w:rsidRPr="00B577A8">
        <w:rPr>
          <w:szCs w:val="22"/>
        </w:rPr>
        <w:t>Additional information:</w:t>
      </w:r>
      <w:r>
        <w:rPr>
          <w:szCs w:val="22"/>
        </w:rPr>
        <w:t xml:space="preserve"> </w:t>
      </w:r>
      <w:hyperlink r:id="rId22" w:tooltip="Click here to open additional information on CPUC Decision 13-10-040" w:history="1">
        <w:r w:rsidR="0018538C" w:rsidRPr="00404C1C">
          <w:rPr>
            <w:rStyle w:val="Hyperlink"/>
            <w:rFonts w:cs="Arial"/>
          </w:rPr>
          <w:t>http://www.cpuc.ca.gov/upload</w:t>
        </w:r>
        <w:r w:rsidR="0018538C" w:rsidRPr="00404C1C">
          <w:rPr>
            <w:rStyle w:val="Hyperlink"/>
            <w:rFonts w:cs="Arial"/>
          </w:rPr>
          <w:t>e</w:t>
        </w:r>
        <w:r w:rsidR="0018538C" w:rsidRPr="00404C1C">
          <w:rPr>
            <w:rStyle w:val="Hyperlink"/>
            <w:rFonts w:cs="Arial"/>
          </w:rPr>
          <w:t>dfiles/cpuc_public_website/content/about_us/organization/former_commissioners/peevey(1)/news_and_announcements/ferron_peevey_concurrence_storaged1310040.pdf</w:t>
        </w:r>
      </w:hyperlink>
    </w:p>
    <w:p w14:paraId="4D048738" w14:textId="77777777" w:rsidR="00344986" w:rsidRDefault="0015191F" w:rsidP="0018649E">
      <w:pPr>
        <w:pStyle w:val="ListParagraph"/>
        <w:numPr>
          <w:ilvl w:val="0"/>
          <w:numId w:val="38"/>
        </w:numPr>
        <w:tabs>
          <w:tab w:val="left" w:pos="360"/>
        </w:tabs>
        <w:jc w:val="both"/>
        <w:rPr>
          <w:szCs w:val="22"/>
        </w:rPr>
      </w:pPr>
      <w:r w:rsidRPr="00F37C13">
        <w:rPr>
          <w:b/>
          <w:szCs w:val="22"/>
        </w:rPr>
        <w:t>New Residential Zero Net Energy Action Plan 2015-2020</w:t>
      </w:r>
    </w:p>
    <w:p w14:paraId="41C44B35" w14:textId="77777777" w:rsidR="00344986" w:rsidRDefault="0015191F" w:rsidP="00A055EF">
      <w:pPr>
        <w:pStyle w:val="ListParagraph"/>
        <w:tabs>
          <w:tab w:val="left" w:pos="360"/>
        </w:tabs>
        <w:spacing w:after="0"/>
        <w:jc w:val="both"/>
        <w:rPr>
          <w:szCs w:val="22"/>
        </w:rPr>
      </w:pPr>
      <w:r w:rsidRPr="00F37C13">
        <w:rPr>
          <w:szCs w:val="22"/>
        </w:rPr>
        <w:t xml:space="preserve">The Residential New Construction Zero Net Energy Action Plan supports the California Energy Efficiency Strategic Plan’s goal to have 100 </w:t>
      </w:r>
      <w:r w:rsidR="00162357">
        <w:rPr>
          <w:szCs w:val="22"/>
        </w:rPr>
        <w:t>%</w:t>
      </w:r>
      <w:r w:rsidRPr="00F37C13">
        <w:rPr>
          <w:szCs w:val="22"/>
        </w:rPr>
        <w:t xml:space="preserve"> of new homes achieve zero net energy beginning in 2020. The action plan provides a foundation for the development of a robust and self-sustaining zero net energy market for new homes.</w:t>
      </w:r>
    </w:p>
    <w:p w14:paraId="2285FE42" w14:textId="77777777" w:rsidR="0015191F" w:rsidRPr="00F37C13" w:rsidRDefault="0015191F" w:rsidP="00A055EF">
      <w:pPr>
        <w:pStyle w:val="ListParagraph"/>
        <w:tabs>
          <w:tab w:val="left" w:pos="360"/>
        </w:tabs>
        <w:spacing w:after="0"/>
        <w:ind w:left="1080"/>
        <w:jc w:val="both"/>
        <w:rPr>
          <w:szCs w:val="22"/>
        </w:rPr>
      </w:pPr>
    </w:p>
    <w:p w14:paraId="30595A02" w14:textId="06BD2FA0" w:rsidR="0018538C" w:rsidRDefault="0015191F" w:rsidP="00A055EF">
      <w:pPr>
        <w:pStyle w:val="ListParagraph"/>
        <w:tabs>
          <w:tab w:val="left" w:pos="360"/>
        </w:tabs>
        <w:spacing w:after="0"/>
        <w:jc w:val="both"/>
        <w:rPr>
          <w:szCs w:val="22"/>
        </w:rPr>
      </w:pPr>
      <w:r w:rsidRPr="00F37C13">
        <w:rPr>
          <w:szCs w:val="22"/>
        </w:rPr>
        <w:t xml:space="preserve">Additional information: </w:t>
      </w:r>
      <w:hyperlink r:id="rId23" w:tooltip="Click here to go to the New Residential Zero Net Energy Action Plan 2015-2020" w:history="1">
        <w:r w:rsidR="0018538C" w:rsidRPr="00404C1C">
          <w:rPr>
            <w:rStyle w:val="Hyperlink"/>
            <w:rFonts w:cs="Arial"/>
          </w:rPr>
          <w:t>http://www.californi</w:t>
        </w:r>
        <w:r w:rsidR="0018538C" w:rsidRPr="00404C1C">
          <w:rPr>
            <w:rStyle w:val="Hyperlink"/>
            <w:rFonts w:cs="Arial"/>
          </w:rPr>
          <w:t>a</w:t>
        </w:r>
        <w:r w:rsidR="0018538C" w:rsidRPr="00404C1C">
          <w:rPr>
            <w:rStyle w:val="Hyperlink"/>
            <w:rFonts w:cs="Arial"/>
          </w:rPr>
          <w:t>znehomes.com/</w:t>
        </w:r>
      </w:hyperlink>
    </w:p>
    <w:p w14:paraId="56F8D6FE" w14:textId="77777777" w:rsidR="0015191F" w:rsidRPr="00F37C13" w:rsidRDefault="0015191F" w:rsidP="00A055EF">
      <w:pPr>
        <w:tabs>
          <w:tab w:val="left" w:pos="360"/>
        </w:tabs>
        <w:spacing w:after="0"/>
        <w:jc w:val="both"/>
      </w:pPr>
    </w:p>
    <w:p w14:paraId="235CAE09" w14:textId="77777777" w:rsidR="00344986" w:rsidRDefault="0015191F" w:rsidP="0018649E">
      <w:pPr>
        <w:pStyle w:val="ListParagraph"/>
        <w:numPr>
          <w:ilvl w:val="0"/>
          <w:numId w:val="38"/>
        </w:numPr>
        <w:tabs>
          <w:tab w:val="left" w:pos="360"/>
        </w:tabs>
        <w:jc w:val="both"/>
        <w:rPr>
          <w:szCs w:val="22"/>
        </w:rPr>
      </w:pPr>
      <w:r w:rsidRPr="00F37C13">
        <w:rPr>
          <w:b/>
          <w:szCs w:val="22"/>
        </w:rPr>
        <w:t>California’s Existing Buildings Energy Efficiency Action Plan</w:t>
      </w:r>
    </w:p>
    <w:p w14:paraId="358D47FE" w14:textId="77777777" w:rsidR="00344986" w:rsidRDefault="0015191F" w:rsidP="00A055EF">
      <w:pPr>
        <w:tabs>
          <w:tab w:val="left" w:pos="360"/>
        </w:tabs>
        <w:ind w:left="720"/>
        <w:jc w:val="both"/>
        <w:rPr>
          <w:szCs w:val="22"/>
        </w:rPr>
      </w:pPr>
      <w:r w:rsidRPr="0056104A">
        <w:rPr>
          <w:szCs w:val="22"/>
        </w:rPr>
        <w:t xml:space="preserve">The Existing Buildings Energy Efficiency Action Plan provides a 10-year </w:t>
      </w:r>
      <w:r w:rsidRPr="00D86BFB">
        <w:rPr>
          <w:szCs w:val="22"/>
        </w:rPr>
        <w:t>roadmap to activate market forces and transform California’s existing residential, commercial, and public building stock into high performing and energy efficient buildings. The Plan provides a comprehensive framework centered on five goals, each with an obj</w:t>
      </w:r>
      <w:r w:rsidRPr="00590A09">
        <w:rPr>
          <w:szCs w:val="22"/>
        </w:rPr>
        <w:t>ective and a series of strategies to achieve it. Each strategy includes industry and/or government implementation partners.</w:t>
      </w:r>
      <w:r w:rsidR="008B64EF" w:rsidRPr="008B64EF">
        <w:t xml:space="preserve"> </w:t>
      </w:r>
      <w:r w:rsidR="008B64EF">
        <w:t xml:space="preserve">Water related items are addressed in several of the strategies from the Existing </w:t>
      </w:r>
      <w:r w:rsidR="00E6005E">
        <w:t>B</w:t>
      </w:r>
      <w:r w:rsidR="008B64EF">
        <w:t xml:space="preserve">uildings </w:t>
      </w:r>
      <w:r w:rsidR="00E6005E">
        <w:t>Energy Efficiency A</w:t>
      </w:r>
      <w:r w:rsidR="008B64EF">
        <w:t xml:space="preserve">ction </w:t>
      </w:r>
      <w:r w:rsidR="00E6005E">
        <w:t>P</w:t>
      </w:r>
      <w:r w:rsidR="008B64EF">
        <w:t xml:space="preserve">lan including but not limited to strategies 1.5, 2.2, 4.1, and 5.7 </w:t>
      </w:r>
      <w:r w:rsidR="00E6005E">
        <w:t>from the plan.</w:t>
      </w:r>
    </w:p>
    <w:p w14:paraId="080FA202" w14:textId="77777777" w:rsidR="0015191F" w:rsidRPr="00F37C13" w:rsidRDefault="0015191F" w:rsidP="0015191F">
      <w:pPr>
        <w:tabs>
          <w:tab w:val="left" w:pos="360"/>
        </w:tabs>
        <w:spacing w:after="0"/>
        <w:ind w:left="720"/>
      </w:pPr>
      <w:r w:rsidRPr="00F37C13">
        <w:t xml:space="preserve">Additional Information: </w:t>
      </w:r>
    </w:p>
    <w:p w14:paraId="2CA6DF69" w14:textId="296F5B24" w:rsidR="0018538C" w:rsidRPr="00F37C13" w:rsidRDefault="0018538C" w:rsidP="00A055EF">
      <w:pPr>
        <w:tabs>
          <w:tab w:val="left" w:pos="360"/>
        </w:tabs>
        <w:spacing w:after="240"/>
        <w:ind w:left="720"/>
        <w:jc w:val="both"/>
      </w:pPr>
      <w:hyperlink r:id="rId24" w:tooltip="Click here to open California's Existing Buildings Energy Efficiency Action Plan" w:history="1">
        <w:r w:rsidRPr="00404C1C">
          <w:rPr>
            <w:rStyle w:val="Hyperlink"/>
            <w:rFonts w:cs="Arial"/>
          </w:rPr>
          <w:t>http://docketpu</w:t>
        </w:r>
        <w:r w:rsidRPr="00404C1C">
          <w:rPr>
            <w:rStyle w:val="Hyperlink"/>
            <w:rFonts w:cs="Arial"/>
          </w:rPr>
          <w:t>b</w:t>
        </w:r>
        <w:r w:rsidRPr="00404C1C">
          <w:rPr>
            <w:rStyle w:val="Hyperlink"/>
            <w:rFonts w:cs="Arial"/>
          </w:rPr>
          <w:t>lic.energy.ca.gov/PublicDocuments/15-IEPR-05/TN203806_20150310T093903_California%E2%80%99s_Existing_Buildings_Energy_Efficiency_Action_Plan.pdf</w:t>
        </w:r>
      </w:hyperlink>
    </w:p>
    <w:p w14:paraId="1C5FAF87" w14:textId="77777777" w:rsidR="00344986" w:rsidRDefault="0015191F" w:rsidP="0018649E">
      <w:pPr>
        <w:pStyle w:val="ListParagraph"/>
        <w:numPr>
          <w:ilvl w:val="0"/>
          <w:numId w:val="41"/>
        </w:numPr>
        <w:autoSpaceDE w:val="0"/>
        <w:autoSpaceDN w:val="0"/>
        <w:adjustRightInd w:val="0"/>
        <w:ind w:left="720"/>
        <w:jc w:val="both"/>
        <w:rPr>
          <w:b/>
          <w:bCs/>
          <w:color w:val="000000"/>
          <w:szCs w:val="22"/>
        </w:rPr>
      </w:pPr>
      <w:r w:rsidRPr="00F37C13">
        <w:rPr>
          <w:b/>
          <w:bCs/>
          <w:color w:val="000000"/>
          <w:szCs w:val="22"/>
        </w:rPr>
        <w:t>Executive Order B-29-15</w:t>
      </w:r>
    </w:p>
    <w:p w14:paraId="1DDD8977" w14:textId="77777777" w:rsidR="00344986" w:rsidRDefault="0015191F" w:rsidP="00A055EF">
      <w:pPr>
        <w:widowControl w:val="0"/>
        <w:spacing w:after="160"/>
        <w:ind w:left="720"/>
        <w:jc w:val="both"/>
        <w:rPr>
          <w:color w:val="000000"/>
        </w:rPr>
      </w:pPr>
      <w:r w:rsidRPr="00F37C13">
        <w:rPr>
          <w:color w:val="000000"/>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56EF4F47" w14:textId="77777777" w:rsidR="00344986" w:rsidRDefault="0015191F" w:rsidP="0018649E">
      <w:pPr>
        <w:pStyle w:val="ListParagraph"/>
        <w:numPr>
          <w:ilvl w:val="0"/>
          <w:numId w:val="41"/>
        </w:numPr>
        <w:autoSpaceDE w:val="0"/>
        <w:autoSpaceDN w:val="0"/>
        <w:adjustRightInd w:val="0"/>
        <w:spacing w:after="160"/>
        <w:ind w:left="720"/>
        <w:jc w:val="both"/>
        <w:rPr>
          <w:b/>
          <w:bCs/>
          <w:color w:val="000000"/>
          <w:szCs w:val="22"/>
        </w:rPr>
      </w:pPr>
      <w:r w:rsidRPr="00F37C13">
        <w:rPr>
          <w:b/>
          <w:bCs/>
          <w:color w:val="000000"/>
          <w:szCs w:val="22"/>
        </w:rPr>
        <w:t>Executive Order B-30-15</w:t>
      </w:r>
    </w:p>
    <w:p w14:paraId="35C147B6" w14:textId="675AF4B0" w:rsidR="0015191F" w:rsidRDefault="0015191F" w:rsidP="00A055EF">
      <w:pPr>
        <w:tabs>
          <w:tab w:val="left" w:pos="360"/>
        </w:tabs>
        <w:ind w:left="720"/>
        <w:jc w:val="both"/>
        <w:rPr>
          <w:color w:val="000000"/>
        </w:rPr>
      </w:pPr>
      <w:r w:rsidRPr="00F37C13">
        <w:rPr>
          <w:color w:val="000000"/>
        </w:rPr>
        <w:t xml:space="preserve">Governor Brown’s Executive Order B-30-15 established a new interim </w:t>
      </w:r>
      <w:r w:rsidR="00D338B4">
        <w:rPr>
          <w:color w:val="000000"/>
        </w:rPr>
        <w:t>statewide</w:t>
      </w:r>
      <w:r w:rsidRPr="00F37C13">
        <w:rPr>
          <w:color w:val="000000"/>
        </w:rPr>
        <w:t xml:space="preserve"> greenhouse gas emission reduction target to reduce greenhouse gas emissions to 40 </w:t>
      </w:r>
      <w:r w:rsidR="00162357">
        <w:rPr>
          <w:color w:val="000000"/>
        </w:rPr>
        <w:t>%</w:t>
      </w:r>
      <w:r w:rsidRPr="00F37C13">
        <w:rPr>
          <w:color w:val="000000"/>
        </w:rPr>
        <w:t xml:space="preserve"> below 1990 levels by 2030, to ensure California meets its target of reducing greenhouse gas emissions to 80 </w:t>
      </w:r>
      <w:r w:rsidR="00162357">
        <w:rPr>
          <w:color w:val="000000"/>
        </w:rPr>
        <w:t>%</w:t>
      </w:r>
      <w:r w:rsidRPr="00F37C13">
        <w:rPr>
          <w:color w:val="000000"/>
        </w:rPr>
        <w:t xml:space="preserve"> below 1990 levels by 2050.</w:t>
      </w:r>
    </w:p>
    <w:p w14:paraId="52E8E0B1" w14:textId="77777777" w:rsidR="00BD60C2" w:rsidRPr="00951A12" w:rsidRDefault="00BD60C2" w:rsidP="00BD60C2">
      <w:pPr>
        <w:keepLines/>
        <w:widowControl w:val="0"/>
        <w:tabs>
          <w:tab w:val="left" w:pos="360"/>
        </w:tabs>
        <w:jc w:val="both"/>
        <w:rPr>
          <w:color w:val="000000" w:themeColor="text1"/>
          <w:szCs w:val="22"/>
          <w:u w:val="single"/>
        </w:rPr>
      </w:pPr>
      <w:r w:rsidRPr="00951A12">
        <w:rPr>
          <w:color w:val="000000" w:themeColor="text1"/>
          <w:szCs w:val="22"/>
          <w:u w:val="single"/>
        </w:rPr>
        <w:t>Reference Documents</w:t>
      </w:r>
    </w:p>
    <w:p w14:paraId="4B00BC65" w14:textId="77777777" w:rsidR="00BD60C2" w:rsidRPr="00951A12" w:rsidRDefault="00BD60C2" w:rsidP="00BD60C2">
      <w:pPr>
        <w:keepLines/>
        <w:widowControl w:val="0"/>
        <w:spacing w:after="0"/>
        <w:ind w:left="360"/>
        <w:jc w:val="both"/>
        <w:rPr>
          <w:color w:val="000000" w:themeColor="text1"/>
          <w:szCs w:val="22"/>
        </w:rPr>
      </w:pPr>
      <w:r w:rsidRPr="00951A12">
        <w:rPr>
          <w:color w:val="000000" w:themeColor="text1"/>
          <w:szCs w:val="22"/>
        </w:rPr>
        <w:t xml:space="preserve">Refer to the link below for information about past Energy Commission research projects and activities: </w:t>
      </w:r>
    </w:p>
    <w:p w14:paraId="01B5C6B0" w14:textId="5A5523B9" w:rsidR="0018538C" w:rsidRPr="0018538C" w:rsidRDefault="00BD60C2" w:rsidP="009A67AC">
      <w:pPr>
        <w:keepLines/>
        <w:widowControl w:val="0"/>
        <w:numPr>
          <w:ilvl w:val="0"/>
          <w:numId w:val="37"/>
        </w:numPr>
        <w:ind w:left="1080"/>
        <w:jc w:val="both"/>
        <w:rPr>
          <w:color w:val="000000" w:themeColor="text1"/>
          <w:szCs w:val="22"/>
        </w:rPr>
      </w:pPr>
      <w:r w:rsidRPr="0018538C">
        <w:rPr>
          <w:color w:val="000000" w:themeColor="text1"/>
        </w:rPr>
        <w:t xml:space="preserve">Energy Commission R&amp;D website: </w:t>
      </w:r>
      <w:hyperlink r:id="rId25" w:tooltip="Click here to go to the Energy Commission's R &amp; D website " w:history="1">
        <w:r w:rsidR="0018538C" w:rsidRPr="0018538C">
          <w:rPr>
            <w:rStyle w:val="Hyperlink"/>
            <w:rFonts w:cs="Arial"/>
          </w:rPr>
          <w:t>http://ww</w:t>
        </w:r>
        <w:r w:rsidR="0018538C" w:rsidRPr="0018538C">
          <w:rPr>
            <w:rStyle w:val="Hyperlink"/>
            <w:rFonts w:cs="Arial"/>
          </w:rPr>
          <w:t>w</w:t>
        </w:r>
        <w:r w:rsidR="0018538C" w:rsidRPr="0018538C">
          <w:rPr>
            <w:rStyle w:val="Hyperlink"/>
            <w:rFonts w:cs="Arial"/>
          </w:rPr>
          <w:t>.energy.ca.gov/research/</w:t>
        </w:r>
      </w:hyperlink>
    </w:p>
    <w:p w14:paraId="11CA94FE" w14:textId="5645DECD" w:rsidR="0018538C" w:rsidRPr="0018538C" w:rsidRDefault="00BD60C2" w:rsidP="00117A78">
      <w:pPr>
        <w:keepLines/>
        <w:widowControl w:val="0"/>
        <w:numPr>
          <w:ilvl w:val="0"/>
          <w:numId w:val="37"/>
        </w:numPr>
        <w:ind w:left="1080"/>
        <w:rPr>
          <w:color w:val="000000" w:themeColor="text1"/>
          <w:szCs w:val="22"/>
        </w:rPr>
      </w:pPr>
      <w:r w:rsidRPr="0018538C">
        <w:rPr>
          <w:rFonts w:cs="Times New Roman"/>
          <w:color w:val="000000" w:themeColor="text1"/>
          <w:szCs w:val="22"/>
        </w:rPr>
        <w:lastRenderedPageBreak/>
        <w:t>Innovation showcase of EPIC funded projects:</w:t>
      </w:r>
      <w:r w:rsidRPr="0018538C">
        <w:rPr>
          <w:rFonts w:cs="Times New Roman"/>
          <w:color w:val="000000" w:themeColor="text1"/>
          <w:szCs w:val="22"/>
          <w:u w:val="single"/>
        </w:rPr>
        <w:t xml:space="preserve"> </w:t>
      </w:r>
      <w:hyperlink r:id="rId26" w:tooltip="Click here to go to the Innovation showcase of EPIC funded projects" w:history="1">
        <w:r w:rsidR="0018538C" w:rsidRPr="0018538C">
          <w:rPr>
            <w:rStyle w:val="Hyperlink"/>
            <w:rFonts w:cs="Arial"/>
          </w:rPr>
          <w:t>http://innovation.energy.ca.go</w:t>
        </w:r>
        <w:r w:rsidR="0018538C" w:rsidRPr="0018538C">
          <w:rPr>
            <w:rStyle w:val="Hyperlink"/>
            <w:rFonts w:cs="Arial"/>
          </w:rPr>
          <w:t>v</w:t>
        </w:r>
        <w:r w:rsidR="0018538C" w:rsidRPr="0018538C">
          <w:rPr>
            <w:rStyle w:val="Hyperlink"/>
            <w:rFonts w:cs="Arial"/>
          </w:rPr>
          <w:t>/SearchHome.aspx?ti=636313946224224328</w:t>
        </w:r>
      </w:hyperlink>
    </w:p>
    <w:p w14:paraId="237CD1FF" w14:textId="386950FA" w:rsidR="0018538C" w:rsidRPr="0018538C" w:rsidRDefault="00BD60C2" w:rsidP="005D3363">
      <w:pPr>
        <w:keepLines/>
        <w:widowControl w:val="0"/>
        <w:numPr>
          <w:ilvl w:val="0"/>
          <w:numId w:val="37"/>
        </w:numPr>
        <w:ind w:left="1080"/>
        <w:rPr>
          <w:rFonts w:cs="Times New Roman"/>
        </w:rPr>
      </w:pPr>
      <w:r w:rsidRPr="0018538C">
        <w:rPr>
          <w:rFonts w:cs="Times New Roman"/>
          <w:color w:val="000000" w:themeColor="text1"/>
          <w:szCs w:val="22"/>
        </w:rPr>
        <w:t xml:space="preserve">EPIC 2018-2020 Triennial Investment Plan: </w:t>
      </w:r>
      <w:hyperlink r:id="rId27" w:tooltip="Click here to open the EPIC 2018-2020 Triennial Investment Plan" w:history="1">
        <w:r w:rsidR="0018538C" w:rsidRPr="0018538C">
          <w:rPr>
            <w:rStyle w:val="Hyperlink"/>
            <w:rFonts w:cs="Arial"/>
          </w:rPr>
          <w:t>https://efiling.energy.ca.gov/getdocu</w:t>
        </w:r>
        <w:r w:rsidR="0018538C" w:rsidRPr="0018538C">
          <w:rPr>
            <w:rStyle w:val="Hyperlink"/>
            <w:rFonts w:cs="Arial"/>
          </w:rPr>
          <w:t>m</w:t>
        </w:r>
        <w:r w:rsidR="0018538C" w:rsidRPr="0018538C">
          <w:rPr>
            <w:rStyle w:val="Hyperlink"/>
            <w:rFonts w:cs="Arial"/>
          </w:rPr>
          <w:t>ent.aspx?tn=217347</w:t>
        </w:r>
      </w:hyperlink>
    </w:p>
    <w:p w14:paraId="54587782" w14:textId="77777777" w:rsidR="00AA2255" w:rsidRPr="00AA2255" w:rsidRDefault="00AA2255" w:rsidP="00A055EF">
      <w:pPr>
        <w:tabs>
          <w:tab w:val="left" w:pos="1170"/>
        </w:tabs>
        <w:spacing w:after="0"/>
        <w:jc w:val="both"/>
      </w:pPr>
    </w:p>
    <w:p w14:paraId="60ED9EE6" w14:textId="77777777" w:rsidR="00344986" w:rsidRDefault="00344986" w:rsidP="00A055EF">
      <w:pPr>
        <w:spacing w:after="0"/>
        <w:jc w:val="both"/>
      </w:pPr>
    </w:p>
    <w:p w14:paraId="16F5D43E" w14:textId="77777777" w:rsidR="001C2D56" w:rsidRPr="000E2BBC" w:rsidRDefault="001C2D56" w:rsidP="0018649E">
      <w:pPr>
        <w:pStyle w:val="Heading2"/>
        <w:numPr>
          <w:ilvl w:val="0"/>
          <w:numId w:val="32"/>
        </w:numPr>
        <w:ind w:left="360" w:hanging="360"/>
        <w:jc w:val="both"/>
        <w:rPr>
          <w:sz w:val="26"/>
          <w:szCs w:val="26"/>
        </w:rPr>
      </w:pPr>
      <w:bookmarkStart w:id="36" w:name="_Toc20331581"/>
      <w:bookmarkStart w:id="37" w:name="_Toc27467018"/>
      <w:bookmarkStart w:id="38" w:name="_Toc494707121"/>
      <w:bookmarkStart w:id="39" w:name="_Toc219275082"/>
      <w:bookmarkStart w:id="40" w:name="_Toc336443616"/>
      <w:bookmarkStart w:id="41" w:name="_Toc366671171"/>
      <w:bookmarkEnd w:id="10"/>
      <w:bookmarkEnd w:id="11"/>
      <w:bookmarkEnd w:id="12"/>
      <w:bookmarkEnd w:id="13"/>
      <w:bookmarkEnd w:id="35"/>
      <w:r>
        <w:rPr>
          <w:sz w:val="26"/>
          <w:szCs w:val="26"/>
        </w:rPr>
        <w:t>Funding</w:t>
      </w:r>
      <w:bookmarkEnd w:id="36"/>
      <w:bookmarkEnd w:id="37"/>
    </w:p>
    <w:p w14:paraId="6FDC1D92" w14:textId="77777777" w:rsidR="001C2D56" w:rsidRPr="00151FE6" w:rsidRDefault="001C2D56" w:rsidP="0018649E">
      <w:pPr>
        <w:pStyle w:val="ListParagraph"/>
        <w:numPr>
          <w:ilvl w:val="0"/>
          <w:numId w:val="61"/>
        </w:numPr>
        <w:ind w:left="720" w:hanging="360"/>
        <w:jc w:val="both"/>
        <w:rPr>
          <w:b/>
          <w:sz w:val="24"/>
          <w:szCs w:val="24"/>
        </w:rPr>
      </w:pPr>
      <w:bookmarkStart w:id="42" w:name="_Toc381079878"/>
      <w:bookmarkStart w:id="43" w:name="_Toc382571140"/>
      <w:bookmarkStart w:id="44" w:name="_Toc395180637"/>
      <w:bookmarkStart w:id="45" w:name="_Toc433981282"/>
      <w:r w:rsidRPr="00151FE6">
        <w:rPr>
          <w:b/>
          <w:sz w:val="24"/>
          <w:szCs w:val="24"/>
        </w:rPr>
        <w:t>Amount Available and Minimum/ Maximum Funding Amounts</w:t>
      </w:r>
      <w:bookmarkEnd w:id="42"/>
      <w:bookmarkEnd w:id="43"/>
      <w:bookmarkEnd w:id="44"/>
      <w:bookmarkEnd w:id="45"/>
    </w:p>
    <w:p w14:paraId="6A675C14" w14:textId="77777777" w:rsidR="004E0B8C" w:rsidRDefault="004E0B8C" w:rsidP="004E0B8C">
      <w:pPr>
        <w:ind w:left="360"/>
        <w:jc w:val="both"/>
      </w:pPr>
      <w:bookmarkStart w:id="46" w:name="_Toc381079884"/>
      <w:bookmarkStart w:id="47" w:name="_Toc382571146"/>
      <w:bookmarkStart w:id="48" w:name="_Toc395180643"/>
      <w:bookmarkStart w:id="49" w:name="_Toc433981288"/>
      <w:r w:rsidRPr="00E67D71">
        <w:t>There is</w:t>
      </w:r>
      <w:r w:rsidRPr="00E67D71">
        <w:rPr>
          <w:b/>
        </w:rPr>
        <w:t xml:space="preserve"> up </w:t>
      </w:r>
      <w:r w:rsidRPr="00B422F6">
        <w:rPr>
          <w:b/>
        </w:rPr>
        <w:t>to $</w:t>
      </w:r>
      <w:r w:rsidR="006465D8" w:rsidRPr="00B422F6">
        <w:rPr>
          <w:b/>
        </w:rPr>
        <w:t>11</w:t>
      </w:r>
      <w:r w:rsidRPr="00B422F6">
        <w:rPr>
          <w:b/>
        </w:rPr>
        <w:t>,000,000</w:t>
      </w:r>
      <w:r w:rsidRPr="00B422F6">
        <w:t xml:space="preserve"> </w:t>
      </w:r>
      <w:r w:rsidRPr="00E67D71">
        <w:t>available for grants awarded under this solicitation.</w:t>
      </w:r>
      <w:r>
        <w:t xml:space="preserve">  The total, minimum, and maximum funding amounts for each project group are listed below.</w:t>
      </w:r>
      <w:bookmarkEnd w:id="46"/>
      <w:bookmarkEnd w:id="47"/>
      <w:bookmarkEnd w:id="48"/>
      <w:bookmarkEnd w:id="49"/>
    </w:p>
    <w:p w14:paraId="1A4456CA" w14:textId="77777777" w:rsidR="004E0B8C" w:rsidRPr="004E0B8C" w:rsidRDefault="004E0B8C" w:rsidP="004E0B8C">
      <w:pPr>
        <w:ind w:left="360"/>
        <w:jc w:val="both"/>
        <w:rPr>
          <w:szCs w:val="22"/>
        </w:rPr>
      </w:pPr>
    </w:p>
    <w:tbl>
      <w:tblPr>
        <w:tblStyle w:val="TableGrid1"/>
        <w:tblW w:w="9713" w:type="dxa"/>
        <w:tblLayout w:type="fixed"/>
        <w:tblLook w:val="00A0" w:firstRow="1" w:lastRow="0" w:firstColumn="1" w:lastColumn="0" w:noHBand="0" w:noVBand="0"/>
        <w:tblCaption w:val="Project Group Table"/>
        <w:tblDescription w:val="Project Groups and available funding with minimum and maximum award amounts. Also includes the minimum match funding amounts."/>
      </w:tblPr>
      <w:tblGrid>
        <w:gridCol w:w="3487"/>
        <w:gridCol w:w="1440"/>
        <w:gridCol w:w="1350"/>
        <w:gridCol w:w="1553"/>
        <w:gridCol w:w="1883"/>
      </w:tblGrid>
      <w:tr w:rsidR="004E0B8C" w:rsidRPr="001D62EB" w14:paraId="31009445" w14:textId="77777777" w:rsidTr="00E240C7">
        <w:trPr>
          <w:cantSplit/>
          <w:tblHeader/>
        </w:trPr>
        <w:tc>
          <w:tcPr>
            <w:tcW w:w="3487" w:type="dxa"/>
            <w:shd w:val="clear" w:color="auto" w:fill="D9D9D9" w:themeFill="background1" w:themeFillShade="D9"/>
          </w:tcPr>
          <w:p w14:paraId="4AC24FF6" w14:textId="77777777" w:rsidR="004E0B8C" w:rsidRDefault="004E0B8C" w:rsidP="000277A7">
            <w:pPr>
              <w:rPr>
                <w:b/>
              </w:rPr>
            </w:pPr>
          </w:p>
          <w:p w14:paraId="1B825C46" w14:textId="77777777" w:rsidR="004E0B8C" w:rsidRPr="001D62EB" w:rsidRDefault="004E0B8C" w:rsidP="000277A7">
            <w:pPr>
              <w:rPr>
                <w:b/>
              </w:rPr>
            </w:pPr>
            <w:r w:rsidRPr="001D62EB">
              <w:rPr>
                <w:b/>
              </w:rPr>
              <w:t>Project Group</w:t>
            </w:r>
          </w:p>
        </w:tc>
        <w:tc>
          <w:tcPr>
            <w:tcW w:w="1440" w:type="dxa"/>
            <w:shd w:val="clear" w:color="auto" w:fill="D9D9D9" w:themeFill="background1" w:themeFillShade="D9"/>
          </w:tcPr>
          <w:p w14:paraId="731A9CFA" w14:textId="77777777" w:rsidR="004E0B8C" w:rsidRDefault="004E0B8C" w:rsidP="000277A7">
            <w:pPr>
              <w:rPr>
                <w:b/>
              </w:rPr>
            </w:pPr>
          </w:p>
          <w:p w14:paraId="5F0521D2" w14:textId="77777777" w:rsidR="004E0B8C" w:rsidRPr="001D62EB" w:rsidRDefault="004E0B8C" w:rsidP="000277A7">
            <w:pPr>
              <w:rPr>
                <w:b/>
              </w:rPr>
            </w:pPr>
            <w:r w:rsidRPr="001D62EB">
              <w:rPr>
                <w:b/>
              </w:rPr>
              <w:t>Available funding</w:t>
            </w:r>
          </w:p>
        </w:tc>
        <w:tc>
          <w:tcPr>
            <w:tcW w:w="1350" w:type="dxa"/>
            <w:shd w:val="clear" w:color="auto" w:fill="D9D9D9" w:themeFill="background1" w:themeFillShade="D9"/>
          </w:tcPr>
          <w:p w14:paraId="62EF70FE" w14:textId="77777777" w:rsidR="004E0B8C" w:rsidRDefault="004E0B8C" w:rsidP="000277A7">
            <w:pPr>
              <w:rPr>
                <w:b/>
              </w:rPr>
            </w:pPr>
          </w:p>
          <w:p w14:paraId="16CEBC35" w14:textId="77777777" w:rsidR="004E0B8C" w:rsidRPr="001D62EB" w:rsidRDefault="004E0B8C" w:rsidP="000277A7">
            <w:pPr>
              <w:rPr>
                <w:b/>
              </w:rPr>
            </w:pPr>
            <w:r w:rsidRPr="001D62EB">
              <w:rPr>
                <w:b/>
              </w:rPr>
              <w:t>Minimum award amount</w:t>
            </w:r>
          </w:p>
        </w:tc>
        <w:tc>
          <w:tcPr>
            <w:tcW w:w="1553" w:type="dxa"/>
            <w:shd w:val="clear" w:color="auto" w:fill="D9D9D9" w:themeFill="background1" w:themeFillShade="D9"/>
          </w:tcPr>
          <w:p w14:paraId="1417015E" w14:textId="77777777" w:rsidR="004E0B8C" w:rsidRDefault="004E0B8C" w:rsidP="000277A7">
            <w:pPr>
              <w:rPr>
                <w:b/>
              </w:rPr>
            </w:pPr>
          </w:p>
          <w:p w14:paraId="519C2AE5" w14:textId="77777777" w:rsidR="004E0B8C" w:rsidRPr="001D62EB" w:rsidRDefault="004E0B8C" w:rsidP="000277A7">
            <w:pPr>
              <w:rPr>
                <w:b/>
              </w:rPr>
            </w:pPr>
            <w:r w:rsidRPr="001D62EB">
              <w:rPr>
                <w:b/>
              </w:rPr>
              <w:t>Maximum award amount</w:t>
            </w:r>
          </w:p>
        </w:tc>
        <w:tc>
          <w:tcPr>
            <w:tcW w:w="1883" w:type="dxa"/>
            <w:shd w:val="clear" w:color="auto" w:fill="D9D9D9" w:themeFill="background1" w:themeFillShade="D9"/>
          </w:tcPr>
          <w:p w14:paraId="6F26726C" w14:textId="77777777" w:rsidR="004E0B8C" w:rsidRPr="001D62EB" w:rsidRDefault="004E0B8C" w:rsidP="000277A7">
            <w:pPr>
              <w:rPr>
                <w:b/>
              </w:rPr>
            </w:pPr>
            <w:r w:rsidRPr="001D62EB">
              <w:rPr>
                <w:b/>
              </w:rPr>
              <w:t>Minimum match funding amount (% of EPIC Funds Requested)</w:t>
            </w:r>
          </w:p>
        </w:tc>
      </w:tr>
      <w:tr w:rsidR="004E0B8C" w:rsidRPr="00105DF9" w14:paraId="734AAC43" w14:textId="77777777" w:rsidTr="00E240C7">
        <w:trPr>
          <w:trHeight w:val="1475"/>
        </w:trPr>
        <w:tc>
          <w:tcPr>
            <w:tcW w:w="3487" w:type="dxa"/>
          </w:tcPr>
          <w:p w14:paraId="7E44D86E" w14:textId="77777777" w:rsidR="00CE5E8A" w:rsidRPr="00B422F6" w:rsidRDefault="00CE5E8A" w:rsidP="00F6594E">
            <w:pPr>
              <w:spacing w:after="0"/>
            </w:pPr>
          </w:p>
          <w:p w14:paraId="322FEB19" w14:textId="77777777" w:rsidR="004E0B8C" w:rsidRPr="00B422F6" w:rsidRDefault="00F77DB4" w:rsidP="00F6594E">
            <w:pPr>
              <w:spacing w:after="0"/>
            </w:pPr>
            <w:r w:rsidRPr="00B422F6">
              <w:t xml:space="preserve">Group 1:  </w:t>
            </w:r>
            <w:r w:rsidR="00783851" w:rsidRPr="00B422F6">
              <w:t xml:space="preserve">Develop and validate non-Lithium energy storage technologies for customer side of the meter applications.  </w:t>
            </w:r>
          </w:p>
        </w:tc>
        <w:tc>
          <w:tcPr>
            <w:tcW w:w="1440" w:type="dxa"/>
          </w:tcPr>
          <w:p w14:paraId="735AF0BA" w14:textId="77777777" w:rsidR="004E0B8C" w:rsidRPr="00B422F6" w:rsidRDefault="004E0B8C" w:rsidP="000277A7"/>
          <w:p w14:paraId="02D1F6D3" w14:textId="77777777" w:rsidR="004E0B8C" w:rsidRPr="00B422F6" w:rsidRDefault="004E0B8C" w:rsidP="000277A7"/>
          <w:p w14:paraId="4BF6BBD1" w14:textId="77777777" w:rsidR="004E0B8C" w:rsidRPr="00B422F6" w:rsidRDefault="004E0B8C" w:rsidP="000277A7">
            <w:r w:rsidRPr="00B422F6">
              <w:t>$</w:t>
            </w:r>
            <w:r w:rsidR="00B56590" w:rsidRPr="00B422F6">
              <w:t>9</w:t>
            </w:r>
            <w:r w:rsidR="003B61AB" w:rsidRPr="00B422F6">
              <w:t>,0</w:t>
            </w:r>
            <w:r w:rsidRPr="00B422F6">
              <w:t>00,000</w:t>
            </w:r>
          </w:p>
        </w:tc>
        <w:tc>
          <w:tcPr>
            <w:tcW w:w="1350" w:type="dxa"/>
          </w:tcPr>
          <w:p w14:paraId="53901F7D" w14:textId="77777777" w:rsidR="004E0B8C" w:rsidRPr="00B422F6" w:rsidRDefault="004E0B8C" w:rsidP="000277A7"/>
          <w:p w14:paraId="5B14D1BB" w14:textId="77777777" w:rsidR="004E0B8C" w:rsidRPr="00B422F6" w:rsidRDefault="004E0B8C" w:rsidP="000277A7"/>
          <w:p w14:paraId="48BECC2C" w14:textId="77777777" w:rsidR="004E0B8C" w:rsidRPr="00B422F6" w:rsidRDefault="004E0B8C" w:rsidP="000277A7">
            <w:r w:rsidRPr="00B422F6">
              <w:t>$</w:t>
            </w:r>
            <w:r w:rsidR="003B61AB" w:rsidRPr="00B422F6">
              <w:t>3</w:t>
            </w:r>
            <w:r w:rsidRPr="00B422F6">
              <w:t>00,000</w:t>
            </w:r>
          </w:p>
          <w:p w14:paraId="5AAB9AA3" w14:textId="77777777" w:rsidR="004E0B8C" w:rsidRPr="00B422F6" w:rsidRDefault="004E0B8C" w:rsidP="000277A7"/>
        </w:tc>
        <w:tc>
          <w:tcPr>
            <w:tcW w:w="1553" w:type="dxa"/>
          </w:tcPr>
          <w:p w14:paraId="04583337" w14:textId="77777777" w:rsidR="004E0B8C" w:rsidRPr="00B422F6" w:rsidRDefault="004E0B8C" w:rsidP="000277A7"/>
          <w:p w14:paraId="46B169D8" w14:textId="77777777" w:rsidR="004E0B8C" w:rsidRPr="00B422F6" w:rsidRDefault="004E0B8C" w:rsidP="000277A7"/>
          <w:p w14:paraId="1F366B66" w14:textId="77777777" w:rsidR="004E0B8C" w:rsidRPr="00B422F6" w:rsidRDefault="004E0B8C" w:rsidP="000277A7">
            <w:r w:rsidRPr="00B422F6">
              <w:t>$</w:t>
            </w:r>
            <w:r w:rsidR="003B61AB" w:rsidRPr="00B422F6">
              <w:t>2</w:t>
            </w:r>
            <w:r w:rsidRPr="00B422F6">
              <w:t>,000,000</w:t>
            </w:r>
          </w:p>
        </w:tc>
        <w:tc>
          <w:tcPr>
            <w:tcW w:w="1883" w:type="dxa"/>
          </w:tcPr>
          <w:p w14:paraId="05C2D910" w14:textId="77777777" w:rsidR="004E0B8C" w:rsidRPr="00B422F6" w:rsidRDefault="004E0B8C" w:rsidP="000277A7">
            <w:pPr>
              <w:rPr>
                <w:szCs w:val="22"/>
              </w:rPr>
            </w:pPr>
            <w:r w:rsidRPr="00B422F6">
              <w:rPr>
                <w:szCs w:val="22"/>
              </w:rPr>
              <w:t xml:space="preserve">Not Required. </w:t>
            </w:r>
          </w:p>
          <w:p w14:paraId="1F0DE659" w14:textId="48A275E4" w:rsidR="004E0B8C" w:rsidRPr="00B422F6" w:rsidRDefault="004E0B8C" w:rsidP="004C50E0">
            <w:pPr>
              <w:rPr>
                <w:szCs w:val="22"/>
              </w:rPr>
            </w:pPr>
            <w:r w:rsidRPr="00B422F6">
              <w:rPr>
                <w:szCs w:val="22"/>
              </w:rPr>
              <w:t xml:space="preserve">Extra credit score for </w:t>
            </w:r>
            <w:r w:rsidR="004C50E0">
              <w:rPr>
                <w:szCs w:val="22"/>
              </w:rPr>
              <w:t>Match</w:t>
            </w:r>
            <w:r w:rsidRPr="00B422F6">
              <w:rPr>
                <w:szCs w:val="22"/>
              </w:rPr>
              <w:t xml:space="preserve"> share up to 100 percent.</w:t>
            </w:r>
          </w:p>
        </w:tc>
      </w:tr>
      <w:tr w:rsidR="00B56590" w:rsidRPr="00105DF9" w14:paraId="48CFBB80" w14:textId="77777777" w:rsidTr="00E240C7">
        <w:trPr>
          <w:trHeight w:val="1475"/>
        </w:trPr>
        <w:tc>
          <w:tcPr>
            <w:tcW w:w="3487" w:type="dxa"/>
          </w:tcPr>
          <w:p w14:paraId="12BF6E91" w14:textId="77777777" w:rsidR="001D5843" w:rsidRPr="00B422F6" w:rsidRDefault="001D5843" w:rsidP="00F6594E">
            <w:pPr>
              <w:spacing w:after="0"/>
              <w:rPr>
                <w:szCs w:val="22"/>
              </w:rPr>
            </w:pPr>
          </w:p>
          <w:p w14:paraId="55017DA0" w14:textId="77777777" w:rsidR="00B56590" w:rsidRPr="00B422F6" w:rsidRDefault="00F77DB4" w:rsidP="00F6594E">
            <w:pPr>
              <w:spacing w:after="0"/>
            </w:pPr>
            <w:r w:rsidRPr="00B422F6">
              <w:rPr>
                <w:szCs w:val="22"/>
              </w:rPr>
              <w:t xml:space="preserve">Group 2:  </w:t>
            </w:r>
            <w:r w:rsidR="00783851" w:rsidRPr="00B422F6">
              <w:rPr>
                <w:szCs w:val="22"/>
              </w:rPr>
              <w:t>Develop and validate green electrolytic hydrogen systems for customer side of the meter applications.</w:t>
            </w:r>
          </w:p>
        </w:tc>
        <w:tc>
          <w:tcPr>
            <w:tcW w:w="1440" w:type="dxa"/>
          </w:tcPr>
          <w:p w14:paraId="353D51DF" w14:textId="77777777" w:rsidR="001D5843" w:rsidRPr="00B422F6" w:rsidRDefault="001D5843" w:rsidP="000277A7"/>
          <w:p w14:paraId="0C7A9D53" w14:textId="77777777" w:rsidR="001D5843" w:rsidRPr="00B422F6" w:rsidRDefault="001D5843" w:rsidP="000277A7"/>
          <w:p w14:paraId="56F22D4D" w14:textId="77777777" w:rsidR="00B56590" w:rsidRPr="00B422F6" w:rsidRDefault="00B56590" w:rsidP="000277A7">
            <w:r w:rsidRPr="00B422F6">
              <w:t>$2,000,000</w:t>
            </w:r>
          </w:p>
        </w:tc>
        <w:tc>
          <w:tcPr>
            <w:tcW w:w="1350" w:type="dxa"/>
          </w:tcPr>
          <w:p w14:paraId="23C0CD00" w14:textId="77777777" w:rsidR="001D5843" w:rsidRPr="00B422F6" w:rsidRDefault="001D5843" w:rsidP="000277A7"/>
          <w:p w14:paraId="36852D4D" w14:textId="77777777" w:rsidR="001D5843" w:rsidRPr="00B422F6" w:rsidRDefault="001D5843" w:rsidP="000277A7"/>
          <w:p w14:paraId="2E27B492" w14:textId="77777777" w:rsidR="00B56590" w:rsidRPr="00B422F6" w:rsidRDefault="00B56590" w:rsidP="000277A7">
            <w:r w:rsidRPr="00B422F6">
              <w:t>$500,000</w:t>
            </w:r>
          </w:p>
        </w:tc>
        <w:tc>
          <w:tcPr>
            <w:tcW w:w="1553" w:type="dxa"/>
          </w:tcPr>
          <w:p w14:paraId="44471776" w14:textId="77777777" w:rsidR="001D5843" w:rsidRPr="00B422F6" w:rsidRDefault="001D5843" w:rsidP="000277A7"/>
          <w:p w14:paraId="765BDC36" w14:textId="77777777" w:rsidR="001D5843" w:rsidRPr="00B422F6" w:rsidRDefault="001D5843" w:rsidP="000277A7"/>
          <w:p w14:paraId="3D1BF55C" w14:textId="77777777" w:rsidR="00B56590" w:rsidRPr="00B422F6" w:rsidRDefault="00B56590" w:rsidP="000277A7">
            <w:r w:rsidRPr="00B422F6">
              <w:t>$2,000,000</w:t>
            </w:r>
          </w:p>
        </w:tc>
        <w:tc>
          <w:tcPr>
            <w:tcW w:w="1883" w:type="dxa"/>
          </w:tcPr>
          <w:p w14:paraId="74A09A11" w14:textId="77777777" w:rsidR="00B56590" w:rsidRPr="00B422F6" w:rsidRDefault="00B56590" w:rsidP="00B56590">
            <w:pPr>
              <w:rPr>
                <w:szCs w:val="22"/>
              </w:rPr>
            </w:pPr>
            <w:r w:rsidRPr="00B422F6">
              <w:rPr>
                <w:szCs w:val="22"/>
              </w:rPr>
              <w:t xml:space="preserve">Not Required. </w:t>
            </w:r>
          </w:p>
          <w:p w14:paraId="50438199" w14:textId="483C21EC" w:rsidR="00B56590" w:rsidRPr="00B422F6" w:rsidRDefault="00B56590" w:rsidP="004C50E0">
            <w:pPr>
              <w:rPr>
                <w:szCs w:val="22"/>
              </w:rPr>
            </w:pPr>
            <w:r w:rsidRPr="00B422F6">
              <w:rPr>
                <w:szCs w:val="22"/>
              </w:rPr>
              <w:t xml:space="preserve">Extra credit score for </w:t>
            </w:r>
            <w:r w:rsidR="004C50E0">
              <w:rPr>
                <w:szCs w:val="22"/>
              </w:rPr>
              <w:t>Match</w:t>
            </w:r>
            <w:r w:rsidRPr="00B422F6">
              <w:rPr>
                <w:szCs w:val="22"/>
              </w:rPr>
              <w:t xml:space="preserve"> share up to 100 percent.</w:t>
            </w:r>
          </w:p>
        </w:tc>
      </w:tr>
    </w:tbl>
    <w:p w14:paraId="6458ED12" w14:textId="77777777" w:rsidR="00437686" w:rsidRPr="00437686" w:rsidRDefault="004E0B8C" w:rsidP="006465D8">
      <w:pPr>
        <w:pStyle w:val="ListParagraph"/>
        <w:jc w:val="both"/>
        <w:rPr>
          <w:szCs w:val="22"/>
        </w:rPr>
      </w:pPr>
      <w:r w:rsidRPr="004E0B8C">
        <w:rPr>
          <w:b/>
          <w:szCs w:val="22"/>
        </w:rPr>
        <w:t xml:space="preserve"> </w:t>
      </w:r>
    </w:p>
    <w:p w14:paraId="428BC7FF" w14:textId="77777777" w:rsidR="006E6698" w:rsidRPr="00151FE6" w:rsidRDefault="006E6698" w:rsidP="0018649E">
      <w:pPr>
        <w:pStyle w:val="ListParagraph"/>
        <w:numPr>
          <w:ilvl w:val="0"/>
          <w:numId w:val="61"/>
        </w:numPr>
        <w:ind w:left="720" w:hanging="360"/>
        <w:jc w:val="both"/>
        <w:rPr>
          <w:b/>
          <w:sz w:val="24"/>
          <w:szCs w:val="24"/>
        </w:rPr>
      </w:pPr>
      <w:r w:rsidRPr="00151FE6">
        <w:rPr>
          <w:b/>
          <w:sz w:val="24"/>
          <w:szCs w:val="24"/>
        </w:rPr>
        <w:t>Funding Requirements in California</w:t>
      </w:r>
    </w:p>
    <w:p w14:paraId="0784502A" w14:textId="77777777" w:rsidR="006E6698" w:rsidRPr="00767695" w:rsidRDefault="006E6698" w:rsidP="006E6698">
      <w:pPr>
        <w:pStyle w:val="ListParagraph"/>
        <w:jc w:val="both"/>
        <w:rPr>
          <w:szCs w:val="22"/>
        </w:rPr>
      </w:pPr>
      <w:r w:rsidRPr="00767695">
        <w:rPr>
          <w:szCs w:val="22"/>
        </w:rPr>
        <w:t xml:space="preserve">Projects under this solicitation must spend 60 percent or more of EPIC funds in California. </w:t>
      </w:r>
    </w:p>
    <w:p w14:paraId="7A041C84" w14:textId="1FDE719C" w:rsidR="006E6698" w:rsidRPr="00767695" w:rsidRDefault="006E6698" w:rsidP="006E6698">
      <w:pPr>
        <w:tabs>
          <w:tab w:val="left" w:pos="1170"/>
        </w:tabs>
        <w:autoSpaceDE w:val="0"/>
        <w:autoSpaceDN w:val="0"/>
        <w:adjustRightInd w:val="0"/>
        <w:ind w:left="720"/>
        <w:jc w:val="both"/>
        <w:rPr>
          <w:szCs w:val="22"/>
        </w:rPr>
      </w:pPr>
      <w:r w:rsidRPr="00767695">
        <w:t xml:space="preserve">“Spend or spent in California” means that: (1) </w:t>
      </w:r>
      <w:r w:rsidRPr="00767695">
        <w:rPr>
          <w:szCs w:val="22"/>
        </w:rPr>
        <w:t xml:space="preserve">Funds under the “Direct Labor” category and all categories calculated based on direct labor (Prime and Subcontractor Labor Rates) are paid to individuals who pay California </w:t>
      </w:r>
      <w:r w:rsidR="00D338B4" w:rsidRPr="00767695">
        <w:rPr>
          <w:szCs w:val="22"/>
        </w:rPr>
        <w:t>State</w:t>
      </w:r>
      <w:r w:rsidRPr="00767695">
        <w:rPr>
          <w:szCs w:val="22"/>
        </w:rPr>
        <w:t xml:space="preserve"> income taxes on wages received for work performed under the agreement; and/or (2) Business transactions (e.g., material and equipment purchases, leases, rentals, and contractual work) are entered into with a business located in California. </w:t>
      </w:r>
    </w:p>
    <w:p w14:paraId="0AC6FC2D" w14:textId="789F6966" w:rsidR="006E6698" w:rsidRPr="00767695" w:rsidRDefault="006E6698" w:rsidP="006E6698">
      <w:pPr>
        <w:tabs>
          <w:tab w:val="left" w:pos="1170"/>
        </w:tabs>
        <w:autoSpaceDE w:val="0"/>
        <w:autoSpaceDN w:val="0"/>
        <w:adjustRightInd w:val="0"/>
        <w:ind w:left="720"/>
        <w:jc w:val="both"/>
        <w:rPr>
          <w:szCs w:val="22"/>
        </w:rPr>
      </w:pPr>
      <w:r w:rsidRPr="00767695">
        <w:rPr>
          <w:szCs w:val="22"/>
        </w:rPr>
        <w:t>Airline ticket purchases for out-of-</w:t>
      </w:r>
      <w:r w:rsidR="00D338B4" w:rsidRPr="00767695">
        <w:rPr>
          <w:szCs w:val="22"/>
        </w:rPr>
        <w:t>State</w:t>
      </w:r>
      <w:r w:rsidRPr="00767695">
        <w:rPr>
          <w:szCs w:val="22"/>
        </w:rPr>
        <w:t xml:space="preserve"> travel and payments made to out-of-</w:t>
      </w:r>
      <w:r w:rsidR="00D338B4" w:rsidRPr="00767695">
        <w:rPr>
          <w:szCs w:val="22"/>
        </w:rPr>
        <w:t>State</w:t>
      </w:r>
      <w:r w:rsidRPr="00767695">
        <w:rPr>
          <w:szCs w:val="22"/>
        </w:rPr>
        <w:t xml:space="preserve"> workers are not considered funds “spent in California.” </w:t>
      </w:r>
      <w:r w:rsidR="00D771D9" w:rsidRPr="00767695">
        <w:rPr>
          <w:szCs w:val="22"/>
        </w:rPr>
        <w:t xml:space="preserve"> </w:t>
      </w:r>
      <w:r w:rsidRPr="00767695">
        <w:rPr>
          <w:szCs w:val="22"/>
        </w:rPr>
        <w:t>However</w:t>
      </w:r>
      <w:r w:rsidR="00D771D9" w:rsidRPr="00767695">
        <w:rPr>
          <w:szCs w:val="22"/>
        </w:rPr>
        <w:t>;</w:t>
      </w:r>
      <w:r w:rsidRPr="00767695">
        <w:rPr>
          <w:szCs w:val="22"/>
        </w:rPr>
        <w:t xml:space="preserve"> funds spent by out-of-</w:t>
      </w:r>
      <w:r w:rsidR="00D338B4" w:rsidRPr="00767695">
        <w:rPr>
          <w:szCs w:val="22"/>
        </w:rPr>
        <w:t>State</w:t>
      </w:r>
      <w:r w:rsidRPr="00767695">
        <w:rPr>
          <w:szCs w:val="22"/>
        </w:rPr>
        <w:t xml:space="preserve"> workers in California (e.g., hotel and food) and airline travel originating and ending in California are considered funds “spent in California</w:t>
      </w:r>
      <w:r w:rsidR="00277CEB" w:rsidRPr="00767695">
        <w:rPr>
          <w:szCs w:val="22"/>
        </w:rPr>
        <w:t>.</w:t>
      </w:r>
      <w:r w:rsidRPr="00767695">
        <w:rPr>
          <w:szCs w:val="22"/>
        </w:rPr>
        <w:t>”</w:t>
      </w:r>
    </w:p>
    <w:p w14:paraId="0EC50685" w14:textId="77777777" w:rsidR="006E6698" w:rsidRPr="006E6698" w:rsidRDefault="006E6698" w:rsidP="006E6698">
      <w:pPr>
        <w:pStyle w:val="ListParagraph"/>
        <w:tabs>
          <w:tab w:val="left" w:pos="1170"/>
        </w:tabs>
        <w:jc w:val="both"/>
        <w:rPr>
          <w:szCs w:val="22"/>
        </w:rPr>
      </w:pPr>
    </w:p>
    <w:p w14:paraId="3797CA53" w14:textId="77777777" w:rsidR="006E6698" w:rsidRPr="00151FE6" w:rsidRDefault="001C2D56" w:rsidP="0018649E">
      <w:pPr>
        <w:pStyle w:val="ListParagraph"/>
        <w:keepNext/>
        <w:keepLines/>
        <w:numPr>
          <w:ilvl w:val="0"/>
          <w:numId w:val="61"/>
        </w:numPr>
        <w:ind w:left="720" w:hanging="360"/>
        <w:jc w:val="both"/>
        <w:rPr>
          <w:b/>
          <w:sz w:val="24"/>
          <w:szCs w:val="24"/>
        </w:rPr>
      </w:pPr>
      <w:r w:rsidRPr="00151FE6">
        <w:rPr>
          <w:b/>
          <w:sz w:val="24"/>
          <w:szCs w:val="24"/>
        </w:rPr>
        <w:lastRenderedPageBreak/>
        <w:t>Match Funding Requirement</w:t>
      </w:r>
    </w:p>
    <w:p w14:paraId="553999DC" w14:textId="7C211FAD" w:rsidR="00CC2ABC" w:rsidRPr="00767695" w:rsidRDefault="00CC2ABC" w:rsidP="009C2A1F">
      <w:pPr>
        <w:pStyle w:val="ListParagraph"/>
        <w:keepNext/>
        <w:keepLines/>
        <w:tabs>
          <w:tab w:val="left" w:pos="1170"/>
        </w:tabs>
        <w:jc w:val="both"/>
        <w:rPr>
          <w:szCs w:val="22"/>
        </w:rPr>
      </w:pPr>
      <w:r w:rsidRPr="00767695">
        <w:rPr>
          <w:szCs w:val="22"/>
        </w:rPr>
        <w:t>Match funding is not required for this solicitation.  However</w:t>
      </w:r>
      <w:r w:rsidR="00D771D9" w:rsidRPr="00767695">
        <w:rPr>
          <w:szCs w:val="22"/>
        </w:rPr>
        <w:t>;</w:t>
      </w:r>
      <w:r w:rsidRPr="00767695">
        <w:rPr>
          <w:b/>
          <w:szCs w:val="22"/>
        </w:rPr>
        <w:t xml:space="preserve"> </w:t>
      </w:r>
      <w:r w:rsidRPr="00767695">
        <w:rPr>
          <w:szCs w:val="22"/>
        </w:rPr>
        <w:t xml:space="preserve">applications that include </w:t>
      </w:r>
      <w:r w:rsidR="004946AB" w:rsidRPr="00767695">
        <w:rPr>
          <w:szCs w:val="22"/>
        </w:rPr>
        <w:t>M</w:t>
      </w:r>
      <w:r w:rsidRPr="00767695">
        <w:rPr>
          <w:szCs w:val="22"/>
        </w:rPr>
        <w:t xml:space="preserve">atch funding </w:t>
      </w:r>
      <w:r w:rsidR="00277CEB" w:rsidRPr="00767695">
        <w:rPr>
          <w:szCs w:val="22"/>
        </w:rPr>
        <w:t xml:space="preserve">may </w:t>
      </w:r>
      <w:r w:rsidRPr="00767695">
        <w:rPr>
          <w:szCs w:val="22"/>
        </w:rPr>
        <w:t>receive additional points during the scoring phase.</w:t>
      </w:r>
    </w:p>
    <w:p w14:paraId="1DD0603F" w14:textId="77777777" w:rsidR="00D5569E" w:rsidRDefault="00CC2ABC" w:rsidP="00B07493">
      <w:pPr>
        <w:numPr>
          <w:ilvl w:val="0"/>
          <w:numId w:val="20"/>
        </w:numPr>
        <w:tabs>
          <w:tab w:val="left" w:pos="1080"/>
        </w:tabs>
        <w:ind w:left="1080"/>
        <w:jc w:val="both"/>
        <w:rPr>
          <w:szCs w:val="22"/>
        </w:rPr>
      </w:pPr>
      <w:r>
        <w:rPr>
          <w:b/>
          <w:szCs w:val="22"/>
        </w:rPr>
        <w:t xml:space="preserve"> </w:t>
      </w:r>
      <w:r w:rsidR="001C2D56">
        <w:rPr>
          <w:b/>
          <w:szCs w:val="22"/>
        </w:rPr>
        <w:t>“Match funds</w:t>
      </w:r>
      <w:r w:rsidR="001C2D56" w:rsidRPr="00C31C1D">
        <w:rPr>
          <w:b/>
          <w:szCs w:val="22"/>
        </w:rPr>
        <w:t>”</w:t>
      </w:r>
      <w:r w:rsidR="001C2D56" w:rsidRPr="00C31C1D">
        <w:rPr>
          <w:szCs w:val="22"/>
        </w:rPr>
        <w:t xml:space="preserve"> </w:t>
      </w:r>
      <w:r w:rsidR="001C2D56" w:rsidRPr="007206C5">
        <w:rPr>
          <w:szCs w:val="22"/>
        </w:rPr>
        <w:t>include</w:t>
      </w:r>
      <w:r w:rsidR="00334B2C">
        <w:rPr>
          <w:szCs w:val="22"/>
        </w:rPr>
        <w:t xml:space="preserve"> the following if used for project expenses</w:t>
      </w:r>
      <w:r w:rsidR="001C2D56">
        <w:rPr>
          <w:szCs w:val="22"/>
        </w:rPr>
        <w:t>: (1)</w:t>
      </w:r>
      <w:r w:rsidR="001C2D56" w:rsidRPr="007206C5">
        <w:rPr>
          <w:szCs w:val="22"/>
        </w:rPr>
        <w:t xml:space="preserve"> “cash in hand</w:t>
      </w:r>
      <w:r w:rsidR="002C206F">
        <w:rPr>
          <w:szCs w:val="22"/>
        </w:rPr>
        <w:t>”</w:t>
      </w:r>
      <w:r w:rsidR="001C2D56" w:rsidRPr="007206C5">
        <w:rPr>
          <w:szCs w:val="22"/>
        </w:rPr>
        <w:t xml:space="preserve"> funds</w:t>
      </w:r>
      <w:r w:rsidR="001C2D56">
        <w:rPr>
          <w:szCs w:val="22"/>
        </w:rPr>
        <w:t>;</w:t>
      </w:r>
      <w:r w:rsidR="001C2D56" w:rsidRPr="007206C5">
        <w:rPr>
          <w:szCs w:val="22"/>
        </w:rPr>
        <w:t xml:space="preserve"> </w:t>
      </w:r>
      <w:r w:rsidR="001C2D56">
        <w:rPr>
          <w:szCs w:val="22"/>
        </w:rPr>
        <w:t xml:space="preserve">(2) </w:t>
      </w:r>
      <w:r w:rsidR="001C2D56" w:rsidRPr="007206C5">
        <w:rPr>
          <w:szCs w:val="22"/>
        </w:rPr>
        <w:t>e</w:t>
      </w:r>
      <w:r w:rsidR="001C2D56">
        <w:rPr>
          <w:szCs w:val="22"/>
        </w:rPr>
        <w:t>quipment; (3) materials; (4)</w:t>
      </w:r>
      <w:r w:rsidR="001C2D56" w:rsidRPr="007206C5">
        <w:rPr>
          <w:szCs w:val="22"/>
        </w:rPr>
        <w:t xml:space="preserve"> information </w:t>
      </w:r>
      <w:r w:rsidR="001C2D56" w:rsidRPr="00332FAB">
        <w:rPr>
          <w:szCs w:val="22"/>
        </w:rPr>
        <w:t>technology</w:t>
      </w:r>
      <w:r w:rsidR="001C2D56">
        <w:rPr>
          <w:szCs w:val="22"/>
        </w:rPr>
        <w:t xml:space="preserve"> services; (5)</w:t>
      </w:r>
      <w:r w:rsidR="001C2D56" w:rsidRPr="00332FAB">
        <w:rPr>
          <w:szCs w:val="22"/>
        </w:rPr>
        <w:t xml:space="preserve"> tr</w:t>
      </w:r>
      <w:r w:rsidR="001C2D56">
        <w:rPr>
          <w:szCs w:val="22"/>
        </w:rPr>
        <w:t>avel;</w:t>
      </w:r>
      <w:r w:rsidR="001C2D56" w:rsidRPr="00332FAB">
        <w:rPr>
          <w:szCs w:val="22"/>
        </w:rPr>
        <w:t xml:space="preserve"> </w:t>
      </w:r>
      <w:r w:rsidR="001C2D56">
        <w:rPr>
          <w:szCs w:val="22"/>
        </w:rPr>
        <w:t xml:space="preserve">(6) </w:t>
      </w:r>
      <w:r w:rsidR="001C2D56" w:rsidRPr="00332FAB">
        <w:rPr>
          <w:szCs w:val="22"/>
        </w:rPr>
        <w:t>subcontractor costs</w:t>
      </w:r>
      <w:r w:rsidR="001C2D56">
        <w:rPr>
          <w:szCs w:val="22"/>
        </w:rPr>
        <w:t>; (7) contractor</w:t>
      </w:r>
      <w:r w:rsidR="00BC2B7D">
        <w:rPr>
          <w:szCs w:val="22"/>
        </w:rPr>
        <w:t>/project partner</w:t>
      </w:r>
      <w:r w:rsidR="001C2D56">
        <w:rPr>
          <w:szCs w:val="22"/>
        </w:rPr>
        <w:t xml:space="preserve"> in-kind labor costs</w:t>
      </w:r>
      <w:r w:rsidR="00635D62">
        <w:rPr>
          <w:szCs w:val="22"/>
        </w:rPr>
        <w:t>; and (8) “advanced practice” costs</w:t>
      </w:r>
      <w:r w:rsidR="001C2D56" w:rsidRPr="00332FAB">
        <w:rPr>
          <w:szCs w:val="22"/>
        </w:rPr>
        <w:t xml:space="preserve">.  </w:t>
      </w:r>
      <w:r w:rsidR="001C2D56">
        <w:rPr>
          <w:szCs w:val="22"/>
        </w:rPr>
        <w:t>Match funding sources include t</w:t>
      </w:r>
      <w:r w:rsidR="001C2D56" w:rsidRPr="00C31C1D">
        <w:rPr>
          <w:szCs w:val="22"/>
        </w:rPr>
        <w:t xml:space="preserve">he prime contractor, subcontractors, </w:t>
      </w:r>
      <w:r w:rsidR="001C2D56">
        <w:rPr>
          <w:szCs w:val="22"/>
        </w:rPr>
        <w:t>and</w:t>
      </w:r>
      <w:r w:rsidR="001C2D56" w:rsidRPr="00C31C1D">
        <w:rPr>
          <w:szCs w:val="22"/>
        </w:rPr>
        <w:t xml:space="preserve"> </w:t>
      </w:r>
      <w:r w:rsidR="000351CB">
        <w:rPr>
          <w:szCs w:val="22"/>
        </w:rPr>
        <w:t>pilot testing/</w:t>
      </w:r>
      <w:r w:rsidR="001C2D56" w:rsidRPr="007206C5">
        <w:rPr>
          <w:szCs w:val="22"/>
        </w:rPr>
        <w:t>demonstration</w:t>
      </w:r>
      <w:r w:rsidR="000351CB">
        <w:rPr>
          <w:szCs w:val="22"/>
        </w:rPr>
        <w:t>/deployment</w:t>
      </w:r>
      <w:r w:rsidR="001C2D56" w:rsidRPr="007206C5">
        <w:rPr>
          <w:szCs w:val="22"/>
        </w:rPr>
        <w:t xml:space="preserve"> sites</w:t>
      </w:r>
      <w:r w:rsidR="001C2D56">
        <w:rPr>
          <w:szCs w:val="22"/>
        </w:rPr>
        <w:t xml:space="preserve"> (e.g., </w:t>
      </w:r>
      <w:r w:rsidR="00090B5B">
        <w:rPr>
          <w:szCs w:val="22"/>
        </w:rPr>
        <w:t xml:space="preserve">test </w:t>
      </w:r>
      <w:r w:rsidR="001C2D56">
        <w:rPr>
          <w:szCs w:val="22"/>
        </w:rPr>
        <w:t>site staff services)</w:t>
      </w:r>
      <w:r w:rsidR="001C2D56" w:rsidRPr="007206C5">
        <w:rPr>
          <w:szCs w:val="22"/>
        </w:rPr>
        <w:t>.</w:t>
      </w:r>
      <w:r w:rsidR="001C2D56">
        <w:rPr>
          <w:szCs w:val="22"/>
        </w:rPr>
        <w:t xml:space="preserve"> </w:t>
      </w:r>
    </w:p>
    <w:p w14:paraId="5E0903C3" w14:textId="77777777" w:rsidR="00D5569E" w:rsidRDefault="00695D18" w:rsidP="006E597D">
      <w:pPr>
        <w:tabs>
          <w:tab w:val="left" w:pos="1080"/>
        </w:tabs>
        <w:ind w:left="1080"/>
        <w:jc w:val="both"/>
        <w:rPr>
          <w:szCs w:val="22"/>
        </w:rPr>
      </w:pPr>
      <w:r>
        <w:rPr>
          <w:szCs w:val="22"/>
        </w:rPr>
        <w:t xml:space="preserve">“Match funds” </w:t>
      </w:r>
      <w:r w:rsidRPr="00D5569E">
        <w:rPr>
          <w:szCs w:val="22"/>
          <w:u w:val="single"/>
        </w:rPr>
        <w:t>do not</w:t>
      </w:r>
      <w:r>
        <w:rPr>
          <w:szCs w:val="22"/>
        </w:rPr>
        <w:t xml:space="preserve"> include</w:t>
      </w:r>
      <w:r w:rsidR="00D5569E">
        <w:rPr>
          <w:szCs w:val="22"/>
        </w:rPr>
        <w:t>:</w:t>
      </w:r>
      <w:r>
        <w:rPr>
          <w:szCs w:val="22"/>
        </w:rPr>
        <w:t xml:space="preserve"> Energy Commission awards, </w:t>
      </w:r>
      <w:r w:rsidR="00196608">
        <w:rPr>
          <w:szCs w:val="22"/>
        </w:rPr>
        <w:t xml:space="preserve">EPIC funds received from other sources, </w:t>
      </w:r>
      <w:r>
        <w:rPr>
          <w:szCs w:val="22"/>
        </w:rPr>
        <w:t>future/</w:t>
      </w:r>
      <w:r w:rsidRPr="00904F33">
        <w:rPr>
          <w:szCs w:val="22"/>
        </w:rPr>
        <w:t>contingent awards from other entities (public or private)</w:t>
      </w:r>
      <w:r>
        <w:rPr>
          <w:szCs w:val="22"/>
        </w:rPr>
        <w:t>, the cost or value of the project work site</w:t>
      </w:r>
      <w:r w:rsidR="00D5569E">
        <w:rPr>
          <w:szCs w:val="22"/>
        </w:rPr>
        <w:t>, or the cost or value of structures or other improvements affixed to the project work site permanently or for an indefinite period of time (e.g., photovoltaic systems)</w:t>
      </w:r>
      <w:r>
        <w:rPr>
          <w:szCs w:val="22"/>
        </w:rPr>
        <w:t>.</w:t>
      </w:r>
      <w:r w:rsidR="000D37D2">
        <w:rPr>
          <w:szCs w:val="22"/>
        </w:rPr>
        <w:t xml:space="preserve"> </w:t>
      </w:r>
    </w:p>
    <w:p w14:paraId="1AE2367F" w14:textId="77777777" w:rsidR="001C2D56" w:rsidRPr="00332FAB" w:rsidRDefault="000D37D2" w:rsidP="006E597D">
      <w:pPr>
        <w:tabs>
          <w:tab w:val="left" w:pos="1080"/>
        </w:tabs>
        <w:ind w:left="1080"/>
        <w:jc w:val="both"/>
        <w:rPr>
          <w:szCs w:val="22"/>
        </w:rPr>
      </w:pPr>
      <w:r>
        <w:rPr>
          <w:szCs w:val="22"/>
        </w:rPr>
        <w:t>Definitions of “match funding” categories are listed below.</w:t>
      </w:r>
    </w:p>
    <w:p w14:paraId="735153C4" w14:textId="77777777" w:rsidR="005E52CD" w:rsidRDefault="001C2D56" w:rsidP="00B07493">
      <w:pPr>
        <w:numPr>
          <w:ilvl w:val="1"/>
          <w:numId w:val="20"/>
        </w:numPr>
        <w:tabs>
          <w:tab w:val="left" w:pos="1080"/>
          <w:tab w:val="left" w:pos="1440"/>
          <w:tab w:val="left" w:pos="1530"/>
        </w:tabs>
        <w:spacing w:after="60"/>
        <w:ind w:hanging="274"/>
        <w:jc w:val="both"/>
        <w:rPr>
          <w:szCs w:val="22"/>
        </w:rPr>
      </w:pPr>
      <w:r w:rsidRPr="00C31C1D">
        <w:rPr>
          <w:b/>
          <w:szCs w:val="22"/>
        </w:rPr>
        <w:t>“Cash in hand”</w:t>
      </w:r>
      <w:r w:rsidRPr="00C31C1D">
        <w:rPr>
          <w:szCs w:val="22"/>
        </w:rPr>
        <w:t xml:space="preserve"> </w:t>
      </w:r>
      <w:r w:rsidR="001250DA">
        <w:rPr>
          <w:b/>
          <w:szCs w:val="22"/>
        </w:rPr>
        <w:t>F</w:t>
      </w:r>
      <w:r w:rsidRPr="00E420F8">
        <w:rPr>
          <w:b/>
          <w:szCs w:val="22"/>
        </w:rPr>
        <w:t>unds</w:t>
      </w:r>
      <w:r w:rsidRPr="00C31C1D">
        <w:rPr>
          <w:szCs w:val="22"/>
        </w:rPr>
        <w:t xml:space="preserve"> </w:t>
      </w:r>
      <w:r>
        <w:rPr>
          <w:szCs w:val="22"/>
        </w:rPr>
        <w:t xml:space="preserve">means funds that are </w:t>
      </w:r>
      <w:r w:rsidRPr="00C31C1D">
        <w:rPr>
          <w:szCs w:val="22"/>
        </w:rPr>
        <w:t>in the recipient’s possession</w:t>
      </w:r>
      <w:r>
        <w:rPr>
          <w:szCs w:val="22"/>
        </w:rPr>
        <w:t xml:space="preserve"> and are reserved for the proposed project, meaning that they have not </w:t>
      </w:r>
      <w:r w:rsidR="00C51A05">
        <w:rPr>
          <w:szCs w:val="22"/>
        </w:rPr>
        <w:t xml:space="preserve">been </w:t>
      </w:r>
      <w:r>
        <w:rPr>
          <w:szCs w:val="22"/>
        </w:rPr>
        <w:t xml:space="preserve">committed for use or pledged as match for any other project. “Cash in hand” funds </w:t>
      </w:r>
      <w:r w:rsidRPr="00C31C1D">
        <w:rPr>
          <w:szCs w:val="22"/>
        </w:rPr>
        <w:t>includ</w:t>
      </w:r>
      <w:r>
        <w:rPr>
          <w:szCs w:val="22"/>
        </w:rPr>
        <w:t>e</w:t>
      </w:r>
      <w:r w:rsidRPr="00C31C1D">
        <w:rPr>
          <w:szCs w:val="22"/>
        </w:rPr>
        <w:t xml:space="preserve"> </w:t>
      </w:r>
      <w:r w:rsidRPr="00C31C1D">
        <w:t xml:space="preserve">funding awards earned or received from other agencies for the proposed technologies or study (but not for the </w:t>
      </w:r>
      <w:r>
        <w:t>identical</w:t>
      </w:r>
      <w:r w:rsidRPr="00C31C1D">
        <w:t xml:space="preserve"> work</w:t>
      </w:r>
      <w:r>
        <w:t>)</w:t>
      </w:r>
      <w:r w:rsidRPr="00C31C1D">
        <w:t>.</w:t>
      </w:r>
      <w:r>
        <w:t xml:space="preserve">  </w:t>
      </w:r>
      <w:r w:rsidR="002227B7">
        <w:t>P</w:t>
      </w:r>
      <w:r w:rsidRPr="00C31C1D">
        <w:t>roof that the funds exist as cash is r</w:t>
      </w:r>
      <w:r>
        <w:t>equired</w:t>
      </w:r>
      <w:r w:rsidRPr="00C31C1D">
        <w:t xml:space="preserve">.  </w:t>
      </w:r>
      <w:r w:rsidR="00DD677B">
        <w:t>Cash in hand funds will be considered more favorably than other types of match funding during the scoring phase.</w:t>
      </w:r>
    </w:p>
    <w:p w14:paraId="120777CC" w14:textId="77777777" w:rsidR="005E52CD" w:rsidRDefault="001C2D56" w:rsidP="0018649E">
      <w:pPr>
        <w:numPr>
          <w:ilvl w:val="0"/>
          <w:numId w:val="31"/>
        </w:numPr>
        <w:tabs>
          <w:tab w:val="left" w:pos="1080"/>
          <w:tab w:val="left" w:pos="1170"/>
        </w:tabs>
        <w:spacing w:after="60"/>
        <w:ind w:left="1440" w:hanging="274"/>
        <w:jc w:val="both"/>
        <w:rPr>
          <w:szCs w:val="22"/>
        </w:rPr>
      </w:pPr>
      <w:r>
        <w:rPr>
          <w:b/>
          <w:szCs w:val="22"/>
        </w:rPr>
        <w:t>“</w:t>
      </w:r>
      <w:r w:rsidRPr="00186108">
        <w:rPr>
          <w:b/>
          <w:szCs w:val="22"/>
        </w:rPr>
        <w:t>Equipment</w:t>
      </w:r>
      <w:r>
        <w:rPr>
          <w:b/>
          <w:szCs w:val="22"/>
        </w:rPr>
        <w:t xml:space="preserve">” </w:t>
      </w:r>
      <w:r>
        <w:rPr>
          <w:snapToGrid w:val="0"/>
          <w:szCs w:val="22"/>
        </w:rPr>
        <w:t>means</w:t>
      </w:r>
      <w:r w:rsidRPr="00186108">
        <w:rPr>
          <w:snapToGrid w:val="0"/>
          <w:szCs w:val="22"/>
        </w:rPr>
        <w:t xml:space="preserve"> an item </w:t>
      </w:r>
      <w:r w:rsidRPr="00186108">
        <w:rPr>
          <w:szCs w:val="22"/>
        </w:rPr>
        <w:t xml:space="preserve">with a unit cost </w:t>
      </w:r>
      <w:r w:rsidR="00973116">
        <w:rPr>
          <w:szCs w:val="22"/>
        </w:rPr>
        <w:t>of at leas</w:t>
      </w:r>
      <w:r w:rsidR="00977EDB">
        <w:rPr>
          <w:szCs w:val="22"/>
        </w:rPr>
        <w:t>t</w:t>
      </w:r>
      <w:r w:rsidRPr="00186108">
        <w:rPr>
          <w:szCs w:val="22"/>
        </w:rPr>
        <w:t xml:space="preserve"> $5,000 and a useful life</w:t>
      </w:r>
      <w:r>
        <w:rPr>
          <w:szCs w:val="22"/>
        </w:rPr>
        <w:t xml:space="preserve"> </w:t>
      </w:r>
      <w:r w:rsidR="00973116">
        <w:rPr>
          <w:szCs w:val="22"/>
        </w:rPr>
        <w:t>of at least</w:t>
      </w:r>
      <w:r w:rsidRPr="00186108">
        <w:rPr>
          <w:szCs w:val="22"/>
        </w:rPr>
        <w:t xml:space="preserve"> one ye</w:t>
      </w:r>
      <w:r>
        <w:rPr>
          <w:snapToGrid w:val="0"/>
          <w:szCs w:val="22"/>
        </w:rPr>
        <w:t xml:space="preserve">ar. </w:t>
      </w:r>
      <w:r w:rsidR="00C36BFE" w:rsidRPr="001F696A">
        <w:rPr>
          <w:b/>
          <w:snapToGrid w:val="0"/>
          <w:szCs w:val="22"/>
        </w:rPr>
        <w:t>Purchasing equipment with match funding is encouraged</w:t>
      </w:r>
      <w:r w:rsidR="00C36BFE" w:rsidRPr="001F696A">
        <w:rPr>
          <w:snapToGrid w:val="0"/>
          <w:szCs w:val="22"/>
        </w:rPr>
        <w:t xml:space="preserve"> because there are no disposition requirements at the end of the agreement for such equipment.  Typically, grant recipients may continue to use equipment purchased with Energy Commission funds if the use is consistent with the intent of the original agreement</w:t>
      </w:r>
      <w:r w:rsidRPr="00186108">
        <w:rPr>
          <w:snapToGrid w:val="0"/>
          <w:szCs w:val="22"/>
        </w:rPr>
        <w:t xml:space="preserve">. </w:t>
      </w:r>
    </w:p>
    <w:p w14:paraId="438B8EAC" w14:textId="77777777" w:rsidR="005E52CD" w:rsidRDefault="001C2D56" w:rsidP="0018649E">
      <w:pPr>
        <w:numPr>
          <w:ilvl w:val="0"/>
          <w:numId w:val="31"/>
        </w:numPr>
        <w:tabs>
          <w:tab w:val="left" w:pos="1080"/>
          <w:tab w:val="left" w:pos="1170"/>
        </w:tabs>
        <w:spacing w:after="60"/>
        <w:ind w:left="1440" w:hanging="270"/>
        <w:jc w:val="both"/>
        <w:rPr>
          <w:szCs w:val="22"/>
        </w:rPr>
      </w:pPr>
      <w:r w:rsidRPr="005A409F">
        <w:rPr>
          <w:b/>
          <w:szCs w:val="22"/>
        </w:rPr>
        <w:t xml:space="preserve">“Materials” </w:t>
      </w:r>
      <w:r>
        <w:rPr>
          <w:szCs w:val="22"/>
        </w:rPr>
        <w:t>means</w:t>
      </w:r>
      <w:r>
        <w:rPr>
          <w:b/>
          <w:szCs w:val="22"/>
        </w:rPr>
        <w:t xml:space="preserve"> </w:t>
      </w:r>
      <w:r>
        <w:rPr>
          <w:szCs w:val="22"/>
        </w:rPr>
        <w:t xml:space="preserve">tangible project items that cost less than $5,000 and have a useful life of less than one year. </w:t>
      </w:r>
    </w:p>
    <w:p w14:paraId="5BED33D9" w14:textId="77777777" w:rsidR="005E52CD" w:rsidRDefault="001C2D56" w:rsidP="0018649E">
      <w:pPr>
        <w:numPr>
          <w:ilvl w:val="0"/>
          <w:numId w:val="31"/>
        </w:numPr>
        <w:tabs>
          <w:tab w:val="left" w:pos="1080"/>
          <w:tab w:val="left" w:pos="1170"/>
          <w:tab w:val="left" w:pos="1440"/>
        </w:tabs>
        <w:spacing w:after="60"/>
        <w:ind w:left="1440" w:hanging="274"/>
        <w:jc w:val="both"/>
        <w:rPr>
          <w:szCs w:val="22"/>
        </w:rPr>
      </w:pPr>
      <w:r w:rsidRPr="005A409F">
        <w:rPr>
          <w:b/>
          <w:szCs w:val="22"/>
        </w:rPr>
        <w:t xml:space="preserve">“Information Technology Services” </w:t>
      </w:r>
      <w:r>
        <w:rPr>
          <w:szCs w:val="22"/>
        </w:rPr>
        <w:t xml:space="preserve">means the </w:t>
      </w:r>
      <w:r>
        <w:t>design, development, application, implementation, support, and management of computer-based information systems directly related to the tasks in the Scope of Work.  All information technology services in this area must comply with the electronic file format requirements in Subtask 1.1 (Products) of the Scope of Work.</w:t>
      </w:r>
    </w:p>
    <w:p w14:paraId="35EB0418" w14:textId="391D9EB9" w:rsidR="00A178D3" w:rsidRPr="00D26B01" w:rsidRDefault="00A178D3" w:rsidP="00491552">
      <w:pPr>
        <w:numPr>
          <w:ilvl w:val="0"/>
          <w:numId w:val="31"/>
        </w:numPr>
        <w:tabs>
          <w:tab w:val="left" w:pos="1080"/>
          <w:tab w:val="left" w:pos="1170"/>
        </w:tabs>
        <w:spacing w:after="60"/>
        <w:ind w:left="1440"/>
        <w:jc w:val="both"/>
        <w:rPr>
          <w:szCs w:val="22"/>
        </w:rPr>
      </w:pPr>
      <w:r w:rsidRPr="00D26B01">
        <w:rPr>
          <w:b/>
          <w:szCs w:val="22"/>
        </w:rPr>
        <w:t xml:space="preserve">“Travel” </w:t>
      </w:r>
      <w:r w:rsidRPr="00D26B01">
        <w:rPr>
          <w:szCs w:val="22"/>
        </w:rPr>
        <w:t>means</w:t>
      </w:r>
      <w:r w:rsidRPr="00D26B01">
        <w:rPr>
          <w:b/>
          <w:szCs w:val="22"/>
        </w:rPr>
        <w:t xml:space="preserve"> </w:t>
      </w:r>
      <w:r w:rsidRPr="00D26B01">
        <w:rPr>
          <w:szCs w:val="22"/>
        </w:rPr>
        <w:t>all travel required to complete the tasks identified in the Scope of Work. Travel includes in-</w:t>
      </w:r>
      <w:r w:rsidR="00750003" w:rsidRPr="00D26B01">
        <w:rPr>
          <w:szCs w:val="22"/>
        </w:rPr>
        <w:t>s</w:t>
      </w:r>
      <w:r w:rsidR="00D338B4" w:rsidRPr="00D26B01">
        <w:rPr>
          <w:szCs w:val="22"/>
        </w:rPr>
        <w:t>tate</w:t>
      </w:r>
      <w:r w:rsidRPr="00D26B01">
        <w:rPr>
          <w:szCs w:val="22"/>
        </w:rPr>
        <w:t xml:space="preserve"> and out-of-</w:t>
      </w:r>
      <w:r w:rsidR="00750003" w:rsidRPr="00D26B01">
        <w:rPr>
          <w:szCs w:val="22"/>
        </w:rPr>
        <w:t>s</w:t>
      </w:r>
      <w:r w:rsidR="00D338B4" w:rsidRPr="00D26B01">
        <w:rPr>
          <w:szCs w:val="22"/>
        </w:rPr>
        <w:t>tate</w:t>
      </w:r>
      <w:r w:rsidRPr="00D26B01">
        <w:rPr>
          <w:szCs w:val="22"/>
        </w:rPr>
        <w:t xml:space="preserve"> travel, and travel to conferences. EPIC funds should be limited to lodging and any form of transportation (e.g., airfare, rental car, public transit, parking, mileage). Use of match funds for out-of-</w:t>
      </w:r>
      <w:r w:rsidR="00D338B4" w:rsidRPr="00D26B01">
        <w:rPr>
          <w:szCs w:val="22"/>
        </w:rPr>
        <w:t>State</w:t>
      </w:r>
      <w:r w:rsidRPr="00D26B01">
        <w:rPr>
          <w:szCs w:val="22"/>
        </w:rPr>
        <w:t xml:space="preserve"> travel is encouraged, because the Energy Commission might not approve the use of its funds for such travel. If an applicant plans to travel to conferences, including registration fees, they must use match funds. Applicants should be aware</w:t>
      </w:r>
      <w:r w:rsidR="00C95A30" w:rsidRPr="00D26B01">
        <w:rPr>
          <w:szCs w:val="22"/>
        </w:rPr>
        <w:t xml:space="preserve"> of,</w:t>
      </w:r>
      <w:r w:rsidRPr="00D26B01">
        <w:rPr>
          <w:szCs w:val="22"/>
        </w:rPr>
        <w:t xml:space="preserve"> and adhere to</w:t>
      </w:r>
      <w:r w:rsidR="00C95A30" w:rsidRPr="00D26B01">
        <w:rPr>
          <w:szCs w:val="22"/>
        </w:rPr>
        <w:t>,</w:t>
      </w:r>
      <w:r w:rsidRPr="00D26B01">
        <w:rPr>
          <w:szCs w:val="22"/>
        </w:rPr>
        <w:t xml:space="preserve"> specific travel restrictions when using </w:t>
      </w:r>
      <w:r w:rsidR="00D338B4" w:rsidRPr="00D26B01">
        <w:rPr>
          <w:szCs w:val="22"/>
        </w:rPr>
        <w:t>State</w:t>
      </w:r>
      <w:r w:rsidRPr="00D26B01">
        <w:rPr>
          <w:szCs w:val="22"/>
        </w:rPr>
        <w:t xml:space="preserve"> funds for travel to other </w:t>
      </w:r>
      <w:r w:rsidR="00D338B4" w:rsidRPr="00D26B01">
        <w:rPr>
          <w:szCs w:val="22"/>
        </w:rPr>
        <w:t>State</w:t>
      </w:r>
      <w:r w:rsidRPr="00D26B01">
        <w:rPr>
          <w:szCs w:val="22"/>
        </w:rPr>
        <w:t xml:space="preserve">s pursuant to AB 1887 (2016) and codified at California Government Code Section 11139.8. All applicants are encouraged to go to the Attorney General’s website </w:t>
      </w:r>
      <w:hyperlink r:id="rId28" w:tooltip="Click here to go to the Attorney General's website" w:history="1">
        <w:r w:rsidR="00D26B01" w:rsidRPr="00D26B01">
          <w:rPr>
            <w:rStyle w:val="Hyperlink"/>
            <w:rFonts w:cs="Arial"/>
          </w:rPr>
          <w:t>https://oa</w:t>
        </w:r>
        <w:r w:rsidR="00D26B01" w:rsidRPr="00D26B01">
          <w:rPr>
            <w:rStyle w:val="Hyperlink"/>
            <w:rFonts w:cs="Arial"/>
          </w:rPr>
          <w:t>g</w:t>
        </w:r>
        <w:r w:rsidR="00D26B01" w:rsidRPr="00D26B01">
          <w:rPr>
            <w:rStyle w:val="Hyperlink"/>
            <w:rFonts w:cs="Arial"/>
          </w:rPr>
          <w:t>.ca.gov/ab1887</w:t>
        </w:r>
      </w:hyperlink>
      <w:r w:rsidRPr="00D26B01">
        <w:rPr>
          <w:szCs w:val="22"/>
        </w:rPr>
        <w:t xml:space="preserve"> for a current list of </w:t>
      </w:r>
      <w:r w:rsidR="00D338B4" w:rsidRPr="00D26B01">
        <w:rPr>
          <w:szCs w:val="22"/>
        </w:rPr>
        <w:t>State</w:t>
      </w:r>
      <w:r w:rsidRPr="00D26B01">
        <w:rPr>
          <w:szCs w:val="22"/>
        </w:rPr>
        <w:t xml:space="preserve">s subject to travel restrictions.  Grants awarded under this solicitation shall not contain travel </w:t>
      </w:r>
      <w:r w:rsidRPr="00D26B01">
        <w:rPr>
          <w:szCs w:val="22"/>
        </w:rPr>
        <w:lastRenderedPageBreak/>
        <w:t xml:space="preserve">paid for with Commission funds (applicants can instead use match funds) to the listed </w:t>
      </w:r>
      <w:r w:rsidR="00D338B4" w:rsidRPr="00D26B01">
        <w:rPr>
          <w:szCs w:val="22"/>
        </w:rPr>
        <w:t>State</w:t>
      </w:r>
      <w:r w:rsidRPr="00D26B01">
        <w:rPr>
          <w:szCs w:val="22"/>
        </w:rPr>
        <w:t>s unless the Commission approves in writing that the trip falls within one of the exceptions under the law.</w:t>
      </w:r>
    </w:p>
    <w:p w14:paraId="1408D4A7" w14:textId="77777777" w:rsidR="005E52CD" w:rsidRDefault="00A178D3" w:rsidP="0018649E">
      <w:pPr>
        <w:numPr>
          <w:ilvl w:val="0"/>
          <w:numId w:val="31"/>
        </w:numPr>
        <w:tabs>
          <w:tab w:val="left" w:pos="1080"/>
          <w:tab w:val="left" w:pos="1170"/>
        </w:tabs>
        <w:spacing w:after="60"/>
        <w:ind w:left="1440" w:hanging="274"/>
        <w:jc w:val="both"/>
        <w:rPr>
          <w:szCs w:val="22"/>
        </w:rPr>
      </w:pPr>
      <w:r w:rsidRPr="005A409F">
        <w:rPr>
          <w:b/>
          <w:szCs w:val="22"/>
        </w:rPr>
        <w:t xml:space="preserve"> </w:t>
      </w:r>
      <w:r w:rsidR="001C2D56" w:rsidRPr="005A409F">
        <w:rPr>
          <w:b/>
          <w:szCs w:val="22"/>
        </w:rPr>
        <w:t xml:space="preserve">“Subcontractor Costs” </w:t>
      </w:r>
      <w:r w:rsidR="001C2D56">
        <w:rPr>
          <w:szCs w:val="22"/>
        </w:rPr>
        <w:t>means all costs incurred by subcontractors for the project, including labor and non-labor costs.</w:t>
      </w:r>
    </w:p>
    <w:p w14:paraId="31D2CC88" w14:textId="77777777" w:rsidR="0061342D" w:rsidRDefault="001C2D56" w:rsidP="0018649E">
      <w:pPr>
        <w:numPr>
          <w:ilvl w:val="0"/>
          <w:numId w:val="31"/>
        </w:numPr>
        <w:tabs>
          <w:tab w:val="left" w:pos="1080"/>
          <w:tab w:val="left" w:pos="1170"/>
        </w:tabs>
        <w:spacing w:after="60"/>
        <w:ind w:left="1440" w:hanging="274"/>
        <w:jc w:val="both"/>
        <w:rPr>
          <w:szCs w:val="22"/>
        </w:rPr>
      </w:pPr>
      <w:r>
        <w:rPr>
          <w:b/>
          <w:szCs w:val="22"/>
        </w:rPr>
        <w:t>“Contractor</w:t>
      </w:r>
      <w:r w:rsidR="00BC2B7D">
        <w:rPr>
          <w:b/>
          <w:szCs w:val="22"/>
        </w:rPr>
        <w:t>/Project Partner</w:t>
      </w:r>
      <w:r>
        <w:rPr>
          <w:b/>
          <w:szCs w:val="22"/>
        </w:rPr>
        <w:t xml:space="preserve"> </w:t>
      </w:r>
      <w:r w:rsidR="007A4622">
        <w:rPr>
          <w:b/>
          <w:szCs w:val="22"/>
        </w:rPr>
        <w:t>I</w:t>
      </w:r>
      <w:r>
        <w:rPr>
          <w:b/>
          <w:szCs w:val="22"/>
        </w:rPr>
        <w:t>n-Kind Labor Costs”</w:t>
      </w:r>
      <w:r>
        <w:rPr>
          <w:szCs w:val="22"/>
        </w:rPr>
        <w:t xml:space="preserve"> means contractor </w:t>
      </w:r>
      <w:r w:rsidR="00887889">
        <w:rPr>
          <w:szCs w:val="22"/>
        </w:rPr>
        <w:t xml:space="preserve">or project partner </w:t>
      </w:r>
      <w:r>
        <w:rPr>
          <w:szCs w:val="22"/>
        </w:rPr>
        <w:t>labor costs that are not charged to the Energy Commission.</w:t>
      </w:r>
    </w:p>
    <w:p w14:paraId="7EFD4A47" w14:textId="77777777" w:rsidR="007E40F4" w:rsidRPr="00596372" w:rsidRDefault="007E40F4" w:rsidP="0018649E">
      <w:pPr>
        <w:numPr>
          <w:ilvl w:val="0"/>
          <w:numId w:val="31"/>
        </w:numPr>
        <w:tabs>
          <w:tab w:val="left" w:pos="990"/>
        </w:tabs>
        <w:suppressAutoHyphens/>
        <w:ind w:left="1440" w:hanging="270"/>
        <w:jc w:val="both"/>
        <w:rPr>
          <w:szCs w:val="22"/>
        </w:rPr>
      </w:pPr>
      <w:r w:rsidRPr="00596372">
        <w:rPr>
          <w:b/>
          <w:szCs w:val="22"/>
        </w:rPr>
        <w:t>“</w:t>
      </w:r>
      <w:r w:rsidR="00DF20D4">
        <w:rPr>
          <w:b/>
          <w:szCs w:val="22"/>
        </w:rPr>
        <w:t>’</w:t>
      </w:r>
      <w:r>
        <w:rPr>
          <w:b/>
          <w:szCs w:val="22"/>
        </w:rPr>
        <w:t>Advanced Practice</w:t>
      </w:r>
      <w:r w:rsidR="00DF20D4">
        <w:rPr>
          <w:b/>
          <w:szCs w:val="22"/>
        </w:rPr>
        <w:t>’</w:t>
      </w:r>
      <w:r>
        <w:rPr>
          <w:b/>
          <w:szCs w:val="22"/>
        </w:rPr>
        <w:t xml:space="preserve"> Costs</w:t>
      </w:r>
      <w:r w:rsidRPr="00596372">
        <w:rPr>
          <w:b/>
          <w:szCs w:val="22"/>
        </w:rPr>
        <w:t xml:space="preserve">” </w:t>
      </w:r>
      <w:r w:rsidRPr="00A623B5">
        <w:rPr>
          <w:szCs w:val="22"/>
        </w:rPr>
        <w:t xml:space="preserve">means </w:t>
      </w:r>
      <w:r>
        <w:rPr>
          <w:szCs w:val="22"/>
        </w:rPr>
        <w:t>costs not charged to the Energy Commission that represent the incremental cost difference between standard and advanced practices, measures, and products used to implement the proposed project. For example, if the cost of purchasing and/or installing insulation that meets the applicable building energy efficiency standard is $1/square foot and the cost of more advanced, energy efficient insulation is $3/square foot, the Recipient may count up to $2/square foot as match funds.</w:t>
      </w:r>
    </w:p>
    <w:p w14:paraId="561793EE" w14:textId="77777777" w:rsidR="001C2D56" w:rsidRPr="0032300D" w:rsidRDefault="001C2D56" w:rsidP="00B07493">
      <w:pPr>
        <w:numPr>
          <w:ilvl w:val="0"/>
          <w:numId w:val="20"/>
        </w:numPr>
        <w:tabs>
          <w:tab w:val="left" w:pos="1080"/>
        </w:tabs>
        <w:spacing w:after="0"/>
        <w:ind w:left="1080"/>
        <w:jc w:val="both"/>
      </w:pPr>
      <w:r w:rsidRPr="00C31C1D">
        <w:t xml:space="preserve">Match funds </w:t>
      </w:r>
      <w:r>
        <w:t>may be s</w:t>
      </w:r>
      <w:r w:rsidRPr="00C31C1D">
        <w:t xml:space="preserve">pent </w:t>
      </w:r>
      <w:r>
        <w:t xml:space="preserve">only </w:t>
      </w:r>
      <w:r w:rsidRPr="00584775">
        <w:t>during the agreement term</w:t>
      </w:r>
      <w:r w:rsidRPr="00C31C1D">
        <w:t xml:space="preserve">, either before or concurrently with EPIC funds. </w:t>
      </w:r>
      <w:r>
        <w:t xml:space="preserve">Match funds also must be </w:t>
      </w:r>
      <w:r>
        <w:rPr>
          <w:szCs w:val="22"/>
        </w:rPr>
        <w:t>r</w:t>
      </w:r>
      <w:r>
        <w:t>eported in invoices</w:t>
      </w:r>
      <w:r w:rsidRPr="001F4A89">
        <w:t xml:space="preserve"> </w:t>
      </w:r>
      <w:r w:rsidRPr="00C31C1D">
        <w:t>submitted to the Energy Commission.</w:t>
      </w:r>
      <w:r w:rsidRPr="00D47506">
        <w:rPr>
          <w:b/>
        </w:rPr>
        <w:t xml:space="preserve"> </w:t>
      </w:r>
    </w:p>
    <w:p w14:paraId="61930154" w14:textId="37832F20" w:rsidR="001C2D56" w:rsidRDefault="00584775" w:rsidP="00B07493">
      <w:pPr>
        <w:numPr>
          <w:ilvl w:val="0"/>
          <w:numId w:val="20"/>
        </w:numPr>
        <w:tabs>
          <w:tab w:val="left" w:pos="1080"/>
        </w:tabs>
        <w:suppressAutoHyphens/>
        <w:ind w:left="1080"/>
        <w:jc w:val="both"/>
        <w:rPr>
          <w:szCs w:val="22"/>
        </w:rPr>
      </w:pPr>
      <w:r w:rsidRPr="00A55233">
        <w:rPr>
          <w:szCs w:val="22"/>
        </w:rPr>
        <w:t xml:space="preserve">All applicants providing match funds must submit </w:t>
      </w:r>
      <w:r>
        <w:rPr>
          <w:szCs w:val="22"/>
        </w:rPr>
        <w:t xml:space="preserve">commitment </w:t>
      </w:r>
      <w:r w:rsidRPr="00A55233">
        <w:rPr>
          <w:szCs w:val="22"/>
        </w:rPr>
        <w:t xml:space="preserve">letters </w:t>
      </w:r>
      <w:r>
        <w:rPr>
          <w:szCs w:val="22"/>
        </w:rPr>
        <w:t xml:space="preserve">that: (1) </w:t>
      </w:r>
      <w:r w:rsidRPr="00A55233">
        <w:rPr>
          <w:szCs w:val="22"/>
        </w:rPr>
        <w:t xml:space="preserve">identify the source(s) of </w:t>
      </w:r>
      <w:r>
        <w:rPr>
          <w:szCs w:val="22"/>
        </w:rPr>
        <w:t>the</w:t>
      </w:r>
      <w:r w:rsidRPr="00A55233">
        <w:rPr>
          <w:szCs w:val="22"/>
        </w:rPr>
        <w:t xml:space="preserve"> funds</w:t>
      </w:r>
      <w:r>
        <w:rPr>
          <w:szCs w:val="22"/>
        </w:rPr>
        <w:t xml:space="preserve">; (2) justify the dollar value claimed; (3) provide an unqualified (i.e., </w:t>
      </w:r>
      <w:r w:rsidRPr="00211619">
        <w:rPr>
          <w:szCs w:val="22"/>
        </w:rPr>
        <w:t>without reservation or limitation) commitment</w:t>
      </w:r>
      <w:r>
        <w:rPr>
          <w:szCs w:val="22"/>
        </w:rPr>
        <w:t xml:space="preserve"> that g</w:t>
      </w:r>
      <w:r w:rsidRPr="00121B9A">
        <w:rPr>
          <w:szCs w:val="22"/>
        </w:rPr>
        <w:t>uarantee</w:t>
      </w:r>
      <w:r>
        <w:rPr>
          <w:szCs w:val="22"/>
        </w:rPr>
        <w:t>s</w:t>
      </w:r>
      <w:r w:rsidRPr="00121B9A">
        <w:rPr>
          <w:szCs w:val="22"/>
        </w:rPr>
        <w:t xml:space="preserve"> the availability of the funds for the project</w:t>
      </w:r>
      <w:r>
        <w:rPr>
          <w:szCs w:val="22"/>
        </w:rPr>
        <w:t xml:space="preserve">; and (4) provide a </w:t>
      </w:r>
      <w:r w:rsidRPr="00121B9A">
        <w:rPr>
          <w:szCs w:val="22"/>
        </w:rPr>
        <w:t xml:space="preserve">strategy for replacing </w:t>
      </w:r>
      <w:r>
        <w:rPr>
          <w:szCs w:val="22"/>
        </w:rPr>
        <w:t xml:space="preserve">the </w:t>
      </w:r>
      <w:r w:rsidRPr="00121B9A">
        <w:rPr>
          <w:szCs w:val="22"/>
        </w:rPr>
        <w:t>funds if they are significantly reduced or lost</w:t>
      </w:r>
      <w:r>
        <w:rPr>
          <w:szCs w:val="22"/>
        </w:rPr>
        <w:t>.  Please see Commitment and Support Letter Form</w:t>
      </w:r>
      <w:r w:rsidR="00D422E3">
        <w:rPr>
          <w:szCs w:val="22"/>
        </w:rPr>
        <w:t xml:space="preserve"> (Attachment</w:t>
      </w:r>
      <w:r w:rsidR="00725E05">
        <w:rPr>
          <w:szCs w:val="22"/>
        </w:rPr>
        <w:t xml:space="preserve"> 11</w:t>
      </w:r>
      <w:r w:rsidR="00D422E3">
        <w:rPr>
          <w:szCs w:val="22"/>
        </w:rPr>
        <w:t>)</w:t>
      </w:r>
      <w:r w:rsidRPr="00A55233">
        <w:rPr>
          <w:szCs w:val="22"/>
        </w:rPr>
        <w:t>.</w:t>
      </w:r>
      <w:r w:rsidR="005841E5">
        <w:rPr>
          <w:szCs w:val="22"/>
        </w:rPr>
        <w:t xml:space="preserve"> Commitment and support letters must be submitted with the application to be considered. </w:t>
      </w:r>
    </w:p>
    <w:p w14:paraId="5FA6D49F" w14:textId="77777777" w:rsidR="00527202" w:rsidRPr="006E597D" w:rsidRDefault="00527202" w:rsidP="00527202">
      <w:pPr>
        <w:tabs>
          <w:tab w:val="left" w:pos="1080"/>
        </w:tabs>
        <w:suppressAutoHyphens/>
        <w:ind w:left="1080"/>
        <w:jc w:val="both"/>
        <w:rPr>
          <w:szCs w:val="22"/>
        </w:rPr>
      </w:pPr>
    </w:p>
    <w:p w14:paraId="1E37C130" w14:textId="77777777" w:rsidR="005E52CD" w:rsidRPr="00151FE6" w:rsidRDefault="00FC6DD7" w:rsidP="0018649E">
      <w:pPr>
        <w:pStyle w:val="ListParagraph"/>
        <w:numPr>
          <w:ilvl w:val="0"/>
          <w:numId w:val="61"/>
        </w:numPr>
        <w:ind w:left="720" w:hanging="360"/>
        <w:jc w:val="both"/>
        <w:rPr>
          <w:b/>
          <w:sz w:val="24"/>
          <w:szCs w:val="24"/>
        </w:rPr>
      </w:pPr>
      <w:r w:rsidRPr="00151FE6">
        <w:rPr>
          <w:b/>
          <w:sz w:val="24"/>
          <w:szCs w:val="24"/>
        </w:rPr>
        <w:t>Change in</w:t>
      </w:r>
      <w:r w:rsidR="001C2D56" w:rsidRPr="00151FE6">
        <w:rPr>
          <w:b/>
          <w:sz w:val="24"/>
          <w:szCs w:val="24"/>
        </w:rPr>
        <w:t xml:space="preserve"> Funding</w:t>
      </w:r>
      <w:r w:rsidRPr="00151FE6">
        <w:rPr>
          <w:b/>
          <w:sz w:val="24"/>
          <w:szCs w:val="24"/>
        </w:rPr>
        <w:t xml:space="preserve"> Amount</w:t>
      </w:r>
    </w:p>
    <w:p w14:paraId="5BFB17B7" w14:textId="77777777" w:rsidR="001C2D56" w:rsidRDefault="00D24AAB" w:rsidP="00E9682D">
      <w:pPr>
        <w:spacing w:after="0"/>
        <w:ind w:left="720"/>
        <w:jc w:val="both"/>
      </w:pPr>
      <w:r>
        <w:t>Along with any other rights and remedies available to it, t</w:t>
      </w:r>
      <w:r w:rsidR="001C2D56" w:rsidRPr="00C31C1D">
        <w:t>he Energy Commission reserves the right to:</w:t>
      </w:r>
    </w:p>
    <w:p w14:paraId="4AC9BA0C" w14:textId="77777777" w:rsidR="00FC6DD7" w:rsidRDefault="00FC6DD7" w:rsidP="0018649E">
      <w:pPr>
        <w:numPr>
          <w:ilvl w:val="0"/>
          <w:numId w:val="34"/>
        </w:numPr>
        <w:spacing w:after="0"/>
        <w:ind w:left="1080"/>
        <w:jc w:val="both"/>
      </w:pPr>
      <w:r>
        <w:t xml:space="preserve">Increase or decrease the </w:t>
      </w:r>
      <w:r w:rsidR="00FB209E">
        <w:t>available funding and</w:t>
      </w:r>
      <w:r w:rsidR="007A4622">
        <w:t xml:space="preserve"> </w:t>
      </w:r>
      <w:r w:rsidR="007A4622" w:rsidRPr="001250DA">
        <w:t>the group</w:t>
      </w:r>
      <w:r w:rsidR="00FB209E">
        <w:t xml:space="preserve"> minimum/maximum award </w:t>
      </w:r>
      <w:r w:rsidR="00FB209E" w:rsidRPr="00BC3FE9">
        <w:t>amount</w:t>
      </w:r>
      <w:r w:rsidR="00FB209E">
        <w:t>s described in this section</w:t>
      </w:r>
      <w:r>
        <w:t>.</w:t>
      </w:r>
    </w:p>
    <w:p w14:paraId="37F32DC9" w14:textId="5B75CC28" w:rsidR="00F04624" w:rsidRDefault="00FC6DD7" w:rsidP="0018649E">
      <w:pPr>
        <w:numPr>
          <w:ilvl w:val="0"/>
          <w:numId w:val="34"/>
        </w:numPr>
        <w:spacing w:after="0"/>
        <w:ind w:left="1080"/>
        <w:jc w:val="both"/>
      </w:pPr>
      <w:r w:rsidRPr="00C31C1D">
        <w:t xml:space="preserve">Allocate any additional </w:t>
      </w:r>
      <w:r w:rsidR="001250DA">
        <w:t>or un</w:t>
      </w:r>
      <w:r w:rsidR="004C50E0">
        <w:t>-</w:t>
      </w:r>
      <w:r w:rsidR="001250DA">
        <w:t xml:space="preserve">awarded </w:t>
      </w:r>
      <w:r w:rsidRPr="00C31C1D">
        <w:t>funds to passing applications</w:t>
      </w:r>
      <w:r>
        <w:t>, in rank</w:t>
      </w:r>
      <w:r w:rsidRPr="0010206F">
        <w:t xml:space="preserve"> </w:t>
      </w:r>
      <w:r>
        <w:t>order</w:t>
      </w:r>
      <w:r w:rsidRPr="00C31C1D">
        <w:t>.</w:t>
      </w:r>
    </w:p>
    <w:p w14:paraId="0730402E" w14:textId="77777777" w:rsidR="00A178D3" w:rsidRDefault="00A178D3" w:rsidP="0018649E">
      <w:pPr>
        <w:numPr>
          <w:ilvl w:val="0"/>
          <w:numId w:val="34"/>
        </w:numPr>
        <w:spacing w:after="0"/>
        <w:ind w:left="1080"/>
        <w:jc w:val="both"/>
      </w:pPr>
      <w:r w:rsidRPr="00224AFF">
        <w:t xml:space="preserve">Reallocate </w:t>
      </w:r>
      <w:r>
        <w:t>funding between any of the groups.</w:t>
      </w:r>
    </w:p>
    <w:p w14:paraId="611AD51D" w14:textId="77777777" w:rsidR="00E671D5" w:rsidRDefault="001C2D56" w:rsidP="0018649E">
      <w:pPr>
        <w:numPr>
          <w:ilvl w:val="0"/>
          <w:numId w:val="34"/>
        </w:numPr>
        <w:spacing w:after="0"/>
        <w:ind w:left="1080"/>
        <w:jc w:val="both"/>
      </w:pPr>
      <w:r w:rsidRPr="00C31C1D">
        <w:t xml:space="preserve">Reduce </w:t>
      </w:r>
      <w:r>
        <w:t>funding</w:t>
      </w:r>
      <w:r w:rsidRPr="00C31C1D">
        <w:t xml:space="preserve"> to an amount deemed appropriate </w:t>
      </w:r>
      <w:r>
        <w:t>if</w:t>
      </w:r>
      <w:r w:rsidRPr="00C31C1D">
        <w:t xml:space="preserve"> the budgeted funds do not provide full funding </w:t>
      </w:r>
      <w:r>
        <w:t>for</w:t>
      </w:r>
      <w:r w:rsidRPr="00C31C1D">
        <w:t xml:space="preserve"> agreements.  In this event, the Recipient and </w:t>
      </w:r>
      <w:r>
        <w:t>C</w:t>
      </w:r>
      <w:r w:rsidR="006F35ED">
        <w:t xml:space="preserve">ommission </w:t>
      </w:r>
      <w:r>
        <w:t>A</w:t>
      </w:r>
      <w:r w:rsidR="006F35ED">
        <w:t xml:space="preserve">greement </w:t>
      </w:r>
      <w:r>
        <w:t>M</w:t>
      </w:r>
      <w:r w:rsidR="006F35ED">
        <w:t>anager</w:t>
      </w:r>
      <w:r>
        <w:t xml:space="preserve"> will</w:t>
      </w:r>
      <w:r w:rsidRPr="00C31C1D">
        <w:t xml:space="preserve"> </w:t>
      </w:r>
      <w:r>
        <w:t>reach agreement on a reduced Scope of W</w:t>
      </w:r>
      <w:r w:rsidRPr="00C31C1D">
        <w:t>ork commensurate with available funding.</w:t>
      </w:r>
    </w:p>
    <w:p w14:paraId="5D6EA069" w14:textId="77777777" w:rsidR="00344986" w:rsidRDefault="00344986" w:rsidP="00BC0A05">
      <w:pPr>
        <w:spacing w:after="0"/>
        <w:ind w:left="720"/>
        <w:jc w:val="both"/>
      </w:pPr>
    </w:p>
    <w:p w14:paraId="780CC50B" w14:textId="77777777" w:rsidR="00D771D9" w:rsidRDefault="00D771D9">
      <w:pPr>
        <w:spacing w:after="0"/>
      </w:pPr>
      <w:r>
        <w:br w:type="page"/>
      </w:r>
    </w:p>
    <w:p w14:paraId="1CF01C3A" w14:textId="77777777" w:rsidR="001C2D56" w:rsidRPr="000E2BBC" w:rsidRDefault="001C2D56" w:rsidP="0018649E">
      <w:pPr>
        <w:pStyle w:val="Heading2"/>
        <w:numPr>
          <w:ilvl w:val="0"/>
          <w:numId w:val="32"/>
        </w:numPr>
        <w:spacing w:before="0"/>
        <w:ind w:left="360" w:hanging="360"/>
        <w:jc w:val="both"/>
        <w:rPr>
          <w:sz w:val="26"/>
          <w:szCs w:val="26"/>
        </w:rPr>
      </w:pPr>
      <w:bookmarkStart w:id="50" w:name="_Toc20331582"/>
      <w:bookmarkStart w:id="51" w:name="_Toc27467019"/>
      <w:r>
        <w:rPr>
          <w:sz w:val="26"/>
          <w:szCs w:val="26"/>
        </w:rPr>
        <w:lastRenderedPageBreak/>
        <w:t>Key Activities Schedule</w:t>
      </w:r>
      <w:bookmarkEnd w:id="50"/>
      <w:bookmarkEnd w:id="51"/>
    </w:p>
    <w:bookmarkEnd w:id="38"/>
    <w:bookmarkEnd w:id="39"/>
    <w:bookmarkEnd w:id="40"/>
    <w:bookmarkEnd w:id="41"/>
    <w:p w14:paraId="42779FD5" w14:textId="77777777" w:rsidR="001C2D56" w:rsidRPr="00750003" w:rsidRDefault="001C2D56" w:rsidP="00A10CB4">
      <w:pPr>
        <w:spacing w:after="0"/>
        <w:jc w:val="both"/>
      </w:pPr>
      <w:r w:rsidRPr="00C31C1D">
        <w:t>Key activities</w:t>
      </w:r>
      <w:r>
        <w:t>,</w:t>
      </w:r>
      <w:r w:rsidRPr="00C31C1D">
        <w:t xml:space="preserve"> dates</w:t>
      </w:r>
      <w:r>
        <w:t>,</w:t>
      </w:r>
      <w:r w:rsidRPr="00C31C1D">
        <w:t xml:space="preserve"> and times for this solicitation </w:t>
      </w:r>
      <w:r>
        <w:t xml:space="preserve">and for agreements resulting from this solicitation </w:t>
      </w:r>
      <w:r w:rsidRPr="00C31C1D">
        <w:t>are presented below.  An addendum will be released if the dates change for activities</w:t>
      </w:r>
      <w:r>
        <w:t xml:space="preserve"> that appear in </w:t>
      </w:r>
      <w:r w:rsidRPr="00895492">
        <w:rPr>
          <w:b/>
        </w:rPr>
        <w:t>bold.</w:t>
      </w:r>
    </w:p>
    <w:p w14:paraId="023B8227" w14:textId="77777777" w:rsidR="001C2D56" w:rsidRPr="00C31C1D" w:rsidRDefault="001C2D56" w:rsidP="00A10CB4">
      <w:pPr>
        <w:jc w:val="both"/>
      </w:pPr>
    </w:p>
    <w:tbl>
      <w:tblPr>
        <w:tblStyle w:val="TableGrid1"/>
        <w:tblW w:w="9810" w:type="dxa"/>
        <w:tblLayout w:type="fixed"/>
        <w:tblLook w:val="0000" w:firstRow="0" w:lastRow="0" w:firstColumn="0" w:lastColumn="0" w:noHBand="0" w:noVBand="0"/>
        <w:tblCaption w:val="Key Activities Schedule"/>
        <w:tblDescription w:val="Activities and Dates and Times"/>
      </w:tblPr>
      <w:tblGrid>
        <w:gridCol w:w="5827"/>
        <w:gridCol w:w="2183"/>
        <w:gridCol w:w="1800"/>
      </w:tblGrid>
      <w:tr w:rsidR="001C2D56" w:rsidRPr="00C31C1D" w14:paraId="344B5FD3" w14:textId="77777777" w:rsidTr="00E240C7">
        <w:trPr>
          <w:cantSplit/>
          <w:trHeight w:hRule="exact" w:val="298"/>
          <w:tblHeader/>
        </w:trPr>
        <w:tc>
          <w:tcPr>
            <w:tcW w:w="5827" w:type="dxa"/>
            <w:shd w:val="clear" w:color="auto" w:fill="D9D9D9" w:themeFill="background1" w:themeFillShade="D9"/>
          </w:tcPr>
          <w:p w14:paraId="3FFCC87E" w14:textId="77777777" w:rsidR="001C2D56" w:rsidRPr="00C31C1D" w:rsidRDefault="001C2D56" w:rsidP="00A10CB4">
            <w:pPr>
              <w:keepNext/>
              <w:keepLines/>
              <w:widowControl w:val="0"/>
              <w:jc w:val="both"/>
              <w:rPr>
                <w:b/>
                <w:szCs w:val="22"/>
              </w:rPr>
            </w:pPr>
            <w:r w:rsidRPr="00C31C1D">
              <w:rPr>
                <w:b/>
                <w:szCs w:val="22"/>
              </w:rPr>
              <w:t>ACTIVITY</w:t>
            </w:r>
          </w:p>
        </w:tc>
        <w:tc>
          <w:tcPr>
            <w:tcW w:w="2183" w:type="dxa"/>
            <w:shd w:val="clear" w:color="auto" w:fill="D9D9D9" w:themeFill="background1" w:themeFillShade="D9"/>
          </w:tcPr>
          <w:p w14:paraId="5FA457B3" w14:textId="77777777" w:rsidR="001C2D56" w:rsidRPr="00C31C1D" w:rsidRDefault="001C2D56" w:rsidP="00A10CB4">
            <w:pPr>
              <w:keepNext/>
              <w:keepLines/>
              <w:widowControl w:val="0"/>
              <w:jc w:val="both"/>
              <w:rPr>
                <w:b/>
                <w:szCs w:val="22"/>
              </w:rPr>
            </w:pPr>
            <w:r w:rsidRPr="00C31C1D">
              <w:rPr>
                <w:b/>
                <w:szCs w:val="22"/>
              </w:rPr>
              <w:t>DATE</w:t>
            </w:r>
          </w:p>
        </w:tc>
        <w:tc>
          <w:tcPr>
            <w:tcW w:w="1800" w:type="dxa"/>
            <w:shd w:val="clear" w:color="auto" w:fill="D9D9D9" w:themeFill="background1" w:themeFillShade="D9"/>
          </w:tcPr>
          <w:p w14:paraId="3EC55B46" w14:textId="77777777" w:rsidR="001C2D56" w:rsidRPr="00C31C1D" w:rsidDel="00D53B51" w:rsidRDefault="001C2D56" w:rsidP="00D94EBE">
            <w:pPr>
              <w:keepNext/>
              <w:keepLines/>
              <w:widowControl w:val="0"/>
              <w:spacing w:after="0"/>
              <w:jc w:val="both"/>
              <w:rPr>
                <w:b/>
                <w:szCs w:val="22"/>
              </w:rPr>
            </w:pPr>
            <w:r>
              <w:rPr>
                <w:b/>
                <w:szCs w:val="22"/>
              </w:rPr>
              <w:t>TIME</w:t>
            </w:r>
            <w:r w:rsidR="002D52E8">
              <w:rPr>
                <w:rStyle w:val="FootnoteReference"/>
                <w:b/>
                <w:szCs w:val="22"/>
              </w:rPr>
              <w:footnoteReference w:id="8"/>
            </w:r>
            <w:r w:rsidR="00725885">
              <w:rPr>
                <w:b/>
                <w:szCs w:val="22"/>
              </w:rPr>
              <w:t xml:space="preserve"> </w:t>
            </w:r>
          </w:p>
        </w:tc>
      </w:tr>
      <w:tr w:rsidR="006E6698" w:rsidRPr="00C31C1D" w14:paraId="5120364C" w14:textId="77777777" w:rsidTr="00E240C7">
        <w:trPr>
          <w:cantSplit/>
          <w:trHeight w:val="720"/>
          <w:tblHeader/>
        </w:trPr>
        <w:tc>
          <w:tcPr>
            <w:tcW w:w="5827" w:type="dxa"/>
          </w:tcPr>
          <w:p w14:paraId="4AA801DC" w14:textId="77777777" w:rsidR="006E6698" w:rsidRPr="00C31C1D" w:rsidRDefault="006E6698" w:rsidP="00384392">
            <w:pPr>
              <w:keepNext/>
              <w:keepLines/>
              <w:widowControl w:val="0"/>
              <w:rPr>
                <w:szCs w:val="22"/>
              </w:rPr>
            </w:pPr>
            <w:r w:rsidRPr="00C31C1D">
              <w:rPr>
                <w:szCs w:val="22"/>
              </w:rPr>
              <w:t>Solicitation Release</w:t>
            </w:r>
          </w:p>
        </w:tc>
        <w:tc>
          <w:tcPr>
            <w:tcW w:w="2183" w:type="dxa"/>
          </w:tcPr>
          <w:p w14:paraId="2A5C3774" w14:textId="261741C0" w:rsidR="006E6698" w:rsidRPr="00750003" w:rsidRDefault="009D55B2" w:rsidP="00384392">
            <w:pPr>
              <w:keepNext/>
              <w:keepLines/>
              <w:widowControl w:val="0"/>
            </w:pPr>
            <w:r w:rsidRPr="00750003">
              <w:t xml:space="preserve">December </w:t>
            </w:r>
            <w:r w:rsidR="00384392" w:rsidRPr="00750003">
              <w:t>19</w:t>
            </w:r>
            <w:r w:rsidR="00B14E7F" w:rsidRPr="00750003">
              <w:t>,</w:t>
            </w:r>
            <w:r w:rsidR="006E6698" w:rsidRPr="00750003">
              <w:t xml:space="preserve"> 2019</w:t>
            </w:r>
          </w:p>
        </w:tc>
        <w:tc>
          <w:tcPr>
            <w:tcW w:w="1800" w:type="dxa"/>
          </w:tcPr>
          <w:p w14:paraId="2EC83183" w14:textId="77777777" w:rsidR="006E6698" w:rsidRPr="00750003" w:rsidRDefault="006E6698" w:rsidP="00384392">
            <w:pPr>
              <w:keepNext/>
              <w:keepLines/>
              <w:widowControl w:val="0"/>
              <w:rPr>
                <w:szCs w:val="22"/>
              </w:rPr>
            </w:pPr>
          </w:p>
        </w:tc>
      </w:tr>
      <w:tr w:rsidR="006E6698" w:rsidRPr="00C31C1D" w14:paraId="29881B35" w14:textId="77777777" w:rsidTr="00E240C7">
        <w:trPr>
          <w:cantSplit/>
          <w:trHeight w:val="720"/>
          <w:tblHeader/>
        </w:trPr>
        <w:tc>
          <w:tcPr>
            <w:tcW w:w="5827" w:type="dxa"/>
          </w:tcPr>
          <w:p w14:paraId="5BCFD4EE" w14:textId="77777777" w:rsidR="006E6698" w:rsidRPr="00895492" w:rsidRDefault="006E6698" w:rsidP="00384392">
            <w:pPr>
              <w:keepNext/>
              <w:keepLines/>
              <w:widowControl w:val="0"/>
              <w:rPr>
                <w:b/>
                <w:szCs w:val="22"/>
              </w:rPr>
            </w:pPr>
            <w:r w:rsidRPr="00895492">
              <w:rPr>
                <w:b/>
                <w:szCs w:val="22"/>
              </w:rPr>
              <w:t>Pre-Application Workshop</w:t>
            </w:r>
          </w:p>
        </w:tc>
        <w:tc>
          <w:tcPr>
            <w:tcW w:w="2183" w:type="dxa"/>
          </w:tcPr>
          <w:p w14:paraId="4F2887B3" w14:textId="4A19F01E" w:rsidR="006E6698" w:rsidRPr="00750003" w:rsidRDefault="00384392" w:rsidP="00384392">
            <w:pPr>
              <w:keepNext/>
              <w:keepLines/>
              <w:widowControl w:val="0"/>
              <w:rPr>
                <w:b/>
                <w:szCs w:val="22"/>
              </w:rPr>
            </w:pPr>
            <w:r w:rsidRPr="00750003">
              <w:t>January 07</w:t>
            </w:r>
            <w:r w:rsidR="006E6698" w:rsidRPr="00750003">
              <w:t>, 20</w:t>
            </w:r>
            <w:r w:rsidRPr="00750003">
              <w:t>20</w:t>
            </w:r>
          </w:p>
        </w:tc>
        <w:tc>
          <w:tcPr>
            <w:tcW w:w="1800" w:type="dxa"/>
          </w:tcPr>
          <w:p w14:paraId="60EAC4AD" w14:textId="6B8228A4" w:rsidR="006E6698" w:rsidRPr="00750003" w:rsidRDefault="00E17973" w:rsidP="009832E5">
            <w:pPr>
              <w:keepNext/>
              <w:keepLines/>
              <w:widowControl w:val="0"/>
              <w:rPr>
                <w:b/>
                <w:szCs w:val="22"/>
              </w:rPr>
            </w:pPr>
            <w:r w:rsidRPr="00750003">
              <w:t>1</w:t>
            </w:r>
            <w:r w:rsidR="0005047C">
              <w:t>:</w:t>
            </w:r>
            <w:r w:rsidR="009832E5">
              <w:t>3</w:t>
            </w:r>
            <w:r w:rsidR="00712077" w:rsidRPr="00750003">
              <w:t xml:space="preserve">0 </w:t>
            </w:r>
            <w:r w:rsidR="0005047C">
              <w:t>p</w:t>
            </w:r>
            <w:r w:rsidRPr="00750003">
              <w:t>.m.</w:t>
            </w:r>
          </w:p>
        </w:tc>
      </w:tr>
      <w:tr w:rsidR="006E6698" w:rsidRPr="00C31C1D" w14:paraId="28E1E688" w14:textId="77777777" w:rsidTr="00E240C7">
        <w:trPr>
          <w:cantSplit/>
          <w:trHeight w:val="720"/>
          <w:tblHeader/>
        </w:trPr>
        <w:tc>
          <w:tcPr>
            <w:tcW w:w="5827" w:type="dxa"/>
          </w:tcPr>
          <w:p w14:paraId="65888B7B" w14:textId="77777777" w:rsidR="006E6698" w:rsidRPr="00895492" w:rsidRDefault="006E6698" w:rsidP="009A4F24">
            <w:pPr>
              <w:keepNext/>
              <w:keepLines/>
              <w:widowControl w:val="0"/>
              <w:rPr>
                <w:b/>
                <w:szCs w:val="22"/>
              </w:rPr>
            </w:pPr>
            <w:r w:rsidRPr="00895492">
              <w:rPr>
                <w:b/>
                <w:szCs w:val="22"/>
              </w:rPr>
              <w:t>Deadline for Written Questions</w:t>
            </w:r>
            <w:r w:rsidRPr="00B4391F">
              <w:rPr>
                <w:rStyle w:val="FootnoteReference"/>
                <w:b/>
                <w:szCs w:val="22"/>
                <w:u w:val="single"/>
              </w:rPr>
              <w:footnoteReference w:id="9"/>
            </w:r>
          </w:p>
        </w:tc>
        <w:tc>
          <w:tcPr>
            <w:tcW w:w="2183" w:type="dxa"/>
          </w:tcPr>
          <w:p w14:paraId="425BD59C" w14:textId="385EDAF0" w:rsidR="006E6698" w:rsidRPr="00750003" w:rsidRDefault="00384392" w:rsidP="00384392">
            <w:pPr>
              <w:keepNext/>
              <w:keepLines/>
              <w:widowControl w:val="0"/>
              <w:rPr>
                <w:b/>
              </w:rPr>
            </w:pPr>
            <w:r w:rsidRPr="00750003">
              <w:t>January 09, 2020</w:t>
            </w:r>
          </w:p>
        </w:tc>
        <w:tc>
          <w:tcPr>
            <w:tcW w:w="1800" w:type="dxa"/>
          </w:tcPr>
          <w:p w14:paraId="581E990A" w14:textId="77777777" w:rsidR="006E6698" w:rsidRPr="00750003" w:rsidRDefault="006E6698" w:rsidP="009A4F24">
            <w:pPr>
              <w:keepNext/>
              <w:keepLines/>
              <w:widowControl w:val="0"/>
              <w:rPr>
                <w:b/>
                <w:szCs w:val="22"/>
              </w:rPr>
            </w:pPr>
            <w:r w:rsidRPr="00750003">
              <w:t>5:00 p.m.</w:t>
            </w:r>
          </w:p>
        </w:tc>
      </w:tr>
      <w:tr w:rsidR="006E6698" w:rsidRPr="00C31C1D" w14:paraId="0CC4613E" w14:textId="77777777" w:rsidTr="00E240C7">
        <w:trPr>
          <w:cantSplit/>
          <w:trHeight w:val="720"/>
          <w:tblHeader/>
        </w:trPr>
        <w:tc>
          <w:tcPr>
            <w:tcW w:w="5827" w:type="dxa"/>
          </w:tcPr>
          <w:p w14:paraId="7D55B756" w14:textId="77777777" w:rsidR="006E6698" w:rsidRPr="00C31C1D" w:rsidRDefault="006E6698" w:rsidP="009A4F24">
            <w:pPr>
              <w:widowControl w:val="0"/>
              <w:spacing w:after="0"/>
              <w:rPr>
                <w:szCs w:val="22"/>
              </w:rPr>
            </w:pPr>
            <w:r>
              <w:rPr>
                <w:szCs w:val="22"/>
              </w:rPr>
              <w:t>Anticipated</w:t>
            </w:r>
            <w:r w:rsidRPr="00C31C1D">
              <w:rPr>
                <w:szCs w:val="22"/>
              </w:rPr>
              <w:t xml:space="preserve"> Distribut</w:t>
            </w:r>
            <w:r>
              <w:rPr>
                <w:szCs w:val="22"/>
              </w:rPr>
              <w:t xml:space="preserve">ion of Questions and </w:t>
            </w:r>
            <w:r w:rsidRPr="00C31C1D">
              <w:rPr>
                <w:szCs w:val="22"/>
              </w:rPr>
              <w:t xml:space="preserve">Answers </w:t>
            </w:r>
          </w:p>
        </w:tc>
        <w:tc>
          <w:tcPr>
            <w:tcW w:w="2183" w:type="dxa"/>
          </w:tcPr>
          <w:p w14:paraId="5C674677" w14:textId="7109D9B1" w:rsidR="006E6698" w:rsidRPr="00750003" w:rsidRDefault="00B14E7F" w:rsidP="00384392">
            <w:pPr>
              <w:keepNext/>
              <w:keepLines/>
              <w:widowControl w:val="0"/>
            </w:pPr>
            <w:r w:rsidRPr="00750003">
              <w:t xml:space="preserve">Week of </w:t>
            </w:r>
            <w:r w:rsidR="00384392" w:rsidRPr="00750003">
              <w:t>January 13, 2020</w:t>
            </w:r>
          </w:p>
        </w:tc>
        <w:tc>
          <w:tcPr>
            <w:tcW w:w="1800" w:type="dxa"/>
          </w:tcPr>
          <w:p w14:paraId="0107368D" w14:textId="77777777" w:rsidR="006E6698" w:rsidRPr="00750003" w:rsidRDefault="006E6698" w:rsidP="009A4F24">
            <w:pPr>
              <w:keepNext/>
              <w:keepLines/>
              <w:widowControl w:val="0"/>
              <w:rPr>
                <w:szCs w:val="22"/>
              </w:rPr>
            </w:pPr>
          </w:p>
        </w:tc>
      </w:tr>
      <w:tr w:rsidR="006E6698" w:rsidRPr="00C31C1D" w14:paraId="258F0124" w14:textId="77777777" w:rsidTr="00E240C7">
        <w:trPr>
          <w:cantSplit/>
          <w:trHeight w:val="720"/>
          <w:tblHeader/>
        </w:trPr>
        <w:tc>
          <w:tcPr>
            <w:tcW w:w="5827" w:type="dxa"/>
          </w:tcPr>
          <w:p w14:paraId="64D34CD5" w14:textId="77777777" w:rsidR="006E6698" w:rsidRPr="00C31C1D" w:rsidRDefault="006E6698" w:rsidP="009A4F24">
            <w:pPr>
              <w:keepNext/>
              <w:keepLines/>
              <w:widowControl w:val="0"/>
              <w:rPr>
                <w:b/>
                <w:szCs w:val="22"/>
              </w:rPr>
            </w:pPr>
            <w:r w:rsidRPr="00C31C1D">
              <w:rPr>
                <w:b/>
                <w:szCs w:val="22"/>
              </w:rPr>
              <w:t>Deadline to Submit Applications</w:t>
            </w:r>
          </w:p>
        </w:tc>
        <w:tc>
          <w:tcPr>
            <w:tcW w:w="2183" w:type="dxa"/>
          </w:tcPr>
          <w:p w14:paraId="19376D65" w14:textId="11BBC0F4" w:rsidR="006E6698" w:rsidRPr="00750003" w:rsidRDefault="008C5C60" w:rsidP="009A4F24">
            <w:pPr>
              <w:keepNext/>
              <w:keepLines/>
              <w:widowControl w:val="0"/>
              <w:rPr>
                <w:b/>
              </w:rPr>
            </w:pPr>
            <w:r w:rsidRPr="00750003">
              <w:t xml:space="preserve">February </w:t>
            </w:r>
            <w:r w:rsidR="009A4F24" w:rsidRPr="00750003">
              <w:t>4</w:t>
            </w:r>
            <w:r w:rsidR="006E6698" w:rsidRPr="00750003">
              <w:t>, 2020</w:t>
            </w:r>
          </w:p>
        </w:tc>
        <w:tc>
          <w:tcPr>
            <w:tcW w:w="1800" w:type="dxa"/>
          </w:tcPr>
          <w:p w14:paraId="7E6C8DF6" w14:textId="77777777" w:rsidR="006E6698" w:rsidRPr="00750003" w:rsidRDefault="00783851" w:rsidP="009A4F24">
            <w:pPr>
              <w:keepNext/>
              <w:keepLines/>
              <w:widowControl w:val="0"/>
              <w:rPr>
                <w:szCs w:val="22"/>
              </w:rPr>
            </w:pPr>
            <w:r w:rsidRPr="00750003">
              <w:t>5</w:t>
            </w:r>
            <w:r w:rsidR="006E6698" w:rsidRPr="00750003">
              <w:t>:00 p.m.</w:t>
            </w:r>
          </w:p>
        </w:tc>
      </w:tr>
      <w:tr w:rsidR="006E6698" w:rsidRPr="00C31C1D" w14:paraId="43162EA3" w14:textId="77777777" w:rsidTr="00E240C7">
        <w:trPr>
          <w:cantSplit/>
          <w:trHeight w:val="720"/>
          <w:tblHeader/>
        </w:trPr>
        <w:tc>
          <w:tcPr>
            <w:tcW w:w="5827" w:type="dxa"/>
          </w:tcPr>
          <w:p w14:paraId="7A2B95C5" w14:textId="77777777" w:rsidR="006E6698" w:rsidRPr="00C31C1D" w:rsidRDefault="006E6698" w:rsidP="009A4F24">
            <w:pPr>
              <w:keepNext/>
              <w:keepLines/>
              <w:widowControl w:val="0"/>
              <w:rPr>
                <w:szCs w:val="22"/>
              </w:rPr>
            </w:pPr>
            <w:r w:rsidRPr="00C31C1D">
              <w:rPr>
                <w:szCs w:val="22"/>
              </w:rPr>
              <w:t>Anticipated Notice of Proposed Award Posting Date</w:t>
            </w:r>
          </w:p>
        </w:tc>
        <w:tc>
          <w:tcPr>
            <w:tcW w:w="2183" w:type="dxa"/>
          </w:tcPr>
          <w:p w14:paraId="751DA2A5" w14:textId="7226B4B1" w:rsidR="006E6698" w:rsidRPr="00750003" w:rsidRDefault="00B422F6" w:rsidP="00B422F6">
            <w:pPr>
              <w:keepNext/>
              <w:keepLines/>
              <w:widowControl w:val="0"/>
            </w:pPr>
            <w:r w:rsidRPr="00750003">
              <w:t xml:space="preserve">Week of </w:t>
            </w:r>
            <w:r w:rsidR="008C5C60" w:rsidRPr="00750003">
              <w:t xml:space="preserve">March </w:t>
            </w:r>
            <w:r w:rsidRPr="00750003">
              <w:t>2</w:t>
            </w:r>
            <w:r w:rsidR="008C5C60" w:rsidRPr="00750003">
              <w:t xml:space="preserve">, </w:t>
            </w:r>
            <w:r w:rsidR="006E6698" w:rsidRPr="00750003">
              <w:t>2020</w:t>
            </w:r>
          </w:p>
        </w:tc>
        <w:tc>
          <w:tcPr>
            <w:tcW w:w="1800" w:type="dxa"/>
          </w:tcPr>
          <w:p w14:paraId="0CF58C5B" w14:textId="77777777" w:rsidR="006E6698" w:rsidRPr="00750003" w:rsidRDefault="006E6698" w:rsidP="009A4F24">
            <w:pPr>
              <w:keepNext/>
              <w:keepLines/>
              <w:widowControl w:val="0"/>
              <w:rPr>
                <w:szCs w:val="22"/>
              </w:rPr>
            </w:pPr>
          </w:p>
        </w:tc>
      </w:tr>
      <w:tr w:rsidR="006E6698" w:rsidRPr="00C31C1D" w14:paraId="68BCF05B" w14:textId="77777777" w:rsidTr="00E240C7">
        <w:trPr>
          <w:cantSplit/>
          <w:trHeight w:val="720"/>
          <w:tblHeader/>
        </w:trPr>
        <w:tc>
          <w:tcPr>
            <w:tcW w:w="5827" w:type="dxa"/>
          </w:tcPr>
          <w:p w14:paraId="45080A2B" w14:textId="77777777" w:rsidR="006E6698" w:rsidRPr="00C31C1D" w:rsidRDefault="006E6698" w:rsidP="009A4F24">
            <w:pPr>
              <w:widowControl w:val="0"/>
              <w:rPr>
                <w:szCs w:val="22"/>
              </w:rPr>
            </w:pPr>
            <w:r w:rsidRPr="00C31C1D">
              <w:rPr>
                <w:szCs w:val="22"/>
              </w:rPr>
              <w:t>Anticipated Energy Commission Business Meeting Date</w:t>
            </w:r>
          </w:p>
        </w:tc>
        <w:tc>
          <w:tcPr>
            <w:tcW w:w="2183" w:type="dxa"/>
          </w:tcPr>
          <w:p w14:paraId="607ADD20" w14:textId="77777777" w:rsidR="006E6698" w:rsidRPr="00750003" w:rsidRDefault="008C5C60" w:rsidP="009A4F24">
            <w:pPr>
              <w:keepNext/>
              <w:keepLines/>
              <w:widowControl w:val="0"/>
            </w:pPr>
            <w:r w:rsidRPr="00750003">
              <w:t>June 10</w:t>
            </w:r>
            <w:r w:rsidR="006E6698" w:rsidRPr="00750003">
              <w:t>, 2020</w:t>
            </w:r>
          </w:p>
        </w:tc>
        <w:tc>
          <w:tcPr>
            <w:tcW w:w="1800" w:type="dxa"/>
          </w:tcPr>
          <w:p w14:paraId="6481F5BB" w14:textId="77777777" w:rsidR="006E6698" w:rsidRPr="00750003" w:rsidRDefault="006E6698" w:rsidP="009A4F24">
            <w:pPr>
              <w:keepNext/>
              <w:keepLines/>
              <w:widowControl w:val="0"/>
              <w:rPr>
                <w:szCs w:val="22"/>
              </w:rPr>
            </w:pPr>
          </w:p>
        </w:tc>
      </w:tr>
      <w:tr w:rsidR="006E6698" w:rsidRPr="00C31C1D" w14:paraId="0F66771A" w14:textId="77777777" w:rsidTr="00E240C7">
        <w:trPr>
          <w:cantSplit/>
          <w:trHeight w:val="720"/>
          <w:tblHeader/>
        </w:trPr>
        <w:tc>
          <w:tcPr>
            <w:tcW w:w="5827" w:type="dxa"/>
          </w:tcPr>
          <w:p w14:paraId="335DC2B4" w14:textId="77777777" w:rsidR="006E6698" w:rsidRPr="00C31C1D" w:rsidRDefault="006E6698" w:rsidP="009A4F24">
            <w:pPr>
              <w:widowControl w:val="0"/>
              <w:rPr>
                <w:szCs w:val="22"/>
              </w:rPr>
            </w:pPr>
            <w:r w:rsidRPr="00C31C1D">
              <w:rPr>
                <w:szCs w:val="22"/>
              </w:rPr>
              <w:t>Anticipated Agreement Start Date</w:t>
            </w:r>
          </w:p>
        </w:tc>
        <w:tc>
          <w:tcPr>
            <w:tcW w:w="2183" w:type="dxa"/>
          </w:tcPr>
          <w:p w14:paraId="2F033F98" w14:textId="4C6FB477" w:rsidR="006E6698" w:rsidRPr="00750003" w:rsidRDefault="0040458F" w:rsidP="009A4F24">
            <w:pPr>
              <w:keepNext/>
              <w:keepLines/>
              <w:widowControl w:val="0"/>
            </w:pPr>
            <w:r w:rsidRPr="00750003">
              <w:t>June 30</w:t>
            </w:r>
            <w:r w:rsidR="006E6698" w:rsidRPr="00750003">
              <w:t>, 2020</w:t>
            </w:r>
          </w:p>
        </w:tc>
        <w:tc>
          <w:tcPr>
            <w:tcW w:w="1800" w:type="dxa"/>
          </w:tcPr>
          <w:p w14:paraId="2AAB79A5" w14:textId="77777777" w:rsidR="006E6698" w:rsidRPr="00750003" w:rsidRDefault="006E6698" w:rsidP="009A4F24">
            <w:pPr>
              <w:keepNext/>
              <w:keepLines/>
              <w:widowControl w:val="0"/>
              <w:rPr>
                <w:szCs w:val="22"/>
              </w:rPr>
            </w:pPr>
          </w:p>
        </w:tc>
      </w:tr>
      <w:tr w:rsidR="006E6698" w:rsidRPr="00C31C1D" w14:paraId="14CBE6E6" w14:textId="77777777" w:rsidTr="00E240C7">
        <w:trPr>
          <w:cantSplit/>
          <w:trHeight w:val="720"/>
          <w:tblHeader/>
        </w:trPr>
        <w:tc>
          <w:tcPr>
            <w:tcW w:w="5827" w:type="dxa"/>
          </w:tcPr>
          <w:p w14:paraId="68F3D0D9" w14:textId="77777777" w:rsidR="006E6698" w:rsidRPr="00C31C1D" w:rsidRDefault="006E6698" w:rsidP="009A4F24">
            <w:pPr>
              <w:widowControl w:val="0"/>
              <w:rPr>
                <w:szCs w:val="22"/>
              </w:rPr>
            </w:pPr>
            <w:r>
              <w:rPr>
                <w:szCs w:val="22"/>
              </w:rPr>
              <w:t xml:space="preserve">Anticipated Agreement End Date </w:t>
            </w:r>
          </w:p>
        </w:tc>
        <w:tc>
          <w:tcPr>
            <w:tcW w:w="2183" w:type="dxa"/>
          </w:tcPr>
          <w:p w14:paraId="6C9FFBB5" w14:textId="77777777" w:rsidR="006E6698" w:rsidRPr="00750003" w:rsidRDefault="006E6698" w:rsidP="009A4F24">
            <w:pPr>
              <w:keepNext/>
              <w:keepLines/>
              <w:widowControl w:val="0"/>
              <w:rPr>
                <w:szCs w:val="22"/>
              </w:rPr>
            </w:pPr>
            <w:r w:rsidRPr="00750003">
              <w:t>December 31, 2023</w:t>
            </w:r>
          </w:p>
        </w:tc>
        <w:tc>
          <w:tcPr>
            <w:tcW w:w="1800" w:type="dxa"/>
          </w:tcPr>
          <w:p w14:paraId="508837A7" w14:textId="77777777" w:rsidR="006E6698" w:rsidRPr="00750003" w:rsidRDefault="006E6698" w:rsidP="009A4F24">
            <w:pPr>
              <w:keepNext/>
              <w:keepLines/>
              <w:widowControl w:val="0"/>
              <w:rPr>
                <w:szCs w:val="22"/>
              </w:rPr>
            </w:pPr>
          </w:p>
        </w:tc>
      </w:tr>
    </w:tbl>
    <w:p w14:paraId="6D65C83D" w14:textId="77777777" w:rsidR="001C2D56" w:rsidRPr="00C31C1D" w:rsidRDefault="001C2D56" w:rsidP="00A10CB4">
      <w:pPr>
        <w:spacing w:after="0"/>
        <w:jc w:val="both"/>
      </w:pPr>
      <w:bookmarkStart w:id="52" w:name="_Toc198951306"/>
      <w:bookmarkStart w:id="53" w:name="_Toc201713533"/>
      <w:bookmarkStart w:id="54" w:name="_Toc217726087"/>
      <w:bookmarkStart w:id="55" w:name="_Toc219275083"/>
    </w:p>
    <w:p w14:paraId="74BFBF52" w14:textId="77777777" w:rsidR="001C2D56" w:rsidRPr="000E2BBC" w:rsidRDefault="00217A81" w:rsidP="0018649E">
      <w:pPr>
        <w:pStyle w:val="Heading2"/>
        <w:keepLines/>
        <w:numPr>
          <w:ilvl w:val="0"/>
          <w:numId w:val="32"/>
        </w:numPr>
        <w:ind w:left="360" w:hanging="360"/>
        <w:jc w:val="both"/>
        <w:rPr>
          <w:sz w:val="26"/>
          <w:szCs w:val="26"/>
        </w:rPr>
      </w:pPr>
      <w:bookmarkStart w:id="56" w:name="_Toc20331583"/>
      <w:bookmarkStart w:id="57" w:name="_Toc27467020"/>
      <w:r>
        <w:rPr>
          <w:sz w:val="26"/>
          <w:szCs w:val="26"/>
        </w:rPr>
        <w:lastRenderedPageBreak/>
        <w:t xml:space="preserve">Notice of </w:t>
      </w:r>
      <w:r w:rsidR="001C2D56">
        <w:rPr>
          <w:sz w:val="26"/>
          <w:szCs w:val="26"/>
        </w:rPr>
        <w:t>Pre-Application Workshop</w:t>
      </w:r>
      <w:bookmarkEnd w:id="56"/>
      <w:bookmarkEnd w:id="57"/>
    </w:p>
    <w:p w14:paraId="7B1BB408" w14:textId="3313C70D" w:rsidR="001C2D56" w:rsidRPr="00C31C1D" w:rsidRDefault="001C2D56" w:rsidP="008B5A2C">
      <w:pPr>
        <w:keepNext/>
        <w:keepLines/>
        <w:jc w:val="both"/>
        <w:rPr>
          <w:szCs w:val="22"/>
        </w:rPr>
      </w:pPr>
      <w:r w:rsidRPr="00C31C1D">
        <w:rPr>
          <w:szCs w:val="22"/>
        </w:rPr>
        <w:t xml:space="preserve">Energy Commission staff will hold one Pre-Application Workshop to discuss the solicitation with </w:t>
      </w:r>
      <w:r w:rsidR="00D24AAB">
        <w:rPr>
          <w:szCs w:val="22"/>
        </w:rPr>
        <w:t xml:space="preserve">potential </w:t>
      </w:r>
      <w:r>
        <w:rPr>
          <w:szCs w:val="22"/>
        </w:rPr>
        <w:t>a</w:t>
      </w:r>
      <w:r w:rsidRPr="00C31C1D">
        <w:rPr>
          <w:szCs w:val="22"/>
        </w:rPr>
        <w:t xml:space="preserve">pplicants. Participation is optional but encouraged.  Applicants may attend the workshop in-person, via </w:t>
      </w:r>
      <w:r>
        <w:rPr>
          <w:szCs w:val="22"/>
        </w:rPr>
        <w:t>the internet (</w:t>
      </w:r>
      <w:r w:rsidRPr="00C31C1D">
        <w:rPr>
          <w:szCs w:val="22"/>
        </w:rPr>
        <w:t>WebEx</w:t>
      </w:r>
      <w:r>
        <w:rPr>
          <w:szCs w:val="22"/>
        </w:rPr>
        <w:t>, see instructions below)</w:t>
      </w:r>
      <w:r w:rsidRPr="00C31C1D">
        <w:rPr>
          <w:szCs w:val="22"/>
        </w:rPr>
        <w:t xml:space="preserve">, or via conference call on the date and at the time and location listed below.  Please call (916) 654-4381 or refer to the Energy Commission's website at </w:t>
      </w:r>
      <w:r w:rsidR="009C2A1F" w:rsidRPr="00DB6750">
        <w:t>www.energy.ca.gov/contracts/index.html</w:t>
      </w:r>
      <w:r w:rsidRPr="00C31C1D">
        <w:rPr>
          <w:szCs w:val="22"/>
        </w:rPr>
        <w:t xml:space="preserve"> to confirm the date and time.</w:t>
      </w:r>
    </w:p>
    <w:p w14:paraId="70D691DC" w14:textId="58E0C006" w:rsidR="001C2D56" w:rsidRPr="00A67634" w:rsidRDefault="001C2D56" w:rsidP="008B5A2C">
      <w:pPr>
        <w:keepNext/>
        <w:keepLines/>
        <w:spacing w:after="0"/>
      </w:pPr>
      <w:r>
        <w:rPr>
          <w:b/>
        </w:rPr>
        <w:t xml:space="preserve">Date and time: </w:t>
      </w:r>
      <w:r w:rsidR="009A4F24" w:rsidRPr="00A67634">
        <w:t>January 07</w:t>
      </w:r>
      <w:r w:rsidR="006E6698" w:rsidRPr="00A67634">
        <w:t>, 20</w:t>
      </w:r>
      <w:r w:rsidR="009A4F24" w:rsidRPr="00A67634">
        <w:t>20</w:t>
      </w:r>
      <w:r w:rsidR="006E6698" w:rsidRPr="00A67634">
        <w:t>, 1</w:t>
      </w:r>
      <w:r w:rsidR="00B46DB7" w:rsidRPr="00A67634">
        <w:t>:</w:t>
      </w:r>
      <w:r w:rsidR="009832E5">
        <w:t>3</w:t>
      </w:r>
      <w:r w:rsidR="00B46DB7" w:rsidRPr="00A67634">
        <w:t>0</w:t>
      </w:r>
      <w:r w:rsidR="006E6698" w:rsidRPr="00A67634">
        <w:t xml:space="preserve"> </w:t>
      </w:r>
      <w:r w:rsidR="0005047C">
        <w:t>p</w:t>
      </w:r>
      <w:r w:rsidR="006E6698" w:rsidRPr="00A67634">
        <w:t>m</w:t>
      </w:r>
    </w:p>
    <w:p w14:paraId="72A6A7F8" w14:textId="77777777" w:rsidR="001C2D56" w:rsidRPr="00A67634" w:rsidRDefault="001C2D56" w:rsidP="008B5A2C">
      <w:pPr>
        <w:keepNext/>
        <w:keepLines/>
        <w:tabs>
          <w:tab w:val="left" w:pos="1080"/>
          <w:tab w:val="left" w:pos="1260"/>
        </w:tabs>
        <w:spacing w:after="0"/>
      </w:pPr>
      <w:r w:rsidRPr="00A67634">
        <w:rPr>
          <w:b/>
        </w:rPr>
        <w:t xml:space="preserve">Location: </w:t>
      </w:r>
      <w:r w:rsidRPr="00A67634">
        <w:rPr>
          <w:b/>
        </w:rPr>
        <w:tab/>
      </w:r>
      <w:r w:rsidRPr="00A67634">
        <w:t>California Energy Commission</w:t>
      </w:r>
    </w:p>
    <w:p w14:paraId="7E86C974" w14:textId="77777777" w:rsidR="001C2D56" w:rsidRPr="00A67634" w:rsidRDefault="001C2D56" w:rsidP="008B5A2C">
      <w:pPr>
        <w:keepNext/>
        <w:keepLines/>
        <w:tabs>
          <w:tab w:val="left" w:pos="1080"/>
          <w:tab w:val="left" w:pos="1260"/>
        </w:tabs>
        <w:spacing w:after="0"/>
        <w:ind w:left="720" w:firstLine="360"/>
      </w:pPr>
      <w:r w:rsidRPr="00A67634">
        <w:t>1516 9th Street</w:t>
      </w:r>
    </w:p>
    <w:p w14:paraId="13EB6ACB" w14:textId="77777777" w:rsidR="001C2D56" w:rsidRPr="00A67634" w:rsidRDefault="001C2D56" w:rsidP="008B5A2C">
      <w:pPr>
        <w:keepNext/>
        <w:keepLines/>
        <w:tabs>
          <w:tab w:val="left" w:pos="1080"/>
          <w:tab w:val="left" w:pos="1260"/>
        </w:tabs>
        <w:spacing w:after="0"/>
        <w:ind w:left="450" w:firstLine="630"/>
      </w:pPr>
      <w:r w:rsidRPr="00A67634">
        <w:t>Sacramento, CA  95814</w:t>
      </w:r>
    </w:p>
    <w:p w14:paraId="496CA6C4" w14:textId="3C028436" w:rsidR="001C2D56" w:rsidRPr="00A67634" w:rsidRDefault="00B46DB7" w:rsidP="008B5A2C">
      <w:pPr>
        <w:keepNext/>
        <w:keepLines/>
        <w:tabs>
          <w:tab w:val="left" w:pos="1080"/>
          <w:tab w:val="left" w:pos="1260"/>
        </w:tabs>
        <w:spacing w:after="0"/>
        <w:ind w:left="446" w:firstLine="634"/>
      </w:pPr>
      <w:r w:rsidRPr="00A67634">
        <w:t xml:space="preserve">1st Floor, </w:t>
      </w:r>
      <w:r w:rsidR="003A095D">
        <w:t>Arthur Rosenfeld</w:t>
      </w:r>
      <w:r w:rsidRPr="00A67634">
        <w:t xml:space="preserve"> Hearing Room</w:t>
      </w:r>
    </w:p>
    <w:p w14:paraId="68468FCE" w14:textId="77777777" w:rsidR="00CE73EF" w:rsidRPr="00A67634" w:rsidRDefault="00CE73EF" w:rsidP="008B5A2C">
      <w:pPr>
        <w:keepNext/>
        <w:keepLines/>
        <w:tabs>
          <w:tab w:val="left" w:pos="1080"/>
          <w:tab w:val="left" w:pos="1260"/>
        </w:tabs>
        <w:ind w:left="450" w:firstLine="630"/>
      </w:pPr>
      <w:r w:rsidRPr="00A67634">
        <w:t>Wheelchair Accessible</w:t>
      </w:r>
    </w:p>
    <w:p w14:paraId="7607D389" w14:textId="77777777" w:rsidR="001C2D56" w:rsidRDefault="001C2D56" w:rsidP="00077074">
      <w:pPr>
        <w:spacing w:after="0"/>
        <w:jc w:val="both"/>
        <w:rPr>
          <w:b/>
          <w:u w:val="single"/>
        </w:rPr>
      </w:pPr>
    </w:p>
    <w:p w14:paraId="254B18B8" w14:textId="2ED62851" w:rsidR="001C2D56" w:rsidRDefault="001C2D56" w:rsidP="004E6C18">
      <w:pPr>
        <w:tabs>
          <w:tab w:val="left" w:pos="1080"/>
        </w:tabs>
        <w:jc w:val="both"/>
        <w:rPr>
          <w:b/>
        </w:rPr>
      </w:pPr>
      <w:r w:rsidRPr="00DC1CF3">
        <w:rPr>
          <w:b/>
        </w:rPr>
        <w:t>WebEx Instructions:</w:t>
      </w:r>
    </w:p>
    <w:p w14:paraId="6E0A89E5" w14:textId="4AA9E82A" w:rsidR="009832E5" w:rsidRPr="00D26B01" w:rsidRDefault="009832E5" w:rsidP="00BF0DC7">
      <w:pPr>
        <w:numPr>
          <w:ilvl w:val="0"/>
          <w:numId w:val="20"/>
        </w:numPr>
        <w:tabs>
          <w:tab w:val="left" w:pos="810"/>
        </w:tabs>
        <w:ind w:left="806" w:hanging="446"/>
        <w:jc w:val="both"/>
        <w:rPr>
          <w:b/>
        </w:rPr>
      </w:pPr>
      <w:r w:rsidRPr="00B72BF8">
        <w:t xml:space="preserve">To join the WebEx meeting, go to </w:t>
      </w:r>
      <w:hyperlink r:id="rId29" w:tooltip="Click here to join the WebEx meeting" w:history="1">
        <w:r w:rsidR="00D26B01" w:rsidRPr="00D26B01">
          <w:rPr>
            <w:rStyle w:val="Hyperlink"/>
            <w:rFonts w:cs="Arial"/>
          </w:rPr>
          <w:t>https://ener</w:t>
        </w:r>
        <w:r w:rsidR="00D26B01" w:rsidRPr="00D26B01">
          <w:rPr>
            <w:rStyle w:val="Hyperlink"/>
            <w:rFonts w:cs="Arial"/>
          </w:rPr>
          <w:t>g</w:t>
        </w:r>
        <w:r w:rsidR="00D26B01" w:rsidRPr="00D26B01">
          <w:rPr>
            <w:rStyle w:val="Hyperlink"/>
            <w:rFonts w:cs="Arial"/>
          </w:rPr>
          <w:t>y.webex.com</w:t>
        </w:r>
      </w:hyperlink>
      <w:r w:rsidRPr="00D26B01">
        <w:rPr>
          <w:color w:val="0000FF"/>
        </w:rPr>
        <w:t xml:space="preserve"> </w:t>
      </w:r>
      <w:r w:rsidRPr="00B72BF8">
        <w:t xml:space="preserve">and enter the meeting number and password below:  </w:t>
      </w:r>
    </w:p>
    <w:p w14:paraId="255904DD" w14:textId="62508F90" w:rsidR="009832E5" w:rsidRPr="00F74865" w:rsidRDefault="009832E5" w:rsidP="009832E5">
      <w:pPr>
        <w:tabs>
          <w:tab w:val="left" w:pos="900"/>
        </w:tabs>
        <w:spacing w:after="0"/>
        <w:ind w:left="720" w:firstLine="360"/>
        <w:rPr>
          <w:b/>
          <w:bCs/>
        </w:rPr>
      </w:pPr>
      <w:r w:rsidRPr="00F74865">
        <w:rPr>
          <w:b/>
        </w:rPr>
        <w:t xml:space="preserve">Meeting </w:t>
      </w:r>
      <w:r w:rsidRPr="005F2B51">
        <w:rPr>
          <w:b/>
        </w:rPr>
        <w:t>Number:</w:t>
      </w:r>
      <w:r w:rsidRPr="005F2B51">
        <w:t xml:space="preserve">  </w:t>
      </w:r>
      <w:r w:rsidRPr="005F2B51">
        <w:rPr>
          <w:rFonts w:ascii="Helvetica" w:hAnsi="Helvetica"/>
          <w:color w:val="000000"/>
          <w:sz w:val="21"/>
          <w:szCs w:val="21"/>
        </w:rPr>
        <w:t xml:space="preserve"> </w:t>
      </w:r>
      <w:r w:rsidRPr="009832E5">
        <w:t>926 282 645</w:t>
      </w:r>
    </w:p>
    <w:p w14:paraId="631C50B3" w14:textId="7EFD72E6" w:rsidR="009832E5" w:rsidRPr="00F74865" w:rsidRDefault="009832E5" w:rsidP="009832E5">
      <w:pPr>
        <w:spacing w:after="0"/>
        <w:ind w:left="360" w:firstLine="720"/>
      </w:pPr>
      <w:r w:rsidRPr="00F74865">
        <w:rPr>
          <w:b/>
        </w:rPr>
        <w:t>Meeting Password:</w:t>
      </w:r>
      <w:r w:rsidRPr="00F74865">
        <w:t xml:space="preserve"> </w:t>
      </w:r>
      <w:hyperlink r:id="rId30" w:history="1">
        <w:r w:rsidRPr="003A095D">
          <w:t>workshop@cec2020</w:t>
        </w:r>
      </w:hyperlink>
    </w:p>
    <w:p w14:paraId="5050C8A1" w14:textId="26C58690" w:rsidR="009832E5" w:rsidRDefault="009832E5" w:rsidP="009832E5">
      <w:pPr>
        <w:ind w:left="360" w:firstLine="720"/>
      </w:pPr>
      <w:r w:rsidRPr="00F74865">
        <w:rPr>
          <w:b/>
        </w:rPr>
        <w:t>Topic:</w:t>
      </w:r>
      <w:r w:rsidRPr="00F74865">
        <w:t xml:space="preserve"> </w:t>
      </w:r>
      <w:r w:rsidR="001C7B92">
        <w:t xml:space="preserve">GFO-19-305 </w:t>
      </w:r>
      <w:r w:rsidRPr="00F74865">
        <w:t>Pre-Application Workshop</w:t>
      </w:r>
    </w:p>
    <w:p w14:paraId="68D57CCC" w14:textId="77777777" w:rsidR="009832E5" w:rsidRPr="00DC1CF3" w:rsidRDefault="009832E5" w:rsidP="004E6C18">
      <w:pPr>
        <w:tabs>
          <w:tab w:val="left" w:pos="1080"/>
        </w:tabs>
        <w:jc w:val="both"/>
        <w:rPr>
          <w:b/>
        </w:rPr>
      </w:pPr>
    </w:p>
    <w:p w14:paraId="4F515D0C" w14:textId="77777777" w:rsidR="005E52CD" w:rsidRDefault="001C2D56" w:rsidP="00B07493">
      <w:pPr>
        <w:numPr>
          <w:ilvl w:val="0"/>
          <w:numId w:val="21"/>
        </w:numPr>
        <w:tabs>
          <w:tab w:val="left" w:pos="810"/>
        </w:tabs>
        <w:spacing w:after="0"/>
        <w:ind w:left="810" w:hanging="450"/>
        <w:jc w:val="both"/>
      </w:pPr>
      <w:r w:rsidRPr="00C31C1D">
        <w:rPr>
          <w:u w:val="single"/>
        </w:rPr>
        <w:t>To Logon with a Direct Phone Number</w:t>
      </w:r>
      <w:r w:rsidRPr="00C31C1D">
        <w:t>:  After logging into WebEx, a prompt will appear on-screen for a phone number. In the “Number” box,</w:t>
      </w:r>
      <w:r w:rsidRPr="004372A5">
        <w:t xml:space="preserve"> </w:t>
      </w:r>
      <w:r w:rsidRPr="00C31C1D">
        <w:t>enter your area code</w:t>
      </w:r>
      <w:r w:rsidRPr="004372A5">
        <w:t xml:space="preserve"> </w:t>
      </w:r>
      <w:r w:rsidRPr="00C31C1D">
        <w:t>and</w:t>
      </w:r>
      <w:r w:rsidRPr="00DA6A03">
        <w:t xml:space="preserve"> </w:t>
      </w:r>
      <w:r w:rsidRPr="00C31C1D">
        <w:t>phone number</w:t>
      </w:r>
      <w:r w:rsidRPr="00DA6A03">
        <w:t xml:space="preserve"> </w:t>
      </w:r>
      <w:r w:rsidRPr="00C31C1D">
        <w:t>and click “OK” to receive a call for the audio</w:t>
      </w:r>
      <w:r w:rsidRPr="00DA6A03">
        <w:t xml:space="preserve"> </w:t>
      </w:r>
      <w:r w:rsidRPr="00C31C1D">
        <w:t>of the meeting.</w:t>
      </w:r>
      <w:r w:rsidRPr="009459E5">
        <w:t xml:space="preserve"> </w:t>
      </w:r>
      <w:r w:rsidRPr="00C31C1D">
        <w:t>International</w:t>
      </w:r>
      <w:r>
        <w:t xml:space="preserve"> </w:t>
      </w:r>
      <w:r w:rsidRPr="00C31C1D">
        <w:t>callers</w:t>
      </w:r>
    </w:p>
    <w:p w14:paraId="7F6B867F" w14:textId="77777777" w:rsidR="001C2D56" w:rsidRPr="00C31C1D" w:rsidRDefault="001C2D56" w:rsidP="009459E5">
      <w:pPr>
        <w:ind w:left="810"/>
        <w:jc w:val="both"/>
      </w:pPr>
      <w:proofErr w:type="gramStart"/>
      <w:r>
        <w:t>may</w:t>
      </w:r>
      <w:proofErr w:type="gramEnd"/>
      <w:r w:rsidRPr="00C31C1D">
        <w:t xml:space="preserve"> use the "Country/Region" button to help make their connection.</w:t>
      </w:r>
    </w:p>
    <w:p w14:paraId="5B13C0FA" w14:textId="77777777" w:rsidR="005E52CD" w:rsidRDefault="001C2D56" w:rsidP="00B07493">
      <w:pPr>
        <w:numPr>
          <w:ilvl w:val="0"/>
          <w:numId w:val="21"/>
        </w:numPr>
        <w:tabs>
          <w:tab w:val="left" w:pos="810"/>
        </w:tabs>
        <w:ind w:left="810" w:hanging="450"/>
        <w:jc w:val="both"/>
        <w:rPr>
          <w:bCs/>
        </w:rPr>
      </w:pPr>
      <w:r w:rsidRPr="00C31C1D">
        <w:rPr>
          <w:bCs/>
          <w:u w:val="single"/>
        </w:rPr>
        <w:t>To Logon with an Extension Phone Number</w:t>
      </w:r>
      <w:r w:rsidRPr="00C31C1D">
        <w:rPr>
          <w:bCs/>
        </w:rPr>
        <w:t>:</w:t>
      </w:r>
      <w:r w:rsidRPr="00C31C1D">
        <w:t xml:space="preserve"> After you login, a prompt w</w:t>
      </w:r>
      <w:r>
        <w:t xml:space="preserve">ill ask for your phone number. </w:t>
      </w:r>
      <w:r w:rsidRPr="00C31C1D">
        <w:t xml:space="preserve">Select “CANCEL.” Call </w:t>
      </w:r>
      <w:r w:rsidRPr="00C31C1D">
        <w:rPr>
          <w:b/>
          <w:bCs/>
        </w:rPr>
        <w:t xml:space="preserve">1-866-469-3239 </w:t>
      </w:r>
      <w:r w:rsidRPr="00C31C1D">
        <w:t xml:space="preserve">(toll-free in the U.S. and Canada). </w:t>
      </w:r>
      <w:r>
        <w:t xml:space="preserve"> </w:t>
      </w:r>
      <w:r w:rsidRPr="00C31C1D">
        <w:t>When prompted, enter the meeting number above and the unique Attendee ID number listed in the top left area of the screen after login. International</w:t>
      </w:r>
      <w:r>
        <w:t xml:space="preserve"> callers may dial in using the “Show all global call-in numbers”</w:t>
      </w:r>
      <w:r w:rsidRPr="00C31C1D">
        <w:t xml:space="preserve"> link (also in the top left area).</w:t>
      </w:r>
    </w:p>
    <w:p w14:paraId="1FDF26FE" w14:textId="77777777" w:rsidR="001C2D56" w:rsidRDefault="001C2D56" w:rsidP="00077074">
      <w:pPr>
        <w:spacing w:after="0"/>
        <w:ind w:left="720"/>
        <w:jc w:val="both"/>
        <w:rPr>
          <w:b/>
          <w:u w:val="single"/>
        </w:rPr>
      </w:pPr>
    </w:p>
    <w:p w14:paraId="4EE78E87" w14:textId="77777777" w:rsidR="001C2D56" w:rsidRPr="00BE64A5" w:rsidRDefault="001C2D56" w:rsidP="005820E5">
      <w:pPr>
        <w:tabs>
          <w:tab w:val="left" w:pos="1080"/>
        </w:tabs>
        <w:jc w:val="both"/>
        <w:rPr>
          <w:b/>
        </w:rPr>
      </w:pPr>
      <w:r w:rsidRPr="00BE64A5">
        <w:rPr>
          <w:b/>
        </w:rPr>
        <w:t>Telephone Access Only:</w:t>
      </w:r>
    </w:p>
    <w:p w14:paraId="2453A9FC" w14:textId="77777777" w:rsidR="001C2D56" w:rsidRPr="00B422F6" w:rsidRDefault="001C2D56" w:rsidP="005820E5">
      <w:pPr>
        <w:jc w:val="both"/>
      </w:pPr>
      <w:r w:rsidRPr="00C31C1D">
        <w:t xml:space="preserve">Call </w:t>
      </w:r>
      <w:r w:rsidRPr="00C31C1D">
        <w:rPr>
          <w:b/>
          <w:bCs/>
        </w:rPr>
        <w:t xml:space="preserve">1-866-469-3239 </w:t>
      </w:r>
      <w:r w:rsidRPr="00C31C1D">
        <w:t>(toll-free in the U.S. and Canada). When prompted</w:t>
      </w:r>
      <w:r>
        <w:t>,</w:t>
      </w:r>
      <w:r w:rsidRPr="00C31C1D">
        <w:t xml:space="preserve"> enter the meeting number above. </w:t>
      </w:r>
    </w:p>
    <w:p w14:paraId="38ACF353" w14:textId="77777777" w:rsidR="001C2D56" w:rsidRPr="00B422F6" w:rsidRDefault="001C2D56" w:rsidP="001362A2">
      <w:pPr>
        <w:spacing w:after="0"/>
        <w:jc w:val="both"/>
      </w:pPr>
    </w:p>
    <w:p w14:paraId="5DFF9BA1" w14:textId="77777777" w:rsidR="001C2D56" w:rsidRPr="00BE64A5" w:rsidRDefault="001C2D56" w:rsidP="005820E5">
      <w:pPr>
        <w:tabs>
          <w:tab w:val="left" w:pos="1080"/>
        </w:tabs>
        <w:jc w:val="both"/>
        <w:rPr>
          <w:b/>
        </w:rPr>
      </w:pPr>
      <w:r w:rsidRPr="00B422F6">
        <w:rPr>
          <w:b/>
        </w:rPr>
        <w:t xml:space="preserve">Technical </w:t>
      </w:r>
      <w:r w:rsidRPr="00BE64A5">
        <w:rPr>
          <w:b/>
        </w:rPr>
        <w:t>Support:</w:t>
      </w:r>
    </w:p>
    <w:p w14:paraId="32025F95" w14:textId="77777777" w:rsidR="005E52CD" w:rsidRDefault="001C2D56" w:rsidP="00B07493">
      <w:pPr>
        <w:numPr>
          <w:ilvl w:val="0"/>
          <w:numId w:val="21"/>
        </w:numPr>
        <w:tabs>
          <w:tab w:val="left" w:pos="810"/>
        </w:tabs>
        <w:spacing w:after="0"/>
        <w:ind w:left="450" w:hanging="90"/>
        <w:jc w:val="both"/>
        <w:rPr>
          <w:b/>
          <w:u w:val="single"/>
        </w:rPr>
      </w:pPr>
      <w:r w:rsidRPr="00C31C1D">
        <w:t xml:space="preserve">For </w:t>
      </w:r>
      <w:r>
        <w:t>assistance</w:t>
      </w:r>
      <w:r w:rsidRPr="00C31C1D">
        <w:t xml:space="preserve"> with problems or questions about joining or attending the meeting, </w:t>
      </w:r>
    </w:p>
    <w:p w14:paraId="2019A6C8" w14:textId="0E04885E" w:rsidR="001C2D56" w:rsidRPr="00A67634" w:rsidRDefault="001C2D56" w:rsidP="003B72CB">
      <w:pPr>
        <w:tabs>
          <w:tab w:val="left" w:pos="810"/>
        </w:tabs>
        <w:spacing w:after="0"/>
        <w:ind w:left="810"/>
        <w:jc w:val="both"/>
      </w:pPr>
      <w:proofErr w:type="gramStart"/>
      <w:r w:rsidRPr="00C31C1D">
        <w:t>please</w:t>
      </w:r>
      <w:proofErr w:type="gramEnd"/>
      <w:r w:rsidRPr="00C31C1D">
        <w:t xml:space="preserve"> call WebEx Technical Support at </w:t>
      </w:r>
      <w:r w:rsidRPr="00860ED2">
        <w:rPr>
          <w:b/>
        </w:rPr>
        <w:t>1-866-229-3239.</w:t>
      </w:r>
      <w:r w:rsidRPr="00860ED2">
        <w:t xml:space="preserve"> </w:t>
      </w:r>
      <w:r>
        <w:t xml:space="preserve"> </w:t>
      </w:r>
    </w:p>
    <w:p w14:paraId="131FFD5B" w14:textId="77777777" w:rsidR="005E52CD" w:rsidRDefault="001C2D56" w:rsidP="00B07493">
      <w:pPr>
        <w:numPr>
          <w:ilvl w:val="0"/>
          <w:numId w:val="21"/>
        </w:numPr>
        <w:tabs>
          <w:tab w:val="left" w:pos="810"/>
        </w:tabs>
        <w:spacing w:after="0"/>
        <w:ind w:left="450" w:hanging="90"/>
        <w:jc w:val="both"/>
        <w:rPr>
          <w:b/>
          <w:u w:val="single"/>
        </w:rPr>
      </w:pPr>
      <w:r w:rsidRPr="00C31C1D">
        <w:t>System Requirements: To determine whether your computer is compatible, visit</w:t>
      </w:r>
      <w:r>
        <w:t>:</w:t>
      </w:r>
    </w:p>
    <w:p w14:paraId="4D475676" w14:textId="16C61C4B" w:rsidR="001C2D56" w:rsidRPr="00B422F6" w:rsidRDefault="001C2D56" w:rsidP="006D39B8">
      <w:pPr>
        <w:tabs>
          <w:tab w:val="left" w:pos="810"/>
        </w:tabs>
        <w:spacing w:after="0"/>
        <w:ind w:left="720"/>
        <w:jc w:val="both"/>
      </w:pPr>
      <w:r>
        <w:tab/>
      </w:r>
      <w:hyperlink r:id="rId31" w:tooltip="Click here for system requirements" w:history="1">
        <w:r w:rsidR="00D26B01" w:rsidRPr="00404C1C">
          <w:rPr>
            <w:rStyle w:val="Hyperlink"/>
            <w:rFonts w:cs="Arial"/>
          </w:rPr>
          <w:t>http://support.webex.com/su</w:t>
        </w:r>
        <w:r w:rsidR="00D26B01" w:rsidRPr="00404C1C">
          <w:rPr>
            <w:rStyle w:val="Hyperlink"/>
            <w:rFonts w:cs="Arial"/>
          </w:rPr>
          <w:t>p</w:t>
        </w:r>
        <w:r w:rsidR="00D26B01" w:rsidRPr="00404C1C">
          <w:rPr>
            <w:rStyle w:val="Hyperlink"/>
            <w:rFonts w:cs="Arial"/>
          </w:rPr>
          <w:t>port/system-requirements.html</w:t>
        </w:r>
      </w:hyperlink>
      <w:r w:rsidRPr="00C31C1D">
        <w:rPr>
          <w:color w:val="0000FF"/>
        </w:rPr>
        <w:t>.</w:t>
      </w:r>
    </w:p>
    <w:p w14:paraId="44CCD4DE" w14:textId="77777777" w:rsidR="005E52CD" w:rsidRPr="00B422F6" w:rsidRDefault="001C2D56" w:rsidP="00B07493">
      <w:pPr>
        <w:numPr>
          <w:ilvl w:val="0"/>
          <w:numId w:val="22"/>
        </w:numPr>
        <w:tabs>
          <w:tab w:val="left" w:pos="810"/>
        </w:tabs>
        <w:spacing w:after="0"/>
        <w:ind w:left="450" w:hanging="90"/>
        <w:jc w:val="both"/>
      </w:pPr>
      <w:r w:rsidRPr="00B422F6">
        <w:t xml:space="preserve">Meeting Preparation:  The playback of UCF (Universal Communications Format) rich </w:t>
      </w:r>
    </w:p>
    <w:p w14:paraId="010F26FD" w14:textId="0A1139F9" w:rsidR="001C2D56" w:rsidRPr="00B422F6" w:rsidRDefault="001C2D56" w:rsidP="00FD1A95">
      <w:pPr>
        <w:tabs>
          <w:tab w:val="left" w:pos="810"/>
        </w:tabs>
        <w:spacing w:after="0"/>
        <w:ind w:left="806"/>
      </w:pPr>
      <w:proofErr w:type="gramStart"/>
      <w:r w:rsidRPr="00C31C1D">
        <w:t>media</w:t>
      </w:r>
      <w:proofErr w:type="gramEnd"/>
      <w:r w:rsidRPr="00C31C1D">
        <w:t xml:space="preserve"> files require</w:t>
      </w:r>
      <w:r>
        <w:t>s</w:t>
      </w:r>
      <w:r w:rsidRPr="00C31C1D">
        <w:t xml:space="preserve"> appropriate players. </w:t>
      </w:r>
      <w:r>
        <w:t>P</w:t>
      </w:r>
      <w:r w:rsidRPr="00C31C1D">
        <w:t xml:space="preserve">lease </w:t>
      </w:r>
      <w:r>
        <w:t>determine</w:t>
      </w:r>
      <w:r w:rsidRPr="00C31C1D">
        <w:t xml:space="preserve"> whether the players </w:t>
      </w:r>
      <w:r>
        <w:t xml:space="preserve">are </w:t>
      </w:r>
      <w:r w:rsidRPr="00C31C1D">
        <w:t xml:space="preserve">installed on your computer by </w:t>
      </w:r>
      <w:r>
        <w:t>visiting:</w:t>
      </w:r>
      <w:r w:rsidRPr="00C31C1D">
        <w:t xml:space="preserve"> </w:t>
      </w:r>
      <w:hyperlink r:id="rId32" w:tooltip="Click here to determine whether the players are installed on your computer" w:history="1">
        <w:r w:rsidR="00D26B01" w:rsidRPr="00404C1C">
          <w:rPr>
            <w:rStyle w:val="Hyperlink"/>
            <w:rFonts w:cs="Arial"/>
          </w:rPr>
          <w:t>https://energy.webex.com/ene</w:t>
        </w:r>
        <w:r w:rsidR="00D26B01" w:rsidRPr="00404C1C">
          <w:rPr>
            <w:rStyle w:val="Hyperlink"/>
            <w:rFonts w:cs="Arial"/>
          </w:rPr>
          <w:t>r</w:t>
        </w:r>
        <w:r w:rsidR="00D26B01" w:rsidRPr="00404C1C">
          <w:rPr>
            <w:rStyle w:val="Hyperlink"/>
            <w:rFonts w:cs="Arial"/>
          </w:rPr>
          <w:t>gy/systemdiagnosis.php</w:t>
        </w:r>
      </w:hyperlink>
      <w:r w:rsidRPr="00C31C1D">
        <w:rPr>
          <w:color w:val="0000FF"/>
        </w:rPr>
        <w:t>.</w:t>
      </w:r>
    </w:p>
    <w:p w14:paraId="3D575F53" w14:textId="77777777" w:rsidR="00CE73EF" w:rsidRPr="00CE73EF" w:rsidRDefault="00CE73EF" w:rsidP="00B07493">
      <w:pPr>
        <w:numPr>
          <w:ilvl w:val="0"/>
          <w:numId w:val="21"/>
        </w:numPr>
        <w:tabs>
          <w:tab w:val="left" w:pos="810"/>
        </w:tabs>
        <w:spacing w:after="0"/>
        <w:jc w:val="both"/>
        <w:rPr>
          <w:b/>
          <w:u w:val="single"/>
        </w:rPr>
      </w:pPr>
      <w:r>
        <w:lastRenderedPageBreak/>
        <w:t xml:space="preserve">If you have a disability and require assistance to participate, please </w:t>
      </w:r>
      <w:r w:rsidR="003B07F3">
        <w:t xml:space="preserve">Erica </w:t>
      </w:r>
      <w:r w:rsidR="003B07F3" w:rsidRPr="003B07F3">
        <w:t>Rodriguez</w:t>
      </w:r>
      <w:r w:rsidR="003B07F3" w:rsidRPr="003B07F3" w:rsidDel="003B07F3">
        <w:t xml:space="preserve"> </w:t>
      </w:r>
      <w:r w:rsidR="0009657D">
        <w:t xml:space="preserve">by e-mail at </w:t>
      </w:r>
      <w:r w:rsidR="003B07F3" w:rsidRPr="003B07F3">
        <w:t xml:space="preserve">Erica.Rodriguez@energy.ca.gov </w:t>
      </w:r>
      <w:r w:rsidR="0009657D">
        <w:t>or (916) 654-</w:t>
      </w:r>
      <w:r w:rsidR="003B07F3" w:rsidRPr="003B07F3">
        <w:t xml:space="preserve">4314 </w:t>
      </w:r>
      <w:r>
        <w:t>at least five days in advance</w:t>
      </w:r>
      <w:r w:rsidR="00AA2371">
        <w:t>.</w:t>
      </w:r>
      <w:r w:rsidRPr="00C31C1D">
        <w:t xml:space="preserve"> </w:t>
      </w:r>
    </w:p>
    <w:p w14:paraId="5BF0BB75" w14:textId="77777777" w:rsidR="001C2D56" w:rsidRPr="000E2BBC" w:rsidRDefault="001C2D56" w:rsidP="0018649E">
      <w:pPr>
        <w:pStyle w:val="Heading2"/>
        <w:keepLines/>
        <w:numPr>
          <w:ilvl w:val="0"/>
          <w:numId w:val="32"/>
        </w:numPr>
        <w:ind w:left="360" w:hanging="360"/>
        <w:jc w:val="both"/>
        <w:rPr>
          <w:sz w:val="26"/>
          <w:szCs w:val="26"/>
        </w:rPr>
      </w:pPr>
      <w:bookmarkStart w:id="58" w:name="_Toc20331584"/>
      <w:bookmarkStart w:id="59" w:name="_Toc27467021"/>
      <w:bookmarkStart w:id="60" w:name="_Toc336443625"/>
      <w:bookmarkStart w:id="61" w:name="_Toc366671181"/>
      <w:bookmarkStart w:id="62" w:name="_Toc219275088"/>
      <w:r>
        <w:rPr>
          <w:sz w:val="26"/>
          <w:szCs w:val="26"/>
        </w:rPr>
        <w:t>Questions</w:t>
      </w:r>
      <w:bookmarkEnd w:id="58"/>
      <w:bookmarkEnd w:id="59"/>
    </w:p>
    <w:p w14:paraId="3D5467AC" w14:textId="77777777" w:rsidR="001C2D56" w:rsidRPr="00C31C1D" w:rsidRDefault="001C2D56" w:rsidP="00A67634">
      <w:pPr>
        <w:keepNext/>
        <w:keepLines/>
        <w:jc w:val="both"/>
      </w:pPr>
      <w:r w:rsidRPr="00C31C1D">
        <w:t xml:space="preserve">During the solicitation process, </w:t>
      </w:r>
      <w:r>
        <w:t xml:space="preserve">direct </w:t>
      </w:r>
      <w:r w:rsidRPr="00C31C1D">
        <w:t>questions to the Commission Agreement Officer listed below:</w:t>
      </w:r>
    </w:p>
    <w:p w14:paraId="6A1A0819" w14:textId="0F26691B" w:rsidR="001C2D56" w:rsidRPr="00B422F6" w:rsidRDefault="00253AD6" w:rsidP="00A67634">
      <w:pPr>
        <w:keepNext/>
        <w:keepLines/>
        <w:contextualSpacing/>
        <w:jc w:val="center"/>
      </w:pPr>
      <w:r w:rsidRPr="00B422F6">
        <w:t>Angela Hockaday</w:t>
      </w:r>
      <w:r w:rsidR="001C2D56" w:rsidRPr="00B422F6">
        <w:t>, Commission Agreement Officer</w:t>
      </w:r>
    </w:p>
    <w:p w14:paraId="03B5A664" w14:textId="77777777" w:rsidR="001C2D56" w:rsidRPr="00C31C1D" w:rsidRDefault="001C2D56" w:rsidP="00A67634">
      <w:pPr>
        <w:keepNext/>
        <w:keepLines/>
        <w:contextualSpacing/>
        <w:jc w:val="center"/>
      </w:pPr>
      <w:r w:rsidRPr="00B422F6">
        <w:t xml:space="preserve">California Energy </w:t>
      </w:r>
      <w:r w:rsidRPr="00C31C1D">
        <w:t>Commission</w:t>
      </w:r>
    </w:p>
    <w:p w14:paraId="6ABCEEBE" w14:textId="77777777" w:rsidR="001C2D56" w:rsidRPr="00C31C1D" w:rsidRDefault="001C2D56" w:rsidP="00A67634">
      <w:pPr>
        <w:keepNext/>
        <w:keepLines/>
        <w:contextualSpacing/>
        <w:jc w:val="center"/>
      </w:pPr>
      <w:r w:rsidRPr="00C31C1D">
        <w:t>1516 Ninth Street, MS-18</w:t>
      </w:r>
    </w:p>
    <w:p w14:paraId="6D1FD380" w14:textId="77777777" w:rsidR="001C2D56" w:rsidRPr="00C31C1D" w:rsidRDefault="001C2D56" w:rsidP="00A67634">
      <w:pPr>
        <w:keepNext/>
        <w:keepLines/>
        <w:contextualSpacing/>
        <w:jc w:val="center"/>
      </w:pPr>
      <w:r w:rsidRPr="00C31C1D">
        <w:t>Sacramento, California  95814</w:t>
      </w:r>
    </w:p>
    <w:p w14:paraId="7901C597" w14:textId="0BA8F7BE" w:rsidR="001C2D56" w:rsidRPr="00C31C1D" w:rsidRDefault="001C2D56" w:rsidP="00A67634">
      <w:pPr>
        <w:keepNext/>
        <w:keepLines/>
        <w:contextualSpacing/>
        <w:jc w:val="center"/>
      </w:pPr>
      <w:r>
        <w:t>Telephone: (916) 654-</w:t>
      </w:r>
      <w:r w:rsidR="00253AD6">
        <w:t>5186</w:t>
      </w:r>
    </w:p>
    <w:p w14:paraId="540627DE" w14:textId="77777777" w:rsidR="001C2D56" w:rsidRPr="00C31C1D" w:rsidRDefault="001C2D56" w:rsidP="00A67634">
      <w:pPr>
        <w:keepNext/>
        <w:keepLines/>
        <w:contextualSpacing/>
        <w:jc w:val="center"/>
      </w:pPr>
      <w:r w:rsidRPr="00C31C1D">
        <w:t>FAX: (916) 654-4423</w:t>
      </w:r>
    </w:p>
    <w:p w14:paraId="559BDCB2" w14:textId="5A356D4D" w:rsidR="00A67634" w:rsidRPr="00C31C1D" w:rsidRDefault="001C2D56" w:rsidP="00B43C24">
      <w:pPr>
        <w:spacing w:after="0"/>
        <w:contextualSpacing/>
        <w:jc w:val="center"/>
      </w:pPr>
      <w:r w:rsidRPr="00C31C1D">
        <w:t>E-mail</w:t>
      </w:r>
      <w:r w:rsidRPr="00757B9E">
        <w:t>:</w:t>
      </w:r>
      <w:r w:rsidR="00A67634">
        <w:t xml:space="preserve"> </w:t>
      </w:r>
      <w:hyperlink r:id="rId33" w:history="1">
        <w:r w:rsidR="00A67634" w:rsidRPr="00C467F9">
          <w:rPr>
            <w:rStyle w:val="Hyperlink"/>
            <w:rFonts w:cs="Arial"/>
          </w:rPr>
          <w:t>Angela.Hockaday@energy.ca.gov</w:t>
        </w:r>
      </w:hyperlink>
    </w:p>
    <w:p w14:paraId="70728C64" w14:textId="77777777" w:rsidR="001C2D56" w:rsidRPr="00C31C1D" w:rsidRDefault="001C2D56" w:rsidP="00616EC5">
      <w:pPr>
        <w:spacing w:after="0"/>
        <w:jc w:val="both"/>
      </w:pPr>
    </w:p>
    <w:p w14:paraId="7580BC34" w14:textId="77777777" w:rsidR="001C2D56" w:rsidRPr="00C31C1D" w:rsidRDefault="00DD7D2B" w:rsidP="00616EC5">
      <w:pPr>
        <w:jc w:val="both"/>
      </w:pPr>
      <w:r>
        <w:rPr>
          <w:szCs w:val="22"/>
        </w:rPr>
        <w:t xml:space="preserve">Applicants </w:t>
      </w:r>
      <w:r w:rsidRPr="00347AF3">
        <w:rPr>
          <w:szCs w:val="22"/>
        </w:rPr>
        <w:t xml:space="preserve">may ask questions at the Pre-Application Workshop, and may submit written questions via mail, electronic mail, and by FAX. However, all </w:t>
      </w:r>
      <w:r w:rsidR="00EA0B4E" w:rsidRPr="00EA0B4E">
        <w:rPr>
          <w:b/>
          <w:szCs w:val="22"/>
        </w:rPr>
        <w:t>technical</w:t>
      </w:r>
      <w:r w:rsidRPr="001250DA">
        <w:rPr>
          <w:szCs w:val="22"/>
        </w:rPr>
        <w:t xml:space="preserve"> questions must be received by the deadline listed in the “Key Activities Schedule” above. </w:t>
      </w:r>
      <w:r w:rsidR="005E4BE1" w:rsidRPr="005E4BE1">
        <w:rPr>
          <w:szCs w:val="22"/>
        </w:rPr>
        <w:t>Questions rec</w:t>
      </w:r>
      <w:r w:rsidR="003C2C7C">
        <w:rPr>
          <w:szCs w:val="22"/>
        </w:rPr>
        <w:t>ei</w:t>
      </w:r>
      <w:r w:rsidR="005E4BE1" w:rsidRPr="005E4BE1">
        <w:rPr>
          <w:szCs w:val="22"/>
        </w:rPr>
        <w:t>ved after the deadline may</w:t>
      </w:r>
      <w:r w:rsidR="0038708A">
        <w:rPr>
          <w:szCs w:val="22"/>
        </w:rPr>
        <w:t xml:space="preserve"> </w:t>
      </w:r>
      <w:r w:rsidR="005E4BE1" w:rsidRPr="005E4BE1">
        <w:rPr>
          <w:szCs w:val="22"/>
        </w:rPr>
        <w:t>be answered at the Energy Commission's discretion.</w:t>
      </w:r>
      <w:r w:rsidR="005E4BE1">
        <w:rPr>
          <w:szCs w:val="22"/>
        </w:rPr>
        <w:t xml:space="preserve"> </w:t>
      </w:r>
      <w:r w:rsidR="00EA0B4E" w:rsidRPr="00EA0B4E">
        <w:rPr>
          <w:b/>
        </w:rPr>
        <w:t>Non-technical</w:t>
      </w:r>
      <w:r w:rsidR="00EA0B4E" w:rsidRPr="00EA0B4E">
        <w:t xml:space="preserve"> questions (e.g., questions concerning application format requirements or attachment instructions) may be submitted to the Commission Agreement Officer</w:t>
      </w:r>
      <w:r w:rsidR="00494EAB">
        <w:t xml:space="preserve"> (</w:t>
      </w:r>
      <w:r w:rsidR="00DC015B">
        <w:t>CAO</w:t>
      </w:r>
      <w:r w:rsidR="00494EAB">
        <w:t>)</w:t>
      </w:r>
      <w:r w:rsidR="00EA0B4E" w:rsidRPr="00EA0B4E">
        <w:t xml:space="preserve"> at any time prior the application deadline.</w:t>
      </w:r>
      <w:r w:rsidR="001C2D56" w:rsidRPr="001250DA">
        <w:t xml:space="preserve"> </w:t>
      </w:r>
    </w:p>
    <w:p w14:paraId="66C11C09" w14:textId="498148D5" w:rsidR="001C2D56" w:rsidRPr="00C31C1D" w:rsidRDefault="001C2D56" w:rsidP="009F1936">
      <w:pPr>
        <w:spacing w:before="240"/>
        <w:jc w:val="both"/>
      </w:pPr>
      <w:r>
        <w:t>A q</w:t>
      </w:r>
      <w:r w:rsidRPr="00C31C1D">
        <w:t xml:space="preserve">uestion and answer </w:t>
      </w:r>
      <w:r>
        <w:t>document</w:t>
      </w:r>
      <w:r w:rsidRPr="00C31C1D">
        <w:t xml:space="preserve"> will be e-mailed to all parties who attended the Pre-Application Workshop and provided their contact information on the sign-in sheet. The questions and answers will also be posted on the Commission’s website at: </w:t>
      </w:r>
      <w:hyperlink r:id="rId34" w:tooltip="Click here to go to the California Energy Commission's solicitations website" w:history="1">
        <w:r w:rsidR="00D26B01" w:rsidRPr="00404C1C">
          <w:rPr>
            <w:rStyle w:val="Hyperlink"/>
            <w:rFonts w:cs="Arial"/>
          </w:rPr>
          <w:t>https://w</w:t>
        </w:r>
        <w:r w:rsidR="00D26B01" w:rsidRPr="00404C1C">
          <w:rPr>
            <w:rStyle w:val="Hyperlink"/>
            <w:rFonts w:cs="Arial"/>
          </w:rPr>
          <w:t>w</w:t>
        </w:r>
        <w:r w:rsidR="00D26B01" w:rsidRPr="00404C1C">
          <w:rPr>
            <w:rStyle w:val="Hyperlink"/>
            <w:rFonts w:cs="Arial"/>
          </w:rPr>
          <w:t>w.energy.ca.gov/funding-opportunities/solicitations</w:t>
        </w:r>
      </w:hyperlink>
      <w:r w:rsidR="00A178D3">
        <w:t xml:space="preserve">. </w:t>
      </w:r>
    </w:p>
    <w:p w14:paraId="195D7CEF" w14:textId="6E00CB2E" w:rsidR="00887889" w:rsidRDefault="00EA0B4E" w:rsidP="00616EC5">
      <w:pPr>
        <w:jc w:val="both"/>
        <w:rPr>
          <w:szCs w:val="22"/>
        </w:rPr>
      </w:pPr>
      <w:r w:rsidRPr="00EA0B4E">
        <w:rPr>
          <w:szCs w:val="22"/>
        </w:rPr>
        <w:t xml:space="preserve">If an applicant discovers a </w:t>
      </w:r>
      <w:r w:rsidRPr="00AB5E4B">
        <w:rPr>
          <w:b/>
          <w:szCs w:val="22"/>
        </w:rPr>
        <w:t>conflict, discrepancy, omission, or other error</w:t>
      </w:r>
      <w:r w:rsidRPr="00EA0B4E">
        <w:rPr>
          <w:szCs w:val="22"/>
        </w:rPr>
        <w:t xml:space="preserve"> in the solicitation </w:t>
      </w:r>
      <w:r w:rsidR="00DC015B">
        <w:rPr>
          <w:szCs w:val="22"/>
        </w:rPr>
        <w:t xml:space="preserve">at any time </w:t>
      </w:r>
      <w:r w:rsidRPr="00EA0B4E">
        <w:rPr>
          <w:szCs w:val="22"/>
        </w:rPr>
        <w:t>prior to the application deadline, the applicant may notify the Energy Commission in writing and request modification or clarification of the solicitation. The Energy Commission</w:t>
      </w:r>
      <w:r w:rsidR="00DC015B">
        <w:rPr>
          <w:szCs w:val="22"/>
        </w:rPr>
        <w:t>, at its discretion</w:t>
      </w:r>
      <w:r w:rsidRPr="00EA0B4E">
        <w:rPr>
          <w:szCs w:val="22"/>
        </w:rPr>
        <w:t xml:space="preserve"> </w:t>
      </w:r>
      <w:r w:rsidR="00BE64A5">
        <w:rPr>
          <w:szCs w:val="22"/>
        </w:rPr>
        <w:t>will</w:t>
      </w:r>
      <w:r w:rsidRPr="00EA0B4E">
        <w:rPr>
          <w:szCs w:val="22"/>
        </w:rPr>
        <w:t xml:space="preserve"> provide modifications or clarifications by </w:t>
      </w:r>
      <w:r w:rsidR="00DC015B">
        <w:rPr>
          <w:szCs w:val="22"/>
        </w:rPr>
        <w:t xml:space="preserve">either an addendum to the solicitation or by </w:t>
      </w:r>
      <w:r w:rsidRPr="00EA0B4E">
        <w:rPr>
          <w:szCs w:val="22"/>
        </w:rPr>
        <w:t xml:space="preserve">written notice to all </w:t>
      </w:r>
      <w:r w:rsidR="00393F3E">
        <w:rPr>
          <w:szCs w:val="22"/>
        </w:rPr>
        <w:t>parties</w:t>
      </w:r>
      <w:r w:rsidR="00393F3E" w:rsidRPr="00EA0B4E">
        <w:rPr>
          <w:szCs w:val="22"/>
        </w:rPr>
        <w:t xml:space="preserve"> </w:t>
      </w:r>
      <w:r w:rsidR="009106C2">
        <w:rPr>
          <w:szCs w:val="22"/>
        </w:rPr>
        <w:t>that</w:t>
      </w:r>
      <w:r w:rsidR="009106C2" w:rsidRPr="00EA0B4E">
        <w:rPr>
          <w:szCs w:val="22"/>
        </w:rPr>
        <w:t xml:space="preserve"> </w:t>
      </w:r>
      <w:r w:rsidRPr="00EA0B4E">
        <w:rPr>
          <w:szCs w:val="22"/>
        </w:rPr>
        <w:t>requested the solicitation.  At its discretion, the Energy Commission may</w:t>
      </w:r>
      <w:r w:rsidR="00F61FE4">
        <w:rPr>
          <w:szCs w:val="22"/>
        </w:rPr>
        <w:t>, in addition to any other actions it may choose,</w:t>
      </w:r>
      <w:r w:rsidRPr="00EA0B4E">
        <w:rPr>
          <w:szCs w:val="22"/>
        </w:rPr>
        <w:t xml:space="preserve"> re-open the question/answer period to provide all applicants the opportunity to seek any further clarification required.  </w:t>
      </w:r>
    </w:p>
    <w:p w14:paraId="328E9360" w14:textId="69FE0BE3" w:rsidR="001C2D56" w:rsidRPr="001250DA" w:rsidRDefault="001C2D56" w:rsidP="009F1936">
      <w:pPr>
        <w:spacing w:before="240"/>
        <w:jc w:val="both"/>
      </w:pPr>
      <w:r w:rsidRPr="001250DA">
        <w:t xml:space="preserve">Any verbal communication with a Commission employee concerning this solicitation is not binding on the </w:t>
      </w:r>
      <w:r w:rsidR="00D338B4">
        <w:t>State</w:t>
      </w:r>
      <w:r w:rsidRPr="001250DA">
        <w:t xml:space="preserve"> and will in no way alter a specification, term, or condition of the solicitation.  Therefore, all communication should be directed in writing to the assigned </w:t>
      </w:r>
      <w:r w:rsidR="00DC015B">
        <w:t>CAO</w:t>
      </w:r>
      <w:r w:rsidRPr="001250DA">
        <w:t>.</w:t>
      </w:r>
    </w:p>
    <w:bookmarkEnd w:id="60"/>
    <w:bookmarkEnd w:id="61"/>
    <w:bookmarkEnd w:id="62"/>
    <w:p w14:paraId="22B88658" w14:textId="77777777" w:rsidR="001C2D56" w:rsidRPr="00C31C1D" w:rsidRDefault="001C2D56" w:rsidP="00A10CB4">
      <w:pPr>
        <w:spacing w:after="0"/>
        <w:jc w:val="both"/>
      </w:pPr>
      <w:r w:rsidRPr="00C31C1D">
        <w:br w:type="page"/>
      </w:r>
    </w:p>
    <w:p w14:paraId="1C06A7DA" w14:textId="77777777" w:rsidR="0061342D" w:rsidRDefault="001C2D56" w:rsidP="0061342D">
      <w:pPr>
        <w:pStyle w:val="Heading1"/>
        <w:keepLines w:val="0"/>
        <w:spacing w:before="0" w:after="120"/>
        <w:jc w:val="both"/>
      </w:pPr>
      <w:bookmarkStart w:id="63" w:name="_Toc336443618"/>
      <w:bookmarkStart w:id="64" w:name="_Toc366671173"/>
      <w:bookmarkStart w:id="65" w:name="_Toc20331585"/>
      <w:bookmarkStart w:id="66" w:name="_Toc27467022"/>
      <w:bookmarkStart w:id="67" w:name="_Toc310513471"/>
      <w:r w:rsidRPr="00C31C1D">
        <w:lastRenderedPageBreak/>
        <w:t>II.</w:t>
      </w:r>
      <w:r w:rsidRPr="00C31C1D">
        <w:tab/>
        <w:t>Eligibility Requirements</w:t>
      </w:r>
      <w:bookmarkEnd w:id="63"/>
      <w:bookmarkEnd w:id="64"/>
      <w:bookmarkEnd w:id="65"/>
      <w:bookmarkEnd w:id="66"/>
    </w:p>
    <w:p w14:paraId="46620D6B" w14:textId="77777777" w:rsidR="005E52CD" w:rsidRDefault="001C2D56" w:rsidP="00B07493">
      <w:pPr>
        <w:pStyle w:val="Heading2"/>
        <w:numPr>
          <w:ilvl w:val="0"/>
          <w:numId w:val="23"/>
        </w:numPr>
        <w:tabs>
          <w:tab w:val="left" w:pos="360"/>
        </w:tabs>
        <w:ind w:left="360"/>
        <w:jc w:val="both"/>
        <w:rPr>
          <w:sz w:val="24"/>
          <w:szCs w:val="24"/>
        </w:rPr>
      </w:pPr>
      <w:bookmarkStart w:id="68" w:name="_Toc336443619"/>
      <w:bookmarkStart w:id="69" w:name="_Toc366671174"/>
      <w:bookmarkStart w:id="70" w:name="_Toc20331586"/>
      <w:bookmarkStart w:id="71" w:name="_Toc27467023"/>
      <w:bookmarkEnd w:id="67"/>
      <w:r w:rsidRPr="006F0853">
        <w:rPr>
          <w:sz w:val="24"/>
          <w:szCs w:val="24"/>
        </w:rPr>
        <w:t>Applicant</w:t>
      </w:r>
      <w:bookmarkEnd w:id="68"/>
      <w:bookmarkEnd w:id="69"/>
      <w:r>
        <w:rPr>
          <w:sz w:val="24"/>
          <w:szCs w:val="24"/>
        </w:rPr>
        <w:t xml:space="preserve"> Requirements</w:t>
      </w:r>
      <w:bookmarkEnd w:id="70"/>
      <w:bookmarkEnd w:id="71"/>
    </w:p>
    <w:p w14:paraId="3AA996B1" w14:textId="77777777" w:rsidR="00DE1CBD" w:rsidRPr="00151FE6" w:rsidRDefault="00DE1CBD" w:rsidP="0018649E">
      <w:pPr>
        <w:numPr>
          <w:ilvl w:val="0"/>
          <w:numId w:val="62"/>
        </w:numPr>
        <w:spacing w:before="240"/>
        <w:ind w:left="720" w:hanging="360"/>
        <w:jc w:val="both"/>
        <w:rPr>
          <w:b/>
          <w:sz w:val="24"/>
          <w:szCs w:val="24"/>
        </w:rPr>
      </w:pPr>
      <w:r w:rsidRPr="00151FE6">
        <w:rPr>
          <w:b/>
          <w:sz w:val="24"/>
          <w:szCs w:val="24"/>
        </w:rPr>
        <w:t>Eligibility</w:t>
      </w:r>
    </w:p>
    <w:p w14:paraId="1706CF75" w14:textId="3E291895" w:rsidR="00582812" w:rsidRPr="00767695" w:rsidRDefault="00527202" w:rsidP="00582812">
      <w:pPr>
        <w:jc w:val="both"/>
        <w:rPr>
          <w:szCs w:val="22"/>
        </w:rPr>
      </w:pPr>
      <w:r w:rsidRPr="00527202">
        <w:rPr>
          <w:szCs w:val="22"/>
        </w:rPr>
        <w:t xml:space="preserve">This solicitation is open to all entities and individuals with the exception of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utilities</w:t>
      </w:r>
      <w:r w:rsidR="00D06554" w:rsidRPr="00767695">
        <w:rPr>
          <w:rStyle w:val="FootnoteReference"/>
          <w:szCs w:val="22"/>
        </w:rPr>
        <w:footnoteReference w:id="10"/>
      </w:r>
      <w:r w:rsidR="00582812" w:rsidRPr="00767695">
        <w:rPr>
          <w:szCs w:val="22"/>
        </w:rPr>
        <w:t xml:space="preserve">. </w:t>
      </w:r>
      <w:r w:rsidR="00D771D9" w:rsidRPr="00767695">
        <w:rPr>
          <w:szCs w:val="22"/>
        </w:rPr>
        <w:t xml:space="preserve"> </w:t>
      </w:r>
      <w:r w:rsidR="00582812" w:rsidRPr="00767695">
        <w:rPr>
          <w:szCs w:val="22"/>
        </w:rPr>
        <w:t>Additionally, the energy storage technology provider must meet the TRL techni</w:t>
      </w:r>
      <w:r w:rsidR="00325B8E" w:rsidRPr="00767695">
        <w:rPr>
          <w:szCs w:val="22"/>
        </w:rPr>
        <w:t>ca</w:t>
      </w:r>
      <w:r w:rsidR="00AB2A66" w:rsidRPr="00767695">
        <w:rPr>
          <w:szCs w:val="22"/>
        </w:rPr>
        <w:t>l limits in the range of TRL 4-5</w:t>
      </w:r>
      <w:r w:rsidR="00325B8E" w:rsidRPr="00767695">
        <w:rPr>
          <w:szCs w:val="22"/>
        </w:rPr>
        <w:t xml:space="preserve"> and not based on Lithium-Ion </w:t>
      </w:r>
      <w:r w:rsidR="00AB2A66" w:rsidRPr="00767695">
        <w:rPr>
          <w:szCs w:val="22"/>
        </w:rPr>
        <w:t xml:space="preserve">(Li) </w:t>
      </w:r>
      <w:r w:rsidR="00325B8E" w:rsidRPr="00767695">
        <w:rPr>
          <w:szCs w:val="22"/>
        </w:rPr>
        <w:t>technology</w:t>
      </w:r>
      <w:r w:rsidR="00582812" w:rsidRPr="00767695">
        <w:rPr>
          <w:szCs w:val="22"/>
        </w:rPr>
        <w:t>.</w:t>
      </w:r>
      <w:r w:rsidRPr="00767695">
        <w:rPr>
          <w:szCs w:val="22"/>
        </w:rPr>
        <w:t xml:space="preserve">  In accordance with CPUC Decision 12-05-037, funds administered by the Energy Commission may not be used for any purposes associated with </w:t>
      </w:r>
      <w:r w:rsidR="00D06554" w:rsidRPr="00767695">
        <w:rPr>
          <w:szCs w:val="22"/>
        </w:rPr>
        <w:t xml:space="preserve">local </w:t>
      </w:r>
      <w:r w:rsidRPr="00767695">
        <w:rPr>
          <w:szCs w:val="22"/>
        </w:rPr>
        <w:t>publicly</w:t>
      </w:r>
      <w:r w:rsidR="00D06554" w:rsidRPr="00767695">
        <w:rPr>
          <w:szCs w:val="22"/>
        </w:rPr>
        <w:t xml:space="preserve"> </w:t>
      </w:r>
      <w:r w:rsidRPr="00767695">
        <w:rPr>
          <w:szCs w:val="22"/>
        </w:rPr>
        <w:t xml:space="preserve">owned </w:t>
      </w:r>
      <w:r w:rsidR="00D06554" w:rsidRPr="00767695">
        <w:rPr>
          <w:szCs w:val="22"/>
        </w:rPr>
        <w:t xml:space="preserve">electric </w:t>
      </w:r>
      <w:r w:rsidRPr="00767695">
        <w:rPr>
          <w:szCs w:val="22"/>
        </w:rPr>
        <w:t xml:space="preserve">utility activities. </w:t>
      </w:r>
      <w:r w:rsidR="00D771D9" w:rsidRPr="00767695">
        <w:rPr>
          <w:szCs w:val="22"/>
        </w:rPr>
        <w:t xml:space="preserve"> </w:t>
      </w:r>
      <w:r w:rsidR="00582812" w:rsidRPr="00767695">
        <w:rPr>
          <w:szCs w:val="22"/>
        </w:rPr>
        <w:t xml:space="preserve">The energy storage technology limits in this Grant Funding Opportunity </w:t>
      </w:r>
      <w:r w:rsidR="00325B8E" w:rsidRPr="00767695">
        <w:rPr>
          <w:szCs w:val="22"/>
        </w:rPr>
        <w:t xml:space="preserve">are based on </w:t>
      </w:r>
      <w:r w:rsidR="00582812" w:rsidRPr="00767695">
        <w:rPr>
          <w:szCs w:val="22"/>
        </w:rPr>
        <w:t xml:space="preserve">the large existing investments the </w:t>
      </w:r>
      <w:r w:rsidR="00D338B4" w:rsidRPr="00767695">
        <w:rPr>
          <w:szCs w:val="22"/>
        </w:rPr>
        <w:t>State</w:t>
      </w:r>
      <w:r w:rsidR="00582812" w:rsidRPr="00767695">
        <w:rPr>
          <w:szCs w:val="22"/>
        </w:rPr>
        <w:t xml:space="preserve"> of California and the </w:t>
      </w:r>
      <w:r w:rsidR="00D771D9" w:rsidRPr="00767695">
        <w:rPr>
          <w:szCs w:val="22"/>
        </w:rPr>
        <w:t xml:space="preserve">California </w:t>
      </w:r>
      <w:r w:rsidR="00582812" w:rsidRPr="00767695">
        <w:rPr>
          <w:szCs w:val="22"/>
        </w:rPr>
        <w:t xml:space="preserve">Energy Commission have already </w:t>
      </w:r>
      <w:r w:rsidR="00AB2A66" w:rsidRPr="00767695">
        <w:rPr>
          <w:szCs w:val="22"/>
        </w:rPr>
        <w:t>placed in Li</w:t>
      </w:r>
      <w:r w:rsidR="00582812" w:rsidRPr="00767695">
        <w:rPr>
          <w:szCs w:val="22"/>
        </w:rPr>
        <w:t xml:space="preserve"> </w:t>
      </w:r>
      <w:r w:rsidR="00D771D9" w:rsidRPr="00767695">
        <w:rPr>
          <w:szCs w:val="22"/>
        </w:rPr>
        <w:t>based</w:t>
      </w:r>
      <w:r w:rsidR="00582812" w:rsidRPr="00767695">
        <w:rPr>
          <w:szCs w:val="22"/>
        </w:rPr>
        <w:t xml:space="preserve"> technology solutions.</w:t>
      </w:r>
    </w:p>
    <w:p w14:paraId="7B517618" w14:textId="77777777" w:rsidR="00B13BC2" w:rsidRPr="00151FE6" w:rsidRDefault="001C2D56" w:rsidP="0018649E">
      <w:pPr>
        <w:numPr>
          <w:ilvl w:val="0"/>
          <w:numId w:val="62"/>
        </w:numPr>
        <w:spacing w:before="240"/>
        <w:ind w:left="720" w:hanging="360"/>
        <w:jc w:val="both"/>
        <w:rPr>
          <w:b/>
          <w:sz w:val="24"/>
          <w:szCs w:val="24"/>
        </w:rPr>
      </w:pPr>
      <w:bookmarkStart w:id="72" w:name="_Toc381079914"/>
      <w:bookmarkStart w:id="73" w:name="_Toc382571176"/>
      <w:bookmarkStart w:id="74" w:name="_Toc395180678"/>
      <w:bookmarkStart w:id="75" w:name="_Toc433981305"/>
      <w:r w:rsidRPr="00151FE6">
        <w:rPr>
          <w:b/>
          <w:sz w:val="24"/>
          <w:szCs w:val="24"/>
        </w:rPr>
        <w:t>Terms and Conditions</w:t>
      </w:r>
      <w:bookmarkEnd w:id="72"/>
      <w:bookmarkEnd w:id="73"/>
      <w:bookmarkEnd w:id="74"/>
      <w:bookmarkEnd w:id="75"/>
    </w:p>
    <w:p w14:paraId="7F2C7891" w14:textId="798CA43E" w:rsidR="002C206F"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responsibilities. By signing the Application Form (Attachment</w:t>
      </w:r>
      <w:r w:rsidR="00135B0A">
        <w:rPr>
          <w:szCs w:val="22"/>
        </w:rPr>
        <w:t xml:space="preserve"> 1</w:t>
      </w:r>
      <w:r w:rsidRPr="00F32736">
        <w:rPr>
          <w:szCs w:val="22"/>
        </w:rPr>
        <w:t xml:space="preserve">), each applicant </w:t>
      </w:r>
      <w:r w:rsidRPr="00F32736">
        <w:rPr>
          <w:bCs/>
          <w:iCs/>
          <w:szCs w:val="22"/>
        </w:rPr>
        <w:t xml:space="preserve">agrees to </w:t>
      </w:r>
      <w:r w:rsidRPr="00F32736">
        <w:rPr>
          <w:rStyle w:val="Style10pt"/>
          <w:szCs w:val="22"/>
        </w:rPr>
        <w:t xml:space="preserve">enter into an agreement with the Energy Commission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California State University </w:t>
      </w:r>
      <w:r w:rsidRPr="00F32736">
        <w:rPr>
          <w:szCs w:val="22"/>
        </w:rPr>
        <w:t xml:space="preserve">terms and conditions; (2) </w:t>
      </w:r>
      <w:r>
        <w:rPr>
          <w:szCs w:val="22"/>
        </w:rPr>
        <w:t xml:space="preserve">U.S. Department of Energy </w:t>
      </w:r>
      <w:r w:rsidRPr="00F32736">
        <w:rPr>
          <w:szCs w:val="22"/>
        </w:rPr>
        <w:t>terms and conditions; (3)</w:t>
      </w:r>
      <w:r w:rsidR="00135B0A" w:rsidRPr="00135B0A">
        <w:t xml:space="preserve"> </w:t>
      </w:r>
      <w:r w:rsidR="00135B0A">
        <w:t>special terms and conditions for Native American Tribes and tribal corporations; and (4)</w:t>
      </w:r>
      <w:r w:rsidRPr="00F32736">
        <w:rPr>
          <w:szCs w:val="22"/>
        </w:rPr>
        <w:t xml:space="preserve"> </w:t>
      </w:r>
      <w:r>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hyperlink r:id="rId35" w:tooltip="Click here to locate the Terms and Conditions" w:history="1">
        <w:r w:rsidR="00D26B01" w:rsidRPr="00404C1C">
          <w:rPr>
            <w:rStyle w:val="Hyperlink"/>
            <w:rFonts w:cs="Arial"/>
          </w:rPr>
          <w:t>http://www.energy.ca.</w:t>
        </w:r>
        <w:r w:rsidR="00D26B01" w:rsidRPr="00404C1C">
          <w:rPr>
            <w:rStyle w:val="Hyperlink"/>
            <w:rFonts w:cs="Arial"/>
          </w:rPr>
          <w:t>g</w:t>
        </w:r>
        <w:r w:rsidR="00D26B01" w:rsidRPr="00404C1C">
          <w:rPr>
            <w:rStyle w:val="Hyperlink"/>
            <w:rFonts w:cs="Arial"/>
          </w:rPr>
          <w:t>ov/research/contractors.html</w:t>
        </w:r>
      </w:hyperlink>
      <w:r w:rsidR="00135B0A">
        <w:rPr>
          <w:sz w:val="16"/>
          <w:szCs w:val="16"/>
        </w:rPr>
        <w:t xml:space="preserve">, </w:t>
      </w:r>
      <w:r w:rsidR="00135B0A">
        <w:t xml:space="preserve">with the exception of special terms and conditions for Native American tribes and tribal corporations, which are attached to this agreement as Attachment </w:t>
      </w:r>
      <w:r w:rsidR="00135B0A">
        <w:rPr>
          <w:color w:val="1F497D"/>
        </w:rPr>
        <w:t>14</w:t>
      </w:r>
      <w:r w:rsidRPr="00F32736">
        <w:rPr>
          <w:szCs w:val="22"/>
        </w:rPr>
        <w:t xml:space="preserve">. </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The Energy Commission reserves the right to modify the terms and conditions</w:t>
      </w:r>
      <w:r w:rsidRPr="00C24522">
        <w:rPr>
          <w:b/>
          <w:bCs/>
          <w:szCs w:val="22"/>
        </w:rPr>
        <w:t xml:space="preserve"> </w:t>
      </w:r>
      <w:r w:rsidRPr="00C24522">
        <w:rPr>
          <w:szCs w:val="22"/>
        </w:rPr>
        <w:t xml:space="preserve">prior to executing grant agreements.  </w:t>
      </w:r>
    </w:p>
    <w:p w14:paraId="681A4AA2" w14:textId="6E7339B0" w:rsidR="007B439A" w:rsidRPr="00904324" w:rsidRDefault="007B439A" w:rsidP="002C206F">
      <w:pPr>
        <w:jc w:val="both"/>
        <w:rPr>
          <w:szCs w:val="22"/>
        </w:rPr>
      </w:pPr>
      <w:r w:rsidRPr="00904324">
        <w:rPr>
          <w:szCs w:val="22"/>
        </w:rPr>
        <w:t>If a Native American tribe or Tribal Corporation with sovereign immunity is proposed as an awardee under this solicitation, the tribe must, prior to agreement execution, pass a resolution agreeing to accept the terms and conditions and delegating authority to execute the agreement to an appropriate individual (see Attachment 1</w:t>
      </w:r>
      <w:r w:rsidR="00743D5E" w:rsidRPr="00904324">
        <w:rPr>
          <w:szCs w:val="22"/>
        </w:rPr>
        <w:t>4)</w:t>
      </w:r>
      <w:r w:rsidRPr="00904324">
        <w:rPr>
          <w:szCs w:val="22"/>
        </w:rPr>
        <w:t>.</w:t>
      </w:r>
    </w:p>
    <w:p w14:paraId="53AE21B6" w14:textId="77777777" w:rsidR="001C2D56" w:rsidRPr="00151FE6" w:rsidRDefault="001C2D56" w:rsidP="0018649E">
      <w:pPr>
        <w:numPr>
          <w:ilvl w:val="0"/>
          <w:numId w:val="62"/>
        </w:numPr>
        <w:spacing w:before="240"/>
        <w:ind w:left="720" w:hanging="360"/>
        <w:jc w:val="both"/>
        <w:rPr>
          <w:b/>
          <w:sz w:val="24"/>
          <w:szCs w:val="24"/>
        </w:rPr>
      </w:pPr>
      <w:r w:rsidRPr="00151FE6">
        <w:rPr>
          <w:b/>
          <w:sz w:val="24"/>
          <w:szCs w:val="24"/>
        </w:rPr>
        <w:t>California Secretary of State Registration</w:t>
      </w:r>
    </w:p>
    <w:p w14:paraId="5A501C6E" w14:textId="4AFF7F9B"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Energy Commission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00A67634" w:rsidRPr="00DB6750">
        <w:t>www.sos.ca.gov</w:t>
      </w:r>
      <w:r>
        <w:t xml:space="preserve">.  Sole proprietors using a fictitious business name must be registered </w:t>
      </w:r>
      <w:r>
        <w:lastRenderedPageBreak/>
        <w:t>with the appropriate county and provide evidence of registration to the Energy Commission prior to their project being recommended for approval at an Energy Commission Business Meeting.</w:t>
      </w:r>
    </w:p>
    <w:p w14:paraId="4E5F9595" w14:textId="77777777" w:rsidR="0081409B" w:rsidRPr="00151FE6" w:rsidRDefault="0081409B" w:rsidP="0018649E">
      <w:pPr>
        <w:numPr>
          <w:ilvl w:val="0"/>
          <w:numId w:val="62"/>
        </w:numPr>
        <w:spacing w:before="240"/>
        <w:ind w:left="720" w:hanging="360"/>
        <w:jc w:val="both"/>
        <w:rPr>
          <w:b/>
          <w:sz w:val="24"/>
          <w:szCs w:val="24"/>
        </w:rPr>
      </w:pPr>
      <w:r w:rsidRPr="00151FE6">
        <w:rPr>
          <w:b/>
          <w:sz w:val="24"/>
          <w:szCs w:val="24"/>
        </w:rPr>
        <w:t xml:space="preserve">  Disadvantaged Communities </w:t>
      </w:r>
    </w:p>
    <w:p w14:paraId="43FA4501" w14:textId="78C6F8E6" w:rsidR="00A178D3" w:rsidRPr="00A178D3" w:rsidRDefault="00A178D3" w:rsidP="00A178D3">
      <w:pPr>
        <w:jc w:val="both"/>
      </w:pPr>
      <w:r w:rsidRPr="00A178D3">
        <w:t xml:space="preserve">In 2017, the Legislature passed </w:t>
      </w:r>
      <w:r w:rsidR="008C1B1D" w:rsidRPr="008C1B1D">
        <w:t>Assembly</w:t>
      </w:r>
      <w:r w:rsidR="008C1B1D">
        <w:t xml:space="preserve"> </w:t>
      </w:r>
      <w:r w:rsidRPr="00A178D3">
        <w:t>Bill 523 (Reyes) directing that at least 25% of available Electric Program Investment Charge (EPIC) technology demonstration and deployment at sites located in, and benefiting, disadvantaged communities, and an additional 10% of funds in and benefiting low-income communities.</w:t>
      </w:r>
      <w:r w:rsidRPr="00207E42">
        <w:t xml:space="preserve"> </w:t>
      </w:r>
      <w:r w:rsidRPr="00A178D3">
        <w:t xml:space="preserve">The </w:t>
      </w:r>
      <w:r w:rsidR="008C1B1D">
        <w:t>A</w:t>
      </w:r>
      <w:r w:rsidRPr="00A178D3">
        <w:t>B523 also requires the Energy Commission’s EPIC program, to take into account adverse localized health impacts of proposed projects to the greatest extent possible, and give preference for funding to clean energy projects that benefit residents of low-income or disadvantaged communities.</w:t>
      </w:r>
    </w:p>
    <w:p w14:paraId="733602F7" w14:textId="77777777" w:rsidR="00A178D3" w:rsidRPr="00A178D3" w:rsidRDefault="00A178D3" w:rsidP="00A178D3">
      <w:pPr>
        <w:jc w:val="both"/>
      </w:pPr>
      <w:r w:rsidRPr="00A178D3">
        <w:t>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will be considered under the scoring criteria for this GFO.</w:t>
      </w:r>
    </w:p>
    <w:p w14:paraId="3784DB7A" w14:textId="3E554E3B" w:rsidR="0017678F" w:rsidRDefault="00A178D3" w:rsidP="0017678F">
      <w:pPr>
        <w:jc w:val="both"/>
      </w:pPr>
      <w:r w:rsidRPr="00A178D3">
        <w:t xml:space="preserve">Low-income communities and households are defined as the census tracts and households, </w:t>
      </w:r>
      <w:proofErr w:type="gramStart"/>
      <w:r w:rsidRPr="00A178D3">
        <w:t>respectively, that</w:t>
      </w:r>
      <w:proofErr w:type="gramEnd"/>
      <w:r w:rsidRPr="00A178D3">
        <w:t xml:space="preserve"> are either at or below 80 percent of the statewide median income, or at or below the threshold designated as low-income by the California Department of Housing and Community Development (HCD). Visit the California Department of Housing &amp; Community Development site for the current HCD State Income Limits: </w:t>
      </w:r>
      <w:hyperlink r:id="rId36" w:tooltip="Click here to go to the California Department of Housing and Community Development site for current H C D State Income Limits" w:history="1">
        <w:r w:rsidR="00D26B01" w:rsidRPr="00404C1C">
          <w:rPr>
            <w:rStyle w:val="Hyperlink"/>
            <w:rFonts w:cs="Arial"/>
          </w:rPr>
          <w:t>http://ww</w:t>
        </w:r>
        <w:r w:rsidR="00D26B01" w:rsidRPr="00404C1C">
          <w:rPr>
            <w:rStyle w:val="Hyperlink"/>
            <w:rFonts w:cs="Arial"/>
          </w:rPr>
          <w:t>w</w:t>
        </w:r>
        <w:r w:rsidR="00D26B01" w:rsidRPr="00404C1C">
          <w:rPr>
            <w:rStyle w:val="Hyperlink"/>
            <w:rFonts w:cs="Arial"/>
          </w:rPr>
          <w:t>.hcd.ca.gov/grants-funding/income-limits/index.shtml</w:t>
        </w:r>
      </w:hyperlink>
      <w:r w:rsidR="009C2A1F">
        <w:t>.</w:t>
      </w:r>
      <w:r>
        <w:t xml:space="preserve"> </w:t>
      </w:r>
      <w:r w:rsidRPr="00A178D3">
        <w:t xml:space="preserve">Disadvantaged communities are defined as areas representing census tracts scoring in the top 25 % in </w:t>
      </w:r>
      <w:proofErr w:type="spellStart"/>
      <w:r w:rsidRPr="00A178D3">
        <w:t>CalEnviroScreen</w:t>
      </w:r>
      <w:proofErr w:type="spellEnd"/>
      <w:r w:rsidRPr="00A178D3">
        <w:t xml:space="preserve"> 3.0. For more information on disadvantaged communities and to determine if your project is in a disadvantaged community, use the California Communities Environmental Health Screening tool (</w:t>
      </w:r>
      <w:proofErr w:type="spellStart"/>
      <w:r w:rsidRPr="00A178D3">
        <w:t>CalEnviroScreen</w:t>
      </w:r>
      <w:proofErr w:type="spellEnd"/>
      <w:r w:rsidRPr="00A178D3">
        <w:t xml:space="preserve"> 3.0):</w:t>
      </w:r>
      <w:r w:rsidR="0017678F">
        <w:t xml:space="preserve"> </w:t>
      </w:r>
      <w:hyperlink r:id="rId37" w:tooltip="Click here to go to the California Communities Environmental Health Screening tool" w:history="1">
        <w:r w:rsidR="00D26B01" w:rsidRPr="00404C1C">
          <w:rPr>
            <w:rStyle w:val="Hyperlink"/>
            <w:rFonts w:cs="Arial"/>
          </w:rPr>
          <w:t>https://oehha.ca.gov/calenviroscree</w:t>
        </w:r>
        <w:r w:rsidR="00D26B01" w:rsidRPr="00404C1C">
          <w:rPr>
            <w:rStyle w:val="Hyperlink"/>
            <w:rFonts w:cs="Arial"/>
          </w:rPr>
          <w:t>n</w:t>
        </w:r>
        <w:r w:rsidR="00D26B01" w:rsidRPr="00404C1C">
          <w:rPr>
            <w:rStyle w:val="Hyperlink"/>
            <w:rFonts w:cs="Arial"/>
          </w:rPr>
          <w:t>/repor</w:t>
        </w:r>
        <w:r w:rsidR="00D26B01" w:rsidRPr="00404C1C">
          <w:rPr>
            <w:rStyle w:val="Hyperlink"/>
            <w:rFonts w:cs="Arial"/>
          </w:rPr>
          <w:t>t</w:t>
        </w:r>
        <w:r w:rsidR="00D26B01" w:rsidRPr="00404C1C">
          <w:rPr>
            <w:rStyle w:val="Hyperlink"/>
            <w:rFonts w:cs="Arial"/>
          </w:rPr>
          <w:t>/calenviroscreen-30</w:t>
        </w:r>
      </w:hyperlink>
      <w:r w:rsidR="00B422F6">
        <w:t>.</w:t>
      </w:r>
    </w:p>
    <w:p w14:paraId="7EE4AB29" w14:textId="77777777" w:rsidR="00A178D3" w:rsidRPr="00A178D3" w:rsidRDefault="00A178D3" w:rsidP="00A178D3">
      <w:pPr>
        <w:jc w:val="both"/>
      </w:pPr>
    </w:p>
    <w:p w14:paraId="25874DEA" w14:textId="77777777" w:rsidR="005E52CD" w:rsidRDefault="001C2D56" w:rsidP="00B07493">
      <w:pPr>
        <w:pStyle w:val="Heading2"/>
        <w:numPr>
          <w:ilvl w:val="0"/>
          <w:numId w:val="23"/>
        </w:numPr>
        <w:tabs>
          <w:tab w:val="left" w:pos="360"/>
          <w:tab w:val="left" w:pos="720"/>
          <w:tab w:val="left" w:pos="1170"/>
          <w:tab w:val="left" w:pos="1350"/>
        </w:tabs>
        <w:ind w:left="720" w:hanging="720"/>
        <w:jc w:val="both"/>
        <w:rPr>
          <w:sz w:val="24"/>
          <w:szCs w:val="24"/>
        </w:rPr>
      </w:pPr>
      <w:bookmarkStart w:id="76" w:name="_Toc336443620"/>
      <w:bookmarkStart w:id="77" w:name="_Toc366671175"/>
      <w:bookmarkStart w:id="78" w:name="_Toc20331587"/>
      <w:bookmarkStart w:id="79" w:name="_Toc27467024"/>
      <w:r w:rsidRPr="006F0853">
        <w:rPr>
          <w:sz w:val="24"/>
          <w:szCs w:val="24"/>
        </w:rPr>
        <w:t>Project</w:t>
      </w:r>
      <w:bookmarkEnd w:id="76"/>
      <w:bookmarkEnd w:id="77"/>
      <w:r>
        <w:rPr>
          <w:sz w:val="24"/>
          <w:szCs w:val="24"/>
        </w:rPr>
        <w:t xml:space="preserve"> Requirements</w:t>
      </w:r>
      <w:bookmarkEnd w:id="78"/>
      <w:bookmarkEnd w:id="79"/>
    </w:p>
    <w:p w14:paraId="52C4D3F6" w14:textId="77777777" w:rsidR="00ED5203" w:rsidRPr="00151FE6" w:rsidRDefault="007B439A" w:rsidP="0018649E">
      <w:pPr>
        <w:numPr>
          <w:ilvl w:val="0"/>
          <w:numId w:val="63"/>
        </w:numPr>
        <w:ind w:left="720" w:hanging="360"/>
        <w:jc w:val="both"/>
        <w:rPr>
          <w:b/>
          <w:sz w:val="24"/>
          <w:szCs w:val="24"/>
        </w:rPr>
      </w:pPr>
      <w:r w:rsidRPr="00151FE6">
        <w:rPr>
          <w:b/>
          <w:sz w:val="24"/>
          <w:szCs w:val="24"/>
        </w:rPr>
        <w:t>A</w:t>
      </w:r>
      <w:r w:rsidR="00ED5203" w:rsidRPr="00151FE6">
        <w:rPr>
          <w:b/>
          <w:sz w:val="24"/>
          <w:szCs w:val="24"/>
        </w:rPr>
        <w:t>pplied Research and Development Stage</w:t>
      </w:r>
    </w:p>
    <w:p w14:paraId="640468EB" w14:textId="77777777" w:rsidR="00ED5203" w:rsidRDefault="00ED5203" w:rsidP="00312DAD">
      <w:bookmarkStart w:id="80" w:name="_Toc395180682"/>
      <w:bookmarkStart w:id="81" w:name="_Toc433981309"/>
      <w:r>
        <w:t>P</w:t>
      </w:r>
      <w:r w:rsidRPr="0099059E">
        <w:t>roject</w:t>
      </w:r>
      <w:r>
        <w:t>s</w:t>
      </w:r>
      <w:r w:rsidRPr="0099059E">
        <w:t xml:space="preserve"> </w:t>
      </w:r>
      <w:r>
        <w:t xml:space="preserve">must </w:t>
      </w:r>
      <w:r w:rsidRPr="0099059E">
        <w:t>f</w:t>
      </w:r>
      <w:r>
        <w:t>all</w:t>
      </w:r>
      <w:r w:rsidRPr="0099059E">
        <w:t xml:space="preserve"> within the “applied research and development” sta</w:t>
      </w:r>
      <w:r>
        <w:t>ge, which includes activities that</w:t>
      </w:r>
      <w:r w:rsidRPr="0099059E">
        <w:t xml:space="preserve"> support pre</w:t>
      </w:r>
      <w:r>
        <w:t>-</w:t>
      </w:r>
      <w:r w:rsidRPr="0099059E">
        <w:t xml:space="preserve">commercial technologies and approaches </w:t>
      </w:r>
      <w:r>
        <w:t>that are designed</w:t>
      </w:r>
      <w:r w:rsidRPr="0099059E">
        <w:t xml:space="preserve"> to solve specific problems in the electricity sector.</w:t>
      </w:r>
      <w:r>
        <w:t xml:space="preserve"> 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Pr>
          <w:rStyle w:val="FootnoteReference"/>
          <w:b/>
          <w:szCs w:val="22"/>
        </w:rPr>
        <w:footnoteReference w:id="11"/>
      </w:r>
      <w:r>
        <w:t xml:space="preserve">  Applied research and development activities include early, pilot-scale testing activities that are necessary to demonstrate the feasibility of pre-commercial technologies.</w:t>
      </w:r>
      <w:bookmarkEnd w:id="80"/>
      <w:bookmarkEnd w:id="81"/>
    </w:p>
    <w:p w14:paraId="1839F66F" w14:textId="77777777" w:rsidR="00344986" w:rsidRPr="00151FE6" w:rsidRDefault="0083690A" w:rsidP="0018649E">
      <w:pPr>
        <w:numPr>
          <w:ilvl w:val="0"/>
          <w:numId w:val="63"/>
        </w:numPr>
        <w:ind w:left="720" w:hanging="360"/>
        <w:jc w:val="both"/>
        <w:rPr>
          <w:b/>
          <w:sz w:val="24"/>
          <w:szCs w:val="24"/>
        </w:rPr>
      </w:pPr>
      <w:r w:rsidRPr="00151FE6">
        <w:rPr>
          <w:b/>
          <w:sz w:val="24"/>
          <w:szCs w:val="24"/>
        </w:rPr>
        <w:t>Project Focus</w:t>
      </w:r>
    </w:p>
    <w:p w14:paraId="2B99486D" w14:textId="11EFF2A0" w:rsidR="00AE4648" w:rsidRPr="00904324" w:rsidRDefault="00AE4648" w:rsidP="0075456D">
      <w:bookmarkStart w:id="82" w:name="_Toc381079916"/>
      <w:bookmarkStart w:id="83" w:name="_Toc382571178"/>
      <w:bookmarkStart w:id="84" w:name="_Toc395180687"/>
      <w:bookmarkStart w:id="85" w:name="_Toc433981316"/>
      <w:bookmarkStart w:id="86" w:name="_Toc366671176"/>
      <w:r w:rsidRPr="00904324">
        <w:t>This solicitation will have two groups that focus on providing new and emerging non-Li energy storage technologies the opportunity to develop and operate a complete system that provides value to the end customer, ratepayer, and grid operators.</w:t>
      </w:r>
    </w:p>
    <w:p w14:paraId="2D2C47A2" w14:textId="2557926E" w:rsidR="00935C19" w:rsidRPr="00904324" w:rsidRDefault="00BC2E4E" w:rsidP="0018649E">
      <w:pPr>
        <w:pStyle w:val="HeadingNew1"/>
        <w:numPr>
          <w:ilvl w:val="1"/>
          <w:numId w:val="39"/>
        </w:numPr>
        <w:ind w:left="792"/>
        <w:rPr>
          <w:b w:val="0"/>
        </w:rPr>
      </w:pPr>
      <w:r w:rsidRPr="00904324">
        <w:lastRenderedPageBreak/>
        <w:t>Group 1:</w:t>
      </w:r>
      <w:r w:rsidRPr="00904324">
        <w:rPr>
          <w:b w:val="0"/>
        </w:rPr>
        <w:t xml:space="preserve">  </w:t>
      </w:r>
      <w:r w:rsidR="007B439A" w:rsidRPr="00904324">
        <w:rPr>
          <w:b w:val="0"/>
        </w:rPr>
        <w:t>This</w:t>
      </w:r>
      <w:r w:rsidRPr="00904324">
        <w:rPr>
          <w:b w:val="0"/>
        </w:rPr>
        <w:t xml:space="preserve"> group </w:t>
      </w:r>
      <w:r w:rsidR="009A56AC" w:rsidRPr="00904324">
        <w:rPr>
          <w:b w:val="0"/>
        </w:rPr>
        <w:t xml:space="preserve">will </w:t>
      </w:r>
      <w:r w:rsidR="004561E6" w:rsidRPr="00904324">
        <w:rPr>
          <w:b w:val="0"/>
        </w:rPr>
        <w:t xml:space="preserve">develop and validate new and emerging </w:t>
      </w:r>
      <w:r w:rsidR="004561E6" w:rsidRPr="00904324">
        <w:t>non-Lithium</w:t>
      </w:r>
      <w:r w:rsidR="004561E6" w:rsidRPr="00904324">
        <w:rPr>
          <w:b w:val="0"/>
        </w:rPr>
        <w:t xml:space="preserve"> energy storage technologies that focus on customer side of the meter applications</w:t>
      </w:r>
      <w:r w:rsidR="009A56AC" w:rsidRPr="00904324">
        <w:rPr>
          <w:b w:val="0"/>
        </w:rPr>
        <w:t>.</w:t>
      </w:r>
      <w:r w:rsidR="00032542" w:rsidRPr="00904324">
        <w:t xml:space="preserve"> </w:t>
      </w:r>
      <w:r w:rsidR="009A56AC" w:rsidRPr="00904324">
        <w:rPr>
          <w:b w:val="0"/>
        </w:rPr>
        <w:t xml:space="preserve">The solutions proposed must </w:t>
      </w:r>
      <w:r w:rsidR="004561E6" w:rsidRPr="00904324">
        <w:rPr>
          <w:b w:val="0"/>
        </w:rPr>
        <w:t>take</w:t>
      </w:r>
      <w:r w:rsidR="00032542" w:rsidRPr="00904324">
        <w:rPr>
          <w:b w:val="0"/>
        </w:rPr>
        <w:t xml:space="preserve"> the technology from laboratory demonstration to prototype testing in a customer application</w:t>
      </w:r>
      <w:r w:rsidR="00FD6851" w:rsidRPr="00904324">
        <w:rPr>
          <w:b w:val="0"/>
        </w:rPr>
        <w:t xml:space="preserve">. The </w:t>
      </w:r>
      <w:r w:rsidR="00935C19" w:rsidRPr="00904324">
        <w:rPr>
          <w:b w:val="0"/>
        </w:rPr>
        <w:t xml:space="preserve">proposed </w:t>
      </w:r>
      <w:r w:rsidR="00FD6851" w:rsidRPr="00904324">
        <w:rPr>
          <w:b w:val="0"/>
        </w:rPr>
        <w:t xml:space="preserve">system will provide a </w:t>
      </w:r>
      <w:r w:rsidR="004946AB" w:rsidRPr="00904324">
        <w:rPr>
          <w:b w:val="0"/>
        </w:rPr>
        <w:t>customer side of the meter</w:t>
      </w:r>
      <w:r w:rsidR="00FD6851" w:rsidRPr="00904324">
        <w:rPr>
          <w:b w:val="0"/>
        </w:rPr>
        <w:t xml:space="preserve"> solution that address</w:t>
      </w:r>
      <w:r w:rsidR="00F64797" w:rsidRPr="00904324">
        <w:rPr>
          <w:b w:val="0"/>
        </w:rPr>
        <w:t>es</w:t>
      </w:r>
      <w:r w:rsidR="00935C19" w:rsidRPr="00904324">
        <w:rPr>
          <w:b w:val="0"/>
        </w:rPr>
        <w:t xml:space="preserve"> </w:t>
      </w:r>
      <w:r w:rsidR="003E537C" w:rsidRPr="00904324">
        <w:rPr>
          <w:b w:val="0"/>
        </w:rPr>
        <w:t xml:space="preserve">improved </w:t>
      </w:r>
      <w:r w:rsidR="00FD6851" w:rsidRPr="00904324">
        <w:rPr>
          <w:b w:val="0"/>
        </w:rPr>
        <w:t>energy density</w:t>
      </w:r>
      <w:r w:rsidR="00935C19" w:rsidRPr="00904324">
        <w:rPr>
          <w:b w:val="0"/>
        </w:rPr>
        <w:t>, increased cycle performance</w:t>
      </w:r>
      <w:r w:rsidR="00FD6851" w:rsidRPr="00904324">
        <w:rPr>
          <w:b w:val="0"/>
        </w:rPr>
        <w:t xml:space="preserve"> and critical energy needs such as re</w:t>
      </w:r>
      <w:r w:rsidR="00935C19" w:rsidRPr="00904324">
        <w:rPr>
          <w:b w:val="0"/>
        </w:rPr>
        <w:t xml:space="preserve">siliency, reliability, </w:t>
      </w:r>
      <w:proofErr w:type="gramStart"/>
      <w:r w:rsidR="00935C19" w:rsidRPr="00904324">
        <w:rPr>
          <w:b w:val="0"/>
        </w:rPr>
        <w:t>improved</w:t>
      </w:r>
      <w:proofErr w:type="gramEnd"/>
      <w:r w:rsidR="00FD6851" w:rsidRPr="00904324">
        <w:rPr>
          <w:b w:val="0"/>
        </w:rPr>
        <w:t xml:space="preserve"> safety, lower costs than currently fielded systems</w:t>
      </w:r>
      <w:r w:rsidR="008C3DE2" w:rsidRPr="00904324">
        <w:rPr>
          <w:b w:val="0"/>
        </w:rPr>
        <w:t>,</w:t>
      </w:r>
      <w:r w:rsidR="00FD6851" w:rsidRPr="00904324">
        <w:rPr>
          <w:b w:val="0"/>
        </w:rPr>
        <w:t xml:space="preserve"> and better long term or lifecycle performance.</w:t>
      </w:r>
    </w:p>
    <w:p w14:paraId="16C4D8BD" w14:textId="77777777" w:rsidR="00935C19" w:rsidRPr="00904324" w:rsidRDefault="0061186C" w:rsidP="0018649E">
      <w:pPr>
        <w:pStyle w:val="HeadingNew1"/>
        <w:numPr>
          <w:ilvl w:val="0"/>
          <w:numId w:val="58"/>
        </w:numPr>
        <w:ind w:left="1080"/>
        <w:rPr>
          <w:b w:val="0"/>
        </w:rPr>
      </w:pPr>
      <w:r w:rsidRPr="00904324">
        <w:rPr>
          <w:b w:val="0"/>
        </w:rPr>
        <w:t>Proposed systems must demonstrate a</w:t>
      </w:r>
      <w:r w:rsidR="00DB5091" w:rsidRPr="00904324">
        <w:rPr>
          <w:b w:val="0"/>
        </w:rPr>
        <w:t>n</w:t>
      </w:r>
      <w:r w:rsidRPr="00904324">
        <w:rPr>
          <w:b w:val="0"/>
        </w:rPr>
        <w:t xml:space="preserve"> </w:t>
      </w:r>
      <w:r w:rsidR="00DB5091" w:rsidRPr="00904324">
        <w:rPr>
          <w:b w:val="0"/>
        </w:rPr>
        <w:t xml:space="preserve">expected </w:t>
      </w:r>
      <w:r w:rsidRPr="00904324">
        <w:rPr>
          <w:b w:val="0"/>
        </w:rPr>
        <w:t>value t</w:t>
      </w:r>
      <w:r w:rsidR="00935C19" w:rsidRPr="00904324">
        <w:rPr>
          <w:b w:val="0"/>
        </w:rPr>
        <w:t>o the end customer</w:t>
      </w:r>
      <w:r w:rsidR="00CA6FAA" w:rsidRPr="00904324">
        <w:rPr>
          <w:b w:val="0"/>
        </w:rPr>
        <w:t>.</w:t>
      </w:r>
    </w:p>
    <w:p w14:paraId="18BB8EB3" w14:textId="65B1F629" w:rsidR="00112CC8" w:rsidRPr="00904324" w:rsidRDefault="00935C19" w:rsidP="0018649E">
      <w:pPr>
        <w:pStyle w:val="HeadingNew1"/>
        <w:numPr>
          <w:ilvl w:val="0"/>
          <w:numId w:val="58"/>
        </w:numPr>
        <w:ind w:left="1080"/>
        <w:rPr>
          <w:b w:val="0"/>
        </w:rPr>
      </w:pPr>
      <w:r w:rsidRPr="00904324">
        <w:rPr>
          <w:b w:val="0"/>
        </w:rPr>
        <w:t xml:space="preserve">Candidate technologies include advanced chemistry batteries, flow batteries, flywheels, thermal storage systems, compressed air systems, and other </w:t>
      </w:r>
      <w:r w:rsidR="004561E6" w:rsidRPr="00904324">
        <w:rPr>
          <w:b w:val="0"/>
        </w:rPr>
        <w:t xml:space="preserve">non-lithium </w:t>
      </w:r>
      <w:r w:rsidRPr="00904324">
        <w:rPr>
          <w:b w:val="0"/>
        </w:rPr>
        <w:t>energy storage technologies that ca</w:t>
      </w:r>
      <w:r w:rsidR="00112CC8" w:rsidRPr="00904324">
        <w:rPr>
          <w:b w:val="0"/>
        </w:rPr>
        <w:t>n provide an</w:t>
      </w:r>
      <w:r w:rsidR="00E17973" w:rsidRPr="00904324">
        <w:rPr>
          <w:b w:val="0"/>
        </w:rPr>
        <w:t xml:space="preserve"> electricity-</w:t>
      </w:r>
      <w:r w:rsidRPr="00904324">
        <w:rPr>
          <w:b w:val="0"/>
        </w:rPr>
        <w:t>in/electricity</w:t>
      </w:r>
      <w:r w:rsidR="00E17973" w:rsidRPr="00904324">
        <w:rPr>
          <w:b w:val="0"/>
        </w:rPr>
        <w:t>-out</w:t>
      </w:r>
      <w:r w:rsidRPr="00904324">
        <w:rPr>
          <w:b w:val="0"/>
        </w:rPr>
        <w:t xml:space="preserve"> </w:t>
      </w:r>
      <w:r w:rsidR="00112CC8" w:rsidRPr="00904324">
        <w:rPr>
          <w:b w:val="0"/>
        </w:rPr>
        <w:t xml:space="preserve">capability and </w:t>
      </w:r>
      <w:r w:rsidR="009E43A6" w:rsidRPr="00904324">
        <w:rPr>
          <w:b w:val="0"/>
        </w:rPr>
        <w:t xml:space="preserve">represent an improvement over current technology </w:t>
      </w:r>
      <w:r w:rsidR="00112CC8" w:rsidRPr="00904324">
        <w:rPr>
          <w:b w:val="0"/>
        </w:rPr>
        <w:t xml:space="preserve">capabilities and performance. The proposed </w:t>
      </w:r>
      <w:r w:rsidR="00F90C84" w:rsidRPr="00904324">
        <w:rPr>
          <w:b w:val="0"/>
        </w:rPr>
        <w:t xml:space="preserve">energy storage </w:t>
      </w:r>
      <w:r w:rsidR="00112CC8" w:rsidRPr="00904324">
        <w:rPr>
          <w:b w:val="0"/>
        </w:rPr>
        <w:t>system must provide a complete system that is considered an electricity-in and electricity-out solution.  Technologies such as thermal storage, compressed air, and other proposed systems must provide all associated equipment necessary to receive and store electricity and provide electricity</w:t>
      </w:r>
      <w:r w:rsidR="009E43A6" w:rsidRPr="00904324">
        <w:rPr>
          <w:b w:val="0"/>
        </w:rPr>
        <w:t xml:space="preserve"> as an </w:t>
      </w:r>
      <w:r w:rsidR="00CE5E8A" w:rsidRPr="00904324">
        <w:rPr>
          <w:b w:val="0"/>
        </w:rPr>
        <w:t xml:space="preserve">input and </w:t>
      </w:r>
      <w:r w:rsidR="009E43A6" w:rsidRPr="00904324">
        <w:rPr>
          <w:b w:val="0"/>
        </w:rPr>
        <w:t xml:space="preserve">output. Systems that </w:t>
      </w:r>
      <w:r w:rsidR="00112CC8" w:rsidRPr="00904324">
        <w:rPr>
          <w:b w:val="0"/>
        </w:rPr>
        <w:t xml:space="preserve">provide additional services other than electricity </w:t>
      </w:r>
      <w:r w:rsidR="009E43A6" w:rsidRPr="00904324">
        <w:rPr>
          <w:b w:val="0"/>
        </w:rPr>
        <w:t xml:space="preserve">(such as heat, compressed air or other non-electricity products) </w:t>
      </w:r>
      <w:r w:rsidR="00112CC8" w:rsidRPr="00904324">
        <w:rPr>
          <w:b w:val="0"/>
        </w:rPr>
        <w:t xml:space="preserve">can be proposed as long as the primary </w:t>
      </w:r>
      <w:r w:rsidR="009E43A6" w:rsidRPr="00904324">
        <w:rPr>
          <w:b w:val="0"/>
        </w:rPr>
        <w:t xml:space="preserve">input and </w:t>
      </w:r>
      <w:r w:rsidR="00112CC8" w:rsidRPr="00904324">
        <w:rPr>
          <w:b w:val="0"/>
        </w:rPr>
        <w:t>output is electricity</w:t>
      </w:r>
      <w:r w:rsidR="009E43A6" w:rsidRPr="00904324">
        <w:rPr>
          <w:b w:val="0"/>
        </w:rPr>
        <w:t xml:space="preserve"> and </w:t>
      </w:r>
      <w:r w:rsidR="007C3F2E" w:rsidRPr="00904324">
        <w:rPr>
          <w:b w:val="0"/>
        </w:rPr>
        <w:t>the overall</w:t>
      </w:r>
      <w:r w:rsidR="009E43A6" w:rsidRPr="00904324">
        <w:rPr>
          <w:b w:val="0"/>
        </w:rPr>
        <w:t xml:space="preserve"> system is cost effective to the end customer.</w:t>
      </w:r>
    </w:p>
    <w:p w14:paraId="3279A9D1" w14:textId="74AB3471" w:rsidR="00742B30" w:rsidRPr="00904324" w:rsidRDefault="00742B30" w:rsidP="0018649E">
      <w:pPr>
        <w:pStyle w:val="HeadingNew1"/>
        <w:numPr>
          <w:ilvl w:val="0"/>
          <w:numId w:val="58"/>
        </w:numPr>
        <w:ind w:left="1080"/>
        <w:rPr>
          <w:b w:val="0"/>
        </w:rPr>
      </w:pPr>
      <w:r w:rsidRPr="00904324">
        <w:rPr>
          <w:b w:val="0"/>
        </w:rPr>
        <w:t xml:space="preserve">No </w:t>
      </w:r>
      <w:r w:rsidR="00935C19" w:rsidRPr="00904324">
        <w:rPr>
          <w:b w:val="0"/>
        </w:rPr>
        <w:t xml:space="preserve">more than two grants </w:t>
      </w:r>
      <w:r w:rsidR="007C3F2E" w:rsidRPr="00904324">
        <w:rPr>
          <w:b w:val="0"/>
        </w:rPr>
        <w:t xml:space="preserve">from </w:t>
      </w:r>
      <w:r w:rsidRPr="00904324">
        <w:rPr>
          <w:b w:val="0"/>
        </w:rPr>
        <w:t xml:space="preserve">Group 1 </w:t>
      </w:r>
      <w:r w:rsidR="00935C19" w:rsidRPr="00904324">
        <w:rPr>
          <w:b w:val="0"/>
        </w:rPr>
        <w:t xml:space="preserve">will be awarded </w:t>
      </w:r>
      <w:r w:rsidRPr="00904324">
        <w:rPr>
          <w:b w:val="0"/>
        </w:rPr>
        <w:t xml:space="preserve">to a single </w:t>
      </w:r>
      <w:r w:rsidR="00935C19" w:rsidRPr="00904324">
        <w:rPr>
          <w:b w:val="0"/>
        </w:rPr>
        <w:t xml:space="preserve">candidate </w:t>
      </w:r>
      <w:r w:rsidR="007C3F2E" w:rsidRPr="00904324">
        <w:rPr>
          <w:b w:val="0"/>
        </w:rPr>
        <w:t xml:space="preserve">technology </w:t>
      </w:r>
      <w:r w:rsidRPr="00904324">
        <w:rPr>
          <w:b w:val="0"/>
        </w:rPr>
        <w:t>type</w:t>
      </w:r>
      <w:r w:rsidR="00E92E08" w:rsidRPr="00904324">
        <w:rPr>
          <w:b w:val="0"/>
        </w:rPr>
        <w:t>,</w:t>
      </w:r>
      <w:r w:rsidRPr="00904324">
        <w:rPr>
          <w:b w:val="0"/>
        </w:rPr>
        <w:t xml:space="preserve"> </w:t>
      </w:r>
      <w:r w:rsidR="00E92E08" w:rsidRPr="00904324">
        <w:rPr>
          <w:b w:val="0"/>
        </w:rPr>
        <w:t xml:space="preserve">described </w:t>
      </w:r>
      <w:r w:rsidR="002E60B6" w:rsidRPr="00904324">
        <w:rPr>
          <w:b w:val="0"/>
        </w:rPr>
        <w:t>in number 2 above.</w:t>
      </w:r>
      <w:r w:rsidR="001C540A" w:rsidRPr="00904324">
        <w:rPr>
          <w:b w:val="0"/>
        </w:rPr>
        <w:t xml:space="preserve">  </w:t>
      </w:r>
    </w:p>
    <w:p w14:paraId="6E5E19CE" w14:textId="3FE0E9E4" w:rsidR="00935C19" w:rsidRPr="00904324" w:rsidRDefault="001C540A" w:rsidP="0018649E">
      <w:pPr>
        <w:pStyle w:val="HeadingNew1"/>
        <w:numPr>
          <w:ilvl w:val="0"/>
          <w:numId w:val="58"/>
        </w:numPr>
        <w:ind w:left="1080"/>
        <w:rPr>
          <w:b w:val="0"/>
        </w:rPr>
      </w:pPr>
      <w:r w:rsidRPr="00904324">
        <w:rPr>
          <w:b w:val="0"/>
        </w:rPr>
        <w:t xml:space="preserve">No energy storage technology provider may submit more than one proposal for this solicitation.  The </w:t>
      </w:r>
      <w:r w:rsidR="00EA7152" w:rsidRPr="00904324">
        <w:rPr>
          <w:b w:val="0"/>
        </w:rPr>
        <w:t xml:space="preserve">energy storage technology </w:t>
      </w:r>
      <w:r w:rsidRPr="00904324">
        <w:rPr>
          <w:b w:val="0"/>
        </w:rPr>
        <w:t xml:space="preserve">provider may submit as </w:t>
      </w:r>
      <w:r w:rsidR="00EA7152" w:rsidRPr="00904324">
        <w:rPr>
          <w:b w:val="0"/>
        </w:rPr>
        <w:t xml:space="preserve">either: (1) the prime applicant, or (2) as a key subcontractor, </w:t>
      </w:r>
      <w:r w:rsidRPr="00904324">
        <w:rPr>
          <w:b w:val="0"/>
        </w:rPr>
        <w:t>but not both.</w:t>
      </w:r>
    </w:p>
    <w:p w14:paraId="2B10D731" w14:textId="7876E818" w:rsidR="002E60B6" w:rsidRPr="00904324" w:rsidRDefault="008C3DE2" w:rsidP="0018649E">
      <w:pPr>
        <w:pStyle w:val="HeadingNew1"/>
        <w:numPr>
          <w:ilvl w:val="0"/>
          <w:numId w:val="58"/>
        </w:numPr>
        <w:ind w:left="1080"/>
        <w:rPr>
          <w:b w:val="0"/>
        </w:rPr>
      </w:pPr>
      <w:r w:rsidRPr="00904324">
        <w:rPr>
          <w:b w:val="0"/>
        </w:rPr>
        <w:t>Applicants</w:t>
      </w:r>
      <w:r w:rsidR="00A91FF3" w:rsidRPr="00904324">
        <w:rPr>
          <w:b w:val="0"/>
        </w:rPr>
        <w:t>’</w:t>
      </w:r>
      <w:r w:rsidRPr="00904324">
        <w:rPr>
          <w:b w:val="0"/>
        </w:rPr>
        <w:t xml:space="preserve"> proposals</w:t>
      </w:r>
      <w:r w:rsidR="0061186C" w:rsidRPr="00904324">
        <w:rPr>
          <w:b w:val="0"/>
        </w:rPr>
        <w:t xml:space="preserve"> will </w:t>
      </w:r>
      <w:r w:rsidR="00AB4D6B" w:rsidRPr="00904324">
        <w:rPr>
          <w:b w:val="0"/>
        </w:rPr>
        <w:t>identify</w:t>
      </w:r>
      <w:r w:rsidR="0061186C" w:rsidRPr="00904324">
        <w:rPr>
          <w:b w:val="0"/>
        </w:rPr>
        <w:t xml:space="preserve"> specific applications or use cases</w:t>
      </w:r>
      <w:r w:rsidR="00E71672" w:rsidRPr="00904324">
        <w:rPr>
          <w:b w:val="0"/>
        </w:rPr>
        <w:t xml:space="preserve"> for which</w:t>
      </w:r>
      <w:r w:rsidR="0061186C" w:rsidRPr="00904324">
        <w:rPr>
          <w:b w:val="0"/>
        </w:rPr>
        <w:t xml:space="preserve"> the technology is most </w:t>
      </w:r>
      <w:r w:rsidR="00DB5091" w:rsidRPr="00904324">
        <w:rPr>
          <w:b w:val="0"/>
        </w:rPr>
        <w:t>ideally suited once fielded and define the value this specific technology provide</w:t>
      </w:r>
      <w:r w:rsidR="003E537C" w:rsidRPr="00904324">
        <w:rPr>
          <w:b w:val="0"/>
        </w:rPr>
        <w:t>s</w:t>
      </w:r>
      <w:r w:rsidR="00DB5091" w:rsidRPr="00904324">
        <w:rPr>
          <w:b w:val="0"/>
        </w:rPr>
        <w:t xml:space="preserve"> over currently fielded technologies</w:t>
      </w:r>
      <w:r w:rsidR="00935C19" w:rsidRPr="00904324">
        <w:rPr>
          <w:b w:val="0"/>
        </w:rPr>
        <w:t xml:space="preserve"> (i.e. energy storage technology systems that are best suited for high power and short durations are better suited for different use cases tha</w:t>
      </w:r>
      <w:r w:rsidR="00C17CBB" w:rsidRPr="00904324">
        <w:rPr>
          <w:b w:val="0"/>
        </w:rPr>
        <w:t>n</w:t>
      </w:r>
      <w:r w:rsidR="00935C19" w:rsidRPr="00904324">
        <w:rPr>
          <w:b w:val="0"/>
        </w:rPr>
        <w:t xml:space="preserve"> energy storage technology systems that provide long duration</w:t>
      </w:r>
      <w:r w:rsidR="007C3F2E" w:rsidRPr="00904324">
        <w:rPr>
          <w:b w:val="0"/>
        </w:rPr>
        <w:t xml:space="preserve"> energy storage services</w:t>
      </w:r>
      <w:r w:rsidR="00935C19" w:rsidRPr="00904324">
        <w:rPr>
          <w:b w:val="0"/>
        </w:rPr>
        <w:t>)</w:t>
      </w:r>
      <w:r w:rsidR="00DB5091" w:rsidRPr="00904324">
        <w:rPr>
          <w:b w:val="0"/>
        </w:rPr>
        <w:t xml:space="preserve">.  </w:t>
      </w:r>
      <w:r w:rsidR="00BC0E1F" w:rsidRPr="00904324">
        <w:rPr>
          <w:b w:val="0"/>
        </w:rPr>
        <w:t>The recipient must clearly state the baseline</w:t>
      </w:r>
      <w:r w:rsidR="00E173CF" w:rsidRPr="00904324">
        <w:rPr>
          <w:b w:val="0"/>
        </w:rPr>
        <w:t xml:space="preserve"> being used</w:t>
      </w:r>
      <w:r w:rsidR="00BC0E1F" w:rsidRPr="00904324">
        <w:rPr>
          <w:b w:val="0"/>
        </w:rPr>
        <w:t xml:space="preserve"> for comparison.  </w:t>
      </w:r>
      <w:r w:rsidR="00DB5091" w:rsidRPr="00904324">
        <w:rPr>
          <w:b w:val="0"/>
        </w:rPr>
        <w:t xml:space="preserve">This information will provide future projections on cost </w:t>
      </w:r>
      <w:r w:rsidR="005042F8" w:rsidRPr="00904324">
        <w:rPr>
          <w:b w:val="0"/>
        </w:rPr>
        <w:t>and performance that illustrate</w:t>
      </w:r>
      <w:r w:rsidR="00DB5091" w:rsidRPr="00904324">
        <w:rPr>
          <w:b w:val="0"/>
        </w:rPr>
        <w:t xml:space="preserve"> why the technology being </w:t>
      </w:r>
      <w:r w:rsidR="00F90C84" w:rsidRPr="00904324">
        <w:rPr>
          <w:b w:val="0"/>
        </w:rPr>
        <w:t xml:space="preserve">field tested </w:t>
      </w:r>
      <w:r w:rsidR="00DB5091" w:rsidRPr="00904324">
        <w:rPr>
          <w:b w:val="0"/>
        </w:rPr>
        <w:t>will have the ability to compete in the future energy storage marketplace based on cost, performance, safety, expected lifetime and any other crit</w:t>
      </w:r>
      <w:r w:rsidR="007C3F2E" w:rsidRPr="00904324">
        <w:rPr>
          <w:b w:val="0"/>
        </w:rPr>
        <w:t>eria that makes the proposed</w:t>
      </w:r>
      <w:r w:rsidR="00DB5091" w:rsidRPr="00904324">
        <w:rPr>
          <w:b w:val="0"/>
        </w:rPr>
        <w:t xml:space="preserve"> technology competitive.</w:t>
      </w:r>
      <w:r w:rsidR="00935C19" w:rsidRPr="00904324">
        <w:rPr>
          <w:b w:val="0"/>
        </w:rPr>
        <w:t xml:space="preserve">  </w:t>
      </w:r>
    </w:p>
    <w:p w14:paraId="401C473F" w14:textId="77777777" w:rsidR="00A33877" w:rsidRPr="00904324" w:rsidRDefault="00DA153E" w:rsidP="0018649E">
      <w:pPr>
        <w:pStyle w:val="HeadingNew1"/>
        <w:numPr>
          <w:ilvl w:val="0"/>
          <w:numId w:val="58"/>
        </w:numPr>
        <w:ind w:left="1080"/>
        <w:rPr>
          <w:b w:val="0"/>
        </w:rPr>
      </w:pPr>
      <w:r w:rsidRPr="00904324">
        <w:rPr>
          <w:b w:val="0"/>
        </w:rPr>
        <w:t>The proposal will provide quantification of current laboratory test system performance</w:t>
      </w:r>
      <w:r w:rsidR="0093572A" w:rsidRPr="00904324">
        <w:rPr>
          <w:b w:val="0"/>
        </w:rPr>
        <w:t xml:space="preserve"> and provide numerical performance objectives to be achieved in the project</w:t>
      </w:r>
      <w:r w:rsidR="007C3F2E" w:rsidRPr="00904324">
        <w:rPr>
          <w:b w:val="0"/>
        </w:rPr>
        <w:t xml:space="preserve"> to illustrate the desired performance numbers needed to make the technology commercially competitive in the future</w:t>
      </w:r>
      <w:r w:rsidR="0093572A" w:rsidRPr="00904324">
        <w:rPr>
          <w:b w:val="0"/>
        </w:rPr>
        <w:t>.</w:t>
      </w:r>
    </w:p>
    <w:p w14:paraId="17E60A90" w14:textId="789F0F91" w:rsidR="00112CC8" w:rsidRPr="00904324" w:rsidRDefault="002E60B6" w:rsidP="0018649E">
      <w:pPr>
        <w:pStyle w:val="HeadingNew1"/>
        <w:numPr>
          <w:ilvl w:val="0"/>
          <w:numId w:val="58"/>
        </w:numPr>
        <w:ind w:left="1080"/>
        <w:rPr>
          <w:b w:val="0"/>
        </w:rPr>
      </w:pPr>
      <w:r w:rsidRPr="00904324">
        <w:rPr>
          <w:b w:val="0"/>
        </w:rPr>
        <w:t>Given that Li technology is by far the most fielded technology in California, proposed technolo</w:t>
      </w:r>
      <w:r w:rsidR="00E17973" w:rsidRPr="00904324">
        <w:rPr>
          <w:b w:val="0"/>
        </w:rPr>
        <w:t>gy providers in the group</w:t>
      </w:r>
      <w:r w:rsidRPr="00904324">
        <w:rPr>
          <w:b w:val="0"/>
        </w:rPr>
        <w:t xml:space="preserve"> must provide details on how their technology can compete once commercialized with the expected price and performance of future Li technology systems.  For example, current Li technology systems are selling in the price range of $300 to $400 per </w:t>
      </w:r>
      <w:r w:rsidR="00EA7152" w:rsidRPr="00904324">
        <w:rPr>
          <w:b w:val="0"/>
        </w:rPr>
        <w:t>k</w:t>
      </w:r>
      <w:r w:rsidRPr="00904324">
        <w:rPr>
          <w:b w:val="0"/>
        </w:rPr>
        <w:t>W</w:t>
      </w:r>
      <w:r w:rsidR="00EA7152" w:rsidRPr="00904324">
        <w:rPr>
          <w:b w:val="0"/>
        </w:rPr>
        <w:t>h</w:t>
      </w:r>
      <w:r w:rsidRPr="00904324">
        <w:rPr>
          <w:b w:val="0"/>
        </w:rPr>
        <w:t xml:space="preserve"> with an expected selling </w:t>
      </w:r>
      <w:r w:rsidR="00112CC8" w:rsidRPr="00904324">
        <w:rPr>
          <w:b w:val="0"/>
        </w:rPr>
        <w:t xml:space="preserve">price </w:t>
      </w:r>
      <w:r w:rsidRPr="00904324">
        <w:rPr>
          <w:b w:val="0"/>
        </w:rPr>
        <w:t xml:space="preserve">range of less than $200 per </w:t>
      </w:r>
      <w:r w:rsidR="00EA7152" w:rsidRPr="00904324">
        <w:rPr>
          <w:b w:val="0"/>
        </w:rPr>
        <w:t xml:space="preserve">kWh </w:t>
      </w:r>
      <w:r w:rsidRPr="00904324">
        <w:rPr>
          <w:b w:val="0"/>
        </w:rPr>
        <w:t xml:space="preserve">within a decade.  However, Li technology </w:t>
      </w:r>
      <w:r w:rsidR="00112CC8" w:rsidRPr="00904324">
        <w:rPr>
          <w:b w:val="0"/>
        </w:rPr>
        <w:t xml:space="preserve">also </w:t>
      </w:r>
      <w:r w:rsidRPr="00904324">
        <w:rPr>
          <w:b w:val="0"/>
        </w:rPr>
        <w:t xml:space="preserve">has thermal challenges that provides safety concerns, limits on the number </w:t>
      </w:r>
      <w:r w:rsidR="00112CC8" w:rsidRPr="00904324">
        <w:rPr>
          <w:b w:val="0"/>
        </w:rPr>
        <w:t xml:space="preserve">and depth </w:t>
      </w:r>
      <w:r w:rsidRPr="00904324">
        <w:rPr>
          <w:b w:val="0"/>
        </w:rPr>
        <w:t xml:space="preserve">of daily cycles, </w:t>
      </w:r>
      <w:r w:rsidRPr="00904324">
        <w:rPr>
          <w:b w:val="0"/>
        </w:rPr>
        <w:lastRenderedPageBreak/>
        <w:t xml:space="preserve">performance degradation over time and environmental justice concerns on how some of the key materials used in Li batteries are obtained.  For this solicitation, the </w:t>
      </w:r>
      <w:r w:rsidR="00B81364" w:rsidRPr="00904324">
        <w:rPr>
          <w:b w:val="0"/>
        </w:rPr>
        <w:t xml:space="preserve">applicant </w:t>
      </w:r>
      <w:r w:rsidRPr="00904324">
        <w:rPr>
          <w:b w:val="0"/>
        </w:rPr>
        <w:t>must explain how their technology will compete when commercial on price, performance,</w:t>
      </w:r>
      <w:r w:rsidR="00112CC8" w:rsidRPr="00904324">
        <w:rPr>
          <w:b w:val="0"/>
        </w:rPr>
        <w:t xml:space="preserve"> reliability, use of rare materials and other factors to illustrate that there is a commercial market for the proposed non-Li technology system.</w:t>
      </w:r>
    </w:p>
    <w:p w14:paraId="6F300582" w14:textId="03204B9E" w:rsidR="00253AE7" w:rsidRPr="00904324" w:rsidRDefault="00253AE7" w:rsidP="0018649E">
      <w:pPr>
        <w:pStyle w:val="HeadingNew1"/>
        <w:numPr>
          <w:ilvl w:val="0"/>
          <w:numId w:val="58"/>
        </w:numPr>
        <w:ind w:left="1080"/>
        <w:rPr>
          <w:b w:val="0"/>
        </w:rPr>
      </w:pPr>
      <w:r w:rsidRPr="00904324">
        <w:rPr>
          <w:b w:val="0"/>
        </w:rPr>
        <w:t xml:space="preserve">Existing or newly developed energy storage solutions based on Lithium-ion chemistry will not be considered as eligible for this group, because there is </w:t>
      </w:r>
      <w:r w:rsidR="00B81364" w:rsidRPr="00904324">
        <w:rPr>
          <w:b w:val="0"/>
        </w:rPr>
        <w:t xml:space="preserve">substantial </w:t>
      </w:r>
      <w:r w:rsidRPr="00904324">
        <w:rPr>
          <w:b w:val="0"/>
        </w:rPr>
        <w:t>national research funding already being applied to further develop Lithium-ion chemistry based technologies. Any proposal for a new energy storage technology solution that uses Lithium as part of their solution must clearly demonstrate how the technology is both different to, and an improvement upon, currently fielded Lithium-ion chemistry based technologies, or it will not be considered as eligible for this solicitation.</w:t>
      </w:r>
    </w:p>
    <w:p w14:paraId="20504C35" w14:textId="77777777" w:rsidR="007C3F2E" w:rsidRPr="00904324" w:rsidRDefault="00126CA7" w:rsidP="0018649E">
      <w:pPr>
        <w:pStyle w:val="HeadingNew1"/>
        <w:numPr>
          <w:ilvl w:val="0"/>
          <w:numId w:val="58"/>
        </w:numPr>
        <w:ind w:left="1080"/>
        <w:rPr>
          <w:b w:val="0"/>
        </w:rPr>
      </w:pPr>
      <w:r w:rsidRPr="00904324">
        <w:rPr>
          <w:b w:val="0"/>
        </w:rPr>
        <w:t xml:space="preserve">No fossil fuels may be consumed as part of the proposed energy storage system.  The proposed energy storage system cannot rely on any </w:t>
      </w:r>
      <w:r w:rsidR="00F64797" w:rsidRPr="00904324">
        <w:rPr>
          <w:b w:val="0"/>
        </w:rPr>
        <w:t>fossil-fueled</w:t>
      </w:r>
      <w:r w:rsidRPr="00904324">
        <w:rPr>
          <w:b w:val="0"/>
        </w:rPr>
        <w:t xml:space="preserve"> generator as any element of the proposed solution</w:t>
      </w:r>
      <w:r w:rsidR="007C3F2E" w:rsidRPr="00904324">
        <w:rPr>
          <w:b w:val="0"/>
        </w:rPr>
        <w:t xml:space="preserve"> or use fossil fuels in any way during its operation</w:t>
      </w:r>
      <w:r w:rsidRPr="00904324">
        <w:rPr>
          <w:b w:val="0"/>
        </w:rPr>
        <w:t>.</w:t>
      </w:r>
    </w:p>
    <w:p w14:paraId="43884A05" w14:textId="77777777" w:rsidR="003815EE" w:rsidRPr="00904324" w:rsidRDefault="0061186C" w:rsidP="0018649E">
      <w:pPr>
        <w:pStyle w:val="HeadingNew1"/>
        <w:numPr>
          <w:ilvl w:val="0"/>
          <w:numId w:val="58"/>
        </w:numPr>
        <w:ind w:left="1080"/>
        <w:rPr>
          <w:b w:val="0"/>
        </w:rPr>
      </w:pPr>
      <w:r w:rsidRPr="00904324">
        <w:rPr>
          <w:b w:val="0"/>
        </w:rPr>
        <w:t xml:space="preserve">All technologies proposed for consideration shall be pre-commercial and have a technical readiness level (TRL) of </w:t>
      </w:r>
      <w:r w:rsidR="00C24A62" w:rsidRPr="00904324">
        <w:rPr>
          <w:b w:val="0"/>
        </w:rPr>
        <w:t>in the range of 4 to 5</w:t>
      </w:r>
      <w:r w:rsidRPr="00904324">
        <w:rPr>
          <w:b w:val="0"/>
        </w:rPr>
        <w:t xml:space="preserve">. The proposal will </w:t>
      </w:r>
      <w:r w:rsidR="000E7B1F" w:rsidRPr="00904324">
        <w:rPr>
          <w:b w:val="0"/>
        </w:rPr>
        <w:t>identify</w:t>
      </w:r>
      <w:r w:rsidRPr="00904324">
        <w:rPr>
          <w:b w:val="0"/>
        </w:rPr>
        <w:t xml:space="preserve"> </w:t>
      </w:r>
      <w:r w:rsidR="0069516B" w:rsidRPr="00904324">
        <w:rPr>
          <w:b w:val="0"/>
        </w:rPr>
        <w:t xml:space="preserve">the current </w:t>
      </w:r>
      <w:r w:rsidRPr="00904324">
        <w:rPr>
          <w:b w:val="0"/>
        </w:rPr>
        <w:t xml:space="preserve">TRL </w:t>
      </w:r>
      <w:r w:rsidR="00B13730" w:rsidRPr="00904324">
        <w:rPr>
          <w:b w:val="0"/>
        </w:rPr>
        <w:t xml:space="preserve">of the technology and </w:t>
      </w:r>
      <w:r w:rsidR="000E7B1F" w:rsidRPr="00904324">
        <w:rPr>
          <w:b w:val="0"/>
        </w:rPr>
        <w:t xml:space="preserve">provide detailed justification for the </w:t>
      </w:r>
      <w:r w:rsidR="005D62C7" w:rsidRPr="00904324">
        <w:rPr>
          <w:b w:val="0"/>
        </w:rPr>
        <w:t>assignment</w:t>
      </w:r>
      <w:r w:rsidR="000E7B1F" w:rsidRPr="00904324">
        <w:rPr>
          <w:b w:val="0"/>
        </w:rPr>
        <w:t xml:space="preserve"> of this TRL</w:t>
      </w:r>
      <w:r w:rsidR="005D62C7" w:rsidRPr="00904324">
        <w:rPr>
          <w:b w:val="0"/>
        </w:rPr>
        <w:t xml:space="preserve">.  </w:t>
      </w:r>
      <w:r w:rsidR="00BD3597" w:rsidRPr="00904324">
        <w:rPr>
          <w:b w:val="0"/>
        </w:rPr>
        <w:t>The proposal will identify the expected final TRL after the agreement term and provide detail</w:t>
      </w:r>
      <w:r w:rsidR="00586273" w:rsidRPr="00904324">
        <w:rPr>
          <w:b w:val="0"/>
        </w:rPr>
        <w:t xml:space="preserve">s </w:t>
      </w:r>
      <w:r w:rsidR="00F57286" w:rsidRPr="00904324">
        <w:rPr>
          <w:b w:val="0"/>
        </w:rPr>
        <w:t>to describe how the project will help achieve this TRL</w:t>
      </w:r>
      <w:r w:rsidR="00AF32A4" w:rsidRPr="00904324">
        <w:rPr>
          <w:b w:val="0"/>
        </w:rPr>
        <w:t>.</w:t>
      </w:r>
      <w:r w:rsidR="00844533" w:rsidRPr="00904324">
        <w:rPr>
          <w:b w:val="0"/>
        </w:rPr>
        <w:t xml:space="preserve">  The goal of this funding is for the </w:t>
      </w:r>
      <w:r w:rsidR="007D507D" w:rsidRPr="00904324">
        <w:rPr>
          <w:b w:val="0"/>
        </w:rPr>
        <w:t>technology to advance to TRL 6 or 7</w:t>
      </w:r>
      <w:r w:rsidR="00844533" w:rsidRPr="00904324">
        <w:rPr>
          <w:b w:val="0"/>
        </w:rPr>
        <w:t xml:space="preserve"> by the end of the grant.</w:t>
      </w:r>
      <w:r w:rsidR="007D507D" w:rsidRPr="00904324">
        <w:rPr>
          <w:b w:val="0"/>
        </w:rPr>
        <w:t xml:space="preserve"> Energy storage technologies that have already exceeded TRL level </w:t>
      </w:r>
      <w:r w:rsidR="00C17CBB" w:rsidRPr="00904324">
        <w:rPr>
          <w:b w:val="0"/>
        </w:rPr>
        <w:t>6</w:t>
      </w:r>
      <w:r w:rsidR="007D507D" w:rsidRPr="00904324">
        <w:rPr>
          <w:b w:val="0"/>
        </w:rPr>
        <w:t xml:space="preserve"> may apply to this solicitation if there is a substantial design improvement and a redesign of their technology that provides significant improvements in performance, reliability or costs.  In this case, the proposer must clearly define how this new configuration lowers the TRL level to 4 or 5 and how they will reach TRL level 6 or 7 by the end of the grant performance period.</w:t>
      </w:r>
    </w:p>
    <w:p w14:paraId="5E8C8791" w14:textId="77777777" w:rsidR="003815EE" w:rsidRPr="00904324" w:rsidRDefault="0061186C" w:rsidP="0018649E">
      <w:pPr>
        <w:pStyle w:val="HeadingNew1"/>
        <w:numPr>
          <w:ilvl w:val="0"/>
          <w:numId w:val="58"/>
        </w:numPr>
        <w:ind w:left="1080"/>
        <w:rPr>
          <w:b w:val="0"/>
        </w:rPr>
      </w:pPr>
      <w:r w:rsidRPr="00904324">
        <w:rPr>
          <w:b w:val="0"/>
        </w:rPr>
        <w:t xml:space="preserve">The </w:t>
      </w:r>
      <w:r w:rsidR="00C36000" w:rsidRPr="00904324">
        <w:rPr>
          <w:b w:val="0"/>
        </w:rPr>
        <w:t>applicant’s proposal</w:t>
      </w:r>
      <w:r w:rsidRPr="00904324">
        <w:rPr>
          <w:b w:val="0"/>
        </w:rPr>
        <w:t xml:space="preserve"> must define the value </w:t>
      </w:r>
      <w:r w:rsidR="00C36000" w:rsidRPr="00904324">
        <w:rPr>
          <w:b w:val="0"/>
        </w:rPr>
        <w:t xml:space="preserve">of </w:t>
      </w:r>
      <w:r w:rsidRPr="00904324">
        <w:rPr>
          <w:b w:val="0"/>
        </w:rPr>
        <w:t xml:space="preserve">the EPIC funds </w:t>
      </w:r>
      <w:r w:rsidR="00C36000" w:rsidRPr="00904324">
        <w:rPr>
          <w:b w:val="0"/>
        </w:rPr>
        <w:t xml:space="preserve">to the grant recipient.  The proposal </w:t>
      </w:r>
      <w:r w:rsidRPr="00904324">
        <w:rPr>
          <w:b w:val="0"/>
        </w:rPr>
        <w:t xml:space="preserve">will </w:t>
      </w:r>
      <w:r w:rsidR="00C36000" w:rsidRPr="00904324">
        <w:rPr>
          <w:b w:val="0"/>
        </w:rPr>
        <w:t>define</w:t>
      </w:r>
      <w:r w:rsidRPr="00904324">
        <w:rPr>
          <w:b w:val="0"/>
        </w:rPr>
        <w:t xml:space="preserve"> how these funds will be used to advance the technology status and improve the ability of the company to attract new customers and investors in the future. </w:t>
      </w:r>
    </w:p>
    <w:p w14:paraId="5039B924" w14:textId="1C94D8BA" w:rsidR="003815EE" w:rsidRPr="00904324" w:rsidRDefault="00B81364" w:rsidP="0018649E">
      <w:pPr>
        <w:pStyle w:val="HeadingNew1"/>
        <w:numPr>
          <w:ilvl w:val="0"/>
          <w:numId w:val="58"/>
        </w:numPr>
        <w:ind w:left="1080"/>
        <w:rPr>
          <w:b w:val="0"/>
        </w:rPr>
      </w:pPr>
      <w:r w:rsidRPr="00904324">
        <w:rPr>
          <w:b w:val="0"/>
        </w:rPr>
        <w:t xml:space="preserve">Match </w:t>
      </w:r>
      <w:r w:rsidR="0061186C" w:rsidRPr="00904324">
        <w:rPr>
          <w:b w:val="0"/>
        </w:rPr>
        <w:t>Share is not required</w:t>
      </w:r>
      <w:r w:rsidR="003815EE" w:rsidRPr="00904324">
        <w:rPr>
          <w:b w:val="0"/>
        </w:rPr>
        <w:t>,</w:t>
      </w:r>
      <w:r w:rsidR="0061186C" w:rsidRPr="00904324">
        <w:rPr>
          <w:b w:val="0"/>
        </w:rPr>
        <w:t xml:space="preserve"> however, extra scoring credit will be provided for </w:t>
      </w:r>
      <w:r w:rsidRPr="00904324">
        <w:rPr>
          <w:b w:val="0"/>
        </w:rPr>
        <w:t xml:space="preserve">match </w:t>
      </w:r>
      <w:r w:rsidR="0061186C" w:rsidRPr="00904324">
        <w:rPr>
          <w:b w:val="0"/>
        </w:rPr>
        <w:t>share up to 100 percent.</w:t>
      </w:r>
    </w:p>
    <w:p w14:paraId="51807065" w14:textId="77777777" w:rsidR="001729D1" w:rsidRPr="00904324" w:rsidRDefault="001729D1" w:rsidP="0018649E">
      <w:pPr>
        <w:pStyle w:val="HeadingNew1"/>
        <w:numPr>
          <w:ilvl w:val="0"/>
          <w:numId w:val="58"/>
        </w:numPr>
        <w:ind w:left="1080"/>
        <w:rPr>
          <w:b w:val="0"/>
        </w:rPr>
      </w:pPr>
      <w:r w:rsidRPr="00904324">
        <w:rPr>
          <w:b w:val="0"/>
        </w:rPr>
        <w:t>In addition to responding to the specific questions in th</w:t>
      </w:r>
      <w:r w:rsidR="00046EFC" w:rsidRPr="00904324">
        <w:rPr>
          <w:b w:val="0"/>
        </w:rPr>
        <w:t>is</w:t>
      </w:r>
      <w:r w:rsidRPr="00904324">
        <w:rPr>
          <w:b w:val="0"/>
        </w:rPr>
        <w:t xml:space="preserve"> section, the applicant must explain in detail how their proposal meets each criterion listed in the Scoring Criteria 2-5 (see Section IV.F) and include that information in the Project Narrative (Attachment 4).</w:t>
      </w:r>
    </w:p>
    <w:p w14:paraId="4764B61F" w14:textId="791384AA" w:rsidR="009E10E9" w:rsidRPr="00904324" w:rsidRDefault="00316F33" w:rsidP="0018649E">
      <w:pPr>
        <w:pStyle w:val="HeadingNew1"/>
        <w:numPr>
          <w:ilvl w:val="0"/>
          <w:numId w:val="58"/>
        </w:numPr>
        <w:ind w:left="1080"/>
        <w:rPr>
          <w:b w:val="0"/>
        </w:rPr>
      </w:pPr>
      <w:r w:rsidRPr="00904324">
        <w:rPr>
          <w:b w:val="0"/>
        </w:rPr>
        <w:t>The proposed project must meet all CEQA requirements</w:t>
      </w:r>
      <w:r w:rsidR="00742B30" w:rsidRPr="00904324">
        <w:rPr>
          <w:b w:val="0"/>
        </w:rPr>
        <w:t xml:space="preserve"> (refer to Attachment 8)</w:t>
      </w:r>
      <w:r w:rsidRPr="00904324">
        <w:rPr>
          <w:b w:val="0"/>
        </w:rPr>
        <w:t xml:space="preserve"> in time for the encumbrance of the EPIC funds by June 2020. Due to the encumbrance deadline for applicable funding, the status of lead agency CEQA approval for the proposed project, if any, must be included with the application and all final CEQA approval documents must be received in time to make the schedule for the June 2020 Business Meeting.  Applications with energy storage technologies that (1) fall under a statutory or categorical CEQA exemption, or (2) are already approved, or (3) can be easily approved, by any applicable lead agency are highly encouraged and will be scored accordingly.</w:t>
      </w:r>
    </w:p>
    <w:p w14:paraId="7DAB9E85" w14:textId="77777777" w:rsidR="00D22CB1" w:rsidRPr="00904324" w:rsidRDefault="00D22CB1" w:rsidP="00D22CB1">
      <w:pPr>
        <w:pStyle w:val="HeadingNew1"/>
        <w:numPr>
          <w:ilvl w:val="0"/>
          <w:numId w:val="0"/>
        </w:numPr>
        <w:ind w:left="720" w:hanging="360"/>
        <w:rPr>
          <w:b w:val="0"/>
        </w:rPr>
      </w:pPr>
    </w:p>
    <w:p w14:paraId="3BED5DA9" w14:textId="6D376A6B" w:rsidR="00D22CB1" w:rsidRPr="00904324" w:rsidRDefault="00D22CB1" w:rsidP="0018649E">
      <w:pPr>
        <w:pStyle w:val="HeadingNew1"/>
        <w:numPr>
          <w:ilvl w:val="1"/>
          <w:numId w:val="39"/>
        </w:numPr>
        <w:ind w:left="792"/>
        <w:rPr>
          <w:b w:val="0"/>
        </w:rPr>
      </w:pPr>
      <w:r w:rsidRPr="00904324">
        <w:lastRenderedPageBreak/>
        <w:t>Group 2</w:t>
      </w:r>
      <w:r w:rsidRPr="00904324">
        <w:rPr>
          <w:b w:val="0"/>
        </w:rPr>
        <w:t xml:space="preserve">:  This group will only focus on validating emerging </w:t>
      </w:r>
      <w:r w:rsidR="000D35E2" w:rsidRPr="00904324">
        <w:rPr>
          <w:b w:val="0"/>
        </w:rPr>
        <w:t xml:space="preserve">electrolytic hydrogen </w:t>
      </w:r>
      <w:r w:rsidRPr="00904324">
        <w:rPr>
          <w:b w:val="0"/>
        </w:rPr>
        <w:t>energy storage technologies as complete systems that provide value to the end customer, ratepayers, and/or grid operator.</w:t>
      </w:r>
      <w:r w:rsidRPr="00904324">
        <w:t xml:space="preserve"> </w:t>
      </w:r>
      <w:r w:rsidRPr="00904324">
        <w:rPr>
          <w:b w:val="0"/>
        </w:rPr>
        <w:t xml:space="preserve">The solutions proposed must </w:t>
      </w:r>
      <w:r w:rsidR="000D35E2" w:rsidRPr="00904324">
        <w:rPr>
          <w:b w:val="0"/>
        </w:rPr>
        <w:t xml:space="preserve">support </w:t>
      </w:r>
      <w:r w:rsidRPr="00904324">
        <w:rPr>
          <w:b w:val="0"/>
        </w:rPr>
        <w:t xml:space="preserve">customer side of the meter applications, taking the technology from laboratory prototype </w:t>
      </w:r>
      <w:r w:rsidR="00F90C84" w:rsidRPr="00904324">
        <w:rPr>
          <w:b w:val="0"/>
        </w:rPr>
        <w:t xml:space="preserve">to field </w:t>
      </w:r>
      <w:r w:rsidRPr="00904324">
        <w:rPr>
          <w:b w:val="0"/>
        </w:rPr>
        <w:t xml:space="preserve">testing in a customer application. The proposed system will provide a </w:t>
      </w:r>
      <w:r w:rsidR="004946AB" w:rsidRPr="00904324">
        <w:rPr>
          <w:b w:val="0"/>
        </w:rPr>
        <w:t>customer side of the meter</w:t>
      </w:r>
      <w:r w:rsidRPr="00904324">
        <w:rPr>
          <w:b w:val="0"/>
        </w:rPr>
        <w:t xml:space="preserve"> solution that addresses improved energy </w:t>
      </w:r>
      <w:r w:rsidR="000D35E2" w:rsidRPr="00904324">
        <w:rPr>
          <w:b w:val="0"/>
        </w:rPr>
        <w:t xml:space="preserve">storage system performance </w:t>
      </w:r>
      <w:r w:rsidRPr="00904324">
        <w:rPr>
          <w:b w:val="0"/>
        </w:rPr>
        <w:t xml:space="preserve">and critical energy needs such as resiliency, reliability, </w:t>
      </w:r>
      <w:proofErr w:type="gramStart"/>
      <w:r w:rsidRPr="00904324">
        <w:rPr>
          <w:b w:val="0"/>
        </w:rPr>
        <w:t>improved</w:t>
      </w:r>
      <w:proofErr w:type="gramEnd"/>
      <w:r w:rsidRPr="00904324">
        <w:rPr>
          <w:b w:val="0"/>
        </w:rPr>
        <w:t xml:space="preserve"> safety, lower costs than currently fielded systems, and better long term or lifecycle performance.</w:t>
      </w:r>
    </w:p>
    <w:p w14:paraId="1C2EF44A" w14:textId="77777777" w:rsidR="00D22CB1" w:rsidRPr="00904324" w:rsidRDefault="00D22CB1" w:rsidP="0018649E">
      <w:pPr>
        <w:pStyle w:val="HeadingNew1"/>
        <w:numPr>
          <w:ilvl w:val="0"/>
          <w:numId w:val="59"/>
        </w:numPr>
        <w:ind w:left="1080"/>
        <w:rPr>
          <w:b w:val="0"/>
        </w:rPr>
      </w:pPr>
      <w:r w:rsidRPr="00904324">
        <w:rPr>
          <w:b w:val="0"/>
        </w:rPr>
        <w:t>Proposed systems must demonstrate an expected value to the end customer.</w:t>
      </w:r>
    </w:p>
    <w:p w14:paraId="505E70D5" w14:textId="2B0EBCF2" w:rsidR="00D22CB1" w:rsidRPr="00904324" w:rsidRDefault="00743D5E" w:rsidP="0018649E">
      <w:pPr>
        <w:pStyle w:val="HeadingNew1"/>
        <w:numPr>
          <w:ilvl w:val="0"/>
          <w:numId w:val="59"/>
        </w:numPr>
        <w:ind w:left="1080"/>
        <w:rPr>
          <w:b w:val="0"/>
        </w:rPr>
      </w:pPr>
      <w:r w:rsidRPr="00904324">
        <w:rPr>
          <w:b w:val="0"/>
        </w:rPr>
        <w:t>G</w:t>
      </w:r>
      <w:r w:rsidR="00D22CB1" w:rsidRPr="00904324">
        <w:rPr>
          <w:b w:val="0"/>
        </w:rPr>
        <w:t>roup</w:t>
      </w:r>
      <w:r w:rsidRPr="00904324">
        <w:rPr>
          <w:b w:val="0"/>
        </w:rPr>
        <w:t xml:space="preserve"> 2</w:t>
      </w:r>
      <w:r w:rsidR="00D22CB1" w:rsidRPr="00904324">
        <w:rPr>
          <w:b w:val="0"/>
        </w:rPr>
        <w:t xml:space="preserve"> is limited to electrolytic hydrogen energy storage </w:t>
      </w:r>
      <w:r w:rsidR="006270EA" w:rsidRPr="00904324">
        <w:rPr>
          <w:b w:val="0"/>
        </w:rPr>
        <w:t xml:space="preserve">technology </w:t>
      </w:r>
      <w:r w:rsidR="00D22CB1" w:rsidRPr="00904324">
        <w:rPr>
          <w:b w:val="0"/>
        </w:rPr>
        <w:t xml:space="preserve">systems. The proposed </w:t>
      </w:r>
      <w:r w:rsidR="00F90C84" w:rsidRPr="00904324">
        <w:rPr>
          <w:b w:val="0"/>
        </w:rPr>
        <w:t xml:space="preserve">hydrogen </w:t>
      </w:r>
      <w:r w:rsidR="00D22CB1" w:rsidRPr="00904324">
        <w:rPr>
          <w:b w:val="0"/>
        </w:rPr>
        <w:t xml:space="preserve">system must provide a complete system that is considered an electricity-in and electricity-out solution.  </w:t>
      </w:r>
      <w:r w:rsidR="00D65B9B" w:rsidRPr="00904324">
        <w:rPr>
          <w:b w:val="0"/>
        </w:rPr>
        <w:t>Additional services (such as heat, oxygen, compressed air or other non-electricity products) can be proposed as long as they have value to the customer and the primary input and output is electricity and the overall system is projected to be cost effective when it reaches the scale necessary for future commercialization.</w:t>
      </w:r>
    </w:p>
    <w:p w14:paraId="521B6CD3" w14:textId="77777777" w:rsidR="00D22CB1" w:rsidRPr="00904324" w:rsidRDefault="00D22CB1" w:rsidP="0018649E">
      <w:pPr>
        <w:pStyle w:val="HeadingNew1"/>
        <w:numPr>
          <w:ilvl w:val="0"/>
          <w:numId w:val="59"/>
        </w:numPr>
        <w:ind w:left="1080"/>
        <w:rPr>
          <w:b w:val="0"/>
        </w:rPr>
      </w:pPr>
      <w:r w:rsidRPr="00904324">
        <w:rPr>
          <w:b w:val="0"/>
        </w:rPr>
        <w:t xml:space="preserve">No energy storage technology provider may submit more than one proposal for this solicitation.  </w:t>
      </w:r>
      <w:r w:rsidR="005042F8" w:rsidRPr="00904324">
        <w:rPr>
          <w:b w:val="0"/>
        </w:rPr>
        <w:t>The energy storage technology provider may submit as either: (1) the prime applicant, or (2) as a key subcontractor, but not both.</w:t>
      </w:r>
    </w:p>
    <w:p w14:paraId="012AC581" w14:textId="6D59BD17" w:rsidR="00D22CB1" w:rsidRPr="00904324" w:rsidRDefault="00D22CB1" w:rsidP="0018649E">
      <w:pPr>
        <w:pStyle w:val="HeadingNew1"/>
        <w:numPr>
          <w:ilvl w:val="0"/>
          <w:numId w:val="59"/>
        </w:numPr>
        <w:ind w:left="1080"/>
        <w:rPr>
          <w:b w:val="0"/>
        </w:rPr>
      </w:pPr>
      <w:r w:rsidRPr="00904324">
        <w:rPr>
          <w:b w:val="0"/>
        </w:rPr>
        <w:t>Applicants</w:t>
      </w:r>
      <w:r w:rsidR="00B81364" w:rsidRPr="00904324">
        <w:rPr>
          <w:b w:val="0"/>
        </w:rPr>
        <w:t>’</w:t>
      </w:r>
      <w:r w:rsidRPr="00904324">
        <w:rPr>
          <w:b w:val="0"/>
        </w:rPr>
        <w:t xml:space="preserve"> proposals will identify specific applications or use cases for which the technology is most ideally suited once fielded and define the value this specific technology provides over currently fielded technologies (i.e. energy storage technology systems that are best suited for high power and short durations are better suited for different use cases tha</w:t>
      </w:r>
      <w:r w:rsidR="00C17CBB" w:rsidRPr="00904324">
        <w:rPr>
          <w:b w:val="0"/>
        </w:rPr>
        <w:t>n</w:t>
      </w:r>
      <w:r w:rsidRPr="00904324">
        <w:rPr>
          <w:b w:val="0"/>
        </w:rPr>
        <w:t xml:space="preserve"> energy storage technology systems that provide long duration energy storage services).  The recipient must clearly state the baseline being used for comparison.  This information will provide future projections on cost and performance that illustrate why the technology being </w:t>
      </w:r>
      <w:r w:rsidR="007903A1" w:rsidRPr="00904324">
        <w:rPr>
          <w:b w:val="0"/>
        </w:rPr>
        <w:t xml:space="preserve">field tested </w:t>
      </w:r>
      <w:r w:rsidRPr="00904324">
        <w:rPr>
          <w:b w:val="0"/>
        </w:rPr>
        <w:t xml:space="preserve">will have the ability to compete in the future energy storage marketplace based on cost, performance, safety, expected lifetime and any other criteria that makes the proposed technology competitive.  </w:t>
      </w:r>
    </w:p>
    <w:p w14:paraId="60E79A16" w14:textId="77777777" w:rsidR="00D22CB1" w:rsidRPr="00904324" w:rsidRDefault="00D22CB1" w:rsidP="0018649E">
      <w:pPr>
        <w:pStyle w:val="HeadingNew1"/>
        <w:numPr>
          <w:ilvl w:val="0"/>
          <w:numId w:val="59"/>
        </w:numPr>
        <w:ind w:left="1080"/>
        <w:rPr>
          <w:b w:val="0"/>
        </w:rPr>
      </w:pPr>
      <w:r w:rsidRPr="00904324">
        <w:rPr>
          <w:b w:val="0"/>
        </w:rPr>
        <w:t>The proposal will provide quantification of current laboratory test system performance and provide numerical performance objectives to be achieved in the project to illustrate the desired performance numbers needed to make the technology commercially competitive in the future.</w:t>
      </w:r>
    </w:p>
    <w:p w14:paraId="300F2EFD" w14:textId="77777777" w:rsidR="00D22CB1" w:rsidRPr="00904324" w:rsidRDefault="00D22CB1" w:rsidP="0018649E">
      <w:pPr>
        <w:pStyle w:val="HeadingNew1"/>
        <w:numPr>
          <w:ilvl w:val="0"/>
          <w:numId w:val="59"/>
        </w:numPr>
        <w:ind w:left="1080"/>
        <w:rPr>
          <w:b w:val="0"/>
        </w:rPr>
      </w:pPr>
      <w:r w:rsidRPr="00904324">
        <w:rPr>
          <w:b w:val="0"/>
        </w:rPr>
        <w:t>Given th</w:t>
      </w:r>
      <w:r w:rsidR="005042F8" w:rsidRPr="00904324">
        <w:rPr>
          <w:b w:val="0"/>
        </w:rPr>
        <w:t>e</w:t>
      </w:r>
      <w:r w:rsidRPr="00904324">
        <w:rPr>
          <w:b w:val="0"/>
        </w:rPr>
        <w:t xml:space="preserve"> </w:t>
      </w:r>
      <w:r w:rsidR="006270EA" w:rsidRPr="00904324">
        <w:rPr>
          <w:b w:val="0"/>
        </w:rPr>
        <w:t xml:space="preserve">growth in the energy storage market in California, </w:t>
      </w:r>
      <w:r w:rsidRPr="00904324">
        <w:rPr>
          <w:b w:val="0"/>
        </w:rPr>
        <w:t xml:space="preserve">proposed </w:t>
      </w:r>
      <w:r w:rsidR="006270EA" w:rsidRPr="00904324">
        <w:rPr>
          <w:b w:val="0"/>
        </w:rPr>
        <w:t>electrolytic hydrogen technology providers for</w:t>
      </w:r>
      <w:r w:rsidR="005042F8" w:rsidRPr="00904324">
        <w:rPr>
          <w:b w:val="0"/>
        </w:rPr>
        <w:t xml:space="preserve"> G</w:t>
      </w:r>
      <w:r w:rsidR="007243B4" w:rsidRPr="00904324">
        <w:rPr>
          <w:b w:val="0"/>
        </w:rPr>
        <w:t>roup</w:t>
      </w:r>
      <w:r w:rsidRPr="00904324">
        <w:rPr>
          <w:b w:val="0"/>
        </w:rPr>
        <w:t xml:space="preserve"> </w:t>
      </w:r>
      <w:r w:rsidR="005042F8" w:rsidRPr="00904324">
        <w:rPr>
          <w:b w:val="0"/>
        </w:rPr>
        <w:t xml:space="preserve">2 </w:t>
      </w:r>
      <w:r w:rsidRPr="00904324">
        <w:rPr>
          <w:b w:val="0"/>
        </w:rPr>
        <w:t xml:space="preserve">must provide details on how their </w:t>
      </w:r>
      <w:r w:rsidR="006270EA" w:rsidRPr="00904324">
        <w:rPr>
          <w:b w:val="0"/>
        </w:rPr>
        <w:t xml:space="preserve">energy storage </w:t>
      </w:r>
      <w:r w:rsidR="00C17CBB" w:rsidRPr="00904324">
        <w:rPr>
          <w:b w:val="0"/>
        </w:rPr>
        <w:t xml:space="preserve">technology </w:t>
      </w:r>
      <w:r w:rsidR="006270EA" w:rsidRPr="00904324">
        <w:rPr>
          <w:b w:val="0"/>
        </w:rPr>
        <w:t xml:space="preserve">solution </w:t>
      </w:r>
      <w:r w:rsidRPr="00904324">
        <w:rPr>
          <w:b w:val="0"/>
        </w:rPr>
        <w:t>can compete</w:t>
      </w:r>
      <w:r w:rsidR="006270EA" w:rsidRPr="00904324">
        <w:rPr>
          <w:b w:val="0"/>
        </w:rPr>
        <w:t>,</w:t>
      </w:r>
      <w:r w:rsidRPr="00904324">
        <w:rPr>
          <w:b w:val="0"/>
        </w:rPr>
        <w:t xml:space="preserve"> once commercialized</w:t>
      </w:r>
      <w:r w:rsidR="006270EA" w:rsidRPr="00904324">
        <w:rPr>
          <w:b w:val="0"/>
        </w:rPr>
        <w:t>,</w:t>
      </w:r>
      <w:r w:rsidRPr="00904324">
        <w:rPr>
          <w:b w:val="0"/>
        </w:rPr>
        <w:t xml:space="preserve"> with the expected price and performance of future </w:t>
      </w:r>
      <w:r w:rsidR="006270EA" w:rsidRPr="00904324">
        <w:rPr>
          <w:b w:val="0"/>
        </w:rPr>
        <w:t>alternative energy storage technologies.</w:t>
      </w:r>
      <w:r w:rsidRPr="00904324">
        <w:rPr>
          <w:b w:val="0"/>
        </w:rPr>
        <w:t xml:space="preserve"> </w:t>
      </w:r>
    </w:p>
    <w:p w14:paraId="518A5B8D" w14:textId="77777777" w:rsidR="00D22CB1" w:rsidRPr="00904324" w:rsidRDefault="003217C8" w:rsidP="0018649E">
      <w:pPr>
        <w:pStyle w:val="HeadingNew1"/>
        <w:numPr>
          <w:ilvl w:val="0"/>
          <w:numId w:val="59"/>
        </w:numPr>
        <w:ind w:left="1080"/>
        <w:rPr>
          <w:b w:val="0"/>
        </w:rPr>
      </w:pPr>
      <w:r w:rsidRPr="00904324">
        <w:rPr>
          <w:b w:val="0"/>
        </w:rPr>
        <w:t>N</w:t>
      </w:r>
      <w:r w:rsidR="00D22CB1" w:rsidRPr="00904324">
        <w:rPr>
          <w:b w:val="0"/>
        </w:rPr>
        <w:t>o fossil fuels may be consumed as part of the proposed energy storage system.  The proposed energy storage system cannot rely on any fossil-fueled generator as any element of the proposed solution or use fossil fuels in any way during its operation.</w:t>
      </w:r>
    </w:p>
    <w:p w14:paraId="43E7208A" w14:textId="77777777" w:rsidR="00D22CB1" w:rsidRPr="00904324" w:rsidRDefault="00D22CB1" w:rsidP="0018649E">
      <w:pPr>
        <w:pStyle w:val="HeadingNew1"/>
        <w:numPr>
          <w:ilvl w:val="0"/>
          <w:numId w:val="59"/>
        </w:numPr>
        <w:ind w:left="1080"/>
        <w:rPr>
          <w:b w:val="0"/>
        </w:rPr>
      </w:pPr>
      <w:r w:rsidRPr="00904324">
        <w:rPr>
          <w:b w:val="0"/>
        </w:rPr>
        <w:t xml:space="preserve">For purposes of this solicitation, the definition listed in SB-1369 will be used as what is qualified for any proposed electrolytic hydrogen energy storage systems. </w:t>
      </w:r>
      <w:r w:rsidRPr="00904324">
        <w:rPr>
          <w:b w:val="0"/>
          <w:i/>
        </w:rPr>
        <w:t>“Green electrolytic hydrogen” means hydrogen gas produced through electrolysis and does not include hydrogen gas manufactured using steam reforming or any other conversion technology that produces hydrogen from a fossil fuel feedstock.”</w:t>
      </w:r>
    </w:p>
    <w:p w14:paraId="14D832B1" w14:textId="77777777" w:rsidR="00D22CB1" w:rsidRPr="00904324" w:rsidRDefault="00D22CB1" w:rsidP="0018649E">
      <w:pPr>
        <w:pStyle w:val="HeadingNew1"/>
        <w:numPr>
          <w:ilvl w:val="0"/>
          <w:numId w:val="59"/>
        </w:numPr>
        <w:ind w:left="1080"/>
        <w:rPr>
          <w:b w:val="0"/>
        </w:rPr>
      </w:pPr>
      <w:r w:rsidRPr="00904324">
        <w:rPr>
          <w:b w:val="0"/>
        </w:rPr>
        <w:lastRenderedPageBreak/>
        <w:t xml:space="preserve">All technologies proposed for consideration shall be pre-commercial and have a technical readiness level (TRL) of in the range of 4 to 5. The proposal will identify the current TRL of the technology and provide detailed justification for the assignment of this TRL.  The proposal will identify the expected final TRL after the agreement term and provide details to describe how the project will help achieve this TRL.  The goal of this funding is for the technology to advance to TRL 6 or 7 by the end of the grant. Energy storage technologies that have already exceeded TRL level </w:t>
      </w:r>
      <w:r w:rsidR="00C17CBB" w:rsidRPr="00904324">
        <w:rPr>
          <w:b w:val="0"/>
        </w:rPr>
        <w:t>6</w:t>
      </w:r>
      <w:r w:rsidRPr="00904324">
        <w:rPr>
          <w:b w:val="0"/>
        </w:rPr>
        <w:t xml:space="preserve"> may apply to this solicitation if there is a substantial design improvement and a redesign of their technology that provides significant improvements in performance, reliability or costs.  In this case, the proposer must clearly define how this new configuration lowers the TRL level to 4 or 5 and how they will reach TRL level 6 or 7 by the end of the grant performance period.</w:t>
      </w:r>
    </w:p>
    <w:p w14:paraId="451D5AA3" w14:textId="77777777" w:rsidR="00D22CB1" w:rsidRPr="00904324" w:rsidRDefault="00D22CB1" w:rsidP="0018649E">
      <w:pPr>
        <w:pStyle w:val="HeadingNew1"/>
        <w:numPr>
          <w:ilvl w:val="0"/>
          <w:numId w:val="59"/>
        </w:numPr>
        <w:ind w:left="1080"/>
        <w:rPr>
          <w:b w:val="0"/>
        </w:rPr>
      </w:pPr>
      <w:r w:rsidRPr="00904324">
        <w:rPr>
          <w:b w:val="0"/>
        </w:rPr>
        <w:t xml:space="preserve">The applicant’s proposal must define the value of the EPIC funds to the grant recipient.  The proposal will define how these funds will be used to advance the technology status and improve the ability of the company to attract new customers and investors in the future. </w:t>
      </w:r>
    </w:p>
    <w:p w14:paraId="122AEABF" w14:textId="4F8F91E4" w:rsidR="00D22CB1" w:rsidRPr="00904324" w:rsidRDefault="003E3913" w:rsidP="0018649E">
      <w:pPr>
        <w:pStyle w:val="HeadingNew1"/>
        <w:numPr>
          <w:ilvl w:val="0"/>
          <w:numId w:val="59"/>
        </w:numPr>
        <w:ind w:left="1080"/>
        <w:rPr>
          <w:b w:val="0"/>
        </w:rPr>
      </w:pPr>
      <w:r>
        <w:rPr>
          <w:b w:val="0"/>
        </w:rPr>
        <w:t>Match</w:t>
      </w:r>
      <w:r w:rsidR="00D22CB1" w:rsidRPr="00904324">
        <w:rPr>
          <w:b w:val="0"/>
        </w:rPr>
        <w:t xml:space="preserve"> Share is not required, however, extra scoring credit will be provided for </w:t>
      </w:r>
      <w:r>
        <w:rPr>
          <w:b w:val="0"/>
        </w:rPr>
        <w:t>Match</w:t>
      </w:r>
      <w:r w:rsidR="00D22CB1" w:rsidRPr="00904324">
        <w:rPr>
          <w:b w:val="0"/>
        </w:rPr>
        <w:t xml:space="preserve"> share up to 100 percent.</w:t>
      </w:r>
    </w:p>
    <w:p w14:paraId="137C5876" w14:textId="77777777" w:rsidR="00D22CB1" w:rsidRPr="00904324" w:rsidRDefault="00D22CB1" w:rsidP="0018649E">
      <w:pPr>
        <w:pStyle w:val="HeadingNew1"/>
        <w:numPr>
          <w:ilvl w:val="0"/>
          <w:numId w:val="59"/>
        </w:numPr>
        <w:ind w:left="1080"/>
        <w:rPr>
          <w:b w:val="0"/>
        </w:rPr>
      </w:pPr>
      <w:r w:rsidRPr="00904324">
        <w:rPr>
          <w:b w:val="0"/>
        </w:rPr>
        <w:t xml:space="preserve">In addition to responding to the specific questions in this section, the applicant must explain in detail how their proposal meets each criterion listed in the Scoring Criteria 2-5 (see Section IV.F) and include that information in the Project Narrative (Attachment 4).  </w:t>
      </w:r>
    </w:p>
    <w:p w14:paraId="245A6DC0" w14:textId="641BFF8A" w:rsidR="00D22CB1" w:rsidRPr="00904324" w:rsidRDefault="00D22CB1" w:rsidP="0018649E">
      <w:pPr>
        <w:pStyle w:val="HeadingNew1"/>
        <w:numPr>
          <w:ilvl w:val="0"/>
          <w:numId w:val="59"/>
        </w:numPr>
        <w:ind w:left="1080"/>
        <w:rPr>
          <w:b w:val="0"/>
        </w:rPr>
      </w:pPr>
      <w:r w:rsidRPr="00904324">
        <w:rPr>
          <w:b w:val="0"/>
        </w:rPr>
        <w:t xml:space="preserve">The proposed project must meet all CEQA requirements </w:t>
      </w:r>
      <w:r w:rsidR="00742B30" w:rsidRPr="00904324">
        <w:rPr>
          <w:b w:val="0"/>
        </w:rPr>
        <w:t xml:space="preserve">(refer to Attachment 8) </w:t>
      </w:r>
      <w:r w:rsidRPr="00904324">
        <w:rPr>
          <w:b w:val="0"/>
        </w:rPr>
        <w:t>in time for the encumbrance of the EPIC funds by June 2020. Due to the encumbrance deadline for applicable funding, the status of lead agency CEQA approval for the proposed project, if any, must be included with the application and all final CEQA approval documents must be received in time to make the schedule for the June 2020 Business Meeting.  Applications with energy storage technologies that (1) fall under a statutory or categorical CEQA exemption, or (2) are already approved, or (3) can be easily approved, by any applicable lead agency are highly encouraged and will be scored accordingly</w:t>
      </w:r>
      <w:r w:rsidR="006B05E9" w:rsidRPr="00904324">
        <w:rPr>
          <w:b w:val="0"/>
        </w:rPr>
        <w:t>.</w:t>
      </w:r>
    </w:p>
    <w:p w14:paraId="3C313225" w14:textId="77777777" w:rsidR="00D22CB1" w:rsidRPr="00D22CB1" w:rsidRDefault="00D22CB1" w:rsidP="00D22CB1">
      <w:pPr>
        <w:pStyle w:val="HeadingNew1"/>
        <w:numPr>
          <w:ilvl w:val="0"/>
          <w:numId w:val="0"/>
        </w:numPr>
        <w:ind w:left="720" w:hanging="360"/>
        <w:rPr>
          <w:b w:val="0"/>
        </w:rPr>
      </w:pPr>
    </w:p>
    <w:p w14:paraId="465D95A6" w14:textId="77777777" w:rsidR="001C2D56" w:rsidRPr="00151FE6" w:rsidRDefault="001C2D56" w:rsidP="0018649E">
      <w:pPr>
        <w:numPr>
          <w:ilvl w:val="0"/>
          <w:numId w:val="63"/>
        </w:numPr>
        <w:ind w:left="720" w:hanging="360"/>
        <w:jc w:val="both"/>
        <w:rPr>
          <w:b/>
          <w:sz w:val="24"/>
          <w:szCs w:val="24"/>
        </w:rPr>
      </w:pPr>
      <w:r w:rsidRPr="00151FE6">
        <w:rPr>
          <w:b/>
          <w:sz w:val="24"/>
          <w:szCs w:val="24"/>
        </w:rPr>
        <w:t>Ratepayer Benefits, Technological Advancements, and Breakthroughs</w:t>
      </w:r>
      <w:bookmarkEnd w:id="82"/>
      <w:bookmarkEnd w:id="83"/>
      <w:bookmarkEnd w:id="84"/>
      <w:bookmarkEnd w:id="85"/>
    </w:p>
    <w:p w14:paraId="0F42E3D7" w14:textId="77777777" w:rsidR="001C2D56" w:rsidRDefault="001C2D56" w:rsidP="00A84811">
      <w:pPr>
        <w:ind w:left="720"/>
      </w:pPr>
      <w:bookmarkStart w:id="87" w:name="_Toc381079917"/>
      <w:bookmarkStart w:id="88" w:name="_Toc382571179"/>
      <w:bookmarkStart w:id="89" w:name="_Toc395180688"/>
      <w:bookmarkStart w:id="90" w:name="_Toc433981317"/>
      <w:r w:rsidRPr="00C31C1D">
        <w:t>California Public Resources Code Section 25711.5(a) requires EPIC-funded projects to:</w:t>
      </w:r>
      <w:bookmarkEnd w:id="87"/>
      <w:bookmarkEnd w:id="88"/>
      <w:bookmarkEnd w:id="89"/>
      <w:bookmarkEnd w:id="90"/>
    </w:p>
    <w:p w14:paraId="142B5D1D" w14:textId="77777777" w:rsidR="005E52CD" w:rsidRDefault="001C2D56" w:rsidP="0018649E">
      <w:pPr>
        <w:pStyle w:val="ListParagraph"/>
        <w:numPr>
          <w:ilvl w:val="0"/>
          <w:numId w:val="33"/>
        </w:numPr>
      </w:pPr>
      <w:bookmarkStart w:id="91" w:name="_Toc381079918"/>
      <w:bookmarkStart w:id="92" w:name="_Toc382571180"/>
      <w:bookmarkStart w:id="93" w:name="_Toc395180689"/>
      <w:bookmarkStart w:id="94" w:name="_Toc433981318"/>
      <w:r w:rsidRPr="00E843E2">
        <w:t xml:space="preserve">Benefit electricity ratepayers; </w:t>
      </w:r>
      <w:r>
        <w:t>and</w:t>
      </w:r>
      <w:bookmarkEnd w:id="91"/>
      <w:bookmarkEnd w:id="92"/>
      <w:bookmarkEnd w:id="93"/>
      <w:bookmarkEnd w:id="94"/>
      <w:r>
        <w:t xml:space="preserve"> </w:t>
      </w:r>
    </w:p>
    <w:p w14:paraId="5E9FE93D" w14:textId="6C17E20B" w:rsidR="005E52CD" w:rsidRDefault="001C2D56" w:rsidP="0018649E">
      <w:pPr>
        <w:pStyle w:val="ListParagraph"/>
        <w:numPr>
          <w:ilvl w:val="0"/>
          <w:numId w:val="33"/>
        </w:numPr>
      </w:pPr>
      <w:bookmarkStart w:id="95" w:name="_Toc381079919"/>
      <w:bookmarkStart w:id="96" w:name="_Toc382571181"/>
      <w:bookmarkStart w:id="97" w:name="_Toc395180690"/>
      <w:bookmarkStart w:id="98" w:name="_Toc433981319"/>
      <w:r w:rsidRPr="00E843E2">
        <w:t xml:space="preserve">Lead to technological advancement and breakthroughs to overcome the barriers that prevent the achievement of the </w:t>
      </w:r>
      <w:r w:rsidR="00D338B4">
        <w:t>State</w:t>
      </w:r>
      <w:r w:rsidRPr="00E843E2">
        <w:t>’</w:t>
      </w:r>
      <w:r>
        <w:t>s statutory energy goals.</w:t>
      </w:r>
      <w:bookmarkEnd w:id="95"/>
      <w:bookmarkEnd w:id="96"/>
      <w:bookmarkEnd w:id="97"/>
      <w:bookmarkEnd w:id="98"/>
      <w:r w:rsidRPr="00E843E2">
        <w:t xml:space="preserve"> </w:t>
      </w:r>
    </w:p>
    <w:p w14:paraId="37C3C2D8" w14:textId="77777777" w:rsidR="00BB71A3" w:rsidRDefault="001C2D56" w:rsidP="00A84811">
      <w:pPr>
        <w:ind w:left="720"/>
      </w:pPr>
      <w:bookmarkStart w:id="99" w:name="_Toc395180691"/>
      <w:bookmarkStart w:id="100" w:name="_Toc433981320"/>
      <w:bookmarkStart w:id="101" w:name="_Toc381079920"/>
      <w:bookmarkStart w:id="102" w:name="_Toc382571182"/>
      <w:r>
        <w:t>The CPUC defines “ratepayer benefits” as greater reliability, lower costs, and increased safety.</w:t>
      </w:r>
      <w:r>
        <w:rPr>
          <w:rStyle w:val="FootnoteReference"/>
          <w:rFonts w:cs="Arial"/>
          <w:b/>
        </w:rPr>
        <w:footnoteReference w:id="12"/>
      </w:r>
      <w:r w:rsidR="0002270D">
        <w:t xml:space="preserve"> </w:t>
      </w:r>
      <w:r w:rsidR="006074F4" w:rsidRPr="009221D6">
        <w:t xml:space="preserve">The CPUC </w:t>
      </w:r>
      <w:r w:rsidR="0004587B">
        <w:t xml:space="preserve">has </w:t>
      </w:r>
      <w:r w:rsidR="003E0C50">
        <w:t xml:space="preserve">also </w:t>
      </w:r>
      <w:r w:rsidR="006074F4" w:rsidRPr="009221D6">
        <w:t>adopted</w:t>
      </w:r>
      <w:r w:rsidR="00BB71A3" w:rsidRPr="009221D6">
        <w:t xml:space="preserve"> the</w:t>
      </w:r>
      <w:r w:rsidR="003E0C50">
        <w:t xml:space="preserve"> following</w:t>
      </w:r>
      <w:r w:rsidR="00BB71A3" w:rsidRPr="009221D6">
        <w:t xml:space="preserve"> guiding principles as co</w:t>
      </w:r>
      <w:r w:rsidR="006074F4" w:rsidRPr="009221D6">
        <w:t xml:space="preserve">mplements to the key principle of electricity ratepayer benefits: societal benefits; GHG emissions mitigation and adaptation in the electricity sector at the lowest possible cost; the loading </w:t>
      </w:r>
      <w:r w:rsidR="006074F4" w:rsidRPr="009221D6">
        <w:lastRenderedPageBreak/>
        <w:t>order; low-emission vehicles/transportation; economic development; and efficient use of ratepayer monies.</w:t>
      </w:r>
      <w:r w:rsidR="003E0C50">
        <w:rPr>
          <w:rStyle w:val="FootnoteReference"/>
          <w:b/>
        </w:rPr>
        <w:footnoteReference w:id="13"/>
      </w:r>
      <w:bookmarkEnd w:id="99"/>
      <w:bookmarkEnd w:id="100"/>
    </w:p>
    <w:p w14:paraId="6C16B1B5" w14:textId="340E796B" w:rsidR="00090507" w:rsidRDefault="00E719CB" w:rsidP="00090507">
      <w:pPr>
        <w:ind w:left="720"/>
      </w:pPr>
      <w:bookmarkStart w:id="103" w:name="_Toc395180692"/>
      <w:bookmarkStart w:id="104" w:name="_Toc433981321"/>
      <w:r>
        <w:t>Accordingly, t</w:t>
      </w:r>
      <w:r w:rsidR="001C2D56" w:rsidRPr="00C31C1D">
        <w:t xml:space="preserve">he Project Narrative </w:t>
      </w:r>
      <w:r w:rsidR="001C2D56">
        <w:t>Form (Attachment</w:t>
      </w:r>
      <w:r w:rsidR="00725E05">
        <w:t xml:space="preserve"> 4</w:t>
      </w:r>
      <w:r w:rsidR="001C2D56" w:rsidRPr="003C1212">
        <w:t>) and the “Goals and Objectives” section of the Scope of Work Template (Attachment</w:t>
      </w:r>
      <w:r w:rsidR="00725E05">
        <w:t xml:space="preserve"> 6</w:t>
      </w:r>
      <w:r w:rsidR="001C2D56" w:rsidRPr="003C1212">
        <w:t>)</w:t>
      </w:r>
      <w:r w:rsidR="001C2D56" w:rsidRPr="00C31C1D">
        <w:t xml:space="preserve"> must describe how the project will</w:t>
      </w:r>
      <w:r w:rsidRPr="00E719CB">
        <w:t>: (1) benefit California IOU ratepayers by increasing reliability, lowering costs, and/or increasing safety; and (2) lead to technological advancement and breakthroughs to overcome barriers to achieving the state’s statutory energy goals</w:t>
      </w:r>
      <w:r w:rsidR="001C2D56" w:rsidRPr="00E719CB">
        <w:t>.</w:t>
      </w:r>
      <w:bookmarkEnd w:id="101"/>
      <w:bookmarkEnd w:id="102"/>
      <w:bookmarkEnd w:id="103"/>
      <w:bookmarkEnd w:id="104"/>
      <w:r w:rsidR="001C2D56" w:rsidRPr="00E719CB">
        <w:t xml:space="preserve"> </w:t>
      </w:r>
      <w:bookmarkStart w:id="105" w:name="_Toc366671177"/>
      <w:bookmarkEnd w:id="86"/>
    </w:p>
    <w:p w14:paraId="3DAC5368" w14:textId="77777777" w:rsidR="009E10E9" w:rsidRPr="008B5A2C" w:rsidRDefault="009E10E9" w:rsidP="009E10E9">
      <w:pPr>
        <w:jc w:val="both"/>
        <w:rPr>
          <w:szCs w:val="22"/>
          <w:highlight w:val="yellow"/>
        </w:rPr>
      </w:pPr>
    </w:p>
    <w:p w14:paraId="170890EE" w14:textId="77777777" w:rsidR="00090507" w:rsidRPr="00151FE6" w:rsidRDefault="00090507" w:rsidP="0018649E">
      <w:pPr>
        <w:numPr>
          <w:ilvl w:val="0"/>
          <w:numId w:val="63"/>
        </w:numPr>
        <w:ind w:left="720" w:hanging="360"/>
        <w:jc w:val="both"/>
        <w:rPr>
          <w:b/>
          <w:sz w:val="24"/>
          <w:szCs w:val="24"/>
        </w:rPr>
      </w:pPr>
      <w:r w:rsidRPr="00151FE6">
        <w:rPr>
          <w:b/>
          <w:sz w:val="24"/>
          <w:szCs w:val="24"/>
        </w:rPr>
        <w:t>Measurement and Verification Plan</w:t>
      </w:r>
    </w:p>
    <w:p w14:paraId="3EACAD43" w14:textId="62B847B9" w:rsidR="00090507" w:rsidRPr="0070117F" w:rsidRDefault="007243B4" w:rsidP="00090507">
      <w:pPr>
        <w:ind w:left="720"/>
        <w:jc w:val="both"/>
        <w:rPr>
          <w:szCs w:val="22"/>
        </w:rPr>
      </w:pPr>
      <w:r w:rsidRPr="0070117F">
        <w:t>Proposers for both Group 1 and 2 must p</w:t>
      </w:r>
      <w:r w:rsidR="00090507" w:rsidRPr="0070117F">
        <w:t xml:space="preserve">rovide a Measurement and Verification Plan that </w:t>
      </w:r>
      <w:r w:rsidR="00090507" w:rsidRPr="0070117F">
        <w:rPr>
          <w:szCs w:val="22"/>
        </w:rPr>
        <w:t>includes (1) an assessment of expected benefits, as described in Section II.B.</w:t>
      </w:r>
      <w:r w:rsidR="0058718B" w:rsidRPr="0070117F">
        <w:rPr>
          <w:szCs w:val="22"/>
        </w:rPr>
        <w:t>3</w:t>
      </w:r>
      <w:r w:rsidR="00090507" w:rsidRPr="0070117F">
        <w:rPr>
          <w:szCs w:val="22"/>
        </w:rPr>
        <w:t>, Ratepayer Benefits</w:t>
      </w:r>
      <w:r w:rsidR="00090507" w:rsidRPr="0070117F">
        <w:rPr>
          <w:i/>
          <w:szCs w:val="22"/>
        </w:rPr>
        <w:t xml:space="preserve">, </w:t>
      </w:r>
      <w:r w:rsidR="00090507" w:rsidRPr="0070117F">
        <w:rPr>
          <w:szCs w:val="22"/>
        </w:rPr>
        <w:t>Technical Advancements, and Breakthroughs; (2) sufficient budget to evaluate benefits by responding to three benefits questionnaires that will be provided by Energy Commission staff (one at project kickoff, one around mid-project, and one at project’s end).  Any estimates of energy savings or GHG impacts should be calculated as specified in</w:t>
      </w:r>
      <w:r w:rsidR="00090507" w:rsidRPr="0070117F">
        <w:rPr>
          <w:b/>
          <w:szCs w:val="22"/>
        </w:rPr>
        <w:t xml:space="preserve"> </w:t>
      </w:r>
      <w:r w:rsidR="00090507" w:rsidRPr="0070117F">
        <w:rPr>
          <w:szCs w:val="22"/>
        </w:rPr>
        <w:t>the</w:t>
      </w:r>
      <w:r w:rsidR="00090507" w:rsidRPr="0070117F">
        <w:rPr>
          <w:b/>
          <w:szCs w:val="22"/>
        </w:rPr>
        <w:t xml:space="preserve"> References for Calculating Energy End-Use and GHG Emissions (Attachment 1</w:t>
      </w:r>
      <w:r w:rsidR="006B05E9" w:rsidRPr="0070117F">
        <w:rPr>
          <w:b/>
          <w:szCs w:val="22"/>
        </w:rPr>
        <w:t>3</w:t>
      </w:r>
      <w:r w:rsidR="00090507" w:rsidRPr="0070117F">
        <w:rPr>
          <w:b/>
          <w:szCs w:val="22"/>
        </w:rPr>
        <w:t xml:space="preserve">), </w:t>
      </w:r>
      <w:r w:rsidR="00090507" w:rsidRPr="0070117F">
        <w:rPr>
          <w:szCs w:val="22"/>
        </w:rPr>
        <w:t>to the extent that the references apply to the proposed project.  Benefits questionnaires will include, but not be limited to, the following:</w:t>
      </w:r>
    </w:p>
    <w:p w14:paraId="017FC307" w14:textId="77777777" w:rsidR="00090507" w:rsidRPr="0070117F" w:rsidRDefault="00090507" w:rsidP="0018649E">
      <w:pPr>
        <w:numPr>
          <w:ilvl w:val="1"/>
          <w:numId w:val="57"/>
        </w:numPr>
        <w:tabs>
          <w:tab w:val="clear" w:pos="2160"/>
        </w:tabs>
        <w:ind w:left="1080" w:hanging="360"/>
        <w:jc w:val="both"/>
        <w:rPr>
          <w:szCs w:val="22"/>
        </w:rPr>
      </w:pPr>
      <w:r w:rsidRPr="0070117F">
        <w:rPr>
          <w:szCs w:val="22"/>
        </w:rPr>
        <w:t>Reliability, resiliency and sustainability improvements as provided by the energy storage system.</w:t>
      </w:r>
    </w:p>
    <w:p w14:paraId="1D69954C" w14:textId="77777777" w:rsidR="00090507" w:rsidRPr="0070117F" w:rsidRDefault="00E043F6" w:rsidP="0018649E">
      <w:pPr>
        <w:numPr>
          <w:ilvl w:val="1"/>
          <w:numId w:val="57"/>
        </w:numPr>
        <w:ind w:left="1080" w:hanging="360"/>
        <w:jc w:val="both"/>
        <w:rPr>
          <w:szCs w:val="22"/>
        </w:rPr>
      </w:pPr>
      <w:r w:rsidRPr="0070117F">
        <w:rPr>
          <w:szCs w:val="22"/>
        </w:rPr>
        <w:t>Expected n</w:t>
      </w:r>
      <w:r w:rsidR="00090507" w:rsidRPr="0070117F">
        <w:rPr>
          <w:szCs w:val="22"/>
        </w:rPr>
        <w:t>et impacts on the end customer or larger grid’s load as provided by the energy storage system.</w:t>
      </w:r>
    </w:p>
    <w:p w14:paraId="76914F76" w14:textId="77777777" w:rsidR="00090507" w:rsidRPr="0070117F" w:rsidRDefault="00E043F6" w:rsidP="0018649E">
      <w:pPr>
        <w:numPr>
          <w:ilvl w:val="1"/>
          <w:numId w:val="57"/>
        </w:numPr>
        <w:ind w:left="1080" w:hanging="360"/>
        <w:jc w:val="both"/>
        <w:rPr>
          <w:szCs w:val="22"/>
        </w:rPr>
      </w:pPr>
      <w:r w:rsidRPr="0070117F">
        <w:rPr>
          <w:szCs w:val="22"/>
        </w:rPr>
        <w:t xml:space="preserve">Expected </w:t>
      </w:r>
      <w:r w:rsidR="00090507" w:rsidRPr="0070117F">
        <w:rPr>
          <w:szCs w:val="22"/>
        </w:rPr>
        <w:t>GHG reductions as provided by the energy storage system, compared to using the utility grid for the electricity</w:t>
      </w:r>
      <w:r w:rsidR="005042F8" w:rsidRPr="0070117F">
        <w:rPr>
          <w:szCs w:val="22"/>
        </w:rPr>
        <w:t>,</w:t>
      </w:r>
      <w:r w:rsidR="00090507" w:rsidRPr="0070117F">
        <w:rPr>
          <w:szCs w:val="22"/>
        </w:rPr>
        <w:t xml:space="preserve"> and also GHG reductions as provided by the operation of the proposed energy storage system.</w:t>
      </w:r>
    </w:p>
    <w:p w14:paraId="3FA258D1" w14:textId="77777777" w:rsidR="00090507" w:rsidRPr="0070117F" w:rsidRDefault="00090507" w:rsidP="0018649E">
      <w:pPr>
        <w:numPr>
          <w:ilvl w:val="1"/>
          <w:numId w:val="57"/>
        </w:numPr>
        <w:ind w:left="1080" w:hanging="360"/>
        <w:jc w:val="both"/>
        <w:rPr>
          <w:szCs w:val="22"/>
        </w:rPr>
      </w:pPr>
      <w:r w:rsidRPr="0070117F">
        <w:rPr>
          <w:szCs w:val="22"/>
        </w:rPr>
        <w:t>The projected dollar value of energy savings as provided by the energy storage system on an annual basis.</w:t>
      </w:r>
    </w:p>
    <w:p w14:paraId="52361E38" w14:textId="77777777" w:rsidR="00090507" w:rsidRPr="0070117F" w:rsidRDefault="00090507" w:rsidP="0018649E">
      <w:pPr>
        <w:numPr>
          <w:ilvl w:val="1"/>
          <w:numId w:val="57"/>
        </w:numPr>
        <w:ind w:left="1080" w:hanging="360"/>
        <w:jc w:val="both"/>
        <w:rPr>
          <w:szCs w:val="22"/>
        </w:rPr>
      </w:pPr>
      <w:r w:rsidRPr="0070117F">
        <w:rPr>
          <w:szCs w:val="22"/>
        </w:rPr>
        <w:t>The dollar value of any co-benefits that may accrue to the project on an annual basis.</w:t>
      </w:r>
    </w:p>
    <w:p w14:paraId="01323173" w14:textId="77777777" w:rsidR="00090507" w:rsidRPr="0070117F" w:rsidRDefault="00090507" w:rsidP="0018649E">
      <w:pPr>
        <w:numPr>
          <w:ilvl w:val="1"/>
          <w:numId w:val="57"/>
        </w:numPr>
        <w:ind w:left="1080" w:hanging="360"/>
        <w:jc w:val="both"/>
        <w:rPr>
          <w:szCs w:val="22"/>
        </w:rPr>
      </w:pPr>
      <w:r w:rsidRPr="0070117F">
        <w:rPr>
          <w:szCs w:val="22"/>
        </w:rPr>
        <w:t xml:space="preserve">Cost savings or increments compared to business as usual, as provided by the energy storage system and over the grant period.  This includes technology and installation costs, operations and maintenance, and energy use.  </w:t>
      </w:r>
    </w:p>
    <w:p w14:paraId="7D9FB9DA" w14:textId="77777777" w:rsidR="00090507" w:rsidRPr="0070117F" w:rsidRDefault="00090507" w:rsidP="0018649E">
      <w:pPr>
        <w:numPr>
          <w:ilvl w:val="1"/>
          <w:numId w:val="57"/>
        </w:numPr>
        <w:spacing w:before="100" w:beforeAutospacing="1" w:after="200" w:line="276" w:lineRule="auto"/>
        <w:ind w:left="1080" w:hanging="360"/>
        <w:contextualSpacing/>
        <w:jc w:val="both"/>
        <w:rPr>
          <w:szCs w:val="22"/>
        </w:rPr>
      </w:pPr>
      <w:r w:rsidRPr="0070117F">
        <w:rPr>
          <w:szCs w:val="22"/>
        </w:rPr>
        <w:t>Projected benefit metrics for the energy storage system as being applied in the proposed application or use case that identifies the different value streams provided, how they will be measured, the expected value and any actual data to be collected and reported.</w:t>
      </w:r>
    </w:p>
    <w:bookmarkEnd w:id="52"/>
    <w:bookmarkEnd w:id="53"/>
    <w:bookmarkEnd w:id="54"/>
    <w:bookmarkEnd w:id="55"/>
    <w:bookmarkEnd w:id="105"/>
    <w:p w14:paraId="73A9DF6C" w14:textId="77777777" w:rsidR="001C2D56" w:rsidRPr="00D328D4" w:rsidRDefault="001C2D56" w:rsidP="00457738">
      <w:pPr>
        <w:spacing w:after="0"/>
        <w:jc w:val="both"/>
        <w:rPr>
          <w:szCs w:val="22"/>
        </w:rPr>
      </w:pPr>
    </w:p>
    <w:p w14:paraId="56ED27F2" w14:textId="77777777" w:rsidR="0061342D" w:rsidRDefault="001C2D56" w:rsidP="008B5A2C">
      <w:pPr>
        <w:pStyle w:val="Heading1"/>
        <w:spacing w:before="0" w:after="120"/>
        <w:jc w:val="both"/>
      </w:pPr>
      <w:bookmarkStart w:id="106" w:name="_Toc12770892"/>
      <w:bookmarkStart w:id="107" w:name="_Toc219275109"/>
      <w:bookmarkStart w:id="108" w:name="_Toc336443626"/>
      <w:bookmarkStart w:id="109" w:name="_Toc366671182"/>
      <w:bookmarkStart w:id="110" w:name="_Toc20331588"/>
      <w:bookmarkStart w:id="111" w:name="_Toc27467025"/>
      <w:bookmarkStart w:id="112" w:name="_Toc219275098"/>
      <w:r w:rsidRPr="00C31C1D">
        <w:lastRenderedPageBreak/>
        <w:t>III.</w:t>
      </w:r>
      <w:r w:rsidRPr="00C31C1D">
        <w:tab/>
      </w:r>
      <w:bookmarkEnd w:id="106"/>
      <w:r w:rsidRPr="00C31C1D">
        <w:t xml:space="preserve">Application Organization and Submission </w:t>
      </w:r>
      <w:bookmarkEnd w:id="107"/>
      <w:bookmarkEnd w:id="108"/>
      <w:bookmarkEnd w:id="109"/>
      <w:r w:rsidRPr="00C31C1D">
        <w:t>Instructions</w:t>
      </w:r>
      <w:bookmarkEnd w:id="110"/>
      <w:bookmarkEnd w:id="111"/>
    </w:p>
    <w:p w14:paraId="6322568A" w14:textId="77777777" w:rsidR="001C2D56" w:rsidRPr="0049776E" w:rsidRDefault="001C2D56" w:rsidP="0018649E">
      <w:pPr>
        <w:pStyle w:val="Heading2"/>
        <w:keepLines/>
        <w:numPr>
          <w:ilvl w:val="0"/>
          <w:numId w:val="35"/>
        </w:numPr>
        <w:ind w:left="360"/>
        <w:jc w:val="both"/>
        <w:rPr>
          <w:sz w:val="26"/>
          <w:szCs w:val="26"/>
        </w:rPr>
      </w:pPr>
      <w:bookmarkStart w:id="113" w:name="_Toc201713573"/>
      <w:bookmarkStart w:id="114" w:name="_Toc20331589"/>
      <w:bookmarkStart w:id="115" w:name="_Toc27467026"/>
      <w:bookmarkStart w:id="116" w:name="_Toc219275111"/>
      <w:bookmarkStart w:id="117" w:name="_Toc336443628"/>
      <w:bookmarkStart w:id="118" w:name="_Toc366671184"/>
      <w:r w:rsidRPr="0049776E">
        <w:rPr>
          <w:sz w:val="26"/>
          <w:szCs w:val="26"/>
        </w:rPr>
        <w:t>Application Format</w:t>
      </w:r>
      <w:bookmarkEnd w:id="113"/>
      <w:r w:rsidRPr="0049776E">
        <w:rPr>
          <w:sz w:val="26"/>
          <w:szCs w:val="26"/>
        </w:rPr>
        <w:t>, Page Limits, and Number of Copies</w:t>
      </w:r>
      <w:bookmarkEnd w:id="114"/>
      <w:bookmarkEnd w:id="115"/>
      <w:r w:rsidRPr="0049776E">
        <w:rPr>
          <w:sz w:val="26"/>
          <w:szCs w:val="26"/>
        </w:rPr>
        <w:t xml:space="preserve"> </w:t>
      </w:r>
      <w:bookmarkEnd w:id="116"/>
      <w:bookmarkEnd w:id="117"/>
      <w:bookmarkEnd w:id="118"/>
    </w:p>
    <w:p w14:paraId="375ECDFD" w14:textId="77777777" w:rsidR="001C2D56" w:rsidRPr="00C31C1D" w:rsidRDefault="001C2D56" w:rsidP="008B5A2C">
      <w:pPr>
        <w:keepNext/>
        <w:keepLines/>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4B11454A" w14:textId="77777777" w:rsidR="001C2D56" w:rsidRPr="00C31C1D" w:rsidRDefault="001C2D56" w:rsidP="008B5A2C">
      <w:pPr>
        <w:keepNext/>
        <w:keepLines/>
        <w:spacing w:after="0"/>
        <w:jc w:val="both"/>
        <w:rPr>
          <w:szCs w:val="22"/>
        </w:rPr>
      </w:pPr>
    </w:p>
    <w:tbl>
      <w:tblPr>
        <w:tblStyle w:val="TableGrid1"/>
        <w:tblW w:w="0" w:type="auto"/>
        <w:tblLook w:val="00A0" w:firstRow="1" w:lastRow="0" w:firstColumn="1" w:lastColumn="0" w:noHBand="0" w:noVBand="0"/>
        <w:tblCaption w:val="Application Format, Page Limits, and Number of Copies"/>
        <w:tblDescription w:val="Application Format, Page Limit Recommendations, and Number of Copies"/>
      </w:tblPr>
      <w:tblGrid>
        <w:gridCol w:w="2185"/>
        <w:gridCol w:w="7165"/>
      </w:tblGrid>
      <w:tr w:rsidR="001C2D56" w:rsidRPr="00C31C1D" w14:paraId="3D367711" w14:textId="77777777" w:rsidTr="00E240C7">
        <w:trPr>
          <w:cantSplit/>
          <w:trHeight w:val="2980"/>
          <w:tblHeader/>
        </w:trPr>
        <w:tc>
          <w:tcPr>
            <w:tcW w:w="1800" w:type="dxa"/>
          </w:tcPr>
          <w:p w14:paraId="709C14AD" w14:textId="77777777" w:rsidR="001C2D56" w:rsidRPr="00C31C1D" w:rsidRDefault="001C2D56" w:rsidP="008B5A2C">
            <w:pPr>
              <w:keepNext/>
              <w:keepLines/>
              <w:rPr>
                <w:b/>
                <w:szCs w:val="24"/>
              </w:rPr>
            </w:pPr>
            <w:r w:rsidRPr="00C31C1D">
              <w:rPr>
                <w:b/>
                <w:szCs w:val="24"/>
              </w:rPr>
              <w:t>Format</w:t>
            </w:r>
          </w:p>
        </w:tc>
        <w:tc>
          <w:tcPr>
            <w:tcW w:w="7470" w:type="dxa"/>
          </w:tcPr>
          <w:p w14:paraId="2ED22729" w14:textId="77777777" w:rsidR="001C2D56" w:rsidRDefault="001C2D56" w:rsidP="008B5A2C">
            <w:pPr>
              <w:keepNext/>
              <w:keepLines/>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4F35228A" w14:textId="77777777" w:rsidR="001C2D56" w:rsidRDefault="001C2D56" w:rsidP="008B5A2C">
            <w:pPr>
              <w:keepNext/>
              <w:keepLines/>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447AEF62" w14:textId="77777777" w:rsidR="001C2D56" w:rsidRPr="00C31C1D" w:rsidRDefault="001C2D56" w:rsidP="008B5A2C">
            <w:pPr>
              <w:keepNext/>
              <w:keepLines/>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3B3E67FB" w14:textId="77777777" w:rsidR="001C2D56" w:rsidRDefault="001C2D56" w:rsidP="008B5A2C">
            <w:pPr>
              <w:keepNext/>
              <w:keepLines/>
              <w:numPr>
                <w:ilvl w:val="0"/>
                <w:numId w:val="13"/>
              </w:numPr>
              <w:spacing w:after="0"/>
              <w:jc w:val="both"/>
              <w:rPr>
                <w:szCs w:val="24"/>
              </w:rPr>
            </w:pPr>
            <w:r w:rsidRPr="002427B2">
              <w:rPr>
                <w:b/>
                <w:szCs w:val="24"/>
              </w:rPr>
              <w:t>Pages:</w:t>
            </w:r>
            <w:r w:rsidR="003452F8">
              <w:rPr>
                <w:szCs w:val="24"/>
              </w:rPr>
              <w:t xml:space="preserve"> </w:t>
            </w:r>
            <w:r>
              <w:rPr>
                <w:szCs w:val="24"/>
              </w:rPr>
              <w:t>N</w:t>
            </w:r>
            <w:r w:rsidRPr="00C31C1D">
              <w:rPr>
                <w:szCs w:val="24"/>
              </w:rPr>
              <w:t>umbered</w:t>
            </w:r>
            <w:r>
              <w:rPr>
                <w:szCs w:val="24"/>
              </w:rPr>
              <w:t xml:space="preserve"> and printed </w:t>
            </w:r>
            <w:r w:rsidRPr="002427B2">
              <w:rPr>
                <w:szCs w:val="24"/>
              </w:rPr>
              <w:t>double-sided</w:t>
            </w:r>
            <w:r w:rsidR="001F0147">
              <w:rPr>
                <w:szCs w:val="24"/>
              </w:rPr>
              <w:t xml:space="preserve"> (</w:t>
            </w:r>
            <w:r w:rsidR="00BE6466">
              <w:rPr>
                <w:szCs w:val="24"/>
              </w:rPr>
              <w:t xml:space="preserve">when determining page limits, </w:t>
            </w:r>
            <w:r w:rsidR="001F0147">
              <w:rPr>
                <w:szCs w:val="24"/>
              </w:rPr>
              <w:t xml:space="preserve">each printed </w:t>
            </w:r>
            <w:r w:rsidR="003452F8">
              <w:rPr>
                <w:szCs w:val="24"/>
              </w:rPr>
              <w:t xml:space="preserve">side of a </w:t>
            </w:r>
            <w:r w:rsidR="001F0147">
              <w:rPr>
                <w:szCs w:val="24"/>
              </w:rPr>
              <w:t>page counts as one page)</w:t>
            </w:r>
          </w:p>
          <w:p w14:paraId="6427D8CE" w14:textId="77777777" w:rsidR="00FB5A02" w:rsidRPr="00FB5A02" w:rsidRDefault="00FB5A02" w:rsidP="008B5A2C">
            <w:pPr>
              <w:keepNext/>
              <w:keepLines/>
              <w:numPr>
                <w:ilvl w:val="0"/>
                <w:numId w:val="13"/>
              </w:numPr>
              <w:spacing w:after="0"/>
              <w:jc w:val="both"/>
              <w:rPr>
                <w:szCs w:val="24"/>
              </w:rPr>
            </w:pPr>
            <w:r w:rsidRPr="00FB5A02">
              <w:rPr>
                <w:b/>
                <w:szCs w:val="24"/>
              </w:rPr>
              <w:t>Signatures</w:t>
            </w:r>
            <w:r w:rsidRPr="00FB5A02">
              <w:rPr>
                <w:szCs w:val="24"/>
              </w:rPr>
              <w:t>: Manual (i.e., not electronic)</w:t>
            </w:r>
          </w:p>
          <w:p w14:paraId="67B541C2" w14:textId="77777777" w:rsidR="001C2D56" w:rsidRPr="00FB5A02" w:rsidRDefault="001C2D56" w:rsidP="008B5A2C">
            <w:pPr>
              <w:keepNext/>
              <w:keepLines/>
              <w:numPr>
                <w:ilvl w:val="0"/>
                <w:numId w:val="13"/>
              </w:numPr>
              <w:spacing w:after="0"/>
              <w:jc w:val="both"/>
              <w:rPr>
                <w:szCs w:val="24"/>
              </w:rPr>
            </w:pPr>
            <w:r w:rsidRPr="00FB5A02">
              <w:rPr>
                <w:b/>
                <w:szCs w:val="24"/>
              </w:rPr>
              <w:t>Labeling:</w:t>
            </w:r>
            <w:r w:rsidRPr="00FB5A02">
              <w:rPr>
                <w:szCs w:val="24"/>
              </w:rPr>
              <w:t xml:space="preserve"> Tabbed and labeled as required in Section</w:t>
            </w:r>
            <w:r w:rsidR="0035406F" w:rsidRPr="00FB5A02">
              <w:rPr>
                <w:szCs w:val="24"/>
              </w:rPr>
              <w:t>s B and</w:t>
            </w:r>
            <w:r w:rsidR="008D6D71" w:rsidRPr="00FB5A02">
              <w:rPr>
                <w:szCs w:val="24"/>
              </w:rPr>
              <w:t xml:space="preserve"> C below</w:t>
            </w:r>
          </w:p>
          <w:p w14:paraId="2FA89109" w14:textId="77777777" w:rsidR="001C2D56" w:rsidRPr="00C31C1D" w:rsidRDefault="001C2D56" w:rsidP="008B5A2C">
            <w:pPr>
              <w:keepNext/>
              <w:keepLines/>
              <w:numPr>
                <w:ilvl w:val="0"/>
                <w:numId w:val="13"/>
              </w:numPr>
              <w:spacing w:after="0"/>
              <w:jc w:val="both"/>
              <w:rPr>
                <w:szCs w:val="24"/>
              </w:rPr>
            </w:pPr>
            <w:r w:rsidRPr="008805A0">
              <w:rPr>
                <w:b/>
                <w:szCs w:val="24"/>
              </w:rPr>
              <w:t>Binding:</w:t>
            </w:r>
            <w:r>
              <w:rPr>
                <w:szCs w:val="24"/>
              </w:rPr>
              <w:t xml:space="preserve"> O</w:t>
            </w:r>
            <w:r w:rsidRPr="00C31C1D">
              <w:rPr>
                <w:szCs w:val="24"/>
              </w:rPr>
              <w:t>riginal binder clipped; all other copies spiral or co</w:t>
            </w:r>
            <w:r>
              <w:rPr>
                <w:szCs w:val="24"/>
              </w:rPr>
              <w:t>m</w:t>
            </w:r>
            <w:r w:rsidRPr="00C31C1D">
              <w:rPr>
                <w:szCs w:val="24"/>
              </w:rPr>
              <w:t>b bound (binders discouraged)</w:t>
            </w:r>
          </w:p>
          <w:p w14:paraId="70D0CCC6" w14:textId="77777777" w:rsidR="001C2D56" w:rsidRPr="005E76CE" w:rsidRDefault="001C2D56" w:rsidP="008B5A2C">
            <w:pPr>
              <w:keepNext/>
              <w:keepLines/>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version 1997-2003</w:t>
            </w:r>
            <w:r w:rsidR="00FB5A02">
              <w:rPr>
                <w:szCs w:val="24"/>
              </w:rPr>
              <w:t>,</w:t>
            </w:r>
            <w:r w:rsidR="005E76CE">
              <w:rPr>
                <w:szCs w:val="24"/>
              </w:rPr>
              <w:t xml:space="preserve"> or version 2007 or later </w:t>
            </w:r>
            <w:r w:rsidRPr="005E76CE">
              <w:rPr>
                <w:szCs w:val="24"/>
              </w:rPr>
              <w:t xml:space="preserve">(.doc </w:t>
            </w:r>
            <w:r w:rsidR="005E76CE">
              <w:rPr>
                <w:szCs w:val="24"/>
              </w:rPr>
              <w:t>or .</w:t>
            </w:r>
            <w:proofErr w:type="spellStart"/>
            <w:r w:rsidR="005E76CE">
              <w:rPr>
                <w:szCs w:val="24"/>
              </w:rPr>
              <w:t>docx</w:t>
            </w:r>
            <w:proofErr w:type="spellEnd"/>
            <w:r w:rsidR="005E76CE">
              <w:rPr>
                <w:szCs w:val="24"/>
              </w:rPr>
              <w:t xml:space="preserve">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154CC536" w14:textId="77777777" w:rsidR="00624F21" w:rsidRPr="0044145F" w:rsidRDefault="001C2D56" w:rsidP="008B5A2C">
            <w:pPr>
              <w:keepNext/>
              <w:keepLines/>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CD-ROM or USB memory stick</w:t>
            </w:r>
          </w:p>
        </w:tc>
      </w:tr>
      <w:tr w:rsidR="001C2D56" w:rsidRPr="00C31C1D" w14:paraId="14EC9E60" w14:textId="77777777" w:rsidTr="00E240C7">
        <w:trPr>
          <w:cantSplit/>
          <w:tblHeader/>
        </w:trPr>
        <w:tc>
          <w:tcPr>
            <w:tcW w:w="1800" w:type="dxa"/>
          </w:tcPr>
          <w:p w14:paraId="6D82A7D5" w14:textId="77777777" w:rsidR="001C2D56" w:rsidRPr="00C31C1D" w:rsidRDefault="001C2D56" w:rsidP="0017678F">
            <w:pPr>
              <w:rPr>
                <w:b/>
                <w:szCs w:val="24"/>
              </w:rPr>
            </w:pPr>
            <w:r w:rsidRPr="00C31C1D">
              <w:rPr>
                <w:b/>
                <w:szCs w:val="24"/>
              </w:rPr>
              <w:t>Page Limit</w:t>
            </w:r>
            <w:r w:rsidR="00DF20D4">
              <w:rPr>
                <w:b/>
                <w:szCs w:val="24"/>
              </w:rPr>
              <w:t xml:space="preserve"> Recommendation</w:t>
            </w:r>
            <w:r w:rsidRPr="00C31C1D">
              <w:rPr>
                <w:b/>
                <w:szCs w:val="24"/>
              </w:rPr>
              <w:t>s</w:t>
            </w:r>
          </w:p>
        </w:tc>
        <w:tc>
          <w:tcPr>
            <w:tcW w:w="7470" w:type="dxa"/>
          </w:tcPr>
          <w:p w14:paraId="486D7C5B" w14:textId="668D9B04"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00725E05">
              <w:rPr>
                <w:szCs w:val="24"/>
              </w:rPr>
              <w:t xml:space="preserve"> 2</w:t>
            </w:r>
            <w:r w:rsidRPr="00C020D7">
              <w:rPr>
                <w:szCs w:val="24"/>
              </w:rPr>
              <w: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2B489124" w14:textId="63C2331E" w:rsidR="005E52CD" w:rsidRDefault="001C2D56" w:rsidP="00B32815">
            <w:pPr>
              <w:numPr>
                <w:ilvl w:val="0"/>
                <w:numId w:val="14"/>
              </w:numPr>
              <w:spacing w:after="0"/>
              <w:jc w:val="both"/>
              <w:rPr>
                <w:szCs w:val="24"/>
              </w:rPr>
            </w:pPr>
            <w:r w:rsidRPr="00BA7A1D">
              <w:rPr>
                <w:b/>
                <w:szCs w:val="24"/>
              </w:rPr>
              <w:t>Fact Sheet</w:t>
            </w:r>
            <w:r>
              <w:rPr>
                <w:b/>
                <w:szCs w:val="24"/>
              </w:rPr>
              <w:t xml:space="preserve"> </w:t>
            </w:r>
            <w:r w:rsidRPr="00C020D7">
              <w:rPr>
                <w:szCs w:val="24"/>
              </w:rPr>
              <w:t>(Attachment</w:t>
            </w:r>
            <w:r w:rsidR="00725E05">
              <w:rPr>
                <w:szCs w:val="24"/>
              </w:rPr>
              <w:t xml:space="preserve"> 3</w:t>
            </w:r>
            <w:r w:rsidRPr="00C020D7">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19F4E301" w14:textId="0D554BA6"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(Attachment</w:t>
            </w:r>
            <w:r w:rsidR="00725E05">
              <w:rPr>
                <w:szCs w:val="24"/>
              </w:rPr>
              <w:t xml:space="preserve"> 4</w:t>
            </w:r>
            <w:r w:rsidRPr="00C020D7">
              <w:rPr>
                <w:szCs w:val="24"/>
              </w:rPr>
              <w:t xml:space="preserve">):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62B5576E" w14:textId="5907B1CE"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w:t>
            </w:r>
            <w:r w:rsidR="00725E05">
              <w:rPr>
                <w:szCs w:val="24"/>
              </w:rPr>
              <w:t xml:space="preserve"> 5</w:t>
            </w:r>
            <w:r>
              <w:rPr>
                <w:szCs w:val="24"/>
              </w:rPr>
              <w:t xml:space="preserve">): </w:t>
            </w:r>
            <w:r w:rsidRPr="00907E7C">
              <w:rPr>
                <w:b/>
                <w:szCs w:val="24"/>
              </w:rPr>
              <w:t>two</w:t>
            </w:r>
            <w:r>
              <w:rPr>
                <w:szCs w:val="24"/>
              </w:rPr>
              <w:t xml:space="preserve"> pages for each resume</w:t>
            </w:r>
          </w:p>
          <w:p w14:paraId="61E80E65" w14:textId="3879BC2A"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00725E05">
              <w:rPr>
                <w:szCs w:val="24"/>
              </w:rPr>
              <w:t xml:space="preserve"> 9</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1E7D2710" w14:textId="1C353985"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00725E05">
              <w:rPr>
                <w:szCs w:val="24"/>
              </w:rPr>
              <w:t xml:space="preserve"> 11</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425059A5" w14:textId="77777777" w:rsidR="00907E7C" w:rsidRPr="008A4770" w:rsidRDefault="00907E7C" w:rsidP="00907E7C">
            <w:pPr>
              <w:spacing w:after="0"/>
              <w:ind w:left="360"/>
              <w:jc w:val="both"/>
              <w:rPr>
                <w:szCs w:val="24"/>
              </w:rPr>
            </w:pPr>
            <w:r>
              <w:rPr>
                <w:szCs w:val="24"/>
              </w:rPr>
              <w:t xml:space="preserve">The following attachments </w:t>
            </w:r>
            <w:r w:rsidR="00777599">
              <w:rPr>
                <w:szCs w:val="24"/>
              </w:rPr>
              <w:t>are recommended not to</w:t>
            </w:r>
            <w:r>
              <w:rPr>
                <w:szCs w:val="24"/>
              </w:rPr>
              <w:t xml:space="preserve"> exceed </w:t>
            </w:r>
            <w:r w:rsidRPr="008854DD">
              <w:rPr>
                <w:b/>
                <w:szCs w:val="24"/>
              </w:rPr>
              <w:t>s</w:t>
            </w:r>
            <w:r w:rsidR="00BA7C19">
              <w:rPr>
                <w:b/>
                <w:szCs w:val="24"/>
              </w:rPr>
              <w:t>even</w:t>
            </w:r>
            <w:r w:rsidRPr="008854DD">
              <w:rPr>
                <w:b/>
                <w:szCs w:val="24"/>
              </w:rPr>
              <w:t>ty</w:t>
            </w:r>
            <w:r w:rsidR="00D323DE">
              <w:rPr>
                <w:szCs w:val="24"/>
              </w:rPr>
              <w:t xml:space="preserve"> </w:t>
            </w:r>
            <w:r w:rsidR="00B6206E" w:rsidRPr="00B6206E">
              <w:rPr>
                <w:szCs w:val="24"/>
              </w:rPr>
              <w:t>pages:</w:t>
            </w:r>
          </w:p>
          <w:p w14:paraId="1F8BD7B3" w14:textId="77777777" w:rsidR="00907E7C" w:rsidRDefault="00907E7C" w:rsidP="00734C0C">
            <w:pPr>
              <w:numPr>
                <w:ilvl w:val="1"/>
                <w:numId w:val="14"/>
              </w:numPr>
              <w:spacing w:after="0"/>
              <w:ind w:left="702"/>
              <w:jc w:val="both"/>
              <w:rPr>
                <w:szCs w:val="24"/>
              </w:rPr>
            </w:pPr>
            <w:r w:rsidRPr="00BA7A1D">
              <w:rPr>
                <w:b/>
                <w:szCs w:val="24"/>
              </w:rPr>
              <w:t>Executive Summary</w:t>
            </w:r>
            <w:r>
              <w:rPr>
                <w:b/>
                <w:szCs w:val="24"/>
              </w:rPr>
              <w:t xml:space="preserve"> Form</w:t>
            </w:r>
          </w:p>
          <w:p w14:paraId="52DEAFD0" w14:textId="77777777" w:rsidR="00907E7C" w:rsidRDefault="00907E7C" w:rsidP="00734C0C">
            <w:pPr>
              <w:numPr>
                <w:ilvl w:val="1"/>
                <w:numId w:val="14"/>
              </w:numPr>
              <w:spacing w:after="0"/>
              <w:ind w:left="702"/>
              <w:jc w:val="both"/>
              <w:rPr>
                <w:szCs w:val="24"/>
              </w:rPr>
            </w:pPr>
            <w:r>
              <w:rPr>
                <w:b/>
                <w:szCs w:val="24"/>
              </w:rPr>
              <w:t>Fact Sheet Template</w:t>
            </w:r>
          </w:p>
          <w:p w14:paraId="440BAAD5" w14:textId="77777777" w:rsidR="00907E7C" w:rsidRDefault="00907E7C" w:rsidP="00734C0C">
            <w:pPr>
              <w:numPr>
                <w:ilvl w:val="1"/>
                <w:numId w:val="14"/>
              </w:numPr>
              <w:spacing w:after="0"/>
              <w:ind w:left="702"/>
              <w:jc w:val="both"/>
              <w:rPr>
                <w:szCs w:val="24"/>
              </w:rPr>
            </w:pPr>
            <w:r w:rsidRPr="00BA7A1D">
              <w:rPr>
                <w:b/>
                <w:szCs w:val="24"/>
              </w:rPr>
              <w:t>Project Narrative Form</w:t>
            </w:r>
            <w:r>
              <w:rPr>
                <w:b/>
                <w:szCs w:val="24"/>
              </w:rPr>
              <w:t xml:space="preserve"> </w:t>
            </w:r>
          </w:p>
          <w:p w14:paraId="0EA59947" w14:textId="0A6097A1" w:rsidR="00907E7C" w:rsidRDefault="00907E7C" w:rsidP="00734C0C">
            <w:pPr>
              <w:numPr>
                <w:ilvl w:val="1"/>
                <w:numId w:val="14"/>
              </w:numPr>
              <w:spacing w:after="60"/>
              <w:ind w:left="702"/>
              <w:jc w:val="both"/>
              <w:rPr>
                <w:szCs w:val="24"/>
              </w:rPr>
            </w:pPr>
            <w:r w:rsidRPr="00FA39A0">
              <w:rPr>
                <w:b/>
                <w:szCs w:val="24"/>
              </w:rPr>
              <w:t xml:space="preserve">Scope of Work </w:t>
            </w:r>
            <w:r>
              <w:rPr>
                <w:b/>
                <w:szCs w:val="24"/>
              </w:rPr>
              <w:t xml:space="preserve">Template </w:t>
            </w:r>
            <w:r>
              <w:rPr>
                <w:szCs w:val="24"/>
              </w:rPr>
              <w:t>(Attachment</w:t>
            </w:r>
            <w:r w:rsidR="00725E05">
              <w:rPr>
                <w:szCs w:val="24"/>
              </w:rPr>
              <w:t xml:space="preserve"> 6 and 6a</w:t>
            </w:r>
            <w:r>
              <w:rPr>
                <w:szCs w:val="24"/>
              </w:rPr>
              <w:t>)</w:t>
            </w:r>
          </w:p>
          <w:p w14:paraId="01F601DA"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55B1BF7E" w14:textId="3C243573"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00725E05">
              <w:rPr>
                <w:szCs w:val="24"/>
              </w:rPr>
              <w:t xml:space="preserve"> 1</w:t>
            </w:r>
            <w:r w:rsidRPr="00C31C1D">
              <w:rPr>
                <w:szCs w:val="24"/>
              </w:rPr>
              <w:t xml:space="preserve">) </w:t>
            </w:r>
          </w:p>
          <w:p w14:paraId="1F0C2091" w14:textId="5BFEDFF1"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00725E05">
              <w:rPr>
                <w:szCs w:val="24"/>
              </w:rPr>
              <w:t xml:space="preserve"> 7</w:t>
            </w:r>
            <w:r w:rsidRPr="00C31C1D">
              <w:rPr>
                <w:szCs w:val="24"/>
              </w:rPr>
              <w:t>)</w:t>
            </w:r>
          </w:p>
          <w:p w14:paraId="2F4A1259" w14:textId="6AB95294" w:rsidR="005E52CD" w:rsidRDefault="001C2D56" w:rsidP="00734C0C">
            <w:pPr>
              <w:numPr>
                <w:ilvl w:val="1"/>
                <w:numId w:val="14"/>
              </w:numPr>
              <w:spacing w:after="0"/>
              <w:ind w:left="702"/>
              <w:jc w:val="both"/>
              <w:rPr>
                <w:szCs w:val="24"/>
              </w:rPr>
            </w:pPr>
            <w:r w:rsidRPr="00BA7A1D">
              <w:rPr>
                <w:b/>
                <w:szCs w:val="24"/>
              </w:rPr>
              <w:t>CEQA Compliance Form</w:t>
            </w:r>
            <w:r>
              <w:rPr>
                <w:szCs w:val="24"/>
              </w:rPr>
              <w:t xml:space="preserve"> (Attachment</w:t>
            </w:r>
            <w:r w:rsidR="00725E05">
              <w:rPr>
                <w:szCs w:val="24"/>
              </w:rPr>
              <w:t xml:space="preserve"> 8</w:t>
            </w:r>
            <w:r w:rsidRPr="00C31C1D">
              <w:rPr>
                <w:szCs w:val="24"/>
              </w:rPr>
              <w:t>)</w:t>
            </w:r>
          </w:p>
          <w:p w14:paraId="47AEB899" w14:textId="618FAAFC" w:rsidR="005E52CD" w:rsidRDefault="001C2D56" w:rsidP="00734C0C">
            <w:pPr>
              <w:numPr>
                <w:ilvl w:val="1"/>
                <w:numId w:val="14"/>
              </w:numPr>
              <w:spacing w:after="0"/>
              <w:ind w:left="702"/>
              <w:jc w:val="both"/>
              <w:rPr>
                <w:szCs w:val="24"/>
              </w:rPr>
            </w:pPr>
            <w:r>
              <w:rPr>
                <w:b/>
                <w:szCs w:val="24"/>
              </w:rPr>
              <w:t xml:space="preserve">Contact List </w:t>
            </w:r>
            <w:r w:rsidR="00374035">
              <w:rPr>
                <w:b/>
                <w:szCs w:val="24"/>
              </w:rPr>
              <w:t xml:space="preserve">Template </w:t>
            </w:r>
            <w:r>
              <w:rPr>
                <w:szCs w:val="24"/>
              </w:rPr>
              <w:t>(Attachment</w:t>
            </w:r>
            <w:r w:rsidR="00725E05">
              <w:rPr>
                <w:szCs w:val="24"/>
              </w:rPr>
              <w:t xml:space="preserve"> 10</w:t>
            </w:r>
            <w:r>
              <w:rPr>
                <w:szCs w:val="24"/>
              </w:rPr>
              <w:t>)</w:t>
            </w:r>
          </w:p>
        </w:tc>
      </w:tr>
      <w:tr w:rsidR="001C2D56" w:rsidRPr="00C31C1D" w14:paraId="5354F30A" w14:textId="77777777" w:rsidTr="00E240C7">
        <w:trPr>
          <w:cantSplit/>
          <w:tblHeader/>
        </w:trPr>
        <w:tc>
          <w:tcPr>
            <w:tcW w:w="1800" w:type="dxa"/>
          </w:tcPr>
          <w:p w14:paraId="548485B7" w14:textId="77777777" w:rsidR="001C2D56" w:rsidRPr="00C31C1D" w:rsidRDefault="001C2D56" w:rsidP="0017678F">
            <w:pPr>
              <w:rPr>
                <w:b/>
                <w:szCs w:val="24"/>
              </w:rPr>
            </w:pPr>
            <w:r w:rsidRPr="00C31C1D">
              <w:rPr>
                <w:b/>
                <w:szCs w:val="24"/>
              </w:rPr>
              <w:t>Number of Copies of the Application</w:t>
            </w:r>
          </w:p>
        </w:tc>
        <w:tc>
          <w:tcPr>
            <w:tcW w:w="7470" w:type="dxa"/>
          </w:tcPr>
          <w:p w14:paraId="7B0AAA33" w14:textId="77777777" w:rsidR="00F549B2" w:rsidRPr="00A47AD6" w:rsidRDefault="00F549B2" w:rsidP="00F549B2">
            <w:pPr>
              <w:spacing w:after="0"/>
              <w:jc w:val="both"/>
              <w:rPr>
                <w:szCs w:val="24"/>
              </w:rPr>
            </w:pPr>
            <w:r>
              <w:rPr>
                <w:szCs w:val="24"/>
              </w:rPr>
              <w:t>For Hard Copy Submittal Only:</w:t>
            </w:r>
          </w:p>
          <w:p w14:paraId="633055DE" w14:textId="77777777" w:rsidR="00F549B2" w:rsidRDefault="00F549B2" w:rsidP="00F549B2">
            <w:pPr>
              <w:numPr>
                <w:ilvl w:val="0"/>
                <w:numId w:val="13"/>
              </w:numPr>
              <w:spacing w:after="0"/>
              <w:jc w:val="both"/>
              <w:rPr>
                <w:szCs w:val="24"/>
              </w:rPr>
            </w:pPr>
            <w:r>
              <w:rPr>
                <w:b/>
                <w:szCs w:val="24"/>
              </w:rPr>
              <w:t>1</w:t>
            </w:r>
            <w:r w:rsidRPr="00146690">
              <w:rPr>
                <w:b/>
                <w:szCs w:val="24"/>
              </w:rPr>
              <w:t xml:space="preserve"> </w:t>
            </w:r>
            <w:r>
              <w:rPr>
                <w:szCs w:val="24"/>
              </w:rPr>
              <w:t xml:space="preserve">hard </w:t>
            </w:r>
            <w:r w:rsidRPr="00C31C1D">
              <w:rPr>
                <w:szCs w:val="24"/>
              </w:rPr>
              <w:t>cop</w:t>
            </w:r>
            <w:r>
              <w:rPr>
                <w:szCs w:val="24"/>
              </w:rPr>
              <w:t>y</w:t>
            </w:r>
            <w:r w:rsidRPr="00C31C1D">
              <w:rPr>
                <w:szCs w:val="24"/>
              </w:rPr>
              <w:t xml:space="preserve"> </w:t>
            </w:r>
            <w:r>
              <w:rPr>
                <w:szCs w:val="24"/>
              </w:rPr>
              <w:t>(with</w:t>
            </w:r>
            <w:r w:rsidRPr="00C31C1D">
              <w:rPr>
                <w:szCs w:val="24"/>
              </w:rPr>
              <w:t xml:space="preserve"> </w:t>
            </w:r>
            <w:r>
              <w:rPr>
                <w:szCs w:val="24"/>
              </w:rPr>
              <w:t>signatures</w:t>
            </w:r>
            <w:r w:rsidRPr="00C31C1D">
              <w:rPr>
                <w:szCs w:val="24"/>
              </w:rPr>
              <w:t>)</w:t>
            </w:r>
            <w:r>
              <w:rPr>
                <w:szCs w:val="24"/>
              </w:rPr>
              <w:t xml:space="preserve"> </w:t>
            </w:r>
          </w:p>
          <w:p w14:paraId="505B22DA" w14:textId="77777777" w:rsidR="001C2D56" w:rsidRPr="00C31C1D" w:rsidRDefault="00F549B2" w:rsidP="00734C0C">
            <w:pPr>
              <w:numPr>
                <w:ilvl w:val="0"/>
                <w:numId w:val="13"/>
              </w:numPr>
              <w:spacing w:after="0"/>
              <w:jc w:val="both"/>
              <w:rPr>
                <w:szCs w:val="24"/>
              </w:rPr>
            </w:pPr>
            <w:r w:rsidRPr="00EA787F">
              <w:rPr>
                <w:b/>
                <w:szCs w:val="24"/>
              </w:rPr>
              <w:t>One</w:t>
            </w:r>
            <w:r>
              <w:rPr>
                <w:szCs w:val="24"/>
              </w:rPr>
              <w:t xml:space="preserve"> electronic copy (</w:t>
            </w:r>
            <w:r w:rsidRPr="00C31C1D">
              <w:rPr>
                <w:szCs w:val="24"/>
              </w:rPr>
              <w:t xml:space="preserve">on </w:t>
            </w:r>
            <w:r>
              <w:rPr>
                <w:szCs w:val="24"/>
              </w:rPr>
              <w:t xml:space="preserve">a </w:t>
            </w:r>
            <w:r w:rsidRPr="00C31C1D">
              <w:rPr>
                <w:szCs w:val="24"/>
              </w:rPr>
              <w:t>CD-ROM or USB memory stick</w:t>
            </w:r>
            <w:r>
              <w:rPr>
                <w:szCs w:val="24"/>
              </w:rPr>
              <w:t>)</w:t>
            </w:r>
          </w:p>
        </w:tc>
      </w:tr>
    </w:tbl>
    <w:p w14:paraId="7CFCAB68" w14:textId="77777777" w:rsidR="001C2D56" w:rsidRPr="00C31C1D" w:rsidRDefault="001C2D56" w:rsidP="00A10CB4">
      <w:pPr>
        <w:spacing w:after="0"/>
        <w:ind w:left="360"/>
        <w:jc w:val="both"/>
        <w:rPr>
          <w:szCs w:val="22"/>
        </w:rPr>
      </w:pPr>
    </w:p>
    <w:p w14:paraId="0448C0C0" w14:textId="77777777" w:rsidR="0090258A" w:rsidRDefault="002209B3" w:rsidP="0018649E">
      <w:pPr>
        <w:pStyle w:val="Heading2"/>
        <w:numPr>
          <w:ilvl w:val="0"/>
          <w:numId w:val="35"/>
        </w:numPr>
        <w:ind w:left="360"/>
        <w:jc w:val="both"/>
        <w:rPr>
          <w:sz w:val="26"/>
          <w:szCs w:val="26"/>
        </w:rPr>
      </w:pPr>
      <w:bookmarkStart w:id="119" w:name="_Toc428191083"/>
      <w:bookmarkStart w:id="120" w:name="_Toc20331590"/>
      <w:bookmarkStart w:id="121" w:name="_Toc27467027"/>
      <w:bookmarkStart w:id="122" w:name="_Toc201713575"/>
      <w:bookmarkStart w:id="123" w:name="_Toc219275113"/>
      <w:bookmarkStart w:id="124" w:name="_Toc336443630"/>
      <w:bookmarkStart w:id="125" w:name="_Toc366671186"/>
      <w:r>
        <w:rPr>
          <w:sz w:val="26"/>
          <w:szCs w:val="26"/>
        </w:rPr>
        <w:lastRenderedPageBreak/>
        <w:t>Preferred</w:t>
      </w:r>
      <w:r w:rsidR="0090258A">
        <w:rPr>
          <w:sz w:val="26"/>
          <w:szCs w:val="26"/>
        </w:rPr>
        <w:t xml:space="preserve"> Method For Delivery</w:t>
      </w:r>
      <w:bookmarkEnd w:id="119"/>
      <w:bookmarkEnd w:id="120"/>
      <w:bookmarkEnd w:id="121"/>
    </w:p>
    <w:p w14:paraId="761744E9" w14:textId="5AC843B9" w:rsidR="0090258A" w:rsidRDefault="0090258A" w:rsidP="0090258A">
      <w:pPr>
        <w:keepNext/>
        <w:spacing w:after="0"/>
      </w:pPr>
      <w:r>
        <w:t xml:space="preserve">The preferred method of delivery for this solicitation is the Energy Commission Grant Solicitation System, available at: </w:t>
      </w:r>
      <w:hyperlink r:id="rId38" w:tooltip="Click here to go to the Grants Solicitation System" w:history="1">
        <w:r w:rsidR="00D26B01" w:rsidRPr="00404C1C">
          <w:rPr>
            <w:rStyle w:val="Hyperlink"/>
            <w:rFonts w:cs="Arial"/>
          </w:rPr>
          <w:t>https://gs</w:t>
        </w:r>
        <w:r w:rsidR="00D26B01" w:rsidRPr="00404C1C">
          <w:rPr>
            <w:rStyle w:val="Hyperlink"/>
            <w:rFonts w:cs="Arial"/>
          </w:rPr>
          <w:t>s</w:t>
        </w:r>
        <w:r w:rsidR="00D26B01" w:rsidRPr="00404C1C">
          <w:rPr>
            <w:rStyle w:val="Hyperlink"/>
            <w:rFonts w:cs="Arial"/>
          </w:rPr>
          <w:t>.energy.ca.gov/</w:t>
        </w:r>
      </w:hyperlink>
      <w:r>
        <w:t xml:space="preserve">. This online tool allows applicants to submit their electronic documents to the Energy Commission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w:t>
      </w:r>
      <w:r w:rsidR="00D422E3">
        <w:t>(</w:t>
      </w:r>
      <w:r w:rsidRPr="001212D2">
        <w:t>Attachment</w:t>
      </w:r>
      <w:r w:rsidR="00725E05">
        <w:t xml:space="preserve"> 7</w:t>
      </w:r>
      <w:r w:rsidR="00D422E3">
        <w:t>)</w:t>
      </w:r>
      <w:r w:rsidRPr="001212D2">
        <w:t>,</w:t>
      </w:r>
      <w:r>
        <w:t xml:space="preserve"> must be in Excel format.  The system will not allow applications to be submitted after the due date and time.</w:t>
      </w:r>
    </w:p>
    <w:p w14:paraId="75BBA390" w14:textId="77777777" w:rsidR="0090258A" w:rsidRDefault="0090258A" w:rsidP="0090258A">
      <w:pPr>
        <w:keepNext/>
        <w:spacing w:after="0"/>
      </w:pPr>
    </w:p>
    <w:p w14:paraId="3A7ED482" w14:textId="77777777" w:rsidR="0090258A" w:rsidRPr="00C07F85" w:rsidRDefault="0090258A" w:rsidP="00C07F85">
      <w:pPr>
        <w:keepNext/>
      </w:pPr>
      <w:r>
        <w:t>First time users must register as a new user to access the system. Applicants will receive a confirmation email after all required documents have been successfully uploaded.  A tutorial of the system will be provided at the pre-application workshops and you may contact the Commission Agreement Officer identified in the Questions section of the solicitation for more assistance.</w:t>
      </w:r>
    </w:p>
    <w:p w14:paraId="2EAB492F" w14:textId="77777777" w:rsidR="001C2D56" w:rsidRDefault="00F549B2" w:rsidP="0018649E">
      <w:pPr>
        <w:pStyle w:val="Heading2"/>
        <w:numPr>
          <w:ilvl w:val="0"/>
          <w:numId w:val="35"/>
        </w:numPr>
        <w:ind w:left="360"/>
        <w:jc w:val="both"/>
        <w:rPr>
          <w:sz w:val="26"/>
          <w:szCs w:val="26"/>
        </w:rPr>
      </w:pPr>
      <w:bookmarkStart w:id="126" w:name="_Toc20331591"/>
      <w:bookmarkStart w:id="127" w:name="_Toc27467028"/>
      <w:bookmarkEnd w:id="122"/>
      <w:bookmarkEnd w:id="123"/>
      <w:bookmarkEnd w:id="124"/>
      <w:bookmarkEnd w:id="125"/>
      <w:r>
        <w:rPr>
          <w:sz w:val="26"/>
          <w:szCs w:val="26"/>
        </w:rPr>
        <w:t>Hard Copy</w:t>
      </w:r>
      <w:r w:rsidRPr="0049776E">
        <w:rPr>
          <w:sz w:val="26"/>
          <w:szCs w:val="26"/>
        </w:rPr>
        <w:t xml:space="preserve"> </w:t>
      </w:r>
      <w:r w:rsidR="001C2D56" w:rsidRPr="0049776E">
        <w:rPr>
          <w:sz w:val="26"/>
          <w:szCs w:val="26"/>
        </w:rPr>
        <w:t>Delivery</w:t>
      </w:r>
      <w:bookmarkEnd w:id="126"/>
      <w:bookmarkEnd w:id="127"/>
    </w:p>
    <w:p w14:paraId="7C234E43" w14:textId="77777777" w:rsidR="00F549B2" w:rsidRPr="0062363D" w:rsidRDefault="00F549B2" w:rsidP="00F549B2">
      <w:bookmarkStart w:id="128" w:name="_Toc364757912"/>
      <w:r w:rsidRPr="0062363D">
        <w:rPr>
          <w:szCs w:val="26"/>
        </w:rPr>
        <w:t>An applicant may also deliver a hard copy of an application by:</w:t>
      </w:r>
    </w:p>
    <w:p w14:paraId="717E5766" w14:textId="77777777" w:rsidR="00F549B2" w:rsidRDefault="00F549B2" w:rsidP="0018649E">
      <w:pPr>
        <w:keepNext/>
        <w:numPr>
          <w:ilvl w:val="0"/>
          <w:numId w:val="49"/>
        </w:numPr>
        <w:spacing w:after="0"/>
        <w:ind w:left="720"/>
      </w:pPr>
      <w:r>
        <w:t>U.S. Mail</w:t>
      </w:r>
    </w:p>
    <w:p w14:paraId="16EBD606" w14:textId="77777777" w:rsidR="00F549B2" w:rsidRDefault="00F549B2" w:rsidP="0018649E">
      <w:pPr>
        <w:keepNext/>
        <w:numPr>
          <w:ilvl w:val="0"/>
          <w:numId w:val="49"/>
        </w:numPr>
        <w:spacing w:after="0"/>
        <w:ind w:left="720"/>
      </w:pPr>
      <w:r>
        <w:t>In Person</w:t>
      </w:r>
    </w:p>
    <w:p w14:paraId="707E624B" w14:textId="77777777" w:rsidR="00F549B2" w:rsidRDefault="00F549B2" w:rsidP="0018649E">
      <w:pPr>
        <w:numPr>
          <w:ilvl w:val="0"/>
          <w:numId w:val="49"/>
        </w:numPr>
        <w:ind w:left="720"/>
      </w:pPr>
      <w:r>
        <w:t>Courier service</w:t>
      </w:r>
    </w:p>
    <w:p w14:paraId="3B8DC757" w14:textId="77777777" w:rsidR="00F549B2" w:rsidRDefault="00F549B2" w:rsidP="00F549B2">
      <w:pPr>
        <w:jc w:val="both"/>
      </w:pPr>
      <w:r>
        <w:t xml:space="preserve">Applications submitted in hard copy must be delivered to the Energy Commission Contracts, Grants and Loans Office </w:t>
      </w:r>
      <w:r w:rsidR="00563343">
        <w:t xml:space="preserve">according to the schedule in Section I.G. If applications are delivered prior to the due date shown on this schedule, then they can be delivered </w:t>
      </w:r>
      <w:r>
        <w:t>during normal business hours</w:t>
      </w:r>
      <w:r w:rsidR="00D93036">
        <w:t xml:space="preserve"> (8 am – 5 pm)</w:t>
      </w:r>
      <w:r>
        <w:t xml:space="preserve">. Applications received after the specified date and time </w:t>
      </w:r>
      <w:r w:rsidR="00563343">
        <w:t xml:space="preserve">shown in Section I.G. </w:t>
      </w:r>
      <w:r>
        <w:t xml:space="preserve">are considered late and will not be accepted. There are </w:t>
      </w:r>
      <w:r>
        <w:rPr>
          <w:b/>
          <w:bCs/>
        </w:rPr>
        <w:t>no exceptions</w:t>
      </w:r>
      <w:r>
        <w:t xml:space="preserve"> to this.  Postmark dates of mailing, E-mail and facsimile (FAX) transmissions are not acceptable in whole or in part, under any circumstances.  </w:t>
      </w:r>
      <w:r w:rsidRPr="0070117F">
        <w:t>There is no need to submit a hard copy of an application that is submitted through the Grant Solicitation System as it will only cause confusion.</w:t>
      </w:r>
    </w:p>
    <w:p w14:paraId="49252441" w14:textId="77777777" w:rsidR="00F549B2" w:rsidRDefault="00F549B2" w:rsidP="00F549B2">
      <w:pPr>
        <w:rPr>
          <w:bCs/>
        </w:rPr>
      </w:pPr>
      <w:bookmarkStart w:id="129" w:name="_Toc364757911"/>
      <w:r>
        <w:rPr>
          <w:b/>
          <w:bCs/>
        </w:rPr>
        <w:t>Number of Copies</w:t>
      </w:r>
      <w:bookmarkEnd w:id="129"/>
    </w:p>
    <w:p w14:paraId="30ECAEAD" w14:textId="609B6C35" w:rsidR="00F549B2" w:rsidRDefault="00F549B2" w:rsidP="00F549B2">
      <w:pPr>
        <w:rPr>
          <w:rFonts w:eastAsiaTheme="minorHAnsi"/>
        </w:rPr>
      </w:pPr>
      <w:r>
        <w:t xml:space="preserve">Applicants submitting a hard copy application are only required to submit one paper copy.  Applicants must also submit electronic files of the application on </w:t>
      </w:r>
      <w:r w:rsidRPr="0062363D">
        <w:rPr>
          <w:b/>
          <w:bCs/>
          <w:u w:val="single"/>
        </w:rPr>
        <w:t>CD-ROM or USB memory stick</w:t>
      </w:r>
      <w:r>
        <w:rPr>
          <w:b/>
          <w:bCs/>
        </w:rPr>
        <w:t xml:space="preserve"> </w:t>
      </w:r>
      <w:r w:rsidRPr="0062363D">
        <w:t>along</w:t>
      </w:r>
      <w:r>
        <w:t xml:space="preserve"> with the paper submittal.  Electronic files must be in Microsoft Word XP (.doc format) and Excel Office Suite formats.  Completed Budget Forms</w:t>
      </w:r>
      <w:r w:rsidRPr="001212D2">
        <w:t xml:space="preserve"> </w:t>
      </w:r>
      <w:r w:rsidR="00D422E3">
        <w:t>(</w:t>
      </w:r>
      <w:r w:rsidRPr="001212D2">
        <w:t>Attachment</w:t>
      </w:r>
      <w:r w:rsidR="00725E05">
        <w:t xml:space="preserve"> 7</w:t>
      </w:r>
      <w:r w:rsidR="00D422E3">
        <w:t>)</w:t>
      </w:r>
      <w:r>
        <w:t xml:space="preserve"> must be in Excel format. </w:t>
      </w:r>
      <w:r w:rsidRPr="002E053A">
        <w:rPr>
          <w:b/>
        </w:rPr>
        <w:t>Electronic files submitted via e-mail will not be accepted</w:t>
      </w:r>
      <w:r>
        <w:t>.</w:t>
      </w:r>
    </w:p>
    <w:p w14:paraId="02F5ED41" w14:textId="77777777" w:rsidR="00F549B2" w:rsidRDefault="00F549B2" w:rsidP="00F549B2">
      <w:pPr>
        <w:rPr>
          <w:bCs/>
        </w:rPr>
      </w:pPr>
      <w:r>
        <w:rPr>
          <w:b/>
          <w:bCs/>
        </w:rPr>
        <w:t>Packaging and Labeling</w:t>
      </w:r>
      <w:bookmarkEnd w:id="128"/>
    </w:p>
    <w:p w14:paraId="2F9B9840" w14:textId="69465FC1" w:rsidR="00F549B2" w:rsidRPr="00C07F85" w:rsidRDefault="00F549B2" w:rsidP="00C07F85">
      <w:pPr>
        <w:keepLines/>
        <w:widowControl w:val="0"/>
        <w:spacing w:after="240"/>
        <w:jc w:val="both"/>
      </w:pPr>
      <w:r>
        <w:t xml:space="preserve">All hard copy applications must be labeled "Grant Funding Opportunity </w:t>
      </w:r>
      <w:r w:rsidRPr="001212D2">
        <w:t>GFO-</w:t>
      </w:r>
      <w:r w:rsidR="00BF2373" w:rsidRPr="0070117F">
        <w:rPr>
          <w:szCs w:val="22"/>
        </w:rPr>
        <w:t>19-305</w:t>
      </w:r>
      <w:r w:rsidRPr="0070117F">
        <w:t xml:space="preserve">," </w:t>
      </w:r>
      <w:r>
        <w:t>and include the title of the application.</w:t>
      </w:r>
    </w:p>
    <w:p w14:paraId="7F2CAD95" w14:textId="77777777" w:rsidR="001C2D56" w:rsidRDefault="001C2D56" w:rsidP="008B5A2C">
      <w:pPr>
        <w:keepNext/>
        <w:keepLines/>
        <w:spacing w:after="240"/>
        <w:jc w:val="both"/>
      </w:pPr>
      <w:r w:rsidRPr="00C31C1D">
        <w:lastRenderedPageBreak/>
        <w:t>Include the following label information</w:t>
      </w:r>
      <w:r>
        <w:t xml:space="preserve"> on the mailing envelope</w:t>
      </w:r>
      <w:r w:rsidRPr="00C31C1D">
        <w:t>:</w:t>
      </w:r>
    </w:p>
    <w:tbl>
      <w:tblPr>
        <w:tblStyle w:val="TableGrid1"/>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Caption w:val="Mailing Label Information"/>
        <w:tblDescription w:val="This is the information that needs to be included on the mailing label"/>
      </w:tblPr>
      <w:tblGrid>
        <w:gridCol w:w="3060"/>
        <w:gridCol w:w="4619"/>
      </w:tblGrid>
      <w:tr w:rsidR="001C2D56" w:rsidRPr="00C31C1D" w14:paraId="4BDE365F" w14:textId="77777777" w:rsidTr="00E240C7">
        <w:trPr>
          <w:cantSplit/>
          <w:trHeight w:val="1180"/>
          <w:tblHeader/>
          <w:jc w:val="center"/>
        </w:trPr>
        <w:tc>
          <w:tcPr>
            <w:tcW w:w="3060" w:type="dxa"/>
          </w:tcPr>
          <w:p w14:paraId="700C3845" w14:textId="77777777" w:rsidR="001C2D56" w:rsidRPr="00C31C1D" w:rsidRDefault="001C2D56" w:rsidP="008B5A2C">
            <w:pPr>
              <w:keepNext/>
              <w:keepLines/>
              <w:spacing w:after="0"/>
              <w:jc w:val="both"/>
              <w:rPr>
                <w:szCs w:val="22"/>
              </w:rPr>
            </w:pPr>
            <w:r w:rsidRPr="00C31C1D">
              <w:rPr>
                <w:szCs w:val="22"/>
              </w:rPr>
              <w:t xml:space="preserve">Applicant’s Project Manager </w:t>
            </w:r>
          </w:p>
          <w:p w14:paraId="1FD794BF" w14:textId="77777777" w:rsidR="001C2D56" w:rsidRPr="00C31C1D" w:rsidRDefault="001C2D56" w:rsidP="008B5A2C">
            <w:pPr>
              <w:keepNext/>
              <w:keepLines/>
              <w:spacing w:after="0"/>
              <w:jc w:val="both"/>
              <w:rPr>
                <w:szCs w:val="22"/>
              </w:rPr>
            </w:pPr>
            <w:r w:rsidRPr="00C31C1D">
              <w:rPr>
                <w:szCs w:val="22"/>
              </w:rPr>
              <w:t>Applicant’s Name</w:t>
            </w:r>
          </w:p>
          <w:p w14:paraId="2C722999" w14:textId="77777777" w:rsidR="001C2D56" w:rsidRPr="00C31C1D" w:rsidRDefault="001C2D56" w:rsidP="008B5A2C">
            <w:pPr>
              <w:keepNext/>
              <w:keepLines/>
              <w:spacing w:after="0"/>
              <w:jc w:val="both"/>
              <w:rPr>
                <w:szCs w:val="22"/>
              </w:rPr>
            </w:pPr>
            <w:r w:rsidRPr="00C31C1D">
              <w:rPr>
                <w:szCs w:val="22"/>
              </w:rPr>
              <w:t>Street Address</w:t>
            </w:r>
          </w:p>
          <w:p w14:paraId="32B28DA0" w14:textId="77777777" w:rsidR="001C2D56" w:rsidRPr="00C31C1D" w:rsidRDefault="001C2D56" w:rsidP="008B5A2C">
            <w:pPr>
              <w:keepNext/>
              <w:keepLines/>
              <w:spacing w:after="0"/>
              <w:jc w:val="both"/>
              <w:rPr>
                <w:szCs w:val="22"/>
              </w:rPr>
            </w:pPr>
            <w:r w:rsidRPr="00C31C1D">
              <w:rPr>
                <w:szCs w:val="22"/>
              </w:rPr>
              <w:t xml:space="preserve">City, State, </w:t>
            </w:r>
            <w:r>
              <w:rPr>
                <w:szCs w:val="22"/>
              </w:rPr>
              <w:t xml:space="preserve">and </w:t>
            </w:r>
            <w:r w:rsidRPr="00C31C1D">
              <w:rPr>
                <w:szCs w:val="22"/>
              </w:rPr>
              <w:t>Zip Code</w:t>
            </w:r>
          </w:p>
          <w:p w14:paraId="06F01210" w14:textId="77777777" w:rsidR="001C2D56" w:rsidRPr="00C31C1D" w:rsidRDefault="001C2D56" w:rsidP="008B5A2C">
            <w:pPr>
              <w:keepNext/>
              <w:keepLines/>
              <w:spacing w:after="0"/>
              <w:jc w:val="both"/>
              <w:rPr>
                <w:szCs w:val="22"/>
              </w:rPr>
            </w:pPr>
          </w:p>
        </w:tc>
        <w:tc>
          <w:tcPr>
            <w:tcW w:w="4619" w:type="dxa"/>
          </w:tcPr>
          <w:p w14:paraId="42F1A89C" w14:textId="77777777" w:rsidR="001C2D56" w:rsidRPr="00C31C1D" w:rsidRDefault="001C2D56" w:rsidP="008B5A2C">
            <w:pPr>
              <w:keepNext/>
              <w:keepLines/>
              <w:spacing w:after="0"/>
              <w:jc w:val="both"/>
              <w:rPr>
                <w:sz w:val="20"/>
              </w:rPr>
            </w:pPr>
          </w:p>
        </w:tc>
      </w:tr>
      <w:tr w:rsidR="001C2D56" w:rsidRPr="0070117F" w14:paraId="6646A1AF" w14:textId="77777777" w:rsidTr="00E240C7">
        <w:trPr>
          <w:cantSplit/>
          <w:trHeight w:val="1220"/>
          <w:tblHeader/>
          <w:jc w:val="center"/>
        </w:trPr>
        <w:tc>
          <w:tcPr>
            <w:tcW w:w="3060" w:type="dxa"/>
          </w:tcPr>
          <w:p w14:paraId="26D8C237" w14:textId="77777777" w:rsidR="001C2D56" w:rsidRPr="0070117F" w:rsidRDefault="001C2D56">
            <w:pPr>
              <w:keepNext/>
              <w:keepLines/>
              <w:widowControl w:val="0"/>
              <w:spacing w:after="0"/>
              <w:jc w:val="both"/>
              <w:rPr>
                <w:sz w:val="20"/>
              </w:rPr>
            </w:pPr>
          </w:p>
        </w:tc>
        <w:tc>
          <w:tcPr>
            <w:tcW w:w="4619" w:type="dxa"/>
          </w:tcPr>
          <w:p w14:paraId="649F7A71" w14:textId="1122BED9" w:rsidR="001C2D56" w:rsidRPr="0070117F" w:rsidRDefault="007760B5">
            <w:pPr>
              <w:keepNext/>
              <w:keepLines/>
              <w:widowControl w:val="0"/>
              <w:spacing w:after="0"/>
              <w:jc w:val="both"/>
              <w:rPr>
                <w:szCs w:val="22"/>
              </w:rPr>
            </w:pPr>
            <w:r w:rsidRPr="0070117F">
              <w:rPr>
                <w:szCs w:val="22"/>
              </w:rPr>
              <w:t>GFO</w:t>
            </w:r>
            <w:r w:rsidR="001C2D56" w:rsidRPr="0070117F">
              <w:rPr>
                <w:szCs w:val="22"/>
              </w:rPr>
              <w:t>-</w:t>
            </w:r>
            <w:r w:rsidR="00253AD6" w:rsidRPr="0070117F">
              <w:rPr>
                <w:szCs w:val="22"/>
              </w:rPr>
              <w:t>19</w:t>
            </w:r>
            <w:r w:rsidR="001C2D56" w:rsidRPr="0070117F">
              <w:rPr>
                <w:szCs w:val="22"/>
              </w:rPr>
              <w:t>-</w:t>
            </w:r>
            <w:r w:rsidR="00253AD6" w:rsidRPr="0070117F">
              <w:rPr>
                <w:szCs w:val="22"/>
              </w:rPr>
              <w:t>305</w:t>
            </w:r>
          </w:p>
          <w:p w14:paraId="55291F4F" w14:textId="77777777" w:rsidR="001C2D56" w:rsidRPr="0070117F" w:rsidRDefault="001C2D56">
            <w:pPr>
              <w:keepNext/>
              <w:keepLines/>
              <w:widowControl w:val="0"/>
              <w:spacing w:after="0"/>
              <w:jc w:val="both"/>
              <w:rPr>
                <w:szCs w:val="22"/>
              </w:rPr>
            </w:pPr>
            <w:r w:rsidRPr="0070117F">
              <w:rPr>
                <w:szCs w:val="22"/>
              </w:rPr>
              <w:t>Contracts, Grants, and Loans Office, MS-18</w:t>
            </w:r>
          </w:p>
          <w:p w14:paraId="25A306DF" w14:textId="77777777" w:rsidR="001C2D56" w:rsidRPr="0070117F" w:rsidRDefault="001C2D56">
            <w:pPr>
              <w:keepNext/>
              <w:keepLines/>
              <w:widowControl w:val="0"/>
              <w:spacing w:after="0"/>
              <w:jc w:val="both"/>
              <w:rPr>
                <w:szCs w:val="22"/>
              </w:rPr>
            </w:pPr>
            <w:r w:rsidRPr="0070117F">
              <w:rPr>
                <w:szCs w:val="22"/>
              </w:rPr>
              <w:t>California Energy Commission</w:t>
            </w:r>
          </w:p>
          <w:p w14:paraId="7A4B656F" w14:textId="77777777" w:rsidR="001C2D56" w:rsidRPr="0070117F" w:rsidRDefault="001C2D56">
            <w:pPr>
              <w:keepNext/>
              <w:keepLines/>
              <w:widowControl w:val="0"/>
              <w:spacing w:after="0"/>
              <w:jc w:val="both"/>
              <w:rPr>
                <w:szCs w:val="22"/>
              </w:rPr>
            </w:pPr>
            <w:r w:rsidRPr="0070117F">
              <w:rPr>
                <w:szCs w:val="22"/>
              </w:rPr>
              <w:t>1516 Ninth Street, 1st Floor</w:t>
            </w:r>
          </w:p>
          <w:p w14:paraId="397F5E04" w14:textId="77777777" w:rsidR="001C2D56" w:rsidRPr="0070117F" w:rsidRDefault="001C2D56">
            <w:pPr>
              <w:keepNext/>
              <w:keepLines/>
              <w:widowControl w:val="0"/>
              <w:spacing w:after="0"/>
              <w:jc w:val="both"/>
              <w:rPr>
                <w:szCs w:val="22"/>
              </w:rPr>
            </w:pPr>
            <w:r w:rsidRPr="0070117F">
              <w:rPr>
                <w:szCs w:val="22"/>
              </w:rPr>
              <w:t>Sacramento, California  95814</w:t>
            </w:r>
          </w:p>
        </w:tc>
      </w:tr>
    </w:tbl>
    <w:p w14:paraId="3EB5956F" w14:textId="77777777" w:rsidR="00344986" w:rsidRPr="0070117F" w:rsidRDefault="001C2D56" w:rsidP="0018649E">
      <w:pPr>
        <w:pStyle w:val="Heading2"/>
        <w:numPr>
          <w:ilvl w:val="0"/>
          <w:numId w:val="35"/>
        </w:numPr>
        <w:spacing w:before="240" w:after="0"/>
        <w:ind w:left="360"/>
        <w:jc w:val="both"/>
        <w:rPr>
          <w:sz w:val="26"/>
          <w:szCs w:val="26"/>
        </w:rPr>
      </w:pPr>
      <w:bookmarkStart w:id="130" w:name="_Toc20331592"/>
      <w:bookmarkStart w:id="131" w:name="_Toc27467029"/>
      <w:bookmarkStart w:id="132" w:name="_Toc219275114"/>
      <w:bookmarkStart w:id="133" w:name="_Toc336443632"/>
      <w:bookmarkStart w:id="134" w:name="_Toc366671188"/>
      <w:r w:rsidRPr="0070117F">
        <w:rPr>
          <w:sz w:val="26"/>
          <w:szCs w:val="26"/>
        </w:rPr>
        <w:t>Application Organization and Content</w:t>
      </w:r>
      <w:bookmarkEnd w:id="130"/>
      <w:bookmarkEnd w:id="131"/>
    </w:p>
    <w:p w14:paraId="57329B84" w14:textId="77777777" w:rsidR="00426D73" w:rsidRPr="0070117F" w:rsidRDefault="00F549B2" w:rsidP="00BD2ABB">
      <w:pPr>
        <w:pStyle w:val="ListParagraph"/>
        <w:numPr>
          <w:ilvl w:val="0"/>
          <w:numId w:val="48"/>
        </w:numPr>
        <w:jc w:val="both"/>
      </w:pPr>
      <w:bookmarkStart w:id="135" w:name="_Toc433981328"/>
      <w:r w:rsidRPr="0070117F">
        <w:t>For all hard copy submittals, submit attachments in the order specified below.</w:t>
      </w:r>
      <w:bookmarkEnd w:id="135"/>
    </w:p>
    <w:p w14:paraId="4B84E8C6" w14:textId="610ADFFF" w:rsidR="00426D73" w:rsidRPr="00F74FF9" w:rsidRDefault="00426D73" w:rsidP="0018649E">
      <w:pPr>
        <w:pStyle w:val="ListParagraph"/>
        <w:numPr>
          <w:ilvl w:val="0"/>
          <w:numId w:val="48"/>
        </w:numPr>
        <w:jc w:val="both"/>
      </w:pPr>
      <w:bookmarkStart w:id="136" w:name="_Toc433981329"/>
      <w:r w:rsidRPr="0070117F">
        <w:t xml:space="preserve">Label the proposal application </w:t>
      </w:r>
      <w:r w:rsidRPr="0070117F">
        <w:rPr>
          <w:szCs w:val="22"/>
        </w:rPr>
        <w:t>cover “</w:t>
      </w:r>
      <w:r w:rsidR="00BE2F3D" w:rsidRPr="0070117F">
        <w:rPr>
          <w:szCs w:val="22"/>
        </w:rPr>
        <w:t xml:space="preserve">Grant Funding </w:t>
      </w:r>
      <w:r w:rsidRPr="0070117F">
        <w:rPr>
          <w:szCs w:val="22"/>
        </w:rPr>
        <w:t xml:space="preserve">Opportunity </w:t>
      </w:r>
      <w:r w:rsidR="00BE2F3D" w:rsidRPr="0070117F">
        <w:rPr>
          <w:szCs w:val="22"/>
        </w:rPr>
        <w:t>GFO</w:t>
      </w:r>
      <w:r w:rsidRPr="0070117F">
        <w:rPr>
          <w:szCs w:val="22"/>
        </w:rPr>
        <w:t>-</w:t>
      </w:r>
      <w:r w:rsidR="00253AD6" w:rsidRPr="0070117F">
        <w:rPr>
          <w:szCs w:val="22"/>
        </w:rPr>
        <w:t>19</w:t>
      </w:r>
      <w:r w:rsidRPr="0070117F">
        <w:rPr>
          <w:szCs w:val="22"/>
        </w:rPr>
        <w:t>-</w:t>
      </w:r>
      <w:r w:rsidR="00253AD6" w:rsidRPr="0070117F">
        <w:rPr>
          <w:szCs w:val="22"/>
        </w:rPr>
        <w:t>305</w:t>
      </w:r>
      <w:r w:rsidRPr="0070117F">
        <w:rPr>
          <w:szCs w:val="22"/>
        </w:rPr>
        <w:t xml:space="preserve">” </w:t>
      </w:r>
      <w:r w:rsidRPr="00D379A9">
        <w:rPr>
          <w:szCs w:val="22"/>
        </w:rPr>
        <w:t>and include: (a) the title of the application; and (b) the applicant’s name.</w:t>
      </w:r>
      <w:bookmarkEnd w:id="136"/>
    </w:p>
    <w:p w14:paraId="44E2DB41" w14:textId="77777777" w:rsidR="00426D73" w:rsidRPr="00F74FF9" w:rsidRDefault="00426D73" w:rsidP="0018649E">
      <w:pPr>
        <w:pStyle w:val="ListParagraph"/>
        <w:numPr>
          <w:ilvl w:val="0"/>
          <w:numId w:val="48"/>
        </w:numPr>
        <w:jc w:val="both"/>
      </w:pPr>
      <w:bookmarkStart w:id="137" w:name="_Toc433981330"/>
      <w:r>
        <w:t>Separate e</w:t>
      </w:r>
      <w:r w:rsidRPr="00F74FF9">
        <w:t xml:space="preserve">ach section </w:t>
      </w:r>
      <w:r>
        <w:t xml:space="preserve">of the application </w:t>
      </w:r>
      <w:r w:rsidRPr="00F74FF9">
        <w:t xml:space="preserve">by a </w:t>
      </w:r>
      <w:r w:rsidRPr="00D379A9">
        <w:rPr>
          <w:u w:val="single"/>
        </w:rPr>
        <w:t>tab</w:t>
      </w:r>
      <w:r w:rsidRPr="00F74FF9">
        <w:t xml:space="preserve"> that is labeled </w:t>
      </w:r>
      <w:r>
        <w:t xml:space="preserve">only </w:t>
      </w:r>
      <w:r w:rsidRPr="00F74FF9">
        <w:t xml:space="preserve">with the </w:t>
      </w:r>
      <w:r>
        <w:t xml:space="preserve">tab </w:t>
      </w:r>
      <w:r w:rsidRPr="00F74FF9">
        <w:t xml:space="preserve">number </w:t>
      </w:r>
      <w:r>
        <w:t xml:space="preserve">and section title </w:t>
      </w:r>
      <w:r w:rsidRPr="00F74FF9">
        <w:t>indicated below.</w:t>
      </w:r>
      <w:bookmarkEnd w:id="137"/>
    </w:p>
    <w:bookmarkEnd w:id="132"/>
    <w:bookmarkEnd w:id="133"/>
    <w:bookmarkEnd w:id="134"/>
    <w:p w14:paraId="4E0238F6" w14:textId="77777777" w:rsidR="00344986" w:rsidRDefault="00344986" w:rsidP="00BC0A05"/>
    <w:tbl>
      <w:tblPr>
        <w:tblStyle w:val="TableGrid1"/>
        <w:tblW w:w="0" w:type="auto"/>
        <w:tblInd w:w="607" w:type="dxa"/>
        <w:tblLook w:val="00A0" w:firstRow="1" w:lastRow="0" w:firstColumn="1" w:lastColumn="0" w:noHBand="0" w:noVBand="0"/>
        <w:tblCaption w:val="Tab/Attachment Number"/>
        <w:tblDescription w:val="This is the Tab/Attachment Number and Title of each Section"/>
      </w:tblPr>
      <w:tblGrid>
        <w:gridCol w:w="1879"/>
        <w:gridCol w:w="6041"/>
      </w:tblGrid>
      <w:tr w:rsidR="00426D73" w:rsidRPr="00C31C1D" w14:paraId="5A7FFDF3" w14:textId="77777777" w:rsidTr="00127723">
        <w:trPr>
          <w:cantSplit/>
          <w:tblHeader/>
        </w:trPr>
        <w:tc>
          <w:tcPr>
            <w:tcW w:w="1879" w:type="dxa"/>
            <w:shd w:val="clear" w:color="auto" w:fill="D9D9D9" w:themeFill="background1" w:themeFillShade="D9"/>
          </w:tcPr>
          <w:p w14:paraId="465001DE" w14:textId="77777777" w:rsidR="00426D73" w:rsidRPr="00C31C1D" w:rsidRDefault="00426D73" w:rsidP="00351C11">
            <w:pPr>
              <w:spacing w:after="0"/>
              <w:jc w:val="both"/>
              <w:rPr>
                <w:b/>
                <w:szCs w:val="22"/>
              </w:rPr>
            </w:pPr>
            <w:bookmarkStart w:id="138" w:name="_Toc382571189"/>
            <w:bookmarkStart w:id="139" w:name="_Toc395180699"/>
            <w:bookmarkStart w:id="140" w:name="_Toc381079928"/>
            <w:r w:rsidRPr="00C31C1D">
              <w:rPr>
                <w:b/>
                <w:szCs w:val="22"/>
              </w:rPr>
              <w:t>Tab</w:t>
            </w:r>
            <w:r>
              <w:rPr>
                <w:b/>
                <w:szCs w:val="22"/>
              </w:rPr>
              <w:t>/Attachment</w:t>
            </w:r>
            <w:r w:rsidRPr="00C31C1D">
              <w:rPr>
                <w:b/>
                <w:szCs w:val="22"/>
              </w:rPr>
              <w:t xml:space="preserve"> Number</w:t>
            </w:r>
          </w:p>
        </w:tc>
        <w:tc>
          <w:tcPr>
            <w:tcW w:w="6041" w:type="dxa"/>
            <w:shd w:val="clear" w:color="auto" w:fill="D9D9D9" w:themeFill="background1" w:themeFillShade="D9"/>
          </w:tcPr>
          <w:p w14:paraId="06648CF3" w14:textId="77777777" w:rsidR="00426D73" w:rsidRPr="00C31C1D" w:rsidRDefault="00426D73" w:rsidP="00351C11">
            <w:pPr>
              <w:spacing w:after="0"/>
              <w:jc w:val="both"/>
              <w:rPr>
                <w:b/>
                <w:szCs w:val="22"/>
              </w:rPr>
            </w:pPr>
            <w:r w:rsidRPr="00C31C1D">
              <w:rPr>
                <w:b/>
                <w:szCs w:val="22"/>
              </w:rPr>
              <w:t>Title of Section</w:t>
            </w:r>
          </w:p>
        </w:tc>
      </w:tr>
      <w:tr w:rsidR="00426D73" w:rsidRPr="00C31C1D" w14:paraId="34906FCD" w14:textId="77777777" w:rsidTr="00127723">
        <w:trPr>
          <w:cantSplit/>
          <w:tblHeader/>
        </w:trPr>
        <w:tc>
          <w:tcPr>
            <w:tcW w:w="1879" w:type="dxa"/>
          </w:tcPr>
          <w:p w14:paraId="7B3E2B8A" w14:textId="77777777" w:rsidR="00426D73" w:rsidRPr="00C31C1D" w:rsidRDefault="00426D73" w:rsidP="00351C11">
            <w:pPr>
              <w:spacing w:after="0"/>
              <w:jc w:val="both"/>
              <w:rPr>
                <w:szCs w:val="22"/>
              </w:rPr>
            </w:pPr>
            <w:r>
              <w:rPr>
                <w:szCs w:val="22"/>
              </w:rPr>
              <w:t>1</w:t>
            </w:r>
          </w:p>
        </w:tc>
        <w:tc>
          <w:tcPr>
            <w:tcW w:w="6041" w:type="dxa"/>
          </w:tcPr>
          <w:p w14:paraId="1B194C4A" w14:textId="77777777" w:rsidR="00426D73" w:rsidRPr="00C31C1D" w:rsidRDefault="00426D73" w:rsidP="00351C11">
            <w:pPr>
              <w:spacing w:after="0"/>
              <w:jc w:val="both"/>
              <w:rPr>
                <w:szCs w:val="22"/>
              </w:rPr>
            </w:pPr>
            <w:r w:rsidRPr="00C31C1D">
              <w:rPr>
                <w:szCs w:val="22"/>
              </w:rPr>
              <w:t xml:space="preserve">Application Form </w:t>
            </w:r>
            <w:r w:rsidRPr="003021B6">
              <w:rPr>
                <w:b/>
                <w:i/>
                <w:szCs w:val="22"/>
              </w:rPr>
              <w:t>(requires signature)</w:t>
            </w:r>
          </w:p>
        </w:tc>
      </w:tr>
      <w:tr w:rsidR="00426D73" w:rsidRPr="00C31C1D" w14:paraId="7A5A94F1" w14:textId="77777777" w:rsidTr="00127723">
        <w:trPr>
          <w:cantSplit/>
          <w:tblHeader/>
        </w:trPr>
        <w:tc>
          <w:tcPr>
            <w:tcW w:w="1879" w:type="dxa"/>
          </w:tcPr>
          <w:p w14:paraId="241DD8CD" w14:textId="77777777" w:rsidR="00426D73" w:rsidRPr="00C31C1D" w:rsidRDefault="00426D73" w:rsidP="00351C11">
            <w:pPr>
              <w:spacing w:after="0"/>
              <w:jc w:val="both"/>
            </w:pPr>
            <w:r>
              <w:t>2</w:t>
            </w:r>
          </w:p>
        </w:tc>
        <w:tc>
          <w:tcPr>
            <w:tcW w:w="6041" w:type="dxa"/>
          </w:tcPr>
          <w:p w14:paraId="2812F555" w14:textId="77777777" w:rsidR="00426D73" w:rsidRPr="00C31C1D" w:rsidRDefault="00426D73" w:rsidP="00351C11">
            <w:pPr>
              <w:spacing w:after="0"/>
              <w:jc w:val="both"/>
            </w:pPr>
            <w:r w:rsidRPr="00C31C1D">
              <w:t xml:space="preserve">Executive Summary </w:t>
            </w:r>
          </w:p>
        </w:tc>
      </w:tr>
      <w:tr w:rsidR="00426D73" w:rsidRPr="00C31C1D" w14:paraId="331D3A91" w14:textId="77777777" w:rsidTr="00127723">
        <w:trPr>
          <w:cantSplit/>
          <w:tblHeader/>
        </w:trPr>
        <w:tc>
          <w:tcPr>
            <w:tcW w:w="1879" w:type="dxa"/>
          </w:tcPr>
          <w:p w14:paraId="0010E44E" w14:textId="77777777" w:rsidR="00426D73" w:rsidRPr="00C31C1D" w:rsidDel="00FA0B7B" w:rsidRDefault="00426D73" w:rsidP="00351C11">
            <w:pPr>
              <w:spacing w:after="0"/>
              <w:jc w:val="both"/>
            </w:pPr>
            <w:r>
              <w:t>3</w:t>
            </w:r>
          </w:p>
        </w:tc>
        <w:tc>
          <w:tcPr>
            <w:tcW w:w="6041" w:type="dxa"/>
          </w:tcPr>
          <w:p w14:paraId="23133677" w14:textId="77777777" w:rsidR="00426D73" w:rsidRPr="00FF6514" w:rsidRDefault="00426D73" w:rsidP="00351C11">
            <w:pPr>
              <w:spacing w:after="0"/>
              <w:jc w:val="both"/>
              <w:rPr>
                <w:highlight w:val="yellow"/>
              </w:rPr>
            </w:pPr>
            <w:r w:rsidRPr="0065630D">
              <w:t xml:space="preserve">Fact Sheet </w:t>
            </w:r>
          </w:p>
        </w:tc>
      </w:tr>
      <w:tr w:rsidR="00426D73" w:rsidRPr="00C31C1D" w14:paraId="4F39B2F8" w14:textId="77777777" w:rsidTr="00127723">
        <w:trPr>
          <w:cantSplit/>
          <w:tblHeader/>
        </w:trPr>
        <w:tc>
          <w:tcPr>
            <w:tcW w:w="1879" w:type="dxa"/>
          </w:tcPr>
          <w:p w14:paraId="035C8ACC" w14:textId="77777777" w:rsidR="00426D73" w:rsidRPr="0084475B" w:rsidRDefault="00426D73" w:rsidP="00351C11">
            <w:pPr>
              <w:spacing w:after="0"/>
              <w:jc w:val="both"/>
            </w:pPr>
            <w:r w:rsidRPr="0084475B">
              <w:t>4</w:t>
            </w:r>
          </w:p>
        </w:tc>
        <w:tc>
          <w:tcPr>
            <w:tcW w:w="6041" w:type="dxa"/>
          </w:tcPr>
          <w:p w14:paraId="1045577B" w14:textId="77777777" w:rsidR="00426D73" w:rsidRPr="0084475B" w:rsidRDefault="00426D73" w:rsidP="00351C11">
            <w:pPr>
              <w:spacing w:after="0"/>
              <w:jc w:val="both"/>
            </w:pPr>
            <w:r w:rsidRPr="0084475B">
              <w:t xml:space="preserve">Project Narrative </w:t>
            </w:r>
          </w:p>
        </w:tc>
      </w:tr>
      <w:tr w:rsidR="00426D73" w:rsidRPr="00C31C1D" w14:paraId="125659E7" w14:textId="77777777" w:rsidTr="00127723">
        <w:trPr>
          <w:cantSplit/>
          <w:tblHeader/>
        </w:trPr>
        <w:tc>
          <w:tcPr>
            <w:tcW w:w="1879" w:type="dxa"/>
          </w:tcPr>
          <w:p w14:paraId="7393B127" w14:textId="77777777" w:rsidR="00426D73" w:rsidRPr="0084475B" w:rsidRDefault="00426D73" w:rsidP="00351C11">
            <w:pPr>
              <w:spacing w:after="0"/>
              <w:jc w:val="both"/>
            </w:pPr>
            <w:r w:rsidRPr="0084475B">
              <w:t>5</w:t>
            </w:r>
          </w:p>
        </w:tc>
        <w:tc>
          <w:tcPr>
            <w:tcW w:w="6041" w:type="dxa"/>
          </w:tcPr>
          <w:p w14:paraId="040015F0" w14:textId="77777777" w:rsidR="00426D73" w:rsidRPr="0084475B" w:rsidRDefault="00426D73" w:rsidP="00351C11">
            <w:pPr>
              <w:spacing w:after="0"/>
              <w:jc w:val="both"/>
            </w:pPr>
            <w:r w:rsidRPr="0084475B">
              <w:t>Project Team</w:t>
            </w:r>
            <w:r>
              <w:t xml:space="preserve"> </w:t>
            </w:r>
          </w:p>
        </w:tc>
      </w:tr>
      <w:tr w:rsidR="00426D73" w:rsidRPr="00C31C1D" w14:paraId="64BB0C72" w14:textId="77777777" w:rsidTr="00127723">
        <w:trPr>
          <w:cantSplit/>
          <w:tblHeader/>
        </w:trPr>
        <w:tc>
          <w:tcPr>
            <w:tcW w:w="1879" w:type="dxa"/>
          </w:tcPr>
          <w:p w14:paraId="15C3B1DC" w14:textId="77777777" w:rsidR="00426D73" w:rsidRPr="00C31C1D" w:rsidRDefault="00426D73" w:rsidP="00351C11">
            <w:pPr>
              <w:spacing w:after="0"/>
              <w:jc w:val="both"/>
            </w:pPr>
            <w:r>
              <w:t xml:space="preserve">6 </w:t>
            </w:r>
            <w:r w:rsidRPr="00CD5BAA">
              <w:rPr>
                <w:i/>
              </w:rPr>
              <w:t>(includes 6a)</w:t>
            </w:r>
          </w:p>
        </w:tc>
        <w:tc>
          <w:tcPr>
            <w:tcW w:w="6041" w:type="dxa"/>
          </w:tcPr>
          <w:p w14:paraId="0F8B0E94" w14:textId="77777777" w:rsidR="00426D73" w:rsidRPr="00C31C1D" w:rsidRDefault="00426D73" w:rsidP="00351C11">
            <w:pPr>
              <w:spacing w:after="0"/>
              <w:jc w:val="both"/>
            </w:pPr>
            <w:r w:rsidRPr="00C31C1D">
              <w:t xml:space="preserve">Scope of Work </w:t>
            </w:r>
          </w:p>
        </w:tc>
      </w:tr>
      <w:tr w:rsidR="00426D73" w:rsidRPr="00C31C1D" w14:paraId="34732932" w14:textId="77777777" w:rsidTr="00127723">
        <w:trPr>
          <w:cantSplit/>
          <w:tblHeader/>
        </w:trPr>
        <w:tc>
          <w:tcPr>
            <w:tcW w:w="1879" w:type="dxa"/>
          </w:tcPr>
          <w:p w14:paraId="76D95298" w14:textId="77777777" w:rsidR="00426D73" w:rsidRPr="00C31C1D" w:rsidRDefault="00426D73" w:rsidP="00351C11">
            <w:pPr>
              <w:spacing w:after="0"/>
              <w:jc w:val="both"/>
            </w:pPr>
            <w:r>
              <w:t>7</w:t>
            </w:r>
          </w:p>
        </w:tc>
        <w:tc>
          <w:tcPr>
            <w:tcW w:w="6041" w:type="dxa"/>
          </w:tcPr>
          <w:p w14:paraId="0A42819D" w14:textId="77777777" w:rsidR="00426D73" w:rsidRPr="00C31C1D" w:rsidRDefault="00426D73" w:rsidP="00351C11">
            <w:pPr>
              <w:spacing w:after="0"/>
              <w:jc w:val="both"/>
            </w:pPr>
            <w:r w:rsidRPr="00C31C1D">
              <w:t xml:space="preserve">Budget </w:t>
            </w:r>
          </w:p>
        </w:tc>
      </w:tr>
      <w:tr w:rsidR="00426D73" w:rsidRPr="00C31C1D" w14:paraId="561DF903" w14:textId="77777777" w:rsidTr="00127723">
        <w:trPr>
          <w:cantSplit/>
          <w:tblHeader/>
        </w:trPr>
        <w:tc>
          <w:tcPr>
            <w:tcW w:w="1879" w:type="dxa"/>
          </w:tcPr>
          <w:p w14:paraId="41002FBE" w14:textId="77777777" w:rsidR="00426D73" w:rsidRPr="00C31C1D" w:rsidRDefault="00426D73" w:rsidP="00351C11">
            <w:pPr>
              <w:spacing w:after="0"/>
              <w:jc w:val="both"/>
            </w:pPr>
            <w:r>
              <w:t>8</w:t>
            </w:r>
          </w:p>
        </w:tc>
        <w:tc>
          <w:tcPr>
            <w:tcW w:w="6041" w:type="dxa"/>
          </w:tcPr>
          <w:p w14:paraId="3F3457ED" w14:textId="0563E259" w:rsidR="00426D73" w:rsidRPr="00C31C1D" w:rsidRDefault="00426D73" w:rsidP="00351C11">
            <w:pPr>
              <w:spacing w:after="0"/>
              <w:jc w:val="both"/>
            </w:pPr>
            <w:r w:rsidRPr="00C31C1D">
              <w:t xml:space="preserve">CEQA Compliance </w:t>
            </w:r>
            <w:r>
              <w:t xml:space="preserve">Form </w:t>
            </w:r>
            <w:r w:rsidR="00DB79C7" w:rsidRPr="003021B6">
              <w:rPr>
                <w:b/>
                <w:i/>
                <w:szCs w:val="22"/>
              </w:rPr>
              <w:t>(require</w:t>
            </w:r>
            <w:r w:rsidR="00DB79C7">
              <w:rPr>
                <w:b/>
                <w:i/>
                <w:szCs w:val="22"/>
              </w:rPr>
              <w:t>s</w:t>
            </w:r>
            <w:r w:rsidR="00DB79C7" w:rsidRPr="003021B6">
              <w:rPr>
                <w:b/>
                <w:i/>
                <w:szCs w:val="22"/>
              </w:rPr>
              <w:t xml:space="preserve"> signature)</w:t>
            </w:r>
          </w:p>
        </w:tc>
      </w:tr>
      <w:tr w:rsidR="00426D73" w:rsidRPr="00C31C1D" w14:paraId="605AE87D" w14:textId="77777777" w:rsidTr="00127723">
        <w:trPr>
          <w:cantSplit/>
          <w:tblHeader/>
        </w:trPr>
        <w:tc>
          <w:tcPr>
            <w:tcW w:w="1879" w:type="dxa"/>
          </w:tcPr>
          <w:p w14:paraId="56E6C0BB" w14:textId="77777777" w:rsidR="00426D73" w:rsidRPr="00C31C1D" w:rsidRDefault="00426D73" w:rsidP="00351C11">
            <w:pPr>
              <w:spacing w:after="0"/>
              <w:jc w:val="both"/>
            </w:pPr>
            <w:r>
              <w:t>9</w:t>
            </w:r>
          </w:p>
        </w:tc>
        <w:tc>
          <w:tcPr>
            <w:tcW w:w="6041" w:type="dxa"/>
          </w:tcPr>
          <w:p w14:paraId="6D7C9B33" w14:textId="77777777" w:rsidR="00426D73" w:rsidRPr="00C31C1D" w:rsidRDefault="00426D73" w:rsidP="00351C11">
            <w:pPr>
              <w:spacing w:after="0"/>
              <w:jc w:val="both"/>
            </w:pPr>
            <w:r w:rsidRPr="00C31C1D">
              <w:t>Reference</w:t>
            </w:r>
            <w:r>
              <w:t>s and Work Product</w:t>
            </w:r>
          </w:p>
        </w:tc>
      </w:tr>
      <w:tr w:rsidR="00426D73" w:rsidRPr="00C31C1D" w14:paraId="6D0E81BA" w14:textId="77777777" w:rsidTr="00127723">
        <w:trPr>
          <w:cantSplit/>
          <w:tblHeader/>
        </w:trPr>
        <w:tc>
          <w:tcPr>
            <w:tcW w:w="1879" w:type="dxa"/>
          </w:tcPr>
          <w:p w14:paraId="1A95F215" w14:textId="77777777" w:rsidR="00426D73" w:rsidRPr="00C31C1D" w:rsidRDefault="00426D73" w:rsidP="00351C11">
            <w:pPr>
              <w:spacing w:after="0"/>
              <w:jc w:val="both"/>
            </w:pPr>
            <w:r>
              <w:t>10</w:t>
            </w:r>
          </w:p>
        </w:tc>
        <w:tc>
          <w:tcPr>
            <w:tcW w:w="6041" w:type="dxa"/>
          </w:tcPr>
          <w:p w14:paraId="0574CDF9" w14:textId="77777777" w:rsidR="00426D73" w:rsidRPr="00C31C1D" w:rsidRDefault="00426D73" w:rsidP="00351C11">
            <w:pPr>
              <w:spacing w:after="0"/>
              <w:jc w:val="both"/>
            </w:pPr>
            <w:r>
              <w:t xml:space="preserve">Contact List </w:t>
            </w:r>
          </w:p>
        </w:tc>
      </w:tr>
      <w:tr w:rsidR="00426D73" w:rsidRPr="00C31C1D" w14:paraId="492730FC" w14:textId="77777777" w:rsidTr="00127723">
        <w:trPr>
          <w:cantSplit/>
          <w:tblHeader/>
        </w:trPr>
        <w:tc>
          <w:tcPr>
            <w:tcW w:w="1879" w:type="dxa"/>
          </w:tcPr>
          <w:p w14:paraId="6093A638" w14:textId="77777777" w:rsidR="00426D73" w:rsidRPr="00C31C1D" w:rsidRDefault="00426D73" w:rsidP="00351C11">
            <w:pPr>
              <w:spacing w:after="0"/>
              <w:jc w:val="both"/>
            </w:pPr>
            <w:r>
              <w:t>11</w:t>
            </w:r>
          </w:p>
        </w:tc>
        <w:tc>
          <w:tcPr>
            <w:tcW w:w="6041" w:type="dxa"/>
          </w:tcPr>
          <w:p w14:paraId="1B5C90AE" w14:textId="77777777" w:rsidR="00426D73" w:rsidRPr="00C31C1D" w:rsidRDefault="00426D73" w:rsidP="00351C11">
            <w:pPr>
              <w:spacing w:after="0"/>
              <w:jc w:val="both"/>
            </w:pPr>
            <w:r>
              <w:t xml:space="preserve">Commitment and Support Letters </w:t>
            </w:r>
            <w:r w:rsidRPr="003021B6">
              <w:rPr>
                <w:b/>
                <w:i/>
                <w:szCs w:val="22"/>
              </w:rPr>
              <w:t>(require</w:t>
            </w:r>
            <w:r w:rsidR="0017678F">
              <w:rPr>
                <w:b/>
                <w:i/>
                <w:szCs w:val="22"/>
              </w:rPr>
              <w:t>s</w:t>
            </w:r>
            <w:r w:rsidRPr="003021B6">
              <w:rPr>
                <w:b/>
                <w:i/>
                <w:szCs w:val="22"/>
              </w:rPr>
              <w:t xml:space="preserve"> signature)</w:t>
            </w:r>
          </w:p>
        </w:tc>
      </w:tr>
      <w:tr w:rsidR="0017678F" w:rsidRPr="00C31C1D" w14:paraId="465C2435" w14:textId="77777777" w:rsidTr="00127723">
        <w:trPr>
          <w:cantSplit/>
          <w:tblHeader/>
        </w:trPr>
        <w:tc>
          <w:tcPr>
            <w:tcW w:w="1879" w:type="dxa"/>
          </w:tcPr>
          <w:p w14:paraId="7F8F2236" w14:textId="77777777" w:rsidR="0017678F" w:rsidRDefault="0017678F" w:rsidP="0017678F">
            <w:pPr>
              <w:spacing w:after="0"/>
              <w:jc w:val="both"/>
            </w:pPr>
            <w:r>
              <w:t>12</w:t>
            </w:r>
          </w:p>
        </w:tc>
        <w:tc>
          <w:tcPr>
            <w:tcW w:w="6041" w:type="dxa"/>
          </w:tcPr>
          <w:p w14:paraId="31207CAF" w14:textId="77777777" w:rsidR="0017678F" w:rsidRDefault="0017678F" w:rsidP="0017678F">
            <w:pPr>
              <w:spacing w:after="0"/>
              <w:jc w:val="both"/>
            </w:pPr>
            <w:r w:rsidRPr="00010A51">
              <w:t>Applicant Declaration</w:t>
            </w:r>
            <w:r>
              <w:t xml:space="preserve"> </w:t>
            </w:r>
            <w:r w:rsidRPr="003021B6">
              <w:rPr>
                <w:b/>
                <w:i/>
                <w:szCs w:val="22"/>
              </w:rPr>
              <w:t>(require</w:t>
            </w:r>
            <w:r>
              <w:rPr>
                <w:b/>
                <w:i/>
                <w:szCs w:val="22"/>
              </w:rPr>
              <w:t>s</w:t>
            </w:r>
            <w:r w:rsidRPr="003021B6">
              <w:rPr>
                <w:b/>
                <w:i/>
                <w:szCs w:val="22"/>
              </w:rPr>
              <w:t xml:space="preserve"> signature)</w:t>
            </w:r>
          </w:p>
        </w:tc>
      </w:tr>
      <w:tr w:rsidR="00BC691D" w:rsidRPr="00C31C1D" w14:paraId="1DE1F75A" w14:textId="77777777" w:rsidTr="00127723">
        <w:trPr>
          <w:cantSplit/>
          <w:tblHeader/>
        </w:trPr>
        <w:tc>
          <w:tcPr>
            <w:tcW w:w="1879" w:type="dxa"/>
          </w:tcPr>
          <w:p w14:paraId="61C77B57" w14:textId="1155E2AC" w:rsidR="00BC691D" w:rsidRDefault="00BC691D" w:rsidP="0017678F">
            <w:pPr>
              <w:spacing w:after="0"/>
              <w:jc w:val="both"/>
            </w:pPr>
            <w:r>
              <w:t>13</w:t>
            </w:r>
          </w:p>
        </w:tc>
        <w:tc>
          <w:tcPr>
            <w:tcW w:w="6041" w:type="dxa"/>
          </w:tcPr>
          <w:p w14:paraId="3CD3A15B" w14:textId="7E8FDF37" w:rsidR="00BC691D" w:rsidRPr="00010A51" w:rsidRDefault="00BC691D" w:rsidP="00BC691D">
            <w:pPr>
              <w:spacing w:after="0"/>
            </w:pPr>
            <w:r w:rsidRPr="00BC691D">
              <w:t>References</w:t>
            </w:r>
            <w:r>
              <w:t xml:space="preserve"> </w:t>
            </w:r>
            <w:r w:rsidRPr="00BC691D">
              <w:t>for</w:t>
            </w:r>
            <w:r>
              <w:t xml:space="preserve"> </w:t>
            </w:r>
            <w:r w:rsidRPr="00BC691D">
              <w:t>Calc</w:t>
            </w:r>
            <w:r>
              <w:t xml:space="preserve">ulating </w:t>
            </w:r>
            <w:r w:rsidRPr="00BC691D">
              <w:t>Energy</w:t>
            </w:r>
            <w:r>
              <w:t xml:space="preserve"> </w:t>
            </w:r>
            <w:r w:rsidRPr="00BC691D">
              <w:t>End</w:t>
            </w:r>
            <w:r>
              <w:t xml:space="preserve"> </w:t>
            </w:r>
            <w:r w:rsidRPr="00BC691D">
              <w:t>Use</w:t>
            </w:r>
            <w:r>
              <w:t xml:space="preserve"> </w:t>
            </w:r>
            <w:r w:rsidRPr="00BC691D">
              <w:t>&amp;</w:t>
            </w:r>
            <w:r>
              <w:t xml:space="preserve"> GHG </w:t>
            </w:r>
            <w:r w:rsidRPr="00BC691D">
              <w:t>Emis</w:t>
            </w:r>
            <w:r>
              <w:t>sions</w:t>
            </w:r>
          </w:p>
        </w:tc>
      </w:tr>
      <w:tr w:rsidR="00BC691D" w:rsidRPr="00C31C1D" w14:paraId="4912403B" w14:textId="77777777" w:rsidTr="00127723">
        <w:trPr>
          <w:cantSplit/>
          <w:tblHeader/>
        </w:trPr>
        <w:tc>
          <w:tcPr>
            <w:tcW w:w="1879" w:type="dxa"/>
          </w:tcPr>
          <w:p w14:paraId="005B6AA1" w14:textId="33744AF3" w:rsidR="00BC691D" w:rsidRDefault="00BC691D" w:rsidP="0017678F">
            <w:pPr>
              <w:spacing w:after="0"/>
              <w:jc w:val="both"/>
            </w:pPr>
            <w:r>
              <w:t>14</w:t>
            </w:r>
          </w:p>
        </w:tc>
        <w:tc>
          <w:tcPr>
            <w:tcW w:w="6041" w:type="dxa"/>
          </w:tcPr>
          <w:p w14:paraId="4E165045" w14:textId="5420004B" w:rsidR="00BC691D" w:rsidRPr="00010A51" w:rsidRDefault="00BC691D" w:rsidP="00BC691D">
            <w:pPr>
              <w:spacing w:after="0"/>
            </w:pPr>
            <w:r>
              <w:t>Special Terms and Conditions f</w:t>
            </w:r>
            <w:r w:rsidRPr="00BC691D">
              <w:t xml:space="preserve">or Native American Tribes </w:t>
            </w:r>
            <w:r>
              <w:t>a</w:t>
            </w:r>
            <w:r w:rsidRPr="00BC691D">
              <w:t xml:space="preserve">nd Tribal Corporations </w:t>
            </w:r>
            <w:r>
              <w:t>w</w:t>
            </w:r>
            <w:r w:rsidRPr="00BC691D">
              <w:t>ith Sovereign Immunity</w:t>
            </w:r>
          </w:p>
        </w:tc>
      </w:tr>
      <w:bookmarkEnd w:id="138"/>
      <w:bookmarkEnd w:id="139"/>
      <w:bookmarkEnd w:id="140"/>
    </w:tbl>
    <w:p w14:paraId="57E5EEE7" w14:textId="77777777" w:rsidR="001C2D56" w:rsidRDefault="001C2D56">
      <w:pPr>
        <w:spacing w:after="0"/>
        <w:jc w:val="both"/>
      </w:pPr>
    </w:p>
    <w:p w14:paraId="2B0AF21B" w14:textId="16090DF5" w:rsidR="001C2D56" w:rsidRPr="00C31C1D" w:rsidRDefault="001C2D56" w:rsidP="0034260F">
      <w:bookmarkStart w:id="141" w:name="_Toc381079929"/>
      <w:bookmarkStart w:id="142" w:name="_Toc382571192"/>
      <w:bookmarkStart w:id="143" w:name="_Toc395180702"/>
      <w:bookmarkStart w:id="144" w:name="_Toc433981331"/>
      <w:bookmarkStart w:id="145" w:name="_Toc35074593"/>
      <w:bookmarkStart w:id="146" w:name="_Toc366671191"/>
      <w:r w:rsidRPr="00C31C1D">
        <w:t xml:space="preserve">Below is a description of each </w:t>
      </w:r>
      <w:r>
        <w:t xml:space="preserve">required </w:t>
      </w:r>
      <w:r w:rsidRPr="00C31C1D">
        <w:t>section of the application</w:t>
      </w:r>
      <w:r w:rsidR="00686D5C">
        <w:t xml:space="preserve">.  </w:t>
      </w:r>
      <w:r w:rsidR="00686D5C" w:rsidRPr="00493A6D">
        <w:t xml:space="preserve">Completeness in submitting </w:t>
      </w:r>
      <w:r w:rsidR="00493A6D" w:rsidRPr="00493A6D">
        <w:t>all</w:t>
      </w:r>
      <w:r w:rsidR="00686D5C" w:rsidRPr="00493A6D">
        <w:t xml:space="preserve"> the required information requested in each attachment will be factored into the scoring</w:t>
      </w:r>
      <w:r w:rsidRPr="00493A6D">
        <w:t>:</w:t>
      </w:r>
      <w:bookmarkEnd w:id="141"/>
      <w:bookmarkEnd w:id="142"/>
      <w:bookmarkEnd w:id="143"/>
      <w:bookmarkEnd w:id="144"/>
    </w:p>
    <w:bookmarkEnd w:id="145"/>
    <w:bookmarkEnd w:id="146"/>
    <w:p w14:paraId="5DF6B5A5" w14:textId="77777777" w:rsidR="005E52CD" w:rsidRDefault="001C2D56" w:rsidP="00B07493">
      <w:pPr>
        <w:keepNext/>
        <w:numPr>
          <w:ilvl w:val="0"/>
          <w:numId w:val="24"/>
        </w:numPr>
        <w:spacing w:after="0"/>
        <w:ind w:left="360"/>
        <w:jc w:val="both"/>
        <w:rPr>
          <w:b/>
          <w:szCs w:val="22"/>
        </w:rPr>
      </w:pPr>
      <w:r w:rsidRPr="00C07F85">
        <w:rPr>
          <w:b/>
          <w:szCs w:val="22"/>
        </w:rPr>
        <w:t>Application Form</w:t>
      </w:r>
      <w:r w:rsidRPr="00C31C1D">
        <w:rPr>
          <w:b/>
          <w:szCs w:val="22"/>
        </w:rPr>
        <w:t xml:space="preserve"> (</w:t>
      </w:r>
      <w:r>
        <w:rPr>
          <w:b/>
          <w:szCs w:val="22"/>
        </w:rPr>
        <w:t>Attachment 1</w:t>
      </w:r>
      <w:r w:rsidRPr="00C31C1D">
        <w:rPr>
          <w:b/>
          <w:szCs w:val="22"/>
        </w:rPr>
        <w:t>)</w:t>
      </w:r>
    </w:p>
    <w:p w14:paraId="5CA371DA" w14:textId="77777777" w:rsidR="001C2D56" w:rsidRPr="00C31C1D" w:rsidRDefault="001C2D56" w:rsidP="00271699">
      <w:pPr>
        <w:widowControl w:val="0"/>
        <w:spacing w:after="0"/>
        <w:ind w:left="360"/>
        <w:jc w:val="both"/>
      </w:pPr>
      <w:r>
        <w:t xml:space="preserve">This form requests basic information about the applicant and the project.  </w:t>
      </w:r>
      <w:r w:rsidRPr="00C31C1D">
        <w:t>The application include</w:t>
      </w:r>
      <w:r w:rsidR="00686D5C">
        <w:t>s</w:t>
      </w:r>
      <w:r w:rsidRPr="00C31C1D">
        <w:t xml:space="preserve"> an original </w:t>
      </w:r>
      <w:r>
        <w:t>f</w:t>
      </w:r>
      <w:r w:rsidRPr="00C31C1D">
        <w:t xml:space="preserve">orm </w:t>
      </w:r>
      <w:r>
        <w:t>that includes all requested information</w:t>
      </w:r>
      <w:r w:rsidR="00686D5C">
        <w:t>.  The application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05539C27" w14:textId="77777777" w:rsidR="001C2D56" w:rsidRPr="00C31C1D" w:rsidRDefault="001C2D56" w:rsidP="00A10CB4">
      <w:pPr>
        <w:spacing w:after="0"/>
        <w:ind w:left="720"/>
        <w:jc w:val="both"/>
      </w:pPr>
    </w:p>
    <w:p w14:paraId="739A437B" w14:textId="77777777" w:rsidR="005E52CD" w:rsidRDefault="001C2D56" w:rsidP="00B07493">
      <w:pPr>
        <w:keepNext/>
        <w:numPr>
          <w:ilvl w:val="0"/>
          <w:numId w:val="24"/>
        </w:numPr>
        <w:spacing w:after="0"/>
        <w:ind w:left="360" w:right="360"/>
        <w:jc w:val="both"/>
        <w:rPr>
          <w:b/>
          <w:szCs w:val="22"/>
        </w:rPr>
      </w:pPr>
      <w:r w:rsidRPr="00C07F85">
        <w:rPr>
          <w:b/>
          <w:szCs w:val="22"/>
        </w:rPr>
        <w:lastRenderedPageBreak/>
        <w:t>Executive Summary Form</w:t>
      </w:r>
      <w:r w:rsidRPr="00063F67">
        <w:rPr>
          <w:b/>
          <w:szCs w:val="22"/>
        </w:rPr>
        <w:t xml:space="preserve"> </w:t>
      </w:r>
      <w:r>
        <w:rPr>
          <w:b/>
          <w:szCs w:val="22"/>
        </w:rPr>
        <w:t>(Attachment 2)</w:t>
      </w:r>
    </w:p>
    <w:p w14:paraId="001BB22F"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 xml:space="preserve">tasks and overall management of the agreement. </w:t>
      </w:r>
    </w:p>
    <w:p w14:paraId="418F6926" w14:textId="77777777" w:rsidR="001C2D56" w:rsidRPr="00C31C1D" w:rsidRDefault="001C2D56" w:rsidP="00BB0CE6">
      <w:pPr>
        <w:spacing w:after="0"/>
        <w:ind w:left="360" w:right="360"/>
        <w:jc w:val="both"/>
      </w:pPr>
    </w:p>
    <w:p w14:paraId="35C1B9DD" w14:textId="77777777" w:rsidR="005E52CD" w:rsidRDefault="001C2D56" w:rsidP="00B07493">
      <w:pPr>
        <w:numPr>
          <w:ilvl w:val="0"/>
          <w:numId w:val="24"/>
        </w:numPr>
        <w:spacing w:after="0"/>
        <w:ind w:left="360" w:right="360"/>
        <w:jc w:val="both"/>
        <w:rPr>
          <w:b/>
        </w:rPr>
      </w:pPr>
      <w:r w:rsidRPr="00C07F85">
        <w:rPr>
          <w:b/>
        </w:rPr>
        <w:t>Fact Sheet Template</w:t>
      </w:r>
      <w:r>
        <w:rPr>
          <w:b/>
        </w:rPr>
        <w:t xml:space="preserve"> </w:t>
      </w:r>
      <w:r w:rsidRPr="00B55C6C">
        <w:rPr>
          <w:b/>
        </w:rPr>
        <w:t xml:space="preserve">(Attachment </w:t>
      </w:r>
      <w:r>
        <w:rPr>
          <w:b/>
        </w:rPr>
        <w:t>3</w:t>
      </w:r>
      <w:r w:rsidRPr="00B55C6C">
        <w:rPr>
          <w:b/>
        </w:rPr>
        <w:t>)</w:t>
      </w:r>
    </w:p>
    <w:p w14:paraId="64041A17" w14:textId="53BA6167" w:rsidR="001C2D56" w:rsidRPr="00C31C1D" w:rsidRDefault="001C2D56" w:rsidP="00BB0CE6">
      <w:pPr>
        <w:tabs>
          <w:tab w:val="left" w:pos="360"/>
        </w:tabs>
        <w:spacing w:after="0"/>
        <w:ind w:left="360" w:right="360"/>
        <w:jc w:val="both"/>
      </w:pPr>
      <w:r>
        <w:t>The</w:t>
      </w:r>
      <w:r w:rsidRPr="00C31C1D">
        <w:t xml:space="preserve"> </w:t>
      </w:r>
      <w:r>
        <w:t xml:space="preserve">project </w:t>
      </w:r>
      <w:r w:rsidRPr="00C31C1D">
        <w:t xml:space="preserve">fact sheet </w:t>
      </w:r>
      <w:r>
        <w:t>present</w:t>
      </w:r>
      <w:r w:rsidR="00686D5C">
        <w:t>s</w:t>
      </w:r>
      <w:r>
        <w:t xml:space="preserve"> project information in a manner suitable for publication (if the project receives funding, the Energy Commission may use the fact sheet to publicize the project).  The fact sheet follow</w:t>
      </w:r>
      <w:r w:rsidR="00686D5C">
        <w:t>s</w:t>
      </w:r>
      <w:r w:rsidRPr="00C31C1D">
        <w:t xml:space="preserve"> the template</w:t>
      </w:r>
      <w:r>
        <w:t xml:space="preserve">, which includes a summary of project specifics and a description of the issue addressed by the project, a project description, and anticipated benefits for the </w:t>
      </w:r>
      <w:r w:rsidR="00D338B4">
        <w:t>State</w:t>
      </w:r>
      <w:r>
        <w:t xml:space="preserve"> of California</w:t>
      </w:r>
      <w:r w:rsidRPr="00C31C1D">
        <w:t>.</w:t>
      </w:r>
    </w:p>
    <w:p w14:paraId="0C69D726" w14:textId="77777777" w:rsidR="001C2D56" w:rsidRDefault="001C2D56" w:rsidP="00BB0CE6">
      <w:pPr>
        <w:spacing w:after="0"/>
        <w:ind w:left="360" w:right="360"/>
        <w:jc w:val="both"/>
        <w:rPr>
          <w:b/>
        </w:rPr>
      </w:pPr>
    </w:p>
    <w:p w14:paraId="536F8AC5" w14:textId="77777777" w:rsidR="005E52CD" w:rsidRDefault="001C2D56" w:rsidP="00B07493">
      <w:pPr>
        <w:numPr>
          <w:ilvl w:val="0"/>
          <w:numId w:val="24"/>
        </w:numPr>
        <w:spacing w:after="0"/>
        <w:ind w:left="360" w:right="360"/>
        <w:jc w:val="both"/>
        <w:rPr>
          <w:b/>
        </w:rPr>
      </w:pPr>
      <w:r w:rsidRPr="00D11C88">
        <w:rPr>
          <w:b/>
        </w:rPr>
        <w:t>Project Narrative Form</w:t>
      </w:r>
      <w:r>
        <w:rPr>
          <w:b/>
        </w:rPr>
        <w:t xml:space="preserve"> </w:t>
      </w:r>
      <w:r w:rsidRPr="00C31C1D">
        <w:rPr>
          <w:b/>
        </w:rPr>
        <w:t>(</w:t>
      </w:r>
      <w:r>
        <w:rPr>
          <w:b/>
        </w:rPr>
        <w:t>Attachment 4</w:t>
      </w:r>
      <w:r w:rsidRPr="00C31C1D">
        <w:rPr>
          <w:b/>
        </w:rPr>
        <w:t xml:space="preserve">) </w:t>
      </w:r>
    </w:p>
    <w:p w14:paraId="792B89B8"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 (Group</w:t>
      </w:r>
      <w:r w:rsidR="00194E6F">
        <w:t>s</w:t>
      </w:r>
      <w:r w:rsidR="00142AAE" w:rsidRPr="00142AAE">
        <w:t xml:space="preserve"> 1 and 2):</w:t>
      </w:r>
    </w:p>
    <w:p w14:paraId="164F561A" w14:textId="77777777" w:rsidR="00142AAE" w:rsidRPr="00142AAE" w:rsidRDefault="00142AAE" w:rsidP="0018649E">
      <w:pPr>
        <w:numPr>
          <w:ilvl w:val="1"/>
          <w:numId w:val="40"/>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r w:rsidR="00DA5BBD">
        <w:rPr>
          <w:rFonts w:eastAsia="MS Mincho" w:cs="Times New Roman"/>
          <w:b/>
          <w:szCs w:val="24"/>
        </w:rPr>
        <w:t xml:space="preserve"> </w:t>
      </w:r>
      <w:r w:rsidR="00DA5BBD" w:rsidRPr="00C108E9">
        <w:rPr>
          <w:szCs w:val="22"/>
        </w:rPr>
        <w:t>(optional)</w:t>
      </w:r>
    </w:p>
    <w:p w14:paraId="7CA6D977" w14:textId="77777777" w:rsidR="00142AAE" w:rsidRPr="00142AAE" w:rsidRDefault="00142AAE" w:rsidP="0018649E">
      <w:pPr>
        <w:numPr>
          <w:ilvl w:val="2"/>
          <w:numId w:val="40"/>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II.B.</w:t>
      </w:r>
      <w:r w:rsidR="00A03314">
        <w:rPr>
          <w:rFonts w:eastAsia="MS Mincho" w:cs="Times New Roman"/>
          <w:szCs w:val="24"/>
        </w:rPr>
        <w:t>3</w:t>
      </w:r>
      <w:r w:rsidRPr="00142AAE">
        <w:rPr>
          <w:rFonts w:eastAsia="MS Mincho" w:cs="Times New Roman"/>
          <w:sz w:val="24"/>
          <w:szCs w:val="24"/>
        </w:rPr>
        <w:t xml:space="preserve">) in the specified sections. </w:t>
      </w:r>
    </w:p>
    <w:p w14:paraId="27F1A903" w14:textId="77777777" w:rsidR="00142AAE" w:rsidRPr="00142AAE" w:rsidRDefault="00142AAE" w:rsidP="0018649E">
      <w:pPr>
        <w:numPr>
          <w:ilvl w:val="1"/>
          <w:numId w:val="40"/>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7CED9873" w14:textId="77777777" w:rsidR="00142AAE" w:rsidRPr="00142AAE" w:rsidRDefault="00142AAE" w:rsidP="0018649E">
      <w:pPr>
        <w:numPr>
          <w:ilvl w:val="2"/>
          <w:numId w:val="40"/>
        </w:numPr>
        <w:tabs>
          <w:tab w:val="left" w:pos="288"/>
        </w:tabs>
        <w:spacing w:after="0"/>
        <w:ind w:left="1890" w:hanging="450"/>
        <w:rPr>
          <w:rFonts w:eastAsia="MS Mincho" w:cs="Times New Roman"/>
          <w:sz w:val="24"/>
          <w:szCs w:val="24"/>
        </w:rPr>
      </w:pPr>
      <w:r w:rsidRPr="00142AAE">
        <w:rPr>
          <w:rFonts w:eastAsia="MS Mincho" w:cs="Times New Roman"/>
          <w:szCs w:val="22"/>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w:t>
      </w:r>
      <w:r w:rsidR="00BA62D7">
        <w:rPr>
          <w:rFonts w:eastAsia="MS Mincho" w:cs="Times New Roman"/>
          <w:szCs w:val="22"/>
        </w:rPr>
        <w:t>his solicitation (see Section I</w:t>
      </w:r>
      <w:r w:rsidRPr="00142AAE">
        <w:rPr>
          <w:rFonts w:eastAsia="MS Mincho" w:cs="Times New Roman"/>
          <w:szCs w:val="22"/>
        </w:rPr>
        <w:t>.</w:t>
      </w:r>
      <w:r w:rsidR="00BA62D7">
        <w:rPr>
          <w:rFonts w:eastAsia="MS Mincho" w:cs="Times New Roman"/>
          <w:szCs w:val="22"/>
        </w:rPr>
        <w:t>D</w:t>
      </w:r>
      <w:r w:rsidRPr="00142AAE">
        <w:rPr>
          <w:rFonts w:eastAsia="MS Mincho" w:cs="Times New Roman"/>
          <w:szCs w:val="22"/>
        </w:rPr>
        <w:t>).</w:t>
      </w:r>
      <w:r w:rsidRPr="00142AAE">
        <w:rPr>
          <w:rFonts w:cs="Times New Roman"/>
        </w:rPr>
        <w:t xml:space="preserve"> All supporting documentation must be included in Attachment 8.</w:t>
      </w:r>
    </w:p>
    <w:p w14:paraId="41FE751B" w14:textId="77777777" w:rsidR="001C2D56" w:rsidRPr="00C31C1D" w:rsidRDefault="001C2D56" w:rsidP="00A10CB4">
      <w:pPr>
        <w:spacing w:after="0"/>
        <w:ind w:left="770" w:right="360"/>
        <w:jc w:val="both"/>
        <w:rPr>
          <w:b/>
        </w:rPr>
      </w:pPr>
    </w:p>
    <w:p w14:paraId="59DF5410" w14:textId="77777777" w:rsidR="005E52CD" w:rsidRDefault="001C2D56" w:rsidP="00B07493">
      <w:pPr>
        <w:keepLines/>
        <w:widowControl w:val="0"/>
        <w:numPr>
          <w:ilvl w:val="0"/>
          <w:numId w:val="24"/>
        </w:numPr>
        <w:spacing w:after="0"/>
        <w:ind w:left="360"/>
        <w:jc w:val="both"/>
        <w:rPr>
          <w:b/>
          <w:szCs w:val="22"/>
        </w:rPr>
      </w:pPr>
      <w:r w:rsidRPr="00D11C88">
        <w:rPr>
          <w:b/>
          <w:szCs w:val="22"/>
        </w:rPr>
        <w:t>Project Team Form</w:t>
      </w:r>
      <w:r>
        <w:rPr>
          <w:b/>
          <w:szCs w:val="22"/>
        </w:rPr>
        <w:t xml:space="preserve"> </w:t>
      </w:r>
      <w:r w:rsidRPr="00C31C1D">
        <w:rPr>
          <w:b/>
          <w:szCs w:val="22"/>
        </w:rPr>
        <w:t>(</w:t>
      </w:r>
      <w:r>
        <w:rPr>
          <w:b/>
          <w:szCs w:val="22"/>
        </w:rPr>
        <w:t>Attachment 5</w:t>
      </w:r>
      <w:r w:rsidRPr="00C31C1D">
        <w:rPr>
          <w:b/>
          <w:szCs w:val="22"/>
        </w:rPr>
        <w:t>)</w:t>
      </w:r>
    </w:p>
    <w:p w14:paraId="67A8E00C"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14"/>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54A81E53" w14:textId="77777777" w:rsidR="001C2D56" w:rsidRDefault="001C2D56" w:rsidP="00B0148E">
      <w:pPr>
        <w:keepLines/>
        <w:widowControl w:val="0"/>
        <w:spacing w:after="0"/>
        <w:ind w:left="360"/>
        <w:jc w:val="both"/>
        <w:rPr>
          <w:b/>
          <w:szCs w:val="22"/>
        </w:rPr>
      </w:pPr>
    </w:p>
    <w:p w14:paraId="50A03A8E" w14:textId="77777777" w:rsidR="005E52CD" w:rsidRDefault="001C2D56" w:rsidP="00B07493">
      <w:pPr>
        <w:keepLines/>
        <w:widowControl w:val="0"/>
        <w:numPr>
          <w:ilvl w:val="0"/>
          <w:numId w:val="24"/>
        </w:numPr>
        <w:spacing w:after="0"/>
        <w:ind w:left="360"/>
        <w:jc w:val="both"/>
        <w:rPr>
          <w:b/>
          <w:szCs w:val="22"/>
        </w:rPr>
      </w:pPr>
      <w:r w:rsidRPr="00D11C88">
        <w:rPr>
          <w:b/>
          <w:szCs w:val="22"/>
        </w:rPr>
        <w:t>Scope of Work Template</w:t>
      </w:r>
      <w:r>
        <w:rPr>
          <w:b/>
          <w:szCs w:val="22"/>
        </w:rPr>
        <w:t xml:space="preserve"> </w:t>
      </w:r>
      <w:r w:rsidRPr="00C31C1D">
        <w:rPr>
          <w:b/>
          <w:szCs w:val="22"/>
        </w:rPr>
        <w:t>(</w:t>
      </w:r>
      <w:r>
        <w:rPr>
          <w:b/>
          <w:szCs w:val="22"/>
        </w:rPr>
        <w:t>Attachment</w:t>
      </w:r>
      <w:r w:rsidR="00713198">
        <w:rPr>
          <w:b/>
          <w:szCs w:val="22"/>
        </w:rPr>
        <w:t>s</w:t>
      </w:r>
      <w:r>
        <w:rPr>
          <w:b/>
          <w:szCs w:val="22"/>
        </w:rPr>
        <w:t xml:space="preserve"> 6</w:t>
      </w:r>
      <w:r w:rsidR="00713198">
        <w:rPr>
          <w:b/>
          <w:szCs w:val="22"/>
        </w:rPr>
        <w:t xml:space="preserve"> and 6a</w:t>
      </w:r>
      <w:r w:rsidRPr="00C31C1D">
        <w:rPr>
          <w:b/>
          <w:szCs w:val="22"/>
        </w:rPr>
        <w:t>)</w:t>
      </w:r>
    </w:p>
    <w:p w14:paraId="2DF342B6"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t xml:space="preserve">It includes a </w:t>
      </w:r>
      <w:r w:rsidRPr="00C31C1D">
        <w:t>project schedule</w:t>
      </w:r>
      <w:r>
        <w:t xml:space="preserve"> that</w:t>
      </w:r>
      <w:r w:rsidRPr="00C31C1D">
        <w:t xml:space="preserve"> list</w:t>
      </w:r>
      <w:r>
        <w:t>s</w:t>
      </w:r>
      <w:r w:rsidRPr="00C31C1D">
        <w:t xml:space="preserve"> all products</w:t>
      </w:r>
      <w:r>
        <w:t>,</w:t>
      </w:r>
      <w:r w:rsidRPr="00C31C1D">
        <w:t xml:space="preserve"> meetings</w:t>
      </w:r>
      <w:r>
        <w:t>,</w:t>
      </w:r>
      <w:r w:rsidRPr="00C31C1D">
        <w:t xml:space="preserve"> and due dates. All work must be scheduled for completion within 36 to 48 months of the project start date. </w:t>
      </w:r>
    </w:p>
    <w:p w14:paraId="685313E3" w14:textId="77777777" w:rsidR="001C2D56" w:rsidRPr="00C31C1D" w:rsidRDefault="001C2D56" w:rsidP="00A10CB4">
      <w:pPr>
        <w:pStyle w:val="BulletedList"/>
        <w:spacing w:after="0"/>
        <w:ind w:left="720" w:firstLine="0"/>
        <w:jc w:val="both"/>
      </w:pPr>
    </w:p>
    <w:p w14:paraId="562EC826"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E662B7">
        <w:rPr>
          <w:b/>
        </w:rPr>
        <w:t>Parts I-IV</w:t>
      </w:r>
      <w:r>
        <w:t xml:space="preserve"> of</w:t>
      </w:r>
      <w:r w:rsidRPr="00C17EB0">
        <w:t xml:space="preserve"> the Scope of Work </w:t>
      </w:r>
      <w:r>
        <w:t>are</w:t>
      </w:r>
      <w:r w:rsidRPr="00C17EB0">
        <w:t xml:space="preserve"> in </w:t>
      </w:r>
      <w:r w:rsidRPr="00C17EB0">
        <w:rPr>
          <w:b/>
        </w:rPr>
        <w:t>MS</w:t>
      </w:r>
      <w:r>
        <w:rPr>
          <w:b/>
        </w:rPr>
        <w:t xml:space="preserve"> </w:t>
      </w:r>
      <w:r w:rsidRPr="00C17EB0">
        <w:rPr>
          <w:b/>
        </w:rPr>
        <w:t>Word</w:t>
      </w:r>
      <w:r>
        <w:rPr>
          <w:b/>
        </w:rPr>
        <w:t xml:space="preserve">.  </w:t>
      </w:r>
      <w:r w:rsidRPr="00E662B7">
        <w:rPr>
          <w:b/>
        </w:rPr>
        <w:t>Part V</w:t>
      </w:r>
      <w:r>
        <w:t xml:space="preserve"> (Project Schedule</w:t>
      </w:r>
      <w:r w:rsidR="00713198">
        <w:t>, Attachment 6a</w:t>
      </w:r>
      <w:r>
        <w:t>)</w:t>
      </w:r>
      <w:r w:rsidRPr="00C17EB0">
        <w:t xml:space="preserve"> </w:t>
      </w:r>
      <w:r>
        <w:t>is</w:t>
      </w:r>
      <w:r w:rsidRPr="00C17EB0">
        <w:t xml:space="preserve"> in </w:t>
      </w:r>
      <w:r w:rsidRPr="00C17EB0">
        <w:rPr>
          <w:b/>
        </w:rPr>
        <w:t>MS Excel</w:t>
      </w:r>
      <w:r w:rsidRPr="00C17EB0">
        <w:t>.</w:t>
      </w:r>
    </w:p>
    <w:p w14:paraId="5BC14E18" w14:textId="77777777" w:rsidR="001970B9" w:rsidRPr="00C31C1D" w:rsidRDefault="001970B9" w:rsidP="00A10CB4">
      <w:pPr>
        <w:pStyle w:val="BulletedList"/>
        <w:spacing w:after="0"/>
        <w:ind w:left="720" w:firstLine="0"/>
        <w:jc w:val="both"/>
        <w:rPr>
          <w:b/>
        </w:rPr>
      </w:pPr>
    </w:p>
    <w:p w14:paraId="21DDC4F7" w14:textId="77777777" w:rsidR="005E52CD" w:rsidRDefault="001C2D56" w:rsidP="008B5A2C">
      <w:pPr>
        <w:keepNext/>
        <w:keepLines/>
        <w:numPr>
          <w:ilvl w:val="0"/>
          <w:numId w:val="24"/>
        </w:numPr>
        <w:spacing w:after="0"/>
        <w:ind w:left="360"/>
        <w:jc w:val="both"/>
        <w:rPr>
          <w:b/>
          <w:szCs w:val="22"/>
        </w:rPr>
      </w:pPr>
      <w:bookmarkStart w:id="147" w:name="_Toc35074602"/>
      <w:r w:rsidRPr="00D11C88">
        <w:rPr>
          <w:b/>
          <w:szCs w:val="22"/>
        </w:rPr>
        <w:t>Budget Forms</w:t>
      </w:r>
      <w:r w:rsidRPr="00C31C1D">
        <w:rPr>
          <w:b/>
          <w:szCs w:val="22"/>
        </w:rPr>
        <w:t xml:space="preserve"> (</w:t>
      </w:r>
      <w:r>
        <w:rPr>
          <w:b/>
          <w:szCs w:val="22"/>
        </w:rPr>
        <w:t>Attachment 7</w:t>
      </w:r>
      <w:r w:rsidRPr="00C31C1D">
        <w:rPr>
          <w:b/>
          <w:szCs w:val="22"/>
        </w:rPr>
        <w:t>)</w:t>
      </w:r>
    </w:p>
    <w:bookmarkEnd w:id="147"/>
    <w:p w14:paraId="53D9EDD4" w14:textId="77777777" w:rsidR="00142AAE" w:rsidRPr="004D354D" w:rsidRDefault="00142AAE" w:rsidP="008B5A2C">
      <w:pPr>
        <w:pStyle w:val="BulletedList"/>
        <w:keepNext/>
        <w:keepLines/>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6A85BD66" w14:textId="77777777"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27BFD4AA" w14:textId="77777777"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Energy Commission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054E32BC" w14:textId="77777777"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23FD19E2" w14:textId="77777777"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3FD6C6CC" w14:textId="77777777"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Energy Commission </w:t>
      </w:r>
      <w:r>
        <w:rPr>
          <w:szCs w:val="22"/>
        </w:rPr>
        <w:t>or by conference call, as determined by the Commission Agreement Manager</w:t>
      </w:r>
      <w:r w:rsidRPr="00C31C1D">
        <w:rPr>
          <w:szCs w:val="22"/>
        </w:rPr>
        <w:t>.</w:t>
      </w:r>
    </w:p>
    <w:p w14:paraId="2D9555D4" w14:textId="77777777"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1C2D56">
        <w:rPr>
          <w:szCs w:val="22"/>
        </w:rPr>
        <w:t xml:space="preserve"> (please see the discussion of permits in the Scope of Work, Attachment 6)</w:t>
      </w:r>
      <w:r w:rsidR="001C2D56" w:rsidRPr="00285E47">
        <w:rPr>
          <w:szCs w:val="22"/>
        </w:rPr>
        <w:t>.</w:t>
      </w:r>
      <w:r w:rsidR="001C2D56">
        <w:rPr>
          <w:szCs w:val="22"/>
        </w:rPr>
        <w:t xml:space="preserve"> </w:t>
      </w:r>
    </w:p>
    <w:p w14:paraId="550A7810" w14:textId="77777777" w:rsidR="003A4967" w:rsidRPr="00A16CE4"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 of country travel.  However, match funds may cover these costs if there are no legal restrictions.</w:t>
      </w:r>
    </w:p>
    <w:p w14:paraId="0DACD3AF" w14:textId="22FDE06F" w:rsidR="001B277D" w:rsidRPr="00D26B01" w:rsidRDefault="005D4943" w:rsidP="006348AD">
      <w:pPr>
        <w:keepLines/>
        <w:widowControl w:val="0"/>
        <w:numPr>
          <w:ilvl w:val="0"/>
          <w:numId w:val="12"/>
        </w:numPr>
        <w:spacing w:after="60"/>
        <w:ind w:left="1080"/>
        <w:jc w:val="both"/>
        <w:rPr>
          <w:szCs w:val="22"/>
        </w:rPr>
      </w:pPr>
      <w:r w:rsidRPr="00D26B01">
        <w:rPr>
          <w:szCs w:val="22"/>
        </w:rPr>
        <w:t xml:space="preserve">Applicants should be aware of and shall adhere to </w:t>
      </w:r>
      <w:r w:rsidR="00D338B4" w:rsidRPr="00D26B01">
        <w:rPr>
          <w:szCs w:val="22"/>
        </w:rPr>
        <w:t xml:space="preserve">all State </w:t>
      </w:r>
      <w:r w:rsidRPr="00D26B01">
        <w:rPr>
          <w:szCs w:val="22"/>
        </w:rPr>
        <w:t xml:space="preserve">travel restrictions of using </w:t>
      </w:r>
      <w:r w:rsidR="00D338B4" w:rsidRPr="00D26B01">
        <w:rPr>
          <w:szCs w:val="22"/>
        </w:rPr>
        <w:t>State</w:t>
      </w:r>
      <w:r w:rsidRPr="00D26B01">
        <w:rPr>
          <w:szCs w:val="22"/>
        </w:rPr>
        <w:t xml:space="preserve"> funds to travel to certain other </w:t>
      </w:r>
      <w:r w:rsidR="00D338B4" w:rsidRPr="00D26B01">
        <w:rPr>
          <w:szCs w:val="22"/>
        </w:rPr>
        <w:t>State</w:t>
      </w:r>
      <w:r w:rsidRPr="00D26B01">
        <w:rPr>
          <w:szCs w:val="22"/>
        </w:rPr>
        <w:t xml:space="preserve">s pursuant to AB 1887 (2016) and codified at California Government Code Section 11139.8. Applicants should be aware and adhere to specific travel restrictions when using </w:t>
      </w:r>
      <w:r w:rsidR="00D338B4" w:rsidRPr="00D26B01">
        <w:rPr>
          <w:szCs w:val="22"/>
        </w:rPr>
        <w:t>State</w:t>
      </w:r>
      <w:r w:rsidRPr="00D26B01">
        <w:rPr>
          <w:szCs w:val="22"/>
        </w:rPr>
        <w:t xml:space="preserve"> funds for travel to other </w:t>
      </w:r>
      <w:r w:rsidR="00D338B4" w:rsidRPr="00D26B01">
        <w:rPr>
          <w:szCs w:val="22"/>
        </w:rPr>
        <w:t>State</w:t>
      </w:r>
      <w:r w:rsidRPr="00D26B01">
        <w:rPr>
          <w:szCs w:val="22"/>
        </w:rPr>
        <w:t xml:space="preserve">s pursuant to AB 1887 (2016) and codified at California Government Code Section 11139.8. All applicants are encouraged to go to the Attorney General’s website </w:t>
      </w:r>
      <w:hyperlink r:id="rId39" w:tooltip="Click here to go to the Attorney General's website" w:history="1">
        <w:r w:rsidR="00D26B01" w:rsidRPr="00D26B01">
          <w:rPr>
            <w:rStyle w:val="Hyperlink"/>
            <w:rFonts w:cs="Arial"/>
          </w:rPr>
          <w:t>https://oag.</w:t>
        </w:r>
        <w:r w:rsidR="00D26B01" w:rsidRPr="00D26B01">
          <w:rPr>
            <w:rStyle w:val="Hyperlink"/>
            <w:rFonts w:cs="Arial"/>
          </w:rPr>
          <w:t>c</w:t>
        </w:r>
        <w:r w:rsidR="00D26B01" w:rsidRPr="00D26B01">
          <w:rPr>
            <w:rStyle w:val="Hyperlink"/>
            <w:rFonts w:cs="Arial"/>
          </w:rPr>
          <w:t>a.gov/ab1887</w:t>
        </w:r>
      </w:hyperlink>
      <w:r w:rsidRPr="00D26B01">
        <w:rPr>
          <w:szCs w:val="22"/>
        </w:rPr>
        <w:t xml:space="preserve"> for a current list of </w:t>
      </w:r>
      <w:r w:rsidR="00D338B4" w:rsidRPr="00D26B01">
        <w:rPr>
          <w:szCs w:val="22"/>
        </w:rPr>
        <w:t>State</w:t>
      </w:r>
      <w:r w:rsidRPr="00D26B01">
        <w:rPr>
          <w:szCs w:val="22"/>
        </w:rPr>
        <w:t xml:space="preserve">s subject to travel restrictions.  Grants awarded under this solicitation shall not contain travel paid for with Commission funds (applicants can instead use match funds) to the listed </w:t>
      </w:r>
      <w:r w:rsidR="00D338B4" w:rsidRPr="00D26B01">
        <w:rPr>
          <w:szCs w:val="22"/>
        </w:rPr>
        <w:t>State</w:t>
      </w:r>
      <w:r w:rsidRPr="00D26B01">
        <w:rPr>
          <w:szCs w:val="22"/>
        </w:rPr>
        <w:t>s unless the Commission approves in writing that the trip falls within one of the exceptions under the law.</w:t>
      </w:r>
    </w:p>
    <w:p w14:paraId="3A419A32" w14:textId="77777777" w:rsidR="00AD2D4A" w:rsidRPr="00AD2D4A" w:rsidRDefault="00A8248C" w:rsidP="00DF34CF">
      <w:pPr>
        <w:keepLines/>
        <w:widowControl w:val="0"/>
        <w:numPr>
          <w:ilvl w:val="0"/>
          <w:numId w:val="12"/>
        </w:numPr>
        <w:spacing w:after="60"/>
        <w:ind w:left="1080"/>
        <w:jc w:val="both"/>
        <w:rPr>
          <w:bCs/>
        </w:rPr>
      </w:pPr>
      <w:r w:rsidRPr="00A8248C">
        <w:rPr>
          <w:b/>
          <w:szCs w:val="22"/>
        </w:rPr>
        <w:lastRenderedPageBreak/>
        <w:t>Prevailing wage requirement:</w:t>
      </w:r>
      <w:r w:rsidR="00AD2D4A">
        <w:rPr>
          <w:szCs w:val="22"/>
        </w:rPr>
        <w:t xml:space="preserve"> </w:t>
      </w:r>
      <w:r w:rsidR="00AD2D4A" w:rsidRPr="00DF34CF">
        <w:rPr>
          <w:bCs/>
        </w:rPr>
        <w:t xml:space="preserve">Projects that receive an award of public funds from the Energy Commission often involve construction, alteration, demolition, installation, repair or maintenance work over $1,000. </w:t>
      </w:r>
      <w:r w:rsidR="00AD2D4A">
        <w:rPr>
          <w:bCs/>
        </w:rPr>
        <w:t xml:space="preserve"> For this reason, p</w:t>
      </w:r>
      <w:r w:rsidR="00AD2D4A" w:rsidRPr="00DF34CF">
        <w:rPr>
          <w:bCs/>
        </w:rPr>
        <w:t>rojects that receive an award of public funds from the Energy Commission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01C53DCB" w14:textId="77777777" w:rsidR="00AD2D4A" w:rsidRDefault="00AD2D4A" w:rsidP="00DF34CF">
      <w:pPr>
        <w:keepLines/>
        <w:widowControl w:val="0"/>
        <w:spacing w:after="60"/>
        <w:ind w:left="1080"/>
        <w:jc w:val="both"/>
        <w:rPr>
          <w:bCs/>
        </w:rPr>
      </w:pPr>
    </w:p>
    <w:p w14:paraId="06E04F1E"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6647F87B" w14:textId="77777777" w:rsidR="00AD2D4A" w:rsidRDefault="00AD2D4A" w:rsidP="00DF34CF">
      <w:pPr>
        <w:keepLines/>
        <w:widowControl w:val="0"/>
        <w:spacing w:after="60"/>
        <w:ind w:left="1080"/>
        <w:jc w:val="both"/>
        <w:rPr>
          <w:bCs/>
        </w:rPr>
      </w:pPr>
    </w:p>
    <w:p w14:paraId="72147B8F"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16D51BA8"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0892B581" w14:textId="77777777" w:rsidR="006A2B28" w:rsidRPr="006E2AF3" w:rsidRDefault="006A2B28" w:rsidP="0018649E">
      <w:pPr>
        <w:keepLines/>
        <w:widowControl w:val="0"/>
        <w:numPr>
          <w:ilvl w:val="0"/>
          <w:numId w:val="50"/>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7F49D58C" w14:textId="77777777" w:rsidR="006A2B28" w:rsidRDefault="006A2B28" w:rsidP="0018649E">
      <w:pPr>
        <w:keepLines/>
        <w:widowControl w:val="0"/>
        <w:numPr>
          <w:ilvl w:val="0"/>
          <w:numId w:val="50"/>
        </w:numPr>
        <w:autoSpaceDE w:val="0"/>
        <w:autoSpaceDN w:val="0"/>
        <w:adjustRightInd w:val="0"/>
        <w:ind w:left="2160"/>
        <w:rPr>
          <w:rFonts w:ascii="ArialMT" w:eastAsia="Calibri" w:hAnsi="ArialMT" w:cs="ArialMT"/>
          <w:szCs w:val="24"/>
        </w:rPr>
      </w:pPr>
      <w:r w:rsidRPr="003E3EB6">
        <w:rPr>
          <w:rFonts w:eastAsia="Calibri"/>
          <w:szCs w:val="24"/>
        </w:rPr>
        <w:t>the project budget for labor reflects these prev</w:t>
      </w:r>
      <w:r>
        <w:rPr>
          <w:rFonts w:ascii="ArialMT" w:eastAsia="Calibri" w:hAnsi="ArialMT" w:cs="ArialMT"/>
          <w:szCs w:val="24"/>
        </w:rPr>
        <w:t xml:space="preserve">ailing wage requirements; and </w:t>
      </w:r>
    </w:p>
    <w:p w14:paraId="4E926B32" w14:textId="77777777" w:rsidR="006A2B28" w:rsidRDefault="006A2B28" w:rsidP="0018649E">
      <w:pPr>
        <w:keepLines/>
        <w:widowControl w:val="0"/>
        <w:numPr>
          <w:ilvl w:val="0"/>
          <w:numId w:val="50"/>
        </w:numPr>
        <w:autoSpaceDE w:val="0"/>
        <w:autoSpaceDN w:val="0"/>
        <w:adjustRightInd w:val="0"/>
        <w:ind w:left="2160"/>
        <w:rPr>
          <w:rFonts w:ascii="ArialMT" w:eastAsia="Calibri" w:hAnsi="ArialMT" w:cs="ArialMT"/>
          <w:szCs w:val="24"/>
        </w:rPr>
      </w:pPr>
      <w:r>
        <w:rPr>
          <w:rFonts w:ascii="ArialMT" w:eastAsia="Calibri" w:hAnsi="ArialMT" w:cs="ArialMT"/>
          <w:szCs w:val="24"/>
        </w:rPr>
        <w:t xml:space="preserve">the project complies with all other requirements of prevailing wage law including but not limited to keeping accurate payroll records, and complying with all working hour requirements and apprenticeship obligations; </w:t>
      </w:r>
    </w:p>
    <w:p w14:paraId="6227496F" w14:textId="77777777" w:rsidR="006A2B28" w:rsidRDefault="006A2B28" w:rsidP="006A2B28">
      <w:pPr>
        <w:pStyle w:val="ListParagraph"/>
        <w:keepLines/>
        <w:widowControl w:val="0"/>
        <w:rPr>
          <w:rFonts w:ascii="ArialMT" w:eastAsia="Calibri" w:hAnsi="ArialMT" w:cs="ArialMT"/>
          <w:szCs w:val="24"/>
        </w:rPr>
      </w:pPr>
      <w:proofErr w:type="gramStart"/>
      <w:r>
        <w:rPr>
          <w:rFonts w:ascii="ArialMT" w:eastAsia="Calibri" w:hAnsi="ArialMT" w:cs="ArialMT"/>
          <w:szCs w:val="24"/>
        </w:rPr>
        <w:t>or</w:t>
      </w:r>
      <w:proofErr w:type="gramEnd"/>
      <w:r>
        <w:rPr>
          <w:rFonts w:ascii="ArialMT" w:eastAsia="Calibri" w:hAnsi="ArialMT" w:cs="ArialMT"/>
          <w:szCs w:val="24"/>
        </w:rPr>
        <w:t>,</w:t>
      </w:r>
    </w:p>
    <w:p w14:paraId="18391339" w14:textId="77777777" w:rsidR="00AD2D4A" w:rsidRPr="00DF34CF" w:rsidRDefault="006A2B28" w:rsidP="00DF34CF">
      <w:pPr>
        <w:keepLines/>
        <w:widowControl w:val="0"/>
        <w:spacing w:after="60"/>
        <w:ind w:left="1080"/>
        <w:jc w:val="both"/>
        <w:rPr>
          <w:bCs/>
        </w:rPr>
      </w:pPr>
      <w:r>
        <w:rPr>
          <w:rFonts w:eastAsia="Calibri"/>
          <w:szCs w:val="24"/>
        </w:rPr>
        <w:t xml:space="preserve"> (b)</w:t>
      </w:r>
      <w:r>
        <w:rPr>
          <w:rFonts w:ascii="ArialMT" w:eastAsia="Calibri" w:hAnsi="ArialMT" w:cs="ArialMT"/>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60A33AC3" w14:textId="77777777" w:rsidR="001C2D56" w:rsidRPr="00424A73" w:rsidRDefault="001C2D56" w:rsidP="00373D03">
      <w:pPr>
        <w:keepLines/>
        <w:widowControl w:val="0"/>
        <w:spacing w:after="0"/>
        <w:ind w:left="1440"/>
        <w:jc w:val="both"/>
        <w:rPr>
          <w:szCs w:val="22"/>
        </w:rPr>
      </w:pPr>
    </w:p>
    <w:p w14:paraId="7112287F" w14:textId="77777777" w:rsidR="00FB7DFE" w:rsidRPr="00424A73" w:rsidRDefault="00FB7DFE" w:rsidP="00B07493">
      <w:pPr>
        <w:keepNext/>
        <w:numPr>
          <w:ilvl w:val="0"/>
          <w:numId w:val="24"/>
        </w:numPr>
        <w:spacing w:after="0"/>
        <w:jc w:val="both"/>
        <w:rPr>
          <w:b/>
          <w:szCs w:val="22"/>
        </w:rPr>
      </w:pPr>
      <w:r w:rsidRPr="00C728AC">
        <w:rPr>
          <w:b/>
          <w:szCs w:val="22"/>
        </w:rPr>
        <w:t>California Environmental Quality Act (CEQA) Compliance Form</w:t>
      </w:r>
      <w:r w:rsidRPr="00424A73" w:rsidDel="00E3682B">
        <w:rPr>
          <w:b/>
          <w:szCs w:val="22"/>
        </w:rPr>
        <w:t xml:space="preserve"> </w:t>
      </w:r>
      <w:r w:rsidRPr="00424A73">
        <w:rPr>
          <w:b/>
          <w:szCs w:val="22"/>
        </w:rPr>
        <w:t>(Attachment 8)</w:t>
      </w:r>
    </w:p>
    <w:p w14:paraId="60A89249" w14:textId="4E75D4AD" w:rsidR="00FB7DFE" w:rsidRPr="0075281F" w:rsidRDefault="00FB7DFE" w:rsidP="00FB7DFE">
      <w:pPr>
        <w:keepLines/>
        <w:widowControl w:val="0"/>
        <w:spacing w:after="0"/>
        <w:ind w:left="720"/>
        <w:jc w:val="both"/>
        <w:rPr>
          <w:i/>
          <w:szCs w:val="22"/>
        </w:rPr>
      </w:pPr>
      <w:r w:rsidRPr="00424A73">
        <w:rPr>
          <w:szCs w:val="22"/>
        </w:rPr>
        <w:t xml:space="preserve">The Energy Commission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w:t>
      </w:r>
      <w:r w:rsidR="00D338B4">
        <w:rPr>
          <w:szCs w:val="22"/>
        </w:rPr>
        <w:t>State</w:t>
      </w:r>
      <w:r w:rsidRPr="00424A73">
        <w:rPr>
          <w:szCs w:val="22"/>
        </w:rPr>
        <w:t xml:space="preserv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3E00E7FD" w14:textId="77777777" w:rsidR="00FB7DFE" w:rsidRPr="00C31C1D" w:rsidRDefault="00FB7DFE" w:rsidP="00FB7DFE">
      <w:pPr>
        <w:keepLines/>
        <w:widowControl w:val="0"/>
        <w:spacing w:after="0"/>
        <w:ind w:left="720"/>
        <w:jc w:val="both"/>
        <w:rPr>
          <w:szCs w:val="22"/>
        </w:rPr>
      </w:pPr>
    </w:p>
    <w:p w14:paraId="43D0BD36" w14:textId="77777777" w:rsidR="00FB7DFE" w:rsidRPr="00C31C1D" w:rsidRDefault="00FB7DFE" w:rsidP="00FB7DFE">
      <w:pPr>
        <w:keepLines/>
        <w:widowControl w:val="0"/>
        <w:spacing w:after="0"/>
        <w:ind w:left="720"/>
        <w:jc w:val="both"/>
        <w:rPr>
          <w:szCs w:val="22"/>
        </w:rPr>
      </w:pPr>
      <w:r>
        <w:rPr>
          <w:szCs w:val="22"/>
        </w:rPr>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Energy Commission’s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to the next highest</w:t>
      </w:r>
      <w:r>
        <w:rPr>
          <w:szCs w:val="22"/>
        </w:rPr>
        <w:t>-</w:t>
      </w:r>
      <w:r w:rsidRPr="00C31C1D">
        <w:rPr>
          <w:szCs w:val="22"/>
        </w:rPr>
        <w:t>scoring project.</w:t>
      </w:r>
    </w:p>
    <w:p w14:paraId="39F79476" w14:textId="77777777" w:rsidR="001C2D56" w:rsidRPr="00C31C1D" w:rsidRDefault="001C2D56" w:rsidP="00A10CB4">
      <w:pPr>
        <w:keepLines/>
        <w:widowControl w:val="0"/>
        <w:spacing w:after="0"/>
        <w:ind w:left="720"/>
        <w:jc w:val="both"/>
        <w:rPr>
          <w:szCs w:val="22"/>
        </w:rPr>
      </w:pPr>
    </w:p>
    <w:p w14:paraId="6A075685" w14:textId="77777777" w:rsidR="001C2D56" w:rsidRPr="00C31C1D" w:rsidRDefault="001C2D56" w:rsidP="008B5A2C">
      <w:pPr>
        <w:keepNext/>
        <w:keepLines/>
        <w:numPr>
          <w:ilvl w:val="0"/>
          <w:numId w:val="24"/>
        </w:numPr>
        <w:spacing w:after="0"/>
        <w:jc w:val="both"/>
        <w:rPr>
          <w:b/>
          <w:szCs w:val="22"/>
        </w:rPr>
      </w:pPr>
      <w:r w:rsidRPr="00C728AC">
        <w:rPr>
          <w:b/>
          <w:szCs w:val="22"/>
        </w:rPr>
        <w:lastRenderedPageBreak/>
        <w:t>Reference and Work Product Form</w:t>
      </w:r>
      <w:r w:rsidRPr="00C31C1D">
        <w:rPr>
          <w:b/>
          <w:szCs w:val="22"/>
        </w:rPr>
        <w:t xml:space="preserve"> (</w:t>
      </w:r>
      <w:r>
        <w:rPr>
          <w:b/>
          <w:szCs w:val="22"/>
        </w:rPr>
        <w:t>Attachment 9</w:t>
      </w:r>
      <w:r w:rsidRPr="00C31C1D">
        <w:rPr>
          <w:b/>
          <w:szCs w:val="22"/>
        </w:rPr>
        <w:t>)</w:t>
      </w:r>
    </w:p>
    <w:p w14:paraId="368F1C7C" w14:textId="77777777" w:rsidR="005E52CD" w:rsidRDefault="001C2D56" w:rsidP="008B5A2C">
      <w:pPr>
        <w:keepNext/>
        <w:keepLines/>
        <w:numPr>
          <w:ilvl w:val="2"/>
          <w:numId w:val="24"/>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2B4497AA" w14:textId="77777777" w:rsidR="005E52CD" w:rsidRDefault="001C2D56" w:rsidP="008B5A2C">
      <w:pPr>
        <w:keepNext/>
        <w:keepLines/>
        <w:numPr>
          <w:ilvl w:val="2"/>
          <w:numId w:val="24"/>
        </w:numPr>
        <w:tabs>
          <w:tab w:val="left" w:pos="720"/>
          <w:tab w:val="left" w:pos="1080"/>
        </w:tabs>
        <w:spacing w:after="0"/>
        <w:ind w:hanging="1260"/>
        <w:jc w:val="both"/>
        <w:rPr>
          <w:szCs w:val="22"/>
        </w:rPr>
      </w:pPr>
      <w:r w:rsidRPr="00D8053E">
        <w:rPr>
          <w:szCs w:val="22"/>
          <w:u w:val="single"/>
        </w:rPr>
        <w:t>Section 2</w:t>
      </w:r>
      <w:r w:rsidRPr="00D8053E">
        <w:rPr>
          <w:szCs w:val="22"/>
        </w:rPr>
        <w:t xml:space="preserve">:  Provide a list of past projects detailing technical and business experience </w:t>
      </w:r>
    </w:p>
    <w:p w14:paraId="017B2DB4" w14:textId="3BC58038" w:rsidR="001C2D56" w:rsidRPr="00753051" w:rsidRDefault="001C2D56" w:rsidP="008B5A2C">
      <w:pPr>
        <w:keepNext/>
        <w:keepLines/>
        <w:tabs>
          <w:tab w:val="left" w:pos="720"/>
          <w:tab w:val="left" w:pos="1080"/>
        </w:tabs>
        <w:spacing w:after="0"/>
        <w:ind w:left="1080"/>
        <w:jc w:val="both"/>
        <w:rPr>
          <w:szCs w:val="22"/>
        </w:rPr>
      </w:pPr>
      <w:proofErr w:type="gramStart"/>
      <w:r w:rsidRPr="00D8053E">
        <w:rPr>
          <w:szCs w:val="22"/>
        </w:rPr>
        <w:t>of</w:t>
      </w:r>
      <w:proofErr w:type="gramEnd"/>
      <w:r w:rsidRPr="00D8053E">
        <w:rPr>
          <w:szCs w:val="22"/>
        </w:rPr>
        <w:t xml:space="preserve"> the applicant (or any member of the project team) that is related to the proposed work.  </w:t>
      </w:r>
      <w:r w:rsidRPr="00E5496D">
        <w:rPr>
          <w:szCs w:val="22"/>
        </w:rPr>
        <w:t xml:space="preserve">Identify </w:t>
      </w:r>
      <w:r>
        <w:rPr>
          <w:szCs w:val="22"/>
        </w:rPr>
        <w:t xml:space="preserve">past projects that resulted in </w:t>
      </w:r>
      <w:r w:rsidRPr="00E5496D">
        <w:rPr>
          <w:szCs w:val="22"/>
        </w:rPr>
        <w:t xml:space="preserve">market-ready technology, advancement of codes and standards, </w:t>
      </w:r>
      <w:r w:rsidRPr="00A6529F">
        <w:rPr>
          <w:szCs w:val="22"/>
        </w:rPr>
        <w:t xml:space="preserve">and/or advancement of </w:t>
      </w:r>
      <w:r w:rsidR="00D338B4">
        <w:rPr>
          <w:szCs w:val="22"/>
        </w:rPr>
        <w:t>State</w:t>
      </w:r>
      <w:r w:rsidRPr="00A6529F">
        <w:rPr>
          <w:szCs w:val="22"/>
        </w:rPr>
        <w:t xml:space="preserve"> energy policy.  </w:t>
      </w:r>
      <w:r w:rsidRPr="00C31C1D">
        <w:t xml:space="preserve">Include copies of </w:t>
      </w:r>
      <w:r>
        <w:t xml:space="preserve">up to </w:t>
      </w:r>
      <w:r w:rsidR="00CE7E34">
        <w:t xml:space="preserve">three </w:t>
      </w:r>
      <w:r>
        <w:t xml:space="preserve">of the applicant or team member’s </w:t>
      </w:r>
      <w:r w:rsidRPr="00C31C1D">
        <w:t xml:space="preserve">recent publications in scientific or technical journals related to the proposed </w:t>
      </w:r>
      <w:r>
        <w:t>project, as applicable.</w:t>
      </w:r>
    </w:p>
    <w:p w14:paraId="6D94F6CE" w14:textId="77777777" w:rsidR="001C2D56" w:rsidRPr="00C31C1D" w:rsidRDefault="001C2D56" w:rsidP="00A10CB4">
      <w:pPr>
        <w:tabs>
          <w:tab w:val="left" w:pos="720"/>
        </w:tabs>
        <w:spacing w:after="0"/>
        <w:ind w:left="720"/>
        <w:jc w:val="both"/>
        <w:rPr>
          <w:szCs w:val="24"/>
        </w:rPr>
      </w:pPr>
    </w:p>
    <w:p w14:paraId="06CD2152" w14:textId="77777777" w:rsidR="001C2D56" w:rsidRPr="00C31C1D" w:rsidRDefault="001C2D56" w:rsidP="00B07493">
      <w:pPr>
        <w:keepNext/>
        <w:numPr>
          <w:ilvl w:val="0"/>
          <w:numId w:val="24"/>
        </w:numPr>
        <w:spacing w:after="0"/>
        <w:jc w:val="both"/>
        <w:rPr>
          <w:b/>
          <w:szCs w:val="24"/>
        </w:rPr>
      </w:pPr>
      <w:r w:rsidRPr="00C728AC">
        <w:rPr>
          <w:b/>
          <w:szCs w:val="24"/>
        </w:rPr>
        <w:t xml:space="preserve">Contact List </w:t>
      </w:r>
      <w:r w:rsidR="00374035" w:rsidRPr="00C728AC">
        <w:rPr>
          <w:b/>
          <w:szCs w:val="24"/>
        </w:rPr>
        <w:t>Template</w:t>
      </w:r>
      <w:r w:rsidR="00374035" w:rsidRPr="00374035">
        <w:rPr>
          <w:szCs w:val="24"/>
        </w:rPr>
        <w:t xml:space="preserve"> </w:t>
      </w:r>
      <w:r w:rsidRPr="006F35ED">
        <w:rPr>
          <w:b/>
          <w:szCs w:val="24"/>
        </w:rPr>
        <w:t>(</w:t>
      </w:r>
      <w:r>
        <w:rPr>
          <w:b/>
          <w:szCs w:val="24"/>
        </w:rPr>
        <w:t>Attachment 10</w:t>
      </w:r>
      <w:r w:rsidRPr="00C31C1D">
        <w:rPr>
          <w:b/>
          <w:szCs w:val="24"/>
        </w:rPr>
        <w:t>)</w:t>
      </w:r>
    </w:p>
    <w:p w14:paraId="0683F5C6" w14:textId="77777777" w:rsidR="001C2D56" w:rsidRPr="00C31C1D" w:rsidRDefault="001C2D56" w:rsidP="00EB6B55">
      <w:pPr>
        <w:keepNext/>
        <w:spacing w:after="0"/>
        <w:ind w:left="720"/>
        <w:jc w:val="both"/>
        <w:rPr>
          <w:szCs w:val="24"/>
        </w:rPr>
      </w:pPr>
      <w:r>
        <w:rPr>
          <w:szCs w:val="24"/>
        </w:rPr>
        <w:t>The list</w:t>
      </w:r>
      <w:r w:rsidRPr="00C31C1D">
        <w:rPr>
          <w:szCs w:val="24"/>
        </w:rPr>
        <w:t xml:space="preserve"> </w:t>
      </w:r>
      <w:r>
        <w:rPr>
          <w:szCs w:val="24"/>
        </w:rPr>
        <w:t>identifies</w:t>
      </w:r>
      <w:r w:rsidRPr="00C31C1D">
        <w:rPr>
          <w:szCs w:val="24"/>
        </w:rPr>
        <w:t xml:space="preserve"> the names and contact information </w:t>
      </w:r>
      <w:r>
        <w:rPr>
          <w:szCs w:val="24"/>
        </w:rPr>
        <w:t>of</w:t>
      </w:r>
      <w:r w:rsidRPr="00C31C1D">
        <w:rPr>
          <w:szCs w:val="24"/>
        </w:rPr>
        <w:t xml:space="preserve"> the project manager, administrator</w:t>
      </w:r>
      <w:r>
        <w:rPr>
          <w:szCs w:val="24"/>
        </w:rPr>
        <w:t>,</w:t>
      </w:r>
      <w:r w:rsidRPr="00C31C1D">
        <w:rPr>
          <w:szCs w:val="24"/>
        </w:rPr>
        <w:t xml:space="preserve"> accounting officer</w:t>
      </w:r>
      <w:r w:rsidR="00F04624">
        <w:rPr>
          <w:szCs w:val="24"/>
        </w:rPr>
        <w:t>, and recipient of legal notices</w:t>
      </w:r>
      <w:r w:rsidRPr="00C31C1D">
        <w:rPr>
          <w:szCs w:val="24"/>
        </w:rPr>
        <w:t>.</w:t>
      </w:r>
    </w:p>
    <w:p w14:paraId="0F785C23" w14:textId="77777777" w:rsidR="001C2D56" w:rsidRDefault="001C2D56" w:rsidP="00EE24D3">
      <w:pPr>
        <w:spacing w:after="0"/>
        <w:jc w:val="both"/>
        <w:rPr>
          <w:szCs w:val="24"/>
        </w:rPr>
      </w:pPr>
    </w:p>
    <w:p w14:paraId="17736ED4" w14:textId="77777777" w:rsidR="001C2D56" w:rsidRDefault="001C2D56" w:rsidP="00B07493">
      <w:pPr>
        <w:numPr>
          <w:ilvl w:val="0"/>
          <w:numId w:val="24"/>
        </w:numPr>
        <w:spacing w:after="0"/>
        <w:jc w:val="both"/>
        <w:rPr>
          <w:b/>
          <w:szCs w:val="24"/>
        </w:rPr>
      </w:pPr>
      <w:r w:rsidRPr="00E74B5A">
        <w:rPr>
          <w:b/>
          <w:szCs w:val="24"/>
        </w:rPr>
        <w:t xml:space="preserve"> </w:t>
      </w:r>
      <w:r w:rsidR="006760F9" w:rsidRPr="00C728AC">
        <w:rPr>
          <w:b/>
          <w:szCs w:val="24"/>
        </w:rPr>
        <w:t>Commitment and Support Letter Form</w:t>
      </w:r>
      <w:r w:rsidR="006760F9" w:rsidRPr="002563F5">
        <w:rPr>
          <w:b/>
          <w:szCs w:val="24"/>
        </w:rPr>
        <w:t xml:space="preserve"> (Attachment 11)</w:t>
      </w:r>
    </w:p>
    <w:p w14:paraId="426F72C3"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48928213" w14:textId="77777777" w:rsidR="0075281F" w:rsidRPr="001F74CA" w:rsidRDefault="001C2D56" w:rsidP="001F74CA">
      <w:pPr>
        <w:numPr>
          <w:ilvl w:val="2"/>
          <w:numId w:val="24"/>
        </w:numPr>
        <w:tabs>
          <w:tab w:val="left" w:pos="720"/>
          <w:tab w:val="left" w:pos="1080"/>
          <w:tab w:val="left" w:pos="1170"/>
        </w:tabs>
        <w:spacing w:after="0"/>
        <w:ind w:left="1170"/>
        <w:jc w:val="both"/>
        <w:rPr>
          <w:szCs w:val="22"/>
        </w:rPr>
      </w:pPr>
      <w:r>
        <w:rPr>
          <w:szCs w:val="22"/>
        </w:rPr>
        <w:t xml:space="preserve">  </w:t>
      </w:r>
      <w:r w:rsidRPr="00992EBB">
        <w:rPr>
          <w:szCs w:val="22"/>
          <w:u w:val="single"/>
        </w:rPr>
        <w:t>Commitment Letters</w:t>
      </w:r>
      <w:r w:rsidR="001474ED">
        <w:rPr>
          <w:szCs w:val="22"/>
          <w:u w:val="single"/>
        </w:rPr>
        <w:t xml:space="preserve"> </w:t>
      </w:r>
    </w:p>
    <w:p w14:paraId="3794E792" w14:textId="77777777" w:rsidR="001F74CA" w:rsidRPr="0070117F" w:rsidRDefault="001F74CA" w:rsidP="0018649E">
      <w:pPr>
        <w:numPr>
          <w:ilvl w:val="0"/>
          <w:numId w:val="36"/>
        </w:numPr>
        <w:tabs>
          <w:tab w:val="left" w:pos="720"/>
          <w:tab w:val="left" w:pos="1170"/>
          <w:tab w:val="left" w:pos="1260"/>
          <w:tab w:val="left" w:pos="1620"/>
        </w:tabs>
        <w:spacing w:after="0"/>
        <w:ind w:left="1627"/>
        <w:jc w:val="both"/>
        <w:rPr>
          <w:b/>
        </w:rPr>
      </w:pPr>
      <w:r w:rsidRPr="0070117F">
        <w:rPr>
          <w:szCs w:val="22"/>
        </w:rPr>
        <w:t xml:space="preserve">Applicants that are proposing to provide match funding must submit a </w:t>
      </w:r>
      <w:r w:rsidRPr="0070117F">
        <w:rPr>
          <w:b/>
          <w:szCs w:val="22"/>
        </w:rPr>
        <w:t>match funding</w:t>
      </w:r>
      <w:r w:rsidRPr="0070117F">
        <w:rPr>
          <w:szCs w:val="22"/>
        </w:rPr>
        <w:t xml:space="preserve"> commitment letter signed</w:t>
      </w:r>
      <w:r w:rsidRPr="0070117F">
        <w:rPr>
          <w:b/>
          <w:szCs w:val="22"/>
        </w:rPr>
        <w:t xml:space="preserve"> </w:t>
      </w:r>
      <w:r w:rsidRPr="0070117F">
        <w:rPr>
          <w:szCs w:val="22"/>
        </w:rPr>
        <w:t xml:space="preserve">by </w:t>
      </w:r>
      <w:r w:rsidRPr="0070117F">
        <w:rPr>
          <w:szCs w:val="22"/>
          <w:u w:val="single"/>
        </w:rPr>
        <w:t>each</w:t>
      </w:r>
      <w:r w:rsidRPr="0070117F">
        <w:rPr>
          <w:b/>
          <w:szCs w:val="22"/>
        </w:rPr>
        <w:t xml:space="preserve"> </w:t>
      </w:r>
      <w:r w:rsidRPr="0070117F">
        <w:rPr>
          <w:szCs w:val="22"/>
        </w:rPr>
        <w:t xml:space="preserve">representative of the entity </w:t>
      </w:r>
      <w:r w:rsidRPr="0070117F">
        <w:rPr>
          <w:szCs w:val="22"/>
          <w:u w:val="single"/>
        </w:rPr>
        <w:t>or i</w:t>
      </w:r>
      <w:r w:rsidRPr="0070117F">
        <w:rPr>
          <w:szCs w:val="22"/>
        </w:rPr>
        <w:t xml:space="preserve">ndividual that is committing to providing match funding. The letter must: (1) identify the source(s) of the funds; and (2) guarantee the availability of the funds for the </w:t>
      </w:r>
      <w:r w:rsidR="00101580" w:rsidRPr="0070117F">
        <w:rPr>
          <w:szCs w:val="22"/>
        </w:rPr>
        <w:t>project.</w:t>
      </w:r>
    </w:p>
    <w:p w14:paraId="6684AF9E" w14:textId="77777777" w:rsidR="0075281F" w:rsidRPr="0070117F" w:rsidRDefault="0075281F" w:rsidP="0018649E">
      <w:pPr>
        <w:numPr>
          <w:ilvl w:val="0"/>
          <w:numId w:val="36"/>
        </w:numPr>
        <w:tabs>
          <w:tab w:val="left" w:pos="720"/>
          <w:tab w:val="left" w:pos="1170"/>
          <w:tab w:val="left" w:pos="1260"/>
          <w:tab w:val="left" w:pos="1620"/>
        </w:tabs>
        <w:spacing w:after="0"/>
        <w:ind w:left="1627"/>
        <w:jc w:val="both"/>
        <w:rPr>
          <w:b/>
        </w:rPr>
      </w:pPr>
      <w:r w:rsidRPr="0070117F">
        <w:rPr>
          <w:szCs w:val="22"/>
        </w:rPr>
        <w:t xml:space="preserve">If the project involves </w:t>
      </w:r>
      <w:r w:rsidR="00101580" w:rsidRPr="0070117F">
        <w:rPr>
          <w:szCs w:val="22"/>
        </w:rPr>
        <w:t>any field testing a</w:t>
      </w:r>
      <w:r w:rsidRPr="0070117F">
        <w:rPr>
          <w:szCs w:val="22"/>
        </w:rPr>
        <w:t>ctivities</w:t>
      </w:r>
      <w:r w:rsidR="00101580" w:rsidRPr="0070117F">
        <w:rPr>
          <w:szCs w:val="22"/>
        </w:rPr>
        <w:t xml:space="preserve"> or activities outside the laboratory</w:t>
      </w:r>
      <w:r w:rsidRPr="0070117F">
        <w:rPr>
          <w:szCs w:val="22"/>
        </w:rPr>
        <w:t xml:space="preserve">, the applicant must include a </w:t>
      </w:r>
      <w:r w:rsidR="00F062F6" w:rsidRPr="0070117F">
        <w:rPr>
          <w:szCs w:val="22"/>
        </w:rPr>
        <w:t xml:space="preserve">site commitment </w:t>
      </w:r>
      <w:r w:rsidRPr="0070117F">
        <w:rPr>
          <w:szCs w:val="22"/>
        </w:rPr>
        <w:t xml:space="preserve">letter signed by an authorized representative of the proposed </w:t>
      </w:r>
      <w:r w:rsidR="00101580" w:rsidRPr="0070117F">
        <w:rPr>
          <w:szCs w:val="22"/>
        </w:rPr>
        <w:t xml:space="preserve">testing or demonstration </w:t>
      </w:r>
      <w:r w:rsidRPr="0070117F">
        <w:rPr>
          <w:szCs w:val="22"/>
        </w:rPr>
        <w:t>site</w:t>
      </w:r>
      <w:r w:rsidR="001474ED" w:rsidRPr="0070117F">
        <w:rPr>
          <w:szCs w:val="22"/>
        </w:rPr>
        <w:t xml:space="preserve">. The letter must: (1) identify the location of the site (street address, parcel number, </w:t>
      </w:r>
      <w:r w:rsidR="001D173A" w:rsidRPr="0070117F">
        <w:rPr>
          <w:szCs w:val="22"/>
        </w:rPr>
        <w:t xml:space="preserve">tract map, plot map, </w:t>
      </w:r>
      <w:r w:rsidR="001474ED" w:rsidRPr="0070117F">
        <w:rPr>
          <w:szCs w:val="22"/>
        </w:rPr>
        <w:t>etc.)</w:t>
      </w:r>
      <w:r w:rsidR="004E6032" w:rsidRPr="0070117F">
        <w:rPr>
          <w:szCs w:val="22"/>
        </w:rPr>
        <w:t xml:space="preserve"> which must be consistent with Attachments 1 and 8.</w:t>
      </w:r>
      <w:r w:rsidR="001474ED" w:rsidRPr="0070117F">
        <w:rPr>
          <w:szCs w:val="22"/>
        </w:rPr>
        <w:t xml:space="preserve"> </w:t>
      </w:r>
      <w:proofErr w:type="gramStart"/>
      <w:r w:rsidR="001474ED" w:rsidRPr="0070117F">
        <w:rPr>
          <w:szCs w:val="22"/>
        </w:rPr>
        <w:t>and</w:t>
      </w:r>
      <w:proofErr w:type="gramEnd"/>
      <w:r w:rsidR="001474ED" w:rsidRPr="0070117F">
        <w:rPr>
          <w:szCs w:val="22"/>
        </w:rPr>
        <w:t xml:space="preserve"> (2) </w:t>
      </w:r>
      <w:r w:rsidRPr="0070117F">
        <w:rPr>
          <w:szCs w:val="22"/>
        </w:rPr>
        <w:t xml:space="preserve">commit to providing the site for the proposed activities.  </w:t>
      </w:r>
    </w:p>
    <w:p w14:paraId="0B52299A" w14:textId="77777777" w:rsidR="0075281F" w:rsidRPr="0075281F" w:rsidRDefault="0075281F" w:rsidP="0018649E">
      <w:pPr>
        <w:numPr>
          <w:ilvl w:val="0"/>
          <w:numId w:val="36"/>
        </w:numPr>
        <w:tabs>
          <w:tab w:val="left" w:pos="720"/>
          <w:tab w:val="left" w:pos="1170"/>
          <w:tab w:val="left" w:pos="1260"/>
          <w:tab w:val="left" w:pos="1620"/>
        </w:tabs>
        <w:ind w:left="1627"/>
        <w:jc w:val="both"/>
        <w:rPr>
          <w:b/>
        </w:rPr>
      </w:pPr>
      <w:r w:rsidRPr="0070117F">
        <w:rPr>
          <w:b/>
        </w:rPr>
        <w:t>Project partners</w:t>
      </w:r>
      <w:r w:rsidRPr="0070117F">
        <w:t xml:space="preserve"> that are making contributions other than match funding or a </w:t>
      </w:r>
      <w:r w:rsidR="00101580" w:rsidRPr="0070117F">
        <w:t xml:space="preserve">field testing or demonstration </w:t>
      </w:r>
      <w:r w:rsidRPr="0070117F">
        <w:t>site</w:t>
      </w:r>
      <w:r w:rsidR="00666697" w:rsidRPr="0070117F">
        <w:t>,</w:t>
      </w:r>
      <w:r w:rsidRPr="0070117F">
        <w:t xml:space="preserve"> </w:t>
      </w:r>
      <w:r w:rsidR="00666697" w:rsidRPr="0070117F">
        <w:t xml:space="preserve">and are </w:t>
      </w:r>
      <w:r w:rsidR="00666697">
        <w:t xml:space="preserve">not receiving Energy Commission funds, </w:t>
      </w:r>
      <w:r w:rsidRPr="0075281F">
        <w:t xml:space="preserve">must submit a commitment letter signed by an authorized representative that: (1) identifies how the partner will contribute to the project; and (2) commits to making the contribution. </w:t>
      </w:r>
    </w:p>
    <w:p w14:paraId="6A12AD51" w14:textId="77777777" w:rsidR="005E52CD" w:rsidRDefault="001C2D56" w:rsidP="00B07493">
      <w:pPr>
        <w:numPr>
          <w:ilvl w:val="2"/>
          <w:numId w:val="24"/>
        </w:numPr>
        <w:tabs>
          <w:tab w:val="left" w:pos="720"/>
          <w:tab w:val="left" w:pos="1170"/>
          <w:tab w:val="left" w:pos="1260"/>
        </w:tabs>
        <w:spacing w:after="0"/>
        <w:ind w:left="1170"/>
        <w:jc w:val="both"/>
        <w:rPr>
          <w:b/>
          <w:u w:val="single"/>
        </w:rPr>
      </w:pPr>
      <w:r w:rsidRPr="00992EBB">
        <w:rPr>
          <w:szCs w:val="22"/>
          <w:u w:val="single"/>
        </w:rPr>
        <w:t>Support Letters</w:t>
      </w:r>
    </w:p>
    <w:p w14:paraId="698FFB5A" w14:textId="36A3A46D" w:rsidR="00B152AA" w:rsidRDefault="001C2D56" w:rsidP="00794A07">
      <w:pPr>
        <w:tabs>
          <w:tab w:val="left" w:pos="720"/>
          <w:tab w:val="left" w:pos="1170"/>
          <w:tab w:val="left" w:pos="1260"/>
        </w:tabs>
        <w:spacing w:after="0"/>
        <w:ind w:left="1170"/>
        <w:jc w:val="both"/>
        <w:rPr>
          <w:szCs w:val="22"/>
        </w:rPr>
      </w:pPr>
      <w:r>
        <w:rPr>
          <w:szCs w:val="22"/>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w:t>
      </w:r>
      <w:r w:rsidR="00794A07">
        <w:rPr>
          <w:szCs w:val="22"/>
        </w:rPr>
        <w:t xml:space="preserve">; and (3) </w:t>
      </w:r>
      <w:r w:rsidR="00794A07" w:rsidRPr="00A6230B">
        <w:rPr>
          <w:szCs w:val="22"/>
        </w:rPr>
        <w:t xml:space="preserve">describes </w:t>
      </w:r>
      <w:r w:rsidR="00794A07">
        <w:rPr>
          <w:szCs w:val="22"/>
        </w:rPr>
        <w:t xml:space="preserve">any support it intends (but does not necessarily commit) to provide for the project, such as funding or </w:t>
      </w:r>
      <w:r w:rsidR="00E40C28">
        <w:rPr>
          <w:szCs w:val="22"/>
        </w:rPr>
        <w:t xml:space="preserve">the </w:t>
      </w:r>
      <w:r w:rsidR="00794A07">
        <w:rPr>
          <w:szCs w:val="22"/>
        </w:rPr>
        <w:t xml:space="preserve">provision </w:t>
      </w:r>
      <w:r w:rsidR="004100D0" w:rsidRPr="0035311A">
        <w:rPr>
          <w:szCs w:val="22"/>
        </w:rPr>
        <w:t xml:space="preserve">of </w:t>
      </w:r>
      <w:r w:rsidR="00794A07" w:rsidRPr="0035311A">
        <w:rPr>
          <w:szCs w:val="22"/>
        </w:rPr>
        <w:t>a</w:t>
      </w:r>
      <w:r w:rsidR="00101580" w:rsidRPr="0035311A">
        <w:rPr>
          <w:szCs w:val="22"/>
        </w:rPr>
        <w:t xml:space="preserve"> demonstration </w:t>
      </w:r>
      <w:r w:rsidR="00101580">
        <w:rPr>
          <w:szCs w:val="22"/>
        </w:rPr>
        <w:t>site</w:t>
      </w:r>
      <w:r w:rsidR="005841E5">
        <w:rPr>
          <w:szCs w:val="22"/>
        </w:rPr>
        <w:t>.</w:t>
      </w:r>
    </w:p>
    <w:p w14:paraId="53AAA05C" w14:textId="77777777" w:rsidR="00440727" w:rsidRPr="00B152AA" w:rsidRDefault="00440727" w:rsidP="00794A07">
      <w:pPr>
        <w:tabs>
          <w:tab w:val="left" w:pos="720"/>
          <w:tab w:val="left" w:pos="1170"/>
          <w:tab w:val="left" w:pos="1260"/>
        </w:tabs>
        <w:spacing w:after="0"/>
        <w:ind w:left="1170"/>
        <w:jc w:val="both"/>
        <w:rPr>
          <w:b/>
        </w:rPr>
      </w:pPr>
    </w:p>
    <w:p w14:paraId="53D6BC24" w14:textId="77777777" w:rsidR="00440727" w:rsidRPr="00440727" w:rsidRDefault="00440727" w:rsidP="008B5A2C">
      <w:pPr>
        <w:keepNext/>
        <w:keepLines/>
        <w:numPr>
          <w:ilvl w:val="0"/>
          <w:numId w:val="24"/>
        </w:numPr>
        <w:spacing w:after="0"/>
        <w:jc w:val="both"/>
        <w:rPr>
          <w:b/>
          <w:szCs w:val="24"/>
        </w:rPr>
      </w:pPr>
      <w:r w:rsidRPr="00440727">
        <w:rPr>
          <w:b/>
          <w:szCs w:val="24"/>
        </w:rPr>
        <w:lastRenderedPageBreak/>
        <w:t>Applicant Declaration</w:t>
      </w:r>
    </w:p>
    <w:p w14:paraId="6FFC9F4C" w14:textId="77777777" w:rsidR="003A73C8" w:rsidRDefault="0017678F" w:rsidP="008B5A2C">
      <w:pPr>
        <w:keepNext/>
        <w:keepLines/>
        <w:spacing w:after="0"/>
        <w:ind w:left="720"/>
        <w:jc w:val="both"/>
        <w:rPr>
          <w:szCs w:val="24"/>
        </w:rPr>
      </w:pPr>
      <w:r w:rsidRPr="0017678F">
        <w:rPr>
          <w:szCs w:val="24"/>
        </w:rPr>
        <w:t xml:space="preserve">This form requests the applicant declare that they are: not delinquent on; registered to do business in California with the California Secretary of State; not being sued by any public agency or entity; in compliance with all judgments, if any, issued against the Applicant in any matter to which the Energy Commission or another public agency or entity is a party; has neither refused to adhere to nor not taken action on any demand letter made on the Applicant by the Energy Commission or another public agency or entity; and is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r w:rsidR="003A73C8">
        <w:rPr>
          <w:szCs w:val="24"/>
        </w:rPr>
        <w:br w:type="page"/>
      </w:r>
    </w:p>
    <w:p w14:paraId="497807DE" w14:textId="77777777" w:rsidR="001C2D56" w:rsidRPr="00C31C1D" w:rsidRDefault="001C2D56" w:rsidP="006F35ED">
      <w:pPr>
        <w:spacing w:after="0"/>
        <w:rPr>
          <w:szCs w:val="24"/>
        </w:rPr>
      </w:pPr>
    </w:p>
    <w:p w14:paraId="1CD2A0CC" w14:textId="77777777" w:rsidR="001C2D56" w:rsidRPr="00C31C1D" w:rsidRDefault="001C2D56" w:rsidP="00636A3D">
      <w:pPr>
        <w:pStyle w:val="Heading1"/>
        <w:spacing w:before="0" w:after="120"/>
        <w:jc w:val="both"/>
      </w:pPr>
      <w:bookmarkStart w:id="148" w:name="_Toc20331593"/>
      <w:bookmarkStart w:id="149" w:name="_Toc27467030"/>
      <w:bookmarkStart w:id="150" w:name="_Toc336443635"/>
      <w:bookmarkStart w:id="151" w:name="_Toc366671192"/>
      <w:r w:rsidRPr="00C31C1D">
        <w:t>IV.</w:t>
      </w:r>
      <w:r w:rsidRPr="00C31C1D">
        <w:tab/>
        <w:t xml:space="preserve">Evaluation </w:t>
      </w:r>
      <w:r>
        <w:t xml:space="preserve">and Award </w:t>
      </w:r>
      <w:r w:rsidRPr="00C31C1D">
        <w:t>Process</w:t>
      </w:r>
      <w:bookmarkEnd w:id="148"/>
      <w:bookmarkEnd w:id="149"/>
      <w:r w:rsidRPr="00C31C1D">
        <w:t xml:space="preserve"> </w:t>
      </w:r>
      <w:bookmarkEnd w:id="112"/>
      <w:bookmarkEnd w:id="150"/>
      <w:bookmarkEnd w:id="151"/>
    </w:p>
    <w:p w14:paraId="576F8115" w14:textId="77777777" w:rsidR="001C2D56" w:rsidRPr="0049776E" w:rsidRDefault="001C2D56" w:rsidP="0018649E">
      <w:pPr>
        <w:pStyle w:val="Heading2"/>
        <w:numPr>
          <w:ilvl w:val="0"/>
          <w:numId w:val="30"/>
        </w:numPr>
        <w:spacing w:before="240"/>
        <w:ind w:left="360"/>
        <w:jc w:val="both"/>
        <w:rPr>
          <w:sz w:val="26"/>
          <w:szCs w:val="26"/>
        </w:rPr>
      </w:pPr>
      <w:bookmarkStart w:id="152" w:name="_Toc339284338"/>
      <w:bookmarkStart w:id="153" w:name="_Toc366671194"/>
      <w:bookmarkStart w:id="154" w:name="_Toc20331594"/>
      <w:bookmarkStart w:id="155" w:name="_Toc27467031"/>
      <w:bookmarkStart w:id="156" w:name="_Toc338162913"/>
      <w:bookmarkStart w:id="157" w:name="_Toc35074632"/>
      <w:bookmarkStart w:id="158" w:name="_Toc219275099"/>
      <w:bookmarkStart w:id="159" w:name="_Toc336443636"/>
      <w:r w:rsidRPr="0049776E">
        <w:rPr>
          <w:sz w:val="26"/>
          <w:szCs w:val="26"/>
        </w:rPr>
        <w:t>Application Evaluation</w:t>
      </w:r>
      <w:bookmarkEnd w:id="152"/>
      <w:bookmarkEnd w:id="153"/>
      <w:bookmarkEnd w:id="154"/>
      <w:bookmarkEnd w:id="155"/>
    </w:p>
    <w:bookmarkEnd w:id="156"/>
    <w:p w14:paraId="6BB7EDB3"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Pr>
          <w:szCs w:val="24"/>
        </w:rPr>
        <w:t xml:space="preserve">. </w:t>
      </w:r>
      <w:r w:rsidRPr="00C31C1D">
        <w:rPr>
          <w:szCs w:val="24"/>
        </w:rPr>
        <w:t>To evaluate applications, the Energy Commission will organize an Evaluation Committee that consist</w:t>
      </w:r>
      <w:r w:rsidR="00BD0615">
        <w:rPr>
          <w:szCs w:val="24"/>
        </w:rPr>
        <w:t>s primarily</w:t>
      </w:r>
      <w:r w:rsidRPr="00C31C1D">
        <w:rPr>
          <w:szCs w:val="24"/>
        </w:rPr>
        <w:t xml:space="preserve"> of Energy Commission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0A26DB86" w14:textId="77777777" w:rsidR="0061342D" w:rsidRPr="00151FE6" w:rsidRDefault="001C2D56" w:rsidP="0018649E">
      <w:pPr>
        <w:pStyle w:val="ListParagraph"/>
        <w:numPr>
          <w:ilvl w:val="0"/>
          <w:numId w:val="64"/>
        </w:numPr>
        <w:ind w:left="720" w:hanging="360"/>
        <w:rPr>
          <w:b/>
          <w:sz w:val="24"/>
          <w:szCs w:val="24"/>
        </w:rPr>
      </w:pPr>
      <w:bookmarkStart w:id="160" w:name="_Toc381079932"/>
      <w:bookmarkStart w:id="161" w:name="_Toc382571195"/>
      <w:bookmarkStart w:id="162" w:name="_Toc395180705"/>
      <w:bookmarkStart w:id="163" w:name="_Toc433981334"/>
      <w:bookmarkStart w:id="164" w:name="_Toc360545784"/>
      <w:bookmarkStart w:id="165" w:name="_Toc366671195"/>
      <w:bookmarkStart w:id="166" w:name="_Toc339284339"/>
      <w:r w:rsidRPr="00151FE6">
        <w:rPr>
          <w:b/>
          <w:sz w:val="24"/>
          <w:szCs w:val="24"/>
        </w:rPr>
        <w:t>Stage One:  Application Screening</w:t>
      </w:r>
      <w:bookmarkEnd w:id="160"/>
      <w:bookmarkEnd w:id="161"/>
      <w:bookmarkEnd w:id="162"/>
      <w:bookmarkEnd w:id="163"/>
      <w:r w:rsidRPr="00151FE6">
        <w:rPr>
          <w:b/>
          <w:sz w:val="24"/>
          <w:szCs w:val="24"/>
        </w:rPr>
        <w:t xml:space="preserve"> </w:t>
      </w:r>
      <w:bookmarkEnd w:id="164"/>
      <w:bookmarkEnd w:id="165"/>
    </w:p>
    <w:p w14:paraId="0FC061F3" w14:textId="77777777"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67" w:name="_Toc339284340"/>
      <w:bookmarkEnd w:id="166"/>
      <w:r w:rsidR="00125E7A">
        <w:rPr>
          <w:b/>
        </w:rPr>
        <w:t xml:space="preserve"> </w:t>
      </w:r>
      <w:r w:rsidR="00125E7A" w:rsidRPr="00125E7A">
        <w:t>The Evaluation Committee may conduct optional in-person</w:t>
      </w:r>
      <w:r w:rsidR="00032904">
        <w:t xml:space="preserve"> </w:t>
      </w:r>
      <w:r w:rsidR="00125E7A" w:rsidRPr="00125E7A">
        <w:t xml:space="preserve">or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27A5894" w14:textId="77777777" w:rsidR="001C2D56" w:rsidRDefault="001C2D56" w:rsidP="001D3021">
      <w:pPr>
        <w:spacing w:after="240"/>
        <w:jc w:val="both"/>
      </w:pPr>
    </w:p>
    <w:p w14:paraId="0AA5138A" w14:textId="77777777" w:rsidR="0061342D" w:rsidRPr="00151FE6" w:rsidRDefault="001C2D56" w:rsidP="0018649E">
      <w:pPr>
        <w:pStyle w:val="ListParagraph"/>
        <w:numPr>
          <w:ilvl w:val="0"/>
          <w:numId w:val="64"/>
        </w:numPr>
        <w:ind w:left="720" w:hanging="360"/>
        <w:rPr>
          <w:b/>
          <w:sz w:val="24"/>
          <w:szCs w:val="24"/>
        </w:rPr>
      </w:pPr>
      <w:bookmarkStart w:id="168" w:name="_Toc381079933"/>
      <w:bookmarkStart w:id="169" w:name="_Toc382571196"/>
      <w:bookmarkStart w:id="170" w:name="_Toc395180706"/>
      <w:bookmarkStart w:id="171" w:name="_Toc433981335"/>
      <w:bookmarkStart w:id="172" w:name="_Toc360545785"/>
      <w:bookmarkStart w:id="173" w:name="_Toc366671198"/>
      <w:r w:rsidRPr="00151FE6">
        <w:rPr>
          <w:b/>
          <w:sz w:val="24"/>
          <w:szCs w:val="24"/>
        </w:rPr>
        <w:t>Stage Two:  Application Scoring</w:t>
      </w:r>
      <w:bookmarkEnd w:id="168"/>
      <w:bookmarkEnd w:id="169"/>
      <w:bookmarkEnd w:id="170"/>
      <w:bookmarkEnd w:id="171"/>
      <w:r w:rsidRPr="00151FE6">
        <w:rPr>
          <w:b/>
          <w:sz w:val="24"/>
          <w:szCs w:val="24"/>
        </w:rPr>
        <w:t xml:space="preserve"> </w:t>
      </w:r>
      <w:bookmarkEnd w:id="172"/>
      <w:bookmarkEnd w:id="173"/>
    </w:p>
    <w:p w14:paraId="79EB4C94" w14:textId="77777777" w:rsidR="001C2D56" w:rsidRDefault="001C2D56" w:rsidP="00EE24D3">
      <w:pPr>
        <w:jc w:val="both"/>
      </w:pPr>
      <w:r w:rsidRPr="00C31C1D">
        <w:t xml:space="preserve">Applications </w:t>
      </w:r>
      <w:r>
        <w:t>that pass</w:t>
      </w:r>
      <w:r w:rsidRPr="00C31C1D">
        <w:t xml:space="preserve"> Stage One will be submitted to the Evaluation Committee </w:t>
      </w:r>
      <w:r>
        <w:t>for</w:t>
      </w:r>
      <w:r w:rsidRPr="00C31C1D">
        <w:t xml:space="preserve"> review and scor</w:t>
      </w:r>
      <w:r>
        <w:t>ing</w:t>
      </w:r>
      <w:r w:rsidRPr="00C31C1D">
        <w:t xml:space="preserve"> based on the </w:t>
      </w:r>
      <w:r>
        <w:t xml:space="preserve">Scoring </w:t>
      </w:r>
      <w:r w:rsidRPr="00C31C1D">
        <w:t xml:space="preserve">Criteria in </w:t>
      </w:r>
      <w:r w:rsidRPr="000E3B9C">
        <w:rPr>
          <w:b/>
        </w:rPr>
        <w:t>Section F</w:t>
      </w:r>
      <w:r>
        <w:t xml:space="preserve"> of this Part</w:t>
      </w:r>
      <w:r w:rsidRPr="00C31C1D">
        <w:t xml:space="preserve">.  </w:t>
      </w:r>
    </w:p>
    <w:p w14:paraId="52E5B37D" w14:textId="77777777" w:rsidR="005E52CD" w:rsidRDefault="001C2D56" w:rsidP="0018649E">
      <w:pPr>
        <w:numPr>
          <w:ilvl w:val="0"/>
          <w:numId w:val="36"/>
        </w:numPr>
        <w:spacing w:after="0"/>
        <w:ind w:left="720"/>
        <w:jc w:val="both"/>
      </w:pPr>
      <w:r>
        <w:t>The scores for each a</w:t>
      </w:r>
      <w:r w:rsidRPr="00C31C1D">
        <w:t>pplication will be the average of the combined scores</w:t>
      </w:r>
      <w:r>
        <w:t xml:space="preserve"> of all </w:t>
      </w:r>
      <w:r w:rsidRPr="00C31C1D">
        <w:t xml:space="preserve">Evaluation Committee members. </w:t>
      </w:r>
    </w:p>
    <w:p w14:paraId="5123A7A3" w14:textId="77777777" w:rsidR="001C2D56" w:rsidRDefault="001C2D56" w:rsidP="0018649E">
      <w:pPr>
        <w:numPr>
          <w:ilvl w:val="0"/>
          <w:numId w:val="36"/>
        </w:numPr>
        <w:spacing w:after="0"/>
        <w:ind w:left="720"/>
        <w:jc w:val="both"/>
      </w:pPr>
      <w:r w:rsidRPr="003F6C60">
        <w:rPr>
          <w:b/>
        </w:rPr>
        <w:t>A minimum score of 70</w:t>
      </w:r>
      <w:r w:rsidR="0034690D">
        <w:rPr>
          <w:b/>
        </w:rPr>
        <w:t>.00</w:t>
      </w:r>
      <w:r w:rsidRPr="003F6C60">
        <w:rPr>
          <w:b/>
        </w:rPr>
        <w:t xml:space="preserve"> points </w:t>
      </w:r>
      <w:r w:rsidRPr="00334B03">
        <w:t xml:space="preserve">is required for the application to be eligible for funding.  </w:t>
      </w:r>
      <w:r>
        <w:t xml:space="preserve">In addition, the application must receive a </w:t>
      </w:r>
      <w:r w:rsidR="003A4333">
        <w:t xml:space="preserve">minimum </w:t>
      </w:r>
      <w:r>
        <w:t xml:space="preserve">score of </w:t>
      </w:r>
      <w:r w:rsidRPr="00813E7B">
        <w:rPr>
          <w:b/>
        </w:rPr>
        <w:t>4</w:t>
      </w:r>
      <w:r w:rsidR="0034690D" w:rsidRPr="00813E7B">
        <w:rPr>
          <w:b/>
        </w:rPr>
        <w:t>9</w:t>
      </w:r>
      <w:r w:rsidRPr="00813E7B">
        <w:rPr>
          <w:b/>
        </w:rPr>
        <w:t>.</w:t>
      </w:r>
      <w:r w:rsidR="0034690D" w:rsidRPr="00813E7B">
        <w:rPr>
          <w:b/>
        </w:rPr>
        <w:t>0</w:t>
      </w:r>
      <w:r w:rsidRPr="00813E7B">
        <w:rPr>
          <w:b/>
        </w:rPr>
        <w:t>0 points</w:t>
      </w:r>
      <w:r w:rsidRPr="00C31C1D">
        <w:t xml:space="preserve"> for criteria </w:t>
      </w:r>
      <w:r w:rsidRPr="00813E7B">
        <w:rPr>
          <w:b/>
        </w:rPr>
        <w:t>1</w:t>
      </w:r>
      <w:r w:rsidR="00514C5C" w:rsidRPr="00813E7B">
        <w:rPr>
          <w:b/>
        </w:rPr>
        <w:t>−</w:t>
      </w:r>
      <w:r w:rsidRPr="00813E7B">
        <w:rPr>
          <w:b/>
        </w:rPr>
        <w:t xml:space="preserve">4 </w:t>
      </w:r>
      <w:r w:rsidRPr="00C31C1D">
        <w:t xml:space="preserve">to be eligible for funding. </w:t>
      </w:r>
    </w:p>
    <w:p w14:paraId="5FE30143" w14:textId="77777777" w:rsidR="005E52CD" w:rsidRDefault="001C2D56" w:rsidP="0018649E">
      <w:pPr>
        <w:numPr>
          <w:ilvl w:val="0"/>
          <w:numId w:val="36"/>
        </w:numPr>
        <w:spacing w:after="0"/>
        <w:ind w:left="720"/>
        <w:jc w:val="both"/>
      </w:pPr>
      <w:r w:rsidRPr="00730F14">
        <w:rPr>
          <w:b/>
        </w:rPr>
        <w:t>Clarification Interviews:</w:t>
      </w:r>
      <w:r w:rsidRPr="00730F14">
        <w:t xml:space="preserve">  </w:t>
      </w:r>
      <w:r w:rsidRPr="00C31C1D">
        <w:t>The Evaluation Committee</w:t>
      </w:r>
      <w:r w:rsidRPr="003F6C60">
        <w:t xml:space="preserve"> </w:t>
      </w:r>
      <w:r w:rsidRPr="00C31C1D">
        <w:t xml:space="preserve">may conduct optional </w:t>
      </w:r>
      <w:r>
        <w:t>in-person</w:t>
      </w:r>
    </w:p>
    <w:p w14:paraId="22B45A82" w14:textId="77777777" w:rsidR="001C2D56" w:rsidRPr="00730F14" w:rsidRDefault="001C2D56" w:rsidP="001D3021">
      <w:pPr>
        <w:spacing w:after="240"/>
        <w:ind w:left="720"/>
        <w:jc w:val="both"/>
        <w:rPr>
          <w:u w:val="single"/>
        </w:rPr>
      </w:pPr>
      <w:proofErr w:type="gramStart"/>
      <w:r>
        <w:t>or</w:t>
      </w:r>
      <w:proofErr w:type="gramEnd"/>
      <w:r>
        <w:t xml:space="preserve"> telephone </w:t>
      </w:r>
      <w:r w:rsidRPr="00C31C1D">
        <w:t xml:space="preserve">interviews with applicants </w:t>
      </w:r>
      <w:r>
        <w:t>during the evaluation process to</w:t>
      </w:r>
      <w:r w:rsidRPr="00C31C1D">
        <w:t xml:space="preserve"> clarif</w:t>
      </w:r>
      <w:r>
        <w:t>y</w:t>
      </w:r>
      <w:r w:rsidRPr="00C31C1D">
        <w:t xml:space="preserve"> and</w:t>
      </w:r>
      <w:r>
        <w:t>/or</w:t>
      </w:r>
      <w:r w:rsidRPr="00C31C1D">
        <w:t xml:space="preserve"> verif</w:t>
      </w:r>
      <w:r>
        <w:t>y information submitted in the application</w:t>
      </w:r>
      <w:r w:rsidRPr="00C31C1D">
        <w:t xml:space="preserve">. However, these interviews may not be used to change or add to the content of the original </w:t>
      </w:r>
      <w:r>
        <w:t>a</w:t>
      </w:r>
      <w:r w:rsidRPr="00C31C1D">
        <w:t>pplication.  Applicants will not be reimbursed for time spent answering clarifying questions.</w:t>
      </w:r>
    </w:p>
    <w:p w14:paraId="7C00E7AB" w14:textId="77777777" w:rsidR="001C2D56" w:rsidRPr="0049776E" w:rsidRDefault="001C2D56" w:rsidP="0018649E">
      <w:pPr>
        <w:pStyle w:val="Heading2"/>
        <w:numPr>
          <w:ilvl w:val="0"/>
          <w:numId w:val="30"/>
        </w:numPr>
        <w:ind w:left="360"/>
        <w:jc w:val="both"/>
        <w:rPr>
          <w:sz w:val="26"/>
          <w:szCs w:val="26"/>
        </w:rPr>
      </w:pPr>
      <w:bookmarkStart w:id="174" w:name="_Toc20331595"/>
      <w:bookmarkStart w:id="175" w:name="_Toc27467032"/>
      <w:r w:rsidRPr="0049776E">
        <w:rPr>
          <w:sz w:val="26"/>
          <w:szCs w:val="26"/>
        </w:rPr>
        <w:t>Ranking, Notice of Proposed Award, and Agreement Development</w:t>
      </w:r>
      <w:bookmarkEnd w:id="174"/>
      <w:bookmarkEnd w:id="175"/>
    </w:p>
    <w:p w14:paraId="49C47F09" w14:textId="77777777" w:rsidR="000E331F" w:rsidRPr="00151FE6" w:rsidRDefault="001C2D56" w:rsidP="0018649E">
      <w:pPr>
        <w:numPr>
          <w:ilvl w:val="0"/>
          <w:numId w:val="65"/>
        </w:numPr>
        <w:tabs>
          <w:tab w:val="left" w:pos="720"/>
        </w:tabs>
        <w:ind w:left="360" w:firstLine="0"/>
        <w:jc w:val="both"/>
        <w:rPr>
          <w:b/>
          <w:sz w:val="24"/>
          <w:szCs w:val="24"/>
        </w:rPr>
      </w:pPr>
      <w:r w:rsidRPr="00151FE6">
        <w:rPr>
          <w:b/>
          <w:sz w:val="24"/>
          <w:szCs w:val="24"/>
        </w:rPr>
        <w:t>Ranking and Notice of Proposed Award</w:t>
      </w:r>
    </w:p>
    <w:p w14:paraId="124A561D" w14:textId="77777777" w:rsidR="001C2D56" w:rsidRDefault="001C2D56" w:rsidP="00913796">
      <w:pPr>
        <w:jc w:val="both"/>
      </w:pPr>
      <w:r w:rsidRPr="00C31C1D">
        <w:t xml:space="preserve">Applications </w:t>
      </w:r>
      <w:r>
        <w:t>that receive</w:t>
      </w:r>
      <w:r w:rsidRPr="00C31C1D">
        <w:t xml:space="preserve"> a </w:t>
      </w:r>
      <w:r w:rsidR="00E8065B">
        <w:t>minimum</w:t>
      </w:r>
      <w:r w:rsidRPr="00C31C1D">
        <w:t xml:space="preserve"> score of 70</w:t>
      </w:r>
      <w:r w:rsidR="00E8065B">
        <w:t>.00</w:t>
      </w:r>
      <w:r>
        <w:t xml:space="preserve"> points</w:t>
      </w:r>
      <w:r w:rsidRPr="00C31C1D">
        <w:t xml:space="preserve"> for all criteria will be ranked according to their score. </w:t>
      </w:r>
    </w:p>
    <w:p w14:paraId="48D641D8" w14:textId="536D65C8" w:rsidR="001C2D56" w:rsidRPr="00F14D0E" w:rsidRDefault="00E33436" w:rsidP="00B07493">
      <w:pPr>
        <w:numPr>
          <w:ilvl w:val="0"/>
          <w:numId w:val="28"/>
        </w:numPr>
        <w:spacing w:after="0"/>
        <w:jc w:val="both"/>
      </w:pPr>
      <w:r>
        <w:t xml:space="preserve">The </w:t>
      </w:r>
      <w:r w:rsidR="001C2D56">
        <w:t>Energy Commission will post</w:t>
      </w:r>
      <w:r w:rsidR="001C2D56" w:rsidRPr="00C31C1D">
        <w:t xml:space="preserve"> a </w:t>
      </w:r>
      <w:r w:rsidR="001C2D56" w:rsidRPr="00F14D0E">
        <w:rPr>
          <w:b/>
        </w:rPr>
        <w:t>Notice of Proposed Award (NOPA)</w:t>
      </w:r>
      <w:r w:rsidR="001C2D56">
        <w:t xml:space="preserve"> that includes: (1) </w:t>
      </w:r>
      <w:r w:rsidR="001C2D56">
        <w:rPr>
          <w:szCs w:val="22"/>
        </w:rPr>
        <w:t>the</w:t>
      </w:r>
      <w:r w:rsidR="001C2D56" w:rsidRPr="0004356A">
        <w:rPr>
          <w:szCs w:val="22"/>
        </w:rPr>
        <w:t xml:space="preserve"> </w:t>
      </w:r>
      <w:r w:rsidR="001C2D56">
        <w:rPr>
          <w:szCs w:val="22"/>
        </w:rPr>
        <w:t xml:space="preserve">total </w:t>
      </w:r>
      <w:r w:rsidR="001C2D56" w:rsidRPr="0004356A">
        <w:rPr>
          <w:szCs w:val="22"/>
        </w:rPr>
        <w:t>proposed fun</w:t>
      </w:r>
      <w:r w:rsidR="001C2D56">
        <w:rPr>
          <w:szCs w:val="22"/>
        </w:rPr>
        <w:t>ding amount; (2) the rank order of applicants;</w:t>
      </w:r>
      <w:r w:rsidR="001C2D56" w:rsidRPr="0004356A">
        <w:rPr>
          <w:szCs w:val="22"/>
        </w:rPr>
        <w:t xml:space="preserve"> and </w:t>
      </w:r>
      <w:r w:rsidR="001C2D56">
        <w:rPr>
          <w:szCs w:val="22"/>
        </w:rPr>
        <w:t xml:space="preserve">(3) </w:t>
      </w:r>
      <w:r w:rsidR="001C2D56" w:rsidRPr="0004356A">
        <w:rPr>
          <w:szCs w:val="22"/>
        </w:rPr>
        <w:t>the amount of each proposed award</w:t>
      </w:r>
      <w:r w:rsidR="001C2D56">
        <w:rPr>
          <w:szCs w:val="22"/>
        </w:rPr>
        <w:t>. The Commission will post the NOPA at its</w:t>
      </w:r>
      <w:r w:rsidR="001C2D56" w:rsidRPr="0004356A">
        <w:rPr>
          <w:szCs w:val="22"/>
        </w:rPr>
        <w:t xml:space="preserve"> headquarters in S</w:t>
      </w:r>
      <w:r w:rsidR="001C2D56">
        <w:rPr>
          <w:szCs w:val="22"/>
        </w:rPr>
        <w:t>acramento and on its w</w:t>
      </w:r>
      <w:r w:rsidR="001C2D56" w:rsidRPr="0004356A">
        <w:rPr>
          <w:szCs w:val="22"/>
        </w:rPr>
        <w:t>eb</w:t>
      </w:r>
      <w:r w:rsidR="001C2D56">
        <w:rPr>
          <w:szCs w:val="22"/>
        </w:rPr>
        <w:t>s</w:t>
      </w:r>
      <w:r w:rsidR="001C2D56" w:rsidRPr="0004356A">
        <w:rPr>
          <w:szCs w:val="22"/>
        </w:rPr>
        <w:t xml:space="preserve">ite, and will mail </w:t>
      </w:r>
      <w:r w:rsidR="001C2D56">
        <w:rPr>
          <w:szCs w:val="22"/>
        </w:rPr>
        <w:t>it</w:t>
      </w:r>
      <w:r w:rsidR="001C2D56" w:rsidRPr="0004356A">
        <w:rPr>
          <w:szCs w:val="22"/>
        </w:rPr>
        <w:t xml:space="preserve"> to all </w:t>
      </w:r>
      <w:r w:rsidR="00393F3E">
        <w:rPr>
          <w:szCs w:val="22"/>
        </w:rPr>
        <w:t>parties</w:t>
      </w:r>
      <w:r w:rsidR="00393F3E" w:rsidRPr="0004356A">
        <w:rPr>
          <w:szCs w:val="22"/>
        </w:rPr>
        <w:t xml:space="preserve"> </w:t>
      </w:r>
      <w:r w:rsidR="001C2D56" w:rsidRPr="0004356A">
        <w:rPr>
          <w:szCs w:val="22"/>
        </w:rPr>
        <w:t>that submitted an application</w:t>
      </w:r>
      <w:r w:rsidR="001C2D56" w:rsidRPr="0004356A">
        <w:rPr>
          <w:szCs w:val="24"/>
        </w:rPr>
        <w:t xml:space="preserve">.  </w:t>
      </w:r>
      <w:r w:rsidR="00514C5C">
        <w:rPr>
          <w:szCs w:val="24"/>
        </w:rPr>
        <w:t>Proposed awards must be approved by the Commission at a business meeting.</w:t>
      </w:r>
    </w:p>
    <w:p w14:paraId="5EA8D4DB" w14:textId="77777777" w:rsidR="005E52CD" w:rsidRDefault="001C2D56" w:rsidP="00B07493">
      <w:pPr>
        <w:numPr>
          <w:ilvl w:val="0"/>
          <w:numId w:val="29"/>
        </w:numPr>
        <w:spacing w:after="0"/>
        <w:ind w:left="360" w:firstLine="0"/>
        <w:jc w:val="both"/>
      </w:pPr>
      <w:r w:rsidRPr="00DD53E9">
        <w:rPr>
          <w:b/>
        </w:rPr>
        <w:t>Debriefings:</w:t>
      </w:r>
      <w:r>
        <w:t xml:space="preserve">  </w:t>
      </w:r>
      <w:r w:rsidRPr="00DD53E9">
        <w:rPr>
          <w:szCs w:val="22"/>
        </w:rPr>
        <w:t xml:space="preserve">Unsuccessful applicants may request a debriefing after the release </w:t>
      </w:r>
      <w:r w:rsidR="00424A73" w:rsidRPr="00DD53E9">
        <w:rPr>
          <w:szCs w:val="22"/>
        </w:rPr>
        <w:t>of the</w:t>
      </w:r>
    </w:p>
    <w:p w14:paraId="0DFACA27" w14:textId="77777777" w:rsidR="001C2D56" w:rsidRPr="00BC0F1F" w:rsidRDefault="001C2D56" w:rsidP="001D3021">
      <w:pPr>
        <w:spacing w:after="0"/>
        <w:ind w:left="720"/>
        <w:jc w:val="both"/>
      </w:pPr>
      <w:r w:rsidRPr="00DD53E9">
        <w:rPr>
          <w:szCs w:val="22"/>
        </w:rPr>
        <w:t>NOPA</w:t>
      </w:r>
      <w:r>
        <w:rPr>
          <w:szCs w:val="22"/>
        </w:rPr>
        <w:t xml:space="preserve"> by contacting the </w:t>
      </w:r>
      <w:r w:rsidR="0084366A">
        <w:rPr>
          <w:szCs w:val="22"/>
        </w:rPr>
        <w:t xml:space="preserve">Commission </w:t>
      </w:r>
      <w:r>
        <w:rPr>
          <w:szCs w:val="22"/>
        </w:rPr>
        <w:t xml:space="preserve">Agreement Officer listed in Part </w:t>
      </w:r>
      <w:proofErr w:type="gramStart"/>
      <w:r>
        <w:rPr>
          <w:szCs w:val="22"/>
        </w:rPr>
        <w:t>I</w:t>
      </w:r>
      <w:proofErr w:type="gramEnd"/>
      <w:r w:rsidRPr="00DD53E9">
        <w:rPr>
          <w:szCs w:val="22"/>
        </w:rPr>
        <w:t xml:space="preserve">.  A request for debriefing must be received </w:t>
      </w:r>
      <w:r w:rsidRPr="00DD53E9">
        <w:rPr>
          <w:b/>
          <w:szCs w:val="22"/>
        </w:rPr>
        <w:t xml:space="preserve">no later than </w:t>
      </w:r>
      <w:r w:rsidR="001D57CC">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6929DF8E" w14:textId="77777777" w:rsidR="005E52CD" w:rsidRDefault="00E67E91" w:rsidP="00B07493">
      <w:pPr>
        <w:numPr>
          <w:ilvl w:val="0"/>
          <w:numId w:val="29"/>
        </w:numPr>
        <w:spacing w:after="0"/>
        <w:ind w:left="360" w:firstLine="0"/>
        <w:jc w:val="both"/>
      </w:pPr>
      <w:r>
        <w:t>In addition to any of its other rights, t</w:t>
      </w:r>
      <w:r w:rsidR="001C2D56" w:rsidRPr="0093474F">
        <w:t>he Energy Commission reserves the right to:</w:t>
      </w:r>
    </w:p>
    <w:p w14:paraId="06723CEE" w14:textId="77777777" w:rsidR="005E52CD" w:rsidRDefault="001C2D56" w:rsidP="00B07493">
      <w:pPr>
        <w:numPr>
          <w:ilvl w:val="1"/>
          <w:numId w:val="29"/>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679830FA" w14:textId="77777777" w:rsidR="005E52CD" w:rsidRDefault="001C2D56" w:rsidP="00B07493">
      <w:pPr>
        <w:numPr>
          <w:ilvl w:val="1"/>
          <w:numId w:val="29"/>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w:t>
      </w:r>
      <w:r w:rsidR="004C42DF">
        <w:t xml:space="preserve">schedule, and/or </w:t>
      </w:r>
      <w:r>
        <w:t>level of funding.</w:t>
      </w:r>
    </w:p>
    <w:p w14:paraId="549BE1B4" w14:textId="77777777" w:rsidR="00050BFA" w:rsidRDefault="00050BFA" w:rsidP="00CE0646">
      <w:pPr>
        <w:spacing w:after="0"/>
        <w:ind w:left="1800"/>
        <w:jc w:val="both"/>
      </w:pPr>
    </w:p>
    <w:p w14:paraId="7B2E8C08" w14:textId="77777777" w:rsidR="0040653E" w:rsidRPr="00151FE6" w:rsidRDefault="001C2D56" w:rsidP="0018649E">
      <w:pPr>
        <w:numPr>
          <w:ilvl w:val="0"/>
          <w:numId w:val="65"/>
        </w:numPr>
        <w:tabs>
          <w:tab w:val="left" w:pos="720"/>
        </w:tabs>
        <w:ind w:left="360" w:firstLine="0"/>
        <w:jc w:val="both"/>
        <w:rPr>
          <w:b/>
          <w:sz w:val="24"/>
          <w:szCs w:val="24"/>
        </w:rPr>
      </w:pPr>
      <w:r w:rsidRPr="00151FE6">
        <w:rPr>
          <w:b/>
          <w:sz w:val="24"/>
          <w:szCs w:val="24"/>
        </w:rPr>
        <w:t xml:space="preserve"> Agreements</w:t>
      </w:r>
    </w:p>
    <w:p w14:paraId="43BF0059" w14:textId="77777777" w:rsidR="001C2D56" w:rsidRDefault="001C2D56" w:rsidP="00930FF1">
      <w:pPr>
        <w:jc w:val="both"/>
      </w:pPr>
      <w:r w:rsidRPr="00C31C1D">
        <w:t>Applications recommended for funding will be developed into a grant agreement to be considered at an Energy Commission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n Energy Commission</w:t>
      </w:r>
      <w:r>
        <w:t xml:space="preserve"> business meeting and signature by the Recipient and the Energy Commission)</w:t>
      </w:r>
      <w:r w:rsidRPr="00BB6E63">
        <w:t>.</w:t>
      </w:r>
    </w:p>
    <w:p w14:paraId="117D3079" w14:textId="35B0140F" w:rsidR="001C2D56" w:rsidRDefault="001C2D56" w:rsidP="00B07493">
      <w:pPr>
        <w:numPr>
          <w:ilvl w:val="0"/>
          <w:numId w:val="25"/>
        </w:numPr>
        <w:spacing w:after="40"/>
        <w:jc w:val="both"/>
      </w:pPr>
      <w:r w:rsidRPr="00AE2EF1">
        <w:rPr>
          <w:b/>
        </w:rPr>
        <w:t>Resolution Requirement</w:t>
      </w:r>
      <w:r>
        <w:t xml:space="preserve"> </w:t>
      </w:r>
      <w:r>
        <w:rPr>
          <w:b/>
          <w:i/>
        </w:rPr>
        <w:t>(for government</w:t>
      </w:r>
      <w:r w:rsidRPr="00F00B82">
        <w:rPr>
          <w:b/>
          <w:i/>
        </w:rPr>
        <w:t xml:space="preserve"> agency recipients only)</w:t>
      </w:r>
      <w:r w:rsidRPr="00F00B82">
        <w:rPr>
          <w:b/>
        </w:rPr>
        <w:t xml:space="preserve">:  </w:t>
      </w:r>
      <w:r>
        <w:t xml:space="preserve">Prior to approval of the agreement at a business meeting, government agency recipients (e.g., federal, </w:t>
      </w:r>
      <w:r w:rsidR="00D338B4">
        <w:t>State</w:t>
      </w:r>
      <w:r>
        <w:t>, and local governments; air/water/school districts</w:t>
      </w:r>
      <w:r w:rsidR="0028152B">
        <w:t>;</w:t>
      </w:r>
      <w:r>
        <w:t xml:space="preserve"> joint power authorities</w:t>
      </w:r>
      <w:r w:rsidR="0028152B">
        <w:t>;</w:t>
      </w:r>
      <w:r>
        <w:t xml:space="preserve"> and </w:t>
      </w:r>
      <w:r w:rsidR="00D338B4">
        <w:t>State</w:t>
      </w:r>
      <w:r>
        <w:t xml:space="preserve"> universities) must provide a resolution that authorizes the agency to enter into the agreement and is signed by a representative authorized to execute the agreement and all documents related to the award.  </w:t>
      </w:r>
    </w:p>
    <w:p w14:paraId="0AB95924" w14:textId="77777777" w:rsidR="001C2D56" w:rsidRDefault="001C2D56" w:rsidP="009C675F">
      <w:pPr>
        <w:spacing w:after="0"/>
        <w:ind w:left="720"/>
        <w:jc w:val="both"/>
      </w:pPr>
      <w:r>
        <w:t xml:space="preserve">Resolutions must include: (1) a brief description of the project; (2) the award amount; and (3) an acceptance of the award. </w:t>
      </w:r>
    </w:p>
    <w:p w14:paraId="039D82FD" w14:textId="09AF8DE5" w:rsidR="001C2D56" w:rsidRPr="00BB6E63" w:rsidRDefault="00E4013B" w:rsidP="00B07493">
      <w:pPr>
        <w:numPr>
          <w:ilvl w:val="0"/>
          <w:numId w:val="25"/>
        </w:numPr>
        <w:spacing w:after="0"/>
        <w:jc w:val="both"/>
      </w:pPr>
      <w:r w:rsidRPr="00E4013B">
        <w:rPr>
          <w:b/>
        </w:rPr>
        <w:t>Agreement Development:</w:t>
      </w:r>
      <w:r>
        <w:t xml:space="preserve"> </w:t>
      </w:r>
      <w:r w:rsidR="00DB79C7">
        <w:t>If approved at a business meeting 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by reference.  </w:t>
      </w:r>
      <w:r w:rsidR="001C2D56" w:rsidRPr="00BB6E63">
        <w:t xml:space="preserve">The Energy Commission reserves the right to modify the </w:t>
      </w:r>
      <w:r w:rsidR="001C2D56">
        <w:t xml:space="preserve">award documents (including the </w:t>
      </w:r>
      <w:r w:rsidR="001C2D56" w:rsidRPr="00BB6E63">
        <w:t>terms and conditions</w:t>
      </w:r>
      <w:r w:rsidR="001C2D56">
        <w:t>) prior to executing any agreement.</w:t>
      </w:r>
    </w:p>
    <w:p w14:paraId="4CB6CD45" w14:textId="77777777" w:rsidR="001C2D56" w:rsidRDefault="00E4013B" w:rsidP="00B07493">
      <w:pPr>
        <w:numPr>
          <w:ilvl w:val="0"/>
          <w:numId w:val="25"/>
        </w:numPr>
        <w:spacing w:after="0"/>
        <w:jc w:val="both"/>
      </w:pPr>
      <w:r w:rsidRPr="00E4013B">
        <w:rPr>
          <w:b/>
        </w:rPr>
        <w:t>Failure to Execute an Agreement:</w:t>
      </w:r>
      <w:r>
        <w:t xml:space="preserve"> </w:t>
      </w:r>
      <w:r w:rsidR="001C2D56">
        <w:t xml:space="preserve">If the Energy Commission is </w:t>
      </w:r>
      <w:r w:rsidR="001C2D56" w:rsidRPr="0093474F">
        <w:t>unable to succe</w:t>
      </w:r>
      <w:r w:rsidR="001C2D56">
        <w:t>ssfully execute an agreement with an a</w:t>
      </w:r>
      <w:r w:rsidR="001C2D56" w:rsidRPr="0093474F">
        <w:t xml:space="preserve">pplicant, </w:t>
      </w:r>
      <w:r w:rsidR="001C2D56">
        <w:t xml:space="preserve">it reserves the right to </w:t>
      </w:r>
      <w:r w:rsidR="001C2D56" w:rsidRPr="0093474F">
        <w:t xml:space="preserve">cancel the pending </w:t>
      </w:r>
      <w:r w:rsidR="001C2D56">
        <w:t>award and to fund the next highest-</w:t>
      </w:r>
      <w:r w:rsidR="001C2D56" w:rsidRPr="0093474F">
        <w:t>ranked</w:t>
      </w:r>
      <w:r w:rsidR="001C2D56">
        <w:t>,</w:t>
      </w:r>
      <w:r w:rsidR="001C2D56" w:rsidRPr="0093474F">
        <w:t xml:space="preserve"> eligible application.</w:t>
      </w:r>
    </w:p>
    <w:p w14:paraId="1BEDB419" w14:textId="77777777" w:rsidR="001C2D56" w:rsidRDefault="001C2D56" w:rsidP="00B07493">
      <w:pPr>
        <w:numPr>
          <w:ilvl w:val="0"/>
          <w:numId w:val="25"/>
        </w:numPr>
        <w:spacing w:after="0"/>
        <w:jc w:val="both"/>
      </w:pPr>
      <w:r w:rsidRPr="00057859">
        <w:rPr>
          <w:b/>
        </w:rPr>
        <w:t>Agreement Amendment:</w:t>
      </w:r>
      <w:r>
        <w:t xml:space="preserve"> </w:t>
      </w:r>
      <w:r w:rsidRPr="00C31C1D">
        <w:t xml:space="preserve">The </w:t>
      </w:r>
      <w:r>
        <w:t xml:space="preserve">executed </w:t>
      </w:r>
      <w:r w:rsidRPr="00C31C1D">
        <w:t xml:space="preserve">agreement </w:t>
      </w:r>
      <w:r>
        <w:t>may</w:t>
      </w:r>
      <w:r w:rsidRPr="00C31C1D">
        <w:t xml:space="preserve"> be amended by</w:t>
      </w:r>
      <w:r w:rsidRPr="00057859">
        <w:t xml:space="preserve"> </w:t>
      </w:r>
      <w:r w:rsidRPr="00C31C1D">
        <w:t>mutual consent</w:t>
      </w:r>
      <w:r w:rsidRPr="00057859">
        <w:t xml:space="preserve"> </w:t>
      </w:r>
      <w:r w:rsidRPr="00C31C1D">
        <w:t xml:space="preserve">of the </w:t>
      </w:r>
      <w:r>
        <w:t xml:space="preserve">Energy </w:t>
      </w:r>
      <w:r w:rsidRPr="00C31C1D">
        <w:t>Commission and the Recipient.  The agreement</w:t>
      </w:r>
      <w:r w:rsidRPr="00057859">
        <w:t xml:space="preserve"> </w:t>
      </w:r>
      <w:r w:rsidRPr="00C31C1D">
        <w:t>may require</w:t>
      </w:r>
    </w:p>
    <w:p w14:paraId="0922E95E" w14:textId="77777777" w:rsidR="001C2D56" w:rsidRPr="00B86F63" w:rsidRDefault="001C2D56" w:rsidP="00B771A1">
      <w:pPr>
        <w:spacing w:after="240"/>
        <w:ind w:left="720"/>
        <w:jc w:val="both"/>
        <w:rPr>
          <w:b/>
          <w:highlight w:val="yellow"/>
        </w:rPr>
      </w:pPr>
      <w:proofErr w:type="gramStart"/>
      <w:r w:rsidRPr="00C31C1D">
        <w:t>amendment</w:t>
      </w:r>
      <w:proofErr w:type="gramEnd"/>
      <w:r w:rsidRPr="00C31C1D">
        <w:t xml:space="preserve"> as a result of project review, changes in project scope, </w:t>
      </w:r>
      <w:r>
        <w:t>and/</w:t>
      </w:r>
      <w:r w:rsidRPr="00C31C1D">
        <w:t>or availability of funding</w:t>
      </w:r>
      <w:r w:rsidRPr="00057859">
        <w:rPr>
          <w:szCs w:val="22"/>
        </w:rPr>
        <w:t>.</w:t>
      </w:r>
    </w:p>
    <w:p w14:paraId="1B5F7D2A" w14:textId="77777777" w:rsidR="001C2D56" w:rsidRPr="0049776E" w:rsidRDefault="001C2D56" w:rsidP="0018649E">
      <w:pPr>
        <w:pStyle w:val="Heading2"/>
        <w:numPr>
          <w:ilvl w:val="0"/>
          <w:numId w:val="30"/>
        </w:numPr>
        <w:ind w:left="360"/>
        <w:jc w:val="both"/>
        <w:rPr>
          <w:sz w:val="26"/>
          <w:szCs w:val="26"/>
        </w:rPr>
      </w:pPr>
      <w:bookmarkStart w:id="176" w:name="_Toc20331596"/>
      <w:bookmarkStart w:id="177" w:name="_Toc27467033"/>
      <w:bookmarkStart w:id="178" w:name="_Toc366671196"/>
      <w:r w:rsidRPr="0049776E">
        <w:rPr>
          <w:sz w:val="26"/>
          <w:szCs w:val="26"/>
        </w:rPr>
        <w:t>Grounds to Reject an Application or Cancel an Award</w:t>
      </w:r>
      <w:bookmarkEnd w:id="176"/>
      <w:bookmarkEnd w:id="177"/>
    </w:p>
    <w:bookmarkEnd w:id="178"/>
    <w:p w14:paraId="395168B5" w14:textId="77777777" w:rsidR="001C2D56" w:rsidRPr="00C31C1D" w:rsidRDefault="001C2D56" w:rsidP="000E6E9B">
      <w:pPr>
        <w:jc w:val="both"/>
      </w:pPr>
      <w:r>
        <w:t>Applications that do not pass the screening stage will be rejected.  In addition</w:t>
      </w:r>
      <w:r w:rsidRPr="00C31C1D">
        <w:t xml:space="preserve">, the Energy Commission reserves the right to reject an application and/or </w:t>
      </w:r>
      <w:r>
        <w:t xml:space="preserve">to </w:t>
      </w:r>
      <w:r w:rsidRPr="00C31C1D">
        <w:t>cancel an award i</w:t>
      </w:r>
      <w:r w:rsidR="00E67E91">
        <w:t>n</w:t>
      </w:r>
      <w:r w:rsidR="009B6FB6">
        <w:t xml:space="preserve"> any of</w:t>
      </w:r>
      <w:r w:rsidRPr="00C31C1D">
        <w:t xml:space="preserve"> the following circumstances</w:t>
      </w:r>
      <w:r w:rsidR="00E67E91">
        <w:t>:</w:t>
      </w:r>
      <w:r w:rsidRPr="00C31C1D">
        <w:t xml:space="preserve"> </w:t>
      </w:r>
    </w:p>
    <w:p w14:paraId="032AC74B"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B2C2C10" w14:textId="77777777" w:rsidR="001C2D56" w:rsidRPr="00C31C1D" w:rsidRDefault="001C2D56" w:rsidP="008D60A8">
      <w:pPr>
        <w:numPr>
          <w:ilvl w:val="0"/>
          <w:numId w:val="9"/>
        </w:numPr>
        <w:spacing w:after="0"/>
        <w:jc w:val="both"/>
      </w:pPr>
      <w:r w:rsidRPr="00C31C1D">
        <w:t>The</w:t>
      </w:r>
      <w:r>
        <w:t xml:space="preserve"> a</w:t>
      </w:r>
      <w:r w:rsidRPr="00C31C1D">
        <w:t>pplication is intended to erroneously and fallaciously mislead the State in its evaluation and the attribute, condition, or capability is a requirement of this solicitation.</w:t>
      </w:r>
    </w:p>
    <w:p w14:paraId="08A334EA"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7831A9FB" w14:textId="26BB5A16" w:rsidR="001C2D56" w:rsidRPr="00C31C1D" w:rsidRDefault="001C2D56" w:rsidP="008D60A8">
      <w:pPr>
        <w:numPr>
          <w:ilvl w:val="0"/>
          <w:numId w:val="10"/>
        </w:numPr>
        <w:spacing w:after="0"/>
        <w:jc w:val="both"/>
      </w:pPr>
      <w:r w:rsidRPr="00C31C1D">
        <w:rPr>
          <w:szCs w:val="22"/>
        </w:rPr>
        <w:t xml:space="preserve">The applicant has previously received funding through a Public Interest Energy Research (PIER) </w:t>
      </w:r>
      <w:r w:rsidR="00DB79C7">
        <w:rPr>
          <w:szCs w:val="22"/>
        </w:rPr>
        <w:t xml:space="preserve">or EPIC </w:t>
      </w:r>
      <w:r w:rsidRPr="00C31C1D">
        <w:rPr>
          <w:szCs w:val="22"/>
        </w:rPr>
        <w:t>ag</w:t>
      </w:r>
      <w:r>
        <w:rPr>
          <w:szCs w:val="22"/>
        </w:rPr>
        <w:t>reement, has received the PIER royalty r</w:t>
      </w:r>
      <w:r w:rsidRPr="00C31C1D">
        <w:rPr>
          <w:szCs w:val="22"/>
        </w:rPr>
        <w:t xml:space="preserve">eview letter </w:t>
      </w:r>
      <w:r>
        <w:rPr>
          <w:szCs w:val="22"/>
        </w:rPr>
        <w:t>(</w:t>
      </w:r>
      <w:r w:rsidRPr="00C31C1D">
        <w:rPr>
          <w:szCs w:val="22"/>
        </w:rPr>
        <w:t>which the Energy Commission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2452EC22" w14:textId="5E69A0C4"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Energy Commission or another California </w:t>
      </w:r>
      <w:r w:rsidR="00D338B4">
        <w:t>State</w:t>
      </w:r>
      <w:r w:rsidRPr="00C31C1D">
        <w:t xml:space="preserve"> agenc</w:t>
      </w:r>
      <w:r>
        <w:t>y</w:t>
      </w:r>
      <w:r w:rsidRPr="00C31C1D">
        <w:t>.</w:t>
      </w:r>
    </w:p>
    <w:p w14:paraId="1C39A833" w14:textId="77777777" w:rsidR="009F1017" w:rsidRPr="00C31C1D" w:rsidRDefault="009F1017" w:rsidP="008D60A8">
      <w:pPr>
        <w:numPr>
          <w:ilvl w:val="0"/>
          <w:numId w:val="10"/>
        </w:numPr>
        <w:spacing w:after="0"/>
        <w:jc w:val="both"/>
      </w:pPr>
      <w:r>
        <w:lastRenderedPageBreak/>
        <w:t>The applicant is a business entity that is not in good standing with the California Secretary of State.</w:t>
      </w:r>
    </w:p>
    <w:p w14:paraId="6AF669D1"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0A466719" w14:textId="77777777" w:rsidR="00C47F3C" w:rsidRDefault="00C47F3C" w:rsidP="00C47F3C">
      <w:pPr>
        <w:numPr>
          <w:ilvl w:val="0"/>
          <w:numId w:val="10"/>
        </w:numPr>
        <w:spacing w:after="0"/>
        <w:jc w:val="both"/>
      </w:pPr>
      <w:r>
        <w:t xml:space="preserve">The applicant fails to meet CEQA compliance within </w:t>
      </w:r>
      <w:r w:rsidR="00BA62D7" w:rsidRPr="00CF255E">
        <w:t>sufficient time for the Energy Commission to meet its encumbrance deadline, as the Energy Commission in its sole and absolute discretion may determine</w:t>
      </w:r>
      <w:r w:rsidRPr="0078204F">
        <w:t>.</w:t>
      </w:r>
    </w:p>
    <w:p w14:paraId="49EDDA69"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44E0CE0E"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identify any portion of the application as confidential.</w:t>
      </w:r>
    </w:p>
    <w:p w14:paraId="7F4DB5BD" w14:textId="77777777" w:rsidR="001D57CC" w:rsidRDefault="001D57CC" w:rsidP="006643EF">
      <w:pPr>
        <w:spacing w:after="0"/>
        <w:ind w:left="720"/>
        <w:jc w:val="both"/>
      </w:pPr>
    </w:p>
    <w:p w14:paraId="63421EE0" w14:textId="77777777" w:rsidR="001C2D56" w:rsidRPr="0049776E" w:rsidRDefault="001C2D56" w:rsidP="0018649E">
      <w:pPr>
        <w:pStyle w:val="Heading2"/>
        <w:numPr>
          <w:ilvl w:val="0"/>
          <w:numId w:val="30"/>
        </w:numPr>
        <w:ind w:left="360"/>
        <w:jc w:val="both"/>
        <w:rPr>
          <w:sz w:val="26"/>
          <w:szCs w:val="26"/>
        </w:rPr>
      </w:pPr>
      <w:bookmarkStart w:id="179" w:name="_Toc20331597"/>
      <w:bookmarkStart w:id="180" w:name="_Toc27467034"/>
      <w:r w:rsidRPr="0049776E">
        <w:rPr>
          <w:sz w:val="26"/>
          <w:szCs w:val="26"/>
        </w:rPr>
        <w:t>Miscellaneous</w:t>
      </w:r>
      <w:bookmarkEnd w:id="179"/>
      <w:bookmarkEnd w:id="180"/>
    </w:p>
    <w:p w14:paraId="7AA76418" w14:textId="77777777" w:rsidR="000E331F" w:rsidRPr="00151FE6" w:rsidRDefault="001C2D56" w:rsidP="0018649E">
      <w:pPr>
        <w:pStyle w:val="ListParagraph"/>
        <w:numPr>
          <w:ilvl w:val="0"/>
          <w:numId w:val="66"/>
        </w:numPr>
        <w:ind w:left="720" w:hanging="360"/>
        <w:rPr>
          <w:b/>
          <w:sz w:val="24"/>
          <w:szCs w:val="24"/>
        </w:rPr>
      </w:pPr>
      <w:bookmarkStart w:id="181" w:name="_Toc381079937"/>
      <w:bookmarkStart w:id="182" w:name="_Toc382571200"/>
      <w:bookmarkStart w:id="183" w:name="_Toc395180710"/>
      <w:bookmarkStart w:id="184" w:name="_Toc433981339"/>
      <w:r w:rsidRPr="00151FE6">
        <w:rPr>
          <w:b/>
          <w:sz w:val="24"/>
          <w:szCs w:val="24"/>
        </w:rPr>
        <w:t>Solicitation Cancellation and Amendment</w:t>
      </w:r>
      <w:bookmarkEnd w:id="181"/>
      <w:bookmarkEnd w:id="182"/>
      <w:bookmarkEnd w:id="183"/>
      <w:bookmarkEnd w:id="184"/>
    </w:p>
    <w:p w14:paraId="02B7DC11" w14:textId="77777777" w:rsidR="00344986" w:rsidRDefault="001C2D56" w:rsidP="00BC0A05">
      <w:bookmarkStart w:id="185" w:name="_Toc381079938"/>
      <w:bookmarkStart w:id="186" w:name="_Toc382571201"/>
      <w:bookmarkStart w:id="187" w:name="_Toc395180711"/>
      <w:r w:rsidRPr="00AF6F4C">
        <w:t>It is the policy of the Energy Commission not to solicit applications unless there is a b</w:t>
      </w:r>
      <w:r>
        <w:t>ona fide intention to award an a</w:t>
      </w:r>
      <w:r w:rsidR="00600DCF">
        <w:t xml:space="preserve">greement. </w:t>
      </w:r>
      <w:r w:rsidRPr="00AF6F4C">
        <w:t>However, if it is in the State’s best interest, the Energy Commission reserves the right</w:t>
      </w:r>
      <w:r w:rsidR="00C264F4">
        <w:t>, in addition to any other rights it has,</w:t>
      </w:r>
      <w:r w:rsidRPr="00AF6F4C">
        <w:t xml:space="preserve"> to do any of the following:</w:t>
      </w:r>
      <w:bookmarkEnd w:id="185"/>
      <w:bookmarkEnd w:id="186"/>
      <w:bookmarkEnd w:id="187"/>
    </w:p>
    <w:p w14:paraId="628228A7"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365E7C84"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61DBA95F"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42FD7E0C"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11D978B7" w14:textId="2A57A7CA" w:rsidR="001C2D56" w:rsidRPr="00D35C41" w:rsidRDefault="001C2D56" w:rsidP="00000458">
      <w:pPr>
        <w:jc w:val="both"/>
        <w:rPr>
          <w:szCs w:val="22"/>
        </w:rPr>
      </w:pPr>
      <w:r w:rsidRPr="00D35C41">
        <w:rPr>
          <w:szCs w:val="22"/>
        </w:rPr>
        <w:t xml:space="preserve">If the solicitation is amended, the Energy Commission will send an addendum to all </w:t>
      </w:r>
      <w:r w:rsidR="00E565F3">
        <w:rPr>
          <w:szCs w:val="22"/>
        </w:rPr>
        <w:t>parties</w:t>
      </w:r>
      <w:r w:rsidR="00E565F3" w:rsidRPr="00D35C41">
        <w:rPr>
          <w:szCs w:val="22"/>
        </w:rPr>
        <w:t xml:space="preserve"> </w:t>
      </w:r>
      <w:r w:rsidR="00E565F3">
        <w:rPr>
          <w:szCs w:val="22"/>
        </w:rPr>
        <w:t>who</w:t>
      </w:r>
      <w:r w:rsidR="00E565F3" w:rsidRPr="00D35C41">
        <w:rPr>
          <w:szCs w:val="22"/>
        </w:rPr>
        <w:t xml:space="preserve"> </w:t>
      </w:r>
      <w:r w:rsidRPr="00D35C41">
        <w:rPr>
          <w:szCs w:val="22"/>
        </w:rPr>
        <w:t xml:space="preserve">requested the solicitation, and will also post it on the Energy Commission’s website at: </w:t>
      </w:r>
      <w:r w:rsidR="00BF2373" w:rsidRPr="00E05A1F">
        <w:t>www.energy.ca.gov/contracts</w:t>
      </w:r>
      <w:r w:rsidRPr="00D35C41">
        <w:rPr>
          <w:szCs w:val="22"/>
        </w:rPr>
        <w:t>.</w:t>
      </w:r>
      <w:r>
        <w:rPr>
          <w:szCs w:val="22"/>
        </w:rPr>
        <w:t xml:space="preserve"> The Energy Commission will not reimburse applicants for application development expenses under any circumstances, including cancellation of the solicitation.</w:t>
      </w:r>
    </w:p>
    <w:p w14:paraId="5EF8BC9A" w14:textId="77777777" w:rsidR="000E331F" w:rsidRPr="00151FE6" w:rsidRDefault="001C2D56" w:rsidP="0018649E">
      <w:pPr>
        <w:pStyle w:val="ListParagraph"/>
        <w:numPr>
          <w:ilvl w:val="0"/>
          <w:numId w:val="66"/>
        </w:numPr>
        <w:ind w:left="720" w:hanging="360"/>
        <w:rPr>
          <w:b/>
          <w:sz w:val="24"/>
          <w:szCs w:val="24"/>
        </w:rPr>
      </w:pPr>
      <w:bookmarkStart w:id="188" w:name="_Toc381079939"/>
      <w:bookmarkStart w:id="189" w:name="_Toc382571202"/>
      <w:bookmarkStart w:id="190" w:name="_Toc395180712"/>
      <w:bookmarkStart w:id="191" w:name="_Toc433981340"/>
      <w:r w:rsidRPr="00151FE6">
        <w:rPr>
          <w:b/>
          <w:sz w:val="24"/>
          <w:szCs w:val="24"/>
        </w:rPr>
        <w:t>Modification or Withdrawal of Application</w:t>
      </w:r>
      <w:bookmarkEnd w:id="188"/>
      <w:bookmarkEnd w:id="189"/>
      <w:bookmarkEnd w:id="190"/>
      <w:bookmarkEnd w:id="191"/>
    </w:p>
    <w:p w14:paraId="07683BA9"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Applications cannot be changed after that date and time.  An Application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44C58275" w14:textId="77777777" w:rsidR="000E331F" w:rsidRPr="00151FE6" w:rsidRDefault="00F615BA" w:rsidP="0018649E">
      <w:pPr>
        <w:pStyle w:val="ListParagraph"/>
        <w:numPr>
          <w:ilvl w:val="0"/>
          <w:numId w:val="66"/>
        </w:numPr>
        <w:ind w:left="720" w:hanging="360"/>
        <w:rPr>
          <w:b/>
          <w:sz w:val="24"/>
          <w:szCs w:val="24"/>
        </w:rPr>
      </w:pPr>
      <w:bookmarkStart w:id="192" w:name="_Toc381079940"/>
      <w:bookmarkStart w:id="193" w:name="_Toc382571203"/>
      <w:bookmarkStart w:id="194" w:name="_Toc395180713"/>
      <w:bookmarkStart w:id="195" w:name="_Toc433981341"/>
      <w:bookmarkStart w:id="196" w:name="_Toc381079941"/>
      <w:r w:rsidRPr="00151FE6">
        <w:rPr>
          <w:b/>
          <w:sz w:val="24"/>
          <w:szCs w:val="24"/>
        </w:rPr>
        <w:t>Confidentiality</w:t>
      </w:r>
      <w:bookmarkEnd w:id="192"/>
      <w:bookmarkEnd w:id="193"/>
      <w:bookmarkEnd w:id="194"/>
      <w:bookmarkEnd w:id="195"/>
    </w:p>
    <w:p w14:paraId="682AA7F4" w14:textId="77777777" w:rsidR="001D740D" w:rsidRPr="008B5A2C" w:rsidRDefault="00F615BA" w:rsidP="001D740D">
      <w:pPr>
        <w:spacing w:after="160"/>
        <w:jc w:val="both"/>
        <w:rPr>
          <w:i/>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Energy Commission posts the NOPA or the solicitation is cancelled.</w:t>
      </w:r>
      <w:r>
        <w:t xml:space="preserve">  </w:t>
      </w:r>
      <w:r w:rsidRPr="00A535A6">
        <w:rPr>
          <w:b/>
        </w:rPr>
        <w:t xml:space="preserve">The Energy Commission will not accept or retain applications that identify any </w:t>
      </w:r>
      <w:r w:rsidR="006E3A05">
        <w:rPr>
          <w:b/>
        </w:rPr>
        <w:t>portion</w:t>
      </w:r>
      <w:r w:rsidR="006E3A05" w:rsidRPr="00A535A6">
        <w:rPr>
          <w:b/>
        </w:rPr>
        <w:t xml:space="preserve"> </w:t>
      </w:r>
      <w:r w:rsidRPr="00A535A6">
        <w:rPr>
          <w:b/>
        </w:rPr>
        <w:t>as confidential</w:t>
      </w:r>
      <w:r w:rsidRPr="008B5A2C">
        <w:rPr>
          <w:b/>
        </w:rPr>
        <w:t>.</w:t>
      </w:r>
      <w:r w:rsidR="005028D9" w:rsidRPr="008B5A2C" w:rsidDel="005028D9">
        <w:t xml:space="preserve"> </w:t>
      </w:r>
    </w:p>
    <w:p w14:paraId="477A3998" w14:textId="77777777" w:rsidR="000E331F" w:rsidRPr="00151FE6" w:rsidRDefault="001C2D56" w:rsidP="0018649E">
      <w:pPr>
        <w:pStyle w:val="ListParagraph"/>
        <w:keepNext/>
        <w:keepLines/>
        <w:numPr>
          <w:ilvl w:val="0"/>
          <w:numId w:val="66"/>
        </w:numPr>
        <w:ind w:left="720" w:hanging="360"/>
        <w:rPr>
          <w:b/>
          <w:sz w:val="24"/>
          <w:szCs w:val="24"/>
        </w:rPr>
      </w:pPr>
      <w:bookmarkStart w:id="197" w:name="_Toc382571204"/>
      <w:bookmarkStart w:id="198" w:name="_Toc395180714"/>
      <w:bookmarkStart w:id="199" w:name="_Toc433981342"/>
      <w:r w:rsidRPr="00151FE6">
        <w:rPr>
          <w:b/>
          <w:sz w:val="24"/>
          <w:szCs w:val="24"/>
        </w:rPr>
        <w:lastRenderedPageBreak/>
        <w:t>Solicitation Errors</w:t>
      </w:r>
      <w:bookmarkEnd w:id="196"/>
      <w:bookmarkEnd w:id="197"/>
      <w:bookmarkEnd w:id="198"/>
      <w:bookmarkEnd w:id="199"/>
    </w:p>
    <w:p w14:paraId="37006305" w14:textId="4DB46938" w:rsidR="001C2D56" w:rsidRPr="00D35C41" w:rsidRDefault="001C2D56" w:rsidP="009C2A1F">
      <w:pPr>
        <w:keepNext/>
        <w:keepLines/>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Energy Commission of the error in writing and request modification or clarification of the </w:t>
      </w:r>
      <w:r>
        <w:rPr>
          <w:szCs w:val="22"/>
        </w:rPr>
        <w:t>solicitation</w:t>
      </w:r>
      <w:r w:rsidRPr="00D35C41">
        <w:rPr>
          <w:szCs w:val="22"/>
        </w:rPr>
        <w:t xml:space="preserve">.  </w:t>
      </w:r>
      <w:r>
        <w:rPr>
          <w:szCs w:val="22"/>
        </w:rPr>
        <w:t>The Energy Commission will provide m</w:t>
      </w:r>
      <w:r w:rsidRPr="00D35C41">
        <w:rPr>
          <w:szCs w:val="22"/>
        </w:rPr>
        <w:t xml:space="preserve">odifications or clarifications </w:t>
      </w:r>
      <w:r>
        <w:rPr>
          <w:szCs w:val="22"/>
        </w:rPr>
        <w:t>by written notice to</w:t>
      </w:r>
      <w:r w:rsidRPr="00D35C41">
        <w:rPr>
          <w:szCs w:val="22"/>
        </w:rPr>
        <w:t xml:space="preserve"> all </w:t>
      </w:r>
      <w:r w:rsidR="0009243E">
        <w:rPr>
          <w:szCs w:val="22"/>
        </w:rPr>
        <w:t>parties</w:t>
      </w:r>
      <w:r w:rsidR="00275477">
        <w:rPr>
          <w:szCs w:val="22"/>
        </w:rPr>
        <w:t xml:space="preserve"> that</w:t>
      </w:r>
      <w:r w:rsidRPr="00D35C41">
        <w:rPr>
          <w:szCs w:val="22"/>
        </w:rPr>
        <w:t xml:space="preserve"> requested the solicitation.  The Energy Commission will not be responsible for failure to correct errors.</w:t>
      </w:r>
    </w:p>
    <w:p w14:paraId="24E398C0" w14:textId="77777777" w:rsidR="000E331F" w:rsidRPr="00151FE6" w:rsidRDefault="001C2D56" w:rsidP="0018649E">
      <w:pPr>
        <w:pStyle w:val="ListParagraph"/>
        <w:numPr>
          <w:ilvl w:val="0"/>
          <w:numId w:val="66"/>
        </w:numPr>
        <w:ind w:left="720" w:hanging="360"/>
        <w:rPr>
          <w:b/>
          <w:sz w:val="24"/>
          <w:szCs w:val="24"/>
        </w:rPr>
      </w:pPr>
      <w:bookmarkStart w:id="200" w:name="_Toc381079942"/>
      <w:bookmarkStart w:id="201" w:name="_Toc382571205"/>
      <w:bookmarkStart w:id="202" w:name="_Toc395180715"/>
      <w:bookmarkStart w:id="203" w:name="_Toc433981343"/>
      <w:r w:rsidRPr="00151FE6">
        <w:rPr>
          <w:b/>
          <w:sz w:val="24"/>
          <w:szCs w:val="24"/>
        </w:rPr>
        <w:t>Immaterial Defect</w:t>
      </w:r>
      <w:bookmarkEnd w:id="200"/>
      <w:bookmarkEnd w:id="201"/>
      <w:bookmarkEnd w:id="202"/>
      <w:bookmarkEnd w:id="203"/>
    </w:p>
    <w:p w14:paraId="4A67C0BC" w14:textId="77777777" w:rsidR="001C2D56" w:rsidRPr="00D35C41" w:rsidRDefault="001C2D56" w:rsidP="00000458">
      <w:pPr>
        <w:jc w:val="both"/>
        <w:rPr>
          <w:szCs w:val="22"/>
        </w:rPr>
      </w:pPr>
      <w:r w:rsidRPr="00D35C41">
        <w:rPr>
          <w:szCs w:val="22"/>
        </w:rPr>
        <w:t>The Energy Commission may waive any immaterial defect or deviation contai</w:t>
      </w:r>
      <w:r>
        <w:rPr>
          <w:szCs w:val="22"/>
        </w:rPr>
        <w:t xml:space="preserve">ned in an </w:t>
      </w:r>
      <w:r w:rsidRPr="00D35C41">
        <w:rPr>
          <w:szCs w:val="22"/>
        </w:rPr>
        <w:t xml:space="preserve">application.  The Energy Commission’s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0959D4FA" w14:textId="77777777" w:rsidR="000E331F" w:rsidRPr="00151FE6" w:rsidRDefault="001C2D56" w:rsidP="0018649E">
      <w:pPr>
        <w:pStyle w:val="ListParagraph"/>
        <w:numPr>
          <w:ilvl w:val="0"/>
          <w:numId w:val="66"/>
        </w:numPr>
        <w:ind w:left="720" w:hanging="360"/>
        <w:rPr>
          <w:b/>
          <w:sz w:val="24"/>
          <w:szCs w:val="24"/>
        </w:rPr>
      </w:pPr>
      <w:bookmarkStart w:id="204" w:name="_Toc381079943"/>
      <w:bookmarkStart w:id="205" w:name="_Toc382571206"/>
      <w:bookmarkStart w:id="206" w:name="_Toc395180716"/>
      <w:bookmarkStart w:id="207" w:name="_Toc433981344"/>
      <w:r w:rsidRPr="00151FE6">
        <w:rPr>
          <w:b/>
          <w:sz w:val="24"/>
          <w:szCs w:val="24"/>
        </w:rPr>
        <w:t>Disposition of Applicant’s Documents</w:t>
      </w:r>
      <w:bookmarkEnd w:id="204"/>
      <w:bookmarkEnd w:id="205"/>
      <w:bookmarkEnd w:id="206"/>
      <w:bookmarkEnd w:id="207"/>
    </w:p>
    <w:p w14:paraId="564C24C7" w14:textId="77777777" w:rsidR="001C2D56" w:rsidRPr="00D35C41"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I, </w:t>
      </w:r>
      <w:r w:rsidRPr="00D35C41">
        <w:rPr>
          <w:szCs w:val="22"/>
        </w:rPr>
        <w:t>and provide sufficient postage to fund the cost of returning the materials.</w:t>
      </w:r>
    </w:p>
    <w:p w14:paraId="422BDBB5" w14:textId="77777777" w:rsidR="00831395" w:rsidRDefault="00831395" w:rsidP="0018649E">
      <w:pPr>
        <w:pStyle w:val="Heading2"/>
        <w:numPr>
          <w:ilvl w:val="0"/>
          <w:numId w:val="30"/>
        </w:numPr>
        <w:spacing w:before="360"/>
        <w:ind w:left="360"/>
        <w:jc w:val="both"/>
        <w:rPr>
          <w:sz w:val="26"/>
          <w:szCs w:val="26"/>
        </w:rPr>
      </w:pPr>
      <w:bookmarkStart w:id="208" w:name="_Toc433981345"/>
      <w:bookmarkStart w:id="209" w:name="_Toc27467035"/>
      <w:bookmarkStart w:id="210" w:name="_Toc433981346"/>
      <w:bookmarkStart w:id="211" w:name="_Toc20331599"/>
      <w:r>
        <w:rPr>
          <w:sz w:val="26"/>
          <w:szCs w:val="26"/>
        </w:rPr>
        <w:t>Stage One:  Application Screening</w:t>
      </w:r>
      <w:bookmarkEnd w:id="208"/>
      <w:bookmarkEnd w:id="209"/>
    </w:p>
    <w:p w14:paraId="27987A6F" w14:textId="77777777" w:rsidR="00831395" w:rsidRPr="00FC390E" w:rsidRDefault="00831395" w:rsidP="00831395">
      <w:pPr>
        <w:spacing w:after="0"/>
        <w:ind w:left="720"/>
        <w:rPr>
          <w:b/>
          <w:caps/>
        </w:rPr>
      </w:pPr>
    </w:p>
    <w:tbl>
      <w:tblPr>
        <w:tblStyle w:val="TableGrid1"/>
        <w:tblW w:w="0" w:type="auto"/>
        <w:tblLook w:val="00A0" w:firstRow="1" w:lastRow="0" w:firstColumn="1" w:lastColumn="0" w:noHBand="0" w:noVBand="0"/>
        <w:tblCaption w:val="Stage One Application Screening "/>
        <w:tblDescription w:val="Stage One Application Screening Criteria Pass or Fail"/>
      </w:tblPr>
      <w:tblGrid>
        <w:gridCol w:w="7231"/>
        <w:gridCol w:w="2119"/>
      </w:tblGrid>
      <w:tr w:rsidR="00831395" w:rsidRPr="00581099" w14:paraId="0D11FA0E" w14:textId="77777777" w:rsidTr="00127723">
        <w:trPr>
          <w:cantSplit/>
          <w:trHeight w:val="586"/>
          <w:tblHeader/>
        </w:trPr>
        <w:tc>
          <w:tcPr>
            <w:tcW w:w="7231" w:type="dxa"/>
            <w:shd w:val="clear" w:color="auto" w:fill="D9D9D9" w:themeFill="background1" w:themeFillShade="D9"/>
          </w:tcPr>
          <w:p w14:paraId="1F9DB956" w14:textId="77777777" w:rsidR="00831395" w:rsidRPr="00581099" w:rsidRDefault="00831395" w:rsidP="003C1C7B">
            <w:pPr>
              <w:jc w:val="center"/>
              <w:rPr>
                <w:b/>
                <w:caps/>
                <w:szCs w:val="24"/>
              </w:rPr>
            </w:pPr>
            <w:r w:rsidRPr="00581099">
              <w:rPr>
                <w:b/>
                <w:caps/>
                <w:szCs w:val="24"/>
              </w:rPr>
              <w:t xml:space="preserve">Screening Criteria </w:t>
            </w:r>
          </w:p>
          <w:p w14:paraId="00DBD6E3" w14:textId="77777777" w:rsidR="00831395" w:rsidRPr="00581099" w:rsidRDefault="00831395" w:rsidP="003C1C7B">
            <w:pPr>
              <w:jc w:val="center"/>
              <w:rPr>
                <w:i/>
              </w:rPr>
            </w:pPr>
            <w:r w:rsidRPr="00581099">
              <w:rPr>
                <w:i/>
              </w:rPr>
              <w:t>The Application must pass ALL criteria to progress to Stage Two.</w:t>
            </w:r>
          </w:p>
        </w:tc>
        <w:tc>
          <w:tcPr>
            <w:tcW w:w="2119" w:type="dxa"/>
            <w:shd w:val="clear" w:color="auto" w:fill="D9D9D9" w:themeFill="background1" w:themeFillShade="D9"/>
          </w:tcPr>
          <w:p w14:paraId="0CCF7040" w14:textId="77777777" w:rsidR="00831395" w:rsidRPr="00581099" w:rsidRDefault="00831395" w:rsidP="003C1C7B">
            <w:pPr>
              <w:jc w:val="center"/>
              <w:rPr>
                <w:b/>
                <w:szCs w:val="24"/>
              </w:rPr>
            </w:pPr>
            <w:r w:rsidRPr="00581099">
              <w:rPr>
                <w:b/>
                <w:noProof/>
                <w:szCs w:val="24"/>
              </w:rPr>
              <w:t>Pass/Fail</w:t>
            </w:r>
          </w:p>
        </w:tc>
      </w:tr>
      <w:tr w:rsidR="00831395" w:rsidRPr="00581099" w14:paraId="2ABD5B5B" w14:textId="77777777" w:rsidTr="00127723">
        <w:tc>
          <w:tcPr>
            <w:tcW w:w="7231" w:type="dxa"/>
          </w:tcPr>
          <w:p w14:paraId="05B2AFE9" w14:textId="77777777" w:rsidR="00831395" w:rsidRPr="00581099" w:rsidRDefault="00831395" w:rsidP="003C1C7B">
            <w:pPr>
              <w:numPr>
                <w:ilvl w:val="0"/>
                <w:numId w:val="8"/>
              </w:numPr>
              <w:jc w:val="both"/>
            </w:pPr>
            <w:r w:rsidRPr="00581099">
              <w:t>The application is received by the Energy Commission’s Contracts, Grants, and Loans Office by the d</w:t>
            </w:r>
            <w:r w:rsidRPr="00581099">
              <w:rPr>
                <w:szCs w:val="22"/>
              </w:rPr>
              <w:t>u</w:t>
            </w:r>
            <w:r w:rsidRPr="00581099">
              <w:t xml:space="preserve">e date and time specified in the “Key Activities Schedule” in Part </w:t>
            </w:r>
            <w:proofErr w:type="gramStart"/>
            <w:r w:rsidRPr="00581099">
              <w:t>I</w:t>
            </w:r>
            <w:proofErr w:type="gramEnd"/>
            <w:r w:rsidRPr="00581099">
              <w:t xml:space="preserve"> of this solicitation and is received in the required manner (e.g., no emails or faxes). </w:t>
            </w:r>
          </w:p>
        </w:tc>
        <w:tc>
          <w:tcPr>
            <w:tcW w:w="2119" w:type="dxa"/>
          </w:tcPr>
          <w:p w14:paraId="33133E0C" w14:textId="77777777" w:rsidR="00831395" w:rsidRPr="00581099" w:rsidRDefault="00831395" w:rsidP="003C1C7B">
            <w:pPr>
              <w:keepLines/>
              <w:spacing w:after="0"/>
              <w:jc w:val="both"/>
              <w:rPr>
                <w:noProof/>
              </w:rPr>
            </w:pP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 xml:space="preserve">Pass   </w:t>
            </w: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Fail</w:t>
            </w:r>
          </w:p>
          <w:p w14:paraId="04401DA1" w14:textId="77777777" w:rsidR="00831395" w:rsidRPr="00581099" w:rsidRDefault="00831395" w:rsidP="003C1C7B">
            <w:pPr>
              <w:spacing w:after="0"/>
              <w:jc w:val="both"/>
              <w:rPr>
                <w:noProof/>
              </w:rPr>
            </w:pPr>
          </w:p>
        </w:tc>
      </w:tr>
      <w:tr w:rsidR="00831395" w:rsidRPr="00581099" w14:paraId="69310EFB" w14:textId="77777777" w:rsidTr="00127723">
        <w:tc>
          <w:tcPr>
            <w:tcW w:w="7231" w:type="dxa"/>
          </w:tcPr>
          <w:p w14:paraId="3D66742F" w14:textId="26644ED8" w:rsidR="00831395" w:rsidRPr="00581099" w:rsidRDefault="00831395" w:rsidP="003C1C7B">
            <w:pPr>
              <w:numPr>
                <w:ilvl w:val="0"/>
                <w:numId w:val="8"/>
              </w:numPr>
              <w:jc w:val="both"/>
            </w:pPr>
            <w:r w:rsidRPr="00581099">
              <w:t>The Application Form (Attachment</w:t>
            </w:r>
            <w:r w:rsidR="00725E05">
              <w:t xml:space="preserve"> 1</w:t>
            </w:r>
            <w:r w:rsidRPr="00581099">
              <w:t>) is signed where indicated.</w:t>
            </w:r>
          </w:p>
        </w:tc>
        <w:tc>
          <w:tcPr>
            <w:tcW w:w="2119" w:type="dxa"/>
          </w:tcPr>
          <w:p w14:paraId="1E840129" w14:textId="77777777" w:rsidR="00831395" w:rsidRPr="00581099" w:rsidRDefault="00831395" w:rsidP="003C1C7B">
            <w:pPr>
              <w:keepLines/>
              <w:spacing w:after="0"/>
              <w:jc w:val="both"/>
              <w:rPr>
                <w:noProof/>
              </w:rPr>
            </w:pP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 xml:space="preserve">Pass   </w:t>
            </w: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Fail</w:t>
            </w:r>
          </w:p>
          <w:p w14:paraId="492D4807" w14:textId="77777777" w:rsidR="00831395" w:rsidRPr="00581099" w:rsidRDefault="00831395" w:rsidP="003C1C7B">
            <w:pPr>
              <w:keepLines/>
              <w:spacing w:after="0"/>
              <w:jc w:val="both"/>
              <w:rPr>
                <w:sz w:val="20"/>
              </w:rPr>
            </w:pPr>
          </w:p>
        </w:tc>
      </w:tr>
      <w:tr w:rsidR="00831395" w:rsidRPr="00581099" w14:paraId="207135A9" w14:textId="77777777" w:rsidTr="00127723">
        <w:tc>
          <w:tcPr>
            <w:tcW w:w="7231" w:type="dxa"/>
          </w:tcPr>
          <w:p w14:paraId="1A18963E" w14:textId="77777777" w:rsidR="00831395" w:rsidRPr="00581099" w:rsidRDefault="00831395" w:rsidP="003C1C7B">
            <w:pPr>
              <w:numPr>
                <w:ilvl w:val="0"/>
                <w:numId w:val="8"/>
              </w:numPr>
              <w:jc w:val="both"/>
              <w:rPr>
                <w:snapToGrid w:val="0"/>
              </w:rPr>
            </w:pPr>
            <w:r w:rsidRPr="00581099">
              <w:t>The a</w:t>
            </w:r>
            <w:r w:rsidRPr="00581099">
              <w:rPr>
                <w:snapToGrid w:val="0"/>
              </w:rPr>
              <w:t xml:space="preserve">pplication addresses only one of the eligible project groups, as indicated on the Application Form. </w:t>
            </w:r>
          </w:p>
        </w:tc>
        <w:tc>
          <w:tcPr>
            <w:tcW w:w="2119" w:type="dxa"/>
          </w:tcPr>
          <w:p w14:paraId="3C4880F2" w14:textId="77777777" w:rsidR="00831395" w:rsidRPr="00581099" w:rsidRDefault="00831395" w:rsidP="003C1C7B">
            <w:pPr>
              <w:keepLines/>
              <w:spacing w:after="0"/>
              <w:jc w:val="both"/>
              <w:rPr>
                <w:noProof/>
              </w:rPr>
            </w:pP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 xml:space="preserve">Pass   </w:t>
            </w: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Fail</w:t>
            </w:r>
          </w:p>
          <w:p w14:paraId="44879523" w14:textId="77777777" w:rsidR="00831395" w:rsidRPr="00581099" w:rsidRDefault="00831395" w:rsidP="003C1C7B">
            <w:pPr>
              <w:keepLines/>
              <w:spacing w:after="0"/>
              <w:jc w:val="both"/>
              <w:rPr>
                <w:noProof/>
              </w:rPr>
            </w:pPr>
          </w:p>
        </w:tc>
      </w:tr>
      <w:tr w:rsidR="00831395" w:rsidRPr="00581099" w14:paraId="1B00AE71" w14:textId="77777777" w:rsidTr="00127723">
        <w:tc>
          <w:tcPr>
            <w:tcW w:w="7231" w:type="dxa"/>
          </w:tcPr>
          <w:p w14:paraId="322454FC" w14:textId="615D0099" w:rsidR="00831395" w:rsidRPr="00581099" w:rsidRDefault="00831395" w:rsidP="003C1C7B">
            <w:pPr>
              <w:numPr>
                <w:ilvl w:val="0"/>
                <w:numId w:val="8"/>
              </w:numPr>
              <w:jc w:val="both"/>
            </w:pPr>
            <w:r w:rsidRPr="00581099">
              <w:t>The Applicant Declaration Form (Attachment</w:t>
            </w:r>
            <w:r w:rsidR="00725E05">
              <w:t xml:space="preserve"> 12</w:t>
            </w:r>
            <w:r w:rsidRPr="00581099">
              <w:t xml:space="preserve">) is signed where indicated. </w:t>
            </w:r>
          </w:p>
        </w:tc>
        <w:tc>
          <w:tcPr>
            <w:tcW w:w="2119" w:type="dxa"/>
          </w:tcPr>
          <w:p w14:paraId="36DD110D" w14:textId="77777777" w:rsidR="00831395" w:rsidRPr="00581099" w:rsidRDefault="00831395" w:rsidP="003C1C7B">
            <w:pPr>
              <w:keepLines/>
              <w:spacing w:after="0"/>
              <w:jc w:val="both"/>
              <w:rPr>
                <w:noProof/>
              </w:rPr>
            </w:pP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 xml:space="preserve">Pass   </w:t>
            </w: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Fail</w:t>
            </w:r>
          </w:p>
          <w:p w14:paraId="59E400D4" w14:textId="77777777" w:rsidR="00831395" w:rsidRPr="00581099" w:rsidRDefault="00831395" w:rsidP="003C1C7B">
            <w:pPr>
              <w:keepLines/>
              <w:spacing w:after="0"/>
              <w:jc w:val="both"/>
              <w:rPr>
                <w:sz w:val="20"/>
              </w:rPr>
            </w:pPr>
          </w:p>
        </w:tc>
      </w:tr>
      <w:tr w:rsidR="00831395" w:rsidRPr="00581099" w14:paraId="3888364B" w14:textId="77777777" w:rsidTr="00127723">
        <w:tc>
          <w:tcPr>
            <w:tcW w:w="7231" w:type="dxa"/>
          </w:tcPr>
          <w:p w14:paraId="0430EE56" w14:textId="77777777" w:rsidR="00831395" w:rsidRPr="00581099" w:rsidRDefault="00831395" w:rsidP="003C1C7B">
            <w:pPr>
              <w:numPr>
                <w:ilvl w:val="0"/>
                <w:numId w:val="8"/>
              </w:numPr>
              <w:jc w:val="both"/>
            </w:pPr>
            <w:r w:rsidRPr="00581099">
              <w:rPr>
                <w:szCs w:val="22"/>
              </w:rPr>
              <w:t xml:space="preserve">If the applicant has submitted more than one application for the same project group, each application is for a distinct project (i.e., no overlap with respect to the tasks described in the Scope of Work).  </w:t>
            </w:r>
          </w:p>
          <w:p w14:paraId="6433FF14" w14:textId="77777777" w:rsidR="00831395" w:rsidRPr="00581099" w:rsidRDefault="00831395" w:rsidP="003C1C7B">
            <w:pPr>
              <w:ind w:left="720"/>
              <w:jc w:val="both"/>
            </w:pPr>
            <w:r w:rsidRPr="00581099">
              <w:rPr>
                <w:i/>
                <w:szCs w:val="22"/>
              </w:rPr>
              <w:t>If the projects are not distinct and the applications were submitted at the same time, only the first application screened by the Energy Commission will be eligible for funding. If the applications were submitted separately, only the first application received by the Energy Commission will be eligible for funding.</w:t>
            </w:r>
          </w:p>
        </w:tc>
        <w:tc>
          <w:tcPr>
            <w:tcW w:w="2119" w:type="dxa"/>
          </w:tcPr>
          <w:p w14:paraId="39CD980E" w14:textId="77777777" w:rsidR="00831395" w:rsidRPr="00581099" w:rsidRDefault="00831395" w:rsidP="003C1C7B">
            <w:pPr>
              <w:keepLines/>
              <w:spacing w:after="0"/>
              <w:jc w:val="both"/>
              <w:rPr>
                <w:noProof/>
              </w:rPr>
            </w:pP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 xml:space="preserve">Pass   </w:t>
            </w: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Fail</w:t>
            </w:r>
          </w:p>
          <w:p w14:paraId="1F4F193F" w14:textId="77777777" w:rsidR="00831395" w:rsidRPr="00581099" w:rsidRDefault="00831395" w:rsidP="003C1C7B">
            <w:pPr>
              <w:keepLines/>
              <w:spacing w:after="0"/>
              <w:jc w:val="both"/>
              <w:rPr>
                <w:sz w:val="20"/>
              </w:rPr>
            </w:pPr>
          </w:p>
        </w:tc>
      </w:tr>
      <w:tr w:rsidR="00831395" w:rsidRPr="00581099" w14:paraId="4B2E6F18" w14:textId="77777777" w:rsidTr="00127723">
        <w:trPr>
          <w:trHeight w:val="640"/>
        </w:trPr>
        <w:tc>
          <w:tcPr>
            <w:tcW w:w="7231" w:type="dxa"/>
          </w:tcPr>
          <w:p w14:paraId="3F6EA517" w14:textId="785799D7" w:rsidR="00831395" w:rsidRPr="00581099" w:rsidRDefault="00831395" w:rsidP="008B5A2C">
            <w:pPr>
              <w:keepNext/>
              <w:keepLines/>
              <w:numPr>
                <w:ilvl w:val="0"/>
                <w:numId w:val="8"/>
              </w:numPr>
              <w:spacing w:after="40"/>
              <w:jc w:val="both"/>
              <w:rPr>
                <w:i/>
                <w:noProof/>
              </w:rPr>
            </w:pPr>
            <w:r w:rsidRPr="00581099">
              <w:rPr>
                <w:i/>
                <w:snapToGrid w:val="0"/>
              </w:rPr>
              <w:lastRenderedPageBreak/>
              <w:t xml:space="preserve">If the project involves technology demonstration/ deployment activities </w:t>
            </w:r>
          </w:p>
          <w:p w14:paraId="12C02BBD" w14:textId="77777777" w:rsidR="00831395" w:rsidRPr="00581099" w:rsidRDefault="00831395" w:rsidP="008B5A2C">
            <w:pPr>
              <w:keepNext/>
              <w:keepLines/>
              <w:numPr>
                <w:ilvl w:val="0"/>
                <w:numId w:val="26"/>
              </w:numPr>
              <w:spacing w:after="0"/>
              <w:jc w:val="both"/>
              <w:rPr>
                <w:noProof/>
              </w:rPr>
            </w:pPr>
            <w:r w:rsidRPr="00581099">
              <w:rPr>
                <w:snapToGrid w:val="0"/>
              </w:rPr>
              <w:t>The Application identifies one or more demonstration/ deployment site locations.</w:t>
            </w:r>
          </w:p>
          <w:p w14:paraId="715AB6F7" w14:textId="77777777" w:rsidR="00831395" w:rsidRPr="00581099" w:rsidRDefault="00831395" w:rsidP="003C1C7B">
            <w:pPr>
              <w:numPr>
                <w:ilvl w:val="0"/>
                <w:numId w:val="26"/>
              </w:numPr>
              <w:spacing w:after="0"/>
              <w:jc w:val="both"/>
              <w:rPr>
                <w:noProof/>
              </w:rPr>
            </w:pPr>
            <w:r w:rsidRPr="00581099">
              <w:rPr>
                <w:snapToGrid w:val="0"/>
              </w:rPr>
              <w:t>All demonstration/ deployment sites are located in a California electric IOU service territory (PG&amp;E, SDG&amp;E, or SCE).</w:t>
            </w:r>
          </w:p>
          <w:p w14:paraId="402A229C" w14:textId="77777777" w:rsidR="00831395" w:rsidRPr="00581099" w:rsidRDefault="00831395" w:rsidP="003C1C7B">
            <w:pPr>
              <w:numPr>
                <w:ilvl w:val="0"/>
                <w:numId w:val="26"/>
              </w:numPr>
              <w:spacing w:after="0"/>
              <w:jc w:val="both"/>
              <w:rPr>
                <w:noProof/>
              </w:rPr>
            </w:pPr>
            <w:r w:rsidRPr="00581099">
              <w:rPr>
                <w:szCs w:val="22"/>
              </w:rPr>
              <w:t>The proposal includes a site commitment letter (Section III.D.11) for each demonstration/ deployment site.</w:t>
            </w:r>
          </w:p>
        </w:tc>
        <w:tc>
          <w:tcPr>
            <w:tcW w:w="2119" w:type="dxa"/>
          </w:tcPr>
          <w:p w14:paraId="2B7E7E55" w14:textId="77777777" w:rsidR="00831395" w:rsidRPr="00581099" w:rsidRDefault="00831395" w:rsidP="003C1C7B">
            <w:pPr>
              <w:keepLines/>
              <w:spacing w:after="0"/>
              <w:jc w:val="both"/>
              <w:rPr>
                <w:noProof/>
              </w:rPr>
            </w:pP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 xml:space="preserve">Pass   </w:t>
            </w:r>
            <w:r w:rsidRPr="00581099">
              <w:rPr>
                <w:sz w:val="20"/>
              </w:rPr>
              <w:fldChar w:fldCharType="begin">
                <w:ffData>
                  <w:name w:val="Check30"/>
                  <w:enabled/>
                  <w:calcOnExit w:val="0"/>
                  <w:checkBox>
                    <w:sizeAuto/>
                    <w:default w:val="0"/>
                  </w:checkBox>
                </w:ffData>
              </w:fldChar>
            </w:r>
            <w:r w:rsidRPr="00581099">
              <w:rPr>
                <w:sz w:val="20"/>
              </w:rPr>
              <w:instrText xml:space="preserve"> FORMCHECKBOX </w:instrText>
            </w:r>
            <w:r w:rsidR="00443C9B">
              <w:rPr>
                <w:sz w:val="20"/>
              </w:rPr>
            </w:r>
            <w:r w:rsidR="00443C9B">
              <w:rPr>
                <w:sz w:val="20"/>
              </w:rPr>
              <w:fldChar w:fldCharType="separate"/>
            </w:r>
            <w:r w:rsidRPr="00581099">
              <w:rPr>
                <w:sz w:val="20"/>
              </w:rPr>
              <w:fldChar w:fldCharType="end"/>
            </w:r>
            <w:r w:rsidRPr="00581099">
              <w:rPr>
                <w:sz w:val="20"/>
              </w:rPr>
              <w:t xml:space="preserve"> </w:t>
            </w:r>
            <w:r w:rsidRPr="00581099">
              <w:rPr>
                <w:noProof/>
              </w:rPr>
              <w:t>Fail</w:t>
            </w:r>
          </w:p>
          <w:p w14:paraId="2EC15D8B" w14:textId="77777777" w:rsidR="00831395" w:rsidRPr="00581099" w:rsidRDefault="00831395" w:rsidP="003C1C7B">
            <w:pPr>
              <w:keepLines/>
              <w:spacing w:after="0"/>
              <w:rPr>
                <w:noProof/>
              </w:rPr>
            </w:pPr>
          </w:p>
        </w:tc>
      </w:tr>
      <w:tr w:rsidR="00E565F3" w:rsidRPr="00C31C1D" w14:paraId="115C1745" w14:textId="77777777" w:rsidTr="00127723">
        <w:trPr>
          <w:trHeight w:val="640"/>
        </w:trPr>
        <w:tc>
          <w:tcPr>
            <w:tcW w:w="7231" w:type="dxa"/>
          </w:tcPr>
          <w:p w14:paraId="2AD1826D" w14:textId="77777777" w:rsidR="00E565F3" w:rsidRPr="00E565F3" w:rsidRDefault="00E565F3" w:rsidP="0009243E">
            <w:pPr>
              <w:numPr>
                <w:ilvl w:val="0"/>
                <w:numId w:val="8"/>
              </w:numPr>
              <w:jc w:val="both"/>
              <w:rPr>
                <w:i/>
                <w:snapToGrid w:val="0"/>
              </w:rPr>
            </w:pPr>
            <w:r w:rsidRPr="00E565F3">
              <w:rPr>
                <w:i/>
                <w:snapToGrid w:val="0"/>
              </w:rPr>
              <w:t>The application does not contain any confidential information or identify any portion of the application as confidential.</w:t>
            </w:r>
          </w:p>
        </w:tc>
        <w:tc>
          <w:tcPr>
            <w:tcW w:w="2119" w:type="dxa"/>
          </w:tcPr>
          <w:p w14:paraId="428569D0" w14:textId="77777777" w:rsidR="00E565F3" w:rsidRPr="00E565F3" w:rsidRDefault="00E565F3" w:rsidP="00277CEB">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443C9B">
              <w:rPr>
                <w:sz w:val="20"/>
              </w:rPr>
            </w:r>
            <w:r w:rsidR="00443C9B">
              <w:rPr>
                <w:sz w:val="20"/>
              </w:rPr>
              <w:fldChar w:fldCharType="separate"/>
            </w:r>
            <w:r w:rsidRPr="005F374A">
              <w:rPr>
                <w:sz w:val="20"/>
              </w:rPr>
              <w:fldChar w:fldCharType="end"/>
            </w:r>
            <w:r>
              <w:rPr>
                <w:sz w:val="20"/>
              </w:rPr>
              <w:t xml:space="preserve"> </w:t>
            </w:r>
            <w:r w:rsidRPr="00E565F3">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443C9B">
              <w:rPr>
                <w:sz w:val="20"/>
              </w:rPr>
            </w:r>
            <w:r w:rsidR="00443C9B">
              <w:rPr>
                <w:sz w:val="20"/>
              </w:rPr>
              <w:fldChar w:fldCharType="separate"/>
            </w:r>
            <w:r w:rsidRPr="005F374A">
              <w:rPr>
                <w:sz w:val="20"/>
              </w:rPr>
              <w:fldChar w:fldCharType="end"/>
            </w:r>
            <w:r>
              <w:rPr>
                <w:sz w:val="20"/>
              </w:rPr>
              <w:t xml:space="preserve"> </w:t>
            </w:r>
            <w:r w:rsidRPr="00E565F3">
              <w:rPr>
                <w:sz w:val="20"/>
              </w:rPr>
              <w:t>Fail</w:t>
            </w:r>
          </w:p>
          <w:p w14:paraId="13391EB7" w14:textId="77777777" w:rsidR="00E565F3" w:rsidRPr="00E565F3" w:rsidRDefault="00E565F3" w:rsidP="00E565F3">
            <w:pPr>
              <w:keepLines/>
              <w:spacing w:after="0"/>
              <w:jc w:val="both"/>
              <w:rPr>
                <w:sz w:val="20"/>
              </w:rPr>
            </w:pPr>
          </w:p>
        </w:tc>
      </w:tr>
      <w:tr w:rsidR="00E565F3" w:rsidRPr="00C31C1D" w14:paraId="7F1D14F4" w14:textId="77777777" w:rsidTr="00127723">
        <w:trPr>
          <w:trHeight w:val="640"/>
        </w:trPr>
        <w:tc>
          <w:tcPr>
            <w:tcW w:w="7231" w:type="dxa"/>
          </w:tcPr>
          <w:p w14:paraId="14F55BCE" w14:textId="77777777" w:rsidR="00E565F3" w:rsidRPr="00E565F3" w:rsidRDefault="00E565F3" w:rsidP="0009243E">
            <w:pPr>
              <w:numPr>
                <w:ilvl w:val="0"/>
                <w:numId w:val="8"/>
              </w:numPr>
              <w:jc w:val="both"/>
              <w:rPr>
                <w:i/>
                <w:snapToGrid w:val="0"/>
              </w:rPr>
            </w:pPr>
            <w:r w:rsidRPr="00E565F3">
              <w:rPr>
                <w:i/>
                <w:snapToGrid w:val="0"/>
              </w:rPr>
              <w:t>The applicant has not included a statement or otherwise indicated that it will not accept the terms and conditions, or that acceptance is based on modifications to the terms and conditions.</w:t>
            </w:r>
          </w:p>
        </w:tc>
        <w:tc>
          <w:tcPr>
            <w:tcW w:w="2119" w:type="dxa"/>
          </w:tcPr>
          <w:p w14:paraId="23CFA7FB" w14:textId="77777777" w:rsidR="00E565F3" w:rsidRPr="00E565F3" w:rsidRDefault="00E565F3" w:rsidP="00277CEB">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443C9B">
              <w:rPr>
                <w:sz w:val="20"/>
              </w:rPr>
            </w:r>
            <w:r w:rsidR="00443C9B">
              <w:rPr>
                <w:sz w:val="20"/>
              </w:rPr>
              <w:fldChar w:fldCharType="separate"/>
            </w:r>
            <w:r w:rsidRPr="005F374A">
              <w:rPr>
                <w:sz w:val="20"/>
              </w:rPr>
              <w:fldChar w:fldCharType="end"/>
            </w:r>
            <w:r>
              <w:rPr>
                <w:sz w:val="20"/>
              </w:rPr>
              <w:t xml:space="preserve"> </w:t>
            </w:r>
            <w:r w:rsidRPr="00E565F3">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443C9B">
              <w:rPr>
                <w:sz w:val="20"/>
              </w:rPr>
            </w:r>
            <w:r w:rsidR="00443C9B">
              <w:rPr>
                <w:sz w:val="20"/>
              </w:rPr>
              <w:fldChar w:fldCharType="separate"/>
            </w:r>
            <w:r w:rsidRPr="005F374A">
              <w:rPr>
                <w:sz w:val="20"/>
              </w:rPr>
              <w:fldChar w:fldCharType="end"/>
            </w:r>
            <w:r>
              <w:rPr>
                <w:sz w:val="20"/>
              </w:rPr>
              <w:t xml:space="preserve"> </w:t>
            </w:r>
            <w:r w:rsidRPr="00E565F3">
              <w:rPr>
                <w:sz w:val="20"/>
              </w:rPr>
              <w:t>Fail</w:t>
            </w:r>
          </w:p>
          <w:p w14:paraId="706C2039" w14:textId="77777777" w:rsidR="00E565F3" w:rsidRPr="00E565F3" w:rsidRDefault="00E565F3" w:rsidP="00E565F3">
            <w:pPr>
              <w:keepLines/>
              <w:spacing w:after="0"/>
              <w:jc w:val="both"/>
              <w:rPr>
                <w:sz w:val="20"/>
              </w:rPr>
            </w:pPr>
          </w:p>
        </w:tc>
      </w:tr>
    </w:tbl>
    <w:p w14:paraId="4F68BE24" w14:textId="77777777" w:rsidR="00831395" w:rsidRPr="00DB3B66" w:rsidRDefault="00831395" w:rsidP="00831395">
      <w:pPr>
        <w:pStyle w:val="Heading3"/>
      </w:pPr>
      <w:r w:rsidRPr="00C31C1D">
        <w:br w:type="page"/>
      </w:r>
    </w:p>
    <w:p w14:paraId="00533D6E" w14:textId="77777777" w:rsidR="006F048A" w:rsidRDefault="006F048A" w:rsidP="0018649E">
      <w:pPr>
        <w:pStyle w:val="Heading2"/>
        <w:numPr>
          <w:ilvl w:val="0"/>
          <w:numId w:val="30"/>
        </w:numPr>
        <w:ind w:left="360"/>
        <w:jc w:val="both"/>
        <w:rPr>
          <w:sz w:val="26"/>
          <w:szCs w:val="26"/>
        </w:rPr>
      </w:pPr>
      <w:bookmarkStart w:id="212" w:name="_Toc27467036"/>
      <w:r>
        <w:rPr>
          <w:sz w:val="26"/>
          <w:szCs w:val="26"/>
        </w:rPr>
        <w:lastRenderedPageBreak/>
        <w:t xml:space="preserve">Stage </w:t>
      </w:r>
      <w:r w:rsidR="00DB3B66">
        <w:rPr>
          <w:sz w:val="26"/>
          <w:szCs w:val="26"/>
        </w:rPr>
        <w:t>Two</w:t>
      </w:r>
      <w:r>
        <w:rPr>
          <w:sz w:val="26"/>
          <w:szCs w:val="26"/>
        </w:rPr>
        <w:t>:  Application Sc</w:t>
      </w:r>
      <w:r w:rsidR="00DB3B66">
        <w:rPr>
          <w:sz w:val="26"/>
          <w:szCs w:val="26"/>
        </w:rPr>
        <w:t>oring</w:t>
      </w:r>
      <w:bookmarkEnd w:id="210"/>
      <w:bookmarkEnd w:id="211"/>
      <w:bookmarkEnd w:id="212"/>
    </w:p>
    <w:bookmarkEnd w:id="167"/>
    <w:p w14:paraId="146849FA" w14:textId="385F07FE"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proofErr w:type="gramStart"/>
      <w:r w:rsidRPr="00C36CCE">
        <w:t>will</w:t>
      </w:r>
      <w:proofErr w:type="gramEnd"/>
      <w:r w:rsidRPr="00C36CCE">
        <w:t xml:space="preserve"> be evaluated based on the Scoring Criteria on the next page</w:t>
      </w:r>
      <w:r w:rsidR="007C14A3" w:rsidRPr="00C36CCE">
        <w:t xml:space="preserve"> and the Scoring Scale below (with the exception of criteria </w:t>
      </w:r>
      <w:r w:rsidR="00E53C9C" w:rsidRPr="00C36CCE">
        <w:t>6−</w:t>
      </w:r>
      <w:r w:rsidR="007C14A3" w:rsidRPr="00C36CCE">
        <w:t xml:space="preserve">8, which will </w:t>
      </w:r>
      <w:r w:rsidR="00E53C9C" w:rsidRPr="00C36CCE">
        <w:t>be evaluated as described in each criterion</w:t>
      </w:r>
      <w:r w:rsidR="007C14A3" w:rsidRPr="00C36CCE">
        <w:t>)</w:t>
      </w:r>
      <w:r w:rsidRPr="00C36CCE">
        <w:t xml:space="preserve">.  Each criterion has an assigned number of possible points, and </w:t>
      </w:r>
      <w:r w:rsidRPr="00C31C1D">
        <w:t xml:space="preserve">is divided into multiple sub-criteria. The sub-criteria are not equally weighted. </w:t>
      </w:r>
      <w:r w:rsidRPr="00625809">
        <w:t>The Project Narrative (Attachment</w:t>
      </w:r>
      <w:r w:rsidR="00725E05">
        <w:t xml:space="preserve"> 4</w:t>
      </w:r>
      <w:r w:rsidRPr="00625809">
        <w:t>) must respond to each sub-criterion</w:t>
      </w:r>
      <w:r w:rsidR="00BB2154">
        <w:t>, unless otherwise indicated</w:t>
      </w:r>
      <w:r w:rsidRPr="00C31C1D">
        <w:t xml:space="preserve">. </w:t>
      </w:r>
    </w:p>
    <w:p w14:paraId="5096936A" w14:textId="75C3D737" w:rsidR="00E547E9" w:rsidRPr="000F1358" w:rsidRDefault="00E547E9" w:rsidP="00B07493">
      <w:pPr>
        <w:numPr>
          <w:ilvl w:val="0"/>
          <w:numId w:val="27"/>
        </w:numPr>
        <w:spacing w:after="0"/>
        <w:ind w:left="360"/>
        <w:jc w:val="both"/>
        <w:rPr>
          <w:b/>
        </w:rPr>
      </w:pPr>
      <w:r w:rsidRPr="000F1358">
        <w:t xml:space="preserve">The minimum passing score for </w:t>
      </w:r>
      <w:r w:rsidRPr="000F1358">
        <w:rPr>
          <w:b/>
        </w:rPr>
        <w:t>criteria</w:t>
      </w:r>
      <w:r w:rsidRPr="000F1358">
        <w:t xml:space="preserve"> </w:t>
      </w:r>
      <w:r w:rsidRPr="000F1358">
        <w:rPr>
          <w:b/>
        </w:rPr>
        <w:t>1 is 6 points</w:t>
      </w:r>
    </w:p>
    <w:p w14:paraId="7FEACB51" w14:textId="4633E9A1" w:rsidR="003A4967" w:rsidRDefault="001C2D56" w:rsidP="00B07493">
      <w:pPr>
        <w:numPr>
          <w:ilvl w:val="0"/>
          <w:numId w:val="27"/>
        </w:numPr>
        <w:spacing w:after="0"/>
        <w:ind w:left="360"/>
        <w:jc w:val="both"/>
        <w:rPr>
          <w:b/>
        </w:rPr>
      </w:pPr>
      <w:r>
        <w:t xml:space="preserve">The minimum passing score for </w:t>
      </w:r>
      <w:r w:rsidRPr="007E0A9D">
        <w:rPr>
          <w:b/>
        </w:rPr>
        <w:t>criteria</w:t>
      </w:r>
      <w:r w:rsidRPr="00C31C1D">
        <w:t xml:space="preserve"> </w:t>
      </w:r>
      <w:r w:rsidRPr="007E0A9D">
        <w:rPr>
          <w:b/>
        </w:rPr>
        <w:t>1−4 is 4</w:t>
      </w:r>
      <w:r w:rsidR="00A51482" w:rsidRPr="007E0A9D">
        <w:rPr>
          <w:b/>
        </w:rPr>
        <w:t>9.00</w:t>
      </w:r>
      <w:r w:rsidRPr="007E0A9D">
        <w:rPr>
          <w:b/>
        </w:rPr>
        <w:t xml:space="preserve"> points</w:t>
      </w:r>
      <w:r w:rsidR="003A4967">
        <w:rPr>
          <w:b/>
        </w:rPr>
        <w:t xml:space="preserve"> and the total minimum passing score is 70.00 out of 100 points for criteria 1</w:t>
      </w:r>
      <w:r w:rsidR="00A2264B">
        <w:rPr>
          <w:b/>
        </w:rPr>
        <w:t>-</w:t>
      </w:r>
      <w:r w:rsidR="00933C13">
        <w:rPr>
          <w:b/>
        </w:rPr>
        <w:t>7</w:t>
      </w:r>
      <w:r w:rsidR="003A4967">
        <w:rPr>
          <w:b/>
        </w:rPr>
        <w:t>.</w:t>
      </w:r>
    </w:p>
    <w:p w14:paraId="6D86E647" w14:textId="77777777" w:rsidR="00933C13" w:rsidRPr="00C108E9" w:rsidRDefault="001C2D56" w:rsidP="00B07493">
      <w:pPr>
        <w:numPr>
          <w:ilvl w:val="0"/>
          <w:numId w:val="27"/>
        </w:numPr>
        <w:spacing w:after="0"/>
        <w:ind w:left="360"/>
        <w:jc w:val="both"/>
        <w:rPr>
          <w:b/>
        </w:rPr>
      </w:pPr>
      <w:r w:rsidRPr="00C31C1D">
        <w:t>The points for criteria 5</w:t>
      </w:r>
      <w:r>
        <w:t>−</w:t>
      </w:r>
      <w:r w:rsidR="00933C13">
        <w:t>7</w:t>
      </w:r>
      <w:r w:rsidRPr="00C31C1D">
        <w:t xml:space="preserve"> will only be applied </w:t>
      </w:r>
      <w:r>
        <w:t>to</w:t>
      </w:r>
      <w:r w:rsidRPr="00C31C1D">
        <w:t xml:space="preserve"> proposals that achieve the minimum score for criteria 1</w:t>
      </w:r>
      <w:r>
        <w:t>−</w:t>
      </w:r>
      <w:r w:rsidRPr="00C31C1D">
        <w:t xml:space="preserve">4. </w:t>
      </w:r>
      <w:r w:rsidR="00933C13">
        <w:t>The points for criteria 8-10 will only be applied to proposals that achieve the minimum scores for criteria 1-4 and criteria 1-7.</w:t>
      </w:r>
    </w:p>
    <w:p w14:paraId="6B3D2DF2" w14:textId="77777777" w:rsidR="00933C13" w:rsidRPr="00933C13" w:rsidRDefault="00933C13" w:rsidP="00933C13">
      <w:pPr>
        <w:spacing w:after="0"/>
        <w:ind w:left="360"/>
        <w:jc w:val="both"/>
        <w:rPr>
          <w:b/>
        </w:rPr>
      </w:pPr>
    </w:p>
    <w:p w14:paraId="25189C5E" w14:textId="77777777" w:rsidR="001C2D56" w:rsidRDefault="001C2D56" w:rsidP="002F106F">
      <w:pPr>
        <w:jc w:val="center"/>
        <w:rPr>
          <w:b/>
          <w:caps/>
          <w:u w:val="single"/>
        </w:rPr>
      </w:pPr>
      <w:r w:rsidRPr="002F106F">
        <w:rPr>
          <w:b/>
          <w:caps/>
          <w:u w:val="single"/>
        </w:rPr>
        <w:t>Scoring Scale</w:t>
      </w:r>
    </w:p>
    <w:tbl>
      <w:tblPr>
        <w:tblStyle w:val="TableGrid1"/>
        <w:tblW w:w="9630" w:type="dxa"/>
        <w:tblLook w:val="04A0" w:firstRow="1" w:lastRow="0" w:firstColumn="1" w:lastColumn="0" w:noHBand="0" w:noVBand="1"/>
        <w:tblCaption w:val="Scoring Scale"/>
        <w:tblDescription w:val="Percentage of Possible Points, Interpretation, and Explanation for Percentage Points"/>
      </w:tblPr>
      <w:tblGrid>
        <w:gridCol w:w="1574"/>
        <w:gridCol w:w="2037"/>
        <w:gridCol w:w="6019"/>
      </w:tblGrid>
      <w:tr w:rsidR="004D09E4" w:rsidRPr="00D220B6" w14:paraId="14678CB5" w14:textId="77777777" w:rsidTr="00D220B6">
        <w:trPr>
          <w:cantSplit/>
          <w:trHeight w:val="800"/>
          <w:tblHeader/>
        </w:trPr>
        <w:tc>
          <w:tcPr>
            <w:tcW w:w="1574" w:type="dxa"/>
            <w:shd w:val="clear" w:color="auto" w:fill="D9D9D9" w:themeFill="background1" w:themeFillShade="D9"/>
          </w:tcPr>
          <w:p w14:paraId="3C339AF0" w14:textId="77777777" w:rsidR="004D09E4" w:rsidRPr="00D220B6" w:rsidRDefault="004D09E4" w:rsidP="00D220B6">
            <w:pPr>
              <w:spacing w:before="120" w:after="0"/>
              <w:jc w:val="center"/>
              <w:rPr>
                <w:b/>
                <w:szCs w:val="22"/>
              </w:rPr>
            </w:pPr>
            <w:r w:rsidRPr="00D220B6">
              <w:rPr>
                <w:b/>
                <w:szCs w:val="22"/>
              </w:rPr>
              <w:t>% of Possible Points</w:t>
            </w:r>
          </w:p>
        </w:tc>
        <w:tc>
          <w:tcPr>
            <w:tcW w:w="2037" w:type="dxa"/>
            <w:shd w:val="clear" w:color="auto" w:fill="D9D9D9" w:themeFill="background1" w:themeFillShade="D9"/>
          </w:tcPr>
          <w:p w14:paraId="22CBCC65" w14:textId="77777777" w:rsidR="004D09E4" w:rsidRPr="00D220B6" w:rsidRDefault="004D09E4" w:rsidP="00D220B6">
            <w:pPr>
              <w:spacing w:before="360" w:after="0"/>
              <w:jc w:val="center"/>
              <w:rPr>
                <w:b/>
                <w:szCs w:val="22"/>
              </w:rPr>
            </w:pPr>
            <w:r w:rsidRPr="00D220B6">
              <w:rPr>
                <w:b/>
                <w:szCs w:val="22"/>
              </w:rPr>
              <w:t>Interpretation</w:t>
            </w:r>
          </w:p>
        </w:tc>
        <w:tc>
          <w:tcPr>
            <w:tcW w:w="6019" w:type="dxa"/>
            <w:shd w:val="clear" w:color="auto" w:fill="D9D9D9" w:themeFill="background1" w:themeFillShade="D9"/>
          </w:tcPr>
          <w:p w14:paraId="7F6D050C" w14:textId="77777777" w:rsidR="004D09E4" w:rsidRPr="00D220B6" w:rsidRDefault="004D09E4" w:rsidP="00D220B6">
            <w:pPr>
              <w:spacing w:before="360" w:after="0"/>
              <w:jc w:val="center"/>
              <w:rPr>
                <w:b/>
                <w:szCs w:val="22"/>
              </w:rPr>
            </w:pPr>
            <w:r w:rsidRPr="00D220B6">
              <w:rPr>
                <w:b/>
                <w:szCs w:val="22"/>
              </w:rPr>
              <w:t xml:space="preserve">Explanation for Percentage Points </w:t>
            </w:r>
          </w:p>
        </w:tc>
      </w:tr>
      <w:tr w:rsidR="004D09E4" w:rsidRPr="00050087" w14:paraId="268C37A5" w14:textId="77777777" w:rsidTr="00D220B6">
        <w:trPr>
          <w:trHeight w:val="253"/>
        </w:trPr>
        <w:tc>
          <w:tcPr>
            <w:tcW w:w="1574" w:type="dxa"/>
          </w:tcPr>
          <w:p w14:paraId="638DAC3B" w14:textId="77777777" w:rsidR="004D09E4" w:rsidRPr="00050087" w:rsidRDefault="004D09E4" w:rsidP="00D220B6">
            <w:pPr>
              <w:spacing w:before="240" w:after="0"/>
              <w:jc w:val="center"/>
              <w:rPr>
                <w:szCs w:val="22"/>
              </w:rPr>
            </w:pPr>
            <w:r w:rsidRPr="00050087">
              <w:rPr>
                <w:szCs w:val="22"/>
              </w:rPr>
              <w:t>0%</w:t>
            </w:r>
          </w:p>
        </w:tc>
        <w:tc>
          <w:tcPr>
            <w:tcW w:w="2037" w:type="dxa"/>
          </w:tcPr>
          <w:p w14:paraId="4D154147" w14:textId="77777777" w:rsidR="004D09E4" w:rsidRPr="00050087" w:rsidRDefault="004D09E4" w:rsidP="00D220B6">
            <w:pPr>
              <w:spacing w:before="240" w:after="0"/>
              <w:jc w:val="center"/>
              <w:rPr>
                <w:szCs w:val="22"/>
              </w:rPr>
            </w:pPr>
            <w:r w:rsidRPr="00050087">
              <w:rPr>
                <w:szCs w:val="22"/>
              </w:rPr>
              <w:t>Not Responsive</w:t>
            </w:r>
          </w:p>
        </w:tc>
        <w:tc>
          <w:tcPr>
            <w:tcW w:w="6019" w:type="dxa"/>
          </w:tcPr>
          <w:p w14:paraId="43762592" w14:textId="77777777" w:rsidR="004D09E4" w:rsidRPr="00050087" w:rsidRDefault="004D09E4" w:rsidP="00FD57F5">
            <w:pPr>
              <w:spacing w:after="0"/>
              <w:rPr>
                <w:szCs w:val="22"/>
              </w:rPr>
            </w:pPr>
            <w:r w:rsidRPr="00050087">
              <w:rPr>
                <w:szCs w:val="22"/>
              </w:rPr>
              <w:t>Response does not include or fails to address the requirements being scored.  The omission(s), flaw(s), or defect(s) are significant and unacceptable.</w:t>
            </w:r>
          </w:p>
        </w:tc>
      </w:tr>
      <w:tr w:rsidR="004D09E4" w:rsidRPr="00050087" w14:paraId="13B57D11" w14:textId="77777777" w:rsidTr="00D220B6">
        <w:trPr>
          <w:trHeight w:val="253"/>
        </w:trPr>
        <w:tc>
          <w:tcPr>
            <w:tcW w:w="1574" w:type="dxa"/>
          </w:tcPr>
          <w:p w14:paraId="6C3F741B" w14:textId="77777777" w:rsidR="004D09E4" w:rsidRPr="00050087" w:rsidRDefault="004D09E4" w:rsidP="00D220B6">
            <w:pPr>
              <w:spacing w:before="240" w:after="0"/>
              <w:jc w:val="center"/>
              <w:rPr>
                <w:szCs w:val="22"/>
              </w:rPr>
            </w:pPr>
            <w:r w:rsidRPr="00050087">
              <w:rPr>
                <w:szCs w:val="22"/>
              </w:rPr>
              <w:t>10-30%</w:t>
            </w:r>
          </w:p>
        </w:tc>
        <w:tc>
          <w:tcPr>
            <w:tcW w:w="2037" w:type="dxa"/>
          </w:tcPr>
          <w:p w14:paraId="59560E5E" w14:textId="77777777" w:rsidR="004D09E4" w:rsidRPr="00050087" w:rsidRDefault="004D09E4" w:rsidP="00D220B6">
            <w:pPr>
              <w:spacing w:before="120" w:after="0"/>
              <w:jc w:val="center"/>
              <w:rPr>
                <w:szCs w:val="22"/>
              </w:rPr>
            </w:pPr>
            <w:r w:rsidRPr="00050087">
              <w:rPr>
                <w:szCs w:val="22"/>
              </w:rPr>
              <w:t>Minimally Responsive</w:t>
            </w:r>
          </w:p>
        </w:tc>
        <w:tc>
          <w:tcPr>
            <w:tcW w:w="6019" w:type="dxa"/>
          </w:tcPr>
          <w:p w14:paraId="55720EFA" w14:textId="77777777" w:rsidR="004D09E4" w:rsidRPr="00050087" w:rsidRDefault="004D09E4" w:rsidP="00FD57F5">
            <w:pPr>
              <w:spacing w:after="0"/>
              <w:rPr>
                <w:szCs w:val="22"/>
              </w:rPr>
            </w:pPr>
            <w:r w:rsidRPr="00050087">
              <w:rPr>
                <w:szCs w:val="22"/>
              </w:rPr>
              <w:t>Response minimally addresses the requirements being scored.  The omission(s), flaw(s), or defect(s) are significant and unacceptable.</w:t>
            </w:r>
          </w:p>
        </w:tc>
      </w:tr>
      <w:tr w:rsidR="004D09E4" w:rsidRPr="00050087" w14:paraId="7336A913" w14:textId="77777777" w:rsidTr="00D220B6">
        <w:trPr>
          <w:trHeight w:val="253"/>
        </w:trPr>
        <w:tc>
          <w:tcPr>
            <w:tcW w:w="1574" w:type="dxa"/>
          </w:tcPr>
          <w:p w14:paraId="348BAC66" w14:textId="77777777" w:rsidR="004D09E4" w:rsidRPr="00050087" w:rsidRDefault="004D09E4" w:rsidP="00D220B6">
            <w:pPr>
              <w:spacing w:before="480" w:after="0"/>
              <w:jc w:val="center"/>
              <w:rPr>
                <w:szCs w:val="22"/>
              </w:rPr>
            </w:pPr>
            <w:r w:rsidRPr="00050087">
              <w:rPr>
                <w:szCs w:val="22"/>
              </w:rPr>
              <w:t>40-60%</w:t>
            </w:r>
          </w:p>
        </w:tc>
        <w:tc>
          <w:tcPr>
            <w:tcW w:w="2037" w:type="dxa"/>
          </w:tcPr>
          <w:p w14:paraId="6D6199DF" w14:textId="77777777" w:rsidR="004D09E4" w:rsidRPr="00050087" w:rsidRDefault="004D09E4" w:rsidP="00D220B6">
            <w:pPr>
              <w:spacing w:before="480" w:after="0"/>
              <w:jc w:val="center"/>
              <w:rPr>
                <w:szCs w:val="22"/>
              </w:rPr>
            </w:pPr>
            <w:r w:rsidRPr="00050087">
              <w:rPr>
                <w:szCs w:val="22"/>
              </w:rPr>
              <w:t>Inadequate</w:t>
            </w:r>
          </w:p>
        </w:tc>
        <w:tc>
          <w:tcPr>
            <w:tcW w:w="6019" w:type="dxa"/>
          </w:tcPr>
          <w:p w14:paraId="5458F187" w14:textId="77777777" w:rsidR="004D09E4" w:rsidRPr="00050087" w:rsidRDefault="004D09E4" w:rsidP="00FD57F5">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4D09E4" w:rsidRPr="00050087" w14:paraId="612DFD69" w14:textId="77777777" w:rsidTr="00D220B6">
        <w:trPr>
          <w:trHeight w:val="253"/>
        </w:trPr>
        <w:tc>
          <w:tcPr>
            <w:tcW w:w="1574" w:type="dxa"/>
          </w:tcPr>
          <w:p w14:paraId="1301205C" w14:textId="77777777" w:rsidR="004D09E4" w:rsidRPr="00050087" w:rsidRDefault="004D09E4" w:rsidP="00D220B6">
            <w:pPr>
              <w:spacing w:before="240" w:after="0"/>
              <w:jc w:val="center"/>
              <w:rPr>
                <w:szCs w:val="22"/>
              </w:rPr>
            </w:pPr>
            <w:r w:rsidRPr="00050087">
              <w:rPr>
                <w:szCs w:val="22"/>
              </w:rPr>
              <w:t>70%</w:t>
            </w:r>
          </w:p>
        </w:tc>
        <w:tc>
          <w:tcPr>
            <w:tcW w:w="2037" w:type="dxa"/>
          </w:tcPr>
          <w:p w14:paraId="2D4336F9" w14:textId="77777777" w:rsidR="004D09E4" w:rsidRPr="00050087" w:rsidRDefault="004D09E4" w:rsidP="00D220B6">
            <w:pPr>
              <w:spacing w:before="240" w:after="0"/>
              <w:jc w:val="center"/>
              <w:rPr>
                <w:szCs w:val="22"/>
              </w:rPr>
            </w:pPr>
            <w:r w:rsidRPr="00050087">
              <w:rPr>
                <w:szCs w:val="22"/>
              </w:rPr>
              <w:t>Adequate</w:t>
            </w:r>
          </w:p>
        </w:tc>
        <w:tc>
          <w:tcPr>
            <w:tcW w:w="6019" w:type="dxa"/>
          </w:tcPr>
          <w:p w14:paraId="06A0C83A" w14:textId="77777777" w:rsidR="004D09E4" w:rsidRPr="00050087" w:rsidRDefault="004D09E4" w:rsidP="00FD57F5">
            <w:pPr>
              <w:spacing w:after="0"/>
              <w:rPr>
                <w:szCs w:val="22"/>
              </w:rPr>
            </w:pPr>
            <w:r w:rsidRPr="00050087">
              <w:rPr>
                <w:szCs w:val="22"/>
              </w:rPr>
              <w:t>Response adequately addresses the requirements being scored.  Any omission(s), flaw(s), or defect(s) are inconsequential and acceptable.</w:t>
            </w:r>
          </w:p>
        </w:tc>
      </w:tr>
      <w:tr w:rsidR="004D09E4" w:rsidRPr="00050087" w14:paraId="3A8EF075" w14:textId="77777777" w:rsidTr="00D220B6">
        <w:trPr>
          <w:trHeight w:val="253"/>
        </w:trPr>
        <w:tc>
          <w:tcPr>
            <w:tcW w:w="1574" w:type="dxa"/>
          </w:tcPr>
          <w:p w14:paraId="3C5F82A8" w14:textId="77777777" w:rsidR="004D09E4" w:rsidRPr="00050087" w:rsidRDefault="004D09E4" w:rsidP="00D220B6">
            <w:pPr>
              <w:spacing w:before="240" w:after="0"/>
              <w:jc w:val="center"/>
              <w:rPr>
                <w:szCs w:val="22"/>
              </w:rPr>
            </w:pPr>
            <w:r>
              <w:rPr>
                <w:szCs w:val="22"/>
              </w:rPr>
              <w:t>75%</w:t>
            </w:r>
          </w:p>
        </w:tc>
        <w:tc>
          <w:tcPr>
            <w:tcW w:w="2037" w:type="dxa"/>
          </w:tcPr>
          <w:p w14:paraId="372434E2" w14:textId="77777777" w:rsidR="004D09E4" w:rsidRPr="00050087" w:rsidRDefault="004D09E4" w:rsidP="00D220B6">
            <w:pPr>
              <w:spacing w:after="0"/>
              <w:jc w:val="center"/>
              <w:rPr>
                <w:szCs w:val="22"/>
              </w:rPr>
            </w:pPr>
            <w:r>
              <w:rPr>
                <w:szCs w:val="22"/>
              </w:rPr>
              <w:t>Between Adequate and Good</w:t>
            </w:r>
          </w:p>
        </w:tc>
        <w:tc>
          <w:tcPr>
            <w:tcW w:w="6019" w:type="dxa"/>
          </w:tcPr>
          <w:p w14:paraId="030D9161" w14:textId="77777777" w:rsidR="004D09E4" w:rsidRPr="00050087" w:rsidRDefault="004D09E4" w:rsidP="00FD57F5">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4D09E4" w:rsidRPr="00050087" w14:paraId="3C6671BE" w14:textId="77777777" w:rsidTr="00D220B6">
        <w:trPr>
          <w:trHeight w:val="253"/>
        </w:trPr>
        <w:tc>
          <w:tcPr>
            <w:tcW w:w="1574" w:type="dxa"/>
          </w:tcPr>
          <w:p w14:paraId="18AB9785" w14:textId="77777777" w:rsidR="004D09E4" w:rsidRPr="00050087" w:rsidRDefault="004D09E4" w:rsidP="00D220B6">
            <w:pPr>
              <w:spacing w:before="480" w:after="0"/>
              <w:jc w:val="center"/>
              <w:rPr>
                <w:szCs w:val="22"/>
              </w:rPr>
            </w:pPr>
            <w:r w:rsidRPr="00050087">
              <w:rPr>
                <w:szCs w:val="22"/>
              </w:rPr>
              <w:t>80%</w:t>
            </w:r>
          </w:p>
        </w:tc>
        <w:tc>
          <w:tcPr>
            <w:tcW w:w="2037" w:type="dxa"/>
          </w:tcPr>
          <w:p w14:paraId="09E079B9" w14:textId="77777777" w:rsidR="004D09E4" w:rsidRPr="00050087" w:rsidRDefault="004D09E4" w:rsidP="00D220B6">
            <w:pPr>
              <w:spacing w:before="480" w:after="0"/>
              <w:jc w:val="center"/>
              <w:rPr>
                <w:szCs w:val="22"/>
              </w:rPr>
            </w:pPr>
            <w:r w:rsidRPr="00050087">
              <w:rPr>
                <w:szCs w:val="22"/>
              </w:rPr>
              <w:t>Good</w:t>
            </w:r>
          </w:p>
        </w:tc>
        <w:tc>
          <w:tcPr>
            <w:tcW w:w="6019" w:type="dxa"/>
          </w:tcPr>
          <w:p w14:paraId="03AA6EB9" w14:textId="77777777" w:rsidR="004D09E4" w:rsidRPr="00050087" w:rsidRDefault="004D09E4" w:rsidP="00FD57F5">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4D09E4" w:rsidRPr="00050087" w14:paraId="6B4861CF" w14:textId="77777777" w:rsidTr="00D220B6">
        <w:trPr>
          <w:trHeight w:val="253"/>
        </w:trPr>
        <w:tc>
          <w:tcPr>
            <w:tcW w:w="1574" w:type="dxa"/>
          </w:tcPr>
          <w:p w14:paraId="41266B40" w14:textId="77777777" w:rsidR="004D09E4" w:rsidRPr="00050087" w:rsidRDefault="004D09E4" w:rsidP="00D220B6">
            <w:pPr>
              <w:spacing w:before="360" w:after="0"/>
              <w:jc w:val="center"/>
              <w:rPr>
                <w:szCs w:val="22"/>
              </w:rPr>
            </w:pPr>
            <w:r>
              <w:rPr>
                <w:szCs w:val="22"/>
              </w:rPr>
              <w:t>85%</w:t>
            </w:r>
          </w:p>
        </w:tc>
        <w:tc>
          <w:tcPr>
            <w:tcW w:w="2037" w:type="dxa"/>
          </w:tcPr>
          <w:p w14:paraId="79ED5F4C" w14:textId="77777777" w:rsidR="004D09E4" w:rsidRPr="00050087" w:rsidRDefault="004D09E4" w:rsidP="00D220B6">
            <w:pPr>
              <w:spacing w:before="240" w:after="0"/>
              <w:jc w:val="center"/>
              <w:rPr>
                <w:szCs w:val="22"/>
              </w:rPr>
            </w:pPr>
            <w:r>
              <w:rPr>
                <w:szCs w:val="22"/>
              </w:rPr>
              <w:t>Between Good and Excellent</w:t>
            </w:r>
          </w:p>
        </w:tc>
        <w:tc>
          <w:tcPr>
            <w:tcW w:w="6019" w:type="dxa"/>
          </w:tcPr>
          <w:p w14:paraId="226DD9C7" w14:textId="77777777" w:rsidR="004D09E4" w:rsidRPr="00050087" w:rsidRDefault="004D09E4" w:rsidP="00FD57F5">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4D09E4" w:rsidRPr="00050087" w14:paraId="751AC136" w14:textId="77777777" w:rsidTr="00D220B6">
        <w:trPr>
          <w:trHeight w:val="253"/>
        </w:trPr>
        <w:tc>
          <w:tcPr>
            <w:tcW w:w="1574" w:type="dxa"/>
          </w:tcPr>
          <w:p w14:paraId="52DD3D15" w14:textId="77777777" w:rsidR="004D09E4" w:rsidRPr="00050087" w:rsidRDefault="004D09E4" w:rsidP="00D220B6">
            <w:pPr>
              <w:spacing w:before="240" w:after="0"/>
              <w:jc w:val="center"/>
              <w:rPr>
                <w:szCs w:val="22"/>
              </w:rPr>
            </w:pPr>
            <w:r w:rsidRPr="00050087">
              <w:rPr>
                <w:szCs w:val="22"/>
              </w:rPr>
              <w:t>90%</w:t>
            </w:r>
          </w:p>
        </w:tc>
        <w:tc>
          <w:tcPr>
            <w:tcW w:w="2037" w:type="dxa"/>
          </w:tcPr>
          <w:p w14:paraId="0C7D2447" w14:textId="77777777" w:rsidR="004D09E4" w:rsidRPr="00050087" w:rsidRDefault="004D09E4" w:rsidP="00D220B6">
            <w:pPr>
              <w:spacing w:before="240" w:after="0"/>
              <w:jc w:val="center"/>
              <w:rPr>
                <w:szCs w:val="22"/>
              </w:rPr>
            </w:pPr>
            <w:r w:rsidRPr="00050087">
              <w:rPr>
                <w:szCs w:val="22"/>
              </w:rPr>
              <w:t>Excellent</w:t>
            </w:r>
          </w:p>
        </w:tc>
        <w:tc>
          <w:tcPr>
            <w:tcW w:w="6019" w:type="dxa"/>
          </w:tcPr>
          <w:p w14:paraId="37E55C82" w14:textId="77777777" w:rsidR="004D09E4" w:rsidRPr="00050087" w:rsidRDefault="004D09E4" w:rsidP="00FD57F5">
            <w:pPr>
              <w:spacing w:after="0"/>
              <w:rPr>
                <w:szCs w:val="22"/>
              </w:rPr>
            </w:pPr>
            <w:r w:rsidRPr="00050087">
              <w:rPr>
                <w:szCs w:val="22"/>
              </w:rPr>
              <w:t xml:space="preserve">Response fully addresses the requirements being scored with a high degree of confidence in the applicant’s response or proposed solution.  Applicant offers one or </w:t>
            </w:r>
            <w:r w:rsidRPr="00050087">
              <w:rPr>
                <w:szCs w:val="22"/>
              </w:rPr>
              <w:lastRenderedPageBreak/>
              <w:t>more enhancing features, methods or approaches exceeding basic expectations.</w:t>
            </w:r>
          </w:p>
        </w:tc>
      </w:tr>
      <w:tr w:rsidR="004D09E4" w:rsidRPr="00050087" w14:paraId="4EBB7350" w14:textId="77777777" w:rsidTr="00D220B6">
        <w:trPr>
          <w:trHeight w:val="253"/>
        </w:trPr>
        <w:tc>
          <w:tcPr>
            <w:tcW w:w="1574" w:type="dxa"/>
          </w:tcPr>
          <w:p w14:paraId="1E733A97" w14:textId="77777777" w:rsidR="004D09E4" w:rsidRPr="00050087" w:rsidRDefault="004D09E4" w:rsidP="00D220B6">
            <w:pPr>
              <w:spacing w:before="480" w:after="0"/>
              <w:jc w:val="center"/>
              <w:rPr>
                <w:szCs w:val="22"/>
              </w:rPr>
            </w:pPr>
            <w:r>
              <w:rPr>
                <w:szCs w:val="22"/>
              </w:rPr>
              <w:lastRenderedPageBreak/>
              <w:t>95%</w:t>
            </w:r>
          </w:p>
        </w:tc>
        <w:tc>
          <w:tcPr>
            <w:tcW w:w="2037" w:type="dxa"/>
          </w:tcPr>
          <w:p w14:paraId="459B8401" w14:textId="77777777" w:rsidR="004D09E4" w:rsidRPr="00050087" w:rsidRDefault="004D09E4" w:rsidP="00D220B6">
            <w:pPr>
              <w:spacing w:before="360" w:after="0"/>
              <w:jc w:val="center"/>
              <w:rPr>
                <w:szCs w:val="22"/>
              </w:rPr>
            </w:pPr>
            <w:r>
              <w:rPr>
                <w:szCs w:val="22"/>
              </w:rPr>
              <w:t>Between Excellent and Exceptional</w:t>
            </w:r>
          </w:p>
        </w:tc>
        <w:tc>
          <w:tcPr>
            <w:tcW w:w="6019" w:type="dxa"/>
          </w:tcPr>
          <w:p w14:paraId="7A23E956" w14:textId="77777777" w:rsidR="004D09E4" w:rsidRPr="00050087" w:rsidRDefault="004D09E4" w:rsidP="00FD57F5">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4D09E4" w:rsidRPr="00050087" w14:paraId="08B3A3EB" w14:textId="77777777" w:rsidTr="00D220B6">
        <w:trPr>
          <w:trHeight w:val="253"/>
        </w:trPr>
        <w:tc>
          <w:tcPr>
            <w:tcW w:w="1574" w:type="dxa"/>
          </w:tcPr>
          <w:p w14:paraId="0843B3A2" w14:textId="77777777" w:rsidR="004D09E4" w:rsidRPr="00050087" w:rsidRDefault="004D09E4" w:rsidP="00D220B6">
            <w:pPr>
              <w:spacing w:before="480" w:after="0"/>
              <w:jc w:val="center"/>
              <w:rPr>
                <w:szCs w:val="22"/>
              </w:rPr>
            </w:pPr>
            <w:r w:rsidRPr="00050087">
              <w:rPr>
                <w:szCs w:val="22"/>
              </w:rPr>
              <w:t>100%</w:t>
            </w:r>
          </w:p>
        </w:tc>
        <w:tc>
          <w:tcPr>
            <w:tcW w:w="2037" w:type="dxa"/>
          </w:tcPr>
          <w:p w14:paraId="284F1316" w14:textId="77777777" w:rsidR="004D09E4" w:rsidRPr="00050087" w:rsidRDefault="004D09E4" w:rsidP="00D220B6">
            <w:pPr>
              <w:spacing w:before="480" w:after="0"/>
              <w:jc w:val="center"/>
              <w:rPr>
                <w:szCs w:val="22"/>
              </w:rPr>
            </w:pPr>
            <w:r w:rsidRPr="00050087">
              <w:rPr>
                <w:szCs w:val="22"/>
              </w:rPr>
              <w:t>Exceptional</w:t>
            </w:r>
          </w:p>
        </w:tc>
        <w:tc>
          <w:tcPr>
            <w:tcW w:w="6019" w:type="dxa"/>
          </w:tcPr>
          <w:p w14:paraId="7C9C0689" w14:textId="77777777" w:rsidR="004D09E4" w:rsidRPr="00050087" w:rsidRDefault="004D09E4" w:rsidP="00FD57F5">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6EA42272" w14:textId="77777777" w:rsidR="004D09E4" w:rsidRDefault="004D09E4" w:rsidP="00BC0F1F">
      <w:pPr>
        <w:jc w:val="center"/>
      </w:pPr>
    </w:p>
    <w:p w14:paraId="29CA5279" w14:textId="77777777" w:rsidR="004D09E4" w:rsidRDefault="004D09E4">
      <w:pPr>
        <w:spacing w:after="0"/>
      </w:pPr>
      <w:r>
        <w:br w:type="page"/>
      </w:r>
    </w:p>
    <w:p w14:paraId="51CAA487" w14:textId="77777777" w:rsidR="001C2D56" w:rsidRDefault="001C2D56" w:rsidP="00BC0F1F">
      <w:pPr>
        <w:jc w:val="center"/>
        <w:rPr>
          <w:b/>
          <w:caps/>
          <w:u w:val="single"/>
        </w:rPr>
      </w:pPr>
      <w:r w:rsidRPr="002F106F">
        <w:rPr>
          <w:b/>
          <w:caps/>
          <w:u w:val="single"/>
        </w:rPr>
        <w:lastRenderedPageBreak/>
        <w:t xml:space="preserve">Scoring </w:t>
      </w:r>
      <w:r>
        <w:rPr>
          <w:b/>
          <w:caps/>
          <w:u w:val="single"/>
        </w:rPr>
        <w:t>CRITERIA</w:t>
      </w:r>
    </w:p>
    <w:p w14:paraId="6616AE33" w14:textId="77777777" w:rsidR="001C2D56" w:rsidRDefault="001C2D56" w:rsidP="00E17239">
      <w:pPr>
        <w:spacing w:after="0"/>
        <w:jc w:val="both"/>
        <w:rPr>
          <w:b/>
          <w:szCs w:val="24"/>
        </w:rPr>
      </w:pPr>
    </w:p>
    <w:p w14:paraId="0F25CE98" w14:textId="77777777" w:rsidR="00D72F24" w:rsidRDefault="00D72F24" w:rsidP="00E17239">
      <w:pPr>
        <w:spacing w:after="0"/>
        <w:jc w:val="both"/>
        <w:rPr>
          <w:b/>
          <w:szCs w:val="24"/>
        </w:rPr>
      </w:pPr>
    </w:p>
    <w:tbl>
      <w:tblPr>
        <w:tblStyle w:val="TableGrid1"/>
        <w:tblW w:w="9895" w:type="dxa"/>
        <w:tblLook w:val="04A0" w:firstRow="1" w:lastRow="0" w:firstColumn="1" w:lastColumn="0" w:noHBand="0" w:noVBand="1"/>
        <w:tblCaption w:val="Solicitation Application Scoring Criteria "/>
        <w:tblDescription w:val="This table details how applicants will be evaluated and the amount of points possible per criteria."/>
      </w:tblPr>
      <w:tblGrid>
        <w:gridCol w:w="8365"/>
        <w:gridCol w:w="1530"/>
      </w:tblGrid>
      <w:tr w:rsidR="00D72F24" w:rsidRPr="00D72F24" w14:paraId="2AA2D868" w14:textId="77777777" w:rsidTr="00D72F24">
        <w:trPr>
          <w:cantSplit/>
          <w:trHeight w:val="564"/>
          <w:tblHeader/>
        </w:trPr>
        <w:tc>
          <w:tcPr>
            <w:tcW w:w="8365" w:type="dxa"/>
            <w:shd w:val="clear" w:color="auto" w:fill="D9D9D9"/>
            <w:vAlign w:val="bottom"/>
          </w:tcPr>
          <w:p w14:paraId="38735E8F" w14:textId="77777777" w:rsidR="00D72F24" w:rsidRPr="00D72F24" w:rsidRDefault="00D72F24" w:rsidP="00D72F24">
            <w:pPr>
              <w:spacing w:before="60" w:after="60" w:line="360" w:lineRule="auto"/>
              <w:rPr>
                <w:b/>
                <w:sz w:val="28"/>
                <w:szCs w:val="28"/>
              </w:rPr>
            </w:pPr>
            <w:r w:rsidRPr="00D72F24">
              <w:rPr>
                <w:b/>
              </w:rPr>
              <w:t>Scoring Criteria</w:t>
            </w:r>
          </w:p>
        </w:tc>
        <w:tc>
          <w:tcPr>
            <w:tcW w:w="1530" w:type="dxa"/>
            <w:shd w:val="clear" w:color="auto" w:fill="D9D9D9"/>
            <w:vAlign w:val="center"/>
          </w:tcPr>
          <w:p w14:paraId="3CFF5669" w14:textId="77777777" w:rsidR="00D72F24" w:rsidRPr="00D72F24" w:rsidRDefault="00D72F24" w:rsidP="00D72F24">
            <w:pPr>
              <w:spacing w:before="60" w:after="60"/>
              <w:jc w:val="center"/>
              <w:rPr>
                <w:b/>
                <w:sz w:val="28"/>
                <w:szCs w:val="28"/>
              </w:rPr>
            </w:pPr>
            <w:r w:rsidRPr="00D72F24">
              <w:rPr>
                <w:b/>
              </w:rPr>
              <w:t>Maximum Points</w:t>
            </w:r>
          </w:p>
        </w:tc>
      </w:tr>
      <w:tr w:rsidR="00D72F24" w:rsidRPr="00D72F24" w14:paraId="3F532F8B" w14:textId="77777777" w:rsidTr="0043353E">
        <w:trPr>
          <w:cantSplit/>
          <w:trHeight w:val="5414"/>
        </w:trPr>
        <w:tc>
          <w:tcPr>
            <w:tcW w:w="8365" w:type="dxa"/>
            <w:tcBorders>
              <w:bottom w:val="single" w:sz="4" w:space="0" w:color="auto"/>
            </w:tcBorders>
          </w:tcPr>
          <w:p w14:paraId="4454D497" w14:textId="77777777" w:rsidR="00D72F24" w:rsidRPr="00D72F24" w:rsidRDefault="00D72F24" w:rsidP="0018649E">
            <w:pPr>
              <w:numPr>
                <w:ilvl w:val="0"/>
                <w:numId w:val="51"/>
              </w:numPr>
              <w:spacing w:before="120"/>
              <w:rPr>
                <w:b/>
              </w:rPr>
            </w:pPr>
            <w:r w:rsidRPr="00D72F24">
              <w:rPr>
                <w:b/>
              </w:rPr>
              <w:t>Project Team Past Performance with Energy Commission</w:t>
            </w:r>
          </w:p>
          <w:p w14:paraId="056C7149" w14:textId="77777777" w:rsidR="00D72F24" w:rsidRPr="00D72F24" w:rsidRDefault="00D72F24" w:rsidP="00D72F24">
            <w:pPr>
              <w:spacing w:before="120"/>
              <w:ind w:left="360"/>
            </w:pPr>
            <w:r w:rsidRPr="00D72F24">
              <w:t>The applicant—defined as at least one of the following: the business, principal investigator, or lead individual acting on behalf of themselves—received funds from the Energy Commission (e.g., contract, grant, or loan) and entered into an agreement(s) with the Commission through which the following performance was demonstrated:</w:t>
            </w:r>
          </w:p>
          <w:p w14:paraId="2C42BB7D" w14:textId="77777777" w:rsidR="00D72F24" w:rsidRPr="00D72F24" w:rsidRDefault="00D72F24" w:rsidP="00D72F24">
            <w:pPr>
              <w:spacing w:before="120"/>
              <w:ind w:left="360"/>
            </w:pPr>
            <w:r w:rsidRPr="00D72F24">
              <w:rPr>
                <w:b/>
              </w:rPr>
              <w:t xml:space="preserve">Severe performance issues (0-5 points):  </w:t>
            </w:r>
            <w:r w:rsidRPr="00D72F24">
              <w:t>Severe performance issues are characterized by significant negative outcomes, which may include significant deviation from agreement requirements, termination with cause, and/or severe negative audit findings.</w:t>
            </w:r>
          </w:p>
          <w:p w14:paraId="171F6635" w14:textId="77777777" w:rsidR="00D72F24" w:rsidRPr="00D72F24" w:rsidRDefault="00D72F24" w:rsidP="00D72F24">
            <w:pPr>
              <w:spacing w:before="120"/>
              <w:ind w:left="360"/>
            </w:pPr>
            <w:r w:rsidRPr="00D72F24">
              <w:rPr>
                <w:b/>
              </w:rPr>
              <w:t xml:space="preserve">Moderate performance issues (6-12 points): </w:t>
            </w:r>
            <w:r w:rsidRPr="00D72F24">
              <w:t xml:space="preserve">Moderate performance issues are characterized by noncompliance with agreement requirements, frequent poor performance and conduct, and/or the issuance of moderate audit findings. </w:t>
            </w:r>
          </w:p>
          <w:p w14:paraId="2AA0B0C8" w14:textId="77777777" w:rsidR="00D72F24" w:rsidRPr="00D72F24" w:rsidRDefault="00D72F24" w:rsidP="00D72F24">
            <w:pPr>
              <w:spacing w:before="180" w:after="240"/>
              <w:ind w:left="431"/>
            </w:pPr>
            <w:r w:rsidRPr="00D72F24">
              <w:rPr>
                <w:b/>
              </w:rPr>
              <w:t xml:space="preserve">No/minor performance issues (13-15 points): </w:t>
            </w:r>
            <w:r w:rsidRPr="00D72F24">
              <w:t>No/minor performance issues are characterized by compliance with agreement requirements while demonstrating no minor performance issues, or the applicant has not received funds from the Energy Commission (e.g., contract, grant, or loan) through an agreement with the Energy Commission.</w:t>
            </w:r>
            <w:r w:rsidRPr="00D72F24">
              <w:rPr>
                <w:b/>
              </w:rPr>
              <w:t xml:space="preserve">  </w:t>
            </w:r>
          </w:p>
        </w:tc>
        <w:tc>
          <w:tcPr>
            <w:tcW w:w="1530" w:type="dxa"/>
            <w:tcBorders>
              <w:bottom w:val="single" w:sz="4" w:space="0" w:color="auto"/>
            </w:tcBorders>
          </w:tcPr>
          <w:p w14:paraId="71AAC4F7" w14:textId="77777777" w:rsidR="00D72F24" w:rsidRPr="00D72F24" w:rsidRDefault="00D72F24" w:rsidP="00D72F24">
            <w:pPr>
              <w:spacing w:before="120"/>
              <w:jc w:val="center"/>
              <w:rPr>
                <w:b/>
              </w:rPr>
            </w:pPr>
            <w:r w:rsidRPr="00D72F24">
              <w:rPr>
                <w:b/>
              </w:rPr>
              <w:t>15</w:t>
            </w:r>
          </w:p>
        </w:tc>
      </w:tr>
      <w:tr w:rsidR="00D72F24" w:rsidRPr="00D72F24" w14:paraId="4919F86F" w14:textId="77777777" w:rsidTr="00D72F24">
        <w:trPr>
          <w:cantSplit/>
          <w:trHeight w:val="619"/>
        </w:trPr>
        <w:tc>
          <w:tcPr>
            <w:tcW w:w="8365" w:type="dxa"/>
            <w:tcBorders>
              <w:bottom w:val="single" w:sz="4" w:space="0" w:color="auto"/>
            </w:tcBorders>
            <w:shd w:val="clear" w:color="auto" w:fill="D9D9D9"/>
            <w:vAlign w:val="center"/>
          </w:tcPr>
          <w:p w14:paraId="7553AC0D" w14:textId="77777777" w:rsidR="00D72F24" w:rsidRPr="00D72F24" w:rsidRDefault="00D72F24" w:rsidP="00D72F24">
            <w:pPr>
              <w:spacing w:before="60" w:after="0"/>
              <w:jc w:val="both"/>
              <w:rPr>
                <w:b/>
              </w:rPr>
            </w:pPr>
            <w:r w:rsidRPr="00D72F24">
              <w:rPr>
                <w:b/>
              </w:rPr>
              <w:t>Total Possible Points for criteria</w:t>
            </w:r>
          </w:p>
          <w:p w14:paraId="25FC76A5" w14:textId="77777777" w:rsidR="00D72F24" w:rsidRPr="00D72F24" w:rsidRDefault="00D72F24" w:rsidP="00D72F24">
            <w:pPr>
              <w:spacing w:before="60" w:after="60"/>
              <w:jc w:val="both"/>
              <w:rPr>
                <w:b/>
                <w:sz w:val="24"/>
              </w:rPr>
            </w:pPr>
            <w:r w:rsidRPr="00D72F24">
              <w:rPr>
                <w:b/>
              </w:rPr>
              <w:t xml:space="preserve">(Minimum Passing Score is </w:t>
            </w:r>
            <w:r w:rsidRPr="00D72F24">
              <w:rPr>
                <w:b/>
                <w:u w:val="single"/>
              </w:rPr>
              <w:t>6</w:t>
            </w:r>
            <w:r w:rsidRPr="00D72F24">
              <w:rPr>
                <w:b/>
              </w:rPr>
              <w:t>)</w:t>
            </w:r>
          </w:p>
        </w:tc>
        <w:tc>
          <w:tcPr>
            <w:tcW w:w="1530" w:type="dxa"/>
            <w:tcBorders>
              <w:bottom w:val="single" w:sz="4" w:space="0" w:color="auto"/>
            </w:tcBorders>
            <w:shd w:val="clear" w:color="auto" w:fill="D9D9D9"/>
            <w:vAlign w:val="center"/>
          </w:tcPr>
          <w:p w14:paraId="61605E99" w14:textId="77777777" w:rsidR="00D72F24" w:rsidRPr="00D72F24" w:rsidRDefault="00D72F24" w:rsidP="00D72F24">
            <w:pPr>
              <w:spacing w:after="0"/>
              <w:jc w:val="center"/>
              <w:rPr>
                <w:b/>
                <w:sz w:val="24"/>
              </w:rPr>
            </w:pPr>
            <w:r w:rsidRPr="00D72F24">
              <w:rPr>
                <w:b/>
              </w:rPr>
              <w:t>15</w:t>
            </w:r>
          </w:p>
        </w:tc>
      </w:tr>
    </w:tbl>
    <w:p w14:paraId="045CA6E6" w14:textId="77777777" w:rsidR="00D72F24" w:rsidRDefault="00D72F24" w:rsidP="00E17239">
      <w:pPr>
        <w:spacing w:after="0"/>
        <w:jc w:val="both"/>
        <w:rPr>
          <w:b/>
          <w:szCs w:val="24"/>
        </w:rPr>
      </w:pPr>
    </w:p>
    <w:p w14:paraId="717B8098" w14:textId="77777777" w:rsidR="0043353E" w:rsidRDefault="0043353E" w:rsidP="00E17239">
      <w:pPr>
        <w:spacing w:after="0"/>
        <w:jc w:val="both"/>
        <w:rPr>
          <w:b/>
          <w:szCs w:val="24"/>
        </w:rPr>
      </w:pPr>
    </w:p>
    <w:bookmarkEnd w:id="157"/>
    <w:bookmarkEnd w:id="158"/>
    <w:bookmarkEnd w:id="159"/>
    <w:p w14:paraId="2A014C85" w14:textId="77777777" w:rsidR="00690700" w:rsidRDefault="00690700">
      <w:pPr>
        <w:spacing w:after="0"/>
        <w:rPr>
          <w:b/>
          <w:szCs w:val="22"/>
        </w:rPr>
      </w:pPr>
      <w:r>
        <w:rPr>
          <w:b/>
          <w:szCs w:val="22"/>
        </w:rPr>
        <w:br w:type="page"/>
      </w:r>
    </w:p>
    <w:p w14:paraId="0EE14331" w14:textId="21A7FDF9" w:rsidR="00690700" w:rsidRPr="00690700" w:rsidRDefault="00690700" w:rsidP="00690700">
      <w:pPr>
        <w:tabs>
          <w:tab w:val="left" w:pos="1530"/>
        </w:tabs>
        <w:jc w:val="both"/>
        <w:rPr>
          <w:b/>
          <w:szCs w:val="22"/>
        </w:rPr>
      </w:pPr>
      <w:r w:rsidRPr="00690700">
        <w:rPr>
          <w:b/>
          <w:szCs w:val="24"/>
        </w:rPr>
        <w:lastRenderedPageBreak/>
        <w:t>The Project Narrative (Attachment</w:t>
      </w:r>
      <w:r w:rsidR="00725E05">
        <w:rPr>
          <w:b/>
          <w:szCs w:val="24"/>
        </w:rPr>
        <w:t xml:space="preserve"> 4</w:t>
      </w:r>
      <w:r w:rsidRPr="00690700">
        <w:rPr>
          <w:b/>
          <w:szCs w:val="24"/>
        </w:rPr>
        <w:t xml:space="preserve">) </w:t>
      </w:r>
      <w:r w:rsidRPr="00690700">
        <w:rPr>
          <w:szCs w:val="24"/>
        </w:rPr>
        <w:t>must respond to each criterion below.</w:t>
      </w:r>
      <w:r w:rsidR="00D33CE3">
        <w:rPr>
          <w:szCs w:val="24"/>
        </w:rPr>
        <w:t xml:space="preserve"> </w:t>
      </w:r>
      <w:r w:rsidR="00D33CE3" w:rsidRPr="00D33CE3">
        <w:rPr>
          <w:szCs w:val="24"/>
        </w:rPr>
        <w:t xml:space="preserve">The responses must directly relate to the solicitation requirements and focus as stated in </w:t>
      </w:r>
      <w:r w:rsidR="00D422E3">
        <w:rPr>
          <w:szCs w:val="24"/>
        </w:rPr>
        <w:t>the solicitation</w:t>
      </w:r>
      <w:r w:rsidR="00D33CE3" w:rsidRPr="00D33CE3">
        <w:rPr>
          <w:szCs w:val="24"/>
        </w:rPr>
        <w:t xml:space="preserve">. Any estimates of energy savings or GHG impacts should be calculated as specified in the References for Calculating Energy End-Use </w:t>
      </w:r>
      <w:r w:rsidR="00D33CE3">
        <w:rPr>
          <w:szCs w:val="24"/>
        </w:rPr>
        <w:t>and GHG Emissions (Attachment</w:t>
      </w:r>
      <w:r w:rsidR="00725E05">
        <w:rPr>
          <w:szCs w:val="24"/>
        </w:rPr>
        <w:t xml:space="preserve"> 13</w:t>
      </w:r>
      <w:r w:rsidR="00D33CE3" w:rsidRPr="00D33CE3">
        <w:rPr>
          <w:szCs w:val="24"/>
        </w:rPr>
        <w:t>), to the extent that the references apply to the proposed project.</w:t>
      </w:r>
    </w:p>
    <w:tbl>
      <w:tblPr>
        <w:tblStyle w:val="TableGrid1"/>
        <w:tblW w:w="9704" w:type="dxa"/>
        <w:tblLook w:val="00A0" w:firstRow="1" w:lastRow="0" w:firstColumn="1" w:lastColumn="0" w:noHBand="0" w:noVBand="0"/>
        <w:tblCaption w:val="Scoring Criteria"/>
        <w:tblDescription w:val="Scoring Criteria and Maximum Points"/>
      </w:tblPr>
      <w:tblGrid>
        <w:gridCol w:w="8362"/>
        <w:gridCol w:w="1342"/>
      </w:tblGrid>
      <w:tr w:rsidR="00690700" w:rsidRPr="00C31C1D" w14:paraId="78A1973C" w14:textId="77777777" w:rsidTr="00383AFB">
        <w:trPr>
          <w:trHeight w:val="550"/>
          <w:tblHeader/>
        </w:trPr>
        <w:tc>
          <w:tcPr>
            <w:tcW w:w="8362" w:type="dxa"/>
            <w:shd w:val="clear" w:color="auto" w:fill="D9D9D9" w:themeFill="background1" w:themeFillShade="D9"/>
          </w:tcPr>
          <w:p w14:paraId="72DB5D1B" w14:textId="77777777" w:rsidR="00690700" w:rsidRPr="00EA0242" w:rsidRDefault="00690700" w:rsidP="00063E66">
            <w:pPr>
              <w:jc w:val="both"/>
              <w:rPr>
                <w:b/>
                <w:i/>
                <w:sz w:val="20"/>
              </w:rPr>
            </w:pPr>
            <w:r>
              <w:rPr>
                <w:b/>
              </w:rPr>
              <w:t>Scoring</w:t>
            </w:r>
            <w:r w:rsidRPr="00C31C1D">
              <w:rPr>
                <w:b/>
              </w:rPr>
              <w:t xml:space="preserve"> Criteria</w:t>
            </w:r>
          </w:p>
        </w:tc>
        <w:tc>
          <w:tcPr>
            <w:tcW w:w="1342" w:type="dxa"/>
            <w:shd w:val="clear" w:color="auto" w:fill="D9D9D9" w:themeFill="background1" w:themeFillShade="D9"/>
          </w:tcPr>
          <w:p w14:paraId="648FB863" w14:textId="77777777" w:rsidR="00690700" w:rsidRPr="00C31C1D" w:rsidRDefault="00690700" w:rsidP="00063E66">
            <w:pPr>
              <w:spacing w:after="0"/>
              <w:jc w:val="center"/>
              <w:rPr>
                <w:b/>
              </w:rPr>
            </w:pPr>
            <w:r>
              <w:rPr>
                <w:b/>
              </w:rPr>
              <w:t>Maximum</w:t>
            </w:r>
            <w:r w:rsidRPr="00C31C1D">
              <w:rPr>
                <w:b/>
              </w:rPr>
              <w:t xml:space="preserve"> Points</w:t>
            </w:r>
          </w:p>
        </w:tc>
      </w:tr>
      <w:tr w:rsidR="00690700" w:rsidRPr="00C31C1D" w14:paraId="7FE1A1FF" w14:textId="77777777" w:rsidTr="00383AFB">
        <w:tc>
          <w:tcPr>
            <w:tcW w:w="8362" w:type="dxa"/>
          </w:tcPr>
          <w:p w14:paraId="6A33E0DD" w14:textId="750BF87F" w:rsidR="00690700" w:rsidRPr="002C1625" w:rsidRDefault="00690700" w:rsidP="0018649E">
            <w:pPr>
              <w:numPr>
                <w:ilvl w:val="0"/>
                <w:numId w:val="52"/>
              </w:numPr>
              <w:spacing w:before="120"/>
              <w:jc w:val="both"/>
              <w:rPr>
                <w:rFonts w:cs="Times New Roman"/>
                <w:b/>
                <w:bCs/>
                <w:smallCaps/>
              </w:rPr>
            </w:pPr>
            <w:bookmarkStart w:id="213" w:name="_Toc366671201"/>
            <w:r w:rsidRPr="002C1625">
              <w:rPr>
                <w:b/>
              </w:rPr>
              <w:t>Technical Merit</w:t>
            </w:r>
            <w:bookmarkEnd w:id="213"/>
            <w:r w:rsidRPr="002C1625">
              <w:rPr>
                <w:b/>
              </w:rPr>
              <w:t xml:space="preserve"> </w:t>
            </w:r>
          </w:p>
          <w:p w14:paraId="63467917" w14:textId="77777777" w:rsidR="00690700" w:rsidRPr="002C1625" w:rsidRDefault="00690700" w:rsidP="00690700">
            <w:pPr>
              <w:numPr>
                <w:ilvl w:val="0"/>
                <w:numId w:val="15"/>
              </w:numPr>
              <w:jc w:val="both"/>
            </w:pPr>
            <w:r w:rsidRPr="002C1625">
              <w:t xml:space="preserve">The proposed project provides a clear and concise description of the technological, scientific knowledge advancement, and/or innovation </w:t>
            </w:r>
            <w:r w:rsidRPr="002C1625">
              <w:rPr>
                <w:szCs w:val="22"/>
              </w:rPr>
              <w:t>that will overcome barriers to achieving the State’s statutory energy goals.</w:t>
            </w:r>
          </w:p>
          <w:p w14:paraId="08EFCD72" w14:textId="77777777" w:rsidR="00690700" w:rsidRDefault="00690700" w:rsidP="00690700">
            <w:pPr>
              <w:numPr>
                <w:ilvl w:val="0"/>
                <w:numId w:val="15"/>
              </w:numPr>
              <w:jc w:val="both"/>
            </w:pPr>
            <w:r w:rsidRPr="002C1625">
              <w:t>Describe</w:t>
            </w:r>
            <w:r>
              <w:t>s</w:t>
            </w:r>
            <w:r w:rsidRPr="002C1625">
              <w:t xml:space="preserve"> the competitive</w:t>
            </w:r>
            <w:r>
              <w:t xml:space="preserve"> advantages of the proposed technology over state-of-the-art (e.g., efficiency, emissions, durability, </w:t>
            </w:r>
            <w:proofErr w:type="gramStart"/>
            <w:r>
              <w:t>cost</w:t>
            </w:r>
            <w:proofErr w:type="gramEnd"/>
            <w:r>
              <w:t>).</w:t>
            </w:r>
          </w:p>
          <w:p w14:paraId="72A94B2E" w14:textId="77777777" w:rsidR="00690700" w:rsidRPr="002C1625" w:rsidRDefault="00690700" w:rsidP="00690700">
            <w:pPr>
              <w:numPr>
                <w:ilvl w:val="0"/>
                <w:numId w:val="15"/>
              </w:numPr>
              <w:spacing w:before="240"/>
              <w:jc w:val="both"/>
            </w:pPr>
            <w:r w:rsidRPr="002C1625">
              <w:t>Provide</w:t>
            </w:r>
            <w:r>
              <w:t>s</w:t>
            </w:r>
            <w:r w:rsidRPr="002C1625">
              <w:t xml:space="preserve"> the proposed technical specifications and describe how the project will meet or exceed the technical specifications by the end of the project.</w:t>
            </w:r>
          </w:p>
          <w:p w14:paraId="63B60976" w14:textId="77777777" w:rsidR="00690700" w:rsidRPr="002C1625" w:rsidRDefault="00690700" w:rsidP="00690700">
            <w:pPr>
              <w:numPr>
                <w:ilvl w:val="0"/>
                <w:numId w:val="15"/>
              </w:numPr>
              <w:jc w:val="both"/>
            </w:pPr>
            <w:r w:rsidRPr="002C1625">
              <w:t>Describe</w:t>
            </w:r>
            <w:r>
              <w:t>s</w:t>
            </w:r>
            <w:r w:rsidRPr="002C1625">
              <w:t xml:space="preserve"> the technology readiness level (TRL) the proposed technology has achieved and the expected TRL by the end of the project.</w:t>
            </w:r>
          </w:p>
          <w:p w14:paraId="66DE3DF0" w14:textId="77777777" w:rsidR="00690700" w:rsidRPr="002C1625" w:rsidRDefault="00690700" w:rsidP="00690700">
            <w:pPr>
              <w:numPr>
                <w:ilvl w:val="0"/>
                <w:numId w:val="15"/>
              </w:numPr>
              <w:jc w:val="both"/>
            </w:pPr>
            <w:r w:rsidRPr="002C1625">
              <w:t>Describe</w:t>
            </w:r>
            <w:r>
              <w:t>s</w:t>
            </w:r>
            <w:r w:rsidRPr="002C1625">
              <w:t xml:space="preserve"> at what scale the technology has been successfully demonstrated</w:t>
            </w:r>
            <w:r>
              <w:t xml:space="preserve">, including </w:t>
            </w:r>
            <w:r w:rsidRPr="002C1625">
              <w:t xml:space="preserve">size </w:t>
            </w:r>
            <w:r>
              <w:t xml:space="preserve">or capacity, </w:t>
            </w:r>
            <w:r w:rsidRPr="002C1625">
              <w:t xml:space="preserve">number of previous installations, location and duration, </w:t>
            </w:r>
            <w:r>
              <w:t xml:space="preserve">results, </w:t>
            </w:r>
            <w:r w:rsidRPr="002C1625">
              <w:t>etc.</w:t>
            </w:r>
          </w:p>
          <w:p w14:paraId="76FAFB5F" w14:textId="2BAF6460" w:rsidR="00690700" w:rsidRPr="002C1625" w:rsidRDefault="00690700" w:rsidP="00690700">
            <w:pPr>
              <w:numPr>
                <w:ilvl w:val="0"/>
                <w:numId w:val="15"/>
              </w:numPr>
              <w:jc w:val="both"/>
            </w:pPr>
            <w:r w:rsidRPr="002C1625">
              <w:t>Describe</w:t>
            </w:r>
            <w:r>
              <w:t>s</w:t>
            </w:r>
            <w:r w:rsidRPr="002C1625">
              <w:t xml:space="preserve"> how the proposed demonstration will lead to increased adoption of the technology in California.</w:t>
            </w:r>
          </w:p>
          <w:p w14:paraId="224B058B" w14:textId="5FC9CBED" w:rsidR="00426463" w:rsidRPr="00C31C1D" w:rsidRDefault="00690700" w:rsidP="00C41A20">
            <w:pPr>
              <w:numPr>
                <w:ilvl w:val="0"/>
                <w:numId w:val="15"/>
              </w:numPr>
              <w:jc w:val="both"/>
            </w:pPr>
            <w:r w:rsidRPr="009A585D">
              <w:t>Provides information described in Section II.B.2</w:t>
            </w:r>
            <w:r w:rsidR="00915C84">
              <w:t>.</w:t>
            </w:r>
          </w:p>
        </w:tc>
        <w:tc>
          <w:tcPr>
            <w:tcW w:w="1342" w:type="dxa"/>
          </w:tcPr>
          <w:p w14:paraId="3320797E" w14:textId="77777777" w:rsidR="00690700" w:rsidRDefault="00690700" w:rsidP="00063E66">
            <w:pPr>
              <w:spacing w:before="120"/>
              <w:jc w:val="center"/>
              <w:rPr>
                <w:b/>
              </w:rPr>
            </w:pPr>
            <w:r>
              <w:rPr>
                <w:b/>
              </w:rPr>
              <w:t>15</w:t>
            </w:r>
          </w:p>
        </w:tc>
      </w:tr>
      <w:tr w:rsidR="00690700" w:rsidRPr="00C31C1D" w14:paraId="4EA3F230" w14:textId="77777777" w:rsidTr="00383AFB">
        <w:tc>
          <w:tcPr>
            <w:tcW w:w="8362" w:type="dxa"/>
          </w:tcPr>
          <w:p w14:paraId="0E10C1EE" w14:textId="3C5038DA" w:rsidR="00690700" w:rsidRPr="00190F11" w:rsidRDefault="00690700" w:rsidP="0018649E">
            <w:pPr>
              <w:numPr>
                <w:ilvl w:val="0"/>
                <w:numId w:val="52"/>
              </w:numPr>
              <w:spacing w:before="120"/>
              <w:jc w:val="both"/>
              <w:rPr>
                <w:rFonts w:cs="Times New Roman"/>
                <w:b/>
                <w:bCs/>
                <w:smallCaps/>
              </w:rPr>
            </w:pPr>
            <w:bookmarkStart w:id="214" w:name="_Toc366671202"/>
            <w:r w:rsidRPr="00190F11">
              <w:rPr>
                <w:b/>
              </w:rPr>
              <w:t>Technical Approach</w:t>
            </w:r>
            <w:bookmarkEnd w:id="214"/>
            <w:r w:rsidRPr="00190F11">
              <w:rPr>
                <w:b/>
              </w:rPr>
              <w:t xml:space="preserve"> </w:t>
            </w:r>
          </w:p>
          <w:p w14:paraId="33EC788A" w14:textId="77777777" w:rsidR="00690700" w:rsidRPr="00190F11" w:rsidRDefault="00690700" w:rsidP="00690700">
            <w:pPr>
              <w:numPr>
                <w:ilvl w:val="0"/>
                <w:numId w:val="16"/>
              </w:numPr>
              <w:jc w:val="both"/>
            </w:pPr>
            <w:r w:rsidRPr="00190F11">
              <w:t>Proposal describes the technique, approach, and methods to be used in performing the work described in the Scope of Work</w:t>
            </w:r>
            <w:r w:rsidR="00915C84" w:rsidRPr="00190F11">
              <w:t>.</w:t>
            </w:r>
            <w:r w:rsidRPr="00190F11">
              <w:t xml:space="preserve"> </w:t>
            </w:r>
          </w:p>
          <w:p w14:paraId="11D91F00" w14:textId="77777777" w:rsidR="00690700" w:rsidRPr="00190F11" w:rsidRDefault="00690700" w:rsidP="00690700">
            <w:pPr>
              <w:numPr>
                <w:ilvl w:val="0"/>
                <w:numId w:val="16"/>
              </w:numPr>
              <w:jc w:val="both"/>
            </w:pPr>
            <w:r w:rsidRPr="00190F11">
              <w:t>The Scope of Work identifies goals, objectives, and deliverables, details the work to be performed, and aligns with the information presented in Project Narrative.</w:t>
            </w:r>
          </w:p>
          <w:p w14:paraId="518706CF" w14:textId="77777777" w:rsidR="00690700" w:rsidRPr="00190F11" w:rsidRDefault="00690700" w:rsidP="00690700">
            <w:pPr>
              <w:numPr>
                <w:ilvl w:val="0"/>
                <w:numId w:val="16"/>
              </w:numPr>
              <w:jc w:val="both"/>
            </w:pPr>
            <w:r w:rsidRPr="00190F11">
              <w:t>Proposal identifies the reliability that the project and site recommendations as described will be carried out if funds are awarded.</w:t>
            </w:r>
          </w:p>
          <w:p w14:paraId="441D1BCD" w14:textId="77777777" w:rsidR="00690700" w:rsidRPr="00190F11" w:rsidRDefault="00690700" w:rsidP="00690700">
            <w:pPr>
              <w:numPr>
                <w:ilvl w:val="0"/>
                <w:numId w:val="16"/>
              </w:numPr>
              <w:jc w:val="both"/>
            </w:pPr>
            <w:r w:rsidRPr="00190F11">
              <w:t xml:space="preserve">Identifies and discusses factors critical for success, in addition to risks, barriers, and limitations (e.g. loss of demonstration site, key subcontractor).  Provides a plan to address them. </w:t>
            </w:r>
          </w:p>
          <w:p w14:paraId="2BC050D4" w14:textId="77777777" w:rsidR="00690700" w:rsidRPr="00190F11" w:rsidRDefault="00690700" w:rsidP="00690700">
            <w:pPr>
              <w:numPr>
                <w:ilvl w:val="0"/>
                <w:numId w:val="16"/>
              </w:numPr>
              <w:jc w:val="both"/>
            </w:pPr>
            <w:r w:rsidRPr="00190F11">
              <w:t xml:space="preserve">Discusses the degree to which the proposed work is technically feasible and achievable within the proposed </w:t>
            </w:r>
            <w:r w:rsidR="00915C84" w:rsidRPr="00190F11">
              <w:t>P</w:t>
            </w:r>
            <w:r w:rsidRPr="00190F11">
              <w:t xml:space="preserve">roject </w:t>
            </w:r>
            <w:r w:rsidR="00915C84" w:rsidRPr="00190F11">
              <w:t>S</w:t>
            </w:r>
            <w:r w:rsidRPr="00190F11">
              <w:t>chedule and the key activities schedule in Section I.</w:t>
            </w:r>
            <w:r w:rsidR="00652BFB" w:rsidRPr="00190F11">
              <w:t>G</w:t>
            </w:r>
            <w:r w:rsidR="00915C84" w:rsidRPr="00190F11">
              <w:t>.</w:t>
            </w:r>
          </w:p>
          <w:p w14:paraId="1DE604BE" w14:textId="7C66CFCD" w:rsidR="00690700" w:rsidRPr="00190F11" w:rsidRDefault="00690700" w:rsidP="00690700">
            <w:pPr>
              <w:numPr>
                <w:ilvl w:val="0"/>
                <w:numId w:val="16"/>
              </w:numPr>
              <w:jc w:val="both"/>
            </w:pPr>
            <w:r w:rsidRPr="00190F11">
              <w:t>Describes the technology transfer plan to assess and advance the commercial viability of the technology.</w:t>
            </w:r>
          </w:p>
          <w:p w14:paraId="626B4CA6" w14:textId="77777777" w:rsidR="00690700" w:rsidRPr="00190F11" w:rsidRDefault="00690700" w:rsidP="00690700">
            <w:pPr>
              <w:numPr>
                <w:ilvl w:val="0"/>
                <w:numId w:val="16"/>
              </w:numPr>
              <w:jc w:val="both"/>
            </w:pPr>
            <w:r w:rsidRPr="00190F11">
              <w:lastRenderedPageBreak/>
              <w:t>Provides a clear and plausible measurement and verification plan that describes how energy savings and other benefits specified in the application will be determined and measured.</w:t>
            </w:r>
          </w:p>
          <w:p w14:paraId="49686714" w14:textId="77777777" w:rsidR="00690700" w:rsidRPr="00190F11" w:rsidRDefault="00690700" w:rsidP="00690700">
            <w:pPr>
              <w:numPr>
                <w:ilvl w:val="0"/>
                <w:numId w:val="16"/>
              </w:numPr>
              <w:jc w:val="both"/>
              <w:rPr>
                <w:rFonts w:cs="Times New Roman"/>
                <w:b/>
                <w:smallCaps/>
              </w:rPr>
            </w:pPr>
            <w:r w:rsidRPr="00190F11">
              <w:t>Provides information documenting progress towards achieving compliance with the California Environmental Quality Act (CEQA) by addressing the areas in Section I.D, and Section III.D.4, and Section III.D.8</w:t>
            </w:r>
          </w:p>
          <w:p w14:paraId="591DFC37" w14:textId="4F32BB7F" w:rsidR="00426463" w:rsidRPr="00190F11" w:rsidRDefault="00690700" w:rsidP="003F2050">
            <w:pPr>
              <w:numPr>
                <w:ilvl w:val="0"/>
                <w:numId w:val="16"/>
              </w:numPr>
              <w:jc w:val="both"/>
              <w:rPr>
                <w:rFonts w:cs="Times New Roman"/>
                <w:b/>
                <w:smallCaps/>
              </w:rPr>
            </w:pPr>
            <w:r w:rsidRPr="00190F11">
              <w:t>Provides information described in Section II.B.2.</w:t>
            </w:r>
            <w:r w:rsidRPr="00190F11" w:rsidDel="00520068">
              <w:t xml:space="preserve"> </w:t>
            </w:r>
          </w:p>
        </w:tc>
        <w:tc>
          <w:tcPr>
            <w:tcW w:w="1342" w:type="dxa"/>
          </w:tcPr>
          <w:p w14:paraId="6E61A025" w14:textId="77777777" w:rsidR="00690700" w:rsidRDefault="00690700" w:rsidP="0043353E">
            <w:pPr>
              <w:spacing w:before="120"/>
              <w:jc w:val="center"/>
            </w:pPr>
            <w:r>
              <w:rPr>
                <w:b/>
              </w:rPr>
              <w:lastRenderedPageBreak/>
              <w:t>25</w:t>
            </w:r>
          </w:p>
          <w:p w14:paraId="3249A74D" w14:textId="77777777" w:rsidR="00690700" w:rsidRDefault="00690700" w:rsidP="00063E66">
            <w:pPr>
              <w:pStyle w:val="Heading3"/>
              <w:jc w:val="center"/>
              <w:rPr>
                <w:sz w:val="18"/>
                <w:szCs w:val="18"/>
              </w:rPr>
            </w:pPr>
          </w:p>
        </w:tc>
      </w:tr>
      <w:tr w:rsidR="00690700" w:rsidRPr="00C31C1D" w14:paraId="0A462438" w14:textId="77777777" w:rsidTr="00383AFB">
        <w:trPr>
          <w:trHeight w:val="422"/>
        </w:trPr>
        <w:tc>
          <w:tcPr>
            <w:tcW w:w="8362" w:type="dxa"/>
          </w:tcPr>
          <w:p w14:paraId="028F04A4" w14:textId="281D8ED7" w:rsidR="00690700" w:rsidRPr="00190F11" w:rsidRDefault="00690700" w:rsidP="0018649E">
            <w:pPr>
              <w:numPr>
                <w:ilvl w:val="0"/>
                <w:numId w:val="52"/>
              </w:numPr>
              <w:spacing w:before="120"/>
              <w:jc w:val="both"/>
              <w:rPr>
                <w:rFonts w:cs="Times New Roman"/>
                <w:b/>
                <w:bCs/>
                <w:smallCaps/>
              </w:rPr>
            </w:pPr>
            <w:bookmarkStart w:id="215" w:name="_Toc366671203"/>
            <w:r w:rsidRPr="00190F11">
              <w:rPr>
                <w:b/>
              </w:rPr>
              <w:t>Impacts and Benefits for California</w:t>
            </w:r>
            <w:bookmarkEnd w:id="215"/>
            <w:r w:rsidRPr="00190F11">
              <w:rPr>
                <w:b/>
              </w:rPr>
              <w:t xml:space="preserve"> IOU Ratepayers </w:t>
            </w:r>
          </w:p>
          <w:p w14:paraId="14845836" w14:textId="77777777" w:rsidR="00690700" w:rsidRPr="00190F11" w:rsidRDefault="00690700" w:rsidP="00690700">
            <w:pPr>
              <w:numPr>
                <w:ilvl w:val="0"/>
                <w:numId w:val="17"/>
              </w:numPr>
              <w:spacing w:after="60"/>
              <w:jc w:val="both"/>
            </w:pPr>
            <w:r w:rsidRPr="00190F11">
              <w:t xml:space="preserve">Explains how the proposed project will benefit California Investor-Owned Utility (IOU) ratepayers and provides clear, plausible, and justifiable (quantitative preferred) potential benefits. Estimates the energy benefits including: </w:t>
            </w:r>
          </w:p>
          <w:p w14:paraId="3438CE8F" w14:textId="13E93A5B" w:rsidR="00690700" w:rsidRPr="00190F11" w:rsidRDefault="00B34567" w:rsidP="0018649E">
            <w:pPr>
              <w:numPr>
                <w:ilvl w:val="1"/>
                <w:numId w:val="54"/>
              </w:numPr>
              <w:spacing w:after="60"/>
              <w:jc w:val="both"/>
            </w:pPr>
            <w:r w:rsidRPr="00190F11">
              <w:t>A</w:t>
            </w:r>
            <w:r w:rsidR="00690700" w:rsidRPr="00190F11">
              <w:t xml:space="preserve">nnual electricity </w:t>
            </w:r>
            <w:r w:rsidRPr="00190F11">
              <w:t xml:space="preserve">generation, energy storage charge/discharge, and loads </w:t>
            </w:r>
            <w:r w:rsidR="00690700" w:rsidRPr="00190F11">
              <w:t>(kilowatt-hour</w:t>
            </w:r>
            <w:r w:rsidRPr="00190F11">
              <w:t>s</w:t>
            </w:r>
            <w:r w:rsidR="00690700" w:rsidRPr="00190F11">
              <w:t>), energy cost reductions, peak load reduction and/or shifting, infrastructure resiliency, infrastructure reliability.</w:t>
            </w:r>
          </w:p>
          <w:p w14:paraId="02590D9C" w14:textId="77777777" w:rsidR="00690700" w:rsidRPr="00190F11" w:rsidRDefault="00690700" w:rsidP="00063E66">
            <w:pPr>
              <w:spacing w:after="60"/>
              <w:ind w:left="720"/>
              <w:jc w:val="both"/>
              <w:rPr>
                <w:b/>
              </w:rPr>
            </w:pPr>
            <w:r w:rsidRPr="00190F11">
              <w:rPr>
                <w:b/>
              </w:rPr>
              <w:t xml:space="preserve">In addition, estimates the non-energy benefits including: </w:t>
            </w:r>
          </w:p>
          <w:p w14:paraId="2D6BBBFE" w14:textId="63C648C2" w:rsidR="00690700" w:rsidRPr="00190F11" w:rsidRDefault="00BF2373" w:rsidP="0018649E">
            <w:pPr>
              <w:pStyle w:val="ListParagraph"/>
              <w:numPr>
                <w:ilvl w:val="0"/>
                <w:numId w:val="53"/>
              </w:numPr>
              <w:spacing w:after="60"/>
              <w:jc w:val="both"/>
            </w:pPr>
            <w:r w:rsidRPr="00190F11">
              <w:t>G</w:t>
            </w:r>
            <w:r w:rsidR="00690700" w:rsidRPr="00190F11">
              <w:t>reenhouse gas emission reductions, air emission reductions (e.g. NOx), water savings and cost reduction, and/or increased safety.</w:t>
            </w:r>
          </w:p>
          <w:p w14:paraId="1917BA19" w14:textId="77777777" w:rsidR="00690700" w:rsidRPr="00190F11" w:rsidRDefault="00690700" w:rsidP="00690700">
            <w:pPr>
              <w:numPr>
                <w:ilvl w:val="0"/>
                <w:numId w:val="17"/>
              </w:numPr>
              <w:jc w:val="both"/>
            </w:pPr>
            <w:r w:rsidRPr="00190F11">
              <w:t xml:space="preserve">States the timeframe, assumptions with sources, and calculations for the estimated benefits, and explains their reasonableness. Include baseline or “business as usual” over timeframe. </w:t>
            </w:r>
          </w:p>
          <w:p w14:paraId="2EB34869" w14:textId="7400715C" w:rsidR="00690700" w:rsidRPr="00190F11" w:rsidRDefault="00690700" w:rsidP="00B34567">
            <w:pPr>
              <w:pStyle w:val="ListParagraph"/>
              <w:numPr>
                <w:ilvl w:val="0"/>
                <w:numId w:val="17"/>
              </w:numPr>
              <w:jc w:val="both"/>
            </w:pPr>
            <w:r w:rsidRPr="00190F11">
              <w:t>Explains the path-to-market strategy including near-term (i.e. initial target markets), mid-term, and long-term markets for the technology, size and penetration or deployment rates, and underlying assumptions.</w:t>
            </w:r>
          </w:p>
          <w:p w14:paraId="70E086C0" w14:textId="7E061801" w:rsidR="00690700" w:rsidRPr="00190F11" w:rsidRDefault="00690700" w:rsidP="003B16BD">
            <w:pPr>
              <w:jc w:val="both"/>
            </w:pPr>
          </w:p>
        </w:tc>
        <w:tc>
          <w:tcPr>
            <w:tcW w:w="1342" w:type="dxa"/>
          </w:tcPr>
          <w:p w14:paraId="709E76F2" w14:textId="77777777" w:rsidR="00690700" w:rsidRPr="00776F17" w:rsidRDefault="00690700" w:rsidP="00063E66">
            <w:pPr>
              <w:spacing w:before="120"/>
              <w:jc w:val="center"/>
            </w:pPr>
            <w:r>
              <w:rPr>
                <w:b/>
              </w:rPr>
              <w:t>20</w:t>
            </w:r>
          </w:p>
        </w:tc>
      </w:tr>
      <w:tr w:rsidR="00690700" w:rsidRPr="00C31C1D" w14:paraId="16D01070" w14:textId="77777777" w:rsidTr="00383AFB">
        <w:trPr>
          <w:trHeight w:val="3248"/>
        </w:trPr>
        <w:tc>
          <w:tcPr>
            <w:tcW w:w="8362" w:type="dxa"/>
          </w:tcPr>
          <w:p w14:paraId="3FE82706" w14:textId="0702B230" w:rsidR="00690700" w:rsidRPr="00C31C1D" w:rsidRDefault="00690700" w:rsidP="0018649E">
            <w:pPr>
              <w:numPr>
                <w:ilvl w:val="0"/>
                <w:numId w:val="52"/>
              </w:numPr>
              <w:spacing w:before="120"/>
              <w:jc w:val="both"/>
              <w:rPr>
                <w:rFonts w:cs="Times New Roman"/>
                <w:b/>
                <w:bCs/>
                <w:smallCaps/>
              </w:rPr>
            </w:pPr>
            <w:bookmarkStart w:id="216" w:name="_Toc366671205"/>
            <w:r w:rsidRPr="00C31C1D">
              <w:rPr>
                <w:b/>
              </w:rPr>
              <w:t>Team Qualifications, Capabilities</w:t>
            </w:r>
            <w:r>
              <w:rPr>
                <w:b/>
              </w:rPr>
              <w:t>,</w:t>
            </w:r>
            <w:r w:rsidRPr="00C31C1D">
              <w:rPr>
                <w:b/>
              </w:rPr>
              <w:t xml:space="preserve"> and Resources</w:t>
            </w:r>
            <w:bookmarkEnd w:id="216"/>
          </w:p>
          <w:p w14:paraId="482DF13D" w14:textId="77777777" w:rsidR="00690700" w:rsidRDefault="00690700" w:rsidP="00063E66">
            <w:pPr>
              <w:ind w:left="720"/>
              <w:jc w:val="both"/>
            </w:pPr>
            <w:r w:rsidRPr="00A10D6C">
              <w:t>Evaluations of ongoing or previous projects will be used in scoring for this criterion.</w:t>
            </w:r>
          </w:p>
          <w:p w14:paraId="258C85C2" w14:textId="77777777" w:rsidR="00690700" w:rsidRPr="00941FBA" w:rsidRDefault="00690700" w:rsidP="00690700">
            <w:pPr>
              <w:numPr>
                <w:ilvl w:val="0"/>
                <w:numId w:val="18"/>
              </w:numPr>
              <w:jc w:val="both"/>
            </w:pPr>
            <w:r w:rsidRPr="00941FBA">
              <w:t>Identifies credentials of prime and any subcontractor core personnel, in</w:t>
            </w:r>
            <w:r>
              <w:t xml:space="preserve">cluding the project manager, </w:t>
            </w:r>
            <w:r w:rsidRPr="00941FBA">
              <w:t>principal investigator</w:t>
            </w:r>
            <w:r>
              <w:t xml:space="preserve"> and technology and knowledge transfer lead</w:t>
            </w:r>
            <w:r w:rsidRPr="00941FBA">
              <w:t xml:space="preserve"> </w:t>
            </w:r>
            <w:r w:rsidRPr="00941FBA">
              <w:rPr>
                <w:i/>
              </w:rPr>
              <w:t xml:space="preserve">(include this information in </w:t>
            </w:r>
            <w:r w:rsidR="00915C84">
              <w:rPr>
                <w:i/>
              </w:rPr>
              <w:t>the</w:t>
            </w:r>
            <w:r w:rsidRPr="00941FBA">
              <w:rPr>
                <w:i/>
              </w:rPr>
              <w:t xml:space="preserve"> Project Team Form).</w:t>
            </w:r>
          </w:p>
          <w:p w14:paraId="1AF419BA" w14:textId="7AF6F14C" w:rsidR="00690700" w:rsidRPr="00941FBA" w:rsidRDefault="00690700" w:rsidP="00690700">
            <w:pPr>
              <w:numPr>
                <w:ilvl w:val="0"/>
                <w:numId w:val="18"/>
              </w:numPr>
              <w:jc w:val="both"/>
            </w:pPr>
            <w:r>
              <w:t>Demonstrates that the project team has appropriate qualifications</w:t>
            </w:r>
            <w:r w:rsidRPr="00941FBA">
              <w:t>, experience, financial stability and capabilit</w:t>
            </w:r>
            <w:r>
              <w:t>y to complete the project</w:t>
            </w:r>
            <w:r w:rsidRPr="00941FBA">
              <w:t>.</w:t>
            </w:r>
          </w:p>
          <w:p w14:paraId="218BBB88" w14:textId="77777777" w:rsidR="00690700" w:rsidRPr="00941FBA" w:rsidRDefault="00690700" w:rsidP="00690700">
            <w:pPr>
              <w:numPr>
                <w:ilvl w:val="0"/>
                <w:numId w:val="18"/>
              </w:numPr>
              <w:jc w:val="both"/>
            </w:pPr>
            <w:r w:rsidRPr="00941FBA">
              <w:t>Explains the team structure and how various tasks will be managed and coordinated</w:t>
            </w:r>
            <w:r>
              <w:t>.</w:t>
            </w:r>
          </w:p>
          <w:p w14:paraId="08A60469" w14:textId="77777777" w:rsidR="00690700" w:rsidRPr="00B73640" w:rsidRDefault="00690700" w:rsidP="00690700">
            <w:pPr>
              <w:numPr>
                <w:ilvl w:val="0"/>
                <w:numId w:val="18"/>
              </w:numPr>
              <w:jc w:val="both"/>
            </w:pPr>
            <w:r w:rsidRPr="00941FBA">
              <w:t>Describes the facilities, infrastructure, and resources available that directly support the project.</w:t>
            </w:r>
          </w:p>
          <w:p w14:paraId="6403E5DE" w14:textId="77777777" w:rsidR="00690700" w:rsidRPr="00A10D6C" w:rsidRDefault="00690700" w:rsidP="00690700">
            <w:pPr>
              <w:numPr>
                <w:ilvl w:val="0"/>
                <w:numId w:val="18"/>
              </w:numPr>
              <w:spacing w:after="240"/>
              <w:jc w:val="both"/>
            </w:pPr>
            <w:r w:rsidRPr="00941FBA">
              <w:t>Describes the team’s history of successfully completing projects in the past 10 years including subsequent deployments and commercialization.</w:t>
            </w:r>
          </w:p>
        </w:tc>
        <w:tc>
          <w:tcPr>
            <w:tcW w:w="1342" w:type="dxa"/>
          </w:tcPr>
          <w:p w14:paraId="0496588F" w14:textId="77777777" w:rsidR="00690700" w:rsidRPr="00E0214F" w:rsidRDefault="00690700" w:rsidP="00063E66">
            <w:pPr>
              <w:spacing w:before="120"/>
              <w:jc w:val="center"/>
              <w:rPr>
                <w:b/>
              </w:rPr>
            </w:pPr>
            <w:r>
              <w:rPr>
                <w:b/>
              </w:rPr>
              <w:t>15</w:t>
            </w:r>
          </w:p>
        </w:tc>
      </w:tr>
      <w:tr w:rsidR="00690700" w:rsidRPr="00C31C1D" w14:paraId="53D62E24" w14:textId="77777777" w:rsidTr="00383AFB">
        <w:trPr>
          <w:trHeight w:val="485"/>
        </w:trPr>
        <w:tc>
          <w:tcPr>
            <w:tcW w:w="8362" w:type="dxa"/>
            <w:shd w:val="clear" w:color="auto" w:fill="D9D9D9" w:themeFill="background1" w:themeFillShade="D9"/>
          </w:tcPr>
          <w:p w14:paraId="47134BCA" w14:textId="77777777" w:rsidR="00690700" w:rsidRDefault="00690700" w:rsidP="00063E66">
            <w:pPr>
              <w:spacing w:before="60" w:after="0"/>
              <w:ind w:left="360"/>
              <w:jc w:val="both"/>
              <w:rPr>
                <w:b/>
              </w:rPr>
            </w:pPr>
            <w:r w:rsidRPr="00435C8C">
              <w:rPr>
                <w:b/>
              </w:rPr>
              <w:lastRenderedPageBreak/>
              <w:t>Total Possible Points for criteria 1</w:t>
            </w:r>
            <w:r>
              <w:rPr>
                <w:b/>
              </w:rPr>
              <w:t>− 5</w:t>
            </w:r>
          </w:p>
          <w:p w14:paraId="4A4F5993" w14:textId="77777777" w:rsidR="00690700" w:rsidRPr="00435C8C" w:rsidRDefault="00690700" w:rsidP="00063E66">
            <w:pPr>
              <w:spacing w:after="0"/>
              <w:ind w:left="360"/>
              <w:jc w:val="both"/>
              <w:rPr>
                <w:b/>
              </w:rPr>
            </w:pPr>
            <w:r>
              <w:rPr>
                <w:b/>
              </w:rPr>
              <w:t>(</w:t>
            </w:r>
            <w:r w:rsidRPr="00435C8C">
              <w:rPr>
                <w:b/>
              </w:rPr>
              <w:t>Minimum Passing Score for criteria 1</w:t>
            </w:r>
            <w:r>
              <w:rPr>
                <w:b/>
              </w:rPr>
              <w:t xml:space="preserve">− 5 is 70% or </w:t>
            </w:r>
            <w:r w:rsidRPr="006D57FF">
              <w:rPr>
                <w:b/>
                <w:u w:val="single"/>
              </w:rPr>
              <w:t>63</w:t>
            </w:r>
            <w:r>
              <w:rPr>
                <w:b/>
                <w:u w:val="single"/>
              </w:rPr>
              <w:t>.00</w:t>
            </w:r>
            <w:r>
              <w:rPr>
                <w:b/>
              </w:rPr>
              <w:t>)</w:t>
            </w:r>
          </w:p>
        </w:tc>
        <w:tc>
          <w:tcPr>
            <w:tcW w:w="1342" w:type="dxa"/>
            <w:shd w:val="clear" w:color="auto" w:fill="D9D9D9" w:themeFill="background1" w:themeFillShade="D9"/>
          </w:tcPr>
          <w:p w14:paraId="612C4A65" w14:textId="77777777" w:rsidR="00690700" w:rsidRDefault="00690700" w:rsidP="00063E66">
            <w:pPr>
              <w:spacing w:after="0"/>
              <w:jc w:val="both"/>
              <w:rPr>
                <w:b/>
              </w:rPr>
            </w:pPr>
          </w:p>
          <w:p w14:paraId="7B2EF767" w14:textId="77777777" w:rsidR="00690700" w:rsidRPr="00435C8C" w:rsidRDefault="00690700" w:rsidP="00063E66">
            <w:pPr>
              <w:jc w:val="center"/>
              <w:rPr>
                <w:b/>
              </w:rPr>
            </w:pPr>
            <w:r>
              <w:rPr>
                <w:b/>
              </w:rPr>
              <w:t>90</w:t>
            </w:r>
          </w:p>
        </w:tc>
      </w:tr>
      <w:tr w:rsidR="00690700" w:rsidRPr="00C31C1D" w14:paraId="597F4D6C" w14:textId="77777777" w:rsidTr="00383AFB">
        <w:tc>
          <w:tcPr>
            <w:tcW w:w="8362" w:type="dxa"/>
          </w:tcPr>
          <w:p w14:paraId="5AB50181" w14:textId="77777777" w:rsidR="00690700" w:rsidRPr="00C31C1D" w:rsidRDefault="00690700" w:rsidP="0018649E">
            <w:pPr>
              <w:numPr>
                <w:ilvl w:val="0"/>
                <w:numId w:val="52"/>
              </w:numPr>
              <w:spacing w:before="120"/>
              <w:jc w:val="both"/>
              <w:rPr>
                <w:rFonts w:cs="Times New Roman"/>
                <w:b/>
                <w:bCs/>
                <w:smallCaps/>
              </w:rPr>
            </w:pPr>
            <w:r w:rsidRPr="00C31C1D">
              <w:rPr>
                <w:b/>
              </w:rPr>
              <w:t>Budget and Cost</w:t>
            </w:r>
            <w:r>
              <w:rPr>
                <w:b/>
              </w:rPr>
              <w:t>-</w:t>
            </w:r>
            <w:r w:rsidRPr="00C31C1D">
              <w:rPr>
                <w:b/>
              </w:rPr>
              <w:t>Effectiveness</w:t>
            </w:r>
          </w:p>
          <w:p w14:paraId="6D079750" w14:textId="77777777" w:rsidR="00690700" w:rsidRDefault="00690700" w:rsidP="00690700">
            <w:pPr>
              <w:numPr>
                <w:ilvl w:val="0"/>
                <w:numId w:val="19"/>
              </w:numPr>
              <w:spacing w:before="120" w:after="0"/>
              <w:jc w:val="both"/>
            </w:pPr>
            <w:r>
              <w:t xml:space="preserve">Budget forms are </w:t>
            </w:r>
            <w:r w:rsidRPr="00B73640">
              <w:t>complete for the applicant and all subcontractors</w:t>
            </w:r>
            <w:r>
              <w:t xml:space="preserve">, as </w:t>
            </w:r>
            <w:r w:rsidR="00D33CE3">
              <w:t xml:space="preserve">described </w:t>
            </w:r>
            <w:r>
              <w:t xml:space="preserve">in </w:t>
            </w:r>
            <w:r w:rsidR="00515FFB">
              <w:t>the Budget</w:t>
            </w:r>
            <w:r w:rsidR="00D33CE3">
              <w:t xml:space="preserve"> instructions</w:t>
            </w:r>
            <w:r>
              <w:t>.</w:t>
            </w:r>
          </w:p>
          <w:p w14:paraId="5744D604" w14:textId="77777777" w:rsidR="00690700" w:rsidRPr="00C31C1D" w:rsidRDefault="00690700" w:rsidP="00690700">
            <w:pPr>
              <w:numPr>
                <w:ilvl w:val="0"/>
                <w:numId w:val="19"/>
              </w:numPr>
              <w:spacing w:before="120" w:after="0"/>
              <w:jc w:val="both"/>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06D33E55" w14:textId="77777777" w:rsidR="00690700" w:rsidRDefault="00690700" w:rsidP="00690700">
            <w:pPr>
              <w:numPr>
                <w:ilvl w:val="0"/>
                <w:numId w:val="19"/>
              </w:numPr>
              <w:spacing w:before="120" w:after="0"/>
              <w:jc w:val="both"/>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10B056A" w14:textId="77777777" w:rsidR="00690700" w:rsidRPr="00930EDF" w:rsidRDefault="00690700" w:rsidP="00690700">
            <w:pPr>
              <w:numPr>
                <w:ilvl w:val="0"/>
                <w:numId w:val="19"/>
              </w:numPr>
              <w:spacing w:before="120"/>
              <w:jc w:val="both"/>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tc>
        <w:tc>
          <w:tcPr>
            <w:tcW w:w="1342" w:type="dxa"/>
          </w:tcPr>
          <w:p w14:paraId="4EDB98BC" w14:textId="77777777" w:rsidR="00690700" w:rsidRPr="00E0214F" w:rsidRDefault="00690700" w:rsidP="00063E66">
            <w:pPr>
              <w:spacing w:before="120"/>
              <w:jc w:val="center"/>
              <w:rPr>
                <w:b/>
              </w:rPr>
            </w:pPr>
            <w:r>
              <w:rPr>
                <w:b/>
              </w:rPr>
              <w:t>10</w:t>
            </w:r>
          </w:p>
        </w:tc>
      </w:tr>
      <w:tr w:rsidR="00690700" w:rsidRPr="00C31C1D" w14:paraId="73603E08" w14:textId="77777777" w:rsidTr="00383AFB">
        <w:tc>
          <w:tcPr>
            <w:tcW w:w="8362" w:type="dxa"/>
          </w:tcPr>
          <w:p w14:paraId="4941BD8C" w14:textId="77777777" w:rsidR="00690700" w:rsidRPr="00855805" w:rsidRDefault="00690700" w:rsidP="0018649E">
            <w:pPr>
              <w:numPr>
                <w:ilvl w:val="0"/>
                <w:numId w:val="52"/>
              </w:numPr>
              <w:spacing w:before="120"/>
              <w:jc w:val="both"/>
              <w:rPr>
                <w:rFonts w:cs="Times New Roman"/>
                <w:b/>
                <w:bCs/>
                <w:smallCaps/>
              </w:rPr>
            </w:pPr>
            <w:r w:rsidRPr="00855805">
              <w:rPr>
                <w:b/>
              </w:rPr>
              <w:t>EPIC Funds Spent in California</w:t>
            </w:r>
          </w:p>
          <w:p w14:paraId="7A118065" w14:textId="2396A27F" w:rsidR="00690700" w:rsidRPr="00584CB6" w:rsidRDefault="00690700" w:rsidP="00063E66">
            <w:pPr>
              <w:tabs>
                <w:tab w:val="left" w:pos="1170"/>
              </w:tabs>
              <w:autoSpaceDE w:val="0"/>
              <w:autoSpaceDN w:val="0"/>
              <w:adjustRightInd w:val="0"/>
              <w:spacing w:after="0"/>
              <w:ind w:left="360"/>
              <w:jc w:val="both"/>
              <w:rPr>
                <w:szCs w:val="22"/>
              </w:rPr>
            </w:pPr>
            <w:r>
              <w:t xml:space="preserve">Projects that maximize the </w:t>
            </w:r>
            <w:r w:rsidRPr="00D119E8">
              <w:t>spend</w:t>
            </w:r>
            <w:r>
              <w:t>ing</w:t>
            </w:r>
            <w:r w:rsidRPr="00D119E8">
              <w:t xml:space="preserve"> </w:t>
            </w:r>
            <w:r>
              <w:t xml:space="preserve">of </w:t>
            </w:r>
            <w:r w:rsidRPr="00D119E8">
              <w:t>EPIC funds in California</w:t>
            </w:r>
            <w:r w:rsidRPr="00C31C1D">
              <w:t xml:space="preserve"> </w:t>
            </w:r>
            <w:r w:rsidR="00493A6D">
              <w:t xml:space="preserve">will be evaluated </w:t>
            </w:r>
            <w:r w:rsidRPr="00C31C1D">
              <w:t xml:space="preserve">as </w:t>
            </w:r>
            <w:r>
              <w:t>indicated in the table below (see EPIC Funds Spent in California section for more details).</w:t>
            </w:r>
          </w:p>
          <w:p w14:paraId="2F574971" w14:textId="77777777" w:rsidR="00690700" w:rsidRPr="00C31C1D" w:rsidRDefault="00690700" w:rsidP="00063E66">
            <w:pPr>
              <w:spacing w:after="0"/>
              <w:ind w:left="360"/>
              <w:jc w:val="both"/>
              <w:rPr>
                <w:b/>
              </w:rPr>
            </w:pPr>
            <w:r>
              <w:rPr>
                <w:b/>
              </w:rPr>
              <w:t xml:space="preserve"> </w:t>
            </w:r>
          </w:p>
        </w:tc>
        <w:tc>
          <w:tcPr>
            <w:tcW w:w="1342" w:type="dxa"/>
          </w:tcPr>
          <w:p w14:paraId="42A948F2" w14:textId="77777777" w:rsidR="00690700" w:rsidRPr="00C31C1D" w:rsidRDefault="00690700" w:rsidP="00063E66">
            <w:pPr>
              <w:spacing w:before="120"/>
              <w:jc w:val="center"/>
              <w:rPr>
                <w:b/>
              </w:rPr>
            </w:pPr>
            <w:r>
              <w:rPr>
                <w:b/>
              </w:rPr>
              <w:t>10</w:t>
            </w:r>
          </w:p>
        </w:tc>
      </w:tr>
    </w:tbl>
    <w:p w14:paraId="36F56BE4" w14:textId="312F7399" w:rsidR="00934754" w:rsidRPr="00383AFB" w:rsidRDefault="00934754" w:rsidP="00930EDF">
      <w:pPr>
        <w:tabs>
          <w:tab w:val="left" w:pos="1530"/>
        </w:tabs>
        <w:jc w:val="both"/>
        <w:rPr>
          <w:b/>
          <w:sz w:val="16"/>
          <w:szCs w:val="16"/>
        </w:rPr>
      </w:pPr>
    </w:p>
    <w:tbl>
      <w:tblPr>
        <w:tblStyle w:val="TableGrid1"/>
        <w:tblW w:w="0" w:type="auto"/>
        <w:jc w:val="center"/>
        <w:tblLook w:val="00A0" w:firstRow="1" w:lastRow="0" w:firstColumn="1" w:lastColumn="0" w:noHBand="0" w:noVBand="0"/>
        <w:tblCaption w:val="Percentage of EPIC funds spent in CA"/>
        <w:tblDescription w:val="Percentage of EPIC funds spent in CA and Percentage of Possible Points"/>
      </w:tblPr>
      <w:tblGrid>
        <w:gridCol w:w="3685"/>
        <w:gridCol w:w="2880"/>
      </w:tblGrid>
      <w:tr w:rsidR="00934754" w:rsidRPr="002C1625" w14:paraId="5D616173" w14:textId="77777777" w:rsidTr="00934754">
        <w:trPr>
          <w:cantSplit/>
          <w:tblHeader/>
          <w:jc w:val="center"/>
        </w:trPr>
        <w:tc>
          <w:tcPr>
            <w:tcW w:w="3685" w:type="dxa"/>
            <w:shd w:val="clear" w:color="auto" w:fill="D9D9D9" w:themeFill="background1" w:themeFillShade="D9"/>
          </w:tcPr>
          <w:p w14:paraId="1FC7F21F" w14:textId="77777777" w:rsidR="00934754" w:rsidRPr="002C1625" w:rsidRDefault="00934754" w:rsidP="00BC691D">
            <w:pPr>
              <w:widowControl w:val="0"/>
              <w:spacing w:after="0"/>
              <w:jc w:val="both"/>
              <w:rPr>
                <w:b/>
                <w:sz w:val="18"/>
                <w:szCs w:val="18"/>
              </w:rPr>
            </w:pPr>
            <w:r w:rsidRPr="002C1625">
              <w:rPr>
                <w:b/>
                <w:sz w:val="18"/>
                <w:szCs w:val="18"/>
              </w:rPr>
              <w:t>Percentage of EPIC funds spent in CA</w:t>
            </w:r>
          </w:p>
          <w:p w14:paraId="54A053BF"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(derived from budget Attachment )</w:t>
            </w:r>
          </w:p>
        </w:tc>
        <w:tc>
          <w:tcPr>
            <w:tcW w:w="2880" w:type="dxa"/>
            <w:shd w:val="clear" w:color="auto" w:fill="D9D9D9" w:themeFill="background1" w:themeFillShade="D9"/>
          </w:tcPr>
          <w:p w14:paraId="25B9A0FA"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b/>
                <w:sz w:val="18"/>
                <w:szCs w:val="18"/>
              </w:rPr>
              <w:t>Percentage of Possible Points</w:t>
            </w:r>
          </w:p>
        </w:tc>
      </w:tr>
      <w:tr w:rsidR="00934754" w:rsidRPr="002C1625" w14:paraId="72DFDDE3" w14:textId="77777777" w:rsidTr="00BC691D">
        <w:trPr>
          <w:cantSplit/>
          <w:tblHeader/>
          <w:jc w:val="center"/>
        </w:trPr>
        <w:tc>
          <w:tcPr>
            <w:tcW w:w="3685" w:type="dxa"/>
          </w:tcPr>
          <w:p w14:paraId="7BE44F51"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 xml:space="preserve">&gt;60%  </w:t>
            </w:r>
          </w:p>
        </w:tc>
        <w:tc>
          <w:tcPr>
            <w:tcW w:w="2880" w:type="dxa"/>
          </w:tcPr>
          <w:p w14:paraId="00C3CEC4"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20%</w:t>
            </w:r>
          </w:p>
        </w:tc>
      </w:tr>
      <w:tr w:rsidR="00934754" w:rsidRPr="002C1625" w14:paraId="188C45E3" w14:textId="77777777" w:rsidTr="00BC691D">
        <w:trPr>
          <w:cantSplit/>
          <w:tblHeader/>
          <w:jc w:val="center"/>
        </w:trPr>
        <w:tc>
          <w:tcPr>
            <w:tcW w:w="3685" w:type="dxa"/>
          </w:tcPr>
          <w:p w14:paraId="11503F83"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 xml:space="preserve">&gt;65%  </w:t>
            </w:r>
          </w:p>
        </w:tc>
        <w:tc>
          <w:tcPr>
            <w:tcW w:w="2880" w:type="dxa"/>
          </w:tcPr>
          <w:p w14:paraId="4EA12EC6"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30%</w:t>
            </w:r>
          </w:p>
        </w:tc>
      </w:tr>
      <w:tr w:rsidR="00934754" w:rsidRPr="002C1625" w14:paraId="1C3999D3" w14:textId="77777777" w:rsidTr="00BC691D">
        <w:trPr>
          <w:cantSplit/>
          <w:tblHeader/>
          <w:jc w:val="center"/>
        </w:trPr>
        <w:tc>
          <w:tcPr>
            <w:tcW w:w="3685" w:type="dxa"/>
          </w:tcPr>
          <w:p w14:paraId="5861D4C7"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&gt;70%</w:t>
            </w:r>
          </w:p>
        </w:tc>
        <w:tc>
          <w:tcPr>
            <w:tcW w:w="2880" w:type="dxa"/>
          </w:tcPr>
          <w:p w14:paraId="3C2CC2CA"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40%</w:t>
            </w:r>
          </w:p>
        </w:tc>
      </w:tr>
      <w:tr w:rsidR="00934754" w:rsidRPr="002C1625" w14:paraId="735F4355" w14:textId="77777777" w:rsidTr="00BC691D">
        <w:trPr>
          <w:cantSplit/>
          <w:tblHeader/>
          <w:jc w:val="center"/>
        </w:trPr>
        <w:tc>
          <w:tcPr>
            <w:tcW w:w="3685" w:type="dxa"/>
          </w:tcPr>
          <w:p w14:paraId="68CEF058"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 xml:space="preserve">&gt;75%  </w:t>
            </w:r>
          </w:p>
        </w:tc>
        <w:tc>
          <w:tcPr>
            <w:tcW w:w="2880" w:type="dxa"/>
          </w:tcPr>
          <w:p w14:paraId="65E73EC0"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50%</w:t>
            </w:r>
          </w:p>
        </w:tc>
      </w:tr>
      <w:tr w:rsidR="00934754" w:rsidRPr="002C1625" w14:paraId="19372FEC" w14:textId="77777777" w:rsidTr="00BC691D">
        <w:trPr>
          <w:cantSplit/>
          <w:tblHeader/>
          <w:jc w:val="center"/>
        </w:trPr>
        <w:tc>
          <w:tcPr>
            <w:tcW w:w="3685" w:type="dxa"/>
          </w:tcPr>
          <w:p w14:paraId="28A71030"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&gt;80%</w:t>
            </w:r>
          </w:p>
        </w:tc>
        <w:tc>
          <w:tcPr>
            <w:tcW w:w="2880" w:type="dxa"/>
          </w:tcPr>
          <w:p w14:paraId="2C24C21A"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60%</w:t>
            </w:r>
          </w:p>
        </w:tc>
      </w:tr>
      <w:tr w:rsidR="00934754" w:rsidRPr="002C1625" w14:paraId="7FEA38AD" w14:textId="77777777" w:rsidTr="00BC691D">
        <w:trPr>
          <w:cantSplit/>
          <w:tblHeader/>
          <w:jc w:val="center"/>
        </w:trPr>
        <w:tc>
          <w:tcPr>
            <w:tcW w:w="3685" w:type="dxa"/>
          </w:tcPr>
          <w:p w14:paraId="7536275B"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 xml:space="preserve">&gt;85%  </w:t>
            </w:r>
          </w:p>
        </w:tc>
        <w:tc>
          <w:tcPr>
            <w:tcW w:w="2880" w:type="dxa"/>
          </w:tcPr>
          <w:p w14:paraId="3990B7DC"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70%</w:t>
            </w:r>
          </w:p>
        </w:tc>
      </w:tr>
      <w:tr w:rsidR="00934754" w:rsidRPr="002C1625" w14:paraId="5693DCCF" w14:textId="77777777" w:rsidTr="00BC691D">
        <w:trPr>
          <w:cantSplit/>
          <w:tblHeader/>
          <w:jc w:val="center"/>
        </w:trPr>
        <w:tc>
          <w:tcPr>
            <w:tcW w:w="3685" w:type="dxa"/>
          </w:tcPr>
          <w:p w14:paraId="578D492B"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&gt;90%</w:t>
            </w:r>
          </w:p>
        </w:tc>
        <w:tc>
          <w:tcPr>
            <w:tcW w:w="2880" w:type="dxa"/>
          </w:tcPr>
          <w:p w14:paraId="623CEE6E"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80%</w:t>
            </w:r>
          </w:p>
        </w:tc>
      </w:tr>
      <w:tr w:rsidR="00934754" w:rsidRPr="002C1625" w14:paraId="00EA7CA3" w14:textId="77777777" w:rsidTr="00BC691D">
        <w:trPr>
          <w:cantSplit/>
          <w:tblHeader/>
          <w:jc w:val="center"/>
        </w:trPr>
        <w:tc>
          <w:tcPr>
            <w:tcW w:w="3685" w:type="dxa"/>
          </w:tcPr>
          <w:p w14:paraId="018ACBCB"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 xml:space="preserve">&gt;95%  </w:t>
            </w:r>
          </w:p>
        </w:tc>
        <w:tc>
          <w:tcPr>
            <w:tcW w:w="2880" w:type="dxa"/>
          </w:tcPr>
          <w:p w14:paraId="44B8CF03"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90%</w:t>
            </w:r>
          </w:p>
        </w:tc>
      </w:tr>
      <w:tr w:rsidR="00934754" w:rsidRPr="00CE0DA8" w14:paraId="7ED5370F" w14:textId="77777777" w:rsidTr="00BC691D">
        <w:trPr>
          <w:cantSplit/>
          <w:tblHeader/>
          <w:jc w:val="center"/>
        </w:trPr>
        <w:tc>
          <w:tcPr>
            <w:tcW w:w="3685" w:type="dxa"/>
          </w:tcPr>
          <w:p w14:paraId="3EBC304A" w14:textId="77777777" w:rsidR="00934754" w:rsidRPr="002C1625"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&gt;98%</w:t>
            </w:r>
          </w:p>
        </w:tc>
        <w:tc>
          <w:tcPr>
            <w:tcW w:w="2880" w:type="dxa"/>
          </w:tcPr>
          <w:p w14:paraId="54954DC4" w14:textId="77777777" w:rsidR="00934754" w:rsidRPr="00CE0DA8" w:rsidRDefault="00934754" w:rsidP="00BC691D">
            <w:pPr>
              <w:widowControl w:val="0"/>
              <w:tabs>
                <w:tab w:val="left" w:pos="1170"/>
              </w:tabs>
              <w:autoSpaceDE w:val="0"/>
              <w:autoSpaceDN w:val="0"/>
              <w:adjustRightInd w:val="0"/>
              <w:spacing w:after="0"/>
              <w:jc w:val="both"/>
              <w:rPr>
                <w:sz w:val="18"/>
                <w:szCs w:val="18"/>
              </w:rPr>
            </w:pPr>
            <w:r w:rsidRPr="002C1625">
              <w:rPr>
                <w:sz w:val="18"/>
                <w:szCs w:val="18"/>
              </w:rPr>
              <w:t>100%</w:t>
            </w:r>
          </w:p>
        </w:tc>
      </w:tr>
    </w:tbl>
    <w:p w14:paraId="61165E94" w14:textId="1F328D9B" w:rsidR="00934754" w:rsidRPr="00383AFB" w:rsidRDefault="00934754" w:rsidP="00383AFB">
      <w:pPr>
        <w:tabs>
          <w:tab w:val="left" w:pos="1530"/>
        </w:tabs>
        <w:spacing w:after="0"/>
        <w:jc w:val="both"/>
        <w:rPr>
          <w:b/>
          <w:sz w:val="16"/>
          <w:szCs w:val="16"/>
        </w:rPr>
      </w:pPr>
    </w:p>
    <w:tbl>
      <w:tblPr>
        <w:tblStyle w:val="TableGrid1"/>
        <w:tblW w:w="9704" w:type="dxa"/>
        <w:tblLook w:val="00A0" w:firstRow="1" w:lastRow="0" w:firstColumn="1" w:lastColumn="0" w:noHBand="0" w:noVBand="0"/>
        <w:tblCaption w:val="Scoring Criteria Continued"/>
        <w:tblDescription w:val="Scoring Criteria Continued"/>
      </w:tblPr>
      <w:tblGrid>
        <w:gridCol w:w="8362"/>
        <w:gridCol w:w="1342"/>
      </w:tblGrid>
      <w:tr w:rsidR="00934754" w14:paraId="49C5B922" w14:textId="77777777" w:rsidTr="00383AFB">
        <w:trPr>
          <w:cantSplit/>
          <w:tblHeader/>
        </w:trPr>
        <w:tc>
          <w:tcPr>
            <w:tcW w:w="8362" w:type="dxa"/>
          </w:tcPr>
          <w:p w14:paraId="4786495F" w14:textId="77777777" w:rsidR="00934754" w:rsidRPr="00855805" w:rsidRDefault="00934754" w:rsidP="0018649E">
            <w:pPr>
              <w:numPr>
                <w:ilvl w:val="0"/>
                <w:numId w:val="52"/>
              </w:numPr>
              <w:spacing w:before="120"/>
              <w:jc w:val="both"/>
              <w:rPr>
                <w:rFonts w:cs="Times New Roman"/>
                <w:b/>
                <w:bCs/>
                <w:smallCaps/>
              </w:rPr>
            </w:pPr>
            <w:r w:rsidRPr="00C31C1D">
              <w:rPr>
                <w:b/>
              </w:rPr>
              <w:t xml:space="preserve">Ratio of Direct Labor to </w:t>
            </w:r>
            <w:r>
              <w:rPr>
                <w:b/>
              </w:rPr>
              <w:t>Indirect Costs</w:t>
            </w:r>
          </w:p>
          <w:p w14:paraId="05B9A5EB" w14:textId="77777777" w:rsidR="00934754" w:rsidRDefault="00934754" w:rsidP="00BC691D">
            <w:pPr>
              <w:spacing w:before="120"/>
              <w:ind w:left="330"/>
              <w:jc w:val="both"/>
            </w:pPr>
            <w:r w:rsidRPr="00615561">
              <w:t xml:space="preserve">The score for this criterion will </w:t>
            </w:r>
            <w:r>
              <w:t>be calculated by the following formula:</w:t>
            </w:r>
          </w:p>
          <w:p w14:paraId="3E1EEB22" w14:textId="05DBD412" w:rsidR="00934754" w:rsidRDefault="00443C9B" w:rsidP="00383AFB">
            <w:pPr>
              <w:spacing w:before="120" w:after="0"/>
              <w:ind w:left="331"/>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32F4B1F" w14:textId="77777777" w:rsidR="00934754" w:rsidRDefault="00934754" w:rsidP="00BC691D">
            <w:pPr>
              <w:spacing w:before="120"/>
              <w:ind w:left="330"/>
              <w:jc w:val="both"/>
            </w:pPr>
            <w:r>
              <w:br/>
            </w:r>
            <w:r w:rsidRPr="00615561">
              <w:t>This ratio</w:t>
            </w:r>
            <w:r>
              <w:t xml:space="preserve"> will then be </w:t>
            </w:r>
            <w:r w:rsidRPr="00615561">
              <w:t xml:space="preserve">multiplied by the </w:t>
            </w:r>
            <w:r>
              <w:t xml:space="preserve">maximum </w:t>
            </w:r>
            <w:r w:rsidRPr="00615561">
              <w:t>possible</w:t>
            </w:r>
            <w:r>
              <w:t xml:space="preserve"> </w:t>
            </w:r>
            <w:r w:rsidRPr="00615561">
              <w:t xml:space="preserve">points for this criterion and rounded </w:t>
            </w:r>
            <w:r>
              <w:t xml:space="preserve">to </w:t>
            </w:r>
            <w:r w:rsidRPr="00615561">
              <w:t>two decimal places.</w:t>
            </w:r>
          </w:p>
          <w:p w14:paraId="0861C0F4" w14:textId="77777777" w:rsidR="00934754" w:rsidRPr="007F0D6B" w:rsidRDefault="00934754" w:rsidP="00BC691D">
            <w:pPr>
              <w:spacing w:before="120"/>
              <w:ind w:left="330"/>
              <w:jc w:val="both"/>
            </w:pPr>
            <w:r w:rsidRPr="007F0D6B">
              <w:t>NOTE: For the purposes of this criteria, the Energy Commission will include the facility charges (e.g., rent, utilities, etc.), burdens and other like costs that are budgeted as direct costs into the indirect costs in the formula.</w:t>
            </w:r>
          </w:p>
        </w:tc>
        <w:tc>
          <w:tcPr>
            <w:tcW w:w="1342" w:type="dxa"/>
          </w:tcPr>
          <w:p w14:paraId="2933F834" w14:textId="77777777" w:rsidR="00934754" w:rsidRDefault="00934754" w:rsidP="00BC691D">
            <w:pPr>
              <w:spacing w:before="120"/>
              <w:jc w:val="center"/>
              <w:rPr>
                <w:b/>
              </w:rPr>
            </w:pPr>
            <w:r>
              <w:rPr>
                <w:b/>
              </w:rPr>
              <w:t>5</w:t>
            </w:r>
          </w:p>
        </w:tc>
      </w:tr>
      <w:tr w:rsidR="00934754" w:rsidRPr="00C31C1D" w14:paraId="0EF276B2" w14:textId="77777777" w:rsidTr="00383AFB">
        <w:trPr>
          <w:cantSplit/>
          <w:trHeight w:val="647"/>
        </w:trPr>
        <w:tc>
          <w:tcPr>
            <w:tcW w:w="8362" w:type="dxa"/>
            <w:tcBorders>
              <w:bottom w:val="single" w:sz="4" w:space="0" w:color="auto"/>
            </w:tcBorders>
            <w:shd w:val="clear" w:color="auto" w:fill="D9D9D9" w:themeFill="background1" w:themeFillShade="D9"/>
          </w:tcPr>
          <w:p w14:paraId="415C29D0" w14:textId="77777777" w:rsidR="00934754" w:rsidRDefault="00934754" w:rsidP="00BC691D">
            <w:pPr>
              <w:spacing w:before="120" w:after="0"/>
              <w:jc w:val="both"/>
              <w:rPr>
                <w:b/>
              </w:rPr>
            </w:pPr>
            <w:r w:rsidRPr="00C31C1D">
              <w:rPr>
                <w:b/>
              </w:rPr>
              <w:t>Total Possible Points</w:t>
            </w:r>
          </w:p>
          <w:p w14:paraId="07BCEFF3" w14:textId="77777777" w:rsidR="00934754" w:rsidRPr="009F14BA" w:rsidRDefault="00934754" w:rsidP="00BC691D">
            <w:pPr>
              <w:jc w:val="both"/>
              <w:rPr>
                <w:b/>
              </w:rPr>
            </w:pPr>
            <w:r>
              <w:rPr>
                <w:b/>
              </w:rPr>
              <w:t>(</w:t>
            </w:r>
            <w:r w:rsidRPr="00C31C1D">
              <w:rPr>
                <w:b/>
              </w:rPr>
              <w:t>Minimum Passing Score</w:t>
            </w:r>
            <w:r>
              <w:rPr>
                <w:b/>
              </w:rPr>
              <w:t xml:space="preserve"> for Criteria 1 – 8 is 70% or </w:t>
            </w:r>
            <w:r>
              <w:rPr>
                <w:b/>
                <w:u w:val="single"/>
              </w:rPr>
              <w:t>80.5</w:t>
            </w:r>
            <w:r>
              <w:rPr>
                <w:b/>
              </w:rPr>
              <w:t>)</w:t>
            </w:r>
          </w:p>
        </w:tc>
        <w:tc>
          <w:tcPr>
            <w:tcW w:w="1342" w:type="dxa"/>
            <w:shd w:val="clear" w:color="auto" w:fill="D9D9D9" w:themeFill="background1" w:themeFillShade="D9"/>
          </w:tcPr>
          <w:p w14:paraId="764DF984" w14:textId="77777777" w:rsidR="00934754" w:rsidRDefault="00934754" w:rsidP="00BC691D">
            <w:pPr>
              <w:spacing w:after="0"/>
              <w:jc w:val="both"/>
              <w:rPr>
                <w:b/>
              </w:rPr>
            </w:pPr>
          </w:p>
          <w:p w14:paraId="286A3EA8" w14:textId="77777777" w:rsidR="00934754" w:rsidRPr="00C31C1D" w:rsidRDefault="00934754" w:rsidP="00BC691D">
            <w:pPr>
              <w:tabs>
                <w:tab w:val="left" w:pos="192"/>
                <w:tab w:val="center" w:pos="563"/>
              </w:tabs>
              <w:rPr>
                <w:b/>
              </w:rPr>
            </w:pPr>
            <w:r>
              <w:rPr>
                <w:b/>
              </w:rPr>
              <w:tab/>
            </w:r>
            <w:r>
              <w:rPr>
                <w:b/>
              </w:rPr>
              <w:tab/>
            </w:r>
            <w:r w:rsidRPr="00C31C1D">
              <w:rPr>
                <w:b/>
              </w:rPr>
              <w:t>1</w:t>
            </w:r>
            <w:r>
              <w:rPr>
                <w:b/>
              </w:rPr>
              <w:t>15</w:t>
            </w:r>
          </w:p>
        </w:tc>
      </w:tr>
    </w:tbl>
    <w:p w14:paraId="19FEF9D2" w14:textId="77777777" w:rsidR="00383AFB" w:rsidRDefault="00383AFB" w:rsidP="00934754">
      <w:pPr>
        <w:pStyle w:val="0PIERNormal"/>
        <w:spacing w:before="240" w:after="0"/>
        <w:jc w:val="center"/>
        <w:rPr>
          <w:rFonts w:ascii="Arial" w:hAnsi="Arial" w:cs="Arial"/>
          <w:b/>
          <w:color w:val="auto"/>
          <w:sz w:val="24"/>
          <w:szCs w:val="24"/>
        </w:rPr>
      </w:pPr>
    </w:p>
    <w:tbl>
      <w:tblPr>
        <w:tblStyle w:val="TableGrid1"/>
        <w:tblW w:w="9704" w:type="dxa"/>
        <w:tblLook w:val="00A0" w:firstRow="1" w:lastRow="0" w:firstColumn="1" w:lastColumn="0" w:noHBand="0" w:noVBand="0"/>
        <w:tblCaption w:val="Scoring Criteria Continued"/>
        <w:tblDescription w:val="Scoring Criteria Continued"/>
      </w:tblPr>
      <w:tblGrid>
        <w:gridCol w:w="8362"/>
        <w:gridCol w:w="1342"/>
      </w:tblGrid>
      <w:tr w:rsidR="00383AFB" w14:paraId="7E08FB55" w14:textId="77777777" w:rsidTr="00383AFB">
        <w:trPr>
          <w:cantSplit/>
          <w:trHeight w:val="953"/>
          <w:tblHeader/>
        </w:trPr>
        <w:tc>
          <w:tcPr>
            <w:tcW w:w="8362" w:type="dxa"/>
            <w:tcBorders>
              <w:right w:val="nil"/>
            </w:tcBorders>
            <w:shd w:val="clear" w:color="auto" w:fill="D9D9D9" w:themeFill="background1" w:themeFillShade="D9"/>
          </w:tcPr>
          <w:p w14:paraId="02287C1A" w14:textId="77777777" w:rsidR="00383AFB" w:rsidRPr="00F06E95" w:rsidRDefault="00383AFB" w:rsidP="00BC691D">
            <w:pPr>
              <w:keepLines/>
              <w:spacing w:before="60" w:after="60"/>
              <w:jc w:val="both"/>
              <w:rPr>
                <w:b/>
              </w:rPr>
            </w:pPr>
            <w:r w:rsidRPr="009F14BA">
              <w:rPr>
                <w:b/>
                <w:sz w:val="24"/>
                <w:szCs w:val="22"/>
              </w:rPr>
              <w:t xml:space="preserve">Preference Points </w:t>
            </w:r>
            <w:r w:rsidRPr="009F14BA">
              <w:rPr>
                <w:sz w:val="24"/>
                <w:szCs w:val="22"/>
              </w:rPr>
              <w:t>Applications must meet both minimum passing scores (Scoring Criteria 1, 1-5, 1-8, and 9 for TD&amp;D solicitations) to be eligible for the additional points</w:t>
            </w:r>
          </w:p>
        </w:tc>
        <w:tc>
          <w:tcPr>
            <w:tcW w:w="1342" w:type="dxa"/>
            <w:tcBorders>
              <w:left w:val="nil"/>
            </w:tcBorders>
            <w:shd w:val="clear" w:color="auto" w:fill="D9D9D9" w:themeFill="background1" w:themeFillShade="D9"/>
          </w:tcPr>
          <w:p w14:paraId="662D970F" w14:textId="77777777" w:rsidR="00383AFB" w:rsidRDefault="00383AFB" w:rsidP="00BC691D">
            <w:pPr>
              <w:spacing w:before="120" w:after="0"/>
              <w:jc w:val="center"/>
              <w:rPr>
                <w:b/>
                <w:szCs w:val="22"/>
              </w:rPr>
            </w:pPr>
          </w:p>
        </w:tc>
      </w:tr>
      <w:tr w:rsidR="00383AFB" w:rsidRPr="00D13EF0" w14:paraId="100731F1" w14:textId="77777777" w:rsidTr="00BC691D">
        <w:trPr>
          <w:cantSplit/>
          <w:trHeight w:val="1781"/>
        </w:trPr>
        <w:tc>
          <w:tcPr>
            <w:tcW w:w="8362" w:type="dxa"/>
          </w:tcPr>
          <w:p w14:paraId="399ED767" w14:textId="77777777" w:rsidR="00383AFB" w:rsidRPr="004D5128" w:rsidRDefault="00383AFB" w:rsidP="0018649E">
            <w:pPr>
              <w:keepLines/>
              <w:numPr>
                <w:ilvl w:val="0"/>
                <w:numId w:val="52"/>
              </w:numPr>
              <w:spacing w:before="120"/>
              <w:jc w:val="both"/>
              <w:rPr>
                <w:rFonts w:cs="Times New Roman"/>
                <w:b/>
                <w:bCs/>
                <w:smallCaps/>
                <w:szCs w:val="22"/>
              </w:rPr>
            </w:pPr>
            <w:r w:rsidRPr="00F06E95">
              <w:rPr>
                <w:b/>
              </w:rPr>
              <w:t>Match Fund</w:t>
            </w:r>
            <w:r>
              <w:rPr>
                <w:b/>
              </w:rPr>
              <w:t>s</w:t>
            </w:r>
            <w:r w:rsidRPr="00F06E95">
              <w:rPr>
                <w:b/>
              </w:rPr>
              <w:t xml:space="preserve"> </w:t>
            </w:r>
          </w:p>
          <w:p w14:paraId="1DBA5712" w14:textId="77777777" w:rsidR="00383AFB" w:rsidRPr="00C93CF7" w:rsidRDefault="00383AFB" w:rsidP="0018649E">
            <w:pPr>
              <w:pStyle w:val="0PIERNormal"/>
              <w:numPr>
                <w:ilvl w:val="0"/>
                <w:numId w:val="55"/>
              </w:numPr>
              <w:spacing w:after="120"/>
              <w:rPr>
                <w:rFonts w:ascii="Arial" w:hAnsi="Arial" w:cs="Arial"/>
                <w:i/>
                <w:color w:val="00B0F0"/>
                <w:szCs w:val="22"/>
              </w:rPr>
            </w:pPr>
            <w:r>
              <w:rPr>
                <w:rFonts w:ascii="Arial" w:hAnsi="Arial" w:cs="Arial"/>
                <w:color w:val="000000" w:themeColor="text1"/>
                <w:szCs w:val="22"/>
              </w:rPr>
              <w:t xml:space="preserve">Cash match </w:t>
            </w:r>
            <w:r w:rsidRPr="00E504B9">
              <w:rPr>
                <w:rFonts w:ascii="Arial" w:hAnsi="Arial" w:cs="Arial"/>
                <w:color w:val="000000" w:themeColor="text1"/>
                <w:szCs w:val="22"/>
              </w:rPr>
              <w:t>share is preferred; however, in-kind cost share is permitted and will be considered</w:t>
            </w:r>
            <w:r>
              <w:t xml:space="preserve"> </w:t>
            </w:r>
            <w:r w:rsidRPr="007C63A7">
              <w:rPr>
                <w:rFonts w:ascii="Arial" w:hAnsi="Arial" w:cs="Arial"/>
                <w:color w:val="000000" w:themeColor="text1"/>
                <w:szCs w:val="22"/>
              </w:rPr>
              <w:t>for solicitation match requirements</w:t>
            </w:r>
            <w:r w:rsidRPr="00E504B9">
              <w:rPr>
                <w:rFonts w:ascii="Arial" w:hAnsi="Arial" w:cs="Arial"/>
                <w:color w:val="000000" w:themeColor="text1"/>
                <w:szCs w:val="22"/>
              </w:rPr>
              <w:t>.</w:t>
            </w:r>
            <w:r>
              <w:rPr>
                <w:rFonts w:ascii="Arial" w:hAnsi="Arial" w:cs="Arial"/>
                <w:color w:val="000000" w:themeColor="text1"/>
                <w:szCs w:val="22"/>
              </w:rPr>
              <w:t xml:space="preserve"> </w:t>
            </w:r>
            <w:r w:rsidRPr="004D5128">
              <w:rPr>
                <w:rFonts w:ascii="Arial" w:hAnsi="Arial" w:cs="Arial"/>
                <w:color w:val="000000" w:themeColor="text1"/>
                <w:szCs w:val="22"/>
              </w:rPr>
              <w:t xml:space="preserve">Points for this criterion will be </w:t>
            </w:r>
            <w:r>
              <w:rPr>
                <w:rFonts w:ascii="Arial" w:hAnsi="Arial" w:cs="Arial"/>
                <w:color w:val="000000" w:themeColor="text1"/>
                <w:szCs w:val="22"/>
              </w:rPr>
              <w:t xml:space="preserve">evaluated </w:t>
            </w:r>
            <w:r w:rsidRPr="004D5128">
              <w:rPr>
                <w:rFonts w:ascii="Arial" w:hAnsi="Arial" w:cs="Arial"/>
                <w:color w:val="000000" w:themeColor="text1"/>
                <w:szCs w:val="22"/>
              </w:rPr>
              <w:t xml:space="preserve">based on the </w:t>
            </w:r>
            <w:r>
              <w:rPr>
                <w:rFonts w:ascii="Arial" w:hAnsi="Arial" w:cs="Arial"/>
                <w:color w:val="000000" w:themeColor="text1"/>
                <w:szCs w:val="22"/>
              </w:rPr>
              <w:t xml:space="preserve">ratio of </w:t>
            </w:r>
            <w:r w:rsidRPr="004D5128">
              <w:rPr>
                <w:rFonts w:ascii="Arial" w:hAnsi="Arial" w:cs="Arial"/>
                <w:color w:val="000000" w:themeColor="text1"/>
                <w:szCs w:val="22"/>
              </w:rPr>
              <w:t>proposed Cash and In-Kind contributions using the Match Scoring Table</w:t>
            </w:r>
            <w:r>
              <w:rPr>
                <w:rFonts w:ascii="Arial" w:hAnsi="Arial" w:cs="Arial"/>
                <w:color w:val="000000" w:themeColor="text1"/>
                <w:szCs w:val="22"/>
              </w:rPr>
              <w:t xml:space="preserve"> below</w:t>
            </w:r>
            <w:r w:rsidRPr="004D5128">
              <w:rPr>
                <w:rFonts w:ascii="Arial" w:hAnsi="Arial" w:cs="Arial"/>
                <w:color w:val="000000" w:themeColor="text1"/>
                <w:szCs w:val="22"/>
              </w:rPr>
              <w:t>:</w:t>
            </w:r>
          </w:p>
        </w:tc>
        <w:tc>
          <w:tcPr>
            <w:tcW w:w="1342" w:type="dxa"/>
          </w:tcPr>
          <w:p w14:paraId="10AB206A" w14:textId="77777777" w:rsidR="00383AFB" w:rsidRPr="00D13EF0" w:rsidRDefault="00383AFB" w:rsidP="00BC691D">
            <w:pPr>
              <w:spacing w:before="120" w:after="0"/>
              <w:jc w:val="center"/>
              <w:rPr>
                <w:b/>
                <w:szCs w:val="22"/>
              </w:rPr>
            </w:pPr>
            <w:r>
              <w:rPr>
                <w:b/>
                <w:szCs w:val="22"/>
              </w:rPr>
              <w:t>5</w:t>
            </w:r>
          </w:p>
        </w:tc>
      </w:tr>
    </w:tbl>
    <w:p w14:paraId="732FAF51" w14:textId="40564F81" w:rsidR="00934754" w:rsidRPr="00934754" w:rsidRDefault="00934754" w:rsidP="00934754">
      <w:pPr>
        <w:pStyle w:val="0PIERNormal"/>
        <w:spacing w:before="240" w:after="0"/>
        <w:jc w:val="center"/>
        <w:rPr>
          <w:rFonts w:ascii="Arial" w:hAnsi="Arial" w:cs="Arial"/>
          <w:color w:val="000000" w:themeColor="text1"/>
          <w:sz w:val="24"/>
          <w:szCs w:val="24"/>
        </w:rPr>
      </w:pPr>
      <w:r w:rsidRPr="00934754">
        <w:rPr>
          <w:rFonts w:ascii="Arial" w:hAnsi="Arial" w:cs="Arial"/>
          <w:b/>
          <w:color w:val="auto"/>
          <w:sz w:val="24"/>
          <w:szCs w:val="24"/>
        </w:rPr>
        <w:t>Match Scoring Table</w:t>
      </w:r>
    </w:p>
    <w:tbl>
      <w:tblPr>
        <w:tblStyle w:val="TableGrid"/>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4754" w:rsidRPr="002F167C" w14:paraId="221F0C2D" w14:textId="77777777" w:rsidTr="00BC691D">
        <w:trPr>
          <w:trHeight w:val="316"/>
          <w:tblHeader/>
          <w:jc w:val="center"/>
        </w:trPr>
        <w:tc>
          <w:tcPr>
            <w:tcW w:w="2500" w:type="dxa"/>
            <w:shd w:val="clear" w:color="auto" w:fill="BFBFBF" w:themeFill="background1" w:themeFillShade="BF"/>
          </w:tcPr>
          <w:p w14:paraId="288E58A5" w14:textId="77777777" w:rsidR="00934754" w:rsidRPr="002F167C" w:rsidRDefault="00934754" w:rsidP="00BC691D">
            <w:pPr>
              <w:pStyle w:val="0PIERNormal"/>
              <w:spacing w:after="60"/>
              <w:rPr>
                <w:rFonts w:ascii="Arial" w:hAnsi="Arial" w:cs="Arial"/>
                <w:b/>
                <w:color w:val="auto"/>
                <w:szCs w:val="22"/>
              </w:rPr>
            </w:pPr>
            <w:r>
              <w:rPr>
                <w:rFonts w:ascii="Arial" w:hAnsi="Arial" w:cs="Arial"/>
                <w:color w:val="auto"/>
                <w:szCs w:val="22"/>
              </w:rPr>
              <w:t xml:space="preserve">Percentage of Proposed Cash </w:t>
            </w:r>
            <w:r w:rsidRPr="002F167C">
              <w:rPr>
                <w:rFonts w:ascii="Arial" w:hAnsi="Arial" w:cs="Arial"/>
                <w:color w:val="auto"/>
                <w:szCs w:val="22"/>
              </w:rPr>
              <w:t>Match</w:t>
            </w:r>
            <w:r>
              <w:rPr>
                <w:rFonts w:ascii="Arial" w:hAnsi="Arial" w:cs="Arial"/>
                <w:color w:val="auto"/>
                <w:szCs w:val="22"/>
              </w:rPr>
              <w:t xml:space="preserve"> Funds</w:t>
            </w:r>
          </w:p>
        </w:tc>
        <w:tc>
          <w:tcPr>
            <w:tcW w:w="975" w:type="dxa"/>
            <w:shd w:val="clear" w:color="auto" w:fill="BFBFBF" w:themeFill="background1" w:themeFillShade="BF"/>
          </w:tcPr>
          <w:p w14:paraId="77EB8A21" w14:textId="77777777" w:rsidR="00934754" w:rsidRPr="002F167C" w:rsidRDefault="00934754" w:rsidP="00BC691D">
            <w:pPr>
              <w:pStyle w:val="0PIERNormal"/>
              <w:spacing w:after="0"/>
              <w:rPr>
                <w:rFonts w:ascii="Arial" w:hAnsi="Arial" w:cs="Arial"/>
                <w:b/>
                <w:color w:val="auto"/>
                <w:szCs w:val="22"/>
              </w:rPr>
            </w:pPr>
            <w:r w:rsidRPr="002F167C">
              <w:rPr>
                <w:rFonts w:ascii="Arial" w:hAnsi="Arial" w:cs="Arial"/>
                <w:color w:val="auto"/>
                <w:szCs w:val="22"/>
              </w:rPr>
              <w:t>Score</w:t>
            </w:r>
          </w:p>
        </w:tc>
      </w:tr>
      <w:tr w:rsidR="00934754" w:rsidRPr="002F167C" w14:paraId="580C62DC" w14:textId="77777777" w:rsidTr="00BC691D">
        <w:trPr>
          <w:trHeight w:val="344"/>
          <w:jc w:val="center"/>
        </w:trPr>
        <w:tc>
          <w:tcPr>
            <w:tcW w:w="2500" w:type="dxa"/>
            <w:vAlign w:val="bottom"/>
          </w:tcPr>
          <w:p w14:paraId="1C22DB50" w14:textId="77777777" w:rsidR="00934754" w:rsidRPr="002F167C" w:rsidRDefault="00934754" w:rsidP="00BC691D">
            <w:pPr>
              <w:pStyle w:val="0PIERNormal"/>
              <w:spacing w:after="60" w:line="240" w:lineRule="auto"/>
              <w:jc w:val="center"/>
              <w:rPr>
                <w:rFonts w:ascii="Arial" w:hAnsi="Arial" w:cs="Arial"/>
                <w:color w:val="auto"/>
                <w:szCs w:val="22"/>
              </w:rPr>
            </w:pPr>
            <m:oMath>
              <m:r>
                <w:rPr>
                  <w:rFonts w:ascii="Cambria Math" w:hAnsi="Cambria Math" w:cs="Arial"/>
                  <w:color w:val="auto"/>
                  <w:szCs w:val="22"/>
                </w:rPr>
                <m:t>≥</m:t>
              </m:r>
            </m:oMath>
            <w:r w:rsidRPr="002F167C">
              <w:rPr>
                <w:rFonts w:ascii="Arial" w:hAnsi="Arial" w:cs="Arial"/>
                <w:color w:val="auto"/>
                <w:szCs w:val="22"/>
              </w:rPr>
              <w:t xml:space="preserve"> 80%</w:t>
            </w:r>
          </w:p>
        </w:tc>
        <w:tc>
          <w:tcPr>
            <w:tcW w:w="975" w:type="dxa"/>
            <w:vAlign w:val="bottom"/>
          </w:tcPr>
          <w:p w14:paraId="0044520D"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5</w:t>
            </w:r>
          </w:p>
        </w:tc>
      </w:tr>
      <w:tr w:rsidR="00934754" w:rsidRPr="002F167C" w14:paraId="5B3467BF" w14:textId="77777777" w:rsidTr="00BC691D">
        <w:trPr>
          <w:trHeight w:val="372"/>
          <w:jc w:val="center"/>
        </w:trPr>
        <w:tc>
          <w:tcPr>
            <w:tcW w:w="2500" w:type="dxa"/>
            <w:vAlign w:val="bottom"/>
          </w:tcPr>
          <w:p w14:paraId="6E397D38"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60 to &lt;80%</w:t>
            </w:r>
          </w:p>
        </w:tc>
        <w:tc>
          <w:tcPr>
            <w:tcW w:w="975" w:type="dxa"/>
            <w:vAlign w:val="bottom"/>
          </w:tcPr>
          <w:p w14:paraId="2E85B9C4"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4</w:t>
            </w:r>
          </w:p>
        </w:tc>
      </w:tr>
      <w:tr w:rsidR="00934754" w:rsidRPr="002F167C" w14:paraId="3632A8C9" w14:textId="77777777" w:rsidTr="00BC691D">
        <w:trPr>
          <w:trHeight w:val="363"/>
          <w:jc w:val="center"/>
        </w:trPr>
        <w:tc>
          <w:tcPr>
            <w:tcW w:w="2500" w:type="dxa"/>
            <w:vAlign w:val="bottom"/>
          </w:tcPr>
          <w:p w14:paraId="047CF889"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40 to &lt;60%</w:t>
            </w:r>
          </w:p>
        </w:tc>
        <w:tc>
          <w:tcPr>
            <w:tcW w:w="975" w:type="dxa"/>
            <w:vAlign w:val="bottom"/>
          </w:tcPr>
          <w:p w14:paraId="495753B2"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3</w:t>
            </w:r>
          </w:p>
        </w:tc>
      </w:tr>
      <w:tr w:rsidR="00934754" w:rsidRPr="002F167C" w14:paraId="3A42AA59" w14:textId="77777777" w:rsidTr="00BC691D">
        <w:trPr>
          <w:trHeight w:val="363"/>
          <w:jc w:val="center"/>
        </w:trPr>
        <w:tc>
          <w:tcPr>
            <w:tcW w:w="2500" w:type="dxa"/>
            <w:vAlign w:val="bottom"/>
          </w:tcPr>
          <w:p w14:paraId="5081E7AF"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20 to &lt;40%</w:t>
            </w:r>
          </w:p>
        </w:tc>
        <w:tc>
          <w:tcPr>
            <w:tcW w:w="975" w:type="dxa"/>
            <w:vAlign w:val="bottom"/>
          </w:tcPr>
          <w:p w14:paraId="22A1F50D"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2</w:t>
            </w:r>
          </w:p>
        </w:tc>
      </w:tr>
      <w:tr w:rsidR="00934754" w:rsidRPr="002F167C" w14:paraId="49A8801D" w14:textId="77777777" w:rsidTr="00BC691D">
        <w:trPr>
          <w:trHeight w:val="363"/>
          <w:jc w:val="center"/>
        </w:trPr>
        <w:tc>
          <w:tcPr>
            <w:tcW w:w="2500" w:type="dxa"/>
            <w:vAlign w:val="bottom"/>
          </w:tcPr>
          <w:p w14:paraId="2A8DDBC5" w14:textId="77777777" w:rsidR="00934754" w:rsidRPr="002F167C" w:rsidRDefault="00934754" w:rsidP="00BC691D">
            <w:pPr>
              <w:pStyle w:val="0PIERNormal"/>
              <w:spacing w:after="60" w:line="240" w:lineRule="auto"/>
              <w:ind w:left="58"/>
              <w:jc w:val="center"/>
              <w:rPr>
                <w:rFonts w:ascii="Arial" w:hAnsi="Arial" w:cs="Arial"/>
                <w:color w:val="auto"/>
                <w:szCs w:val="22"/>
              </w:rPr>
            </w:pPr>
            <w:r>
              <w:rPr>
                <w:rFonts w:ascii="Arial" w:hAnsi="Arial" w:cs="Arial"/>
                <w:color w:val="auto"/>
                <w:szCs w:val="22"/>
              </w:rPr>
              <w:t>10 to &lt;</w:t>
            </w:r>
            <w:r w:rsidRPr="002F167C">
              <w:rPr>
                <w:rFonts w:ascii="Arial" w:hAnsi="Arial" w:cs="Arial"/>
                <w:color w:val="auto"/>
                <w:szCs w:val="22"/>
              </w:rPr>
              <w:t>20%</w:t>
            </w:r>
          </w:p>
        </w:tc>
        <w:tc>
          <w:tcPr>
            <w:tcW w:w="975" w:type="dxa"/>
            <w:vAlign w:val="bottom"/>
          </w:tcPr>
          <w:p w14:paraId="1F34DA54"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1</w:t>
            </w:r>
          </w:p>
        </w:tc>
      </w:tr>
    </w:tbl>
    <w:p w14:paraId="154EFD29" w14:textId="5C6EB0CC" w:rsidR="00934754" w:rsidRDefault="00934754" w:rsidP="00930EDF">
      <w:pPr>
        <w:tabs>
          <w:tab w:val="left" w:pos="1530"/>
        </w:tabs>
        <w:jc w:val="both"/>
        <w:rPr>
          <w:b/>
          <w:szCs w:val="22"/>
        </w:rPr>
      </w:pPr>
    </w:p>
    <w:tbl>
      <w:tblPr>
        <w:tblStyle w:val="TableGrid1"/>
        <w:tblW w:w="9704" w:type="dxa"/>
        <w:tblLook w:val="00A0" w:firstRow="1" w:lastRow="0" w:firstColumn="1" w:lastColumn="0" w:noHBand="0" w:noVBand="0"/>
        <w:tblCaption w:val="Scoring Criteria Continued"/>
        <w:tblDescription w:val="Match Funds 9b"/>
      </w:tblPr>
      <w:tblGrid>
        <w:gridCol w:w="8362"/>
        <w:gridCol w:w="1342"/>
      </w:tblGrid>
      <w:tr w:rsidR="00934754" w14:paraId="76BBF84F" w14:textId="77777777" w:rsidTr="00383AFB">
        <w:trPr>
          <w:cantSplit/>
          <w:trHeight w:val="647"/>
          <w:tblHeader/>
        </w:trPr>
        <w:tc>
          <w:tcPr>
            <w:tcW w:w="8362" w:type="dxa"/>
          </w:tcPr>
          <w:p w14:paraId="0D69E7F8" w14:textId="16A37BC0" w:rsidR="00934754" w:rsidRPr="00236F8F" w:rsidRDefault="00934754" w:rsidP="0018649E">
            <w:pPr>
              <w:pStyle w:val="0PIERNormal"/>
              <w:numPr>
                <w:ilvl w:val="0"/>
                <w:numId w:val="55"/>
              </w:numPr>
              <w:spacing w:after="120"/>
            </w:pPr>
            <w:r w:rsidRPr="00934754">
              <w:rPr>
                <w:rFonts w:ascii="Arial" w:hAnsi="Arial" w:cs="Arial"/>
                <w:color w:val="000000" w:themeColor="text1"/>
                <w:szCs w:val="22"/>
              </w:rPr>
              <w:t>Additional</w:t>
            </w:r>
            <w:r w:rsidRPr="00934754">
              <w:rPr>
                <w:rFonts w:ascii="Arial" w:hAnsi="Arial" w:cs="Arial"/>
              </w:rPr>
              <w:t xml:space="preserve"> points will be awarded to applications that exceed the minimum match requirements up to 100 percent using the Exceeds Minimum Match Scoring table</w:t>
            </w:r>
            <w:r>
              <w:rPr>
                <w:rFonts w:ascii="Arial" w:hAnsi="Arial" w:cs="Arial"/>
              </w:rPr>
              <w:t xml:space="preserve"> below</w:t>
            </w:r>
            <w:r w:rsidRPr="00934754">
              <w:rPr>
                <w:rFonts w:ascii="Arial" w:hAnsi="Arial" w:cs="Arial"/>
              </w:rPr>
              <w:t>:</w:t>
            </w:r>
          </w:p>
        </w:tc>
        <w:tc>
          <w:tcPr>
            <w:tcW w:w="1342" w:type="dxa"/>
          </w:tcPr>
          <w:p w14:paraId="32F4DC80" w14:textId="77777777" w:rsidR="00934754" w:rsidRDefault="00934754" w:rsidP="00BC691D">
            <w:pPr>
              <w:spacing w:before="120" w:after="0"/>
              <w:jc w:val="center"/>
              <w:rPr>
                <w:b/>
                <w:szCs w:val="22"/>
              </w:rPr>
            </w:pPr>
            <w:r>
              <w:rPr>
                <w:b/>
                <w:szCs w:val="22"/>
              </w:rPr>
              <w:t>5</w:t>
            </w:r>
          </w:p>
        </w:tc>
      </w:tr>
    </w:tbl>
    <w:p w14:paraId="71420754" w14:textId="77777777" w:rsidR="00934754" w:rsidRPr="00934754" w:rsidRDefault="00934754" w:rsidP="00934754">
      <w:pPr>
        <w:pStyle w:val="ListParagraph"/>
        <w:keepLines/>
        <w:spacing w:before="240"/>
        <w:ind w:left="0"/>
        <w:jc w:val="center"/>
        <w:rPr>
          <w:sz w:val="24"/>
          <w:szCs w:val="24"/>
        </w:rPr>
      </w:pPr>
      <w:r w:rsidRPr="00934754">
        <w:rPr>
          <w:b/>
          <w:sz w:val="24"/>
          <w:szCs w:val="24"/>
        </w:rPr>
        <w:t xml:space="preserve">Exceeds Minimum </w:t>
      </w:r>
      <w:r w:rsidRPr="00934754">
        <w:rPr>
          <w:b/>
          <w:sz w:val="24"/>
          <w:szCs w:val="24"/>
        </w:rPr>
        <w:br/>
        <w:t>Match Scoring Table</w:t>
      </w:r>
    </w:p>
    <w:tbl>
      <w:tblPr>
        <w:tblStyle w:val="TableGrid"/>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934754" w:rsidRPr="002F167C" w14:paraId="238C88D6" w14:textId="77777777" w:rsidTr="00BC691D">
        <w:trPr>
          <w:trHeight w:val="316"/>
          <w:tblHeader/>
          <w:jc w:val="center"/>
        </w:trPr>
        <w:tc>
          <w:tcPr>
            <w:tcW w:w="2590" w:type="dxa"/>
            <w:shd w:val="clear" w:color="auto" w:fill="BFBFBF" w:themeFill="background1" w:themeFillShade="BF"/>
          </w:tcPr>
          <w:p w14:paraId="588089E7" w14:textId="77777777" w:rsidR="00934754" w:rsidRPr="002F167C" w:rsidRDefault="00934754" w:rsidP="00BC691D">
            <w:pPr>
              <w:pStyle w:val="0PIERNormal"/>
              <w:spacing w:after="60"/>
              <w:rPr>
                <w:rFonts w:ascii="Arial" w:hAnsi="Arial" w:cs="Arial"/>
                <w:b/>
                <w:color w:val="auto"/>
                <w:szCs w:val="22"/>
              </w:rPr>
            </w:pPr>
            <w:r>
              <w:rPr>
                <w:rFonts w:ascii="Arial" w:hAnsi="Arial" w:cs="Arial"/>
                <w:color w:val="auto"/>
                <w:szCs w:val="22"/>
              </w:rPr>
              <w:t xml:space="preserve">Percentage above Minimum </w:t>
            </w:r>
            <w:r w:rsidRPr="002F167C">
              <w:rPr>
                <w:rFonts w:ascii="Arial" w:hAnsi="Arial" w:cs="Arial"/>
                <w:color w:val="auto"/>
                <w:szCs w:val="22"/>
              </w:rPr>
              <w:t>Match</w:t>
            </w:r>
            <w:r>
              <w:rPr>
                <w:rFonts w:ascii="Arial" w:hAnsi="Arial" w:cs="Arial"/>
                <w:color w:val="auto"/>
                <w:szCs w:val="22"/>
              </w:rPr>
              <w:t xml:space="preserve"> </w:t>
            </w:r>
            <w:r w:rsidRPr="007C63A7">
              <w:rPr>
                <w:rFonts w:ascii="Calibri" w:eastAsia="Calibri" w:hAnsi="Calibri"/>
                <w:color w:val="auto"/>
                <w:szCs w:val="22"/>
              </w:rPr>
              <w:t>(cash and in-kind)</w:t>
            </w:r>
          </w:p>
        </w:tc>
        <w:tc>
          <w:tcPr>
            <w:tcW w:w="990" w:type="dxa"/>
            <w:shd w:val="clear" w:color="auto" w:fill="BFBFBF" w:themeFill="background1" w:themeFillShade="BF"/>
          </w:tcPr>
          <w:p w14:paraId="56375389" w14:textId="77777777" w:rsidR="00934754" w:rsidRPr="002F167C" w:rsidRDefault="00934754" w:rsidP="00BC691D">
            <w:pPr>
              <w:pStyle w:val="0PIERNormal"/>
              <w:spacing w:after="0"/>
              <w:rPr>
                <w:rFonts w:ascii="Arial" w:hAnsi="Arial" w:cs="Arial"/>
                <w:b/>
                <w:color w:val="auto"/>
                <w:szCs w:val="22"/>
              </w:rPr>
            </w:pPr>
            <w:r w:rsidRPr="002F167C">
              <w:rPr>
                <w:rFonts w:ascii="Arial" w:hAnsi="Arial" w:cs="Arial"/>
                <w:color w:val="auto"/>
                <w:szCs w:val="22"/>
              </w:rPr>
              <w:t>Score</w:t>
            </w:r>
          </w:p>
        </w:tc>
      </w:tr>
      <w:tr w:rsidR="00934754" w:rsidRPr="002F167C" w14:paraId="451EB741" w14:textId="77777777" w:rsidTr="00BC691D">
        <w:trPr>
          <w:trHeight w:val="344"/>
          <w:jc w:val="center"/>
        </w:trPr>
        <w:tc>
          <w:tcPr>
            <w:tcW w:w="2590" w:type="dxa"/>
            <w:vAlign w:val="bottom"/>
          </w:tcPr>
          <w:p w14:paraId="616A39F4" w14:textId="77777777" w:rsidR="00934754" w:rsidRPr="002F167C" w:rsidRDefault="00934754" w:rsidP="00BC691D">
            <w:pPr>
              <w:pStyle w:val="0PIERNormal"/>
              <w:spacing w:after="60" w:line="240" w:lineRule="auto"/>
              <w:jc w:val="center"/>
              <w:rPr>
                <w:rFonts w:ascii="Arial" w:hAnsi="Arial" w:cs="Arial"/>
                <w:color w:val="auto"/>
                <w:szCs w:val="22"/>
              </w:rPr>
            </w:pPr>
            <w:r>
              <w:rPr>
                <w:rFonts w:ascii="Arial" w:hAnsi="Arial" w:cs="Arial"/>
                <w:color w:val="auto"/>
                <w:szCs w:val="22"/>
              </w:rPr>
              <w:t>80 to 100</w:t>
            </w:r>
            <w:r w:rsidRPr="002F167C">
              <w:rPr>
                <w:rFonts w:ascii="Arial" w:hAnsi="Arial" w:cs="Arial"/>
                <w:color w:val="auto"/>
                <w:szCs w:val="22"/>
              </w:rPr>
              <w:t>%</w:t>
            </w:r>
          </w:p>
        </w:tc>
        <w:tc>
          <w:tcPr>
            <w:tcW w:w="990" w:type="dxa"/>
            <w:vAlign w:val="bottom"/>
          </w:tcPr>
          <w:p w14:paraId="433E3908"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5</w:t>
            </w:r>
          </w:p>
        </w:tc>
      </w:tr>
      <w:tr w:rsidR="00934754" w:rsidRPr="002F167C" w14:paraId="0DD55FF2" w14:textId="77777777" w:rsidTr="00BC691D">
        <w:trPr>
          <w:trHeight w:val="372"/>
          <w:jc w:val="center"/>
        </w:trPr>
        <w:tc>
          <w:tcPr>
            <w:tcW w:w="2590" w:type="dxa"/>
            <w:vAlign w:val="bottom"/>
          </w:tcPr>
          <w:p w14:paraId="4669202A"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60 to &lt;80%</w:t>
            </w:r>
          </w:p>
        </w:tc>
        <w:tc>
          <w:tcPr>
            <w:tcW w:w="990" w:type="dxa"/>
            <w:vAlign w:val="bottom"/>
          </w:tcPr>
          <w:p w14:paraId="4A03C625"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4</w:t>
            </w:r>
          </w:p>
        </w:tc>
      </w:tr>
      <w:tr w:rsidR="00934754" w:rsidRPr="002F167C" w14:paraId="76210E45" w14:textId="77777777" w:rsidTr="00BC691D">
        <w:trPr>
          <w:trHeight w:val="363"/>
          <w:jc w:val="center"/>
        </w:trPr>
        <w:tc>
          <w:tcPr>
            <w:tcW w:w="2590" w:type="dxa"/>
            <w:vAlign w:val="bottom"/>
          </w:tcPr>
          <w:p w14:paraId="4DCE8CF9"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40 to &lt;60%</w:t>
            </w:r>
          </w:p>
        </w:tc>
        <w:tc>
          <w:tcPr>
            <w:tcW w:w="990" w:type="dxa"/>
            <w:vAlign w:val="bottom"/>
          </w:tcPr>
          <w:p w14:paraId="0802FFEE" w14:textId="77777777" w:rsidR="00934754" w:rsidRPr="002F167C" w:rsidRDefault="00934754" w:rsidP="00BC691D">
            <w:pPr>
              <w:pStyle w:val="0PIERNormal"/>
              <w:spacing w:after="60" w:line="240" w:lineRule="auto"/>
              <w:ind w:left="61"/>
              <w:jc w:val="center"/>
              <w:rPr>
                <w:rFonts w:ascii="Arial" w:hAnsi="Arial" w:cs="Arial"/>
                <w:color w:val="auto"/>
                <w:szCs w:val="22"/>
              </w:rPr>
            </w:pPr>
            <w:r w:rsidRPr="002F167C">
              <w:rPr>
                <w:rFonts w:ascii="Arial" w:hAnsi="Arial" w:cs="Arial"/>
                <w:color w:val="auto"/>
                <w:szCs w:val="22"/>
              </w:rPr>
              <w:t>3</w:t>
            </w:r>
          </w:p>
        </w:tc>
      </w:tr>
      <w:tr w:rsidR="00934754" w:rsidRPr="002F167C" w14:paraId="3E6D8475" w14:textId="77777777" w:rsidTr="00BC691D">
        <w:trPr>
          <w:trHeight w:val="363"/>
          <w:jc w:val="center"/>
        </w:trPr>
        <w:tc>
          <w:tcPr>
            <w:tcW w:w="2590" w:type="dxa"/>
            <w:vAlign w:val="bottom"/>
          </w:tcPr>
          <w:p w14:paraId="6D2D71D6"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20 to &lt;40%</w:t>
            </w:r>
          </w:p>
        </w:tc>
        <w:tc>
          <w:tcPr>
            <w:tcW w:w="990" w:type="dxa"/>
            <w:vAlign w:val="bottom"/>
          </w:tcPr>
          <w:p w14:paraId="037519DA"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2</w:t>
            </w:r>
          </w:p>
        </w:tc>
      </w:tr>
      <w:tr w:rsidR="00934754" w:rsidRPr="002F167C" w14:paraId="5A390B61" w14:textId="77777777" w:rsidTr="00BC691D">
        <w:trPr>
          <w:trHeight w:val="363"/>
          <w:jc w:val="center"/>
        </w:trPr>
        <w:tc>
          <w:tcPr>
            <w:tcW w:w="2590" w:type="dxa"/>
            <w:tcBorders>
              <w:bottom w:val="single" w:sz="4" w:space="0" w:color="auto"/>
            </w:tcBorders>
            <w:vAlign w:val="bottom"/>
          </w:tcPr>
          <w:p w14:paraId="0A7F4231" w14:textId="77777777" w:rsidR="00934754" w:rsidRPr="002F167C" w:rsidRDefault="00934754" w:rsidP="00BC691D">
            <w:pPr>
              <w:pStyle w:val="0PIERNormal"/>
              <w:spacing w:after="60" w:line="240" w:lineRule="auto"/>
              <w:ind w:left="58"/>
              <w:jc w:val="center"/>
              <w:rPr>
                <w:rFonts w:ascii="Arial" w:hAnsi="Arial" w:cs="Arial"/>
                <w:color w:val="auto"/>
                <w:szCs w:val="22"/>
              </w:rPr>
            </w:pPr>
            <w:r>
              <w:rPr>
                <w:rFonts w:ascii="Arial" w:hAnsi="Arial" w:cs="Arial"/>
                <w:color w:val="auto"/>
                <w:szCs w:val="22"/>
              </w:rPr>
              <w:t>&gt;10</w:t>
            </w:r>
            <w:r w:rsidRPr="002F167C">
              <w:rPr>
                <w:rFonts w:ascii="Arial" w:hAnsi="Arial" w:cs="Arial"/>
                <w:color w:val="auto"/>
                <w:szCs w:val="22"/>
              </w:rPr>
              <w:t>%</w:t>
            </w:r>
          </w:p>
        </w:tc>
        <w:tc>
          <w:tcPr>
            <w:tcW w:w="990" w:type="dxa"/>
            <w:tcBorders>
              <w:bottom w:val="single" w:sz="4" w:space="0" w:color="auto"/>
            </w:tcBorders>
            <w:vAlign w:val="bottom"/>
          </w:tcPr>
          <w:p w14:paraId="4F1B026E" w14:textId="77777777" w:rsidR="00934754" w:rsidRPr="002F167C" w:rsidRDefault="00934754" w:rsidP="00BC691D">
            <w:pPr>
              <w:pStyle w:val="0PIERNormal"/>
              <w:spacing w:after="60" w:line="240" w:lineRule="auto"/>
              <w:ind w:left="58"/>
              <w:jc w:val="center"/>
              <w:rPr>
                <w:rFonts w:ascii="Arial" w:hAnsi="Arial" w:cs="Arial"/>
                <w:color w:val="auto"/>
                <w:szCs w:val="22"/>
              </w:rPr>
            </w:pPr>
            <w:r w:rsidRPr="002F167C">
              <w:rPr>
                <w:rFonts w:ascii="Arial" w:hAnsi="Arial" w:cs="Arial"/>
                <w:color w:val="auto"/>
                <w:szCs w:val="22"/>
              </w:rPr>
              <w:t>1</w:t>
            </w:r>
          </w:p>
        </w:tc>
      </w:tr>
    </w:tbl>
    <w:tbl>
      <w:tblPr>
        <w:tblStyle w:val="TableGrid1"/>
        <w:tblW w:w="9704" w:type="dxa"/>
        <w:tblLook w:val="00A0" w:firstRow="1" w:lastRow="0" w:firstColumn="1" w:lastColumn="0" w:noHBand="0" w:noVBand="0"/>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8362"/>
        <w:gridCol w:w="1342"/>
      </w:tblGrid>
      <w:tr w:rsidR="00934754" w:rsidRPr="00C31C1D" w14:paraId="1C7BE17C" w14:textId="77777777" w:rsidTr="00383AFB">
        <w:trPr>
          <w:cantSplit/>
          <w:trHeight w:val="647"/>
          <w:tblHeader/>
        </w:trPr>
        <w:tc>
          <w:tcPr>
            <w:tcW w:w="8362" w:type="dxa"/>
            <w:tcBorders>
              <w:right w:val="nil"/>
            </w:tcBorders>
            <w:shd w:val="clear" w:color="auto" w:fill="D9D9D9" w:themeFill="background1" w:themeFillShade="D9"/>
          </w:tcPr>
          <w:p w14:paraId="2AA8CB63" w14:textId="3EA5D7E4" w:rsidR="00934754" w:rsidRPr="00F06E95" w:rsidRDefault="00934754" w:rsidP="00934754">
            <w:pPr>
              <w:keepNext/>
              <w:spacing w:before="120"/>
              <w:jc w:val="both"/>
              <w:outlineLvl w:val="2"/>
              <w:rPr>
                <w:b/>
                <w:szCs w:val="22"/>
              </w:rPr>
            </w:pPr>
            <w:r>
              <w:rPr>
                <w:b/>
                <w:szCs w:val="22"/>
              </w:rPr>
              <w:lastRenderedPageBreak/>
              <w:t>Preference Points</w:t>
            </w:r>
            <w:r w:rsidRPr="002C1625">
              <w:rPr>
                <w:b/>
                <w:szCs w:val="22"/>
              </w:rPr>
              <w:t>:</w:t>
            </w:r>
            <w:r w:rsidRPr="002C1625">
              <w:rPr>
                <w:szCs w:val="22"/>
              </w:rPr>
              <w:t xml:space="preserve"> For applications proposing projects located in and benefiting low-income and/or disadvantaged communities within IOU service territories. Applications must meet both minimum passing scores (Scoring Criteria </w:t>
            </w:r>
            <w:r>
              <w:rPr>
                <w:szCs w:val="22"/>
              </w:rPr>
              <w:t xml:space="preserve">1, </w:t>
            </w:r>
            <w:r w:rsidRPr="002C1625">
              <w:rPr>
                <w:szCs w:val="22"/>
              </w:rPr>
              <w:t>1-</w:t>
            </w:r>
            <w:r>
              <w:rPr>
                <w:szCs w:val="22"/>
              </w:rPr>
              <w:t>5</w:t>
            </w:r>
            <w:r w:rsidRPr="002C1625">
              <w:rPr>
                <w:szCs w:val="22"/>
              </w:rPr>
              <w:t>, and 1-</w:t>
            </w:r>
            <w:r>
              <w:rPr>
                <w:szCs w:val="22"/>
              </w:rPr>
              <w:t>8</w:t>
            </w:r>
            <w:r w:rsidRPr="002C1625">
              <w:rPr>
                <w:szCs w:val="22"/>
              </w:rPr>
              <w:t xml:space="preserve"> to be eligible for the additional points.</w:t>
            </w:r>
          </w:p>
        </w:tc>
        <w:tc>
          <w:tcPr>
            <w:tcW w:w="1342" w:type="dxa"/>
            <w:tcBorders>
              <w:left w:val="nil"/>
            </w:tcBorders>
            <w:shd w:val="clear" w:color="auto" w:fill="D9D9D9" w:themeFill="background1" w:themeFillShade="D9"/>
          </w:tcPr>
          <w:p w14:paraId="288F4CA3" w14:textId="77777777" w:rsidR="00934754" w:rsidRDefault="00934754" w:rsidP="00063E66">
            <w:pPr>
              <w:spacing w:before="120" w:after="0"/>
              <w:jc w:val="center"/>
              <w:rPr>
                <w:b/>
                <w:szCs w:val="22"/>
              </w:rPr>
            </w:pPr>
          </w:p>
        </w:tc>
      </w:tr>
      <w:tr w:rsidR="00D33CE3" w:rsidRPr="00C31C1D" w14:paraId="78F59311" w14:textId="77777777" w:rsidTr="00383AFB">
        <w:trPr>
          <w:cantSplit/>
          <w:trHeight w:val="647"/>
          <w:tblHeader/>
        </w:trPr>
        <w:tc>
          <w:tcPr>
            <w:tcW w:w="8362" w:type="dxa"/>
          </w:tcPr>
          <w:p w14:paraId="72B4A11D" w14:textId="77777777" w:rsidR="00D33CE3" w:rsidRPr="00805178" w:rsidRDefault="00D33CE3" w:rsidP="0018649E">
            <w:pPr>
              <w:keepNext/>
              <w:numPr>
                <w:ilvl w:val="0"/>
                <w:numId w:val="52"/>
              </w:numPr>
              <w:spacing w:before="120"/>
              <w:jc w:val="both"/>
              <w:outlineLvl w:val="2"/>
              <w:rPr>
                <w:rFonts w:cs="Times New Roman"/>
                <w:b/>
                <w:bCs/>
                <w:smallCaps/>
                <w:szCs w:val="22"/>
              </w:rPr>
            </w:pPr>
            <w:r w:rsidRPr="00F06E95">
              <w:rPr>
                <w:b/>
                <w:szCs w:val="22"/>
              </w:rPr>
              <w:t xml:space="preserve">Disadvantaged </w:t>
            </w:r>
            <w:r>
              <w:rPr>
                <w:b/>
                <w:szCs w:val="22"/>
              </w:rPr>
              <w:t xml:space="preserve">&amp; Low-Income </w:t>
            </w:r>
            <w:r w:rsidRPr="00805178">
              <w:rPr>
                <w:b/>
                <w:szCs w:val="22"/>
              </w:rPr>
              <w:t>Communities</w:t>
            </w:r>
          </w:p>
          <w:p w14:paraId="1695C28F" w14:textId="77777777" w:rsidR="00D33CE3" w:rsidRDefault="00D33CE3" w:rsidP="00063E66">
            <w:pPr>
              <w:ind w:left="360"/>
              <w:jc w:val="both"/>
              <w:outlineLvl w:val="2"/>
              <w:rPr>
                <w:szCs w:val="22"/>
              </w:rPr>
            </w:pPr>
            <w:r>
              <w:rPr>
                <w:szCs w:val="22"/>
              </w:rPr>
              <w:t xml:space="preserve">The project benefits the disadvantaged and low-income community </w:t>
            </w:r>
            <w:r w:rsidRPr="004D085D">
              <w:rPr>
                <w:szCs w:val="22"/>
              </w:rPr>
              <w:t>in order to</w:t>
            </w:r>
            <w:r>
              <w:rPr>
                <w:szCs w:val="22"/>
              </w:rPr>
              <w:t xml:space="preserve"> receive additional points.  </w:t>
            </w:r>
          </w:p>
          <w:p w14:paraId="0A55A685" w14:textId="77777777" w:rsidR="00D33CE3" w:rsidRPr="002858B3" w:rsidRDefault="00D33CE3" w:rsidP="0018649E">
            <w:pPr>
              <w:pStyle w:val="ListParagraph"/>
              <w:numPr>
                <w:ilvl w:val="0"/>
                <w:numId w:val="56"/>
              </w:numPr>
              <w:jc w:val="both"/>
              <w:outlineLvl w:val="2"/>
              <w:rPr>
                <w:szCs w:val="22"/>
              </w:rPr>
            </w:pPr>
            <w:r w:rsidRPr="002858B3">
              <w:rPr>
                <w:szCs w:val="22"/>
              </w:rPr>
              <w:t>Proposal identifies how the target market(s) will benefit disadvantage</w:t>
            </w:r>
            <w:r>
              <w:rPr>
                <w:szCs w:val="22"/>
              </w:rPr>
              <w:t>d</w:t>
            </w:r>
            <w:r w:rsidRPr="002858B3">
              <w:rPr>
                <w:szCs w:val="22"/>
              </w:rPr>
              <w:t xml:space="preserve"> and low-income communities.</w:t>
            </w:r>
          </w:p>
          <w:p w14:paraId="12E1E322" w14:textId="77777777" w:rsidR="00D33CE3" w:rsidRPr="002858B3" w:rsidRDefault="00D33CE3" w:rsidP="0018649E">
            <w:pPr>
              <w:pStyle w:val="ListParagraph"/>
              <w:numPr>
                <w:ilvl w:val="0"/>
                <w:numId w:val="56"/>
              </w:numPr>
              <w:jc w:val="both"/>
              <w:outlineLvl w:val="2"/>
              <w:rPr>
                <w:szCs w:val="22"/>
              </w:rPr>
            </w:pPr>
            <w:r w:rsidRPr="002858B3">
              <w:rPr>
                <w:szCs w:val="22"/>
              </w:rPr>
              <w:t>Identifies economic impact on low-income and disadvantaged communities including customer bill savings, job creation, partnering and contracting with micro- and small-businesses, and economic development.</w:t>
            </w:r>
          </w:p>
          <w:p w14:paraId="7ED34645" w14:textId="77777777" w:rsidR="00D33CE3" w:rsidRPr="002858B3" w:rsidRDefault="00D33CE3" w:rsidP="0018649E">
            <w:pPr>
              <w:pStyle w:val="ListParagraph"/>
              <w:numPr>
                <w:ilvl w:val="0"/>
                <w:numId w:val="56"/>
              </w:numPr>
              <w:jc w:val="both"/>
              <w:outlineLvl w:val="2"/>
              <w:rPr>
                <w:szCs w:val="22"/>
              </w:rPr>
            </w:pPr>
            <w:r w:rsidRPr="002858B3">
              <w:rPr>
                <w:szCs w:val="22"/>
              </w:rPr>
              <w:t>Describes how the project will increase access to clean energy or sustainability technologies within disadvantaged or low-income communities and how the development will benefit the communities.</w:t>
            </w:r>
          </w:p>
          <w:p w14:paraId="0A3BCABE" w14:textId="77777777" w:rsidR="00D33CE3" w:rsidRPr="00EA02BA" w:rsidDel="004C06FD" w:rsidRDefault="00D33CE3" w:rsidP="0018649E">
            <w:pPr>
              <w:pStyle w:val="ListParagraph"/>
              <w:numPr>
                <w:ilvl w:val="0"/>
                <w:numId w:val="56"/>
              </w:numPr>
              <w:jc w:val="both"/>
              <w:outlineLvl w:val="2"/>
              <w:rPr>
                <w:szCs w:val="22"/>
              </w:rPr>
            </w:pPr>
            <w:r w:rsidRPr="002858B3">
              <w:rPr>
                <w:szCs w:val="22"/>
              </w:rPr>
              <w:t>Applicants have letters of support from technology partners, community based organizations, environmental justice organizations, or other partners that demonstrate equity, feasibility, and commercial viability in low-income and disadvantaged communities.</w:t>
            </w:r>
          </w:p>
        </w:tc>
        <w:tc>
          <w:tcPr>
            <w:tcW w:w="1342" w:type="dxa"/>
          </w:tcPr>
          <w:p w14:paraId="32DD904C" w14:textId="77777777" w:rsidR="00D33CE3" w:rsidRPr="00D13EF0" w:rsidRDefault="00D33CE3" w:rsidP="00063E66">
            <w:pPr>
              <w:spacing w:before="120" w:after="0"/>
              <w:jc w:val="center"/>
              <w:rPr>
                <w:rFonts w:cs="Times New Roman"/>
                <w:b/>
                <w:bCs/>
                <w:smallCaps/>
                <w:szCs w:val="22"/>
              </w:rPr>
            </w:pPr>
            <w:r>
              <w:rPr>
                <w:b/>
                <w:szCs w:val="22"/>
              </w:rPr>
              <w:t>5</w:t>
            </w:r>
          </w:p>
        </w:tc>
      </w:tr>
    </w:tbl>
    <w:p w14:paraId="0017DCC1" w14:textId="77777777" w:rsidR="00D33CE3" w:rsidRPr="00C31C1D" w:rsidRDefault="00D33CE3" w:rsidP="00930EDF">
      <w:pPr>
        <w:tabs>
          <w:tab w:val="left" w:pos="1530"/>
        </w:tabs>
        <w:jc w:val="both"/>
        <w:rPr>
          <w:b/>
          <w:szCs w:val="22"/>
        </w:rPr>
      </w:pPr>
    </w:p>
    <w:sectPr w:rsidR="00D33CE3" w:rsidRPr="00C31C1D" w:rsidSect="003802E0">
      <w:headerReference w:type="default" r:id="rId40"/>
      <w:footerReference w:type="default" r:id="rId41"/>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3C6C6" w14:textId="77777777" w:rsidR="00443C9B" w:rsidRDefault="00443C9B">
      <w:r>
        <w:separator/>
      </w:r>
    </w:p>
  </w:endnote>
  <w:endnote w:type="continuationSeparator" w:id="0">
    <w:p w14:paraId="5F0A5301" w14:textId="77777777" w:rsidR="00443C9B" w:rsidRDefault="00443C9B">
      <w:r>
        <w:continuationSeparator/>
      </w:r>
    </w:p>
  </w:endnote>
  <w:endnote w:type="continuationNotice" w:id="1">
    <w:p w14:paraId="0A940C05" w14:textId="77777777" w:rsidR="00443C9B" w:rsidRDefault="00443C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C5A8" w14:textId="65E05145" w:rsidR="00443C9B" w:rsidRPr="00DF51D2" w:rsidRDefault="00443C9B" w:rsidP="00DF51D2">
    <w:pPr>
      <w:pStyle w:val="Footer"/>
      <w:tabs>
        <w:tab w:val="clear" w:pos="4320"/>
        <w:tab w:val="clear" w:pos="8640"/>
        <w:tab w:val="center" w:pos="5040"/>
        <w:tab w:val="right" w:pos="9900"/>
      </w:tabs>
      <w:spacing w:after="0"/>
      <w:ind w:right="-634"/>
      <w:rPr>
        <w:sz w:val="18"/>
        <w:szCs w:val="18"/>
      </w:rPr>
    </w:pPr>
    <w:r w:rsidRPr="00DF51D2">
      <w:rPr>
        <w:sz w:val="18"/>
        <w:szCs w:val="18"/>
      </w:rPr>
      <w:t>December 2019</w:t>
    </w:r>
    <w:r w:rsidRPr="00DF51D2">
      <w:rPr>
        <w:sz w:val="18"/>
        <w:szCs w:val="18"/>
      </w:rPr>
      <w:tab/>
      <w:t xml:space="preserve">Page </w:t>
    </w:r>
    <w:r w:rsidRPr="00DF51D2">
      <w:rPr>
        <w:sz w:val="18"/>
        <w:szCs w:val="18"/>
      </w:rPr>
      <w:fldChar w:fldCharType="begin"/>
    </w:r>
    <w:r w:rsidRPr="00DF51D2">
      <w:rPr>
        <w:sz w:val="18"/>
        <w:szCs w:val="18"/>
      </w:rPr>
      <w:instrText xml:space="preserve"> PAGE   \* MERGEFORMAT </w:instrText>
    </w:r>
    <w:r w:rsidRPr="00DF51D2">
      <w:rPr>
        <w:sz w:val="18"/>
        <w:szCs w:val="18"/>
      </w:rPr>
      <w:fldChar w:fldCharType="separate"/>
    </w:r>
    <w:r w:rsidR="00373244">
      <w:rPr>
        <w:noProof/>
        <w:sz w:val="18"/>
        <w:szCs w:val="18"/>
      </w:rPr>
      <w:t>ii</w:t>
    </w:r>
    <w:r w:rsidRPr="00DF51D2">
      <w:rPr>
        <w:sz w:val="18"/>
        <w:szCs w:val="18"/>
      </w:rPr>
      <w:fldChar w:fldCharType="end"/>
    </w:r>
    <w:r w:rsidRPr="00DF51D2">
      <w:rPr>
        <w:sz w:val="18"/>
        <w:szCs w:val="18"/>
      </w:rPr>
      <w:t xml:space="preserve"> of ii</w:t>
    </w:r>
    <w:r w:rsidRPr="00DF51D2">
      <w:rPr>
        <w:sz w:val="18"/>
        <w:szCs w:val="18"/>
      </w:rPr>
      <w:tab/>
      <w:t>GFO-19-305</w:t>
    </w:r>
  </w:p>
  <w:p w14:paraId="03A7C02C" w14:textId="77777777" w:rsidR="00443C9B" w:rsidRPr="00DF51D2" w:rsidRDefault="00443C9B" w:rsidP="007456A5">
    <w:pPr>
      <w:pStyle w:val="Footer"/>
      <w:tabs>
        <w:tab w:val="clear" w:pos="4320"/>
        <w:tab w:val="clear" w:pos="8640"/>
        <w:tab w:val="center" w:pos="5040"/>
        <w:tab w:val="right" w:pos="9900"/>
      </w:tabs>
      <w:spacing w:after="0"/>
      <w:ind w:right="-634"/>
      <w:rPr>
        <w:sz w:val="18"/>
        <w:szCs w:val="18"/>
      </w:rPr>
    </w:pPr>
    <w:r w:rsidRPr="00DF51D2">
      <w:rPr>
        <w:sz w:val="18"/>
        <w:szCs w:val="18"/>
      </w:rPr>
      <w:tab/>
    </w:r>
    <w:r w:rsidRPr="00DF51D2">
      <w:rPr>
        <w:sz w:val="18"/>
        <w:szCs w:val="18"/>
      </w:rPr>
      <w:tab/>
    </w:r>
    <w:r>
      <w:rPr>
        <w:sz w:val="18"/>
        <w:szCs w:val="18"/>
      </w:rPr>
      <w:t>Developing non-Lithium Ion</w:t>
    </w:r>
  </w:p>
  <w:p w14:paraId="558410B4" w14:textId="77777777" w:rsidR="00443C9B" w:rsidRPr="00DF51D2" w:rsidRDefault="00443C9B" w:rsidP="007456A5">
    <w:pPr>
      <w:pStyle w:val="Footer"/>
      <w:tabs>
        <w:tab w:val="clear" w:pos="4320"/>
        <w:tab w:val="clear" w:pos="8640"/>
        <w:tab w:val="center" w:pos="5040"/>
        <w:tab w:val="right" w:pos="9900"/>
      </w:tabs>
      <w:spacing w:after="0"/>
      <w:ind w:right="-634"/>
      <w:rPr>
        <w:sz w:val="18"/>
        <w:szCs w:val="18"/>
      </w:rPr>
    </w:pPr>
    <w:r w:rsidRPr="00DF51D2">
      <w:rPr>
        <w:sz w:val="18"/>
        <w:szCs w:val="18"/>
      </w:rPr>
      <w:tab/>
    </w:r>
    <w:r w:rsidRPr="00DF51D2">
      <w:rPr>
        <w:sz w:val="18"/>
        <w:szCs w:val="18"/>
      </w:rPr>
      <w:tab/>
      <w:t xml:space="preserve">Energy Storage </w:t>
    </w:r>
    <w:r>
      <w:rPr>
        <w:sz w:val="18"/>
        <w:szCs w:val="18"/>
      </w:rPr>
      <w:t>Technologies</w:t>
    </w:r>
  </w:p>
  <w:p w14:paraId="312A0E81" w14:textId="7412788D" w:rsidR="00443C9B" w:rsidRPr="00DF51D2" w:rsidRDefault="00443C9B" w:rsidP="007456A5">
    <w:pPr>
      <w:pStyle w:val="Footer"/>
      <w:tabs>
        <w:tab w:val="clear" w:pos="4320"/>
        <w:tab w:val="clear" w:pos="8640"/>
        <w:tab w:val="center" w:pos="5040"/>
        <w:tab w:val="right" w:pos="9900"/>
      </w:tabs>
      <w:spacing w:after="0"/>
      <w:ind w:right="-634"/>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DB26E" w14:textId="1EC4F089" w:rsidR="00443C9B" w:rsidRPr="00DF51D2" w:rsidRDefault="00443C9B" w:rsidP="00DF51D2">
    <w:pPr>
      <w:pStyle w:val="Footer"/>
      <w:tabs>
        <w:tab w:val="clear" w:pos="4320"/>
        <w:tab w:val="clear" w:pos="8640"/>
        <w:tab w:val="center" w:pos="5040"/>
        <w:tab w:val="right" w:pos="9900"/>
      </w:tabs>
      <w:spacing w:after="0"/>
      <w:ind w:right="-634"/>
      <w:rPr>
        <w:sz w:val="18"/>
        <w:szCs w:val="18"/>
      </w:rPr>
    </w:pPr>
    <w:r w:rsidRPr="00DF51D2">
      <w:rPr>
        <w:sz w:val="18"/>
        <w:szCs w:val="18"/>
      </w:rPr>
      <w:t>December 2019</w:t>
    </w:r>
    <w:r w:rsidRPr="00DF51D2">
      <w:rPr>
        <w:sz w:val="18"/>
        <w:szCs w:val="18"/>
      </w:rPr>
      <w:tab/>
      <w:t xml:space="preserve">Page </w:t>
    </w:r>
    <w:r w:rsidRPr="00DF51D2">
      <w:rPr>
        <w:sz w:val="18"/>
        <w:szCs w:val="18"/>
      </w:rPr>
      <w:fldChar w:fldCharType="begin"/>
    </w:r>
    <w:r w:rsidRPr="00DF51D2">
      <w:rPr>
        <w:sz w:val="18"/>
        <w:szCs w:val="18"/>
      </w:rPr>
      <w:instrText xml:space="preserve"> PAGE </w:instrText>
    </w:r>
    <w:r w:rsidRPr="00DF51D2">
      <w:rPr>
        <w:sz w:val="18"/>
        <w:szCs w:val="18"/>
      </w:rPr>
      <w:fldChar w:fldCharType="separate"/>
    </w:r>
    <w:r w:rsidR="00373244">
      <w:rPr>
        <w:noProof/>
        <w:sz w:val="18"/>
        <w:szCs w:val="18"/>
      </w:rPr>
      <w:t>18</w:t>
    </w:r>
    <w:r w:rsidRPr="00DF51D2">
      <w:rPr>
        <w:sz w:val="18"/>
        <w:szCs w:val="18"/>
      </w:rPr>
      <w:fldChar w:fldCharType="end"/>
    </w:r>
    <w:r w:rsidRPr="00DF51D2">
      <w:rPr>
        <w:sz w:val="18"/>
        <w:szCs w:val="18"/>
      </w:rPr>
      <w:t xml:space="preserve"> of </w:t>
    </w:r>
    <w:r>
      <w:rPr>
        <w:sz w:val="18"/>
        <w:szCs w:val="18"/>
      </w:rPr>
      <w:t>43</w:t>
    </w:r>
    <w:r w:rsidRPr="00DF51D2">
      <w:rPr>
        <w:sz w:val="18"/>
        <w:szCs w:val="18"/>
      </w:rPr>
      <w:tab/>
      <w:t>GFO-19-305</w:t>
    </w:r>
  </w:p>
  <w:p w14:paraId="154191B7" w14:textId="3DF29A33" w:rsidR="00443C9B" w:rsidRPr="00DF51D2" w:rsidRDefault="00443C9B" w:rsidP="00DF51D2">
    <w:pPr>
      <w:pStyle w:val="Footer"/>
      <w:tabs>
        <w:tab w:val="clear" w:pos="4320"/>
        <w:tab w:val="clear" w:pos="8640"/>
        <w:tab w:val="center" w:pos="5040"/>
        <w:tab w:val="right" w:pos="9900"/>
      </w:tabs>
      <w:spacing w:after="0"/>
      <w:ind w:right="-634"/>
      <w:rPr>
        <w:sz w:val="18"/>
        <w:szCs w:val="18"/>
      </w:rPr>
    </w:pPr>
    <w:r>
      <w:rPr>
        <w:sz w:val="18"/>
        <w:szCs w:val="18"/>
      </w:rPr>
      <w:tab/>
    </w:r>
    <w:r>
      <w:rPr>
        <w:sz w:val="18"/>
        <w:szCs w:val="18"/>
      </w:rPr>
      <w:tab/>
      <w:t>Developing non-Lithium Ion</w:t>
    </w:r>
  </w:p>
  <w:p w14:paraId="74F1F9B1" w14:textId="49B58028" w:rsidR="00443C9B" w:rsidRPr="00DF51D2" w:rsidRDefault="00443C9B" w:rsidP="00FD666B">
    <w:pPr>
      <w:pStyle w:val="Footer"/>
      <w:tabs>
        <w:tab w:val="clear" w:pos="4320"/>
        <w:tab w:val="clear" w:pos="8640"/>
        <w:tab w:val="center" w:pos="5040"/>
        <w:tab w:val="right" w:pos="9900"/>
      </w:tabs>
      <w:spacing w:after="0"/>
      <w:ind w:right="-634"/>
      <w:rPr>
        <w:sz w:val="18"/>
        <w:szCs w:val="18"/>
      </w:rPr>
    </w:pPr>
    <w:r w:rsidRPr="00DF51D2">
      <w:rPr>
        <w:sz w:val="18"/>
        <w:szCs w:val="18"/>
      </w:rPr>
      <w:tab/>
    </w:r>
    <w:r w:rsidRPr="00DF51D2">
      <w:rPr>
        <w:sz w:val="18"/>
        <w:szCs w:val="18"/>
      </w:rPr>
      <w:tab/>
      <w:t xml:space="preserve">Energy Storage </w:t>
    </w:r>
    <w:r>
      <w:rPr>
        <w:sz w:val="18"/>
        <w:szCs w:val="18"/>
      </w:rPr>
      <w:t>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6BAC7" w14:textId="77777777" w:rsidR="00443C9B" w:rsidRDefault="00443C9B">
      <w:r>
        <w:separator/>
      </w:r>
    </w:p>
  </w:footnote>
  <w:footnote w:type="continuationSeparator" w:id="0">
    <w:p w14:paraId="05FC0CC7" w14:textId="77777777" w:rsidR="00443C9B" w:rsidRDefault="00443C9B">
      <w:r>
        <w:continuationSeparator/>
      </w:r>
    </w:p>
  </w:footnote>
  <w:footnote w:type="continuationNotice" w:id="1">
    <w:p w14:paraId="04CB97DD" w14:textId="77777777" w:rsidR="00443C9B" w:rsidRDefault="00443C9B">
      <w:pPr>
        <w:spacing w:after="0"/>
      </w:pPr>
    </w:p>
  </w:footnote>
  <w:footnote w:id="2">
    <w:p w14:paraId="0649422A" w14:textId="6334C890" w:rsidR="00443C9B" w:rsidRDefault="00443C9B" w:rsidP="002E4CDC">
      <w:pPr>
        <w:pStyle w:val="FootnoteText"/>
      </w:pPr>
      <w:r>
        <w:rPr>
          <w:rStyle w:val="FootnoteReference"/>
          <w:rFonts w:cs="Arial"/>
        </w:rPr>
        <w:footnoteRef/>
      </w:r>
      <w:r>
        <w:t xml:space="preserve"> See CPUC “Phase 1” Decision 11-12-035, December 15, 2011, </w:t>
      </w:r>
      <w:hyperlink r:id="rId1" w:tooltip="Click here to open the C P U C Phase 1 Decision 11-12-035" w:history="1">
        <w:r w:rsidR="00D26B01" w:rsidRPr="00404C1C">
          <w:rPr>
            <w:rStyle w:val="Hyperlink"/>
            <w:rFonts w:cs="Arial"/>
          </w:rPr>
          <w:t>http://docs.cpuc.ca.gov/PublishedDocs/</w:t>
        </w:r>
        <w:r w:rsidR="00D26B01" w:rsidRPr="00404C1C">
          <w:rPr>
            <w:rStyle w:val="Hyperlink"/>
            <w:rFonts w:cs="Arial"/>
          </w:rPr>
          <w:t>W</w:t>
        </w:r>
        <w:r w:rsidR="00D26B01" w:rsidRPr="00404C1C">
          <w:rPr>
            <w:rStyle w:val="Hyperlink"/>
            <w:rFonts w:cs="Arial"/>
          </w:rPr>
          <w:t>ORD_PDF/FINAL_DECISION/156050.PDF</w:t>
        </w:r>
      </w:hyperlink>
      <w:r>
        <w:t>.</w:t>
      </w:r>
    </w:p>
  </w:footnote>
  <w:footnote w:id="3">
    <w:p w14:paraId="437C0506" w14:textId="35F0911C" w:rsidR="00443C9B" w:rsidRDefault="00443C9B" w:rsidP="002E4CDC">
      <w:pPr>
        <w:pStyle w:val="FootnoteText"/>
      </w:pPr>
      <w:r>
        <w:rPr>
          <w:rStyle w:val="FootnoteReference"/>
          <w:rFonts w:cs="Arial"/>
        </w:rPr>
        <w:footnoteRef/>
      </w:r>
      <w:r>
        <w:t xml:space="preserve"> See CPUC “Phase 2” Decision 12-05-037, May 24, 2012, </w:t>
      </w:r>
      <w:hyperlink r:id="rId2" w:tooltip="Click here to open the C P U C Phase 2 Decision 12-05-037" w:history="1">
        <w:bookmarkStart w:id="34" w:name="_GoBack"/>
        <w:r w:rsidR="00D26B01" w:rsidRPr="00404C1C">
          <w:rPr>
            <w:rStyle w:val="Hyperlink"/>
            <w:rFonts w:cs="Arial"/>
          </w:rPr>
          <w:t>http</w:t>
        </w:r>
        <w:bookmarkEnd w:id="34"/>
        <w:r w:rsidR="00D26B01" w:rsidRPr="00404C1C">
          <w:rPr>
            <w:rStyle w:val="Hyperlink"/>
            <w:rFonts w:cs="Arial"/>
          </w:rPr>
          <w:t>://docs.cpuc.ca.gov/PublishedDocs/WORD_PDF/FINAL_DECISION/167664.PDF</w:t>
        </w:r>
      </w:hyperlink>
      <w:r>
        <w:t>.</w:t>
      </w:r>
    </w:p>
  </w:footnote>
  <w:footnote w:id="4">
    <w:p w14:paraId="51C7D0E2" w14:textId="34EC3F4A" w:rsidR="00D26B01" w:rsidRDefault="00443C9B" w:rsidP="003E3E06">
      <w:pPr>
        <w:pStyle w:val="FootnoteText"/>
      </w:pPr>
      <w:r>
        <w:rPr>
          <w:rStyle w:val="FootnoteReference"/>
          <w:rFonts w:cs="Arial"/>
        </w:rPr>
        <w:footnoteRef/>
      </w:r>
      <w:r>
        <w:t xml:space="preserve"> California Public Resources Code, Section 25711.5(a), </w:t>
      </w:r>
      <w:r w:rsidRPr="008E6D20">
        <w:t xml:space="preserve"> </w:t>
      </w:r>
      <w:hyperlink r:id="rId3" w:tooltip="Click here to go to the California Public Resources Code Section 25711.5" w:history="1">
        <w:r w:rsidR="00D26B01" w:rsidRPr="00404C1C">
          <w:rPr>
            <w:rStyle w:val="Hyperlink"/>
            <w:rFonts w:cs="Arial"/>
          </w:rPr>
          <w:t>https://california.public.law/codes/ca_pub_res_code_section_25711.5</w:t>
        </w:r>
      </w:hyperlink>
    </w:p>
  </w:footnote>
  <w:footnote w:id="5">
    <w:p w14:paraId="3E2D7A8D" w14:textId="78BAF034" w:rsidR="00443C9B" w:rsidRDefault="00443C9B" w:rsidP="008D73A7">
      <w:pPr>
        <w:pStyle w:val="FootnoteText"/>
      </w:pPr>
      <w:r>
        <w:rPr>
          <w:rStyle w:val="FootnoteReference"/>
          <w:rFonts w:cs="Arial"/>
        </w:rPr>
        <w:footnoteRef/>
      </w:r>
      <w:r>
        <w:t xml:space="preserve"> 2012-14 EPIC Triennial Investment Plan, </w:t>
      </w:r>
      <w:r w:rsidRPr="00B9322A">
        <w:t>http://www.energy.ca.gov/research/epic/documents/final_documents_submitted_to_CPUC/2012-11-01_EPIC_Application_to_CPUC.pdf</w:t>
      </w:r>
      <w:r>
        <w:t xml:space="preserve"> (Attachment 1), as modified and approved by CPUC Decision 13-11-025</w:t>
      </w:r>
      <w:r w:rsidRPr="009C2A1F">
        <w:t xml:space="preserve">, </w:t>
      </w:r>
      <w:hyperlink r:id="rId4" w:tooltip="Click here to go to the 2012-14 EPIC Triennial Investment Plan" w:history="1">
        <w:r w:rsidR="00D26B01" w:rsidRPr="00404C1C">
          <w:rPr>
            <w:rStyle w:val="Hyperlink"/>
            <w:rFonts w:cs="Arial"/>
          </w:rPr>
          <w:t>http://docs.cpuc.ca.gov/PublishedDocs/Published/G000/M081/K773/81773445.PDF</w:t>
        </w:r>
      </w:hyperlink>
      <w:r w:rsidRPr="009C2A1F">
        <w:rPr>
          <w:color w:val="1F497D"/>
        </w:rPr>
        <w:t>.</w:t>
      </w:r>
    </w:p>
  </w:footnote>
  <w:footnote w:id="6">
    <w:p w14:paraId="71C35886" w14:textId="07EB918B" w:rsidR="00443C9B" w:rsidRPr="004A14AD" w:rsidRDefault="00443C9B" w:rsidP="008D73A7">
      <w:pPr>
        <w:pStyle w:val="FootnoteText"/>
      </w:pPr>
      <w:r>
        <w:rPr>
          <w:rStyle w:val="FootnoteReference"/>
        </w:rPr>
        <w:footnoteRef/>
      </w:r>
      <w:r>
        <w:t xml:space="preserve"> 2015-17 EPIC Triennial Investment Plan, </w:t>
      </w:r>
      <w:r w:rsidRPr="00B9322A">
        <w:t>http://www.energy.ca.gov/2014publications/CEC-500-2014-038/CEC-500-2014-038-CMF.pdf</w:t>
      </w:r>
      <w:r>
        <w:t xml:space="preserve">, as modified and approved by CPUC Decision 15-04-020, </w:t>
      </w:r>
      <w:hyperlink r:id="rId5" w:tooltip="Click here to go to the 2015-2017 EPIC Triennial Investment Plan" w:history="1">
        <w:r w:rsidR="00D26B01" w:rsidRPr="00404C1C">
          <w:rPr>
            <w:rStyle w:val="Hyperlink"/>
            <w:rFonts w:cs="Arial"/>
          </w:rPr>
          <w:t>http://docs.cpuc.ca.gov/PublishedDocs/Published/G000/M151/K183/151183650.PDF</w:t>
        </w:r>
      </w:hyperlink>
      <w:r w:rsidRPr="009C2A1F">
        <w:t>.</w:t>
      </w:r>
    </w:p>
  </w:footnote>
  <w:footnote w:id="7">
    <w:p w14:paraId="6E27FCB2" w14:textId="77777777" w:rsidR="00443C9B" w:rsidRDefault="00443C9B" w:rsidP="00F717AD">
      <w:pPr>
        <w:pStyle w:val="FootnoteText"/>
      </w:pPr>
      <w:r>
        <w:rPr>
          <w:rStyle w:val="FootnoteReference"/>
        </w:rPr>
        <w:footnoteRef/>
      </w:r>
      <w:r>
        <w:t xml:space="preserve"> AB 2514 (Statutes of 2010, chapter 469).</w:t>
      </w:r>
    </w:p>
  </w:footnote>
  <w:footnote w:id="8">
    <w:p w14:paraId="0F1627C9" w14:textId="0C31DD22" w:rsidR="00443C9B" w:rsidRDefault="00443C9B">
      <w:pPr>
        <w:pStyle w:val="FootnoteText"/>
      </w:pPr>
      <w:r>
        <w:rPr>
          <w:rStyle w:val="FootnoteReference"/>
        </w:rPr>
        <w:footnoteRef/>
      </w:r>
      <w:r>
        <w:t xml:space="preserve"> Pacific Standard Time or Pacific Daylight Time, whichever is being </w:t>
      </w:r>
      <w:proofErr w:type="gramStart"/>
      <w:r>
        <w:t>observed.</w:t>
      </w:r>
      <w:proofErr w:type="gramEnd"/>
    </w:p>
  </w:footnote>
  <w:footnote w:id="9">
    <w:p w14:paraId="60010BE1" w14:textId="77777777" w:rsidR="00443C9B" w:rsidRDefault="00443C9B" w:rsidP="006E6698">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Such questions may be submitted to the Commission Agreement Officer listed in Section H at any time prior to the application deadline.  Please see Section H for additional information.</w:t>
      </w:r>
    </w:p>
  </w:footnote>
  <w:footnote w:id="10">
    <w:p w14:paraId="2331A9FB" w14:textId="77777777" w:rsidR="00443C9B" w:rsidRDefault="00443C9B" w:rsidP="00D06554">
      <w:pPr>
        <w:pStyle w:val="FootnoteText"/>
      </w:pPr>
      <w:r>
        <w:rPr>
          <w:rStyle w:val="FootnoteReference"/>
        </w:rPr>
        <w:footnoteRef/>
      </w:r>
      <w:r>
        <w:t xml:space="preserve"> A local publicly owned electric utility is an entity as defined in California Public Utilities Code section 224.3.</w:t>
      </w:r>
    </w:p>
  </w:footnote>
  <w:footnote w:id="11">
    <w:p w14:paraId="4352C399" w14:textId="4F583DA2" w:rsidR="00443C9B" w:rsidRDefault="00443C9B" w:rsidP="00ED5203">
      <w:pPr>
        <w:pStyle w:val="FootnoteText"/>
      </w:pPr>
      <w:r>
        <w:rPr>
          <w:rStyle w:val="FootnoteReference"/>
        </w:rPr>
        <w:footnoteRef/>
      </w:r>
      <w:r>
        <w:t xml:space="preserve"> See CPUC “Phase 2” Decision 12-05-037 at pp. 36 and 90, </w:t>
      </w:r>
      <w:hyperlink r:id="rId6" w:tooltip="Click here to go to the C P U C Phase 2 Decision 12-05-037" w:history="1">
        <w:r w:rsidR="00373244" w:rsidRPr="00404C1C">
          <w:rPr>
            <w:rStyle w:val="Hyperlink"/>
            <w:rFonts w:cs="Arial"/>
          </w:rPr>
          <w:t>http://docs.cpuc.ca.gov/PublishedDocs/WORD_PDF/FINAL_DECISION/167664.PDF</w:t>
        </w:r>
      </w:hyperlink>
      <w:r>
        <w:t>.</w:t>
      </w:r>
    </w:p>
  </w:footnote>
  <w:footnote w:id="12">
    <w:p w14:paraId="59268E03" w14:textId="77777777" w:rsidR="00443C9B" w:rsidRDefault="00443C9B">
      <w:pPr>
        <w:pStyle w:val="FootnoteText"/>
      </w:pPr>
      <w:r>
        <w:rPr>
          <w:rStyle w:val="FootnoteReference"/>
          <w:rFonts w:cs="Arial"/>
        </w:rPr>
        <w:footnoteRef/>
      </w:r>
      <w:r>
        <w:t xml:space="preserve"> </w:t>
      </w:r>
      <w:r w:rsidRPr="0075360F">
        <w:rPr>
          <w:i/>
        </w:rPr>
        <w:t>Id.</w:t>
      </w:r>
      <w:r>
        <w:t xml:space="preserve"> at p. 19.</w:t>
      </w:r>
    </w:p>
  </w:footnote>
  <w:footnote w:id="13">
    <w:p w14:paraId="3722E33B" w14:textId="77777777" w:rsidR="00443C9B" w:rsidRDefault="00443C9B">
      <w:pPr>
        <w:pStyle w:val="FootnoteText"/>
      </w:pPr>
      <w:r>
        <w:rPr>
          <w:rStyle w:val="FootnoteReference"/>
        </w:rPr>
        <w:footnoteRef/>
      </w:r>
      <w:r>
        <w:t xml:space="preserve"> </w:t>
      </w:r>
      <w:r w:rsidRPr="00DE45D8">
        <w:rPr>
          <w:i/>
        </w:rPr>
        <w:t>Id.</w:t>
      </w:r>
      <w:r>
        <w:t xml:space="preserve"> at pp. 19-20.0</w:t>
      </w:r>
    </w:p>
  </w:footnote>
  <w:footnote w:id="14">
    <w:p w14:paraId="5074159D" w14:textId="77777777" w:rsidR="00443C9B" w:rsidRDefault="00443C9B">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DFB29" w14:textId="77777777" w:rsidR="00443C9B" w:rsidRPr="00E51723" w:rsidRDefault="00443C9B" w:rsidP="00E51723">
    <w:pPr>
      <w:pStyle w:val="Header"/>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BE4CF" w14:textId="77777777" w:rsidR="00443C9B" w:rsidRPr="00C53E15" w:rsidRDefault="00443C9B"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95C"/>
    <w:multiLevelType w:val="hybridMultilevel"/>
    <w:tmpl w:val="509CE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rPr>
        <w:rFonts w:cs="Times New Roman"/>
      </w:rPr>
    </w:lvl>
  </w:abstractNum>
  <w:abstractNum w:abstractNumId="4" w15:restartNumberingAfterBreak="0">
    <w:nsid w:val="078B7F38"/>
    <w:multiLevelType w:val="hybridMultilevel"/>
    <w:tmpl w:val="96A01FE0"/>
    <w:lvl w:ilvl="0" w:tplc="A34E7F82">
      <w:start w:val="1"/>
      <w:numFmt w:val="decimal"/>
      <w:lvlText w:val="%1."/>
      <w:lvlJc w:val="left"/>
      <w:pPr>
        <w:ind w:left="765" w:hanging="405"/>
      </w:pPr>
      <w:rPr>
        <w:rFonts w:hint="default"/>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85B48F6"/>
    <w:multiLevelType w:val="multilevel"/>
    <w:tmpl w:val="335A53A2"/>
    <w:lvl w:ilvl="0">
      <w:start w:val="1"/>
      <w:numFmt w:val="decimal"/>
      <w:lvlText w:val="%1."/>
      <w:lvlJc w:val="left"/>
      <w:pPr>
        <w:tabs>
          <w:tab w:val="num" w:pos="1440"/>
        </w:tabs>
        <w:ind w:left="1440" w:hanging="720"/>
      </w:pPr>
      <w:rPr>
        <w:rFonts w:ascii="Arial" w:eastAsia="Times New Roman" w:hAnsi="Arial" w:cs="Arial"/>
        <w:b w:val="0"/>
        <w:color w:val="000000" w:themeColor="text1"/>
      </w:rPr>
    </w:lvl>
    <w:lvl w:ilvl="1">
      <w:start w:val="1"/>
      <w:numFmt w:val="lowerLetter"/>
      <w:lvlText w:val="%2."/>
      <w:lvlJc w:val="left"/>
      <w:pPr>
        <w:tabs>
          <w:tab w:val="num" w:pos="2160"/>
        </w:tabs>
        <w:ind w:left="2160" w:hanging="720"/>
      </w:pPr>
      <w:rPr>
        <w:b w:val="0"/>
      </w:r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15:restartNumberingAfterBreak="0">
    <w:nsid w:val="0A434D69"/>
    <w:multiLevelType w:val="hybridMultilevel"/>
    <w:tmpl w:val="F2C40394"/>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BD060284">
      <w:start w:val="60"/>
      <w:numFmt w:val="bullet"/>
      <w:lvlText w:val=""/>
      <w:lvlJc w:val="left"/>
      <w:pPr>
        <w:ind w:left="2160" w:hanging="360"/>
      </w:pPr>
      <w:rPr>
        <w:rFonts w:ascii="Wingdings" w:eastAsia="Times New Roman"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046BA"/>
    <w:multiLevelType w:val="hybridMultilevel"/>
    <w:tmpl w:val="FB044B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D96ABF"/>
    <w:multiLevelType w:val="hybridMultilevel"/>
    <w:tmpl w:val="CE1EF212"/>
    <w:lvl w:ilvl="0" w:tplc="DF881B92">
      <w:start w:val="1"/>
      <w:numFmt w:val="decimal"/>
      <w:lvlText w:val="%1."/>
      <w:lvlJc w:val="left"/>
      <w:pPr>
        <w:ind w:left="765" w:hanging="405"/>
      </w:pPr>
      <w:rPr>
        <w:rFonts w:hint="default"/>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0E917F6A"/>
    <w:multiLevelType w:val="hybridMultilevel"/>
    <w:tmpl w:val="DF50A626"/>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9A202A"/>
    <w:multiLevelType w:val="hybridMultilevel"/>
    <w:tmpl w:val="CDF49C4C"/>
    <w:lvl w:ilvl="0" w:tplc="CE763E90">
      <w:start w:val="1"/>
      <w:numFmt w:val="decimal"/>
      <w:lvlText w:val="%1."/>
      <w:lvlJc w:val="left"/>
      <w:pPr>
        <w:ind w:left="1620" w:hanging="360"/>
      </w:pPr>
      <w:rPr>
        <w:rFonts w:ascii="Arial" w:eastAsia="Times New Roman" w:hAnsi="Arial" w:cs="Arial"/>
      </w:rPr>
    </w:lvl>
    <w:lvl w:ilvl="1" w:tplc="0409001B">
      <w:start w:val="1"/>
      <w:numFmt w:val="lowerRoman"/>
      <w:lvlText w:val="%2."/>
      <w:lvlJc w:val="righ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1EF1F91"/>
    <w:multiLevelType w:val="hybridMultilevel"/>
    <w:tmpl w:val="C71AE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16D464EE"/>
    <w:multiLevelType w:val="hybridMultilevel"/>
    <w:tmpl w:val="D3AE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94F0FC5"/>
    <w:multiLevelType w:val="hybridMultilevel"/>
    <w:tmpl w:val="5D449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AAF51F6"/>
    <w:multiLevelType w:val="hybridMultilevel"/>
    <w:tmpl w:val="1910BBA0"/>
    <w:lvl w:ilvl="0" w:tplc="AFC21C68">
      <w:start w:val="1"/>
      <w:numFmt w:val="decimal"/>
      <w:lvlText w:val="%1."/>
      <w:lvlJc w:val="left"/>
      <w:pPr>
        <w:ind w:left="765" w:hanging="405"/>
      </w:pPr>
      <w:rPr>
        <w:rFonts w:hint="default"/>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1AB37F7F"/>
    <w:multiLevelType w:val="hybridMultilevel"/>
    <w:tmpl w:val="0C9A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C150506"/>
    <w:multiLevelType w:val="hybridMultilevel"/>
    <w:tmpl w:val="B71AE0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54A4CA2"/>
    <w:multiLevelType w:val="hybridMultilevel"/>
    <w:tmpl w:val="6CD2461A"/>
    <w:lvl w:ilvl="0" w:tplc="D6003C8C">
      <w:start w:val="1"/>
      <w:numFmt w:val="decimal"/>
      <w:lvlText w:val="%1."/>
      <w:lvlJc w:val="left"/>
      <w:pPr>
        <w:ind w:left="765" w:hanging="405"/>
      </w:pPr>
      <w:rPr>
        <w:rFonts w:hint="default"/>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836487B"/>
    <w:multiLevelType w:val="hybridMultilevel"/>
    <w:tmpl w:val="E6668602"/>
    <w:lvl w:ilvl="0" w:tplc="683E911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9542997"/>
    <w:multiLevelType w:val="hybridMultilevel"/>
    <w:tmpl w:val="75524C38"/>
    <w:lvl w:ilvl="0" w:tplc="72DA7A90">
      <w:start w:val="1"/>
      <w:numFmt w:val="decimal"/>
      <w:lvlText w:val="%1."/>
      <w:lvlJc w:val="left"/>
      <w:pPr>
        <w:ind w:left="765" w:hanging="405"/>
      </w:pPr>
      <w:rPr>
        <w:rFonts w:hint="default"/>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295A24FA"/>
    <w:multiLevelType w:val="hybridMultilevel"/>
    <w:tmpl w:val="110A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CA6C31"/>
    <w:multiLevelType w:val="hybridMultilevel"/>
    <w:tmpl w:val="356273E2"/>
    <w:lvl w:ilvl="0" w:tplc="20EC575A">
      <w:start w:val="1"/>
      <w:numFmt w:val="upperLetter"/>
      <w:lvlText w:val="%1."/>
      <w:lvlJc w:val="left"/>
      <w:pPr>
        <w:ind w:left="405" w:hanging="405"/>
      </w:pPr>
      <w:rPr>
        <w:rFonts w:cs="Times New Roman" w:hint="default"/>
      </w:rPr>
    </w:lvl>
    <w:lvl w:ilvl="1" w:tplc="3036C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A57196C"/>
    <w:multiLevelType w:val="hybridMultilevel"/>
    <w:tmpl w:val="021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E677DA"/>
    <w:multiLevelType w:val="hybridMultilevel"/>
    <w:tmpl w:val="2CAAFF2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1"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30C53A31"/>
    <w:multiLevelType w:val="hybridMultilevel"/>
    <w:tmpl w:val="E9F06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33F57095"/>
    <w:multiLevelType w:val="hybridMultilevel"/>
    <w:tmpl w:val="73D07D50"/>
    <w:lvl w:ilvl="0" w:tplc="FF96EA7C">
      <w:start w:val="1"/>
      <w:numFmt w:val="decimal"/>
      <w:lvlText w:val="%1."/>
      <w:lvlJc w:val="left"/>
      <w:pPr>
        <w:ind w:left="1485" w:hanging="720"/>
      </w:pPr>
      <w:rPr>
        <w:rFonts w:hint="default"/>
        <w:color w:val="auto"/>
        <w:u w:val="none"/>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15:restartNumberingAfterBreak="0">
    <w:nsid w:val="341E1545"/>
    <w:multiLevelType w:val="hybridMultilevel"/>
    <w:tmpl w:val="C7D0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F6597"/>
    <w:multiLevelType w:val="hybridMultilevel"/>
    <w:tmpl w:val="56C683B6"/>
    <w:lvl w:ilvl="0" w:tplc="0409000F">
      <w:start w:val="1"/>
      <w:numFmt w:val="decimal"/>
      <w:lvlText w:val="%1."/>
      <w:lvlJc w:val="left"/>
      <w:pPr>
        <w:ind w:left="765" w:hanging="405"/>
      </w:pPr>
      <w:rPr>
        <w:rFonts w:hint="default"/>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7501C2"/>
    <w:multiLevelType w:val="hybridMultilevel"/>
    <w:tmpl w:val="03566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010096"/>
    <w:multiLevelType w:val="hybridMultilevel"/>
    <w:tmpl w:val="60D2E8E4"/>
    <w:lvl w:ilvl="0" w:tplc="B320891E">
      <w:start w:val="1"/>
      <w:numFmt w:val="decimal"/>
      <w:lvlText w:val="%1."/>
      <w:lvlJc w:val="left"/>
      <w:pPr>
        <w:ind w:left="765" w:hanging="405"/>
      </w:pPr>
      <w:rPr>
        <w:rFonts w:hint="default"/>
      </w:rPr>
    </w:lvl>
    <w:lvl w:ilvl="1" w:tplc="0409000F">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5B48183F"/>
    <w:multiLevelType w:val="multilevel"/>
    <w:tmpl w:val="DD8AB8FE"/>
    <w:lvl w:ilvl="0">
      <w:start w:val="2"/>
      <w:numFmt w:val="decimal"/>
      <w:lvlText w:val="%1."/>
      <w:lvlJc w:val="left"/>
      <w:pPr>
        <w:ind w:left="720" w:hanging="360"/>
      </w:pPr>
      <w:rPr>
        <w:rFonts w:cs="Times New Roman" w:hint="default"/>
        <w:b/>
        <w:i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FD822EA"/>
    <w:multiLevelType w:val="multilevel"/>
    <w:tmpl w:val="9014DC7E"/>
    <w:styleLink w:val="RFP"/>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ascii="Arial" w:hAnsi="Arial" w:cs="Times New Roman" w:hint="default"/>
        <w:b w:val="0"/>
        <w:i w:val="0"/>
        <w:sz w:val="24"/>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51A6894"/>
    <w:multiLevelType w:val="hybridMultilevel"/>
    <w:tmpl w:val="A83A5B1A"/>
    <w:lvl w:ilvl="0" w:tplc="6C22DEFC">
      <w:start w:val="1"/>
      <w:numFmt w:val="lowerLetter"/>
      <w:lvlText w:val="%1."/>
      <w:lvlJc w:val="left"/>
      <w:pPr>
        <w:ind w:left="720" w:hanging="360"/>
      </w:pPr>
      <w:rPr>
        <w:rFonts w:ascii="Arial" w:hAnsi="Arial" w:cs="Arial"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F63B9"/>
    <w:multiLevelType w:val="hybridMultilevel"/>
    <w:tmpl w:val="2BF26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3D1AF9"/>
    <w:multiLevelType w:val="hybridMultilevel"/>
    <w:tmpl w:val="CB4EF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55"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AE1E3E"/>
    <w:multiLevelType w:val="hybridMultilevel"/>
    <w:tmpl w:val="4A2CE916"/>
    <w:lvl w:ilvl="0" w:tplc="83D4DC2E">
      <w:start w:val="1"/>
      <w:numFmt w:val="decimal"/>
      <w:pStyle w:val="HeadingNew1"/>
      <w:lvlText w:val="%1."/>
      <w:lvlJc w:val="left"/>
      <w:pPr>
        <w:ind w:left="720" w:hanging="360"/>
      </w:pPr>
      <w:rPr>
        <w:rFonts w:hint="default"/>
        <w:b/>
        <w:color w:val="auto"/>
      </w:rPr>
    </w:lvl>
    <w:lvl w:ilvl="1" w:tplc="CA40A2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F93DC7"/>
    <w:multiLevelType w:val="hybridMultilevel"/>
    <w:tmpl w:val="BE06904A"/>
    <w:lvl w:ilvl="0" w:tplc="D8DA9E6A">
      <w:start w:val="1"/>
      <w:numFmt w:val="upperLetter"/>
      <w:lvlText w:val="%1."/>
      <w:lvlJc w:val="left"/>
      <w:pPr>
        <w:ind w:left="810" w:hanging="360"/>
      </w:pPr>
      <w:rPr>
        <w:rFonts w:cs="Times New Roman" w:hint="default"/>
        <w:smallCaps w:val="0"/>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8" w15:restartNumberingAfterBreak="0">
    <w:nsid w:val="71593863"/>
    <w:multiLevelType w:val="hybridMultilevel"/>
    <w:tmpl w:val="7FA8B55A"/>
    <w:lvl w:ilvl="0" w:tplc="7376F200">
      <w:start w:val="1"/>
      <w:numFmt w:val="decimal"/>
      <w:lvlText w:val="%1."/>
      <w:lvlJc w:val="left"/>
      <w:pPr>
        <w:ind w:left="720" w:hanging="360"/>
      </w:pPr>
      <w:rPr>
        <w:b w:val="0"/>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B3209C"/>
    <w:multiLevelType w:val="hybridMultilevel"/>
    <w:tmpl w:val="CB0032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4"/>
  </w:num>
  <w:num w:numId="4">
    <w:abstractNumId w:val="48"/>
  </w:num>
  <w:num w:numId="5">
    <w:abstractNumId w:val="36"/>
  </w:num>
  <w:num w:numId="6">
    <w:abstractNumId w:val="37"/>
  </w:num>
  <w:num w:numId="7">
    <w:abstractNumId w:val="60"/>
  </w:num>
  <w:num w:numId="8">
    <w:abstractNumId w:val="10"/>
  </w:num>
  <w:num w:numId="9">
    <w:abstractNumId w:val="29"/>
  </w:num>
  <w:num w:numId="10">
    <w:abstractNumId w:val="45"/>
  </w:num>
  <w:num w:numId="11">
    <w:abstractNumId w:val="8"/>
  </w:num>
  <w:num w:numId="12">
    <w:abstractNumId w:val="30"/>
  </w:num>
  <w:num w:numId="13">
    <w:abstractNumId w:val="61"/>
  </w:num>
  <w:num w:numId="14">
    <w:abstractNumId w:val="43"/>
  </w:num>
  <w:num w:numId="15">
    <w:abstractNumId w:val="41"/>
  </w:num>
  <w:num w:numId="16">
    <w:abstractNumId w:val="62"/>
  </w:num>
  <w:num w:numId="17">
    <w:abstractNumId w:val="55"/>
  </w:num>
  <w:num w:numId="18">
    <w:abstractNumId w:val="63"/>
  </w:num>
  <w:num w:numId="19">
    <w:abstractNumId w:val="64"/>
  </w:num>
  <w:num w:numId="20">
    <w:abstractNumId w:val="14"/>
  </w:num>
  <w:num w:numId="21">
    <w:abstractNumId w:val="59"/>
  </w:num>
  <w:num w:numId="22">
    <w:abstractNumId w:val="15"/>
  </w:num>
  <w:num w:numId="23">
    <w:abstractNumId w:val="57"/>
  </w:num>
  <w:num w:numId="24">
    <w:abstractNumId w:val="50"/>
  </w:num>
  <w:num w:numId="25">
    <w:abstractNumId w:val="25"/>
  </w:num>
  <w:num w:numId="26">
    <w:abstractNumId w:val="22"/>
  </w:num>
  <w:num w:numId="27">
    <w:abstractNumId w:val="65"/>
  </w:num>
  <w:num w:numId="28">
    <w:abstractNumId w:val="38"/>
  </w:num>
  <w:num w:numId="29">
    <w:abstractNumId w:val="44"/>
  </w:num>
  <w:num w:numId="30">
    <w:abstractNumId w:val="7"/>
  </w:num>
  <w:num w:numId="31">
    <w:abstractNumId w:val="28"/>
  </w:num>
  <w:num w:numId="32">
    <w:abstractNumId w:val="26"/>
  </w:num>
  <w:num w:numId="33">
    <w:abstractNumId w:val="53"/>
  </w:num>
  <w:num w:numId="34">
    <w:abstractNumId w:val="16"/>
  </w:num>
  <w:num w:numId="35">
    <w:abstractNumId w:val="20"/>
  </w:num>
  <w:num w:numId="36">
    <w:abstractNumId w:val="51"/>
  </w:num>
  <w:num w:numId="37">
    <w:abstractNumId w:val="12"/>
  </w:num>
  <w:num w:numId="38">
    <w:abstractNumId w:val="42"/>
  </w:num>
  <w:num w:numId="39">
    <w:abstractNumId w:val="56"/>
  </w:num>
  <w:num w:numId="40">
    <w:abstractNumId w:val="58"/>
  </w:num>
  <w:num w:numId="41">
    <w:abstractNumId w:val="13"/>
  </w:num>
  <w:num w:numId="42">
    <w:abstractNumId w:val="33"/>
  </w:num>
  <w:num w:numId="43">
    <w:abstractNumId w:val="19"/>
  </w:num>
  <w:num w:numId="44">
    <w:abstractNumId w:val="27"/>
  </w:num>
  <w:num w:numId="45">
    <w:abstractNumId w:val="52"/>
  </w:num>
  <w:num w:numId="46">
    <w:abstractNumId w:val="35"/>
  </w:num>
  <w:num w:numId="47">
    <w:abstractNumId w:val="0"/>
  </w:num>
  <w:num w:numId="48">
    <w:abstractNumId w:val="32"/>
  </w:num>
  <w:num w:numId="49">
    <w:abstractNumId w:val="31"/>
  </w:num>
  <w:num w:numId="50">
    <w:abstractNumId w:val="1"/>
  </w:num>
  <w:num w:numId="51">
    <w:abstractNumId w:val="34"/>
  </w:num>
  <w:num w:numId="52">
    <w:abstractNumId w:val="47"/>
  </w:num>
  <w:num w:numId="53">
    <w:abstractNumId w:val="17"/>
  </w:num>
  <w:num w:numId="54">
    <w:abstractNumId w:val="6"/>
  </w:num>
  <w:num w:numId="55">
    <w:abstractNumId w:val="49"/>
  </w:num>
  <w:num w:numId="56">
    <w:abstractNumId w:val="40"/>
  </w:num>
  <w:num w:numId="57">
    <w:abstractNumId w:val="5"/>
  </w:num>
  <w:num w:numId="58">
    <w:abstractNumId w:val="11"/>
  </w:num>
  <w:num w:numId="59">
    <w:abstractNumId w:val="23"/>
  </w:num>
  <w:num w:numId="60">
    <w:abstractNumId w:val="39"/>
  </w:num>
  <w:num w:numId="61">
    <w:abstractNumId w:val="18"/>
  </w:num>
  <w:num w:numId="62">
    <w:abstractNumId w:val="9"/>
  </w:num>
  <w:num w:numId="63">
    <w:abstractNumId w:val="46"/>
  </w:num>
  <w:num w:numId="64">
    <w:abstractNumId w:val="4"/>
  </w:num>
  <w:num w:numId="65">
    <w:abstractNumId w:val="21"/>
  </w:num>
  <w:num w:numId="66">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B1"/>
    <w:rsid w:val="00000355"/>
    <w:rsid w:val="00000458"/>
    <w:rsid w:val="0000052E"/>
    <w:rsid w:val="0000076C"/>
    <w:rsid w:val="00000A55"/>
    <w:rsid w:val="00000C0F"/>
    <w:rsid w:val="0000103E"/>
    <w:rsid w:val="00001424"/>
    <w:rsid w:val="0000172D"/>
    <w:rsid w:val="0000172F"/>
    <w:rsid w:val="0000175F"/>
    <w:rsid w:val="000018AD"/>
    <w:rsid w:val="00002793"/>
    <w:rsid w:val="00002CC4"/>
    <w:rsid w:val="00003543"/>
    <w:rsid w:val="00003593"/>
    <w:rsid w:val="00003B2D"/>
    <w:rsid w:val="00003BC0"/>
    <w:rsid w:val="00003F42"/>
    <w:rsid w:val="00004788"/>
    <w:rsid w:val="00004DF2"/>
    <w:rsid w:val="00004FFA"/>
    <w:rsid w:val="00005A4A"/>
    <w:rsid w:val="00005A8F"/>
    <w:rsid w:val="00005D53"/>
    <w:rsid w:val="00005E7A"/>
    <w:rsid w:val="0000604D"/>
    <w:rsid w:val="0000689C"/>
    <w:rsid w:val="0000779E"/>
    <w:rsid w:val="00007CE1"/>
    <w:rsid w:val="00007D1F"/>
    <w:rsid w:val="00007FF3"/>
    <w:rsid w:val="00010A17"/>
    <w:rsid w:val="00010A82"/>
    <w:rsid w:val="00010D75"/>
    <w:rsid w:val="000114B3"/>
    <w:rsid w:val="000124A3"/>
    <w:rsid w:val="00012510"/>
    <w:rsid w:val="00013878"/>
    <w:rsid w:val="00013C2C"/>
    <w:rsid w:val="00013CF0"/>
    <w:rsid w:val="000144E2"/>
    <w:rsid w:val="0001460E"/>
    <w:rsid w:val="00014E00"/>
    <w:rsid w:val="00015877"/>
    <w:rsid w:val="00015CEA"/>
    <w:rsid w:val="00015EC8"/>
    <w:rsid w:val="00016303"/>
    <w:rsid w:val="00016FC9"/>
    <w:rsid w:val="00017560"/>
    <w:rsid w:val="00017EB7"/>
    <w:rsid w:val="00020361"/>
    <w:rsid w:val="00020529"/>
    <w:rsid w:val="00020B8B"/>
    <w:rsid w:val="000212BB"/>
    <w:rsid w:val="00022296"/>
    <w:rsid w:val="0002270D"/>
    <w:rsid w:val="00022914"/>
    <w:rsid w:val="000229B2"/>
    <w:rsid w:val="00022FB9"/>
    <w:rsid w:val="0002309F"/>
    <w:rsid w:val="0002354C"/>
    <w:rsid w:val="000237F4"/>
    <w:rsid w:val="00023867"/>
    <w:rsid w:val="000239C8"/>
    <w:rsid w:val="000239EE"/>
    <w:rsid w:val="00023BBE"/>
    <w:rsid w:val="000241C8"/>
    <w:rsid w:val="00024416"/>
    <w:rsid w:val="00025A53"/>
    <w:rsid w:val="00025CE4"/>
    <w:rsid w:val="00025DD0"/>
    <w:rsid w:val="000264F9"/>
    <w:rsid w:val="00026B28"/>
    <w:rsid w:val="00026CA4"/>
    <w:rsid w:val="000274C3"/>
    <w:rsid w:val="0002752A"/>
    <w:rsid w:val="000276B1"/>
    <w:rsid w:val="000277A7"/>
    <w:rsid w:val="000277C2"/>
    <w:rsid w:val="000305F5"/>
    <w:rsid w:val="00030B75"/>
    <w:rsid w:val="00031059"/>
    <w:rsid w:val="000311E1"/>
    <w:rsid w:val="0003180D"/>
    <w:rsid w:val="00032125"/>
    <w:rsid w:val="00032477"/>
    <w:rsid w:val="00032542"/>
    <w:rsid w:val="0003286E"/>
    <w:rsid w:val="000328EF"/>
    <w:rsid w:val="00032904"/>
    <w:rsid w:val="00032CE6"/>
    <w:rsid w:val="00032F16"/>
    <w:rsid w:val="00032F46"/>
    <w:rsid w:val="0003304E"/>
    <w:rsid w:val="00033751"/>
    <w:rsid w:val="000338A1"/>
    <w:rsid w:val="00033AC0"/>
    <w:rsid w:val="0003496A"/>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4A3"/>
    <w:rsid w:val="000419FF"/>
    <w:rsid w:val="0004261D"/>
    <w:rsid w:val="0004267B"/>
    <w:rsid w:val="000426A8"/>
    <w:rsid w:val="0004276E"/>
    <w:rsid w:val="00042DCB"/>
    <w:rsid w:val="00043531"/>
    <w:rsid w:val="0004356A"/>
    <w:rsid w:val="000447F1"/>
    <w:rsid w:val="00044959"/>
    <w:rsid w:val="00044DF2"/>
    <w:rsid w:val="0004506B"/>
    <w:rsid w:val="0004587B"/>
    <w:rsid w:val="000458D4"/>
    <w:rsid w:val="0004617A"/>
    <w:rsid w:val="000465A1"/>
    <w:rsid w:val="00046D36"/>
    <w:rsid w:val="00046EFC"/>
    <w:rsid w:val="00047717"/>
    <w:rsid w:val="00047761"/>
    <w:rsid w:val="00047E93"/>
    <w:rsid w:val="0005017E"/>
    <w:rsid w:val="0005047C"/>
    <w:rsid w:val="00050A62"/>
    <w:rsid w:val="00050BFA"/>
    <w:rsid w:val="00050CC8"/>
    <w:rsid w:val="00050F5A"/>
    <w:rsid w:val="00051017"/>
    <w:rsid w:val="000518CF"/>
    <w:rsid w:val="0005192A"/>
    <w:rsid w:val="00051C75"/>
    <w:rsid w:val="00051D64"/>
    <w:rsid w:val="0005211E"/>
    <w:rsid w:val="00052194"/>
    <w:rsid w:val="000524C8"/>
    <w:rsid w:val="000526C3"/>
    <w:rsid w:val="00052827"/>
    <w:rsid w:val="00052B4F"/>
    <w:rsid w:val="00053BEC"/>
    <w:rsid w:val="000541B6"/>
    <w:rsid w:val="00054F51"/>
    <w:rsid w:val="00055531"/>
    <w:rsid w:val="00055903"/>
    <w:rsid w:val="0005688E"/>
    <w:rsid w:val="00056D6A"/>
    <w:rsid w:val="0005732D"/>
    <w:rsid w:val="00057527"/>
    <w:rsid w:val="000576AE"/>
    <w:rsid w:val="00057768"/>
    <w:rsid w:val="00057859"/>
    <w:rsid w:val="0006069C"/>
    <w:rsid w:val="00060914"/>
    <w:rsid w:val="00060D67"/>
    <w:rsid w:val="00060E2C"/>
    <w:rsid w:val="000615A2"/>
    <w:rsid w:val="00061FF8"/>
    <w:rsid w:val="00062150"/>
    <w:rsid w:val="00063170"/>
    <w:rsid w:val="00063223"/>
    <w:rsid w:val="00063593"/>
    <w:rsid w:val="00063E66"/>
    <w:rsid w:val="00063F67"/>
    <w:rsid w:val="00064449"/>
    <w:rsid w:val="00064472"/>
    <w:rsid w:val="00064663"/>
    <w:rsid w:val="00064BE6"/>
    <w:rsid w:val="00065492"/>
    <w:rsid w:val="00065A2B"/>
    <w:rsid w:val="00066514"/>
    <w:rsid w:val="00066798"/>
    <w:rsid w:val="00067336"/>
    <w:rsid w:val="0006773D"/>
    <w:rsid w:val="00067753"/>
    <w:rsid w:val="00067F5D"/>
    <w:rsid w:val="000702F9"/>
    <w:rsid w:val="000704C9"/>
    <w:rsid w:val="000706AA"/>
    <w:rsid w:val="00070A7E"/>
    <w:rsid w:val="00070D19"/>
    <w:rsid w:val="00070DE3"/>
    <w:rsid w:val="00070EEF"/>
    <w:rsid w:val="0007135C"/>
    <w:rsid w:val="000722C6"/>
    <w:rsid w:val="000724E4"/>
    <w:rsid w:val="00072901"/>
    <w:rsid w:val="00072B68"/>
    <w:rsid w:val="00072BAB"/>
    <w:rsid w:val="00072D4D"/>
    <w:rsid w:val="0007304A"/>
    <w:rsid w:val="00073114"/>
    <w:rsid w:val="000738D8"/>
    <w:rsid w:val="0007396E"/>
    <w:rsid w:val="00073ABA"/>
    <w:rsid w:val="00074BBF"/>
    <w:rsid w:val="000752AD"/>
    <w:rsid w:val="00075A45"/>
    <w:rsid w:val="00075AFE"/>
    <w:rsid w:val="00075D2B"/>
    <w:rsid w:val="0007647A"/>
    <w:rsid w:val="00076BD7"/>
    <w:rsid w:val="00077074"/>
    <w:rsid w:val="000772E5"/>
    <w:rsid w:val="000802B8"/>
    <w:rsid w:val="000807CF"/>
    <w:rsid w:val="0008166D"/>
    <w:rsid w:val="00081F87"/>
    <w:rsid w:val="00082155"/>
    <w:rsid w:val="00082374"/>
    <w:rsid w:val="000823E5"/>
    <w:rsid w:val="000828F4"/>
    <w:rsid w:val="00082E4C"/>
    <w:rsid w:val="00082E65"/>
    <w:rsid w:val="00082E73"/>
    <w:rsid w:val="00083382"/>
    <w:rsid w:val="00083D0F"/>
    <w:rsid w:val="00084094"/>
    <w:rsid w:val="000849A1"/>
    <w:rsid w:val="00085407"/>
    <w:rsid w:val="00086E98"/>
    <w:rsid w:val="0008749B"/>
    <w:rsid w:val="0008754A"/>
    <w:rsid w:val="00087E0C"/>
    <w:rsid w:val="00087E47"/>
    <w:rsid w:val="000902B3"/>
    <w:rsid w:val="000904AA"/>
    <w:rsid w:val="00090507"/>
    <w:rsid w:val="00090B5B"/>
    <w:rsid w:val="00090B69"/>
    <w:rsid w:val="00090EE4"/>
    <w:rsid w:val="00091A74"/>
    <w:rsid w:val="00091E33"/>
    <w:rsid w:val="00091E59"/>
    <w:rsid w:val="00091EE3"/>
    <w:rsid w:val="00091FF9"/>
    <w:rsid w:val="000921CD"/>
    <w:rsid w:val="0009243E"/>
    <w:rsid w:val="000926C5"/>
    <w:rsid w:val="00092950"/>
    <w:rsid w:val="000929BA"/>
    <w:rsid w:val="0009345D"/>
    <w:rsid w:val="00093D90"/>
    <w:rsid w:val="00094789"/>
    <w:rsid w:val="00095093"/>
    <w:rsid w:val="00095153"/>
    <w:rsid w:val="00095BF3"/>
    <w:rsid w:val="00096530"/>
    <w:rsid w:val="00096570"/>
    <w:rsid w:val="0009657D"/>
    <w:rsid w:val="000965C0"/>
    <w:rsid w:val="0009680D"/>
    <w:rsid w:val="00097264"/>
    <w:rsid w:val="00097BE8"/>
    <w:rsid w:val="000A01E6"/>
    <w:rsid w:val="000A1035"/>
    <w:rsid w:val="000A1AB8"/>
    <w:rsid w:val="000A22F2"/>
    <w:rsid w:val="000A246B"/>
    <w:rsid w:val="000A2D2A"/>
    <w:rsid w:val="000A32E6"/>
    <w:rsid w:val="000A348D"/>
    <w:rsid w:val="000A3CF8"/>
    <w:rsid w:val="000A4000"/>
    <w:rsid w:val="000A4264"/>
    <w:rsid w:val="000A4E50"/>
    <w:rsid w:val="000A56FA"/>
    <w:rsid w:val="000A5E5D"/>
    <w:rsid w:val="000A6F06"/>
    <w:rsid w:val="000A7C94"/>
    <w:rsid w:val="000B053E"/>
    <w:rsid w:val="000B0697"/>
    <w:rsid w:val="000B07EA"/>
    <w:rsid w:val="000B0D33"/>
    <w:rsid w:val="000B0D93"/>
    <w:rsid w:val="000B10F9"/>
    <w:rsid w:val="000B1715"/>
    <w:rsid w:val="000B17EB"/>
    <w:rsid w:val="000B19FC"/>
    <w:rsid w:val="000B1A21"/>
    <w:rsid w:val="000B2632"/>
    <w:rsid w:val="000B27F1"/>
    <w:rsid w:val="000B3033"/>
    <w:rsid w:val="000B325A"/>
    <w:rsid w:val="000B3587"/>
    <w:rsid w:val="000B3DB3"/>
    <w:rsid w:val="000B4F05"/>
    <w:rsid w:val="000B5031"/>
    <w:rsid w:val="000B54A8"/>
    <w:rsid w:val="000B5E0C"/>
    <w:rsid w:val="000B5E14"/>
    <w:rsid w:val="000B5E9E"/>
    <w:rsid w:val="000B6E64"/>
    <w:rsid w:val="000B7ADC"/>
    <w:rsid w:val="000B7B3F"/>
    <w:rsid w:val="000C0BBB"/>
    <w:rsid w:val="000C0D7B"/>
    <w:rsid w:val="000C0F67"/>
    <w:rsid w:val="000C1814"/>
    <w:rsid w:val="000C1A03"/>
    <w:rsid w:val="000C1D17"/>
    <w:rsid w:val="000C20A6"/>
    <w:rsid w:val="000C23EF"/>
    <w:rsid w:val="000C33E2"/>
    <w:rsid w:val="000C46E7"/>
    <w:rsid w:val="000C4729"/>
    <w:rsid w:val="000C4B31"/>
    <w:rsid w:val="000C4D8C"/>
    <w:rsid w:val="000C4E32"/>
    <w:rsid w:val="000C505A"/>
    <w:rsid w:val="000C50E2"/>
    <w:rsid w:val="000C5DC3"/>
    <w:rsid w:val="000C65F8"/>
    <w:rsid w:val="000C6C27"/>
    <w:rsid w:val="000C6C33"/>
    <w:rsid w:val="000C7157"/>
    <w:rsid w:val="000C72F7"/>
    <w:rsid w:val="000C754E"/>
    <w:rsid w:val="000C7728"/>
    <w:rsid w:val="000C78EB"/>
    <w:rsid w:val="000C7CA0"/>
    <w:rsid w:val="000C7F64"/>
    <w:rsid w:val="000D00C7"/>
    <w:rsid w:val="000D0490"/>
    <w:rsid w:val="000D1040"/>
    <w:rsid w:val="000D14E1"/>
    <w:rsid w:val="000D14F3"/>
    <w:rsid w:val="000D1583"/>
    <w:rsid w:val="000D15E6"/>
    <w:rsid w:val="000D1AA3"/>
    <w:rsid w:val="000D1C50"/>
    <w:rsid w:val="000D1DFF"/>
    <w:rsid w:val="000D1F86"/>
    <w:rsid w:val="000D20CC"/>
    <w:rsid w:val="000D22CA"/>
    <w:rsid w:val="000D2ACD"/>
    <w:rsid w:val="000D35C1"/>
    <w:rsid w:val="000D35E2"/>
    <w:rsid w:val="000D37D2"/>
    <w:rsid w:val="000D3F0D"/>
    <w:rsid w:val="000D4558"/>
    <w:rsid w:val="000D4B4A"/>
    <w:rsid w:val="000D52D2"/>
    <w:rsid w:val="000D5B09"/>
    <w:rsid w:val="000D6E95"/>
    <w:rsid w:val="000D6FFE"/>
    <w:rsid w:val="000D7304"/>
    <w:rsid w:val="000D7610"/>
    <w:rsid w:val="000D7B7E"/>
    <w:rsid w:val="000D7D21"/>
    <w:rsid w:val="000D7FB3"/>
    <w:rsid w:val="000E0096"/>
    <w:rsid w:val="000E0176"/>
    <w:rsid w:val="000E049A"/>
    <w:rsid w:val="000E0D34"/>
    <w:rsid w:val="000E1149"/>
    <w:rsid w:val="000E1A24"/>
    <w:rsid w:val="000E1C88"/>
    <w:rsid w:val="000E1F77"/>
    <w:rsid w:val="000E2471"/>
    <w:rsid w:val="000E2AAC"/>
    <w:rsid w:val="000E2BBC"/>
    <w:rsid w:val="000E30C0"/>
    <w:rsid w:val="000E331F"/>
    <w:rsid w:val="000E33A6"/>
    <w:rsid w:val="000E3895"/>
    <w:rsid w:val="000E3B9C"/>
    <w:rsid w:val="000E3DBD"/>
    <w:rsid w:val="000E3FE0"/>
    <w:rsid w:val="000E494D"/>
    <w:rsid w:val="000E4CB3"/>
    <w:rsid w:val="000E4DF0"/>
    <w:rsid w:val="000E5593"/>
    <w:rsid w:val="000E5EFB"/>
    <w:rsid w:val="000E6B43"/>
    <w:rsid w:val="000E6E9B"/>
    <w:rsid w:val="000E6EE4"/>
    <w:rsid w:val="000E71F8"/>
    <w:rsid w:val="000E799C"/>
    <w:rsid w:val="000E7B1F"/>
    <w:rsid w:val="000E7EB6"/>
    <w:rsid w:val="000F02A9"/>
    <w:rsid w:val="000F03D8"/>
    <w:rsid w:val="000F04CC"/>
    <w:rsid w:val="000F0C7E"/>
    <w:rsid w:val="000F0F1F"/>
    <w:rsid w:val="000F1029"/>
    <w:rsid w:val="000F1358"/>
    <w:rsid w:val="000F1AF5"/>
    <w:rsid w:val="000F1B9B"/>
    <w:rsid w:val="000F2054"/>
    <w:rsid w:val="000F2CD4"/>
    <w:rsid w:val="000F2D53"/>
    <w:rsid w:val="000F2E9A"/>
    <w:rsid w:val="000F2F2A"/>
    <w:rsid w:val="000F397B"/>
    <w:rsid w:val="000F44BF"/>
    <w:rsid w:val="000F487C"/>
    <w:rsid w:val="000F4AE9"/>
    <w:rsid w:val="000F4ED8"/>
    <w:rsid w:val="000F565B"/>
    <w:rsid w:val="000F67FE"/>
    <w:rsid w:val="000F6AD3"/>
    <w:rsid w:val="000F6FBD"/>
    <w:rsid w:val="00100234"/>
    <w:rsid w:val="001008BD"/>
    <w:rsid w:val="00100E12"/>
    <w:rsid w:val="00101580"/>
    <w:rsid w:val="00101BCB"/>
    <w:rsid w:val="0010206F"/>
    <w:rsid w:val="001024B9"/>
    <w:rsid w:val="00102D03"/>
    <w:rsid w:val="00103627"/>
    <w:rsid w:val="00103D29"/>
    <w:rsid w:val="00103EA3"/>
    <w:rsid w:val="00103EB3"/>
    <w:rsid w:val="00103F35"/>
    <w:rsid w:val="00104041"/>
    <w:rsid w:val="00104487"/>
    <w:rsid w:val="001044F1"/>
    <w:rsid w:val="00105013"/>
    <w:rsid w:val="0010504E"/>
    <w:rsid w:val="001053CC"/>
    <w:rsid w:val="001055CC"/>
    <w:rsid w:val="001056B7"/>
    <w:rsid w:val="00105B4F"/>
    <w:rsid w:val="001063B7"/>
    <w:rsid w:val="001072C7"/>
    <w:rsid w:val="00107A55"/>
    <w:rsid w:val="00107EC3"/>
    <w:rsid w:val="00107F4A"/>
    <w:rsid w:val="00110557"/>
    <w:rsid w:val="0011060C"/>
    <w:rsid w:val="00110FEC"/>
    <w:rsid w:val="001110CA"/>
    <w:rsid w:val="00111433"/>
    <w:rsid w:val="00111487"/>
    <w:rsid w:val="001114BC"/>
    <w:rsid w:val="001118B5"/>
    <w:rsid w:val="00111C51"/>
    <w:rsid w:val="00111E04"/>
    <w:rsid w:val="00111F20"/>
    <w:rsid w:val="00112CC8"/>
    <w:rsid w:val="00114668"/>
    <w:rsid w:val="00114967"/>
    <w:rsid w:val="00114F11"/>
    <w:rsid w:val="0011579C"/>
    <w:rsid w:val="0011611B"/>
    <w:rsid w:val="00116574"/>
    <w:rsid w:val="00116778"/>
    <w:rsid w:val="00116D36"/>
    <w:rsid w:val="00116F87"/>
    <w:rsid w:val="00117059"/>
    <w:rsid w:val="00117380"/>
    <w:rsid w:val="001201FA"/>
    <w:rsid w:val="001202A1"/>
    <w:rsid w:val="00120ABA"/>
    <w:rsid w:val="00120D43"/>
    <w:rsid w:val="0012143D"/>
    <w:rsid w:val="00121ADB"/>
    <w:rsid w:val="0012273B"/>
    <w:rsid w:val="0012344E"/>
    <w:rsid w:val="00123BE0"/>
    <w:rsid w:val="00123E78"/>
    <w:rsid w:val="00124CDF"/>
    <w:rsid w:val="00124DC6"/>
    <w:rsid w:val="00124EFA"/>
    <w:rsid w:val="001250DA"/>
    <w:rsid w:val="00125125"/>
    <w:rsid w:val="001258B9"/>
    <w:rsid w:val="00125BB4"/>
    <w:rsid w:val="00125D60"/>
    <w:rsid w:val="00125E7A"/>
    <w:rsid w:val="00126BB8"/>
    <w:rsid w:val="00126CA7"/>
    <w:rsid w:val="00127723"/>
    <w:rsid w:val="00127CBB"/>
    <w:rsid w:val="00130529"/>
    <w:rsid w:val="0013053A"/>
    <w:rsid w:val="00131CA0"/>
    <w:rsid w:val="00131EC7"/>
    <w:rsid w:val="001323FE"/>
    <w:rsid w:val="001324F7"/>
    <w:rsid w:val="0013286C"/>
    <w:rsid w:val="00132EDF"/>
    <w:rsid w:val="001331AC"/>
    <w:rsid w:val="0013362C"/>
    <w:rsid w:val="001338D7"/>
    <w:rsid w:val="00133942"/>
    <w:rsid w:val="00134025"/>
    <w:rsid w:val="001340FE"/>
    <w:rsid w:val="001343E9"/>
    <w:rsid w:val="0013467F"/>
    <w:rsid w:val="00134A0C"/>
    <w:rsid w:val="001356C3"/>
    <w:rsid w:val="001358AA"/>
    <w:rsid w:val="00135920"/>
    <w:rsid w:val="00135B0A"/>
    <w:rsid w:val="00135E3D"/>
    <w:rsid w:val="00135E84"/>
    <w:rsid w:val="001361DC"/>
    <w:rsid w:val="001362A2"/>
    <w:rsid w:val="00136372"/>
    <w:rsid w:val="00136B38"/>
    <w:rsid w:val="0013710A"/>
    <w:rsid w:val="001372CC"/>
    <w:rsid w:val="001379B6"/>
    <w:rsid w:val="00140436"/>
    <w:rsid w:val="0014049F"/>
    <w:rsid w:val="001405CF"/>
    <w:rsid w:val="00140F20"/>
    <w:rsid w:val="001410C6"/>
    <w:rsid w:val="00141390"/>
    <w:rsid w:val="001422C0"/>
    <w:rsid w:val="001425E5"/>
    <w:rsid w:val="00142AAE"/>
    <w:rsid w:val="00142B20"/>
    <w:rsid w:val="00142C15"/>
    <w:rsid w:val="00142D75"/>
    <w:rsid w:val="00143187"/>
    <w:rsid w:val="0014502C"/>
    <w:rsid w:val="001450A2"/>
    <w:rsid w:val="0014559B"/>
    <w:rsid w:val="00145750"/>
    <w:rsid w:val="0014666E"/>
    <w:rsid w:val="00146CFB"/>
    <w:rsid w:val="0014740C"/>
    <w:rsid w:val="00147459"/>
    <w:rsid w:val="001474ED"/>
    <w:rsid w:val="00147603"/>
    <w:rsid w:val="00147D4E"/>
    <w:rsid w:val="001503EF"/>
    <w:rsid w:val="00150602"/>
    <w:rsid w:val="001511EC"/>
    <w:rsid w:val="001514CE"/>
    <w:rsid w:val="0015191F"/>
    <w:rsid w:val="00151ACC"/>
    <w:rsid w:val="00151E9B"/>
    <w:rsid w:val="00151FE6"/>
    <w:rsid w:val="0015264A"/>
    <w:rsid w:val="001530DA"/>
    <w:rsid w:val="001531DE"/>
    <w:rsid w:val="0015322B"/>
    <w:rsid w:val="00153335"/>
    <w:rsid w:val="00153BAE"/>
    <w:rsid w:val="00154867"/>
    <w:rsid w:val="00154959"/>
    <w:rsid w:val="00154B1A"/>
    <w:rsid w:val="00154F83"/>
    <w:rsid w:val="001561EC"/>
    <w:rsid w:val="00156733"/>
    <w:rsid w:val="001567D9"/>
    <w:rsid w:val="00156D58"/>
    <w:rsid w:val="001571C9"/>
    <w:rsid w:val="00157566"/>
    <w:rsid w:val="001575E8"/>
    <w:rsid w:val="00157618"/>
    <w:rsid w:val="00157E14"/>
    <w:rsid w:val="0016127D"/>
    <w:rsid w:val="00161817"/>
    <w:rsid w:val="00161B10"/>
    <w:rsid w:val="00162002"/>
    <w:rsid w:val="00162357"/>
    <w:rsid w:val="00162503"/>
    <w:rsid w:val="00162D3F"/>
    <w:rsid w:val="001631BC"/>
    <w:rsid w:val="00163BD0"/>
    <w:rsid w:val="00163CEB"/>
    <w:rsid w:val="00164D10"/>
    <w:rsid w:val="00164F58"/>
    <w:rsid w:val="00165EEA"/>
    <w:rsid w:val="0016675D"/>
    <w:rsid w:val="00166A96"/>
    <w:rsid w:val="00166EF6"/>
    <w:rsid w:val="0016739E"/>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9D1"/>
    <w:rsid w:val="00172B73"/>
    <w:rsid w:val="00172C26"/>
    <w:rsid w:val="00172E6A"/>
    <w:rsid w:val="00172F4E"/>
    <w:rsid w:val="0017312E"/>
    <w:rsid w:val="00173327"/>
    <w:rsid w:val="00173585"/>
    <w:rsid w:val="0017460D"/>
    <w:rsid w:val="00174DB4"/>
    <w:rsid w:val="0017549A"/>
    <w:rsid w:val="00175604"/>
    <w:rsid w:val="00175A77"/>
    <w:rsid w:val="00175B7F"/>
    <w:rsid w:val="0017631F"/>
    <w:rsid w:val="0017678F"/>
    <w:rsid w:val="00176B8C"/>
    <w:rsid w:val="001771EB"/>
    <w:rsid w:val="001773A5"/>
    <w:rsid w:val="001775A4"/>
    <w:rsid w:val="001777D3"/>
    <w:rsid w:val="00180200"/>
    <w:rsid w:val="001808A2"/>
    <w:rsid w:val="00180D5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538C"/>
    <w:rsid w:val="0018567B"/>
    <w:rsid w:val="00186108"/>
    <w:rsid w:val="001861EA"/>
    <w:rsid w:val="0018649E"/>
    <w:rsid w:val="00186512"/>
    <w:rsid w:val="00186837"/>
    <w:rsid w:val="00186AC7"/>
    <w:rsid w:val="00186E80"/>
    <w:rsid w:val="001871F2"/>
    <w:rsid w:val="0018727C"/>
    <w:rsid w:val="00187CC9"/>
    <w:rsid w:val="00187D1E"/>
    <w:rsid w:val="001905F1"/>
    <w:rsid w:val="0019071E"/>
    <w:rsid w:val="00190809"/>
    <w:rsid w:val="001908BB"/>
    <w:rsid w:val="0019090F"/>
    <w:rsid w:val="00190F11"/>
    <w:rsid w:val="001913A6"/>
    <w:rsid w:val="0019239B"/>
    <w:rsid w:val="00192410"/>
    <w:rsid w:val="001931A0"/>
    <w:rsid w:val="0019340F"/>
    <w:rsid w:val="00193CCB"/>
    <w:rsid w:val="00193F48"/>
    <w:rsid w:val="0019444B"/>
    <w:rsid w:val="00194E6F"/>
    <w:rsid w:val="0019510E"/>
    <w:rsid w:val="001952E2"/>
    <w:rsid w:val="00195DAD"/>
    <w:rsid w:val="00196188"/>
    <w:rsid w:val="00196608"/>
    <w:rsid w:val="00196A31"/>
    <w:rsid w:val="00196D4E"/>
    <w:rsid w:val="00197044"/>
    <w:rsid w:val="001970B9"/>
    <w:rsid w:val="001973A5"/>
    <w:rsid w:val="00197522"/>
    <w:rsid w:val="001977F4"/>
    <w:rsid w:val="00197A4B"/>
    <w:rsid w:val="001A014A"/>
    <w:rsid w:val="001A0375"/>
    <w:rsid w:val="001A0D64"/>
    <w:rsid w:val="001A0FBA"/>
    <w:rsid w:val="001A10FF"/>
    <w:rsid w:val="001A1159"/>
    <w:rsid w:val="001A1C2D"/>
    <w:rsid w:val="001A1FA3"/>
    <w:rsid w:val="001A2B3B"/>
    <w:rsid w:val="001A2D60"/>
    <w:rsid w:val="001A3288"/>
    <w:rsid w:val="001A3ECA"/>
    <w:rsid w:val="001A4B34"/>
    <w:rsid w:val="001A4B58"/>
    <w:rsid w:val="001A4DDE"/>
    <w:rsid w:val="001A4FA6"/>
    <w:rsid w:val="001A57C8"/>
    <w:rsid w:val="001A5BA5"/>
    <w:rsid w:val="001A6984"/>
    <w:rsid w:val="001A6AB5"/>
    <w:rsid w:val="001A756E"/>
    <w:rsid w:val="001A77DE"/>
    <w:rsid w:val="001A7B35"/>
    <w:rsid w:val="001A7E4C"/>
    <w:rsid w:val="001B1B0D"/>
    <w:rsid w:val="001B1C17"/>
    <w:rsid w:val="001B2544"/>
    <w:rsid w:val="001B277D"/>
    <w:rsid w:val="001B2C66"/>
    <w:rsid w:val="001B309A"/>
    <w:rsid w:val="001B32AE"/>
    <w:rsid w:val="001B40E4"/>
    <w:rsid w:val="001B434A"/>
    <w:rsid w:val="001B47C6"/>
    <w:rsid w:val="001B4E0B"/>
    <w:rsid w:val="001B540A"/>
    <w:rsid w:val="001B572E"/>
    <w:rsid w:val="001B597E"/>
    <w:rsid w:val="001B5CE7"/>
    <w:rsid w:val="001B6C6C"/>
    <w:rsid w:val="001B6ED4"/>
    <w:rsid w:val="001B7001"/>
    <w:rsid w:val="001B72B2"/>
    <w:rsid w:val="001B7929"/>
    <w:rsid w:val="001C051E"/>
    <w:rsid w:val="001C073B"/>
    <w:rsid w:val="001C1007"/>
    <w:rsid w:val="001C177F"/>
    <w:rsid w:val="001C1C6A"/>
    <w:rsid w:val="001C1E6D"/>
    <w:rsid w:val="001C2A68"/>
    <w:rsid w:val="001C2D56"/>
    <w:rsid w:val="001C3119"/>
    <w:rsid w:val="001C3589"/>
    <w:rsid w:val="001C3D7A"/>
    <w:rsid w:val="001C4405"/>
    <w:rsid w:val="001C5063"/>
    <w:rsid w:val="001C540A"/>
    <w:rsid w:val="001C54FF"/>
    <w:rsid w:val="001C55CF"/>
    <w:rsid w:val="001C587C"/>
    <w:rsid w:val="001C5CD1"/>
    <w:rsid w:val="001C600C"/>
    <w:rsid w:val="001C621E"/>
    <w:rsid w:val="001C756D"/>
    <w:rsid w:val="001C7867"/>
    <w:rsid w:val="001C78C8"/>
    <w:rsid w:val="001C7B92"/>
    <w:rsid w:val="001C7CB9"/>
    <w:rsid w:val="001C7D64"/>
    <w:rsid w:val="001D0B63"/>
    <w:rsid w:val="001D0E69"/>
    <w:rsid w:val="001D1029"/>
    <w:rsid w:val="001D1163"/>
    <w:rsid w:val="001D1353"/>
    <w:rsid w:val="001D13F6"/>
    <w:rsid w:val="001D16C3"/>
    <w:rsid w:val="001D173A"/>
    <w:rsid w:val="001D1D9D"/>
    <w:rsid w:val="001D26B6"/>
    <w:rsid w:val="001D2A4B"/>
    <w:rsid w:val="001D2C4B"/>
    <w:rsid w:val="001D2D1A"/>
    <w:rsid w:val="001D3021"/>
    <w:rsid w:val="001D33E2"/>
    <w:rsid w:val="001D3567"/>
    <w:rsid w:val="001D44A7"/>
    <w:rsid w:val="001D45A9"/>
    <w:rsid w:val="001D4AE2"/>
    <w:rsid w:val="001D57CC"/>
    <w:rsid w:val="001D5843"/>
    <w:rsid w:val="001D5981"/>
    <w:rsid w:val="001D5C20"/>
    <w:rsid w:val="001D5D2F"/>
    <w:rsid w:val="001D63C7"/>
    <w:rsid w:val="001D68BB"/>
    <w:rsid w:val="001D6C10"/>
    <w:rsid w:val="001D6D08"/>
    <w:rsid w:val="001D740D"/>
    <w:rsid w:val="001D77BF"/>
    <w:rsid w:val="001E0053"/>
    <w:rsid w:val="001E185B"/>
    <w:rsid w:val="001E1EFA"/>
    <w:rsid w:val="001E21A6"/>
    <w:rsid w:val="001E22EC"/>
    <w:rsid w:val="001E2694"/>
    <w:rsid w:val="001E2729"/>
    <w:rsid w:val="001E2CFB"/>
    <w:rsid w:val="001E2E20"/>
    <w:rsid w:val="001E369D"/>
    <w:rsid w:val="001E3708"/>
    <w:rsid w:val="001E40CB"/>
    <w:rsid w:val="001E40FD"/>
    <w:rsid w:val="001E43D3"/>
    <w:rsid w:val="001E479F"/>
    <w:rsid w:val="001E527A"/>
    <w:rsid w:val="001E5579"/>
    <w:rsid w:val="001E5D7E"/>
    <w:rsid w:val="001E5E9F"/>
    <w:rsid w:val="001E6BF2"/>
    <w:rsid w:val="001E707B"/>
    <w:rsid w:val="001E7283"/>
    <w:rsid w:val="001E74C5"/>
    <w:rsid w:val="001F0147"/>
    <w:rsid w:val="001F04A0"/>
    <w:rsid w:val="001F0624"/>
    <w:rsid w:val="001F07C3"/>
    <w:rsid w:val="001F0F8A"/>
    <w:rsid w:val="001F12BF"/>
    <w:rsid w:val="001F186A"/>
    <w:rsid w:val="001F1882"/>
    <w:rsid w:val="001F1D1B"/>
    <w:rsid w:val="001F1D2B"/>
    <w:rsid w:val="001F2889"/>
    <w:rsid w:val="001F2CD8"/>
    <w:rsid w:val="001F3D48"/>
    <w:rsid w:val="001F4160"/>
    <w:rsid w:val="001F4939"/>
    <w:rsid w:val="001F4A89"/>
    <w:rsid w:val="001F4BB4"/>
    <w:rsid w:val="001F51BC"/>
    <w:rsid w:val="001F574E"/>
    <w:rsid w:val="001F61E5"/>
    <w:rsid w:val="001F629E"/>
    <w:rsid w:val="001F6589"/>
    <w:rsid w:val="001F6958"/>
    <w:rsid w:val="001F696A"/>
    <w:rsid w:val="001F702D"/>
    <w:rsid w:val="001F7343"/>
    <w:rsid w:val="001F74CA"/>
    <w:rsid w:val="001F78FD"/>
    <w:rsid w:val="00200E56"/>
    <w:rsid w:val="00201A7A"/>
    <w:rsid w:val="002023AC"/>
    <w:rsid w:val="0020251F"/>
    <w:rsid w:val="002027F7"/>
    <w:rsid w:val="00203645"/>
    <w:rsid w:val="00203822"/>
    <w:rsid w:val="00203CE8"/>
    <w:rsid w:val="00203DAC"/>
    <w:rsid w:val="00203EC9"/>
    <w:rsid w:val="00204381"/>
    <w:rsid w:val="002045FB"/>
    <w:rsid w:val="00204AD6"/>
    <w:rsid w:val="0020690A"/>
    <w:rsid w:val="00207941"/>
    <w:rsid w:val="00207AB1"/>
    <w:rsid w:val="00207C8A"/>
    <w:rsid w:val="0021031C"/>
    <w:rsid w:val="00210BAF"/>
    <w:rsid w:val="00210CDC"/>
    <w:rsid w:val="00211321"/>
    <w:rsid w:val="00211EF1"/>
    <w:rsid w:val="00212015"/>
    <w:rsid w:val="0021251F"/>
    <w:rsid w:val="00212599"/>
    <w:rsid w:val="002125C4"/>
    <w:rsid w:val="0021344D"/>
    <w:rsid w:val="00213484"/>
    <w:rsid w:val="00213C07"/>
    <w:rsid w:val="00213DF1"/>
    <w:rsid w:val="002141FD"/>
    <w:rsid w:val="0021468C"/>
    <w:rsid w:val="00214701"/>
    <w:rsid w:val="00214707"/>
    <w:rsid w:val="00214FD2"/>
    <w:rsid w:val="002156BE"/>
    <w:rsid w:val="00215EE6"/>
    <w:rsid w:val="00216F0F"/>
    <w:rsid w:val="00216F5F"/>
    <w:rsid w:val="0021799B"/>
    <w:rsid w:val="00217A81"/>
    <w:rsid w:val="00220017"/>
    <w:rsid w:val="00220748"/>
    <w:rsid w:val="002209B3"/>
    <w:rsid w:val="0022108C"/>
    <w:rsid w:val="0022112B"/>
    <w:rsid w:val="00222093"/>
    <w:rsid w:val="002220FD"/>
    <w:rsid w:val="002226A7"/>
    <w:rsid w:val="002227B7"/>
    <w:rsid w:val="00222849"/>
    <w:rsid w:val="00222CA8"/>
    <w:rsid w:val="00222D5B"/>
    <w:rsid w:val="00222DFC"/>
    <w:rsid w:val="00222EDD"/>
    <w:rsid w:val="00223024"/>
    <w:rsid w:val="002237A2"/>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83E"/>
    <w:rsid w:val="00227B0B"/>
    <w:rsid w:val="00227D35"/>
    <w:rsid w:val="0023038C"/>
    <w:rsid w:val="00231568"/>
    <w:rsid w:val="00232BED"/>
    <w:rsid w:val="00232C01"/>
    <w:rsid w:val="00232E7A"/>
    <w:rsid w:val="002334C2"/>
    <w:rsid w:val="00233619"/>
    <w:rsid w:val="00233A04"/>
    <w:rsid w:val="00233B85"/>
    <w:rsid w:val="00233C2B"/>
    <w:rsid w:val="0023443B"/>
    <w:rsid w:val="0023460C"/>
    <w:rsid w:val="002346EE"/>
    <w:rsid w:val="00234E63"/>
    <w:rsid w:val="00234E66"/>
    <w:rsid w:val="0023518D"/>
    <w:rsid w:val="00235409"/>
    <w:rsid w:val="002356B8"/>
    <w:rsid w:val="0023597F"/>
    <w:rsid w:val="00236965"/>
    <w:rsid w:val="00237261"/>
    <w:rsid w:val="00237DAF"/>
    <w:rsid w:val="00240032"/>
    <w:rsid w:val="002403B6"/>
    <w:rsid w:val="00240A99"/>
    <w:rsid w:val="00241BC4"/>
    <w:rsid w:val="00241C05"/>
    <w:rsid w:val="00241F3D"/>
    <w:rsid w:val="00242182"/>
    <w:rsid w:val="0024224F"/>
    <w:rsid w:val="00242366"/>
    <w:rsid w:val="00242439"/>
    <w:rsid w:val="002427B2"/>
    <w:rsid w:val="00242C36"/>
    <w:rsid w:val="0024360A"/>
    <w:rsid w:val="00243E04"/>
    <w:rsid w:val="0024445E"/>
    <w:rsid w:val="00244662"/>
    <w:rsid w:val="00245207"/>
    <w:rsid w:val="0024536D"/>
    <w:rsid w:val="0024546A"/>
    <w:rsid w:val="00246320"/>
    <w:rsid w:val="002467BE"/>
    <w:rsid w:val="00246E30"/>
    <w:rsid w:val="00246F11"/>
    <w:rsid w:val="0024770C"/>
    <w:rsid w:val="00247B22"/>
    <w:rsid w:val="00247D75"/>
    <w:rsid w:val="00247EF7"/>
    <w:rsid w:val="00247F05"/>
    <w:rsid w:val="002501BA"/>
    <w:rsid w:val="00250EED"/>
    <w:rsid w:val="00251283"/>
    <w:rsid w:val="002515AB"/>
    <w:rsid w:val="00251D27"/>
    <w:rsid w:val="00251E03"/>
    <w:rsid w:val="0025242E"/>
    <w:rsid w:val="0025290A"/>
    <w:rsid w:val="00253148"/>
    <w:rsid w:val="0025333D"/>
    <w:rsid w:val="00253401"/>
    <w:rsid w:val="0025372A"/>
    <w:rsid w:val="00253850"/>
    <w:rsid w:val="00253AD6"/>
    <w:rsid w:val="00253AE7"/>
    <w:rsid w:val="00254B6C"/>
    <w:rsid w:val="00255739"/>
    <w:rsid w:val="0025598A"/>
    <w:rsid w:val="00255D9B"/>
    <w:rsid w:val="00255DE7"/>
    <w:rsid w:val="002563F5"/>
    <w:rsid w:val="00256481"/>
    <w:rsid w:val="0025664C"/>
    <w:rsid w:val="0025667C"/>
    <w:rsid w:val="00256DEF"/>
    <w:rsid w:val="0025720C"/>
    <w:rsid w:val="00257218"/>
    <w:rsid w:val="00257D55"/>
    <w:rsid w:val="0026009C"/>
    <w:rsid w:val="00260266"/>
    <w:rsid w:val="002605C2"/>
    <w:rsid w:val="00260636"/>
    <w:rsid w:val="00260B1E"/>
    <w:rsid w:val="00260DC7"/>
    <w:rsid w:val="00260EC5"/>
    <w:rsid w:val="00260FBE"/>
    <w:rsid w:val="00261A2A"/>
    <w:rsid w:val="00261BFC"/>
    <w:rsid w:val="00262215"/>
    <w:rsid w:val="002629C3"/>
    <w:rsid w:val="00262BED"/>
    <w:rsid w:val="00262C9C"/>
    <w:rsid w:val="00262F5B"/>
    <w:rsid w:val="002638DF"/>
    <w:rsid w:val="00263ABF"/>
    <w:rsid w:val="00263F83"/>
    <w:rsid w:val="00264050"/>
    <w:rsid w:val="00264367"/>
    <w:rsid w:val="0026441B"/>
    <w:rsid w:val="00264511"/>
    <w:rsid w:val="00264D7F"/>
    <w:rsid w:val="00264F06"/>
    <w:rsid w:val="0026593F"/>
    <w:rsid w:val="002666B0"/>
    <w:rsid w:val="00266DA5"/>
    <w:rsid w:val="00267198"/>
    <w:rsid w:val="0026721F"/>
    <w:rsid w:val="002674BE"/>
    <w:rsid w:val="00267544"/>
    <w:rsid w:val="002676F3"/>
    <w:rsid w:val="002708EB"/>
    <w:rsid w:val="00270E7C"/>
    <w:rsid w:val="00270F38"/>
    <w:rsid w:val="0027122A"/>
    <w:rsid w:val="00271306"/>
    <w:rsid w:val="00271699"/>
    <w:rsid w:val="00271C16"/>
    <w:rsid w:val="00271EE8"/>
    <w:rsid w:val="00272844"/>
    <w:rsid w:val="002729A4"/>
    <w:rsid w:val="00272C33"/>
    <w:rsid w:val="00272D1D"/>
    <w:rsid w:val="00273CF6"/>
    <w:rsid w:val="00273FCB"/>
    <w:rsid w:val="002740B2"/>
    <w:rsid w:val="00274313"/>
    <w:rsid w:val="0027480E"/>
    <w:rsid w:val="00274B52"/>
    <w:rsid w:val="00274CE7"/>
    <w:rsid w:val="0027506B"/>
    <w:rsid w:val="00275477"/>
    <w:rsid w:val="002757DB"/>
    <w:rsid w:val="002760E8"/>
    <w:rsid w:val="002766A6"/>
    <w:rsid w:val="00276A9A"/>
    <w:rsid w:val="00276BA9"/>
    <w:rsid w:val="00276DD0"/>
    <w:rsid w:val="00276E53"/>
    <w:rsid w:val="00276E93"/>
    <w:rsid w:val="002773E6"/>
    <w:rsid w:val="002774C5"/>
    <w:rsid w:val="002779B7"/>
    <w:rsid w:val="002779BD"/>
    <w:rsid w:val="00277CEB"/>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CED"/>
    <w:rsid w:val="00285E47"/>
    <w:rsid w:val="00286350"/>
    <w:rsid w:val="002865AE"/>
    <w:rsid w:val="00286B85"/>
    <w:rsid w:val="0028718A"/>
    <w:rsid w:val="002874F6"/>
    <w:rsid w:val="002875C0"/>
    <w:rsid w:val="002876FE"/>
    <w:rsid w:val="00287E4F"/>
    <w:rsid w:val="00287F47"/>
    <w:rsid w:val="002905C2"/>
    <w:rsid w:val="00290CDD"/>
    <w:rsid w:val="00290E30"/>
    <w:rsid w:val="002916C3"/>
    <w:rsid w:val="00291EF1"/>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A6A"/>
    <w:rsid w:val="002960A6"/>
    <w:rsid w:val="002967F9"/>
    <w:rsid w:val="00296B66"/>
    <w:rsid w:val="002971EE"/>
    <w:rsid w:val="0029722D"/>
    <w:rsid w:val="0029796E"/>
    <w:rsid w:val="00297DE2"/>
    <w:rsid w:val="002A0196"/>
    <w:rsid w:val="002A0405"/>
    <w:rsid w:val="002A0448"/>
    <w:rsid w:val="002A142F"/>
    <w:rsid w:val="002A1431"/>
    <w:rsid w:val="002A1DA6"/>
    <w:rsid w:val="002A1FF0"/>
    <w:rsid w:val="002A21E9"/>
    <w:rsid w:val="002A2DB6"/>
    <w:rsid w:val="002A346E"/>
    <w:rsid w:val="002A36D6"/>
    <w:rsid w:val="002A3D79"/>
    <w:rsid w:val="002A40E1"/>
    <w:rsid w:val="002A49BD"/>
    <w:rsid w:val="002A53E1"/>
    <w:rsid w:val="002A5638"/>
    <w:rsid w:val="002A5897"/>
    <w:rsid w:val="002A5AC9"/>
    <w:rsid w:val="002A5F06"/>
    <w:rsid w:val="002A657C"/>
    <w:rsid w:val="002A687D"/>
    <w:rsid w:val="002A68F9"/>
    <w:rsid w:val="002A6AB6"/>
    <w:rsid w:val="002A6E19"/>
    <w:rsid w:val="002A6F49"/>
    <w:rsid w:val="002A6F6A"/>
    <w:rsid w:val="002A75BD"/>
    <w:rsid w:val="002A7AD0"/>
    <w:rsid w:val="002A7B8E"/>
    <w:rsid w:val="002A7D25"/>
    <w:rsid w:val="002B057A"/>
    <w:rsid w:val="002B0588"/>
    <w:rsid w:val="002B0706"/>
    <w:rsid w:val="002B0952"/>
    <w:rsid w:val="002B0DEE"/>
    <w:rsid w:val="002B0FC8"/>
    <w:rsid w:val="002B20CA"/>
    <w:rsid w:val="002B3154"/>
    <w:rsid w:val="002B39AA"/>
    <w:rsid w:val="002B3FDF"/>
    <w:rsid w:val="002B42DB"/>
    <w:rsid w:val="002B4431"/>
    <w:rsid w:val="002B4BA1"/>
    <w:rsid w:val="002B5269"/>
    <w:rsid w:val="002B57DD"/>
    <w:rsid w:val="002B5808"/>
    <w:rsid w:val="002B5D80"/>
    <w:rsid w:val="002B632F"/>
    <w:rsid w:val="002B635A"/>
    <w:rsid w:val="002B6767"/>
    <w:rsid w:val="002B67B2"/>
    <w:rsid w:val="002B76A3"/>
    <w:rsid w:val="002B78D7"/>
    <w:rsid w:val="002C002A"/>
    <w:rsid w:val="002C002D"/>
    <w:rsid w:val="002C011E"/>
    <w:rsid w:val="002C021D"/>
    <w:rsid w:val="002C074C"/>
    <w:rsid w:val="002C09B2"/>
    <w:rsid w:val="002C12A3"/>
    <w:rsid w:val="002C136F"/>
    <w:rsid w:val="002C1714"/>
    <w:rsid w:val="002C1D84"/>
    <w:rsid w:val="002C1ED2"/>
    <w:rsid w:val="002C1F1D"/>
    <w:rsid w:val="002C206F"/>
    <w:rsid w:val="002C21AC"/>
    <w:rsid w:val="002C274E"/>
    <w:rsid w:val="002C27A1"/>
    <w:rsid w:val="002C2BBF"/>
    <w:rsid w:val="002C2D82"/>
    <w:rsid w:val="002C2F79"/>
    <w:rsid w:val="002C3768"/>
    <w:rsid w:val="002C476A"/>
    <w:rsid w:val="002C4D71"/>
    <w:rsid w:val="002C517A"/>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3A8"/>
    <w:rsid w:val="002D15B3"/>
    <w:rsid w:val="002D1B6F"/>
    <w:rsid w:val="002D1CE4"/>
    <w:rsid w:val="002D1DF5"/>
    <w:rsid w:val="002D1E22"/>
    <w:rsid w:val="002D1E9C"/>
    <w:rsid w:val="002D21B0"/>
    <w:rsid w:val="002D2B77"/>
    <w:rsid w:val="002D3179"/>
    <w:rsid w:val="002D36A2"/>
    <w:rsid w:val="002D3DAB"/>
    <w:rsid w:val="002D4469"/>
    <w:rsid w:val="002D5211"/>
    <w:rsid w:val="002D52E8"/>
    <w:rsid w:val="002D5394"/>
    <w:rsid w:val="002D5453"/>
    <w:rsid w:val="002D5F08"/>
    <w:rsid w:val="002D6282"/>
    <w:rsid w:val="002D721D"/>
    <w:rsid w:val="002D73B5"/>
    <w:rsid w:val="002D7839"/>
    <w:rsid w:val="002D7F79"/>
    <w:rsid w:val="002E014D"/>
    <w:rsid w:val="002E02C1"/>
    <w:rsid w:val="002E0302"/>
    <w:rsid w:val="002E068E"/>
    <w:rsid w:val="002E0AA8"/>
    <w:rsid w:val="002E0E55"/>
    <w:rsid w:val="002E16BB"/>
    <w:rsid w:val="002E1763"/>
    <w:rsid w:val="002E1EBF"/>
    <w:rsid w:val="002E2464"/>
    <w:rsid w:val="002E30E0"/>
    <w:rsid w:val="002E358C"/>
    <w:rsid w:val="002E403E"/>
    <w:rsid w:val="002E4A43"/>
    <w:rsid w:val="002E4CDC"/>
    <w:rsid w:val="002E4F05"/>
    <w:rsid w:val="002E53E7"/>
    <w:rsid w:val="002E572A"/>
    <w:rsid w:val="002E60B6"/>
    <w:rsid w:val="002E65A3"/>
    <w:rsid w:val="002E6712"/>
    <w:rsid w:val="002E697B"/>
    <w:rsid w:val="002E6A73"/>
    <w:rsid w:val="002E7476"/>
    <w:rsid w:val="002E7C5C"/>
    <w:rsid w:val="002E7D30"/>
    <w:rsid w:val="002F015D"/>
    <w:rsid w:val="002F01FD"/>
    <w:rsid w:val="002F0271"/>
    <w:rsid w:val="002F0EBD"/>
    <w:rsid w:val="002F0FB3"/>
    <w:rsid w:val="002F106F"/>
    <w:rsid w:val="002F1104"/>
    <w:rsid w:val="002F14BD"/>
    <w:rsid w:val="002F19E5"/>
    <w:rsid w:val="002F1FF7"/>
    <w:rsid w:val="002F2411"/>
    <w:rsid w:val="002F291B"/>
    <w:rsid w:val="002F3053"/>
    <w:rsid w:val="002F32AF"/>
    <w:rsid w:val="002F3623"/>
    <w:rsid w:val="002F4137"/>
    <w:rsid w:val="002F4AFE"/>
    <w:rsid w:val="002F50B3"/>
    <w:rsid w:val="002F530F"/>
    <w:rsid w:val="002F5373"/>
    <w:rsid w:val="002F5423"/>
    <w:rsid w:val="002F54DE"/>
    <w:rsid w:val="002F56C3"/>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FF7"/>
    <w:rsid w:val="00305197"/>
    <w:rsid w:val="0030582E"/>
    <w:rsid w:val="00305A1C"/>
    <w:rsid w:val="003064BF"/>
    <w:rsid w:val="00306DBF"/>
    <w:rsid w:val="00307526"/>
    <w:rsid w:val="003075AA"/>
    <w:rsid w:val="00307C8D"/>
    <w:rsid w:val="00310170"/>
    <w:rsid w:val="00310341"/>
    <w:rsid w:val="00310A2C"/>
    <w:rsid w:val="003110A4"/>
    <w:rsid w:val="00311E88"/>
    <w:rsid w:val="00312552"/>
    <w:rsid w:val="00312A26"/>
    <w:rsid w:val="00312DAD"/>
    <w:rsid w:val="00312ED6"/>
    <w:rsid w:val="0031309F"/>
    <w:rsid w:val="0031367B"/>
    <w:rsid w:val="00313945"/>
    <w:rsid w:val="00313B40"/>
    <w:rsid w:val="00313D72"/>
    <w:rsid w:val="00314638"/>
    <w:rsid w:val="0031489E"/>
    <w:rsid w:val="00314A40"/>
    <w:rsid w:val="00315571"/>
    <w:rsid w:val="00315821"/>
    <w:rsid w:val="003159C0"/>
    <w:rsid w:val="00315A2F"/>
    <w:rsid w:val="00315BBB"/>
    <w:rsid w:val="00315D02"/>
    <w:rsid w:val="00316019"/>
    <w:rsid w:val="0031675E"/>
    <w:rsid w:val="00316CD0"/>
    <w:rsid w:val="00316DD2"/>
    <w:rsid w:val="00316F33"/>
    <w:rsid w:val="00317FC5"/>
    <w:rsid w:val="0032045D"/>
    <w:rsid w:val="0032096B"/>
    <w:rsid w:val="003217C8"/>
    <w:rsid w:val="003219EB"/>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8E"/>
    <w:rsid w:val="00325BB0"/>
    <w:rsid w:val="00325C9B"/>
    <w:rsid w:val="00325F96"/>
    <w:rsid w:val="0032659D"/>
    <w:rsid w:val="00326741"/>
    <w:rsid w:val="00326889"/>
    <w:rsid w:val="00326EC6"/>
    <w:rsid w:val="0032736F"/>
    <w:rsid w:val="0032752E"/>
    <w:rsid w:val="00327659"/>
    <w:rsid w:val="00327871"/>
    <w:rsid w:val="00327E8B"/>
    <w:rsid w:val="00330145"/>
    <w:rsid w:val="0033018A"/>
    <w:rsid w:val="003308A2"/>
    <w:rsid w:val="00331A0D"/>
    <w:rsid w:val="00331B4B"/>
    <w:rsid w:val="00331F7F"/>
    <w:rsid w:val="003323CC"/>
    <w:rsid w:val="003329CB"/>
    <w:rsid w:val="00332FAB"/>
    <w:rsid w:val="00333369"/>
    <w:rsid w:val="00333859"/>
    <w:rsid w:val="00334A54"/>
    <w:rsid w:val="00334B03"/>
    <w:rsid w:val="00334B2C"/>
    <w:rsid w:val="00334CBE"/>
    <w:rsid w:val="00334D7E"/>
    <w:rsid w:val="0033547C"/>
    <w:rsid w:val="003355DD"/>
    <w:rsid w:val="00335B0F"/>
    <w:rsid w:val="0033640A"/>
    <w:rsid w:val="0033642C"/>
    <w:rsid w:val="00336A61"/>
    <w:rsid w:val="00336C58"/>
    <w:rsid w:val="00336D85"/>
    <w:rsid w:val="00340519"/>
    <w:rsid w:val="00340824"/>
    <w:rsid w:val="00340BEC"/>
    <w:rsid w:val="00340D32"/>
    <w:rsid w:val="003413A6"/>
    <w:rsid w:val="003416B7"/>
    <w:rsid w:val="00341961"/>
    <w:rsid w:val="003421CD"/>
    <w:rsid w:val="003422F0"/>
    <w:rsid w:val="0034260F"/>
    <w:rsid w:val="0034297F"/>
    <w:rsid w:val="00343795"/>
    <w:rsid w:val="0034451C"/>
    <w:rsid w:val="00344986"/>
    <w:rsid w:val="00344C79"/>
    <w:rsid w:val="00344FF1"/>
    <w:rsid w:val="003452F8"/>
    <w:rsid w:val="00345352"/>
    <w:rsid w:val="00345569"/>
    <w:rsid w:val="00345849"/>
    <w:rsid w:val="00345A01"/>
    <w:rsid w:val="00345E61"/>
    <w:rsid w:val="00345E69"/>
    <w:rsid w:val="003460E0"/>
    <w:rsid w:val="0034614B"/>
    <w:rsid w:val="003467D3"/>
    <w:rsid w:val="0034690D"/>
    <w:rsid w:val="00346AD4"/>
    <w:rsid w:val="003477BE"/>
    <w:rsid w:val="00347D2E"/>
    <w:rsid w:val="00350ADD"/>
    <w:rsid w:val="003510D2"/>
    <w:rsid w:val="00351C11"/>
    <w:rsid w:val="00351C3E"/>
    <w:rsid w:val="00351DA0"/>
    <w:rsid w:val="00351EB8"/>
    <w:rsid w:val="00352578"/>
    <w:rsid w:val="003527E0"/>
    <w:rsid w:val="00352A91"/>
    <w:rsid w:val="00352E68"/>
    <w:rsid w:val="0035311A"/>
    <w:rsid w:val="0035316A"/>
    <w:rsid w:val="00353303"/>
    <w:rsid w:val="00353579"/>
    <w:rsid w:val="0035362D"/>
    <w:rsid w:val="0035386E"/>
    <w:rsid w:val="0035406F"/>
    <w:rsid w:val="0035448E"/>
    <w:rsid w:val="00354722"/>
    <w:rsid w:val="00354B5A"/>
    <w:rsid w:val="00354E3A"/>
    <w:rsid w:val="003557A3"/>
    <w:rsid w:val="00355CAF"/>
    <w:rsid w:val="00356EF6"/>
    <w:rsid w:val="0035724F"/>
    <w:rsid w:val="003572BE"/>
    <w:rsid w:val="00357990"/>
    <w:rsid w:val="00360517"/>
    <w:rsid w:val="00360F2C"/>
    <w:rsid w:val="00360F57"/>
    <w:rsid w:val="003621DB"/>
    <w:rsid w:val="003634AC"/>
    <w:rsid w:val="0036389C"/>
    <w:rsid w:val="00363AC1"/>
    <w:rsid w:val="0036409F"/>
    <w:rsid w:val="0036433A"/>
    <w:rsid w:val="003648D3"/>
    <w:rsid w:val="00364DCE"/>
    <w:rsid w:val="003651A9"/>
    <w:rsid w:val="00365C65"/>
    <w:rsid w:val="00365D2D"/>
    <w:rsid w:val="00365DFC"/>
    <w:rsid w:val="00365EAD"/>
    <w:rsid w:val="00365FAE"/>
    <w:rsid w:val="00366251"/>
    <w:rsid w:val="00366284"/>
    <w:rsid w:val="003666DB"/>
    <w:rsid w:val="00366791"/>
    <w:rsid w:val="00366CE0"/>
    <w:rsid w:val="003676D2"/>
    <w:rsid w:val="003677B9"/>
    <w:rsid w:val="003679AF"/>
    <w:rsid w:val="00370573"/>
    <w:rsid w:val="0037093A"/>
    <w:rsid w:val="003716E5"/>
    <w:rsid w:val="003720BA"/>
    <w:rsid w:val="003721A4"/>
    <w:rsid w:val="0037263A"/>
    <w:rsid w:val="003727C8"/>
    <w:rsid w:val="00372F02"/>
    <w:rsid w:val="00373244"/>
    <w:rsid w:val="003732FF"/>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D7B"/>
    <w:rsid w:val="00376AA9"/>
    <w:rsid w:val="0037765A"/>
    <w:rsid w:val="00377A57"/>
    <w:rsid w:val="00377D6E"/>
    <w:rsid w:val="00377FF2"/>
    <w:rsid w:val="0038009F"/>
    <w:rsid w:val="003800DE"/>
    <w:rsid w:val="003802E0"/>
    <w:rsid w:val="00380F2D"/>
    <w:rsid w:val="003815EE"/>
    <w:rsid w:val="00381A45"/>
    <w:rsid w:val="00381D96"/>
    <w:rsid w:val="00381E3B"/>
    <w:rsid w:val="003820FC"/>
    <w:rsid w:val="00382F39"/>
    <w:rsid w:val="0038326A"/>
    <w:rsid w:val="003832F7"/>
    <w:rsid w:val="00383AFB"/>
    <w:rsid w:val="00383E1F"/>
    <w:rsid w:val="00383EF9"/>
    <w:rsid w:val="00384392"/>
    <w:rsid w:val="00384E3D"/>
    <w:rsid w:val="00384E5F"/>
    <w:rsid w:val="00384E84"/>
    <w:rsid w:val="003857FD"/>
    <w:rsid w:val="00385F44"/>
    <w:rsid w:val="0038608B"/>
    <w:rsid w:val="0038708A"/>
    <w:rsid w:val="00387402"/>
    <w:rsid w:val="0038784D"/>
    <w:rsid w:val="00387A90"/>
    <w:rsid w:val="00387ADB"/>
    <w:rsid w:val="00387EA7"/>
    <w:rsid w:val="0039059E"/>
    <w:rsid w:val="0039068C"/>
    <w:rsid w:val="00390BBC"/>
    <w:rsid w:val="003913EE"/>
    <w:rsid w:val="003924A1"/>
    <w:rsid w:val="003925C6"/>
    <w:rsid w:val="00392745"/>
    <w:rsid w:val="003927D1"/>
    <w:rsid w:val="003929BE"/>
    <w:rsid w:val="00392E82"/>
    <w:rsid w:val="00392EF6"/>
    <w:rsid w:val="0039341B"/>
    <w:rsid w:val="00393461"/>
    <w:rsid w:val="003935EF"/>
    <w:rsid w:val="003936B1"/>
    <w:rsid w:val="00393A74"/>
    <w:rsid w:val="00393B70"/>
    <w:rsid w:val="00393F3E"/>
    <w:rsid w:val="0039409A"/>
    <w:rsid w:val="00394191"/>
    <w:rsid w:val="0039424E"/>
    <w:rsid w:val="003945FF"/>
    <w:rsid w:val="003948B8"/>
    <w:rsid w:val="00394A62"/>
    <w:rsid w:val="003957BA"/>
    <w:rsid w:val="003962C1"/>
    <w:rsid w:val="003965C2"/>
    <w:rsid w:val="00396626"/>
    <w:rsid w:val="003966BB"/>
    <w:rsid w:val="00396901"/>
    <w:rsid w:val="003969CE"/>
    <w:rsid w:val="00396EF1"/>
    <w:rsid w:val="0039773F"/>
    <w:rsid w:val="00397827"/>
    <w:rsid w:val="00397A70"/>
    <w:rsid w:val="00397AFB"/>
    <w:rsid w:val="003A0233"/>
    <w:rsid w:val="003A02EB"/>
    <w:rsid w:val="003A095D"/>
    <w:rsid w:val="003A12B3"/>
    <w:rsid w:val="003A181D"/>
    <w:rsid w:val="003A2108"/>
    <w:rsid w:val="003A2A80"/>
    <w:rsid w:val="003A2DD7"/>
    <w:rsid w:val="003A2FBF"/>
    <w:rsid w:val="003A30E3"/>
    <w:rsid w:val="003A3221"/>
    <w:rsid w:val="003A3B27"/>
    <w:rsid w:val="003A40D6"/>
    <w:rsid w:val="003A4333"/>
    <w:rsid w:val="003A4967"/>
    <w:rsid w:val="003A4DC6"/>
    <w:rsid w:val="003A4E24"/>
    <w:rsid w:val="003A50FA"/>
    <w:rsid w:val="003A5B3B"/>
    <w:rsid w:val="003A637F"/>
    <w:rsid w:val="003A64F9"/>
    <w:rsid w:val="003A678D"/>
    <w:rsid w:val="003A73C8"/>
    <w:rsid w:val="003A779F"/>
    <w:rsid w:val="003A78C1"/>
    <w:rsid w:val="003A7D49"/>
    <w:rsid w:val="003A7E98"/>
    <w:rsid w:val="003B02CA"/>
    <w:rsid w:val="003B07F3"/>
    <w:rsid w:val="003B08F3"/>
    <w:rsid w:val="003B09A2"/>
    <w:rsid w:val="003B0F0E"/>
    <w:rsid w:val="003B0FCE"/>
    <w:rsid w:val="003B1249"/>
    <w:rsid w:val="003B1646"/>
    <w:rsid w:val="003B16BD"/>
    <w:rsid w:val="003B1DB0"/>
    <w:rsid w:val="003B1FEF"/>
    <w:rsid w:val="003B265A"/>
    <w:rsid w:val="003B2BF3"/>
    <w:rsid w:val="003B2DBE"/>
    <w:rsid w:val="003B2EC6"/>
    <w:rsid w:val="003B331A"/>
    <w:rsid w:val="003B341D"/>
    <w:rsid w:val="003B36E5"/>
    <w:rsid w:val="003B36F7"/>
    <w:rsid w:val="003B3E3B"/>
    <w:rsid w:val="003B50E3"/>
    <w:rsid w:val="003B5109"/>
    <w:rsid w:val="003B527B"/>
    <w:rsid w:val="003B58A6"/>
    <w:rsid w:val="003B5B95"/>
    <w:rsid w:val="003B61AB"/>
    <w:rsid w:val="003B61BA"/>
    <w:rsid w:val="003B6A4F"/>
    <w:rsid w:val="003B6BD8"/>
    <w:rsid w:val="003B72CB"/>
    <w:rsid w:val="003B744C"/>
    <w:rsid w:val="003B7DEF"/>
    <w:rsid w:val="003C009A"/>
    <w:rsid w:val="003C00AF"/>
    <w:rsid w:val="003C0DFF"/>
    <w:rsid w:val="003C111A"/>
    <w:rsid w:val="003C1212"/>
    <w:rsid w:val="003C1369"/>
    <w:rsid w:val="003C13E1"/>
    <w:rsid w:val="003C1835"/>
    <w:rsid w:val="003C19D7"/>
    <w:rsid w:val="003C1B9A"/>
    <w:rsid w:val="003C1C7B"/>
    <w:rsid w:val="003C1E70"/>
    <w:rsid w:val="003C1E74"/>
    <w:rsid w:val="003C2140"/>
    <w:rsid w:val="003C227B"/>
    <w:rsid w:val="003C2325"/>
    <w:rsid w:val="003C283F"/>
    <w:rsid w:val="003C28BC"/>
    <w:rsid w:val="003C2C7C"/>
    <w:rsid w:val="003C2E93"/>
    <w:rsid w:val="003C48E2"/>
    <w:rsid w:val="003C4B2E"/>
    <w:rsid w:val="003C4B83"/>
    <w:rsid w:val="003C5A9C"/>
    <w:rsid w:val="003C6349"/>
    <w:rsid w:val="003C6364"/>
    <w:rsid w:val="003C6B0E"/>
    <w:rsid w:val="003C6C9A"/>
    <w:rsid w:val="003C6FF3"/>
    <w:rsid w:val="003C71A6"/>
    <w:rsid w:val="003C72D8"/>
    <w:rsid w:val="003C730D"/>
    <w:rsid w:val="003C78A0"/>
    <w:rsid w:val="003C7B3C"/>
    <w:rsid w:val="003D0090"/>
    <w:rsid w:val="003D0575"/>
    <w:rsid w:val="003D1490"/>
    <w:rsid w:val="003D14D9"/>
    <w:rsid w:val="003D18DD"/>
    <w:rsid w:val="003D1DA4"/>
    <w:rsid w:val="003D214C"/>
    <w:rsid w:val="003D2209"/>
    <w:rsid w:val="003D22CE"/>
    <w:rsid w:val="003D2A76"/>
    <w:rsid w:val="003D2ACC"/>
    <w:rsid w:val="003D2ADC"/>
    <w:rsid w:val="003D2FD6"/>
    <w:rsid w:val="003D3405"/>
    <w:rsid w:val="003D37F8"/>
    <w:rsid w:val="003D38B0"/>
    <w:rsid w:val="003D3EFA"/>
    <w:rsid w:val="003D3F82"/>
    <w:rsid w:val="003D417E"/>
    <w:rsid w:val="003D42FB"/>
    <w:rsid w:val="003D4357"/>
    <w:rsid w:val="003D43E7"/>
    <w:rsid w:val="003D4B43"/>
    <w:rsid w:val="003D5563"/>
    <w:rsid w:val="003D579E"/>
    <w:rsid w:val="003D5D41"/>
    <w:rsid w:val="003D6319"/>
    <w:rsid w:val="003D7B9D"/>
    <w:rsid w:val="003D7D6F"/>
    <w:rsid w:val="003E04F2"/>
    <w:rsid w:val="003E0C50"/>
    <w:rsid w:val="003E0DC0"/>
    <w:rsid w:val="003E1870"/>
    <w:rsid w:val="003E18EB"/>
    <w:rsid w:val="003E20D8"/>
    <w:rsid w:val="003E22AD"/>
    <w:rsid w:val="003E23BD"/>
    <w:rsid w:val="003E286E"/>
    <w:rsid w:val="003E2DDA"/>
    <w:rsid w:val="003E2FA7"/>
    <w:rsid w:val="003E311C"/>
    <w:rsid w:val="003E32C6"/>
    <w:rsid w:val="003E33AF"/>
    <w:rsid w:val="003E3420"/>
    <w:rsid w:val="003E35B7"/>
    <w:rsid w:val="003E362C"/>
    <w:rsid w:val="003E3896"/>
    <w:rsid w:val="003E3913"/>
    <w:rsid w:val="003E3D8C"/>
    <w:rsid w:val="003E3E06"/>
    <w:rsid w:val="003E44B6"/>
    <w:rsid w:val="003E4AF2"/>
    <w:rsid w:val="003E4F6D"/>
    <w:rsid w:val="003E4F80"/>
    <w:rsid w:val="003E52B2"/>
    <w:rsid w:val="003E537C"/>
    <w:rsid w:val="003E5C62"/>
    <w:rsid w:val="003E5E72"/>
    <w:rsid w:val="003E6297"/>
    <w:rsid w:val="003E66C0"/>
    <w:rsid w:val="003E68BB"/>
    <w:rsid w:val="003E7218"/>
    <w:rsid w:val="003E721D"/>
    <w:rsid w:val="003E7DC7"/>
    <w:rsid w:val="003E7FD1"/>
    <w:rsid w:val="003F00F4"/>
    <w:rsid w:val="003F012D"/>
    <w:rsid w:val="003F08BA"/>
    <w:rsid w:val="003F0C1D"/>
    <w:rsid w:val="003F0FCD"/>
    <w:rsid w:val="003F10FF"/>
    <w:rsid w:val="003F1162"/>
    <w:rsid w:val="003F11D9"/>
    <w:rsid w:val="003F13A3"/>
    <w:rsid w:val="003F2050"/>
    <w:rsid w:val="003F26F1"/>
    <w:rsid w:val="003F3C38"/>
    <w:rsid w:val="003F4529"/>
    <w:rsid w:val="003F45AB"/>
    <w:rsid w:val="003F51B1"/>
    <w:rsid w:val="003F568D"/>
    <w:rsid w:val="003F5B02"/>
    <w:rsid w:val="003F607B"/>
    <w:rsid w:val="003F657D"/>
    <w:rsid w:val="003F65AA"/>
    <w:rsid w:val="003F66B1"/>
    <w:rsid w:val="003F6C60"/>
    <w:rsid w:val="003F6F73"/>
    <w:rsid w:val="003F7152"/>
    <w:rsid w:val="003F7482"/>
    <w:rsid w:val="003F7667"/>
    <w:rsid w:val="00400238"/>
    <w:rsid w:val="00400953"/>
    <w:rsid w:val="00400AA0"/>
    <w:rsid w:val="00401079"/>
    <w:rsid w:val="00401DFF"/>
    <w:rsid w:val="004026EF"/>
    <w:rsid w:val="0040286E"/>
    <w:rsid w:val="00403C24"/>
    <w:rsid w:val="004043CE"/>
    <w:rsid w:val="0040458F"/>
    <w:rsid w:val="0040465C"/>
    <w:rsid w:val="00404834"/>
    <w:rsid w:val="00404B01"/>
    <w:rsid w:val="00404C17"/>
    <w:rsid w:val="00405099"/>
    <w:rsid w:val="00405145"/>
    <w:rsid w:val="004053ED"/>
    <w:rsid w:val="00405885"/>
    <w:rsid w:val="00405958"/>
    <w:rsid w:val="00405F15"/>
    <w:rsid w:val="004060CD"/>
    <w:rsid w:val="0040631E"/>
    <w:rsid w:val="004063BC"/>
    <w:rsid w:val="0040653E"/>
    <w:rsid w:val="00406AD2"/>
    <w:rsid w:val="00406B8A"/>
    <w:rsid w:val="00407A4A"/>
    <w:rsid w:val="00407F46"/>
    <w:rsid w:val="004100D0"/>
    <w:rsid w:val="004101B7"/>
    <w:rsid w:val="0041081C"/>
    <w:rsid w:val="00410C9E"/>
    <w:rsid w:val="00411500"/>
    <w:rsid w:val="00411CEF"/>
    <w:rsid w:val="0041232D"/>
    <w:rsid w:val="00412DD5"/>
    <w:rsid w:val="0041444A"/>
    <w:rsid w:val="00414664"/>
    <w:rsid w:val="00414DC3"/>
    <w:rsid w:val="0041543E"/>
    <w:rsid w:val="004156DA"/>
    <w:rsid w:val="00416E5D"/>
    <w:rsid w:val="00416E9E"/>
    <w:rsid w:val="00416F2B"/>
    <w:rsid w:val="00417312"/>
    <w:rsid w:val="0041776A"/>
    <w:rsid w:val="00417ACE"/>
    <w:rsid w:val="00417B6A"/>
    <w:rsid w:val="00417BD8"/>
    <w:rsid w:val="004200E3"/>
    <w:rsid w:val="0042061F"/>
    <w:rsid w:val="004210C3"/>
    <w:rsid w:val="00421C81"/>
    <w:rsid w:val="004222F7"/>
    <w:rsid w:val="00422C2A"/>
    <w:rsid w:val="004230C2"/>
    <w:rsid w:val="004232C3"/>
    <w:rsid w:val="00423558"/>
    <w:rsid w:val="00423780"/>
    <w:rsid w:val="00423975"/>
    <w:rsid w:val="0042468D"/>
    <w:rsid w:val="004249C7"/>
    <w:rsid w:val="00424A56"/>
    <w:rsid w:val="00424A73"/>
    <w:rsid w:val="00425354"/>
    <w:rsid w:val="0042594E"/>
    <w:rsid w:val="00425AB4"/>
    <w:rsid w:val="004262ED"/>
    <w:rsid w:val="00426463"/>
    <w:rsid w:val="004269AB"/>
    <w:rsid w:val="00426A4F"/>
    <w:rsid w:val="00426C1E"/>
    <w:rsid w:val="00426C35"/>
    <w:rsid w:val="00426D73"/>
    <w:rsid w:val="00426EFE"/>
    <w:rsid w:val="00427417"/>
    <w:rsid w:val="00427593"/>
    <w:rsid w:val="004305A7"/>
    <w:rsid w:val="00430B64"/>
    <w:rsid w:val="004311E6"/>
    <w:rsid w:val="0043139D"/>
    <w:rsid w:val="00431427"/>
    <w:rsid w:val="0043154F"/>
    <w:rsid w:val="004317F0"/>
    <w:rsid w:val="00431B9F"/>
    <w:rsid w:val="00431C7A"/>
    <w:rsid w:val="00431D49"/>
    <w:rsid w:val="0043204D"/>
    <w:rsid w:val="0043262C"/>
    <w:rsid w:val="00432F71"/>
    <w:rsid w:val="0043353E"/>
    <w:rsid w:val="00433E0C"/>
    <w:rsid w:val="00434289"/>
    <w:rsid w:val="0043461F"/>
    <w:rsid w:val="00434899"/>
    <w:rsid w:val="00434926"/>
    <w:rsid w:val="004358F7"/>
    <w:rsid w:val="00435BFF"/>
    <w:rsid w:val="00435C8C"/>
    <w:rsid w:val="00436C32"/>
    <w:rsid w:val="0043727D"/>
    <w:rsid w:val="004372A5"/>
    <w:rsid w:val="00437686"/>
    <w:rsid w:val="0044009D"/>
    <w:rsid w:val="0044047F"/>
    <w:rsid w:val="0044058E"/>
    <w:rsid w:val="00440727"/>
    <w:rsid w:val="00440AA5"/>
    <w:rsid w:val="00440CCA"/>
    <w:rsid w:val="0044145F"/>
    <w:rsid w:val="00442059"/>
    <w:rsid w:val="00442646"/>
    <w:rsid w:val="00442C68"/>
    <w:rsid w:val="00442E03"/>
    <w:rsid w:val="004430AF"/>
    <w:rsid w:val="0044362E"/>
    <w:rsid w:val="00443C54"/>
    <w:rsid w:val="00443C9B"/>
    <w:rsid w:val="004441DD"/>
    <w:rsid w:val="004446BF"/>
    <w:rsid w:val="00444799"/>
    <w:rsid w:val="004449CC"/>
    <w:rsid w:val="00445031"/>
    <w:rsid w:val="00445211"/>
    <w:rsid w:val="00445569"/>
    <w:rsid w:val="004456DE"/>
    <w:rsid w:val="0044589A"/>
    <w:rsid w:val="0044641D"/>
    <w:rsid w:val="004470F6"/>
    <w:rsid w:val="00447454"/>
    <w:rsid w:val="00447837"/>
    <w:rsid w:val="00447FF1"/>
    <w:rsid w:val="00450157"/>
    <w:rsid w:val="00450796"/>
    <w:rsid w:val="00450ED3"/>
    <w:rsid w:val="0045111A"/>
    <w:rsid w:val="00451D25"/>
    <w:rsid w:val="00451F58"/>
    <w:rsid w:val="004520E4"/>
    <w:rsid w:val="0045266D"/>
    <w:rsid w:val="00452AAC"/>
    <w:rsid w:val="00452B6F"/>
    <w:rsid w:val="00452E19"/>
    <w:rsid w:val="00453954"/>
    <w:rsid w:val="00453D37"/>
    <w:rsid w:val="00454128"/>
    <w:rsid w:val="0045487B"/>
    <w:rsid w:val="004554EF"/>
    <w:rsid w:val="00455888"/>
    <w:rsid w:val="004559F6"/>
    <w:rsid w:val="00455A01"/>
    <w:rsid w:val="00455A47"/>
    <w:rsid w:val="00455DD4"/>
    <w:rsid w:val="00455EC9"/>
    <w:rsid w:val="004561E6"/>
    <w:rsid w:val="004563F1"/>
    <w:rsid w:val="00456829"/>
    <w:rsid w:val="00456EAA"/>
    <w:rsid w:val="004570E9"/>
    <w:rsid w:val="00457738"/>
    <w:rsid w:val="004604E6"/>
    <w:rsid w:val="004605E6"/>
    <w:rsid w:val="00460965"/>
    <w:rsid w:val="00461107"/>
    <w:rsid w:val="004611F6"/>
    <w:rsid w:val="00461BE0"/>
    <w:rsid w:val="0046204D"/>
    <w:rsid w:val="004624A3"/>
    <w:rsid w:val="004624D0"/>
    <w:rsid w:val="0046264F"/>
    <w:rsid w:val="00462A82"/>
    <w:rsid w:val="00463001"/>
    <w:rsid w:val="0046362A"/>
    <w:rsid w:val="004639EF"/>
    <w:rsid w:val="00463A8E"/>
    <w:rsid w:val="00463B01"/>
    <w:rsid w:val="00463DD7"/>
    <w:rsid w:val="00465254"/>
    <w:rsid w:val="00465258"/>
    <w:rsid w:val="00465773"/>
    <w:rsid w:val="00465C78"/>
    <w:rsid w:val="004661CE"/>
    <w:rsid w:val="004670BF"/>
    <w:rsid w:val="00470121"/>
    <w:rsid w:val="00470137"/>
    <w:rsid w:val="00470593"/>
    <w:rsid w:val="004706A4"/>
    <w:rsid w:val="004713AA"/>
    <w:rsid w:val="0047253A"/>
    <w:rsid w:val="004729EA"/>
    <w:rsid w:val="00472AEA"/>
    <w:rsid w:val="00472D3B"/>
    <w:rsid w:val="00472EFF"/>
    <w:rsid w:val="00473212"/>
    <w:rsid w:val="004732BD"/>
    <w:rsid w:val="00473445"/>
    <w:rsid w:val="00473929"/>
    <w:rsid w:val="00473935"/>
    <w:rsid w:val="00473EB2"/>
    <w:rsid w:val="0047486E"/>
    <w:rsid w:val="004748C1"/>
    <w:rsid w:val="00474D23"/>
    <w:rsid w:val="00474D77"/>
    <w:rsid w:val="00474F2D"/>
    <w:rsid w:val="004750CC"/>
    <w:rsid w:val="004754C7"/>
    <w:rsid w:val="0047559B"/>
    <w:rsid w:val="00475892"/>
    <w:rsid w:val="00475BD6"/>
    <w:rsid w:val="00475C43"/>
    <w:rsid w:val="00475D23"/>
    <w:rsid w:val="00475F0E"/>
    <w:rsid w:val="0047685D"/>
    <w:rsid w:val="00477229"/>
    <w:rsid w:val="00477539"/>
    <w:rsid w:val="00477748"/>
    <w:rsid w:val="0047790A"/>
    <w:rsid w:val="004779A4"/>
    <w:rsid w:val="00477C46"/>
    <w:rsid w:val="00480554"/>
    <w:rsid w:val="00481D6F"/>
    <w:rsid w:val="00481F35"/>
    <w:rsid w:val="00483C37"/>
    <w:rsid w:val="00483EEC"/>
    <w:rsid w:val="0048471D"/>
    <w:rsid w:val="0048497C"/>
    <w:rsid w:val="00484E40"/>
    <w:rsid w:val="00484E7A"/>
    <w:rsid w:val="004853EA"/>
    <w:rsid w:val="00485687"/>
    <w:rsid w:val="0048578E"/>
    <w:rsid w:val="00485DEE"/>
    <w:rsid w:val="0048661B"/>
    <w:rsid w:val="00486926"/>
    <w:rsid w:val="00487508"/>
    <w:rsid w:val="00487BFA"/>
    <w:rsid w:val="004905BF"/>
    <w:rsid w:val="00491107"/>
    <w:rsid w:val="004925D4"/>
    <w:rsid w:val="004928FB"/>
    <w:rsid w:val="00493386"/>
    <w:rsid w:val="00493984"/>
    <w:rsid w:val="00493A6D"/>
    <w:rsid w:val="00493BC1"/>
    <w:rsid w:val="004946AB"/>
    <w:rsid w:val="00494B83"/>
    <w:rsid w:val="00494EAB"/>
    <w:rsid w:val="00495022"/>
    <w:rsid w:val="004950BC"/>
    <w:rsid w:val="004953B4"/>
    <w:rsid w:val="00495FC2"/>
    <w:rsid w:val="00495FF9"/>
    <w:rsid w:val="0049610E"/>
    <w:rsid w:val="00496333"/>
    <w:rsid w:val="00497323"/>
    <w:rsid w:val="0049776E"/>
    <w:rsid w:val="00497A89"/>
    <w:rsid w:val="00497A9F"/>
    <w:rsid w:val="00497C01"/>
    <w:rsid w:val="00497D65"/>
    <w:rsid w:val="00497EF2"/>
    <w:rsid w:val="004A081C"/>
    <w:rsid w:val="004A131C"/>
    <w:rsid w:val="004A14AD"/>
    <w:rsid w:val="004A17D2"/>
    <w:rsid w:val="004A1ADF"/>
    <w:rsid w:val="004A1C47"/>
    <w:rsid w:val="004A2740"/>
    <w:rsid w:val="004A27C1"/>
    <w:rsid w:val="004A281A"/>
    <w:rsid w:val="004A2983"/>
    <w:rsid w:val="004A329C"/>
    <w:rsid w:val="004A3851"/>
    <w:rsid w:val="004A390E"/>
    <w:rsid w:val="004A43C8"/>
    <w:rsid w:val="004A484D"/>
    <w:rsid w:val="004A48C6"/>
    <w:rsid w:val="004A4D84"/>
    <w:rsid w:val="004A532B"/>
    <w:rsid w:val="004A5475"/>
    <w:rsid w:val="004A58EB"/>
    <w:rsid w:val="004A5F40"/>
    <w:rsid w:val="004A5F57"/>
    <w:rsid w:val="004A603D"/>
    <w:rsid w:val="004A64F5"/>
    <w:rsid w:val="004A6670"/>
    <w:rsid w:val="004A6F15"/>
    <w:rsid w:val="004A7132"/>
    <w:rsid w:val="004A7190"/>
    <w:rsid w:val="004A7BA1"/>
    <w:rsid w:val="004B027B"/>
    <w:rsid w:val="004B06B8"/>
    <w:rsid w:val="004B0A7D"/>
    <w:rsid w:val="004B160A"/>
    <w:rsid w:val="004B1645"/>
    <w:rsid w:val="004B1A22"/>
    <w:rsid w:val="004B1A7C"/>
    <w:rsid w:val="004B1F6C"/>
    <w:rsid w:val="004B2204"/>
    <w:rsid w:val="004B221F"/>
    <w:rsid w:val="004B240B"/>
    <w:rsid w:val="004B24DB"/>
    <w:rsid w:val="004B33A0"/>
    <w:rsid w:val="004B34FE"/>
    <w:rsid w:val="004B37AB"/>
    <w:rsid w:val="004B38A2"/>
    <w:rsid w:val="004B3BA7"/>
    <w:rsid w:val="004B3BF4"/>
    <w:rsid w:val="004B4903"/>
    <w:rsid w:val="004B4D2A"/>
    <w:rsid w:val="004B4D9C"/>
    <w:rsid w:val="004B524E"/>
    <w:rsid w:val="004B53DC"/>
    <w:rsid w:val="004B5D27"/>
    <w:rsid w:val="004B646D"/>
    <w:rsid w:val="004B6507"/>
    <w:rsid w:val="004B6714"/>
    <w:rsid w:val="004B6BDB"/>
    <w:rsid w:val="004B6C8F"/>
    <w:rsid w:val="004B787C"/>
    <w:rsid w:val="004B7D31"/>
    <w:rsid w:val="004C01D7"/>
    <w:rsid w:val="004C06FD"/>
    <w:rsid w:val="004C0B6E"/>
    <w:rsid w:val="004C0CD0"/>
    <w:rsid w:val="004C0CF0"/>
    <w:rsid w:val="004C0DC7"/>
    <w:rsid w:val="004C16DD"/>
    <w:rsid w:val="004C214D"/>
    <w:rsid w:val="004C2389"/>
    <w:rsid w:val="004C24C8"/>
    <w:rsid w:val="004C2B45"/>
    <w:rsid w:val="004C2F89"/>
    <w:rsid w:val="004C42DF"/>
    <w:rsid w:val="004C44AF"/>
    <w:rsid w:val="004C46B5"/>
    <w:rsid w:val="004C4836"/>
    <w:rsid w:val="004C4915"/>
    <w:rsid w:val="004C4B7B"/>
    <w:rsid w:val="004C50E0"/>
    <w:rsid w:val="004C588A"/>
    <w:rsid w:val="004C5ED4"/>
    <w:rsid w:val="004C5EF2"/>
    <w:rsid w:val="004C5F24"/>
    <w:rsid w:val="004C63A8"/>
    <w:rsid w:val="004C668B"/>
    <w:rsid w:val="004C6774"/>
    <w:rsid w:val="004C7587"/>
    <w:rsid w:val="004C762E"/>
    <w:rsid w:val="004C7777"/>
    <w:rsid w:val="004D0273"/>
    <w:rsid w:val="004D085D"/>
    <w:rsid w:val="004D09E4"/>
    <w:rsid w:val="004D0A67"/>
    <w:rsid w:val="004D0F5D"/>
    <w:rsid w:val="004D117F"/>
    <w:rsid w:val="004D22FB"/>
    <w:rsid w:val="004D2388"/>
    <w:rsid w:val="004D2701"/>
    <w:rsid w:val="004D287A"/>
    <w:rsid w:val="004D32FA"/>
    <w:rsid w:val="004D354D"/>
    <w:rsid w:val="004D3908"/>
    <w:rsid w:val="004D3DB5"/>
    <w:rsid w:val="004D46C1"/>
    <w:rsid w:val="004D496F"/>
    <w:rsid w:val="004D51F6"/>
    <w:rsid w:val="004D5D2B"/>
    <w:rsid w:val="004D6FD1"/>
    <w:rsid w:val="004D7156"/>
    <w:rsid w:val="004D7AF1"/>
    <w:rsid w:val="004D7DE7"/>
    <w:rsid w:val="004E01D8"/>
    <w:rsid w:val="004E02A1"/>
    <w:rsid w:val="004E057E"/>
    <w:rsid w:val="004E06C5"/>
    <w:rsid w:val="004E0997"/>
    <w:rsid w:val="004E0B8C"/>
    <w:rsid w:val="004E0E11"/>
    <w:rsid w:val="004E16CD"/>
    <w:rsid w:val="004E219E"/>
    <w:rsid w:val="004E2442"/>
    <w:rsid w:val="004E2541"/>
    <w:rsid w:val="004E27D8"/>
    <w:rsid w:val="004E339D"/>
    <w:rsid w:val="004E42D6"/>
    <w:rsid w:val="004E498C"/>
    <w:rsid w:val="004E514D"/>
    <w:rsid w:val="004E51B4"/>
    <w:rsid w:val="004E5267"/>
    <w:rsid w:val="004E54F4"/>
    <w:rsid w:val="004E58A4"/>
    <w:rsid w:val="004E5A03"/>
    <w:rsid w:val="004E5F0C"/>
    <w:rsid w:val="004E5F3E"/>
    <w:rsid w:val="004E6032"/>
    <w:rsid w:val="004E6361"/>
    <w:rsid w:val="004E6B9D"/>
    <w:rsid w:val="004E6C18"/>
    <w:rsid w:val="004E70A8"/>
    <w:rsid w:val="004E71D2"/>
    <w:rsid w:val="004E7434"/>
    <w:rsid w:val="004E776C"/>
    <w:rsid w:val="004E7DA8"/>
    <w:rsid w:val="004F0572"/>
    <w:rsid w:val="004F10DF"/>
    <w:rsid w:val="004F11A0"/>
    <w:rsid w:val="004F1AA8"/>
    <w:rsid w:val="004F24BD"/>
    <w:rsid w:val="004F4494"/>
    <w:rsid w:val="004F44F4"/>
    <w:rsid w:val="004F4641"/>
    <w:rsid w:val="004F47AB"/>
    <w:rsid w:val="004F492E"/>
    <w:rsid w:val="004F4B7D"/>
    <w:rsid w:val="004F51E8"/>
    <w:rsid w:val="004F5D22"/>
    <w:rsid w:val="004F5F63"/>
    <w:rsid w:val="004F633B"/>
    <w:rsid w:val="004F634D"/>
    <w:rsid w:val="004F652D"/>
    <w:rsid w:val="004F6D8E"/>
    <w:rsid w:val="004F74C8"/>
    <w:rsid w:val="004F764C"/>
    <w:rsid w:val="004F7907"/>
    <w:rsid w:val="00500832"/>
    <w:rsid w:val="00501C74"/>
    <w:rsid w:val="00501F4D"/>
    <w:rsid w:val="00502895"/>
    <w:rsid w:val="005028D9"/>
    <w:rsid w:val="00502B9E"/>
    <w:rsid w:val="00502F6F"/>
    <w:rsid w:val="005030A4"/>
    <w:rsid w:val="005030E9"/>
    <w:rsid w:val="00503D10"/>
    <w:rsid w:val="00503F96"/>
    <w:rsid w:val="005042F8"/>
    <w:rsid w:val="00504605"/>
    <w:rsid w:val="00504645"/>
    <w:rsid w:val="0050478F"/>
    <w:rsid w:val="00504948"/>
    <w:rsid w:val="00504A8E"/>
    <w:rsid w:val="00504D8F"/>
    <w:rsid w:val="005050BD"/>
    <w:rsid w:val="00505370"/>
    <w:rsid w:val="00505541"/>
    <w:rsid w:val="00505742"/>
    <w:rsid w:val="00505B89"/>
    <w:rsid w:val="00505F4C"/>
    <w:rsid w:val="00506107"/>
    <w:rsid w:val="00506807"/>
    <w:rsid w:val="005069C5"/>
    <w:rsid w:val="00506B7A"/>
    <w:rsid w:val="00507584"/>
    <w:rsid w:val="00507995"/>
    <w:rsid w:val="00507A18"/>
    <w:rsid w:val="00510283"/>
    <w:rsid w:val="005104ED"/>
    <w:rsid w:val="005105C1"/>
    <w:rsid w:val="005108F4"/>
    <w:rsid w:val="005110D8"/>
    <w:rsid w:val="005112C3"/>
    <w:rsid w:val="005117CA"/>
    <w:rsid w:val="00511F81"/>
    <w:rsid w:val="005128D4"/>
    <w:rsid w:val="00512DAD"/>
    <w:rsid w:val="00513B67"/>
    <w:rsid w:val="00513CD1"/>
    <w:rsid w:val="00513DA2"/>
    <w:rsid w:val="005141E1"/>
    <w:rsid w:val="005149DC"/>
    <w:rsid w:val="00514A0C"/>
    <w:rsid w:val="00514C5C"/>
    <w:rsid w:val="00515812"/>
    <w:rsid w:val="00515853"/>
    <w:rsid w:val="00515E0A"/>
    <w:rsid w:val="00515F66"/>
    <w:rsid w:val="00515FFB"/>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828"/>
    <w:rsid w:val="00521384"/>
    <w:rsid w:val="005216A3"/>
    <w:rsid w:val="00521DBA"/>
    <w:rsid w:val="00522966"/>
    <w:rsid w:val="005231C6"/>
    <w:rsid w:val="005234A0"/>
    <w:rsid w:val="00525121"/>
    <w:rsid w:val="0052555B"/>
    <w:rsid w:val="005265E2"/>
    <w:rsid w:val="00526612"/>
    <w:rsid w:val="005268BC"/>
    <w:rsid w:val="00526CB8"/>
    <w:rsid w:val="00526DFF"/>
    <w:rsid w:val="00526EA2"/>
    <w:rsid w:val="00526FE5"/>
    <w:rsid w:val="00527202"/>
    <w:rsid w:val="00527F7C"/>
    <w:rsid w:val="0053074A"/>
    <w:rsid w:val="00530815"/>
    <w:rsid w:val="00531013"/>
    <w:rsid w:val="0053113C"/>
    <w:rsid w:val="005313D2"/>
    <w:rsid w:val="005318AD"/>
    <w:rsid w:val="00531FB7"/>
    <w:rsid w:val="00532027"/>
    <w:rsid w:val="0053234F"/>
    <w:rsid w:val="00533652"/>
    <w:rsid w:val="0053466B"/>
    <w:rsid w:val="005348BE"/>
    <w:rsid w:val="0053493A"/>
    <w:rsid w:val="005355B2"/>
    <w:rsid w:val="0053560B"/>
    <w:rsid w:val="005358C5"/>
    <w:rsid w:val="00537182"/>
    <w:rsid w:val="005371C3"/>
    <w:rsid w:val="005378AE"/>
    <w:rsid w:val="0053792E"/>
    <w:rsid w:val="00537C2F"/>
    <w:rsid w:val="00537D22"/>
    <w:rsid w:val="00540090"/>
    <w:rsid w:val="00540131"/>
    <w:rsid w:val="00540919"/>
    <w:rsid w:val="00540D87"/>
    <w:rsid w:val="00541595"/>
    <w:rsid w:val="0054164D"/>
    <w:rsid w:val="005417A3"/>
    <w:rsid w:val="00542B04"/>
    <w:rsid w:val="005432A7"/>
    <w:rsid w:val="00543A5B"/>
    <w:rsid w:val="00543E9D"/>
    <w:rsid w:val="005443A5"/>
    <w:rsid w:val="0054447A"/>
    <w:rsid w:val="00544764"/>
    <w:rsid w:val="00544F1E"/>
    <w:rsid w:val="005451B9"/>
    <w:rsid w:val="00545411"/>
    <w:rsid w:val="005457FA"/>
    <w:rsid w:val="00545872"/>
    <w:rsid w:val="00546099"/>
    <w:rsid w:val="00546459"/>
    <w:rsid w:val="00546BD4"/>
    <w:rsid w:val="005471F7"/>
    <w:rsid w:val="00547906"/>
    <w:rsid w:val="00547B69"/>
    <w:rsid w:val="00550272"/>
    <w:rsid w:val="00550383"/>
    <w:rsid w:val="005506F0"/>
    <w:rsid w:val="00550F3C"/>
    <w:rsid w:val="00551E4B"/>
    <w:rsid w:val="005522EA"/>
    <w:rsid w:val="0055242D"/>
    <w:rsid w:val="00552C6C"/>
    <w:rsid w:val="005534D3"/>
    <w:rsid w:val="00554129"/>
    <w:rsid w:val="00554BC5"/>
    <w:rsid w:val="005551B3"/>
    <w:rsid w:val="00555A0E"/>
    <w:rsid w:val="00555C4C"/>
    <w:rsid w:val="00555D77"/>
    <w:rsid w:val="005564A4"/>
    <w:rsid w:val="00556590"/>
    <w:rsid w:val="00556AF9"/>
    <w:rsid w:val="00556D17"/>
    <w:rsid w:val="00557589"/>
    <w:rsid w:val="005575CF"/>
    <w:rsid w:val="0055761B"/>
    <w:rsid w:val="005576D3"/>
    <w:rsid w:val="005577CA"/>
    <w:rsid w:val="00557B47"/>
    <w:rsid w:val="0056014C"/>
    <w:rsid w:val="00560202"/>
    <w:rsid w:val="00560281"/>
    <w:rsid w:val="005602AA"/>
    <w:rsid w:val="00560425"/>
    <w:rsid w:val="0056104A"/>
    <w:rsid w:val="005611F6"/>
    <w:rsid w:val="00561D76"/>
    <w:rsid w:val="00562554"/>
    <w:rsid w:val="00562B9B"/>
    <w:rsid w:val="00563343"/>
    <w:rsid w:val="00563C4C"/>
    <w:rsid w:val="00563D65"/>
    <w:rsid w:val="005642F8"/>
    <w:rsid w:val="00564821"/>
    <w:rsid w:val="00564896"/>
    <w:rsid w:val="00564AFD"/>
    <w:rsid w:val="005655F2"/>
    <w:rsid w:val="00565806"/>
    <w:rsid w:val="005659FD"/>
    <w:rsid w:val="00565A00"/>
    <w:rsid w:val="00565BA9"/>
    <w:rsid w:val="00565EEB"/>
    <w:rsid w:val="005668F6"/>
    <w:rsid w:val="00566944"/>
    <w:rsid w:val="005670A5"/>
    <w:rsid w:val="005678E9"/>
    <w:rsid w:val="00567BBE"/>
    <w:rsid w:val="00567C13"/>
    <w:rsid w:val="00567D52"/>
    <w:rsid w:val="0057001D"/>
    <w:rsid w:val="00570064"/>
    <w:rsid w:val="0057043B"/>
    <w:rsid w:val="00570722"/>
    <w:rsid w:val="00570947"/>
    <w:rsid w:val="00571196"/>
    <w:rsid w:val="00571494"/>
    <w:rsid w:val="0057169A"/>
    <w:rsid w:val="00571944"/>
    <w:rsid w:val="00571986"/>
    <w:rsid w:val="005724E8"/>
    <w:rsid w:val="0057285B"/>
    <w:rsid w:val="00573665"/>
    <w:rsid w:val="00573721"/>
    <w:rsid w:val="00573B45"/>
    <w:rsid w:val="00573DC8"/>
    <w:rsid w:val="005741F4"/>
    <w:rsid w:val="00574985"/>
    <w:rsid w:val="00574EFA"/>
    <w:rsid w:val="0057515C"/>
    <w:rsid w:val="00575925"/>
    <w:rsid w:val="005759F6"/>
    <w:rsid w:val="00575AE8"/>
    <w:rsid w:val="00575DE8"/>
    <w:rsid w:val="00576D03"/>
    <w:rsid w:val="00576F8C"/>
    <w:rsid w:val="00577102"/>
    <w:rsid w:val="005779DD"/>
    <w:rsid w:val="00577B53"/>
    <w:rsid w:val="0058018F"/>
    <w:rsid w:val="0058068E"/>
    <w:rsid w:val="0058186C"/>
    <w:rsid w:val="005818FD"/>
    <w:rsid w:val="005819AC"/>
    <w:rsid w:val="00581AB8"/>
    <w:rsid w:val="00581C79"/>
    <w:rsid w:val="005820E5"/>
    <w:rsid w:val="005821DE"/>
    <w:rsid w:val="0058232D"/>
    <w:rsid w:val="00582812"/>
    <w:rsid w:val="00582F4E"/>
    <w:rsid w:val="00583630"/>
    <w:rsid w:val="00583CCB"/>
    <w:rsid w:val="005840C5"/>
    <w:rsid w:val="005841E5"/>
    <w:rsid w:val="005841F2"/>
    <w:rsid w:val="00584775"/>
    <w:rsid w:val="00585313"/>
    <w:rsid w:val="00585471"/>
    <w:rsid w:val="00585618"/>
    <w:rsid w:val="00585F5A"/>
    <w:rsid w:val="005860CD"/>
    <w:rsid w:val="00586105"/>
    <w:rsid w:val="00586273"/>
    <w:rsid w:val="00586295"/>
    <w:rsid w:val="0058699C"/>
    <w:rsid w:val="0058718B"/>
    <w:rsid w:val="005875D2"/>
    <w:rsid w:val="00590010"/>
    <w:rsid w:val="00590093"/>
    <w:rsid w:val="0059011C"/>
    <w:rsid w:val="00590A09"/>
    <w:rsid w:val="00590E48"/>
    <w:rsid w:val="00590E61"/>
    <w:rsid w:val="00591110"/>
    <w:rsid w:val="00591502"/>
    <w:rsid w:val="005922B5"/>
    <w:rsid w:val="005925EB"/>
    <w:rsid w:val="00592E22"/>
    <w:rsid w:val="00593E32"/>
    <w:rsid w:val="00593F15"/>
    <w:rsid w:val="00594408"/>
    <w:rsid w:val="005946FD"/>
    <w:rsid w:val="00594800"/>
    <w:rsid w:val="00594AD6"/>
    <w:rsid w:val="00594F94"/>
    <w:rsid w:val="005953F8"/>
    <w:rsid w:val="0059572F"/>
    <w:rsid w:val="00595969"/>
    <w:rsid w:val="00595B05"/>
    <w:rsid w:val="00596283"/>
    <w:rsid w:val="0059636A"/>
    <w:rsid w:val="005963E2"/>
    <w:rsid w:val="005966A5"/>
    <w:rsid w:val="00596B20"/>
    <w:rsid w:val="00596F4F"/>
    <w:rsid w:val="00597731"/>
    <w:rsid w:val="00597F3C"/>
    <w:rsid w:val="00597FB1"/>
    <w:rsid w:val="005A09EC"/>
    <w:rsid w:val="005A0E49"/>
    <w:rsid w:val="005A136E"/>
    <w:rsid w:val="005A13C8"/>
    <w:rsid w:val="005A1B5F"/>
    <w:rsid w:val="005A1CC8"/>
    <w:rsid w:val="005A212F"/>
    <w:rsid w:val="005A279A"/>
    <w:rsid w:val="005A2D3C"/>
    <w:rsid w:val="005A3136"/>
    <w:rsid w:val="005A3B62"/>
    <w:rsid w:val="005A3ED8"/>
    <w:rsid w:val="005A409F"/>
    <w:rsid w:val="005A4231"/>
    <w:rsid w:val="005A49F3"/>
    <w:rsid w:val="005A4B8E"/>
    <w:rsid w:val="005A5B4F"/>
    <w:rsid w:val="005A5C0A"/>
    <w:rsid w:val="005A5C19"/>
    <w:rsid w:val="005A617E"/>
    <w:rsid w:val="005A6240"/>
    <w:rsid w:val="005A6622"/>
    <w:rsid w:val="005A6CBE"/>
    <w:rsid w:val="005A6DEC"/>
    <w:rsid w:val="005A7637"/>
    <w:rsid w:val="005A7650"/>
    <w:rsid w:val="005A7DF9"/>
    <w:rsid w:val="005A7EA3"/>
    <w:rsid w:val="005B0DF1"/>
    <w:rsid w:val="005B0EBB"/>
    <w:rsid w:val="005B0F1C"/>
    <w:rsid w:val="005B0F77"/>
    <w:rsid w:val="005B1348"/>
    <w:rsid w:val="005B163B"/>
    <w:rsid w:val="005B19A0"/>
    <w:rsid w:val="005B1A2D"/>
    <w:rsid w:val="005B1B6F"/>
    <w:rsid w:val="005B1D50"/>
    <w:rsid w:val="005B2AA6"/>
    <w:rsid w:val="005B2E1A"/>
    <w:rsid w:val="005B2E25"/>
    <w:rsid w:val="005B36D1"/>
    <w:rsid w:val="005B376C"/>
    <w:rsid w:val="005B3EB2"/>
    <w:rsid w:val="005B40B0"/>
    <w:rsid w:val="005B43B2"/>
    <w:rsid w:val="005B69B7"/>
    <w:rsid w:val="005B6D65"/>
    <w:rsid w:val="005B70A3"/>
    <w:rsid w:val="005B7124"/>
    <w:rsid w:val="005B7374"/>
    <w:rsid w:val="005B739E"/>
    <w:rsid w:val="005B73DC"/>
    <w:rsid w:val="005B7716"/>
    <w:rsid w:val="005B7719"/>
    <w:rsid w:val="005B77E7"/>
    <w:rsid w:val="005C0039"/>
    <w:rsid w:val="005C03F3"/>
    <w:rsid w:val="005C15EA"/>
    <w:rsid w:val="005C1DEC"/>
    <w:rsid w:val="005C32D9"/>
    <w:rsid w:val="005C339A"/>
    <w:rsid w:val="005C3520"/>
    <w:rsid w:val="005C35DB"/>
    <w:rsid w:val="005C3B17"/>
    <w:rsid w:val="005C4A09"/>
    <w:rsid w:val="005C4BB8"/>
    <w:rsid w:val="005C5116"/>
    <w:rsid w:val="005C5243"/>
    <w:rsid w:val="005C551E"/>
    <w:rsid w:val="005C57D4"/>
    <w:rsid w:val="005C591A"/>
    <w:rsid w:val="005C5DFC"/>
    <w:rsid w:val="005C69DD"/>
    <w:rsid w:val="005C6A35"/>
    <w:rsid w:val="005C7013"/>
    <w:rsid w:val="005C75DA"/>
    <w:rsid w:val="005C762E"/>
    <w:rsid w:val="005C7A7D"/>
    <w:rsid w:val="005C7D49"/>
    <w:rsid w:val="005D01AB"/>
    <w:rsid w:val="005D01D1"/>
    <w:rsid w:val="005D0B0F"/>
    <w:rsid w:val="005D15D4"/>
    <w:rsid w:val="005D1BD5"/>
    <w:rsid w:val="005D2176"/>
    <w:rsid w:val="005D235E"/>
    <w:rsid w:val="005D2665"/>
    <w:rsid w:val="005D2E67"/>
    <w:rsid w:val="005D30A3"/>
    <w:rsid w:val="005D30BD"/>
    <w:rsid w:val="005D40BC"/>
    <w:rsid w:val="005D416D"/>
    <w:rsid w:val="005D4943"/>
    <w:rsid w:val="005D4B24"/>
    <w:rsid w:val="005D4C2E"/>
    <w:rsid w:val="005D59C5"/>
    <w:rsid w:val="005D6195"/>
    <w:rsid w:val="005D62C7"/>
    <w:rsid w:val="005D63C5"/>
    <w:rsid w:val="005D63F7"/>
    <w:rsid w:val="005D66C0"/>
    <w:rsid w:val="005D674D"/>
    <w:rsid w:val="005D6E0C"/>
    <w:rsid w:val="005D70C1"/>
    <w:rsid w:val="005D78BF"/>
    <w:rsid w:val="005D7E20"/>
    <w:rsid w:val="005E0248"/>
    <w:rsid w:val="005E02C7"/>
    <w:rsid w:val="005E0F47"/>
    <w:rsid w:val="005E12F6"/>
    <w:rsid w:val="005E14FA"/>
    <w:rsid w:val="005E1802"/>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E1"/>
    <w:rsid w:val="005E52CD"/>
    <w:rsid w:val="005E56BB"/>
    <w:rsid w:val="005E614C"/>
    <w:rsid w:val="005E627C"/>
    <w:rsid w:val="005E6394"/>
    <w:rsid w:val="005E6C94"/>
    <w:rsid w:val="005E725C"/>
    <w:rsid w:val="005E76CE"/>
    <w:rsid w:val="005F0037"/>
    <w:rsid w:val="005F05CD"/>
    <w:rsid w:val="005F05DC"/>
    <w:rsid w:val="005F0C5C"/>
    <w:rsid w:val="005F0C5F"/>
    <w:rsid w:val="005F1208"/>
    <w:rsid w:val="005F1477"/>
    <w:rsid w:val="005F1525"/>
    <w:rsid w:val="005F1A6B"/>
    <w:rsid w:val="005F1ED8"/>
    <w:rsid w:val="005F245E"/>
    <w:rsid w:val="005F2500"/>
    <w:rsid w:val="005F2D14"/>
    <w:rsid w:val="005F2FF9"/>
    <w:rsid w:val="005F374A"/>
    <w:rsid w:val="005F3A2D"/>
    <w:rsid w:val="005F3BEE"/>
    <w:rsid w:val="005F415E"/>
    <w:rsid w:val="005F41EE"/>
    <w:rsid w:val="005F4471"/>
    <w:rsid w:val="005F461D"/>
    <w:rsid w:val="005F4AC6"/>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A8"/>
    <w:rsid w:val="0060415B"/>
    <w:rsid w:val="0060434B"/>
    <w:rsid w:val="00604683"/>
    <w:rsid w:val="00604D73"/>
    <w:rsid w:val="00604F9D"/>
    <w:rsid w:val="006052C4"/>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86C"/>
    <w:rsid w:val="00612799"/>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704"/>
    <w:rsid w:val="00615F92"/>
    <w:rsid w:val="0061612B"/>
    <w:rsid w:val="00616534"/>
    <w:rsid w:val="00616EC5"/>
    <w:rsid w:val="006172D6"/>
    <w:rsid w:val="00617582"/>
    <w:rsid w:val="006179BA"/>
    <w:rsid w:val="00620F66"/>
    <w:rsid w:val="006211AD"/>
    <w:rsid w:val="00621465"/>
    <w:rsid w:val="00621583"/>
    <w:rsid w:val="006218DE"/>
    <w:rsid w:val="00621A59"/>
    <w:rsid w:val="00621C6D"/>
    <w:rsid w:val="00622376"/>
    <w:rsid w:val="00622B5A"/>
    <w:rsid w:val="00622C09"/>
    <w:rsid w:val="00622CF2"/>
    <w:rsid w:val="00623078"/>
    <w:rsid w:val="00623873"/>
    <w:rsid w:val="00623A00"/>
    <w:rsid w:val="00623FE5"/>
    <w:rsid w:val="00624B3C"/>
    <w:rsid w:val="00624F21"/>
    <w:rsid w:val="006250B4"/>
    <w:rsid w:val="0062512A"/>
    <w:rsid w:val="00625255"/>
    <w:rsid w:val="00625809"/>
    <w:rsid w:val="00626C63"/>
    <w:rsid w:val="00626D7C"/>
    <w:rsid w:val="006270EA"/>
    <w:rsid w:val="00627ABA"/>
    <w:rsid w:val="0063049B"/>
    <w:rsid w:val="00630981"/>
    <w:rsid w:val="00630DF5"/>
    <w:rsid w:val="00631B09"/>
    <w:rsid w:val="00632389"/>
    <w:rsid w:val="006325AD"/>
    <w:rsid w:val="006327C5"/>
    <w:rsid w:val="00632DD9"/>
    <w:rsid w:val="0063378F"/>
    <w:rsid w:val="00633857"/>
    <w:rsid w:val="006340D5"/>
    <w:rsid w:val="00634695"/>
    <w:rsid w:val="00634CDD"/>
    <w:rsid w:val="00635A6C"/>
    <w:rsid w:val="00635D62"/>
    <w:rsid w:val="006368D7"/>
    <w:rsid w:val="00636A3D"/>
    <w:rsid w:val="006372BC"/>
    <w:rsid w:val="00637912"/>
    <w:rsid w:val="00637FC7"/>
    <w:rsid w:val="006406F6"/>
    <w:rsid w:val="00640CA1"/>
    <w:rsid w:val="0064141B"/>
    <w:rsid w:val="00642133"/>
    <w:rsid w:val="006421B5"/>
    <w:rsid w:val="00642539"/>
    <w:rsid w:val="006425DF"/>
    <w:rsid w:val="00642777"/>
    <w:rsid w:val="006428D6"/>
    <w:rsid w:val="00643E17"/>
    <w:rsid w:val="0064452D"/>
    <w:rsid w:val="0064466F"/>
    <w:rsid w:val="00644B6C"/>
    <w:rsid w:val="006453E7"/>
    <w:rsid w:val="0064553B"/>
    <w:rsid w:val="0064596C"/>
    <w:rsid w:val="00645D76"/>
    <w:rsid w:val="006465D8"/>
    <w:rsid w:val="006465F7"/>
    <w:rsid w:val="0064725A"/>
    <w:rsid w:val="00647E0E"/>
    <w:rsid w:val="00651893"/>
    <w:rsid w:val="006519B9"/>
    <w:rsid w:val="00651B00"/>
    <w:rsid w:val="00652089"/>
    <w:rsid w:val="006520B8"/>
    <w:rsid w:val="006520E3"/>
    <w:rsid w:val="00652885"/>
    <w:rsid w:val="00652A81"/>
    <w:rsid w:val="00652B21"/>
    <w:rsid w:val="00652BFB"/>
    <w:rsid w:val="006533C6"/>
    <w:rsid w:val="0065359E"/>
    <w:rsid w:val="006539B7"/>
    <w:rsid w:val="0065456E"/>
    <w:rsid w:val="00654678"/>
    <w:rsid w:val="0065470C"/>
    <w:rsid w:val="00654BBD"/>
    <w:rsid w:val="00654EFB"/>
    <w:rsid w:val="00655245"/>
    <w:rsid w:val="0065529E"/>
    <w:rsid w:val="006557C4"/>
    <w:rsid w:val="0065594C"/>
    <w:rsid w:val="00655DE5"/>
    <w:rsid w:val="00655F29"/>
    <w:rsid w:val="00655F3A"/>
    <w:rsid w:val="0065630D"/>
    <w:rsid w:val="00656511"/>
    <w:rsid w:val="0065687D"/>
    <w:rsid w:val="0065699E"/>
    <w:rsid w:val="00656A01"/>
    <w:rsid w:val="00656AEE"/>
    <w:rsid w:val="00657185"/>
    <w:rsid w:val="0065742F"/>
    <w:rsid w:val="00657BD6"/>
    <w:rsid w:val="00657D1E"/>
    <w:rsid w:val="00657DB6"/>
    <w:rsid w:val="00660334"/>
    <w:rsid w:val="00660F37"/>
    <w:rsid w:val="0066133B"/>
    <w:rsid w:val="00661C38"/>
    <w:rsid w:val="00662C1D"/>
    <w:rsid w:val="00662DEC"/>
    <w:rsid w:val="006638D9"/>
    <w:rsid w:val="006643EF"/>
    <w:rsid w:val="00664676"/>
    <w:rsid w:val="006647D9"/>
    <w:rsid w:val="0066481F"/>
    <w:rsid w:val="006652A2"/>
    <w:rsid w:val="00665E75"/>
    <w:rsid w:val="00666697"/>
    <w:rsid w:val="006667C4"/>
    <w:rsid w:val="00666856"/>
    <w:rsid w:val="0066689A"/>
    <w:rsid w:val="0066690F"/>
    <w:rsid w:val="006673A6"/>
    <w:rsid w:val="00667405"/>
    <w:rsid w:val="006674AA"/>
    <w:rsid w:val="00667F5E"/>
    <w:rsid w:val="0067048D"/>
    <w:rsid w:val="00670985"/>
    <w:rsid w:val="006714AE"/>
    <w:rsid w:val="0067163B"/>
    <w:rsid w:val="00671EA4"/>
    <w:rsid w:val="006720A6"/>
    <w:rsid w:val="00672166"/>
    <w:rsid w:val="00672EE0"/>
    <w:rsid w:val="00673763"/>
    <w:rsid w:val="006737BC"/>
    <w:rsid w:val="00674155"/>
    <w:rsid w:val="00674393"/>
    <w:rsid w:val="00674A04"/>
    <w:rsid w:val="006754AB"/>
    <w:rsid w:val="006755DF"/>
    <w:rsid w:val="0067561C"/>
    <w:rsid w:val="006758C2"/>
    <w:rsid w:val="00675910"/>
    <w:rsid w:val="006760F9"/>
    <w:rsid w:val="00676704"/>
    <w:rsid w:val="00676C18"/>
    <w:rsid w:val="0067719D"/>
    <w:rsid w:val="00677F36"/>
    <w:rsid w:val="006800FE"/>
    <w:rsid w:val="0068052A"/>
    <w:rsid w:val="00680BB5"/>
    <w:rsid w:val="00680DBA"/>
    <w:rsid w:val="00681166"/>
    <w:rsid w:val="00681203"/>
    <w:rsid w:val="00681984"/>
    <w:rsid w:val="00682ACE"/>
    <w:rsid w:val="006833C5"/>
    <w:rsid w:val="006836ED"/>
    <w:rsid w:val="00683707"/>
    <w:rsid w:val="00683C05"/>
    <w:rsid w:val="0068415B"/>
    <w:rsid w:val="006849D3"/>
    <w:rsid w:val="00684BC6"/>
    <w:rsid w:val="006859D7"/>
    <w:rsid w:val="00686D5C"/>
    <w:rsid w:val="0068716A"/>
    <w:rsid w:val="006872A9"/>
    <w:rsid w:val="00687703"/>
    <w:rsid w:val="0069017B"/>
    <w:rsid w:val="006904B5"/>
    <w:rsid w:val="00690700"/>
    <w:rsid w:val="00690FC8"/>
    <w:rsid w:val="006910D3"/>
    <w:rsid w:val="006916EA"/>
    <w:rsid w:val="0069196B"/>
    <w:rsid w:val="00691F75"/>
    <w:rsid w:val="00692309"/>
    <w:rsid w:val="006926F0"/>
    <w:rsid w:val="006929CE"/>
    <w:rsid w:val="00693E99"/>
    <w:rsid w:val="006942FF"/>
    <w:rsid w:val="00694345"/>
    <w:rsid w:val="00694926"/>
    <w:rsid w:val="00694DDB"/>
    <w:rsid w:val="0069516B"/>
    <w:rsid w:val="00695269"/>
    <w:rsid w:val="00695440"/>
    <w:rsid w:val="00695B1D"/>
    <w:rsid w:val="00695D18"/>
    <w:rsid w:val="006965AE"/>
    <w:rsid w:val="00696BD0"/>
    <w:rsid w:val="00697302"/>
    <w:rsid w:val="006973E2"/>
    <w:rsid w:val="006974BC"/>
    <w:rsid w:val="00697668"/>
    <w:rsid w:val="006A0142"/>
    <w:rsid w:val="006A05DF"/>
    <w:rsid w:val="006A0912"/>
    <w:rsid w:val="006A0D23"/>
    <w:rsid w:val="006A0F59"/>
    <w:rsid w:val="006A1529"/>
    <w:rsid w:val="006A18E7"/>
    <w:rsid w:val="006A1FC8"/>
    <w:rsid w:val="006A2023"/>
    <w:rsid w:val="006A25CB"/>
    <w:rsid w:val="006A2A47"/>
    <w:rsid w:val="006A2B28"/>
    <w:rsid w:val="006A2D8D"/>
    <w:rsid w:val="006A39FB"/>
    <w:rsid w:val="006A3A61"/>
    <w:rsid w:val="006A3C4D"/>
    <w:rsid w:val="006A4A8F"/>
    <w:rsid w:val="006A4DF0"/>
    <w:rsid w:val="006A5D71"/>
    <w:rsid w:val="006A606A"/>
    <w:rsid w:val="006A60E0"/>
    <w:rsid w:val="006A6202"/>
    <w:rsid w:val="006A6492"/>
    <w:rsid w:val="006A6961"/>
    <w:rsid w:val="006A6B72"/>
    <w:rsid w:val="006A703A"/>
    <w:rsid w:val="006A70B9"/>
    <w:rsid w:val="006A7128"/>
    <w:rsid w:val="006B007A"/>
    <w:rsid w:val="006B018E"/>
    <w:rsid w:val="006B04DB"/>
    <w:rsid w:val="006B05E9"/>
    <w:rsid w:val="006B159E"/>
    <w:rsid w:val="006B16A7"/>
    <w:rsid w:val="006B1E02"/>
    <w:rsid w:val="006B21A0"/>
    <w:rsid w:val="006B2296"/>
    <w:rsid w:val="006B2932"/>
    <w:rsid w:val="006B29B6"/>
    <w:rsid w:val="006B29D4"/>
    <w:rsid w:val="006B2A5B"/>
    <w:rsid w:val="006B439D"/>
    <w:rsid w:val="006B4E73"/>
    <w:rsid w:val="006B4FC2"/>
    <w:rsid w:val="006B50FD"/>
    <w:rsid w:val="006B520A"/>
    <w:rsid w:val="006B5376"/>
    <w:rsid w:val="006B5461"/>
    <w:rsid w:val="006B54A4"/>
    <w:rsid w:val="006B553E"/>
    <w:rsid w:val="006B5D80"/>
    <w:rsid w:val="006B660C"/>
    <w:rsid w:val="006B67F9"/>
    <w:rsid w:val="006B7286"/>
    <w:rsid w:val="006B7453"/>
    <w:rsid w:val="006B74F2"/>
    <w:rsid w:val="006C06D5"/>
    <w:rsid w:val="006C0909"/>
    <w:rsid w:val="006C090A"/>
    <w:rsid w:val="006C0DF1"/>
    <w:rsid w:val="006C14F1"/>
    <w:rsid w:val="006C167F"/>
    <w:rsid w:val="006C1DF3"/>
    <w:rsid w:val="006C209A"/>
    <w:rsid w:val="006C2207"/>
    <w:rsid w:val="006C315B"/>
    <w:rsid w:val="006C31CD"/>
    <w:rsid w:val="006C31FD"/>
    <w:rsid w:val="006C329F"/>
    <w:rsid w:val="006C36F7"/>
    <w:rsid w:val="006C3E78"/>
    <w:rsid w:val="006C410E"/>
    <w:rsid w:val="006C45E7"/>
    <w:rsid w:val="006C4EDF"/>
    <w:rsid w:val="006C547D"/>
    <w:rsid w:val="006C6004"/>
    <w:rsid w:val="006C6191"/>
    <w:rsid w:val="006C6533"/>
    <w:rsid w:val="006C6792"/>
    <w:rsid w:val="006C7203"/>
    <w:rsid w:val="006C7517"/>
    <w:rsid w:val="006C7B41"/>
    <w:rsid w:val="006C7E21"/>
    <w:rsid w:val="006D08A4"/>
    <w:rsid w:val="006D0B76"/>
    <w:rsid w:val="006D0FE4"/>
    <w:rsid w:val="006D160E"/>
    <w:rsid w:val="006D1A00"/>
    <w:rsid w:val="006D1F3B"/>
    <w:rsid w:val="006D1F99"/>
    <w:rsid w:val="006D24FA"/>
    <w:rsid w:val="006D2DD1"/>
    <w:rsid w:val="006D3787"/>
    <w:rsid w:val="006D37CA"/>
    <w:rsid w:val="006D39B8"/>
    <w:rsid w:val="006D3FFA"/>
    <w:rsid w:val="006D551D"/>
    <w:rsid w:val="006D5AF5"/>
    <w:rsid w:val="006D5C2F"/>
    <w:rsid w:val="006D5DBE"/>
    <w:rsid w:val="006D5EB4"/>
    <w:rsid w:val="006D612B"/>
    <w:rsid w:val="006D63BA"/>
    <w:rsid w:val="006D6A7B"/>
    <w:rsid w:val="006D6B03"/>
    <w:rsid w:val="006D6BE5"/>
    <w:rsid w:val="006D704D"/>
    <w:rsid w:val="006D7C1B"/>
    <w:rsid w:val="006D7DAD"/>
    <w:rsid w:val="006D7E22"/>
    <w:rsid w:val="006E042A"/>
    <w:rsid w:val="006E1736"/>
    <w:rsid w:val="006E1E33"/>
    <w:rsid w:val="006E26CC"/>
    <w:rsid w:val="006E2841"/>
    <w:rsid w:val="006E2A88"/>
    <w:rsid w:val="006E3A05"/>
    <w:rsid w:val="006E3A29"/>
    <w:rsid w:val="006E3F27"/>
    <w:rsid w:val="006E421F"/>
    <w:rsid w:val="006E4B21"/>
    <w:rsid w:val="006E526C"/>
    <w:rsid w:val="006E5358"/>
    <w:rsid w:val="006E597D"/>
    <w:rsid w:val="006E59C9"/>
    <w:rsid w:val="006E6019"/>
    <w:rsid w:val="006E62EC"/>
    <w:rsid w:val="006E6327"/>
    <w:rsid w:val="006E6698"/>
    <w:rsid w:val="006E6949"/>
    <w:rsid w:val="006E69FA"/>
    <w:rsid w:val="006E7C0B"/>
    <w:rsid w:val="006E7C81"/>
    <w:rsid w:val="006F00BA"/>
    <w:rsid w:val="006F048A"/>
    <w:rsid w:val="006F0666"/>
    <w:rsid w:val="006F0853"/>
    <w:rsid w:val="006F096E"/>
    <w:rsid w:val="006F17AD"/>
    <w:rsid w:val="006F1915"/>
    <w:rsid w:val="006F1F58"/>
    <w:rsid w:val="006F2832"/>
    <w:rsid w:val="006F3116"/>
    <w:rsid w:val="006F34CF"/>
    <w:rsid w:val="006F35ED"/>
    <w:rsid w:val="006F3646"/>
    <w:rsid w:val="006F3897"/>
    <w:rsid w:val="006F39CA"/>
    <w:rsid w:val="006F4463"/>
    <w:rsid w:val="006F46EF"/>
    <w:rsid w:val="006F4854"/>
    <w:rsid w:val="006F4CFC"/>
    <w:rsid w:val="006F4E93"/>
    <w:rsid w:val="006F5CC0"/>
    <w:rsid w:val="006F5D0D"/>
    <w:rsid w:val="006F6046"/>
    <w:rsid w:val="006F6443"/>
    <w:rsid w:val="006F6897"/>
    <w:rsid w:val="006F6920"/>
    <w:rsid w:val="006F6EC3"/>
    <w:rsid w:val="006F70E8"/>
    <w:rsid w:val="00700A35"/>
    <w:rsid w:val="00700D26"/>
    <w:rsid w:val="0070117F"/>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703"/>
    <w:rsid w:val="00705840"/>
    <w:rsid w:val="007058BF"/>
    <w:rsid w:val="00705D02"/>
    <w:rsid w:val="00705EC8"/>
    <w:rsid w:val="007066AA"/>
    <w:rsid w:val="0070672A"/>
    <w:rsid w:val="00706C8A"/>
    <w:rsid w:val="007074AB"/>
    <w:rsid w:val="0070770D"/>
    <w:rsid w:val="00710036"/>
    <w:rsid w:val="0071009B"/>
    <w:rsid w:val="007102C1"/>
    <w:rsid w:val="00710312"/>
    <w:rsid w:val="00710983"/>
    <w:rsid w:val="00710DE5"/>
    <w:rsid w:val="007114A4"/>
    <w:rsid w:val="00711AFA"/>
    <w:rsid w:val="00712077"/>
    <w:rsid w:val="0071219A"/>
    <w:rsid w:val="007122ED"/>
    <w:rsid w:val="007126C1"/>
    <w:rsid w:val="00712C93"/>
    <w:rsid w:val="007130DD"/>
    <w:rsid w:val="00713198"/>
    <w:rsid w:val="00714136"/>
    <w:rsid w:val="007143AA"/>
    <w:rsid w:val="007144FA"/>
    <w:rsid w:val="0071554C"/>
    <w:rsid w:val="007159B4"/>
    <w:rsid w:val="00715B2C"/>
    <w:rsid w:val="00715BF4"/>
    <w:rsid w:val="00715EDF"/>
    <w:rsid w:val="0071643C"/>
    <w:rsid w:val="00716543"/>
    <w:rsid w:val="0071682E"/>
    <w:rsid w:val="00717165"/>
    <w:rsid w:val="00717EA1"/>
    <w:rsid w:val="00717F3E"/>
    <w:rsid w:val="007200ED"/>
    <w:rsid w:val="007205D6"/>
    <w:rsid w:val="007206C5"/>
    <w:rsid w:val="007206D0"/>
    <w:rsid w:val="00720D68"/>
    <w:rsid w:val="00721377"/>
    <w:rsid w:val="00721483"/>
    <w:rsid w:val="00721504"/>
    <w:rsid w:val="007215D7"/>
    <w:rsid w:val="00721B17"/>
    <w:rsid w:val="007220A6"/>
    <w:rsid w:val="00722172"/>
    <w:rsid w:val="00722CCB"/>
    <w:rsid w:val="00723E7C"/>
    <w:rsid w:val="007241CF"/>
    <w:rsid w:val="007243B4"/>
    <w:rsid w:val="007244F0"/>
    <w:rsid w:val="00724629"/>
    <w:rsid w:val="007248A1"/>
    <w:rsid w:val="0072493D"/>
    <w:rsid w:val="00724DC8"/>
    <w:rsid w:val="00725885"/>
    <w:rsid w:val="00725B2F"/>
    <w:rsid w:val="00725E05"/>
    <w:rsid w:val="0072600A"/>
    <w:rsid w:val="0072612E"/>
    <w:rsid w:val="007265A4"/>
    <w:rsid w:val="00726D74"/>
    <w:rsid w:val="00726F42"/>
    <w:rsid w:val="007274E4"/>
    <w:rsid w:val="00727B27"/>
    <w:rsid w:val="00727E59"/>
    <w:rsid w:val="00730A2C"/>
    <w:rsid w:val="00730C29"/>
    <w:rsid w:val="00730F14"/>
    <w:rsid w:val="007312BD"/>
    <w:rsid w:val="007318BC"/>
    <w:rsid w:val="00731978"/>
    <w:rsid w:val="007323DD"/>
    <w:rsid w:val="00732657"/>
    <w:rsid w:val="00733375"/>
    <w:rsid w:val="007333F0"/>
    <w:rsid w:val="00733829"/>
    <w:rsid w:val="00733A66"/>
    <w:rsid w:val="00733F02"/>
    <w:rsid w:val="0073414B"/>
    <w:rsid w:val="007344EA"/>
    <w:rsid w:val="00734517"/>
    <w:rsid w:val="00734C0C"/>
    <w:rsid w:val="00735C25"/>
    <w:rsid w:val="00735E97"/>
    <w:rsid w:val="00736178"/>
    <w:rsid w:val="00736332"/>
    <w:rsid w:val="0073662A"/>
    <w:rsid w:val="007369C2"/>
    <w:rsid w:val="00736A26"/>
    <w:rsid w:val="007370FB"/>
    <w:rsid w:val="00737110"/>
    <w:rsid w:val="00737B62"/>
    <w:rsid w:val="00742350"/>
    <w:rsid w:val="0074290F"/>
    <w:rsid w:val="00742AE4"/>
    <w:rsid w:val="00742B11"/>
    <w:rsid w:val="00742B30"/>
    <w:rsid w:val="00742BEB"/>
    <w:rsid w:val="00742F34"/>
    <w:rsid w:val="00743BBD"/>
    <w:rsid w:val="00743D5E"/>
    <w:rsid w:val="00743F0A"/>
    <w:rsid w:val="0074476B"/>
    <w:rsid w:val="00744835"/>
    <w:rsid w:val="007456A5"/>
    <w:rsid w:val="007457F2"/>
    <w:rsid w:val="007467F4"/>
    <w:rsid w:val="007468B2"/>
    <w:rsid w:val="00746A42"/>
    <w:rsid w:val="00746B63"/>
    <w:rsid w:val="00747884"/>
    <w:rsid w:val="0074788D"/>
    <w:rsid w:val="00750003"/>
    <w:rsid w:val="0075033A"/>
    <w:rsid w:val="00750EAF"/>
    <w:rsid w:val="0075163D"/>
    <w:rsid w:val="00751CCC"/>
    <w:rsid w:val="007527B3"/>
    <w:rsid w:val="0075281F"/>
    <w:rsid w:val="00752846"/>
    <w:rsid w:val="007528B1"/>
    <w:rsid w:val="00753051"/>
    <w:rsid w:val="007535B9"/>
    <w:rsid w:val="0075360F"/>
    <w:rsid w:val="007538DD"/>
    <w:rsid w:val="00753A3F"/>
    <w:rsid w:val="00753C62"/>
    <w:rsid w:val="00754543"/>
    <w:rsid w:val="0075456D"/>
    <w:rsid w:val="00754D5C"/>
    <w:rsid w:val="00754EE2"/>
    <w:rsid w:val="00754FD9"/>
    <w:rsid w:val="00755248"/>
    <w:rsid w:val="00755392"/>
    <w:rsid w:val="007556B2"/>
    <w:rsid w:val="0075582D"/>
    <w:rsid w:val="0075592E"/>
    <w:rsid w:val="00755C8F"/>
    <w:rsid w:val="00755E1F"/>
    <w:rsid w:val="0075613F"/>
    <w:rsid w:val="0075644B"/>
    <w:rsid w:val="00756976"/>
    <w:rsid w:val="007576F9"/>
    <w:rsid w:val="0075794F"/>
    <w:rsid w:val="00757B9E"/>
    <w:rsid w:val="007606B3"/>
    <w:rsid w:val="007614B1"/>
    <w:rsid w:val="00761542"/>
    <w:rsid w:val="007618C3"/>
    <w:rsid w:val="007621CF"/>
    <w:rsid w:val="00762465"/>
    <w:rsid w:val="007627F1"/>
    <w:rsid w:val="007628DA"/>
    <w:rsid w:val="00762937"/>
    <w:rsid w:val="00763094"/>
    <w:rsid w:val="00763102"/>
    <w:rsid w:val="00763552"/>
    <w:rsid w:val="00763B49"/>
    <w:rsid w:val="00763BD8"/>
    <w:rsid w:val="00763D8B"/>
    <w:rsid w:val="00764231"/>
    <w:rsid w:val="007647BD"/>
    <w:rsid w:val="00764925"/>
    <w:rsid w:val="00764BBE"/>
    <w:rsid w:val="00764C03"/>
    <w:rsid w:val="00764DFD"/>
    <w:rsid w:val="00765568"/>
    <w:rsid w:val="00765604"/>
    <w:rsid w:val="00765689"/>
    <w:rsid w:val="00765AAF"/>
    <w:rsid w:val="00765B2C"/>
    <w:rsid w:val="00765CAA"/>
    <w:rsid w:val="0076621B"/>
    <w:rsid w:val="00766371"/>
    <w:rsid w:val="00767322"/>
    <w:rsid w:val="00767695"/>
    <w:rsid w:val="0076781F"/>
    <w:rsid w:val="00767B19"/>
    <w:rsid w:val="00767BD5"/>
    <w:rsid w:val="00770079"/>
    <w:rsid w:val="007702C8"/>
    <w:rsid w:val="00770537"/>
    <w:rsid w:val="00770797"/>
    <w:rsid w:val="00770AAF"/>
    <w:rsid w:val="00770C52"/>
    <w:rsid w:val="007713E7"/>
    <w:rsid w:val="0077143C"/>
    <w:rsid w:val="00771780"/>
    <w:rsid w:val="007720F9"/>
    <w:rsid w:val="007732E9"/>
    <w:rsid w:val="00773D78"/>
    <w:rsid w:val="00773DFD"/>
    <w:rsid w:val="0077414D"/>
    <w:rsid w:val="0077453D"/>
    <w:rsid w:val="00775C1B"/>
    <w:rsid w:val="00775C54"/>
    <w:rsid w:val="007760B5"/>
    <w:rsid w:val="00776B8D"/>
    <w:rsid w:val="00776C87"/>
    <w:rsid w:val="00776E3A"/>
    <w:rsid w:val="00777395"/>
    <w:rsid w:val="00777599"/>
    <w:rsid w:val="00777845"/>
    <w:rsid w:val="007801B7"/>
    <w:rsid w:val="0078047D"/>
    <w:rsid w:val="00780524"/>
    <w:rsid w:val="00780B83"/>
    <w:rsid w:val="007811BD"/>
    <w:rsid w:val="00781BDB"/>
    <w:rsid w:val="0078204F"/>
    <w:rsid w:val="007821A2"/>
    <w:rsid w:val="00782364"/>
    <w:rsid w:val="00783851"/>
    <w:rsid w:val="007838D0"/>
    <w:rsid w:val="00784653"/>
    <w:rsid w:val="00784A66"/>
    <w:rsid w:val="00784AB5"/>
    <w:rsid w:val="00784BDA"/>
    <w:rsid w:val="00785B3B"/>
    <w:rsid w:val="00785BD1"/>
    <w:rsid w:val="00786118"/>
    <w:rsid w:val="0078716C"/>
    <w:rsid w:val="007872D7"/>
    <w:rsid w:val="007874E4"/>
    <w:rsid w:val="00787875"/>
    <w:rsid w:val="00787E88"/>
    <w:rsid w:val="007903A1"/>
    <w:rsid w:val="007907CC"/>
    <w:rsid w:val="0079098D"/>
    <w:rsid w:val="00790A2E"/>
    <w:rsid w:val="00791268"/>
    <w:rsid w:val="00791468"/>
    <w:rsid w:val="00791FF2"/>
    <w:rsid w:val="00792137"/>
    <w:rsid w:val="00792356"/>
    <w:rsid w:val="00793AD7"/>
    <w:rsid w:val="00793D8E"/>
    <w:rsid w:val="00793EFB"/>
    <w:rsid w:val="00793F9F"/>
    <w:rsid w:val="00793FD7"/>
    <w:rsid w:val="007941FE"/>
    <w:rsid w:val="00794431"/>
    <w:rsid w:val="00794A07"/>
    <w:rsid w:val="007951B3"/>
    <w:rsid w:val="007957B5"/>
    <w:rsid w:val="0079588F"/>
    <w:rsid w:val="00795960"/>
    <w:rsid w:val="00795C9B"/>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90B"/>
    <w:rsid w:val="007A0912"/>
    <w:rsid w:val="007A0CF0"/>
    <w:rsid w:val="007A1248"/>
    <w:rsid w:val="007A1E67"/>
    <w:rsid w:val="007A20DF"/>
    <w:rsid w:val="007A245C"/>
    <w:rsid w:val="007A29C5"/>
    <w:rsid w:val="007A383B"/>
    <w:rsid w:val="007A3A60"/>
    <w:rsid w:val="007A3A7B"/>
    <w:rsid w:val="007A3BC0"/>
    <w:rsid w:val="007A4622"/>
    <w:rsid w:val="007A48AB"/>
    <w:rsid w:val="007A4BDA"/>
    <w:rsid w:val="007A4D8C"/>
    <w:rsid w:val="007A5053"/>
    <w:rsid w:val="007A5101"/>
    <w:rsid w:val="007A5178"/>
    <w:rsid w:val="007A54B9"/>
    <w:rsid w:val="007A5A7F"/>
    <w:rsid w:val="007A5FFA"/>
    <w:rsid w:val="007A6243"/>
    <w:rsid w:val="007A6458"/>
    <w:rsid w:val="007A6669"/>
    <w:rsid w:val="007A77DA"/>
    <w:rsid w:val="007A7FAA"/>
    <w:rsid w:val="007B04BD"/>
    <w:rsid w:val="007B054A"/>
    <w:rsid w:val="007B0E10"/>
    <w:rsid w:val="007B1453"/>
    <w:rsid w:val="007B19FD"/>
    <w:rsid w:val="007B1CE5"/>
    <w:rsid w:val="007B253D"/>
    <w:rsid w:val="007B284F"/>
    <w:rsid w:val="007B3B02"/>
    <w:rsid w:val="007B3F78"/>
    <w:rsid w:val="007B417E"/>
    <w:rsid w:val="007B439A"/>
    <w:rsid w:val="007B4411"/>
    <w:rsid w:val="007B4B4A"/>
    <w:rsid w:val="007B4E43"/>
    <w:rsid w:val="007B4F8A"/>
    <w:rsid w:val="007B57FD"/>
    <w:rsid w:val="007B5C4D"/>
    <w:rsid w:val="007B6203"/>
    <w:rsid w:val="007B668C"/>
    <w:rsid w:val="007B6B67"/>
    <w:rsid w:val="007B6E4F"/>
    <w:rsid w:val="007B6F4A"/>
    <w:rsid w:val="007B7565"/>
    <w:rsid w:val="007B760E"/>
    <w:rsid w:val="007B76BC"/>
    <w:rsid w:val="007C02AB"/>
    <w:rsid w:val="007C079B"/>
    <w:rsid w:val="007C083B"/>
    <w:rsid w:val="007C086C"/>
    <w:rsid w:val="007C0E6C"/>
    <w:rsid w:val="007C0F10"/>
    <w:rsid w:val="007C10B6"/>
    <w:rsid w:val="007C11B1"/>
    <w:rsid w:val="007C138B"/>
    <w:rsid w:val="007C14A3"/>
    <w:rsid w:val="007C1E4F"/>
    <w:rsid w:val="007C2016"/>
    <w:rsid w:val="007C2185"/>
    <w:rsid w:val="007C27D3"/>
    <w:rsid w:val="007C28C4"/>
    <w:rsid w:val="007C2B38"/>
    <w:rsid w:val="007C3DE2"/>
    <w:rsid w:val="007C3F2E"/>
    <w:rsid w:val="007C40C5"/>
    <w:rsid w:val="007C4610"/>
    <w:rsid w:val="007C4A65"/>
    <w:rsid w:val="007C50BB"/>
    <w:rsid w:val="007C51DA"/>
    <w:rsid w:val="007C5569"/>
    <w:rsid w:val="007C5698"/>
    <w:rsid w:val="007C5706"/>
    <w:rsid w:val="007C5C8B"/>
    <w:rsid w:val="007C60B0"/>
    <w:rsid w:val="007C63CC"/>
    <w:rsid w:val="007C68AE"/>
    <w:rsid w:val="007C7E4C"/>
    <w:rsid w:val="007C7EBA"/>
    <w:rsid w:val="007D051F"/>
    <w:rsid w:val="007D11FD"/>
    <w:rsid w:val="007D15F8"/>
    <w:rsid w:val="007D2361"/>
    <w:rsid w:val="007D2543"/>
    <w:rsid w:val="007D2882"/>
    <w:rsid w:val="007D310C"/>
    <w:rsid w:val="007D32D5"/>
    <w:rsid w:val="007D38FB"/>
    <w:rsid w:val="007D3A02"/>
    <w:rsid w:val="007D3EE6"/>
    <w:rsid w:val="007D3F39"/>
    <w:rsid w:val="007D42E3"/>
    <w:rsid w:val="007D492B"/>
    <w:rsid w:val="007D4E3F"/>
    <w:rsid w:val="007D507D"/>
    <w:rsid w:val="007D54FB"/>
    <w:rsid w:val="007D59B0"/>
    <w:rsid w:val="007D61DF"/>
    <w:rsid w:val="007D62DC"/>
    <w:rsid w:val="007D709A"/>
    <w:rsid w:val="007D740F"/>
    <w:rsid w:val="007D7A86"/>
    <w:rsid w:val="007D7E75"/>
    <w:rsid w:val="007E0369"/>
    <w:rsid w:val="007E04FC"/>
    <w:rsid w:val="007E05B1"/>
    <w:rsid w:val="007E0A9D"/>
    <w:rsid w:val="007E0ADC"/>
    <w:rsid w:val="007E1216"/>
    <w:rsid w:val="007E123F"/>
    <w:rsid w:val="007E29FA"/>
    <w:rsid w:val="007E2A56"/>
    <w:rsid w:val="007E2FDD"/>
    <w:rsid w:val="007E3AA3"/>
    <w:rsid w:val="007E40F4"/>
    <w:rsid w:val="007E4551"/>
    <w:rsid w:val="007E517E"/>
    <w:rsid w:val="007E5346"/>
    <w:rsid w:val="007E61A6"/>
    <w:rsid w:val="007E628F"/>
    <w:rsid w:val="007E6756"/>
    <w:rsid w:val="007E7741"/>
    <w:rsid w:val="007E7A77"/>
    <w:rsid w:val="007E7F4F"/>
    <w:rsid w:val="007F001D"/>
    <w:rsid w:val="007F0570"/>
    <w:rsid w:val="007F0690"/>
    <w:rsid w:val="007F0AAB"/>
    <w:rsid w:val="007F0B38"/>
    <w:rsid w:val="007F0DC9"/>
    <w:rsid w:val="007F0E41"/>
    <w:rsid w:val="007F176C"/>
    <w:rsid w:val="007F1B6C"/>
    <w:rsid w:val="007F1BBE"/>
    <w:rsid w:val="007F1D3B"/>
    <w:rsid w:val="007F4484"/>
    <w:rsid w:val="007F46F0"/>
    <w:rsid w:val="007F4BCB"/>
    <w:rsid w:val="007F4D04"/>
    <w:rsid w:val="007F4FE7"/>
    <w:rsid w:val="007F50FE"/>
    <w:rsid w:val="007F574B"/>
    <w:rsid w:val="007F5B2A"/>
    <w:rsid w:val="007F5B86"/>
    <w:rsid w:val="007F5C63"/>
    <w:rsid w:val="007F652F"/>
    <w:rsid w:val="007F667B"/>
    <w:rsid w:val="007F695D"/>
    <w:rsid w:val="007F6B35"/>
    <w:rsid w:val="007F6F02"/>
    <w:rsid w:val="007F7271"/>
    <w:rsid w:val="007F74C9"/>
    <w:rsid w:val="007F77D7"/>
    <w:rsid w:val="007F7A7D"/>
    <w:rsid w:val="007F7C85"/>
    <w:rsid w:val="0080052B"/>
    <w:rsid w:val="0080064E"/>
    <w:rsid w:val="008011C0"/>
    <w:rsid w:val="008012BE"/>
    <w:rsid w:val="00801DD8"/>
    <w:rsid w:val="00801E40"/>
    <w:rsid w:val="00801FA9"/>
    <w:rsid w:val="0080280B"/>
    <w:rsid w:val="00802B16"/>
    <w:rsid w:val="008030D4"/>
    <w:rsid w:val="008034EA"/>
    <w:rsid w:val="00803B10"/>
    <w:rsid w:val="00804326"/>
    <w:rsid w:val="0080467C"/>
    <w:rsid w:val="008048AA"/>
    <w:rsid w:val="00805178"/>
    <w:rsid w:val="00806163"/>
    <w:rsid w:val="008064C5"/>
    <w:rsid w:val="00807176"/>
    <w:rsid w:val="008071DB"/>
    <w:rsid w:val="0080751E"/>
    <w:rsid w:val="00807889"/>
    <w:rsid w:val="0081006B"/>
    <w:rsid w:val="008100A7"/>
    <w:rsid w:val="00810C3C"/>
    <w:rsid w:val="00810CE7"/>
    <w:rsid w:val="00811409"/>
    <w:rsid w:val="008116ED"/>
    <w:rsid w:val="00812389"/>
    <w:rsid w:val="008134A6"/>
    <w:rsid w:val="00813BED"/>
    <w:rsid w:val="00813E7B"/>
    <w:rsid w:val="0081409B"/>
    <w:rsid w:val="008145C8"/>
    <w:rsid w:val="00814874"/>
    <w:rsid w:val="008149C0"/>
    <w:rsid w:val="00814E9F"/>
    <w:rsid w:val="008153B5"/>
    <w:rsid w:val="00815759"/>
    <w:rsid w:val="00815BB1"/>
    <w:rsid w:val="00816249"/>
    <w:rsid w:val="008168BB"/>
    <w:rsid w:val="0081691B"/>
    <w:rsid w:val="008171B8"/>
    <w:rsid w:val="008177D8"/>
    <w:rsid w:val="00817F79"/>
    <w:rsid w:val="0082032B"/>
    <w:rsid w:val="00820422"/>
    <w:rsid w:val="0082054E"/>
    <w:rsid w:val="00820E0E"/>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A70"/>
    <w:rsid w:val="00825DB8"/>
    <w:rsid w:val="00826003"/>
    <w:rsid w:val="008260BB"/>
    <w:rsid w:val="0082620B"/>
    <w:rsid w:val="00826792"/>
    <w:rsid w:val="00826B3F"/>
    <w:rsid w:val="00827915"/>
    <w:rsid w:val="00827CFD"/>
    <w:rsid w:val="0083040B"/>
    <w:rsid w:val="00830C2E"/>
    <w:rsid w:val="00831395"/>
    <w:rsid w:val="00831477"/>
    <w:rsid w:val="008315D4"/>
    <w:rsid w:val="0083177B"/>
    <w:rsid w:val="00831BAF"/>
    <w:rsid w:val="0083227B"/>
    <w:rsid w:val="008325E8"/>
    <w:rsid w:val="0083295B"/>
    <w:rsid w:val="00832B7D"/>
    <w:rsid w:val="00832CD8"/>
    <w:rsid w:val="00832CF9"/>
    <w:rsid w:val="00832D4F"/>
    <w:rsid w:val="00832F48"/>
    <w:rsid w:val="0083389C"/>
    <w:rsid w:val="008346CE"/>
    <w:rsid w:val="00834862"/>
    <w:rsid w:val="00834902"/>
    <w:rsid w:val="00834A78"/>
    <w:rsid w:val="00834E6B"/>
    <w:rsid w:val="00835846"/>
    <w:rsid w:val="008358D4"/>
    <w:rsid w:val="00835A10"/>
    <w:rsid w:val="00835B8D"/>
    <w:rsid w:val="0083690A"/>
    <w:rsid w:val="00836C74"/>
    <w:rsid w:val="008372AB"/>
    <w:rsid w:val="00837326"/>
    <w:rsid w:val="00837750"/>
    <w:rsid w:val="00837F7A"/>
    <w:rsid w:val="0084091E"/>
    <w:rsid w:val="0084094A"/>
    <w:rsid w:val="00840D3C"/>
    <w:rsid w:val="00840DBF"/>
    <w:rsid w:val="0084248F"/>
    <w:rsid w:val="00842663"/>
    <w:rsid w:val="00842800"/>
    <w:rsid w:val="00842AC5"/>
    <w:rsid w:val="0084366A"/>
    <w:rsid w:val="00844420"/>
    <w:rsid w:val="00844533"/>
    <w:rsid w:val="0084475B"/>
    <w:rsid w:val="00844B53"/>
    <w:rsid w:val="008464B0"/>
    <w:rsid w:val="0084659E"/>
    <w:rsid w:val="008466AF"/>
    <w:rsid w:val="00846BE4"/>
    <w:rsid w:val="00846D02"/>
    <w:rsid w:val="008475A6"/>
    <w:rsid w:val="0084766A"/>
    <w:rsid w:val="008479D3"/>
    <w:rsid w:val="00847EA3"/>
    <w:rsid w:val="00850149"/>
    <w:rsid w:val="00850291"/>
    <w:rsid w:val="008503C0"/>
    <w:rsid w:val="0085138F"/>
    <w:rsid w:val="00851B3B"/>
    <w:rsid w:val="00852686"/>
    <w:rsid w:val="008526FA"/>
    <w:rsid w:val="00852D80"/>
    <w:rsid w:val="00852E59"/>
    <w:rsid w:val="00853E24"/>
    <w:rsid w:val="00854071"/>
    <w:rsid w:val="008543EE"/>
    <w:rsid w:val="00854A06"/>
    <w:rsid w:val="0085531F"/>
    <w:rsid w:val="0085551E"/>
    <w:rsid w:val="00855805"/>
    <w:rsid w:val="008559B5"/>
    <w:rsid w:val="00855C68"/>
    <w:rsid w:val="00856094"/>
    <w:rsid w:val="008560AA"/>
    <w:rsid w:val="008561A1"/>
    <w:rsid w:val="008564B8"/>
    <w:rsid w:val="00856871"/>
    <w:rsid w:val="00856908"/>
    <w:rsid w:val="008575B5"/>
    <w:rsid w:val="00857E08"/>
    <w:rsid w:val="00860462"/>
    <w:rsid w:val="008605C7"/>
    <w:rsid w:val="00860A4E"/>
    <w:rsid w:val="00860B77"/>
    <w:rsid w:val="00860ED2"/>
    <w:rsid w:val="00861360"/>
    <w:rsid w:val="0086137E"/>
    <w:rsid w:val="008617DA"/>
    <w:rsid w:val="00861C4A"/>
    <w:rsid w:val="00861C8C"/>
    <w:rsid w:val="00861DC6"/>
    <w:rsid w:val="00861FD8"/>
    <w:rsid w:val="00862238"/>
    <w:rsid w:val="00862925"/>
    <w:rsid w:val="00862ADF"/>
    <w:rsid w:val="00862BF5"/>
    <w:rsid w:val="00863614"/>
    <w:rsid w:val="00863A1F"/>
    <w:rsid w:val="00863DCB"/>
    <w:rsid w:val="008643CD"/>
    <w:rsid w:val="00864882"/>
    <w:rsid w:val="00864B1E"/>
    <w:rsid w:val="00864E00"/>
    <w:rsid w:val="008653C0"/>
    <w:rsid w:val="0086560B"/>
    <w:rsid w:val="00866389"/>
    <w:rsid w:val="00866BB5"/>
    <w:rsid w:val="00867450"/>
    <w:rsid w:val="00867861"/>
    <w:rsid w:val="00867B84"/>
    <w:rsid w:val="00867CD9"/>
    <w:rsid w:val="0087062D"/>
    <w:rsid w:val="008708E8"/>
    <w:rsid w:val="00870998"/>
    <w:rsid w:val="00870AFB"/>
    <w:rsid w:val="008714F9"/>
    <w:rsid w:val="008715F0"/>
    <w:rsid w:val="0087181F"/>
    <w:rsid w:val="00871963"/>
    <w:rsid w:val="00871C2F"/>
    <w:rsid w:val="00871E7C"/>
    <w:rsid w:val="008721C8"/>
    <w:rsid w:val="008728AB"/>
    <w:rsid w:val="008728C5"/>
    <w:rsid w:val="00872A98"/>
    <w:rsid w:val="00872AB6"/>
    <w:rsid w:val="00873078"/>
    <w:rsid w:val="0087351E"/>
    <w:rsid w:val="00873CE9"/>
    <w:rsid w:val="00873EFE"/>
    <w:rsid w:val="00874A5E"/>
    <w:rsid w:val="00874CA8"/>
    <w:rsid w:val="00874F5C"/>
    <w:rsid w:val="00876780"/>
    <w:rsid w:val="00877F7F"/>
    <w:rsid w:val="00877F92"/>
    <w:rsid w:val="008805A0"/>
    <w:rsid w:val="008810DD"/>
    <w:rsid w:val="008816CE"/>
    <w:rsid w:val="008816FB"/>
    <w:rsid w:val="00881E44"/>
    <w:rsid w:val="00881E9A"/>
    <w:rsid w:val="008822AF"/>
    <w:rsid w:val="00882316"/>
    <w:rsid w:val="00882417"/>
    <w:rsid w:val="008826C3"/>
    <w:rsid w:val="00882854"/>
    <w:rsid w:val="00882FB9"/>
    <w:rsid w:val="0088313C"/>
    <w:rsid w:val="00883578"/>
    <w:rsid w:val="00883CE1"/>
    <w:rsid w:val="00883E81"/>
    <w:rsid w:val="0088412A"/>
    <w:rsid w:val="008847A2"/>
    <w:rsid w:val="00884D37"/>
    <w:rsid w:val="00885170"/>
    <w:rsid w:val="0088526F"/>
    <w:rsid w:val="00885666"/>
    <w:rsid w:val="0088606B"/>
    <w:rsid w:val="008864A2"/>
    <w:rsid w:val="0088692F"/>
    <w:rsid w:val="008870D5"/>
    <w:rsid w:val="00887889"/>
    <w:rsid w:val="00887E26"/>
    <w:rsid w:val="00890569"/>
    <w:rsid w:val="00890D19"/>
    <w:rsid w:val="008918D5"/>
    <w:rsid w:val="00891CAD"/>
    <w:rsid w:val="00892162"/>
    <w:rsid w:val="008921EB"/>
    <w:rsid w:val="008927E9"/>
    <w:rsid w:val="008937E7"/>
    <w:rsid w:val="008941C5"/>
    <w:rsid w:val="0089461C"/>
    <w:rsid w:val="00894692"/>
    <w:rsid w:val="00894729"/>
    <w:rsid w:val="008948E6"/>
    <w:rsid w:val="00894FFE"/>
    <w:rsid w:val="008951AA"/>
    <w:rsid w:val="00895492"/>
    <w:rsid w:val="00896485"/>
    <w:rsid w:val="00896921"/>
    <w:rsid w:val="00896B04"/>
    <w:rsid w:val="00896CC0"/>
    <w:rsid w:val="00896DA5"/>
    <w:rsid w:val="00897291"/>
    <w:rsid w:val="008979CE"/>
    <w:rsid w:val="00897B88"/>
    <w:rsid w:val="00897CBB"/>
    <w:rsid w:val="00897E30"/>
    <w:rsid w:val="008A00E8"/>
    <w:rsid w:val="008A045B"/>
    <w:rsid w:val="008A0F9B"/>
    <w:rsid w:val="008A10BF"/>
    <w:rsid w:val="008A1102"/>
    <w:rsid w:val="008A12D1"/>
    <w:rsid w:val="008A13F9"/>
    <w:rsid w:val="008A166A"/>
    <w:rsid w:val="008A176C"/>
    <w:rsid w:val="008A17F8"/>
    <w:rsid w:val="008A1A9D"/>
    <w:rsid w:val="008A2AB9"/>
    <w:rsid w:val="008A2AF6"/>
    <w:rsid w:val="008A329C"/>
    <w:rsid w:val="008A3433"/>
    <w:rsid w:val="008A3C30"/>
    <w:rsid w:val="008A4124"/>
    <w:rsid w:val="008A4770"/>
    <w:rsid w:val="008A4EDC"/>
    <w:rsid w:val="008A5333"/>
    <w:rsid w:val="008A539F"/>
    <w:rsid w:val="008A5944"/>
    <w:rsid w:val="008A61BD"/>
    <w:rsid w:val="008A7648"/>
    <w:rsid w:val="008B15A1"/>
    <w:rsid w:val="008B17A9"/>
    <w:rsid w:val="008B22BA"/>
    <w:rsid w:val="008B2505"/>
    <w:rsid w:val="008B2592"/>
    <w:rsid w:val="008B27CF"/>
    <w:rsid w:val="008B2922"/>
    <w:rsid w:val="008B2C4C"/>
    <w:rsid w:val="008B366F"/>
    <w:rsid w:val="008B3681"/>
    <w:rsid w:val="008B3896"/>
    <w:rsid w:val="008B3D88"/>
    <w:rsid w:val="008B456E"/>
    <w:rsid w:val="008B48B6"/>
    <w:rsid w:val="008B48F4"/>
    <w:rsid w:val="008B4C18"/>
    <w:rsid w:val="008B4E97"/>
    <w:rsid w:val="008B5A2C"/>
    <w:rsid w:val="008B60E0"/>
    <w:rsid w:val="008B615C"/>
    <w:rsid w:val="008B61BB"/>
    <w:rsid w:val="008B64EF"/>
    <w:rsid w:val="008B675D"/>
    <w:rsid w:val="008B6829"/>
    <w:rsid w:val="008B6B9D"/>
    <w:rsid w:val="008B73B6"/>
    <w:rsid w:val="008B7A15"/>
    <w:rsid w:val="008C0C78"/>
    <w:rsid w:val="008C0F2E"/>
    <w:rsid w:val="008C14DB"/>
    <w:rsid w:val="008C1952"/>
    <w:rsid w:val="008C1B1D"/>
    <w:rsid w:val="008C268A"/>
    <w:rsid w:val="008C2D60"/>
    <w:rsid w:val="008C3348"/>
    <w:rsid w:val="008C3771"/>
    <w:rsid w:val="008C3D13"/>
    <w:rsid w:val="008C3DE2"/>
    <w:rsid w:val="008C4AD9"/>
    <w:rsid w:val="008C5188"/>
    <w:rsid w:val="008C57CD"/>
    <w:rsid w:val="008C5C60"/>
    <w:rsid w:val="008C5CD2"/>
    <w:rsid w:val="008C617C"/>
    <w:rsid w:val="008C6E70"/>
    <w:rsid w:val="008C7618"/>
    <w:rsid w:val="008C7742"/>
    <w:rsid w:val="008C7B96"/>
    <w:rsid w:val="008D0661"/>
    <w:rsid w:val="008D130E"/>
    <w:rsid w:val="008D1473"/>
    <w:rsid w:val="008D1D90"/>
    <w:rsid w:val="008D1DBC"/>
    <w:rsid w:val="008D1DC1"/>
    <w:rsid w:val="008D26AC"/>
    <w:rsid w:val="008D2BB8"/>
    <w:rsid w:val="008D2DF4"/>
    <w:rsid w:val="008D32D9"/>
    <w:rsid w:val="008D33BE"/>
    <w:rsid w:val="008D368A"/>
    <w:rsid w:val="008D396F"/>
    <w:rsid w:val="008D3CED"/>
    <w:rsid w:val="008D3D58"/>
    <w:rsid w:val="008D4138"/>
    <w:rsid w:val="008D4990"/>
    <w:rsid w:val="008D4B83"/>
    <w:rsid w:val="008D4CBE"/>
    <w:rsid w:val="008D5131"/>
    <w:rsid w:val="008D53FA"/>
    <w:rsid w:val="008D5A2B"/>
    <w:rsid w:val="008D60A8"/>
    <w:rsid w:val="008D6B31"/>
    <w:rsid w:val="008D6D71"/>
    <w:rsid w:val="008D6DF8"/>
    <w:rsid w:val="008D6EBB"/>
    <w:rsid w:val="008D73A7"/>
    <w:rsid w:val="008D786D"/>
    <w:rsid w:val="008D7F6D"/>
    <w:rsid w:val="008E05E1"/>
    <w:rsid w:val="008E06BA"/>
    <w:rsid w:val="008E0B1B"/>
    <w:rsid w:val="008E11BB"/>
    <w:rsid w:val="008E19ED"/>
    <w:rsid w:val="008E1A61"/>
    <w:rsid w:val="008E2295"/>
    <w:rsid w:val="008E2C0F"/>
    <w:rsid w:val="008E32D7"/>
    <w:rsid w:val="008E3385"/>
    <w:rsid w:val="008E338D"/>
    <w:rsid w:val="008E4FA3"/>
    <w:rsid w:val="008E5179"/>
    <w:rsid w:val="008E558C"/>
    <w:rsid w:val="008E5D63"/>
    <w:rsid w:val="008E615B"/>
    <w:rsid w:val="008E6D20"/>
    <w:rsid w:val="008E7250"/>
    <w:rsid w:val="008E73F4"/>
    <w:rsid w:val="008E7753"/>
    <w:rsid w:val="008F0929"/>
    <w:rsid w:val="008F1369"/>
    <w:rsid w:val="008F24D7"/>
    <w:rsid w:val="008F2622"/>
    <w:rsid w:val="008F2EBC"/>
    <w:rsid w:val="008F32ED"/>
    <w:rsid w:val="008F3F50"/>
    <w:rsid w:val="008F43BD"/>
    <w:rsid w:val="008F4828"/>
    <w:rsid w:val="008F4EAD"/>
    <w:rsid w:val="008F511C"/>
    <w:rsid w:val="008F5376"/>
    <w:rsid w:val="008F559B"/>
    <w:rsid w:val="008F5DB5"/>
    <w:rsid w:val="008F5DEF"/>
    <w:rsid w:val="008F5EC3"/>
    <w:rsid w:val="008F5F5A"/>
    <w:rsid w:val="008F6D85"/>
    <w:rsid w:val="008F6E63"/>
    <w:rsid w:val="008F701C"/>
    <w:rsid w:val="008F72F0"/>
    <w:rsid w:val="008F7913"/>
    <w:rsid w:val="008F7B7F"/>
    <w:rsid w:val="008F7E9F"/>
    <w:rsid w:val="008F7EC4"/>
    <w:rsid w:val="0090063B"/>
    <w:rsid w:val="00900663"/>
    <w:rsid w:val="00900CDC"/>
    <w:rsid w:val="00900E18"/>
    <w:rsid w:val="00901414"/>
    <w:rsid w:val="009017DF"/>
    <w:rsid w:val="00901A59"/>
    <w:rsid w:val="00901FAD"/>
    <w:rsid w:val="00902535"/>
    <w:rsid w:val="0090258A"/>
    <w:rsid w:val="009027C5"/>
    <w:rsid w:val="00902A78"/>
    <w:rsid w:val="00902B8F"/>
    <w:rsid w:val="009037D1"/>
    <w:rsid w:val="00903E77"/>
    <w:rsid w:val="0090428B"/>
    <w:rsid w:val="00904324"/>
    <w:rsid w:val="009048C4"/>
    <w:rsid w:val="00905A38"/>
    <w:rsid w:val="00905C5F"/>
    <w:rsid w:val="00905D29"/>
    <w:rsid w:val="009064EE"/>
    <w:rsid w:val="0090710B"/>
    <w:rsid w:val="009073AA"/>
    <w:rsid w:val="009076CD"/>
    <w:rsid w:val="00907D61"/>
    <w:rsid w:val="00907E7C"/>
    <w:rsid w:val="00907F17"/>
    <w:rsid w:val="009106C2"/>
    <w:rsid w:val="0091072E"/>
    <w:rsid w:val="00910A0F"/>
    <w:rsid w:val="00910F65"/>
    <w:rsid w:val="009119B9"/>
    <w:rsid w:val="00911DCF"/>
    <w:rsid w:val="009125F2"/>
    <w:rsid w:val="00912770"/>
    <w:rsid w:val="009127CD"/>
    <w:rsid w:val="009129D6"/>
    <w:rsid w:val="00912CE7"/>
    <w:rsid w:val="00912D2F"/>
    <w:rsid w:val="00912E47"/>
    <w:rsid w:val="0091308D"/>
    <w:rsid w:val="009130D3"/>
    <w:rsid w:val="00913796"/>
    <w:rsid w:val="009137AA"/>
    <w:rsid w:val="009146F0"/>
    <w:rsid w:val="00914B45"/>
    <w:rsid w:val="009154F4"/>
    <w:rsid w:val="009156DD"/>
    <w:rsid w:val="00915C84"/>
    <w:rsid w:val="00915CA8"/>
    <w:rsid w:val="00915CFF"/>
    <w:rsid w:val="00916061"/>
    <w:rsid w:val="009162A2"/>
    <w:rsid w:val="0091683C"/>
    <w:rsid w:val="009169CC"/>
    <w:rsid w:val="0091702A"/>
    <w:rsid w:val="0091714C"/>
    <w:rsid w:val="0091721E"/>
    <w:rsid w:val="00917312"/>
    <w:rsid w:val="00917D38"/>
    <w:rsid w:val="00917F27"/>
    <w:rsid w:val="009201BB"/>
    <w:rsid w:val="009205C3"/>
    <w:rsid w:val="009205F0"/>
    <w:rsid w:val="00920A45"/>
    <w:rsid w:val="00920C93"/>
    <w:rsid w:val="00920E8B"/>
    <w:rsid w:val="0092140D"/>
    <w:rsid w:val="00921ADC"/>
    <w:rsid w:val="009221D6"/>
    <w:rsid w:val="00922B62"/>
    <w:rsid w:val="00922E4F"/>
    <w:rsid w:val="0092321D"/>
    <w:rsid w:val="00923B20"/>
    <w:rsid w:val="00923EDA"/>
    <w:rsid w:val="00924146"/>
    <w:rsid w:val="00924290"/>
    <w:rsid w:val="009246E1"/>
    <w:rsid w:val="0092486A"/>
    <w:rsid w:val="0092492F"/>
    <w:rsid w:val="00924FB4"/>
    <w:rsid w:val="00925C6A"/>
    <w:rsid w:val="00925F8F"/>
    <w:rsid w:val="009262B0"/>
    <w:rsid w:val="009262FF"/>
    <w:rsid w:val="009267BB"/>
    <w:rsid w:val="00930EDF"/>
    <w:rsid w:val="00930FF1"/>
    <w:rsid w:val="009311DA"/>
    <w:rsid w:val="00931FE3"/>
    <w:rsid w:val="00932780"/>
    <w:rsid w:val="00932913"/>
    <w:rsid w:val="009329D4"/>
    <w:rsid w:val="00932DAC"/>
    <w:rsid w:val="00932DCA"/>
    <w:rsid w:val="009336D9"/>
    <w:rsid w:val="00933766"/>
    <w:rsid w:val="00933C13"/>
    <w:rsid w:val="00933D00"/>
    <w:rsid w:val="0093474F"/>
    <w:rsid w:val="00934754"/>
    <w:rsid w:val="0093572A"/>
    <w:rsid w:val="0093577D"/>
    <w:rsid w:val="00935AD4"/>
    <w:rsid w:val="00935C19"/>
    <w:rsid w:val="00935C40"/>
    <w:rsid w:val="00936197"/>
    <w:rsid w:val="0093651E"/>
    <w:rsid w:val="00936A97"/>
    <w:rsid w:val="00936E17"/>
    <w:rsid w:val="009370C1"/>
    <w:rsid w:val="009371C5"/>
    <w:rsid w:val="00940171"/>
    <w:rsid w:val="00941033"/>
    <w:rsid w:val="00941216"/>
    <w:rsid w:val="00941365"/>
    <w:rsid w:val="009427BB"/>
    <w:rsid w:val="009429B8"/>
    <w:rsid w:val="00943014"/>
    <w:rsid w:val="009430CD"/>
    <w:rsid w:val="00943DB7"/>
    <w:rsid w:val="0094406C"/>
    <w:rsid w:val="009441CE"/>
    <w:rsid w:val="009441FD"/>
    <w:rsid w:val="00944355"/>
    <w:rsid w:val="0094436C"/>
    <w:rsid w:val="0094449F"/>
    <w:rsid w:val="00944D81"/>
    <w:rsid w:val="00945237"/>
    <w:rsid w:val="00945302"/>
    <w:rsid w:val="00945323"/>
    <w:rsid w:val="0094578B"/>
    <w:rsid w:val="009459E5"/>
    <w:rsid w:val="00945D94"/>
    <w:rsid w:val="0094615F"/>
    <w:rsid w:val="00946252"/>
    <w:rsid w:val="00946415"/>
    <w:rsid w:val="00946A52"/>
    <w:rsid w:val="00946F0C"/>
    <w:rsid w:val="0094716F"/>
    <w:rsid w:val="0094742D"/>
    <w:rsid w:val="0094777E"/>
    <w:rsid w:val="009478EF"/>
    <w:rsid w:val="00947B9A"/>
    <w:rsid w:val="00947EA3"/>
    <w:rsid w:val="0095029F"/>
    <w:rsid w:val="009522D3"/>
    <w:rsid w:val="0095246C"/>
    <w:rsid w:val="00952671"/>
    <w:rsid w:val="009529AA"/>
    <w:rsid w:val="00952F25"/>
    <w:rsid w:val="00952F9D"/>
    <w:rsid w:val="00952FB3"/>
    <w:rsid w:val="0095330D"/>
    <w:rsid w:val="009534F9"/>
    <w:rsid w:val="0095448E"/>
    <w:rsid w:val="00954E5A"/>
    <w:rsid w:val="00954E94"/>
    <w:rsid w:val="0095525F"/>
    <w:rsid w:val="00955741"/>
    <w:rsid w:val="00955845"/>
    <w:rsid w:val="00955C90"/>
    <w:rsid w:val="00955F3A"/>
    <w:rsid w:val="009563FF"/>
    <w:rsid w:val="00956477"/>
    <w:rsid w:val="00957922"/>
    <w:rsid w:val="00957A64"/>
    <w:rsid w:val="00960B32"/>
    <w:rsid w:val="0096156B"/>
    <w:rsid w:val="00961991"/>
    <w:rsid w:val="00962E15"/>
    <w:rsid w:val="00964259"/>
    <w:rsid w:val="009647E9"/>
    <w:rsid w:val="009648B7"/>
    <w:rsid w:val="00964AC2"/>
    <w:rsid w:val="00965037"/>
    <w:rsid w:val="009664EC"/>
    <w:rsid w:val="009667C8"/>
    <w:rsid w:val="00966A8E"/>
    <w:rsid w:val="00967668"/>
    <w:rsid w:val="00967689"/>
    <w:rsid w:val="00967708"/>
    <w:rsid w:val="00967DA0"/>
    <w:rsid w:val="0097030C"/>
    <w:rsid w:val="00970522"/>
    <w:rsid w:val="0097079C"/>
    <w:rsid w:val="00970D67"/>
    <w:rsid w:val="00970EB5"/>
    <w:rsid w:val="00971581"/>
    <w:rsid w:val="009719B6"/>
    <w:rsid w:val="00971BD4"/>
    <w:rsid w:val="00972297"/>
    <w:rsid w:val="0097245F"/>
    <w:rsid w:val="00972506"/>
    <w:rsid w:val="00972EE0"/>
    <w:rsid w:val="00972EE6"/>
    <w:rsid w:val="00972F16"/>
    <w:rsid w:val="00973007"/>
    <w:rsid w:val="00973116"/>
    <w:rsid w:val="009736E3"/>
    <w:rsid w:val="00973711"/>
    <w:rsid w:val="0097381B"/>
    <w:rsid w:val="00973D4F"/>
    <w:rsid w:val="00973E17"/>
    <w:rsid w:val="0097461A"/>
    <w:rsid w:val="00974949"/>
    <w:rsid w:val="009752B6"/>
    <w:rsid w:val="00975B4E"/>
    <w:rsid w:val="009760C7"/>
    <w:rsid w:val="00976915"/>
    <w:rsid w:val="00976C5C"/>
    <w:rsid w:val="009772AC"/>
    <w:rsid w:val="00977E60"/>
    <w:rsid w:val="00977EDB"/>
    <w:rsid w:val="0098011B"/>
    <w:rsid w:val="009804C1"/>
    <w:rsid w:val="0098068D"/>
    <w:rsid w:val="0098098C"/>
    <w:rsid w:val="0098099D"/>
    <w:rsid w:val="009812A8"/>
    <w:rsid w:val="00981F69"/>
    <w:rsid w:val="00982A00"/>
    <w:rsid w:val="009832E5"/>
    <w:rsid w:val="00983626"/>
    <w:rsid w:val="0098368D"/>
    <w:rsid w:val="00983A4F"/>
    <w:rsid w:val="0098409D"/>
    <w:rsid w:val="009844BD"/>
    <w:rsid w:val="00985832"/>
    <w:rsid w:val="00986140"/>
    <w:rsid w:val="0098634A"/>
    <w:rsid w:val="0098644E"/>
    <w:rsid w:val="00986580"/>
    <w:rsid w:val="00986A0A"/>
    <w:rsid w:val="00986AD0"/>
    <w:rsid w:val="00986D93"/>
    <w:rsid w:val="00987174"/>
    <w:rsid w:val="00987539"/>
    <w:rsid w:val="00987604"/>
    <w:rsid w:val="0098783C"/>
    <w:rsid w:val="00987D6E"/>
    <w:rsid w:val="009902B1"/>
    <w:rsid w:val="00990604"/>
    <w:rsid w:val="009906E0"/>
    <w:rsid w:val="00990EC3"/>
    <w:rsid w:val="00991085"/>
    <w:rsid w:val="00991308"/>
    <w:rsid w:val="009919C2"/>
    <w:rsid w:val="00992450"/>
    <w:rsid w:val="00992DDC"/>
    <w:rsid w:val="00992EBB"/>
    <w:rsid w:val="00993B63"/>
    <w:rsid w:val="00993CB1"/>
    <w:rsid w:val="00994138"/>
    <w:rsid w:val="00994544"/>
    <w:rsid w:val="009945C8"/>
    <w:rsid w:val="0099494B"/>
    <w:rsid w:val="0099537A"/>
    <w:rsid w:val="0099568B"/>
    <w:rsid w:val="009956DC"/>
    <w:rsid w:val="00995EEF"/>
    <w:rsid w:val="0099616D"/>
    <w:rsid w:val="009971E1"/>
    <w:rsid w:val="0099753F"/>
    <w:rsid w:val="009978FE"/>
    <w:rsid w:val="009A00CE"/>
    <w:rsid w:val="009A0AE8"/>
    <w:rsid w:val="009A16D3"/>
    <w:rsid w:val="009A1722"/>
    <w:rsid w:val="009A1737"/>
    <w:rsid w:val="009A19FB"/>
    <w:rsid w:val="009A1E1F"/>
    <w:rsid w:val="009A23B2"/>
    <w:rsid w:val="009A2582"/>
    <w:rsid w:val="009A292F"/>
    <w:rsid w:val="009A37D1"/>
    <w:rsid w:val="009A37E8"/>
    <w:rsid w:val="009A3C5D"/>
    <w:rsid w:val="009A3F69"/>
    <w:rsid w:val="009A4C64"/>
    <w:rsid w:val="009A4F24"/>
    <w:rsid w:val="009A56AC"/>
    <w:rsid w:val="009A5C50"/>
    <w:rsid w:val="009A5D02"/>
    <w:rsid w:val="009A63B2"/>
    <w:rsid w:val="009A6990"/>
    <w:rsid w:val="009A69EB"/>
    <w:rsid w:val="009A6B1B"/>
    <w:rsid w:val="009A6BFD"/>
    <w:rsid w:val="009A6F9A"/>
    <w:rsid w:val="009A7AB3"/>
    <w:rsid w:val="009A7E67"/>
    <w:rsid w:val="009B06D0"/>
    <w:rsid w:val="009B09AB"/>
    <w:rsid w:val="009B0A6F"/>
    <w:rsid w:val="009B13FF"/>
    <w:rsid w:val="009B17BE"/>
    <w:rsid w:val="009B286F"/>
    <w:rsid w:val="009B3101"/>
    <w:rsid w:val="009B32F3"/>
    <w:rsid w:val="009B35DD"/>
    <w:rsid w:val="009B3CC3"/>
    <w:rsid w:val="009B4279"/>
    <w:rsid w:val="009B4B1E"/>
    <w:rsid w:val="009B4D80"/>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18F4"/>
    <w:rsid w:val="009C19FC"/>
    <w:rsid w:val="009C1F84"/>
    <w:rsid w:val="009C2000"/>
    <w:rsid w:val="009C2176"/>
    <w:rsid w:val="009C2A1F"/>
    <w:rsid w:val="009C2E99"/>
    <w:rsid w:val="009C3597"/>
    <w:rsid w:val="009C36C1"/>
    <w:rsid w:val="009C4426"/>
    <w:rsid w:val="009C45A9"/>
    <w:rsid w:val="009C4758"/>
    <w:rsid w:val="009C475F"/>
    <w:rsid w:val="009C47B7"/>
    <w:rsid w:val="009C4C3F"/>
    <w:rsid w:val="009C4F4E"/>
    <w:rsid w:val="009C5D9F"/>
    <w:rsid w:val="009C60B6"/>
    <w:rsid w:val="009C61B5"/>
    <w:rsid w:val="009C6534"/>
    <w:rsid w:val="009C670F"/>
    <w:rsid w:val="009C675F"/>
    <w:rsid w:val="009C6EF9"/>
    <w:rsid w:val="009C73D0"/>
    <w:rsid w:val="009C7B32"/>
    <w:rsid w:val="009D0EB0"/>
    <w:rsid w:val="009D111B"/>
    <w:rsid w:val="009D12B7"/>
    <w:rsid w:val="009D14E0"/>
    <w:rsid w:val="009D1509"/>
    <w:rsid w:val="009D1641"/>
    <w:rsid w:val="009D2A4F"/>
    <w:rsid w:val="009D2B0D"/>
    <w:rsid w:val="009D3237"/>
    <w:rsid w:val="009D43A6"/>
    <w:rsid w:val="009D4576"/>
    <w:rsid w:val="009D4ED0"/>
    <w:rsid w:val="009D4F31"/>
    <w:rsid w:val="009D4F37"/>
    <w:rsid w:val="009D4F95"/>
    <w:rsid w:val="009D512D"/>
    <w:rsid w:val="009D55B2"/>
    <w:rsid w:val="009D5AF6"/>
    <w:rsid w:val="009D5BF3"/>
    <w:rsid w:val="009D5FE5"/>
    <w:rsid w:val="009D64B0"/>
    <w:rsid w:val="009D6B58"/>
    <w:rsid w:val="009D70E0"/>
    <w:rsid w:val="009D72AB"/>
    <w:rsid w:val="009D7713"/>
    <w:rsid w:val="009D7B31"/>
    <w:rsid w:val="009D7D6B"/>
    <w:rsid w:val="009E0191"/>
    <w:rsid w:val="009E02FB"/>
    <w:rsid w:val="009E034B"/>
    <w:rsid w:val="009E058F"/>
    <w:rsid w:val="009E07CA"/>
    <w:rsid w:val="009E0E9E"/>
    <w:rsid w:val="009E10E9"/>
    <w:rsid w:val="009E165B"/>
    <w:rsid w:val="009E1944"/>
    <w:rsid w:val="009E1B40"/>
    <w:rsid w:val="009E2816"/>
    <w:rsid w:val="009E2AC0"/>
    <w:rsid w:val="009E2D43"/>
    <w:rsid w:val="009E31B3"/>
    <w:rsid w:val="009E3684"/>
    <w:rsid w:val="009E3868"/>
    <w:rsid w:val="009E3FC6"/>
    <w:rsid w:val="009E41C3"/>
    <w:rsid w:val="009E43A6"/>
    <w:rsid w:val="009E5300"/>
    <w:rsid w:val="009E5A65"/>
    <w:rsid w:val="009E5CC3"/>
    <w:rsid w:val="009E693B"/>
    <w:rsid w:val="009E69D0"/>
    <w:rsid w:val="009E6D0B"/>
    <w:rsid w:val="009E772A"/>
    <w:rsid w:val="009E79ED"/>
    <w:rsid w:val="009F06CF"/>
    <w:rsid w:val="009F075A"/>
    <w:rsid w:val="009F0805"/>
    <w:rsid w:val="009F09C1"/>
    <w:rsid w:val="009F09C2"/>
    <w:rsid w:val="009F1017"/>
    <w:rsid w:val="009F1068"/>
    <w:rsid w:val="009F10A8"/>
    <w:rsid w:val="009F164A"/>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5FD"/>
    <w:rsid w:val="009F6043"/>
    <w:rsid w:val="009F60A9"/>
    <w:rsid w:val="009F6A71"/>
    <w:rsid w:val="009F6BC1"/>
    <w:rsid w:val="009F72F0"/>
    <w:rsid w:val="009F7934"/>
    <w:rsid w:val="00A0057D"/>
    <w:rsid w:val="00A00EC9"/>
    <w:rsid w:val="00A0160E"/>
    <w:rsid w:val="00A01A0B"/>
    <w:rsid w:val="00A01E7D"/>
    <w:rsid w:val="00A01F5B"/>
    <w:rsid w:val="00A02071"/>
    <w:rsid w:val="00A025B2"/>
    <w:rsid w:val="00A026D3"/>
    <w:rsid w:val="00A0279D"/>
    <w:rsid w:val="00A02F6C"/>
    <w:rsid w:val="00A02FA7"/>
    <w:rsid w:val="00A02FC4"/>
    <w:rsid w:val="00A0327F"/>
    <w:rsid w:val="00A032C2"/>
    <w:rsid w:val="00A03314"/>
    <w:rsid w:val="00A048C8"/>
    <w:rsid w:val="00A0502F"/>
    <w:rsid w:val="00A0557C"/>
    <w:rsid w:val="00A055EF"/>
    <w:rsid w:val="00A064B2"/>
    <w:rsid w:val="00A06513"/>
    <w:rsid w:val="00A074A4"/>
    <w:rsid w:val="00A07678"/>
    <w:rsid w:val="00A077F0"/>
    <w:rsid w:val="00A07A31"/>
    <w:rsid w:val="00A1013B"/>
    <w:rsid w:val="00A1030B"/>
    <w:rsid w:val="00A10337"/>
    <w:rsid w:val="00A104AE"/>
    <w:rsid w:val="00A105DD"/>
    <w:rsid w:val="00A10CB4"/>
    <w:rsid w:val="00A1121A"/>
    <w:rsid w:val="00A1133A"/>
    <w:rsid w:val="00A11517"/>
    <w:rsid w:val="00A115BA"/>
    <w:rsid w:val="00A11850"/>
    <w:rsid w:val="00A118AE"/>
    <w:rsid w:val="00A11AA7"/>
    <w:rsid w:val="00A11DF4"/>
    <w:rsid w:val="00A11EC1"/>
    <w:rsid w:val="00A128B4"/>
    <w:rsid w:val="00A12A1C"/>
    <w:rsid w:val="00A12CB4"/>
    <w:rsid w:val="00A12F55"/>
    <w:rsid w:val="00A12F6A"/>
    <w:rsid w:val="00A13C79"/>
    <w:rsid w:val="00A145A5"/>
    <w:rsid w:val="00A1468B"/>
    <w:rsid w:val="00A152AF"/>
    <w:rsid w:val="00A1547E"/>
    <w:rsid w:val="00A15A7C"/>
    <w:rsid w:val="00A16413"/>
    <w:rsid w:val="00A16684"/>
    <w:rsid w:val="00A16CE4"/>
    <w:rsid w:val="00A175D3"/>
    <w:rsid w:val="00A178D3"/>
    <w:rsid w:val="00A17C46"/>
    <w:rsid w:val="00A20309"/>
    <w:rsid w:val="00A20C9A"/>
    <w:rsid w:val="00A21992"/>
    <w:rsid w:val="00A21C2F"/>
    <w:rsid w:val="00A21D47"/>
    <w:rsid w:val="00A2262B"/>
    <w:rsid w:val="00A2264B"/>
    <w:rsid w:val="00A22C4F"/>
    <w:rsid w:val="00A23486"/>
    <w:rsid w:val="00A23876"/>
    <w:rsid w:val="00A2424A"/>
    <w:rsid w:val="00A244B1"/>
    <w:rsid w:val="00A247DA"/>
    <w:rsid w:val="00A254B6"/>
    <w:rsid w:val="00A27C43"/>
    <w:rsid w:val="00A30171"/>
    <w:rsid w:val="00A301BB"/>
    <w:rsid w:val="00A30616"/>
    <w:rsid w:val="00A3091A"/>
    <w:rsid w:val="00A30A48"/>
    <w:rsid w:val="00A30EC8"/>
    <w:rsid w:val="00A30EDD"/>
    <w:rsid w:val="00A3107A"/>
    <w:rsid w:val="00A32461"/>
    <w:rsid w:val="00A330B7"/>
    <w:rsid w:val="00A33877"/>
    <w:rsid w:val="00A33E32"/>
    <w:rsid w:val="00A34502"/>
    <w:rsid w:val="00A34619"/>
    <w:rsid w:val="00A34AF7"/>
    <w:rsid w:val="00A34FE0"/>
    <w:rsid w:val="00A34FFF"/>
    <w:rsid w:val="00A355C9"/>
    <w:rsid w:val="00A359E5"/>
    <w:rsid w:val="00A35AB7"/>
    <w:rsid w:val="00A363C2"/>
    <w:rsid w:val="00A365EC"/>
    <w:rsid w:val="00A365FB"/>
    <w:rsid w:val="00A36878"/>
    <w:rsid w:val="00A36A68"/>
    <w:rsid w:val="00A37839"/>
    <w:rsid w:val="00A407D6"/>
    <w:rsid w:val="00A408E7"/>
    <w:rsid w:val="00A40E01"/>
    <w:rsid w:val="00A41607"/>
    <w:rsid w:val="00A4179F"/>
    <w:rsid w:val="00A41ACF"/>
    <w:rsid w:val="00A42028"/>
    <w:rsid w:val="00A42706"/>
    <w:rsid w:val="00A42990"/>
    <w:rsid w:val="00A42B18"/>
    <w:rsid w:val="00A4304E"/>
    <w:rsid w:val="00A4304F"/>
    <w:rsid w:val="00A437FE"/>
    <w:rsid w:val="00A43B64"/>
    <w:rsid w:val="00A44426"/>
    <w:rsid w:val="00A446E9"/>
    <w:rsid w:val="00A4489D"/>
    <w:rsid w:val="00A448F9"/>
    <w:rsid w:val="00A454FC"/>
    <w:rsid w:val="00A45718"/>
    <w:rsid w:val="00A46405"/>
    <w:rsid w:val="00A46EE0"/>
    <w:rsid w:val="00A47DE6"/>
    <w:rsid w:val="00A5003B"/>
    <w:rsid w:val="00A500C9"/>
    <w:rsid w:val="00A50122"/>
    <w:rsid w:val="00A5044D"/>
    <w:rsid w:val="00A504D2"/>
    <w:rsid w:val="00A504EE"/>
    <w:rsid w:val="00A508C5"/>
    <w:rsid w:val="00A50B17"/>
    <w:rsid w:val="00A50D75"/>
    <w:rsid w:val="00A50F97"/>
    <w:rsid w:val="00A51482"/>
    <w:rsid w:val="00A5157A"/>
    <w:rsid w:val="00A51BC6"/>
    <w:rsid w:val="00A527B4"/>
    <w:rsid w:val="00A52851"/>
    <w:rsid w:val="00A52B3C"/>
    <w:rsid w:val="00A52C34"/>
    <w:rsid w:val="00A52ED0"/>
    <w:rsid w:val="00A533CB"/>
    <w:rsid w:val="00A535A6"/>
    <w:rsid w:val="00A53D28"/>
    <w:rsid w:val="00A54CC5"/>
    <w:rsid w:val="00A54EA0"/>
    <w:rsid w:val="00A55C43"/>
    <w:rsid w:val="00A55D53"/>
    <w:rsid w:val="00A55F45"/>
    <w:rsid w:val="00A56B96"/>
    <w:rsid w:val="00A56C0C"/>
    <w:rsid w:val="00A56C12"/>
    <w:rsid w:val="00A57071"/>
    <w:rsid w:val="00A5721F"/>
    <w:rsid w:val="00A57755"/>
    <w:rsid w:val="00A579D1"/>
    <w:rsid w:val="00A57FF1"/>
    <w:rsid w:val="00A6046C"/>
    <w:rsid w:val="00A60540"/>
    <w:rsid w:val="00A6230B"/>
    <w:rsid w:val="00A6257B"/>
    <w:rsid w:val="00A63493"/>
    <w:rsid w:val="00A642BF"/>
    <w:rsid w:val="00A64EC6"/>
    <w:rsid w:val="00A6529F"/>
    <w:rsid w:val="00A6539E"/>
    <w:rsid w:val="00A6553D"/>
    <w:rsid w:val="00A656BB"/>
    <w:rsid w:val="00A65744"/>
    <w:rsid w:val="00A657E8"/>
    <w:rsid w:val="00A65F56"/>
    <w:rsid w:val="00A6666B"/>
    <w:rsid w:val="00A67634"/>
    <w:rsid w:val="00A676DE"/>
    <w:rsid w:val="00A677DA"/>
    <w:rsid w:val="00A67816"/>
    <w:rsid w:val="00A67920"/>
    <w:rsid w:val="00A67B49"/>
    <w:rsid w:val="00A701BE"/>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7BFD"/>
    <w:rsid w:val="00A77C81"/>
    <w:rsid w:val="00A8039F"/>
    <w:rsid w:val="00A80680"/>
    <w:rsid w:val="00A80B75"/>
    <w:rsid w:val="00A80BCD"/>
    <w:rsid w:val="00A80C4F"/>
    <w:rsid w:val="00A80D67"/>
    <w:rsid w:val="00A81087"/>
    <w:rsid w:val="00A810C8"/>
    <w:rsid w:val="00A8171C"/>
    <w:rsid w:val="00A821B9"/>
    <w:rsid w:val="00A822B2"/>
    <w:rsid w:val="00A8248C"/>
    <w:rsid w:val="00A829C1"/>
    <w:rsid w:val="00A82F22"/>
    <w:rsid w:val="00A82F3E"/>
    <w:rsid w:val="00A831DA"/>
    <w:rsid w:val="00A83460"/>
    <w:rsid w:val="00A838CD"/>
    <w:rsid w:val="00A83A60"/>
    <w:rsid w:val="00A8400D"/>
    <w:rsid w:val="00A84802"/>
    <w:rsid w:val="00A84811"/>
    <w:rsid w:val="00A849CA"/>
    <w:rsid w:val="00A84AF7"/>
    <w:rsid w:val="00A8604B"/>
    <w:rsid w:val="00A8616C"/>
    <w:rsid w:val="00A86451"/>
    <w:rsid w:val="00A86CF5"/>
    <w:rsid w:val="00A87739"/>
    <w:rsid w:val="00A87940"/>
    <w:rsid w:val="00A87F9E"/>
    <w:rsid w:val="00A9019C"/>
    <w:rsid w:val="00A90362"/>
    <w:rsid w:val="00A90C41"/>
    <w:rsid w:val="00A90FE5"/>
    <w:rsid w:val="00A912A4"/>
    <w:rsid w:val="00A914A8"/>
    <w:rsid w:val="00A91667"/>
    <w:rsid w:val="00A91A9B"/>
    <w:rsid w:val="00A91FF3"/>
    <w:rsid w:val="00A9303A"/>
    <w:rsid w:val="00A934BD"/>
    <w:rsid w:val="00A93852"/>
    <w:rsid w:val="00A940C0"/>
    <w:rsid w:val="00A94578"/>
    <w:rsid w:val="00A94C9F"/>
    <w:rsid w:val="00A95085"/>
    <w:rsid w:val="00A95D22"/>
    <w:rsid w:val="00A9618F"/>
    <w:rsid w:val="00A96AC8"/>
    <w:rsid w:val="00A96ADC"/>
    <w:rsid w:val="00A96F2C"/>
    <w:rsid w:val="00A97308"/>
    <w:rsid w:val="00A975A9"/>
    <w:rsid w:val="00A97CA7"/>
    <w:rsid w:val="00A97FB6"/>
    <w:rsid w:val="00AA0BA2"/>
    <w:rsid w:val="00AA0BD2"/>
    <w:rsid w:val="00AA0C9D"/>
    <w:rsid w:val="00AA0F73"/>
    <w:rsid w:val="00AA0F80"/>
    <w:rsid w:val="00AA116A"/>
    <w:rsid w:val="00AA14BB"/>
    <w:rsid w:val="00AA157F"/>
    <w:rsid w:val="00AA2255"/>
    <w:rsid w:val="00AA2371"/>
    <w:rsid w:val="00AA28BC"/>
    <w:rsid w:val="00AA2BFD"/>
    <w:rsid w:val="00AA2DE9"/>
    <w:rsid w:val="00AA3B4A"/>
    <w:rsid w:val="00AA46E5"/>
    <w:rsid w:val="00AA48F7"/>
    <w:rsid w:val="00AA4ABF"/>
    <w:rsid w:val="00AA6097"/>
    <w:rsid w:val="00AA6402"/>
    <w:rsid w:val="00AA657A"/>
    <w:rsid w:val="00AA68F3"/>
    <w:rsid w:val="00AA6DAC"/>
    <w:rsid w:val="00AA737D"/>
    <w:rsid w:val="00AA7A17"/>
    <w:rsid w:val="00AA7B3B"/>
    <w:rsid w:val="00AB00B3"/>
    <w:rsid w:val="00AB028A"/>
    <w:rsid w:val="00AB0363"/>
    <w:rsid w:val="00AB05BE"/>
    <w:rsid w:val="00AB064F"/>
    <w:rsid w:val="00AB0FB9"/>
    <w:rsid w:val="00AB13EB"/>
    <w:rsid w:val="00AB1A60"/>
    <w:rsid w:val="00AB2A66"/>
    <w:rsid w:val="00AB2CA3"/>
    <w:rsid w:val="00AB2E6C"/>
    <w:rsid w:val="00AB30AB"/>
    <w:rsid w:val="00AB351E"/>
    <w:rsid w:val="00AB356A"/>
    <w:rsid w:val="00AB3786"/>
    <w:rsid w:val="00AB40AD"/>
    <w:rsid w:val="00AB4B0D"/>
    <w:rsid w:val="00AB4D6B"/>
    <w:rsid w:val="00AB5E4B"/>
    <w:rsid w:val="00AB5F74"/>
    <w:rsid w:val="00AB628C"/>
    <w:rsid w:val="00AB6523"/>
    <w:rsid w:val="00AB673A"/>
    <w:rsid w:val="00AB691E"/>
    <w:rsid w:val="00AB6BC8"/>
    <w:rsid w:val="00AB7D2D"/>
    <w:rsid w:val="00AC0AFC"/>
    <w:rsid w:val="00AC1151"/>
    <w:rsid w:val="00AC14F5"/>
    <w:rsid w:val="00AC15EB"/>
    <w:rsid w:val="00AC1635"/>
    <w:rsid w:val="00AC17B4"/>
    <w:rsid w:val="00AC18C4"/>
    <w:rsid w:val="00AC19C1"/>
    <w:rsid w:val="00AC26A3"/>
    <w:rsid w:val="00AC3140"/>
    <w:rsid w:val="00AC314B"/>
    <w:rsid w:val="00AC31A9"/>
    <w:rsid w:val="00AC31AC"/>
    <w:rsid w:val="00AC34E5"/>
    <w:rsid w:val="00AC35E9"/>
    <w:rsid w:val="00AC3896"/>
    <w:rsid w:val="00AC42BA"/>
    <w:rsid w:val="00AC4804"/>
    <w:rsid w:val="00AC4DAE"/>
    <w:rsid w:val="00AC5366"/>
    <w:rsid w:val="00AC5BB4"/>
    <w:rsid w:val="00AC5E1F"/>
    <w:rsid w:val="00AC6022"/>
    <w:rsid w:val="00AC616A"/>
    <w:rsid w:val="00AC6199"/>
    <w:rsid w:val="00AC6459"/>
    <w:rsid w:val="00AC6771"/>
    <w:rsid w:val="00AD0BB2"/>
    <w:rsid w:val="00AD0D0E"/>
    <w:rsid w:val="00AD10A1"/>
    <w:rsid w:val="00AD123E"/>
    <w:rsid w:val="00AD15B4"/>
    <w:rsid w:val="00AD1CE0"/>
    <w:rsid w:val="00AD272E"/>
    <w:rsid w:val="00AD28A6"/>
    <w:rsid w:val="00AD2D4A"/>
    <w:rsid w:val="00AD2E76"/>
    <w:rsid w:val="00AD31A7"/>
    <w:rsid w:val="00AD3852"/>
    <w:rsid w:val="00AD3E97"/>
    <w:rsid w:val="00AD42FE"/>
    <w:rsid w:val="00AD43F9"/>
    <w:rsid w:val="00AD4540"/>
    <w:rsid w:val="00AD4C6D"/>
    <w:rsid w:val="00AD4D51"/>
    <w:rsid w:val="00AD4D6B"/>
    <w:rsid w:val="00AD5520"/>
    <w:rsid w:val="00AD5816"/>
    <w:rsid w:val="00AD591E"/>
    <w:rsid w:val="00AD5AC6"/>
    <w:rsid w:val="00AD5C69"/>
    <w:rsid w:val="00AD6931"/>
    <w:rsid w:val="00AD693C"/>
    <w:rsid w:val="00AD6A54"/>
    <w:rsid w:val="00AD7085"/>
    <w:rsid w:val="00AD7240"/>
    <w:rsid w:val="00AD7505"/>
    <w:rsid w:val="00AD7EDA"/>
    <w:rsid w:val="00AE015F"/>
    <w:rsid w:val="00AE0EA2"/>
    <w:rsid w:val="00AE1210"/>
    <w:rsid w:val="00AE144F"/>
    <w:rsid w:val="00AE21B6"/>
    <w:rsid w:val="00AE2EEC"/>
    <w:rsid w:val="00AE2EF1"/>
    <w:rsid w:val="00AE2F71"/>
    <w:rsid w:val="00AE349B"/>
    <w:rsid w:val="00AE3837"/>
    <w:rsid w:val="00AE3973"/>
    <w:rsid w:val="00AE3C0C"/>
    <w:rsid w:val="00AE4648"/>
    <w:rsid w:val="00AE481E"/>
    <w:rsid w:val="00AE482C"/>
    <w:rsid w:val="00AE4E3A"/>
    <w:rsid w:val="00AE5259"/>
    <w:rsid w:val="00AE5FE3"/>
    <w:rsid w:val="00AE6116"/>
    <w:rsid w:val="00AF0753"/>
    <w:rsid w:val="00AF0B8B"/>
    <w:rsid w:val="00AF0C34"/>
    <w:rsid w:val="00AF10D8"/>
    <w:rsid w:val="00AF19B1"/>
    <w:rsid w:val="00AF1FC1"/>
    <w:rsid w:val="00AF24E4"/>
    <w:rsid w:val="00AF27E0"/>
    <w:rsid w:val="00AF2A62"/>
    <w:rsid w:val="00AF2AE1"/>
    <w:rsid w:val="00AF3093"/>
    <w:rsid w:val="00AF31DB"/>
    <w:rsid w:val="00AF32A4"/>
    <w:rsid w:val="00AF397F"/>
    <w:rsid w:val="00AF3CB4"/>
    <w:rsid w:val="00AF4C8E"/>
    <w:rsid w:val="00AF4D81"/>
    <w:rsid w:val="00AF5058"/>
    <w:rsid w:val="00AF5720"/>
    <w:rsid w:val="00AF5991"/>
    <w:rsid w:val="00AF59A0"/>
    <w:rsid w:val="00AF5C03"/>
    <w:rsid w:val="00AF5D5B"/>
    <w:rsid w:val="00AF6BA7"/>
    <w:rsid w:val="00AF6F4C"/>
    <w:rsid w:val="00AF7DC2"/>
    <w:rsid w:val="00AF7EC4"/>
    <w:rsid w:val="00B000E5"/>
    <w:rsid w:val="00B002A2"/>
    <w:rsid w:val="00B0045B"/>
    <w:rsid w:val="00B0074C"/>
    <w:rsid w:val="00B008B9"/>
    <w:rsid w:val="00B00D24"/>
    <w:rsid w:val="00B0148E"/>
    <w:rsid w:val="00B0195D"/>
    <w:rsid w:val="00B01E25"/>
    <w:rsid w:val="00B02165"/>
    <w:rsid w:val="00B02A9E"/>
    <w:rsid w:val="00B02B7A"/>
    <w:rsid w:val="00B02E72"/>
    <w:rsid w:val="00B0429D"/>
    <w:rsid w:val="00B047AD"/>
    <w:rsid w:val="00B04A32"/>
    <w:rsid w:val="00B066B3"/>
    <w:rsid w:val="00B0677C"/>
    <w:rsid w:val="00B06936"/>
    <w:rsid w:val="00B06C19"/>
    <w:rsid w:val="00B06DB5"/>
    <w:rsid w:val="00B06F5B"/>
    <w:rsid w:val="00B07493"/>
    <w:rsid w:val="00B0751A"/>
    <w:rsid w:val="00B07557"/>
    <w:rsid w:val="00B07622"/>
    <w:rsid w:val="00B0769D"/>
    <w:rsid w:val="00B079A2"/>
    <w:rsid w:val="00B07A29"/>
    <w:rsid w:val="00B10011"/>
    <w:rsid w:val="00B10BF6"/>
    <w:rsid w:val="00B10FC8"/>
    <w:rsid w:val="00B112A3"/>
    <w:rsid w:val="00B114CA"/>
    <w:rsid w:val="00B11A1F"/>
    <w:rsid w:val="00B11DB1"/>
    <w:rsid w:val="00B11F85"/>
    <w:rsid w:val="00B1208C"/>
    <w:rsid w:val="00B12779"/>
    <w:rsid w:val="00B12A5D"/>
    <w:rsid w:val="00B12E7B"/>
    <w:rsid w:val="00B13391"/>
    <w:rsid w:val="00B13397"/>
    <w:rsid w:val="00B13730"/>
    <w:rsid w:val="00B13BC2"/>
    <w:rsid w:val="00B1414C"/>
    <w:rsid w:val="00B149DE"/>
    <w:rsid w:val="00B14E7F"/>
    <w:rsid w:val="00B152AA"/>
    <w:rsid w:val="00B15529"/>
    <w:rsid w:val="00B160CE"/>
    <w:rsid w:val="00B1656A"/>
    <w:rsid w:val="00B17332"/>
    <w:rsid w:val="00B17868"/>
    <w:rsid w:val="00B17879"/>
    <w:rsid w:val="00B17BFF"/>
    <w:rsid w:val="00B207BE"/>
    <w:rsid w:val="00B20919"/>
    <w:rsid w:val="00B20F07"/>
    <w:rsid w:val="00B21BBB"/>
    <w:rsid w:val="00B22A9A"/>
    <w:rsid w:val="00B22D32"/>
    <w:rsid w:val="00B22E5E"/>
    <w:rsid w:val="00B238B6"/>
    <w:rsid w:val="00B23992"/>
    <w:rsid w:val="00B23C23"/>
    <w:rsid w:val="00B23F40"/>
    <w:rsid w:val="00B243C5"/>
    <w:rsid w:val="00B24689"/>
    <w:rsid w:val="00B24A7B"/>
    <w:rsid w:val="00B24EF5"/>
    <w:rsid w:val="00B25280"/>
    <w:rsid w:val="00B25373"/>
    <w:rsid w:val="00B25D90"/>
    <w:rsid w:val="00B26012"/>
    <w:rsid w:val="00B26D4D"/>
    <w:rsid w:val="00B272C3"/>
    <w:rsid w:val="00B27542"/>
    <w:rsid w:val="00B2773B"/>
    <w:rsid w:val="00B27927"/>
    <w:rsid w:val="00B30618"/>
    <w:rsid w:val="00B30C0C"/>
    <w:rsid w:val="00B30C7D"/>
    <w:rsid w:val="00B31596"/>
    <w:rsid w:val="00B31954"/>
    <w:rsid w:val="00B31DCD"/>
    <w:rsid w:val="00B31E1B"/>
    <w:rsid w:val="00B31EF0"/>
    <w:rsid w:val="00B3227B"/>
    <w:rsid w:val="00B32815"/>
    <w:rsid w:val="00B32CD2"/>
    <w:rsid w:val="00B32EFA"/>
    <w:rsid w:val="00B32F2D"/>
    <w:rsid w:val="00B331B0"/>
    <w:rsid w:val="00B332F3"/>
    <w:rsid w:val="00B334DC"/>
    <w:rsid w:val="00B33815"/>
    <w:rsid w:val="00B33E45"/>
    <w:rsid w:val="00B33F6C"/>
    <w:rsid w:val="00B34452"/>
    <w:rsid w:val="00B34567"/>
    <w:rsid w:val="00B34CCD"/>
    <w:rsid w:val="00B3560A"/>
    <w:rsid w:val="00B35B78"/>
    <w:rsid w:val="00B35C99"/>
    <w:rsid w:val="00B35DC7"/>
    <w:rsid w:val="00B362AB"/>
    <w:rsid w:val="00B365DE"/>
    <w:rsid w:val="00B367F2"/>
    <w:rsid w:val="00B36893"/>
    <w:rsid w:val="00B36D6D"/>
    <w:rsid w:val="00B36E66"/>
    <w:rsid w:val="00B36E68"/>
    <w:rsid w:val="00B37C32"/>
    <w:rsid w:val="00B401BD"/>
    <w:rsid w:val="00B4041F"/>
    <w:rsid w:val="00B40FBD"/>
    <w:rsid w:val="00B4106D"/>
    <w:rsid w:val="00B41658"/>
    <w:rsid w:val="00B42161"/>
    <w:rsid w:val="00B422F6"/>
    <w:rsid w:val="00B4242F"/>
    <w:rsid w:val="00B42BA7"/>
    <w:rsid w:val="00B42DA3"/>
    <w:rsid w:val="00B42FCD"/>
    <w:rsid w:val="00B43A1E"/>
    <w:rsid w:val="00B43C24"/>
    <w:rsid w:val="00B4408A"/>
    <w:rsid w:val="00B44223"/>
    <w:rsid w:val="00B442C0"/>
    <w:rsid w:val="00B44301"/>
    <w:rsid w:val="00B44323"/>
    <w:rsid w:val="00B44C78"/>
    <w:rsid w:val="00B45A7C"/>
    <w:rsid w:val="00B45D12"/>
    <w:rsid w:val="00B45FCE"/>
    <w:rsid w:val="00B46517"/>
    <w:rsid w:val="00B46B7E"/>
    <w:rsid w:val="00B46DB7"/>
    <w:rsid w:val="00B46F2F"/>
    <w:rsid w:val="00B478B9"/>
    <w:rsid w:val="00B47D10"/>
    <w:rsid w:val="00B507CD"/>
    <w:rsid w:val="00B509FC"/>
    <w:rsid w:val="00B50D35"/>
    <w:rsid w:val="00B51047"/>
    <w:rsid w:val="00B512E5"/>
    <w:rsid w:val="00B51BA6"/>
    <w:rsid w:val="00B51FC2"/>
    <w:rsid w:val="00B523BC"/>
    <w:rsid w:val="00B524D1"/>
    <w:rsid w:val="00B52730"/>
    <w:rsid w:val="00B52EF9"/>
    <w:rsid w:val="00B536AB"/>
    <w:rsid w:val="00B53937"/>
    <w:rsid w:val="00B53A39"/>
    <w:rsid w:val="00B53D3A"/>
    <w:rsid w:val="00B54165"/>
    <w:rsid w:val="00B54673"/>
    <w:rsid w:val="00B54C46"/>
    <w:rsid w:val="00B55390"/>
    <w:rsid w:val="00B55568"/>
    <w:rsid w:val="00B555BF"/>
    <w:rsid w:val="00B5570E"/>
    <w:rsid w:val="00B55AB3"/>
    <w:rsid w:val="00B55C6C"/>
    <w:rsid w:val="00B56002"/>
    <w:rsid w:val="00B56590"/>
    <w:rsid w:val="00B56A0F"/>
    <w:rsid w:val="00B57114"/>
    <w:rsid w:val="00B57584"/>
    <w:rsid w:val="00B575BE"/>
    <w:rsid w:val="00B577A8"/>
    <w:rsid w:val="00B5797B"/>
    <w:rsid w:val="00B57AA0"/>
    <w:rsid w:val="00B57E56"/>
    <w:rsid w:val="00B600AB"/>
    <w:rsid w:val="00B6057C"/>
    <w:rsid w:val="00B6089E"/>
    <w:rsid w:val="00B60BA6"/>
    <w:rsid w:val="00B614C8"/>
    <w:rsid w:val="00B617B5"/>
    <w:rsid w:val="00B61FA9"/>
    <w:rsid w:val="00B6206E"/>
    <w:rsid w:val="00B6283E"/>
    <w:rsid w:val="00B62C19"/>
    <w:rsid w:val="00B63917"/>
    <w:rsid w:val="00B6433B"/>
    <w:rsid w:val="00B645A4"/>
    <w:rsid w:val="00B6473A"/>
    <w:rsid w:val="00B6520F"/>
    <w:rsid w:val="00B669D4"/>
    <w:rsid w:val="00B67038"/>
    <w:rsid w:val="00B67796"/>
    <w:rsid w:val="00B7006E"/>
    <w:rsid w:val="00B70081"/>
    <w:rsid w:val="00B700DD"/>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4582"/>
    <w:rsid w:val="00B74ABA"/>
    <w:rsid w:val="00B74C7E"/>
    <w:rsid w:val="00B74E1E"/>
    <w:rsid w:val="00B7521A"/>
    <w:rsid w:val="00B75371"/>
    <w:rsid w:val="00B75573"/>
    <w:rsid w:val="00B75C83"/>
    <w:rsid w:val="00B75C9F"/>
    <w:rsid w:val="00B76975"/>
    <w:rsid w:val="00B771A1"/>
    <w:rsid w:val="00B772FB"/>
    <w:rsid w:val="00B773D3"/>
    <w:rsid w:val="00B77C4B"/>
    <w:rsid w:val="00B80309"/>
    <w:rsid w:val="00B8036E"/>
    <w:rsid w:val="00B80630"/>
    <w:rsid w:val="00B80B9B"/>
    <w:rsid w:val="00B812A5"/>
    <w:rsid w:val="00B81364"/>
    <w:rsid w:val="00B819DB"/>
    <w:rsid w:val="00B81C8B"/>
    <w:rsid w:val="00B82004"/>
    <w:rsid w:val="00B82287"/>
    <w:rsid w:val="00B8241D"/>
    <w:rsid w:val="00B825E2"/>
    <w:rsid w:val="00B827A4"/>
    <w:rsid w:val="00B82DD3"/>
    <w:rsid w:val="00B831C3"/>
    <w:rsid w:val="00B83250"/>
    <w:rsid w:val="00B8327C"/>
    <w:rsid w:val="00B83A0D"/>
    <w:rsid w:val="00B83F18"/>
    <w:rsid w:val="00B84628"/>
    <w:rsid w:val="00B84A64"/>
    <w:rsid w:val="00B84D00"/>
    <w:rsid w:val="00B851DC"/>
    <w:rsid w:val="00B85D61"/>
    <w:rsid w:val="00B8610E"/>
    <w:rsid w:val="00B86290"/>
    <w:rsid w:val="00B86E79"/>
    <w:rsid w:val="00B86F22"/>
    <w:rsid w:val="00B86F63"/>
    <w:rsid w:val="00B8723F"/>
    <w:rsid w:val="00B90255"/>
    <w:rsid w:val="00B90772"/>
    <w:rsid w:val="00B90E32"/>
    <w:rsid w:val="00B90E3E"/>
    <w:rsid w:val="00B90E66"/>
    <w:rsid w:val="00B9178E"/>
    <w:rsid w:val="00B91D61"/>
    <w:rsid w:val="00B91EEC"/>
    <w:rsid w:val="00B92377"/>
    <w:rsid w:val="00B92B3B"/>
    <w:rsid w:val="00B930C8"/>
    <w:rsid w:val="00B9322A"/>
    <w:rsid w:val="00B938AD"/>
    <w:rsid w:val="00B94136"/>
    <w:rsid w:val="00B942E5"/>
    <w:rsid w:val="00B94637"/>
    <w:rsid w:val="00B949C2"/>
    <w:rsid w:val="00B94C7C"/>
    <w:rsid w:val="00B94F9E"/>
    <w:rsid w:val="00B9549B"/>
    <w:rsid w:val="00B95E21"/>
    <w:rsid w:val="00B962FD"/>
    <w:rsid w:val="00B967A8"/>
    <w:rsid w:val="00B96C99"/>
    <w:rsid w:val="00B96F70"/>
    <w:rsid w:val="00B975CD"/>
    <w:rsid w:val="00B977C4"/>
    <w:rsid w:val="00B97865"/>
    <w:rsid w:val="00B97DBF"/>
    <w:rsid w:val="00B97DD3"/>
    <w:rsid w:val="00B97EDF"/>
    <w:rsid w:val="00BA0596"/>
    <w:rsid w:val="00BA072A"/>
    <w:rsid w:val="00BA09E3"/>
    <w:rsid w:val="00BA0D3B"/>
    <w:rsid w:val="00BA0DA9"/>
    <w:rsid w:val="00BA0DAF"/>
    <w:rsid w:val="00BA142F"/>
    <w:rsid w:val="00BA1861"/>
    <w:rsid w:val="00BA1E05"/>
    <w:rsid w:val="00BA1E9B"/>
    <w:rsid w:val="00BA1EC6"/>
    <w:rsid w:val="00BA25C8"/>
    <w:rsid w:val="00BA25FA"/>
    <w:rsid w:val="00BA2A38"/>
    <w:rsid w:val="00BA2E05"/>
    <w:rsid w:val="00BA3B16"/>
    <w:rsid w:val="00BA4692"/>
    <w:rsid w:val="00BA4936"/>
    <w:rsid w:val="00BA50EB"/>
    <w:rsid w:val="00BA584C"/>
    <w:rsid w:val="00BA61D2"/>
    <w:rsid w:val="00BA62D7"/>
    <w:rsid w:val="00BA63D9"/>
    <w:rsid w:val="00BA6D06"/>
    <w:rsid w:val="00BA7684"/>
    <w:rsid w:val="00BA77AD"/>
    <w:rsid w:val="00BA77DF"/>
    <w:rsid w:val="00BA7A1D"/>
    <w:rsid w:val="00BA7C19"/>
    <w:rsid w:val="00BA7C7F"/>
    <w:rsid w:val="00BB03B6"/>
    <w:rsid w:val="00BB03B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7D0"/>
    <w:rsid w:val="00BB5EA2"/>
    <w:rsid w:val="00BB61DB"/>
    <w:rsid w:val="00BB6663"/>
    <w:rsid w:val="00BB6E63"/>
    <w:rsid w:val="00BB71A3"/>
    <w:rsid w:val="00BB776A"/>
    <w:rsid w:val="00BB7AFF"/>
    <w:rsid w:val="00BB7B2E"/>
    <w:rsid w:val="00BB7F2D"/>
    <w:rsid w:val="00BC0676"/>
    <w:rsid w:val="00BC09F1"/>
    <w:rsid w:val="00BC0A05"/>
    <w:rsid w:val="00BC0E1F"/>
    <w:rsid w:val="00BC0F1F"/>
    <w:rsid w:val="00BC141E"/>
    <w:rsid w:val="00BC2239"/>
    <w:rsid w:val="00BC24EB"/>
    <w:rsid w:val="00BC2833"/>
    <w:rsid w:val="00BC28D0"/>
    <w:rsid w:val="00BC2B7D"/>
    <w:rsid w:val="00BC2D7B"/>
    <w:rsid w:val="00BC2E4E"/>
    <w:rsid w:val="00BC319D"/>
    <w:rsid w:val="00BC3715"/>
    <w:rsid w:val="00BC3AE1"/>
    <w:rsid w:val="00BC4152"/>
    <w:rsid w:val="00BC417C"/>
    <w:rsid w:val="00BC536E"/>
    <w:rsid w:val="00BC5713"/>
    <w:rsid w:val="00BC585E"/>
    <w:rsid w:val="00BC5885"/>
    <w:rsid w:val="00BC59B4"/>
    <w:rsid w:val="00BC65A8"/>
    <w:rsid w:val="00BC677F"/>
    <w:rsid w:val="00BC691D"/>
    <w:rsid w:val="00BC7594"/>
    <w:rsid w:val="00BD0070"/>
    <w:rsid w:val="00BD0615"/>
    <w:rsid w:val="00BD06F3"/>
    <w:rsid w:val="00BD0752"/>
    <w:rsid w:val="00BD089C"/>
    <w:rsid w:val="00BD08DA"/>
    <w:rsid w:val="00BD08FD"/>
    <w:rsid w:val="00BD0EC0"/>
    <w:rsid w:val="00BD1497"/>
    <w:rsid w:val="00BD15E7"/>
    <w:rsid w:val="00BD1A0A"/>
    <w:rsid w:val="00BD1C2D"/>
    <w:rsid w:val="00BD1CD2"/>
    <w:rsid w:val="00BD1E6A"/>
    <w:rsid w:val="00BD1EB7"/>
    <w:rsid w:val="00BD207C"/>
    <w:rsid w:val="00BD2ABB"/>
    <w:rsid w:val="00BD2AE9"/>
    <w:rsid w:val="00BD2D47"/>
    <w:rsid w:val="00BD3597"/>
    <w:rsid w:val="00BD36C9"/>
    <w:rsid w:val="00BD3B5D"/>
    <w:rsid w:val="00BD3BB9"/>
    <w:rsid w:val="00BD40ED"/>
    <w:rsid w:val="00BD41AC"/>
    <w:rsid w:val="00BD4A11"/>
    <w:rsid w:val="00BD4F5D"/>
    <w:rsid w:val="00BD5217"/>
    <w:rsid w:val="00BD5414"/>
    <w:rsid w:val="00BD58CD"/>
    <w:rsid w:val="00BD5F4D"/>
    <w:rsid w:val="00BD60C2"/>
    <w:rsid w:val="00BD6C79"/>
    <w:rsid w:val="00BD6E2E"/>
    <w:rsid w:val="00BD7094"/>
    <w:rsid w:val="00BD720F"/>
    <w:rsid w:val="00BD7700"/>
    <w:rsid w:val="00BD78A1"/>
    <w:rsid w:val="00BD7B27"/>
    <w:rsid w:val="00BD7BC1"/>
    <w:rsid w:val="00BD7C34"/>
    <w:rsid w:val="00BD7C62"/>
    <w:rsid w:val="00BD7D9B"/>
    <w:rsid w:val="00BD7FBD"/>
    <w:rsid w:val="00BE0078"/>
    <w:rsid w:val="00BE10F8"/>
    <w:rsid w:val="00BE1278"/>
    <w:rsid w:val="00BE1320"/>
    <w:rsid w:val="00BE14A0"/>
    <w:rsid w:val="00BE15E6"/>
    <w:rsid w:val="00BE1EB5"/>
    <w:rsid w:val="00BE1F42"/>
    <w:rsid w:val="00BE2372"/>
    <w:rsid w:val="00BE2395"/>
    <w:rsid w:val="00BE291F"/>
    <w:rsid w:val="00BE2AD9"/>
    <w:rsid w:val="00BE2ED0"/>
    <w:rsid w:val="00BE2F3D"/>
    <w:rsid w:val="00BE32BD"/>
    <w:rsid w:val="00BE3BAC"/>
    <w:rsid w:val="00BE3D0E"/>
    <w:rsid w:val="00BE48B9"/>
    <w:rsid w:val="00BE491F"/>
    <w:rsid w:val="00BE56F6"/>
    <w:rsid w:val="00BE59C3"/>
    <w:rsid w:val="00BE5D3B"/>
    <w:rsid w:val="00BE6380"/>
    <w:rsid w:val="00BE6466"/>
    <w:rsid w:val="00BE64A5"/>
    <w:rsid w:val="00BE6AB6"/>
    <w:rsid w:val="00BE6BE4"/>
    <w:rsid w:val="00BE6F60"/>
    <w:rsid w:val="00BE6FC3"/>
    <w:rsid w:val="00BE724A"/>
    <w:rsid w:val="00BE7646"/>
    <w:rsid w:val="00BE7818"/>
    <w:rsid w:val="00BE7EA3"/>
    <w:rsid w:val="00BF0492"/>
    <w:rsid w:val="00BF0622"/>
    <w:rsid w:val="00BF064A"/>
    <w:rsid w:val="00BF065F"/>
    <w:rsid w:val="00BF115E"/>
    <w:rsid w:val="00BF2373"/>
    <w:rsid w:val="00BF3448"/>
    <w:rsid w:val="00BF3465"/>
    <w:rsid w:val="00BF4015"/>
    <w:rsid w:val="00BF42FA"/>
    <w:rsid w:val="00BF4683"/>
    <w:rsid w:val="00BF4849"/>
    <w:rsid w:val="00BF48B5"/>
    <w:rsid w:val="00BF49E8"/>
    <w:rsid w:val="00BF4AD5"/>
    <w:rsid w:val="00BF4E04"/>
    <w:rsid w:val="00BF51B5"/>
    <w:rsid w:val="00BF548B"/>
    <w:rsid w:val="00BF550E"/>
    <w:rsid w:val="00BF5736"/>
    <w:rsid w:val="00BF5A47"/>
    <w:rsid w:val="00BF61B7"/>
    <w:rsid w:val="00BF66BD"/>
    <w:rsid w:val="00BF6868"/>
    <w:rsid w:val="00BF6A2A"/>
    <w:rsid w:val="00BF6B39"/>
    <w:rsid w:val="00BF7667"/>
    <w:rsid w:val="00BF7E53"/>
    <w:rsid w:val="00C00111"/>
    <w:rsid w:val="00C001F0"/>
    <w:rsid w:val="00C00225"/>
    <w:rsid w:val="00C00497"/>
    <w:rsid w:val="00C00C2C"/>
    <w:rsid w:val="00C00C47"/>
    <w:rsid w:val="00C015D1"/>
    <w:rsid w:val="00C019A2"/>
    <w:rsid w:val="00C020D7"/>
    <w:rsid w:val="00C023BA"/>
    <w:rsid w:val="00C02B25"/>
    <w:rsid w:val="00C02DE1"/>
    <w:rsid w:val="00C030B6"/>
    <w:rsid w:val="00C033B8"/>
    <w:rsid w:val="00C03776"/>
    <w:rsid w:val="00C03D30"/>
    <w:rsid w:val="00C041D0"/>
    <w:rsid w:val="00C04BAA"/>
    <w:rsid w:val="00C0501B"/>
    <w:rsid w:val="00C05093"/>
    <w:rsid w:val="00C05460"/>
    <w:rsid w:val="00C0642D"/>
    <w:rsid w:val="00C06628"/>
    <w:rsid w:val="00C067FC"/>
    <w:rsid w:val="00C06ED4"/>
    <w:rsid w:val="00C06EEE"/>
    <w:rsid w:val="00C0700A"/>
    <w:rsid w:val="00C07F85"/>
    <w:rsid w:val="00C1039F"/>
    <w:rsid w:val="00C108E9"/>
    <w:rsid w:val="00C10E6E"/>
    <w:rsid w:val="00C10FFE"/>
    <w:rsid w:val="00C11D51"/>
    <w:rsid w:val="00C121AF"/>
    <w:rsid w:val="00C128E1"/>
    <w:rsid w:val="00C12993"/>
    <w:rsid w:val="00C12A99"/>
    <w:rsid w:val="00C13066"/>
    <w:rsid w:val="00C13888"/>
    <w:rsid w:val="00C13A7B"/>
    <w:rsid w:val="00C13C6D"/>
    <w:rsid w:val="00C1445C"/>
    <w:rsid w:val="00C14514"/>
    <w:rsid w:val="00C14FB2"/>
    <w:rsid w:val="00C1503E"/>
    <w:rsid w:val="00C159DE"/>
    <w:rsid w:val="00C15E98"/>
    <w:rsid w:val="00C17483"/>
    <w:rsid w:val="00C1765B"/>
    <w:rsid w:val="00C17CBB"/>
    <w:rsid w:val="00C17EB0"/>
    <w:rsid w:val="00C17FF6"/>
    <w:rsid w:val="00C2020F"/>
    <w:rsid w:val="00C20301"/>
    <w:rsid w:val="00C2057A"/>
    <w:rsid w:val="00C20936"/>
    <w:rsid w:val="00C20C90"/>
    <w:rsid w:val="00C215DA"/>
    <w:rsid w:val="00C2187B"/>
    <w:rsid w:val="00C21D62"/>
    <w:rsid w:val="00C21E4F"/>
    <w:rsid w:val="00C2239B"/>
    <w:rsid w:val="00C22F7E"/>
    <w:rsid w:val="00C23167"/>
    <w:rsid w:val="00C24218"/>
    <w:rsid w:val="00C243AD"/>
    <w:rsid w:val="00C24522"/>
    <w:rsid w:val="00C2479C"/>
    <w:rsid w:val="00C247E2"/>
    <w:rsid w:val="00C24A3E"/>
    <w:rsid w:val="00C24A62"/>
    <w:rsid w:val="00C24EAE"/>
    <w:rsid w:val="00C253F5"/>
    <w:rsid w:val="00C25602"/>
    <w:rsid w:val="00C25787"/>
    <w:rsid w:val="00C258E4"/>
    <w:rsid w:val="00C264F4"/>
    <w:rsid w:val="00C26E59"/>
    <w:rsid w:val="00C2738D"/>
    <w:rsid w:val="00C27827"/>
    <w:rsid w:val="00C27DA5"/>
    <w:rsid w:val="00C302DB"/>
    <w:rsid w:val="00C30447"/>
    <w:rsid w:val="00C308B6"/>
    <w:rsid w:val="00C30EAE"/>
    <w:rsid w:val="00C31853"/>
    <w:rsid w:val="00C31BD3"/>
    <w:rsid w:val="00C31C1D"/>
    <w:rsid w:val="00C31EDA"/>
    <w:rsid w:val="00C3225D"/>
    <w:rsid w:val="00C325B6"/>
    <w:rsid w:val="00C326AC"/>
    <w:rsid w:val="00C32861"/>
    <w:rsid w:val="00C32E89"/>
    <w:rsid w:val="00C337E8"/>
    <w:rsid w:val="00C337F6"/>
    <w:rsid w:val="00C33F29"/>
    <w:rsid w:val="00C34354"/>
    <w:rsid w:val="00C349F6"/>
    <w:rsid w:val="00C34F18"/>
    <w:rsid w:val="00C36000"/>
    <w:rsid w:val="00C362F0"/>
    <w:rsid w:val="00C369C4"/>
    <w:rsid w:val="00C36BFE"/>
    <w:rsid w:val="00C36CCE"/>
    <w:rsid w:val="00C36F55"/>
    <w:rsid w:val="00C37273"/>
    <w:rsid w:val="00C373AE"/>
    <w:rsid w:val="00C37683"/>
    <w:rsid w:val="00C37750"/>
    <w:rsid w:val="00C37765"/>
    <w:rsid w:val="00C40576"/>
    <w:rsid w:val="00C40767"/>
    <w:rsid w:val="00C40A25"/>
    <w:rsid w:val="00C40BFC"/>
    <w:rsid w:val="00C41342"/>
    <w:rsid w:val="00C4186A"/>
    <w:rsid w:val="00C41A20"/>
    <w:rsid w:val="00C42CE4"/>
    <w:rsid w:val="00C42E2C"/>
    <w:rsid w:val="00C434B4"/>
    <w:rsid w:val="00C43887"/>
    <w:rsid w:val="00C43D05"/>
    <w:rsid w:val="00C4439D"/>
    <w:rsid w:val="00C44C5A"/>
    <w:rsid w:val="00C450A3"/>
    <w:rsid w:val="00C459B2"/>
    <w:rsid w:val="00C45AA7"/>
    <w:rsid w:val="00C45B22"/>
    <w:rsid w:val="00C462CF"/>
    <w:rsid w:val="00C47AA9"/>
    <w:rsid w:val="00C47F3C"/>
    <w:rsid w:val="00C508DC"/>
    <w:rsid w:val="00C50B00"/>
    <w:rsid w:val="00C50C41"/>
    <w:rsid w:val="00C50DD9"/>
    <w:rsid w:val="00C5133B"/>
    <w:rsid w:val="00C514BB"/>
    <w:rsid w:val="00C518E2"/>
    <w:rsid w:val="00C51A05"/>
    <w:rsid w:val="00C51CCB"/>
    <w:rsid w:val="00C52246"/>
    <w:rsid w:val="00C527FA"/>
    <w:rsid w:val="00C53835"/>
    <w:rsid w:val="00C53E15"/>
    <w:rsid w:val="00C5459C"/>
    <w:rsid w:val="00C546A0"/>
    <w:rsid w:val="00C54914"/>
    <w:rsid w:val="00C56473"/>
    <w:rsid w:val="00C5652E"/>
    <w:rsid w:val="00C57DAE"/>
    <w:rsid w:val="00C6007B"/>
    <w:rsid w:val="00C6052E"/>
    <w:rsid w:val="00C6070E"/>
    <w:rsid w:val="00C60BC7"/>
    <w:rsid w:val="00C61794"/>
    <w:rsid w:val="00C61888"/>
    <w:rsid w:val="00C62053"/>
    <w:rsid w:val="00C62568"/>
    <w:rsid w:val="00C6265B"/>
    <w:rsid w:val="00C62EFF"/>
    <w:rsid w:val="00C6316A"/>
    <w:rsid w:val="00C632A9"/>
    <w:rsid w:val="00C649FB"/>
    <w:rsid w:val="00C64B81"/>
    <w:rsid w:val="00C64E5A"/>
    <w:rsid w:val="00C64E75"/>
    <w:rsid w:val="00C64FDD"/>
    <w:rsid w:val="00C6551F"/>
    <w:rsid w:val="00C65533"/>
    <w:rsid w:val="00C65810"/>
    <w:rsid w:val="00C65C34"/>
    <w:rsid w:val="00C65C43"/>
    <w:rsid w:val="00C66147"/>
    <w:rsid w:val="00C6646C"/>
    <w:rsid w:val="00C66815"/>
    <w:rsid w:val="00C66894"/>
    <w:rsid w:val="00C66D34"/>
    <w:rsid w:val="00C67865"/>
    <w:rsid w:val="00C700B2"/>
    <w:rsid w:val="00C70BCB"/>
    <w:rsid w:val="00C7140F"/>
    <w:rsid w:val="00C7211D"/>
    <w:rsid w:val="00C72294"/>
    <w:rsid w:val="00C724EA"/>
    <w:rsid w:val="00C726AF"/>
    <w:rsid w:val="00C728AC"/>
    <w:rsid w:val="00C728B1"/>
    <w:rsid w:val="00C73061"/>
    <w:rsid w:val="00C7313D"/>
    <w:rsid w:val="00C73316"/>
    <w:rsid w:val="00C73602"/>
    <w:rsid w:val="00C73792"/>
    <w:rsid w:val="00C73A26"/>
    <w:rsid w:val="00C73F8E"/>
    <w:rsid w:val="00C7431B"/>
    <w:rsid w:val="00C751A5"/>
    <w:rsid w:val="00C751B9"/>
    <w:rsid w:val="00C75B4A"/>
    <w:rsid w:val="00C75C25"/>
    <w:rsid w:val="00C75CBA"/>
    <w:rsid w:val="00C767F4"/>
    <w:rsid w:val="00C76833"/>
    <w:rsid w:val="00C76B4C"/>
    <w:rsid w:val="00C771C5"/>
    <w:rsid w:val="00C773E5"/>
    <w:rsid w:val="00C77A2B"/>
    <w:rsid w:val="00C77C6D"/>
    <w:rsid w:val="00C804A6"/>
    <w:rsid w:val="00C805A9"/>
    <w:rsid w:val="00C80DE7"/>
    <w:rsid w:val="00C81D7C"/>
    <w:rsid w:val="00C81EBC"/>
    <w:rsid w:val="00C826B1"/>
    <w:rsid w:val="00C82703"/>
    <w:rsid w:val="00C82956"/>
    <w:rsid w:val="00C82993"/>
    <w:rsid w:val="00C82B30"/>
    <w:rsid w:val="00C82FA2"/>
    <w:rsid w:val="00C834A4"/>
    <w:rsid w:val="00C837D5"/>
    <w:rsid w:val="00C83F3F"/>
    <w:rsid w:val="00C8470C"/>
    <w:rsid w:val="00C84CD9"/>
    <w:rsid w:val="00C84DD9"/>
    <w:rsid w:val="00C851A4"/>
    <w:rsid w:val="00C85443"/>
    <w:rsid w:val="00C857B2"/>
    <w:rsid w:val="00C85934"/>
    <w:rsid w:val="00C85F37"/>
    <w:rsid w:val="00C868B0"/>
    <w:rsid w:val="00C86DE6"/>
    <w:rsid w:val="00C870AF"/>
    <w:rsid w:val="00C8778D"/>
    <w:rsid w:val="00C87917"/>
    <w:rsid w:val="00C87D65"/>
    <w:rsid w:val="00C90D0E"/>
    <w:rsid w:val="00C90F19"/>
    <w:rsid w:val="00C912C1"/>
    <w:rsid w:val="00C91498"/>
    <w:rsid w:val="00C91EF4"/>
    <w:rsid w:val="00C92CA8"/>
    <w:rsid w:val="00C92FF6"/>
    <w:rsid w:val="00C934D9"/>
    <w:rsid w:val="00C93A31"/>
    <w:rsid w:val="00C93FE8"/>
    <w:rsid w:val="00C94417"/>
    <w:rsid w:val="00C9483B"/>
    <w:rsid w:val="00C9486F"/>
    <w:rsid w:val="00C94D43"/>
    <w:rsid w:val="00C95A30"/>
    <w:rsid w:val="00C95A9C"/>
    <w:rsid w:val="00C95ECC"/>
    <w:rsid w:val="00C96061"/>
    <w:rsid w:val="00C964D7"/>
    <w:rsid w:val="00C965C2"/>
    <w:rsid w:val="00C96907"/>
    <w:rsid w:val="00C970BB"/>
    <w:rsid w:val="00C97195"/>
    <w:rsid w:val="00C97F20"/>
    <w:rsid w:val="00CA0343"/>
    <w:rsid w:val="00CA06FF"/>
    <w:rsid w:val="00CA071B"/>
    <w:rsid w:val="00CA0A10"/>
    <w:rsid w:val="00CA1036"/>
    <w:rsid w:val="00CA152E"/>
    <w:rsid w:val="00CA18FF"/>
    <w:rsid w:val="00CA2012"/>
    <w:rsid w:val="00CA23DD"/>
    <w:rsid w:val="00CA2491"/>
    <w:rsid w:val="00CA2701"/>
    <w:rsid w:val="00CA2ABF"/>
    <w:rsid w:val="00CA3A3A"/>
    <w:rsid w:val="00CA41DA"/>
    <w:rsid w:val="00CA4334"/>
    <w:rsid w:val="00CA58C3"/>
    <w:rsid w:val="00CA5FAA"/>
    <w:rsid w:val="00CA6F33"/>
    <w:rsid w:val="00CA6FAA"/>
    <w:rsid w:val="00CA713C"/>
    <w:rsid w:val="00CA7B49"/>
    <w:rsid w:val="00CA7C5C"/>
    <w:rsid w:val="00CB0AC8"/>
    <w:rsid w:val="00CB0F78"/>
    <w:rsid w:val="00CB112A"/>
    <w:rsid w:val="00CB17F2"/>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9F2"/>
    <w:rsid w:val="00CB5F2D"/>
    <w:rsid w:val="00CB6125"/>
    <w:rsid w:val="00CB705C"/>
    <w:rsid w:val="00CC066D"/>
    <w:rsid w:val="00CC0F03"/>
    <w:rsid w:val="00CC1917"/>
    <w:rsid w:val="00CC1BA8"/>
    <w:rsid w:val="00CC1BC4"/>
    <w:rsid w:val="00CC1CA2"/>
    <w:rsid w:val="00CC1F70"/>
    <w:rsid w:val="00CC2009"/>
    <w:rsid w:val="00CC20E4"/>
    <w:rsid w:val="00CC280C"/>
    <w:rsid w:val="00CC2ABC"/>
    <w:rsid w:val="00CC2BCE"/>
    <w:rsid w:val="00CC2EC8"/>
    <w:rsid w:val="00CC3126"/>
    <w:rsid w:val="00CC3B58"/>
    <w:rsid w:val="00CC3B87"/>
    <w:rsid w:val="00CC40CE"/>
    <w:rsid w:val="00CC473F"/>
    <w:rsid w:val="00CC4751"/>
    <w:rsid w:val="00CC485E"/>
    <w:rsid w:val="00CC49CE"/>
    <w:rsid w:val="00CC4D6A"/>
    <w:rsid w:val="00CC5033"/>
    <w:rsid w:val="00CC5234"/>
    <w:rsid w:val="00CC61AC"/>
    <w:rsid w:val="00CC6D98"/>
    <w:rsid w:val="00CC6DFC"/>
    <w:rsid w:val="00CC710A"/>
    <w:rsid w:val="00CC73CA"/>
    <w:rsid w:val="00CC746C"/>
    <w:rsid w:val="00CC7C72"/>
    <w:rsid w:val="00CC7CBF"/>
    <w:rsid w:val="00CD040C"/>
    <w:rsid w:val="00CD044F"/>
    <w:rsid w:val="00CD04D3"/>
    <w:rsid w:val="00CD1036"/>
    <w:rsid w:val="00CD1074"/>
    <w:rsid w:val="00CD1098"/>
    <w:rsid w:val="00CD1AE6"/>
    <w:rsid w:val="00CD1DAF"/>
    <w:rsid w:val="00CD253B"/>
    <w:rsid w:val="00CD3158"/>
    <w:rsid w:val="00CD4060"/>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544"/>
    <w:rsid w:val="00CE1857"/>
    <w:rsid w:val="00CE1D19"/>
    <w:rsid w:val="00CE2474"/>
    <w:rsid w:val="00CE3194"/>
    <w:rsid w:val="00CE4200"/>
    <w:rsid w:val="00CE4B86"/>
    <w:rsid w:val="00CE4ECF"/>
    <w:rsid w:val="00CE5028"/>
    <w:rsid w:val="00CE5182"/>
    <w:rsid w:val="00CE55DB"/>
    <w:rsid w:val="00CE5E8A"/>
    <w:rsid w:val="00CE661E"/>
    <w:rsid w:val="00CE68D9"/>
    <w:rsid w:val="00CE73EF"/>
    <w:rsid w:val="00CE7628"/>
    <w:rsid w:val="00CE7E34"/>
    <w:rsid w:val="00CF02E8"/>
    <w:rsid w:val="00CF19E2"/>
    <w:rsid w:val="00CF1A8C"/>
    <w:rsid w:val="00CF255E"/>
    <w:rsid w:val="00CF3470"/>
    <w:rsid w:val="00CF3E24"/>
    <w:rsid w:val="00CF4761"/>
    <w:rsid w:val="00CF4FB8"/>
    <w:rsid w:val="00CF5F04"/>
    <w:rsid w:val="00CF684E"/>
    <w:rsid w:val="00CF73FE"/>
    <w:rsid w:val="00CF742C"/>
    <w:rsid w:val="00CF776F"/>
    <w:rsid w:val="00CF79B0"/>
    <w:rsid w:val="00CF7CF6"/>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5330"/>
    <w:rsid w:val="00D0539B"/>
    <w:rsid w:val="00D0582D"/>
    <w:rsid w:val="00D0588E"/>
    <w:rsid w:val="00D06554"/>
    <w:rsid w:val="00D06E3E"/>
    <w:rsid w:val="00D06E55"/>
    <w:rsid w:val="00D07845"/>
    <w:rsid w:val="00D07A98"/>
    <w:rsid w:val="00D07E13"/>
    <w:rsid w:val="00D07E68"/>
    <w:rsid w:val="00D1041A"/>
    <w:rsid w:val="00D105EE"/>
    <w:rsid w:val="00D10F62"/>
    <w:rsid w:val="00D1104A"/>
    <w:rsid w:val="00D119E8"/>
    <w:rsid w:val="00D11C88"/>
    <w:rsid w:val="00D11D20"/>
    <w:rsid w:val="00D11F0F"/>
    <w:rsid w:val="00D122F9"/>
    <w:rsid w:val="00D12D87"/>
    <w:rsid w:val="00D12DBF"/>
    <w:rsid w:val="00D12F24"/>
    <w:rsid w:val="00D134B3"/>
    <w:rsid w:val="00D13EF0"/>
    <w:rsid w:val="00D140A9"/>
    <w:rsid w:val="00D14186"/>
    <w:rsid w:val="00D141E9"/>
    <w:rsid w:val="00D144CA"/>
    <w:rsid w:val="00D1451B"/>
    <w:rsid w:val="00D147ED"/>
    <w:rsid w:val="00D14982"/>
    <w:rsid w:val="00D14F32"/>
    <w:rsid w:val="00D15116"/>
    <w:rsid w:val="00D15135"/>
    <w:rsid w:val="00D162F1"/>
    <w:rsid w:val="00D170F2"/>
    <w:rsid w:val="00D173DE"/>
    <w:rsid w:val="00D1758B"/>
    <w:rsid w:val="00D17C1B"/>
    <w:rsid w:val="00D2042F"/>
    <w:rsid w:val="00D205CD"/>
    <w:rsid w:val="00D20F46"/>
    <w:rsid w:val="00D21FEE"/>
    <w:rsid w:val="00D220B6"/>
    <w:rsid w:val="00D22680"/>
    <w:rsid w:val="00D2283B"/>
    <w:rsid w:val="00D22CB1"/>
    <w:rsid w:val="00D23107"/>
    <w:rsid w:val="00D23CBC"/>
    <w:rsid w:val="00D23CD3"/>
    <w:rsid w:val="00D23EA0"/>
    <w:rsid w:val="00D23FBE"/>
    <w:rsid w:val="00D24265"/>
    <w:rsid w:val="00D24880"/>
    <w:rsid w:val="00D24AAB"/>
    <w:rsid w:val="00D25278"/>
    <w:rsid w:val="00D256DF"/>
    <w:rsid w:val="00D26A8A"/>
    <w:rsid w:val="00D26B01"/>
    <w:rsid w:val="00D27A0B"/>
    <w:rsid w:val="00D27B36"/>
    <w:rsid w:val="00D30DE3"/>
    <w:rsid w:val="00D318B8"/>
    <w:rsid w:val="00D323DE"/>
    <w:rsid w:val="00D324DC"/>
    <w:rsid w:val="00D328D4"/>
    <w:rsid w:val="00D329FE"/>
    <w:rsid w:val="00D32D58"/>
    <w:rsid w:val="00D33422"/>
    <w:rsid w:val="00D336B0"/>
    <w:rsid w:val="00D338B4"/>
    <w:rsid w:val="00D33A35"/>
    <w:rsid w:val="00D33CE3"/>
    <w:rsid w:val="00D33E1C"/>
    <w:rsid w:val="00D35546"/>
    <w:rsid w:val="00D3586B"/>
    <w:rsid w:val="00D358D5"/>
    <w:rsid w:val="00D3598C"/>
    <w:rsid w:val="00D35C41"/>
    <w:rsid w:val="00D36209"/>
    <w:rsid w:val="00D365D7"/>
    <w:rsid w:val="00D36C4D"/>
    <w:rsid w:val="00D36D65"/>
    <w:rsid w:val="00D37657"/>
    <w:rsid w:val="00D379A9"/>
    <w:rsid w:val="00D379C6"/>
    <w:rsid w:val="00D37E82"/>
    <w:rsid w:val="00D37F36"/>
    <w:rsid w:val="00D408E4"/>
    <w:rsid w:val="00D41004"/>
    <w:rsid w:val="00D417A5"/>
    <w:rsid w:val="00D418C2"/>
    <w:rsid w:val="00D422E3"/>
    <w:rsid w:val="00D42DBC"/>
    <w:rsid w:val="00D42F46"/>
    <w:rsid w:val="00D43C96"/>
    <w:rsid w:val="00D43F3C"/>
    <w:rsid w:val="00D447C4"/>
    <w:rsid w:val="00D44F47"/>
    <w:rsid w:val="00D44FC9"/>
    <w:rsid w:val="00D4511C"/>
    <w:rsid w:val="00D4511D"/>
    <w:rsid w:val="00D4533A"/>
    <w:rsid w:val="00D45E02"/>
    <w:rsid w:val="00D46549"/>
    <w:rsid w:val="00D466BF"/>
    <w:rsid w:val="00D46A5B"/>
    <w:rsid w:val="00D46E51"/>
    <w:rsid w:val="00D47170"/>
    <w:rsid w:val="00D47506"/>
    <w:rsid w:val="00D4758D"/>
    <w:rsid w:val="00D50008"/>
    <w:rsid w:val="00D50946"/>
    <w:rsid w:val="00D50E49"/>
    <w:rsid w:val="00D512E7"/>
    <w:rsid w:val="00D5132B"/>
    <w:rsid w:val="00D51641"/>
    <w:rsid w:val="00D52654"/>
    <w:rsid w:val="00D52ECE"/>
    <w:rsid w:val="00D538DE"/>
    <w:rsid w:val="00D53B51"/>
    <w:rsid w:val="00D53BCA"/>
    <w:rsid w:val="00D54271"/>
    <w:rsid w:val="00D545D4"/>
    <w:rsid w:val="00D54675"/>
    <w:rsid w:val="00D54B68"/>
    <w:rsid w:val="00D552F8"/>
    <w:rsid w:val="00D5569E"/>
    <w:rsid w:val="00D55D2D"/>
    <w:rsid w:val="00D55FD7"/>
    <w:rsid w:val="00D56B7D"/>
    <w:rsid w:val="00D5709A"/>
    <w:rsid w:val="00D5773A"/>
    <w:rsid w:val="00D6156E"/>
    <w:rsid w:val="00D61727"/>
    <w:rsid w:val="00D6194E"/>
    <w:rsid w:val="00D61F7C"/>
    <w:rsid w:val="00D622DC"/>
    <w:rsid w:val="00D625A3"/>
    <w:rsid w:val="00D62709"/>
    <w:rsid w:val="00D62972"/>
    <w:rsid w:val="00D62C85"/>
    <w:rsid w:val="00D62FA4"/>
    <w:rsid w:val="00D632A8"/>
    <w:rsid w:val="00D63431"/>
    <w:rsid w:val="00D63A9F"/>
    <w:rsid w:val="00D63B99"/>
    <w:rsid w:val="00D63D72"/>
    <w:rsid w:val="00D64A64"/>
    <w:rsid w:val="00D64FE5"/>
    <w:rsid w:val="00D655B3"/>
    <w:rsid w:val="00D65B9B"/>
    <w:rsid w:val="00D66154"/>
    <w:rsid w:val="00D66462"/>
    <w:rsid w:val="00D67334"/>
    <w:rsid w:val="00D67517"/>
    <w:rsid w:val="00D67715"/>
    <w:rsid w:val="00D67E6A"/>
    <w:rsid w:val="00D7029D"/>
    <w:rsid w:val="00D70627"/>
    <w:rsid w:val="00D70D9B"/>
    <w:rsid w:val="00D71186"/>
    <w:rsid w:val="00D717F5"/>
    <w:rsid w:val="00D71A1F"/>
    <w:rsid w:val="00D72496"/>
    <w:rsid w:val="00D7270C"/>
    <w:rsid w:val="00D7272C"/>
    <w:rsid w:val="00D72842"/>
    <w:rsid w:val="00D72B6D"/>
    <w:rsid w:val="00D72EB1"/>
    <w:rsid w:val="00D72F24"/>
    <w:rsid w:val="00D73580"/>
    <w:rsid w:val="00D73788"/>
    <w:rsid w:val="00D73CE3"/>
    <w:rsid w:val="00D74E10"/>
    <w:rsid w:val="00D74FD3"/>
    <w:rsid w:val="00D75460"/>
    <w:rsid w:val="00D757BE"/>
    <w:rsid w:val="00D75AB5"/>
    <w:rsid w:val="00D75DCA"/>
    <w:rsid w:val="00D761CD"/>
    <w:rsid w:val="00D7635D"/>
    <w:rsid w:val="00D763AC"/>
    <w:rsid w:val="00D76BFC"/>
    <w:rsid w:val="00D76DD8"/>
    <w:rsid w:val="00D77025"/>
    <w:rsid w:val="00D771D9"/>
    <w:rsid w:val="00D7748A"/>
    <w:rsid w:val="00D7751C"/>
    <w:rsid w:val="00D779C3"/>
    <w:rsid w:val="00D77CD1"/>
    <w:rsid w:val="00D80420"/>
    <w:rsid w:val="00D8053E"/>
    <w:rsid w:val="00D80B48"/>
    <w:rsid w:val="00D80CBF"/>
    <w:rsid w:val="00D80D73"/>
    <w:rsid w:val="00D81134"/>
    <w:rsid w:val="00D813D7"/>
    <w:rsid w:val="00D81444"/>
    <w:rsid w:val="00D815D6"/>
    <w:rsid w:val="00D81F79"/>
    <w:rsid w:val="00D82313"/>
    <w:rsid w:val="00D823CE"/>
    <w:rsid w:val="00D82630"/>
    <w:rsid w:val="00D8450D"/>
    <w:rsid w:val="00D847F5"/>
    <w:rsid w:val="00D85152"/>
    <w:rsid w:val="00D85A08"/>
    <w:rsid w:val="00D85C6A"/>
    <w:rsid w:val="00D85FE8"/>
    <w:rsid w:val="00D861C5"/>
    <w:rsid w:val="00D86405"/>
    <w:rsid w:val="00D868ED"/>
    <w:rsid w:val="00D86A72"/>
    <w:rsid w:val="00D86A83"/>
    <w:rsid w:val="00D86B59"/>
    <w:rsid w:val="00D86BFB"/>
    <w:rsid w:val="00D86D3B"/>
    <w:rsid w:val="00D86D7B"/>
    <w:rsid w:val="00D86E29"/>
    <w:rsid w:val="00D8738E"/>
    <w:rsid w:val="00D87743"/>
    <w:rsid w:val="00D87AB0"/>
    <w:rsid w:val="00D87B5A"/>
    <w:rsid w:val="00D9046C"/>
    <w:rsid w:val="00D9055D"/>
    <w:rsid w:val="00D90860"/>
    <w:rsid w:val="00D909E2"/>
    <w:rsid w:val="00D91221"/>
    <w:rsid w:val="00D914A7"/>
    <w:rsid w:val="00D919C8"/>
    <w:rsid w:val="00D919F1"/>
    <w:rsid w:val="00D91A79"/>
    <w:rsid w:val="00D91B95"/>
    <w:rsid w:val="00D91C81"/>
    <w:rsid w:val="00D91D06"/>
    <w:rsid w:val="00D9270E"/>
    <w:rsid w:val="00D92F9F"/>
    <w:rsid w:val="00D93036"/>
    <w:rsid w:val="00D9396B"/>
    <w:rsid w:val="00D93A5F"/>
    <w:rsid w:val="00D945B2"/>
    <w:rsid w:val="00D94EBE"/>
    <w:rsid w:val="00D94FEE"/>
    <w:rsid w:val="00D95106"/>
    <w:rsid w:val="00D95B8C"/>
    <w:rsid w:val="00D95F2A"/>
    <w:rsid w:val="00D96043"/>
    <w:rsid w:val="00D96590"/>
    <w:rsid w:val="00D96B93"/>
    <w:rsid w:val="00D96E85"/>
    <w:rsid w:val="00D96F5B"/>
    <w:rsid w:val="00D9721A"/>
    <w:rsid w:val="00D974B8"/>
    <w:rsid w:val="00D977A1"/>
    <w:rsid w:val="00DA015F"/>
    <w:rsid w:val="00DA06A8"/>
    <w:rsid w:val="00DA0C85"/>
    <w:rsid w:val="00DA111A"/>
    <w:rsid w:val="00DA153E"/>
    <w:rsid w:val="00DA16D2"/>
    <w:rsid w:val="00DA18B3"/>
    <w:rsid w:val="00DA1D22"/>
    <w:rsid w:val="00DA1E5B"/>
    <w:rsid w:val="00DA208A"/>
    <w:rsid w:val="00DA20CA"/>
    <w:rsid w:val="00DA220B"/>
    <w:rsid w:val="00DA2788"/>
    <w:rsid w:val="00DA2E17"/>
    <w:rsid w:val="00DA31FF"/>
    <w:rsid w:val="00DA380A"/>
    <w:rsid w:val="00DA3A62"/>
    <w:rsid w:val="00DA3F54"/>
    <w:rsid w:val="00DA4653"/>
    <w:rsid w:val="00DA4A8E"/>
    <w:rsid w:val="00DA4B8A"/>
    <w:rsid w:val="00DA4C16"/>
    <w:rsid w:val="00DA4D36"/>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2469"/>
    <w:rsid w:val="00DB2478"/>
    <w:rsid w:val="00DB2841"/>
    <w:rsid w:val="00DB2934"/>
    <w:rsid w:val="00DB3288"/>
    <w:rsid w:val="00DB328B"/>
    <w:rsid w:val="00DB36B9"/>
    <w:rsid w:val="00DB3B66"/>
    <w:rsid w:val="00DB40A1"/>
    <w:rsid w:val="00DB4E4E"/>
    <w:rsid w:val="00DB5091"/>
    <w:rsid w:val="00DB5C88"/>
    <w:rsid w:val="00DB6144"/>
    <w:rsid w:val="00DB63DB"/>
    <w:rsid w:val="00DB6674"/>
    <w:rsid w:val="00DB667E"/>
    <w:rsid w:val="00DB6750"/>
    <w:rsid w:val="00DB6794"/>
    <w:rsid w:val="00DB6DB4"/>
    <w:rsid w:val="00DB6ECE"/>
    <w:rsid w:val="00DB7292"/>
    <w:rsid w:val="00DB741F"/>
    <w:rsid w:val="00DB79C7"/>
    <w:rsid w:val="00DB7E3F"/>
    <w:rsid w:val="00DC015B"/>
    <w:rsid w:val="00DC0187"/>
    <w:rsid w:val="00DC0552"/>
    <w:rsid w:val="00DC0D9A"/>
    <w:rsid w:val="00DC171F"/>
    <w:rsid w:val="00DC1C99"/>
    <w:rsid w:val="00DC1CF3"/>
    <w:rsid w:val="00DC2663"/>
    <w:rsid w:val="00DC2AC1"/>
    <w:rsid w:val="00DC3400"/>
    <w:rsid w:val="00DC3A64"/>
    <w:rsid w:val="00DC4680"/>
    <w:rsid w:val="00DC47EE"/>
    <w:rsid w:val="00DC4AAC"/>
    <w:rsid w:val="00DC579E"/>
    <w:rsid w:val="00DC59B7"/>
    <w:rsid w:val="00DC6FD4"/>
    <w:rsid w:val="00DC7623"/>
    <w:rsid w:val="00DC76FA"/>
    <w:rsid w:val="00DD0247"/>
    <w:rsid w:val="00DD04C4"/>
    <w:rsid w:val="00DD0759"/>
    <w:rsid w:val="00DD0973"/>
    <w:rsid w:val="00DD0DD4"/>
    <w:rsid w:val="00DD1B54"/>
    <w:rsid w:val="00DD1DC7"/>
    <w:rsid w:val="00DD1EC6"/>
    <w:rsid w:val="00DD1EF3"/>
    <w:rsid w:val="00DD212A"/>
    <w:rsid w:val="00DD22A5"/>
    <w:rsid w:val="00DD23EC"/>
    <w:rsid w:val="00DD250B"/>
    <w:rsid w:val="00DD2635"/>
    <w:rsid w:val="00DD26D2"/>
    <w:rsid w:val="00DD273E"/>
    <w:rsid w:val="00DD2A37"/>
    <w:rsid w:val="00DD2A65"/>
    <w:rsid w:val="00DD2BA9"/>
    <w:rsid w:val="00DD2D98"/>
    <w:rsid w:val="00DD2E7D"/>
    <w:rsid w:val="00DD335C"/>
    <w:rsid w:val="00DD33F2"/>
    <w:rsid w:val="00DD3567"/>
    <w:rsid w:val="00DD3574"/>
    <w:rsid w:val="00DD3E64"/>
    <w:rsid w:val="00DD4A5D"/>
    <w:rsid w:val="00DD524B"/>
    <w:rsid w:val="00DD53E9"/>
    <w:rsid w:val="00DD62BA"/>
    <w:rsid w:val="00DD64D3"/>
    <w:rsid w:val="00DD6604"/>
    <w:rsid w:val="00DD677B"/>
    <w:rsid w:val="00DD67D7"/>
    <w:rsid w:val="00DD7245"/>
    <w:rsid w:val="00DD7A84"/>
    <w:rsid w:val="00DD7D2B"/>
    <w:rsid w:val="00DE0FF7"/>
    <w:rsid w:val="00DE151B"/>
    <w:rsid w:val="00DE151E"/>
    <w:rsid w:val="00DE1955"/>
    <w:rsid w:val="00DE1CBD"/>
    <w:rsid w:val="00DE2516"/>
    <w:rsid w:val="00DE261A"/>
    <w:rsid w:val="00DE2F4E"/>
    <w:rsid w:val="00DE321D"/>
    <w:rsid w:val="00DE41D1"/>
    <w:rsid w:val="00DE45D8"/>
    <w:rsid w:val="00DE45E9"/>
    <w:rsid w:val="00DE56C2"/>
    <w:rsid w:val="00DE57D1"/>
    <w:rsid w:val="00DE6142"/>
    <w:rsid w:val="00DE614E"/>
    <w:rsid w:val="00DE61D6"/>
    <w:rsid w:val="00DE6462"/>
    <w:rsid w:val="00DE69F4"/>
    <w:rsid w:val="00DE6E06"/>
    <w:rsid w:val="00DE6ED8"/>
    <w:rsid w:val="00DE7A4D"/>
    <w:rsid w:val="00DE7C4E"/>
    <w:rsid w:val="00DE7E0B"/>
    <w:rsid w:val="00DF0969"/>
    <w:rsid w:val="00DF168B"/>
    <w:rsid w:val="00DF1E61"/>
    <w:rsid w:val="00DF2040"/>
    <w:rsid w:val="00DF20D4"/>
    <w:rsid w:val="00DF25EF"/>
    <w:rsid w:val="00DF27A8"/>
    <w:rsid w:val="00DF2A48"/>
    <w:rsid w:val="00DF2F66"/>
    <w:rsid w:val="00DF3271"/>
    <w:rsid w:val="00DF34CF"/>
    <w:rsid w:val="00DF34D1"/>
    <w:rsid w:val="00DF37AE"/>
    <w:rsid w:val="00DF3ADA"/>
    <w:rsid w:val="00DF4AF1"/>
    <w:rsid w:val="00DF51D2"/>
    <w:rsid w:val="00DF520D"/>
    <w:rsid w:val="00DF52B0"/>
    <w:rsid w:val="00DF58FA"/>
    <w:rsid w:val="00DF69E9"/>
    <w:rsid w:val="00DF71C9"/>
    <w:rsid w:val="00DF74D1"/>
    <w:rsid w:val="00DF7972"/>
    <w:rsid w:val="00E00A21"/>
    <w:rsid w:val="00E00BAE"/>
    <w:rsid w:val="00E00D89"/>
    <w:rsid w:val="00E01BEB"/>
    <w:rsid w:val="00E01D3E"/>
    <w:rsid w:val="00E01EF0"/>
    <w:rsid w:val="00E022BB"/>
    <w:rsid w:val="00E02AAC"/>
    <w:rsid w:val="00E0335C"/>
    <w:rsid w:val="00E035CC"/>
    <w:rsid w:val="00E039E4"/>
    <w:rsid w:val="00E03A64"/>
    <w:rsid w:val="00E03F6C"/>
    <w:rsid w:val="00E043F6"/>
    <w:rsid w:val="00E047F0"/>
    <w:rsid w:val="00E05330"/>
    <w:rsid w:val="00E055A4"/>
    <w:rsid w:val="00E05A1F"/>
    <w:rsid w:val="00E05F95"/>
    <w:rsid w:val="00E06917"/>
    <w:rsid w:val="00E06B8B"/>
    <w:rsid w:val="00E06FC2"/>
    <w:rsid w:val="00E07043"/>
    <w:rsid w:val="00E0720C"/>
    <w:rsid w:val="00E07BE2"/>
    <w:rsid w:val="00E103D7"/>
    <w:rsid w:val="00E1044B"/>
    <w:rsid w:val="00E105A8"/>
    <w:rsid w:val="00E106BA"/>
    <w:rsid w:val="00E10785"/>
    <w:rsid w:val="00E10B74"/>
    <w:rsid w:val="00E11703"/>
    <w:rsid w:val="00E11B32"/>
    <w:rsid w:val="00E11B46"/>
    <w:rsid w:val="00E11EAB"/>
    <w:rsid w:val="00E12272"/>
    <w:rsid w:val="00E12284"/>
    <w:rsid w:val="00E12706"/>
    <w:rsid w:val="00E12923"/>
    <w:rsid w:val="00E12FB5"/>
    <w:rsid w:val="00E131A1"/>
    <w:rsid w:val="00E13674"/>
    <w:rsid w:val="00E13E5A"/>
    <w:rsid w:val="00E144A0"/>
    <w:rsid w:val="00E1524F"/>
    <w:rsid w:val="00E15902"/>
    <w:rsid w:val="00E164BD"/>
    <w:rsid w:val="00E16AEE"/>
    <w:rsid w:val="00E16D5F"/>
    <w:rsid w:val="00E17239"/>
    <w:rsid w:val="00E17329"/>
    <w:rsid w:val="00E173CF"/>
    <w:rsid w:val="00E17703"/>
    <w:rsid w:val="00E178BE"/>
    <w:rsid w:val="00E17973"/>
    <w:rsid w:val="00E17DC0"/>
    <w:rsid w:val="00E17EB4"/>
    <w:rsid w:val="00E17FA3"/>
    <w:rsid w:val="00E20830"/>
    <w:rsid w:val="00E20B33"/>
    <w:rsid w:val="00E212C2"/>
    <w:rsid w:val="00E217C0"/>
    <w:rsid w:val="00E21A06"/>
    <w:rsid w:val="00E21B77"/>
    <w:rsid w:val="00E21C03"/>
    <w:rsid w:val="00E21E37"/>
    <w:rsid w:val="00E223AB"/>
    <w:rsid w:val="00E224CC"/>
    <w:rsid w:val="00E228C4"/>
    <w:rsid w:val="00E22B13"/>
    <w:rsid w:val="00E22DE1"/>
    <w:rsid w:val="00E231EC"/>
    <w:rsid w:val="00E2333F"/>
    <w:rsid w:val="00E234C0"/>
    <w:rsid w:val="00E23E66"/>
    <w:rsid w:val="00E240C7"/>
    <w:rsid w:val="00E24771"/>
    <w:rsid w:val="00E24B18"/>
    <w:rsid w:val="00E24BEC"/>
    <w:rsid w:val="00E254A6"/>
    <w:rsid w:val="00E25F43"/>
    <w:rsid w:val="00E25F59"/>
    <w:rsid w:val="00E25F97"/>
    <w:rsid w:val="00E25FEB"/>
    <w:rsid w:val="00E265B4"/>
    <w:rsid w:val="00E266F7"/>
    <w:rsid w:val="00E26EA5"/>
    <w:rsid w:val="00E26EEA"/>
    <w:rsid w:val="00E2735F"/>
    <w:rsid w:val="00E27520"/>
    <w:rsid w:val="00E27DB4"/>
    <w:rsid w:val="00E31F4C"/>
    <w:rsid w:val="00E32E11"/>
    <w:rsid w:val="00E33436"/>
    <w:rsid w:val="00E337D2"/>
    <w:rsid w:val="00E33966"/>
    <w:rsid w:val="00E339AA"/>
    <w:rsid w:val="00E33E66"/>
    <w:rsid w:val="00E34A44"/>
    <w:rsid w:val="00E34C8C"/>
    <w:rsid w:val="00E353FD"/>
    <w:rsid w:val="00E35580"/>
    <w:rsid w:val="00E35707"/>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65C"/>
    <w:rsid w:val="00E41B14"/>
    <w:rsid w:val="00E41FC3"/>
    <w:rsid w:val="00E420F8"/>
    <w:rsid w:val="00E4249D"/>
    <w:rsid w:val="00E42B14"/>
    <w:rsid w:val="00E437C7"/>
    <w:rsid w:val="00E43CA5"/>
    <w:rsid w:val="00E43D73"/>
    <w:rsid w:val="00E43F3A"/>
    <w:rsid w:val="00E44238"/>
    <w:rsid w:val="00E443B8"/>
    <w:rsid w:val="00E443D2"/>
    <w:rsid w:val="00E44486"/>
    <w:rsid w:val="00E4453A"/>
    <w:rsid w:val="00E448E8"/>
    <w:rsid w:val="00E44C29"/>
    <w:rsid w:val="00E44F9F"/>
    <w:rsid w:val="00E4575F"/>
    <w:rsid w:val="00E45A28"/>
    <w:rsid w:val="00E45C66"/>
    <w:rsid w:val="00E45CA7"/>
    <w:rsid w:val="00E45D8E"/>
    <w:rsid w:val="00E45FB4"/>
    <w:rsid w:val="00E45FCD"/>
    <w:rsid w:val="00E45FE8"/>
    <w:rsid w:val="00E462DC"/>
    <w:rsid w:val="00E4649D"/>
    <w:rsid w:val="00E46AF8"/>
    <w:rsid w:val="00E46D20"/>
    <w:rsid w:val="00E46E6E"/>
    <w:rsid w:val="00E46FB1"/>
    <w:rsid w:val="00E47A09"/>
    <w:rsid w:val="00E47C73"/>
    <w:rsid w:val="00E47D1D"/>
    <w:rsid w:val="00E47D52"/>
    <w:rsid w:val="00E50074"/>
    <w:rsid w:val="00E506A8"/>
    <w:rsid w:val="00E5071A"/>
    <w:rsid w:val="00E50ED3"/>
    <w:rsid w:val="00E51346"/>
    <w:rsid w:val="00E51723"/>
    <w:rsid w:val="00E51970"/>
    <w:rsid w:val="00E51A50"/>
    <w:rsid w:val="00E51F35"/>
    <w:rsid w:val="00E51FB7"/>
    <w:rsid w:val="00E5213E"/>
    <w:rsid w:val="00E5244F"/>
    <w:rsid w:val="00E5312A"/>
    <w:rsid w:val="00E53C9C"/>
    <w:rsid w:val="00E547E9"/>
    <w:rsid w:val="00E5496D"/>
    <w:rsid w:val="00E54C45"/>
    <w:rsid w:val="00E5539D"/>
    <w:rsid w:val="00E565F3"/>
    <w:rsid w:val="00E5681D"/>
    <w:rsid w:val="00E56C07"/>
    <w:rsid w:val="00E56CB5"/>
    <w:rsid w:val="00E56D78"/>
    <w:rsid w:val="00E5770D"/>
    <w:rsid w:val="00E6005E"/>
    <w:rsid w:val="00E602D2"/>
    <w:rsid w:val="00E60D4D"/>
    <w:rsid w:val="00E60DF5"/>
    <w:rsid w:val="00E61005"/>
    <w:rsid w:val="00E610F8"/>
    <w:rsid w:val="00E613D4"/>
    <w:rsid w:val="00E6195A"/>
    <w:rsid w:val="00E62A27"/>
    <w:rsid w:val="00E62EC8"/>
    <w:rsid w:val="00E633F1"/>
    <w:rsid w:val="00E6340D"/>
    <w:rsid w:val="00E63927"/>
    <w:rsid w:val="00E63A8B"/>
    <w:rsid w:val="00E64314"/>
    <w:rsid w:val="00E64420"/>
    <w:rsid w:val="00E64E9A"/>
    <w:rsid w:val="00E650F6"/>
    <w:rsid w:val="00E6565C"/>
    <w:rsid w:val="00E6598D"/>
    <w:rsid w:val="00E65E74"/>
    <w:rsid w:val="00E65E98"/>
    <w:rsid w:val="00E662B7"/>
    <w:rsid w:val="00E66413"/>
    <w:rsid w:val="00E6672B"/>
    <w:rsid w:val="00E66828"/>
    <w:rsid w:val="00E66926"/>
    <w:rsid w:val="00E669A2"/>
    <w:rsid w:val="00E66BCE"/>
    <w:rsid w:val="00E671D5"/>
    <w:rsid w:val="00E6799F"/>
    <w:rsid w:val="00E67D71"/>
    <w:rsid w:val="00E67E91"/>
    <w:rsid w:val="00E7066C"/>
    <w:rsid w:val="00E70A75"/>
    <w:rsid w:val="00E71672"/>
    <w:rsid w:val="00E71674"/>
    <w:rsid w:val="00E719CB"/>
    <w:rsid w:val="00E71C94"/>
    <w:rsid w:val="00E71D19"/>
    <w:rsid w:val="00E7228B"/>
    <w:rsid w:val="00E72C61"/>
    <w:rsid w:val="00E733AE"/>
    <w:rsid w:val="00E73DF0"/>
    <w:rsid w:val="00E7418E"/>
    <w:rsid w:val="00E742FA"/>
    <w:rsid w:val="00E7432A"/>
    <w:rsid w:val="00E7447F"/>
    <w:rsid w:val="00E745A2"/>
    <w:rsid w:val="00E747FA"/>
    <w:rsid w:val="00E74B5A"/>
    <w:rsid w:val="00E75242"/>
    <w:rsid w:val="00E75313"/>
    <w:rsid w:val="00E75F62"/>
    <w:rsid w:val="00E763C7"/>
    <w:rsid w:val="00E77050"/>
    <w:rsid w:val="00E771C2"/>
    <w:rsid w:val="00E77249"/>
    <w:rsid w:val="00E7779C"/>
    <w:rsid w:val="00E8050F"/>
    <w:rsid w:val="00E8065B"/>
    <w:rsid w:val="00E82281"/>
    <w:rsid w:val="00E82ABF"/>
    <w:rsid w:val="00E82C10"/>
    <w:rsid w:val="00E8300C"/>
    <w:rsid w:val="00E8310F"/>
    <w:rsid w:val="00E8379E"/>
    <w:rsid w:val="00E83BF0"/>
    <w:rsid w:val="00E83D5A"/>
    <w:rsid w:val="00E84058"/>
    <w:rsid w:val="00E843E2"/>
    <w:rsid w:val="00E844CE"/>
    <w:rsid w:val="00E846CC"/>
    <w:rsid w:val="00E851A4"/>
    <w:rsid w:val="00E85304"/>
    <w:rsid w:val="00E85363"/>
    <w:rsid w:val="00E854E1"/>
    <w:rsid w:val="00E855CE"/>
    <w:rsid w:val="00E85A04"/>
    <w:rsid w:val="00E85B0F"/>
    <w:rsid w:val="00E8617A"/>
    <w:rsid w:val="00E86C27"/>
    <w:rsid w:val="00E872FC"/>
    <w:rsid w:val="00E87C5D"/>
    <w:rsid w:val="00E90654"/>
    <w:rsid w:val="00E90B93"/>
    <w:rsid w:val="00E92350"/>
    <w:rsid w:val="00E92807"/>
    <w:rsid w:val="00E9285C"/>
    <w:rsid w:val="00E928FD"/>
    <w:rsid w:val="00E92927"/>
    <w:rsid w:val="00E92CC0"/>
    <w:rsid w:val="00E92E08"/>
    <w:rsid w:val="00E93145"/>
    <w:rsid w:val="00E93336"/>
    <w:rsid w:val="00E944E5"/>
    <w:rsid w:val="00E947E8"/>
    <w:rsid w:val="00E94837"/>
    <w:rsid w:val="00E9486C"/>
    <w:rsid w:val="00E949DA"/>
    <w:rsid w:val="00E94CF1"/>
    <w:rsid w:val="00E95362"/>
    <w:rsid w:val="00E954F9"/>
    <w:rsid w:val="00E95673"/>
    <w:rsid w:val="00E956B5"/>
    <w:rsid w:val="00E96789"/>
    <w:rsid w:val="00E9682D"/>
    <w:rsid w:val="00E9682E"/>
    <w:rsid w:val="00E97698"/>
    <w:rsid w:val="00E979F9"/>
    <w:rsid w:val="00EA00CC"/>
    <w:rsid w:val="00EA0129"/>
    <w:rsid w:val="00EA0242"/>
    <w:rsid w:val="00EA03C9"/>
    <w:rsid w:val="00EA03DE"/>
    <w:rsid w:val="00EA08F8"/>
    <w:rsid w:val="00EA0B4E"/>
    <w:rsid w:val="00EA0E4D"/>
    <w:rsid w:val="00EA1ED5"/>
    <w:rsid w:val="00EA20C5"/>
    <w:rsid w:val="00EA30E0"/>
    <w:rsid w:val="00EA3838"/>
    <w:rsid w:val="00EA3CAF"/>
    <w:rsid w:val="00EA4181"/>
    <w:rsid w:val="00EA4731"/>
    <w:rsid w:val="00EA496D"/>
    <w:rsid w:val="00EA4D12"/>
    <w:rsid w:val="00EA4DD4"/>
    <w:rsid w:val="00EA4F5D"/>
    <w:rsid w:val="00EA542B"/>
    <w:rsid w:val="00EA6542"/>
    <w:rsid w:val="00EA6C04"/>
    <w:rsid w:val="00EA7152"/>
    <w:rsid w:val="00EA7601"/>
    <w:rsid w:val="00EA764D"/>
    <w:rsid w:val="00EA787F"/>
    <w:rsid w:val="00EA7AC2"/>
    <w:rsid w:val="00EB0550"/>
    <w:rsid w:val="00EB0970"/>
    <w:rsid w:val="00EB1E63"/>
    <w:rsid w:val="00EB200C"/>
    <w:rsid w:val="00EB2658"/>
    <w:rsid w:val="00EB2BEF"/>
    <w:rsid w:val="00EB2DF3"/>
    <w:rsid w:val="00EB2F0E"/>
    <w:rsid w:val="00EB3E59"/>
    <w:rsid w:val="00EB4A0E"/>
    <w:rsid w:val="00EB4A28"/>
    <w:rsid w:val="00EB4A95"/>
    <w:rsid w:val="00EB4D53"/>
    <w:rsid w:val="00EB4FBE"/>
    <w:rsid w:val="00EB5033"/>
    <w:rsid w:val="00EB52AA"/>
    <w:rsid w:val="00EB53AC"/>
    <w:rsid w:val="00EB5510"/>
    <w:rsid w:val="00EB5A96"/>
    <w:rsid w:val="00EB620E"/>
    <w:rsid w:val="00EB69FC"/>
    <w:rsid w:val="00EB6B55"/>
    <w:rsid w:val="00EB6B95"/>
    <w:rsid w:val="00EB738F"/>
    <w:rsid w:val="00EB74A0"/>
    <w:rsid w:val="00EB775D"/>
    <w:rsid w:val="00EC02DC"/>
    <w:rsid w:val="00EC0398"/>
    <w:rsid w:val="00EC06C2"/>
    <w:rsid w:val="00EC0BE3"/>
    <w:rsid w:val="00EC0BF9"/>
    <w:rsid w:val="00EC1873"/>
    <w:rsid w:val="00EC18A7"/>
    <w:rsid w:val="00EC2063"/>
    <w:rsid w:val="00EC213B"/>
    <w:rsid w:val="00EC21AF"/>
    <w:rsid w:val="00EC21DE"/>
    <w:rsid w:val="00EC23CA"/>
    <w:rsid w:val="00EC2BA9"/>
    <w:rsid w:val="00EC2E79"/>
    <w:rsid w:val="00EC2F7D"/>
    <w:rsid w:val="00EC352B"/>
    <w:rsid w:val="00EC40B9"/>
    <w:rsid w:val="00EC4787"/>
    <w:rsid w:val="00EC4B23"/>
    <w:rsid w:val="00EC4EA2"/>
    <w:rsid w:val="00EC57F6"/>
    <w:rsid w:val="00EC665C"/>
    <w:rsid w:val="00EC66C0"/>
    <w:rsid w:val="00EC70A6"/>
    <w:rsid w:val="00EC715A"/>
    <w:rsid w:val="00EC769A"/>
    <w:rsid w:val="00EC7C92"/>
    <w:rsid w:val="00ED040D"/>
    <w:rsid w:val="00ED1289"/>
    <w:rsid w:val="00ED16A7"/>
    <w:rsid w:val="00ED17E5"/>
    <w:rsid w:val="00ED233F"/>
    <w:rsid w:val="00ED2491"/>
    <w:rsid w:val="00ED2894"/>
    <w:rsid w:val="00ED2A9D"/>
    <w:rsid w:val="00ED38E6"/>
    <w:rsid w:val="00ED3AB7"/>
    <w:rsid w:val="00ED446F"/>
    <w:rsid w:val="00ED500F"/>
    <w:rsid w:val="00ED5160"/>
    <w:rsid w:val="00ED5203"/>
    <w:rsid w:val="00ED5475"/>
    <w:rsid w:val="00ED55D9"/>
    <w:rsid w:val="00ED5A22"/>
    <w:rsid w:val="00ED6EC0"/>
    <w:rsid w:val="00ED6F5F"/>
    <w:rsid w:val="00ED76A2"/>
    <w:rsid w:val="00ED7B3C"/>
    <w:rsid w:val="00EE05CB"/>
    <w:rsid w:val="00EE06A7"/>
    <w:rsid w:val="00EE10B1"/>
    <w:rsid w:val="00EE1F6E"/>
    <w:rsid w:val="00EE2262"/>
    <w:rsid w:val="00EE231C"/>
    <w:rsid w:val="00EE24D3"/>
    <w:rsid w:val="00EE2C0C"/>
    <w:rsid w:val="00EE33FD"/>
    <w:rsid w:val="00EE3573"/>
    <w:rsid w:val="00EE3E2D"/>
    <w:rsid w:val="00EE4939"/>
    <w:rsid w:val="00EE51C9"/>
    <w:rsid w:val="00EE5C86"/>
    <w:rsid w:val="00EE5D39"/>
    <w:rsid w:val="00EE6CDA"/>
    <w:rsid w:val="00EE7069"/>
    <w:rsid w:val="00EE715B"/>
    <w:rsid w:val="00EE722A"/>
    <w:rsid w:val="00EE77E2"/>
    <w:rsid w:val="00EE7AF1"/>
    <w:rsid w:val="00EE7B80"/>
    <w:rsid w:val="00EF08B6"/>
    <w:rsid w:val="00EF0A4E"/>
    <w:rsid w:val="00EF107D"/>
    <w:rsid w:val="00EF20D8"/>
    <w:rsid w:val="00EF29B6"/>
    <w:rsid w:val="00EF2DF0"/>
    <w:rsid w:val="00EF312E"/>
    <w:rsid w:val="00EF31D4"/>
    <w:rsid w:val="00EF3542"/>
    <w:rsid w:val="00EF35DE"/>
    <w:rsid w:val="00EF3CE8"/>
    <w:rsid w:val="00EF3F96"/>
    <w:rsid w:val="00EF4189"/>
    <w:rsid w:val="00EF44EC"/>
    <w:rsid w:val="00EF457F"/>
    <w:rsid w:val="00EF4752"/>
    <w:rsid w:val="00EF487E"/>
    <w:rsid w:val="00EF4D38"/>
    <w:rsid w:val="00EF5141"/>
    <w:rsid w:val="00EF5339"/>
    <w:rsid w:val="00EF58EF"/>
    <w:rsid w:val="00EF5DE0"/>
    <w:rsid w:val="00EF5ED9"/>
    <w:rsid w:val="00EF64F5"/>
    <w:rsid w:val="00EF6640"/>
    <w:rsid w:val="00EF6C41"/>
    <w:rsid w:val="00EF6CFE"/>
    <w:rsid w:val="00EF6D65"/>
    <w:rsid w:val="00EF6E54"/>
    <w:rsid w:val="00EF6E95"/>
    <w:rsid w:val="00EF71C3"/>
    <w:rsid w:val="00EF720B"/>
    <w:rsid w:val="00EF77E1"/>
    <w:rsid w:val="00EF7DAC"/>
    <w:rsid w:val="00F00B82"/>
    <w:rsid w:val="00F00DB1"/>
    <w:rsid w:val="00F01049"/>
    <w:rsid w:val="00F0117E"/>
    <w:rsid w:val="00F011A6"/>
    <w:rsid w:val="00F017BD"/>
    <w:rsid w:val="00F017D7"/>
    <w:rsid w:val="00F01C38"/>
    <w:rsid w:val="00F01C8D"/>
    <w:rsid w:val="00F021AD"/>
    <w:rsid w:val="00F0226E"/>
    <w:rsid w:val="00F02E42"/>
    <w:rsid w:val="00F02E93"/>
    <w:rsid w:val="00F03208"/>
    <w:rsid w:val="00F0336C"/>
    <w:rsid w:val="00F03A93"/>
    <w:rsid w:val="00F04035"/>
    <w:rsid w:val="00F04329"/>
    <w:rsid w:val="00F0449A"/>
    <w:rsid w:val="00F04624"/>
    <w:rsid w:val="00F05774"/>
    <w:rsid w:val="00F05AF2"/>
    <w:rsid w:val="00F062F6"/>
    <w:rsid w:val="00F06E12"/>
    <w:rsid w:val="00F06E95"/>
    <w:rsid w:val="00F07ABE"/>
    <w:rsid w:val="00F1037F"/>
    <w:rsid w:val="00F10840"/>
    <w:rsid w:val="00F108DB"/>
    <w:rsid w:val="00F111C9"/>
    <w:rsid w:val="00F116C5"/>
    <w:rsid w:val="00F11E0E"/>
    <w:rsid w:val="00F14055"/>
    <w:rsid w:val="00F140D4"/>
    <w:rsid w:val="00F147F3"/>
    <w:rsid w:val="00F14B1E"/>
    <w:rsid w:val="00F14C64"/>
    <w:rsid w:val="00F14D0E"/>
    <w:rsid w:val="00F1531B"/>
    <w:rsid w:val="00F15D24"/>
    <w:rsid w:val="00F16743"/>
    <w:rsid w:val="00F16C02"/>
    <w:rsid w:val="00F16E46"/>
    <w:rsid w:val="00F16F46"/>
    <w:rsid w:val="00F17B87"/>
    <w:rsid w:val="00F17E63"/>
    <w:rsid w:val="00F202B9"/>
    <w:rsid w:val="00F20301"/>
    <w:rsid w:val="00F208F8"/>
    <w:rsid w:val="00F209CD"/>
    <w:rsid w:val="00F2150B"/>
    <w:rsid w:val="00F22650"/>
    <w:rsid w:val="00F23AE4"/>
    <w:rsid w:val="00F23B77"/>
    <w:rsid w:val="00F23ECA"/>
    <w:rsid w:val="00F23FDD"/>
    <w:rsid w:val="00F24079"/>
    <w:rsid w:val="00F24939"/>
    <w:rsid w:val="00F252EF"/>
    <w:rsid w:val="00F25960"/>
    <w:rsid w:val="00F25BF9"/>
    <w:rsid w:val="00F2610C"/>
    <w:rsid w:val="00F26494"/>
    <w:rsid w:val="00F268AB"/>
    <w:rsid w:val="00F2714C"/>
    <w:rsid w:val="00F272CC"/>
    <w:rsid w:val="00F27381"/>
    <w:rsid w:val="00F27563"/>
    <w:rsid w:val="00F277C5"/>
    <w:rsid w:val="00F2792E"/>
    <w:rsid w:val="00F279FE"/>
    <w:rsid w:val="00F27AA3"/>
    <w:rsid w:val="00F27FD6"/>
    <w:rsid w:val="00F300E0"/>
    <w:rsid w:val="00F30B94"/>
    <w:rsid w:val="00F30C57"/>
    <w:rsid w:val="00F31237"/>
    <w:rsid w:val="00F31336"/>
    <w:rsid w:val="00F3175D"/>
    <w:rsid w:val="00F3193E"/>
    <w:rsid w:val="00F31BB3"/>
    <w:rsid w:val="00F32281"/>
    <w:rsid w:val="00F32AA4"/>
    <w:rsid w:val="00F33052"/>
    <w:rsid w:val="00F33370"/>
    <w:rsid w:val="00F335C0"/>
    <w:rsid w:val="00F33722"/>
    <w:rsid w:val="00F339C4"/>
    <w:rsid w:val="00F33E8A"/>
    <w:rsid w:val="00F340B2"/>
    <w:rsid w:val="00F34284"/>
    <w:rsid w:val="00F3461D"/>
    <w:rsid w:val="00F3488F"/>
    <w:rsid w:val="00F34B28"/>
    <w:rsid w:val="00F34C40"/>
    <w:rsid w:val="00F34D14"/>
    <w:rsid w:val="00F350F2"/>
    <w:rsid w:val="00F35735"/>
    <w:rsid w:val="00F359C9"/>
    <w:rsid w:val="00F35C2B"/>
    <w:rsid w:val="00F35DED"/>
    <w:rsid w:val="00F35E68"/>
    <w:rsid w:val="00F36586"/>
    <w:rsid w:val="00F3660C"/>
    <w:rsid w:val="00F36BF6"/>
    <w:rsid w:val="00F37102"/>
    <w:rsid w:val="00F37AB9"/>
    <w:rsid w:val="00F37D7B"/>
    <w:rsid w:val="00F40011"/>
    <w:rsid w:val="00F40177"/>
    <w:rsid w:val="00F40B25"/>
    <w:rsid w:val="00F40BF2"/>
    <w:rsid w:val="00F42C95"/>
    <w:rsid w:val="00F42EFB"/>
    <w:rsid w:val="00F4388E"/>
    <w:rsid w:val="00F4409D"/>
    <w:rsid w:val="00F446D8"/>
    <w:rsid w:val="00F46C84"/>
    <w:rsid w:val="00F475E9"/>
    <w:rsid w:val="00F47785"/>
    <w:rsid w:val="00F47BB6"/>
    <w:rsid w:val="00F47E48"/>
    <w:rsid w:val="00F5026F"/>
    <w:rsid w:val="00F50621"/>
    <w:rsid w:val="00F50841"/>
    <w:rsid w:val="00F5166F"/>
    <w:rsid w:val="00F51C32"/>
    <w:rsid w:val="00F51CC6"/>
    <w:rsid w:val="00F523F0"/>
    <w:rsid w:val="00F52521"/>
    <w:rsid w:val="00F52956"/>
    <w:rsid w:val="00F529B8"/>
    <w:rsid w:val="00F5307B"/>
    <w:rsid w:val="00F54500"/>
    <w:rsid w:val="00F549B2"/>
    <w:rsid w:val="00F54D3F"/>
    <w:rsid w:val="00F54E58"/>
    <w:rsid w:val="00F554D6"/>
    <w:rsid w:val="00F558AC"/>
    <w:rsid w:val="00F5590B"/>
    <w:rsid w:val="00F55B93"/>
    <w:rsid w:val="00F55BEA"/>
    <w:rsid w:val="00F56181"/>
    <w:rsid w:val="00F5711C"/>
    <w:rsid w:val="00F57286"/>
    <w:rsid w:val="00F573C3"/>
    <w:rsid w:val="00F578D0"/>
    <w:rsid w:val="00F578D6"/>
    <w:rsid w:val="00F57E6E"/>
    <w:rsid w:val="00F606D0"/>
    <w:rsid w:val="00F60B47"/>
    <w:rsid w:val="00F61174"/>
    <w:rsid w:val="00F615BA"/>
    <w:rsid w:val="00F61754"/>
    <w:rsid w:val="00F61C1B"/>
    <w:rsid w:val="00F61C30"/>
    <w:rsid w:val="00F61FE4"/>
    <w:rsid w:val="00F62471"/>
    <w:rsid w:val="00F62752"/>
    <w:rsid w:val="00F62B5A"/>
    <w:rsid w:val="00F6341B"/>
    <w:rsid w:val="00F636EE"/>
    <w:rsid w:val="00F637E6"/>
    <w:rsid w:val="00F64207"/>
    <w:rsid w:val="00F64377"/>
    <w:rsid w:val="00F64797"/>
    <w:rsid w:val="00F6484B"/>
    <w:rsid w:val="00F6488C"/>
    <w:rsid w:val="00F64BDF"/>
    <w:rsid w:val="00F65473"/>
    <w:rsid w:val="00F6563F"/>
    <w:rsid w:val="00F6594E"/>
    <w:rsid w:val="00F6594F"/>
    <w:rsid w:val="00F65AE3"/>
    <w:rsid w:val="00F65B27"/>
    <w:rsid w:val="00F6600E"/>
    <w:rsid w:val="00F665D5"/>
    <w:rsid w:val="00F6737B"/>
    <w:rsid w:val="00F6738C"/>
    <w:rsid w:val="00F676DD"/>
    <w:rsid w:val="00F67CE3"/>
    <w:rsid w:val="00F67EB8"/>
    <w:rsid w:val="00F709F9"/>
    <w:rsid w:val="00F70D15"/>
    <w:rsid w:val="00F70FB2"/>
    <w:rsid w:val="00F71668"/>
    <w:rsid w:val="00F717AD"/>
    <w:rsid w:val="00F71F7B"/>
    <w:rsid w:val="00F724F3"/>
    <w:rsid w:val="00F72789"/>
    <w:rsid w:val="00F72CFC"/>
    <w:rsid w:val="00F7358A"/>
    <w:rsid w:val="00F73614"/>
    <w:rsid w:val="00F73748"/>
    <w:rsid w:val="00F73CAF"/>
    <w:rsid w:val="00F74939"/>
    <w:rsid w:val="00F74CD9"/>
    <w:rsid w:val="00F751B9"/>
    <w:rsid w:val="00F7598D"/>
    <w:rsid w:val="00F75B96"/>
    <w:rsid w:val="00F75D4D"/>
    <w:rsid w:val="00F75EF8"/>
    <w:rsid w:val="00F765B1"/>
    <w:rsid w:val="00F7691C"/>
    <w:rsid w:val="00F76E3C"/>
    <w:rsid w:val="00F77290"/>
    <w:rsid w:val="00F77548"/>
    <w:rsid w:val="00F77566"/>
    <w:rsid w:val="00F77DB4"/>
    <w:rsid w:val="00F81468"/>
    <w:rsid w:val="00F814FA"/>
    <w:rsid w:val="00F8196D"/>
    <w:rsid w:val="00F81A7C"/>
    <w:rsid w:val="00F81C04"/>
    <w:rsid w:val="00F81FC8"/>
    <w:rsid w:val="00F82430"/>
    <w:rsid w:val="00F82439"/>
    <w:rsid w:val="00F82872"/>
    <w:rsid w:val="00F82F3D"/>
    <w:rsid w:val="00F830BA"/>
    <w:rsid w:val="00F836FE"/>
    <w:rsid w:val="00F8393D"/>
    <w:rsid w:val="00F83BC4"/>
    <w:rsid w:val="00F84326"/>
    <w:rsid w:val="00F84574"/>
    <w:rsid w:val="00F84ECF"/>
    <w:rsid w:val="00F854FD"/>
    <w:rsid w:val="00F85647"/>
    <w:rsid w:val="00F85BC6"/>
    <w:rsid w:val="00F85C1C"/>
    <w:rsid w:val="00F85FFE"/>
    <w:rsid w:val="00F8607B"/>
    <w:rsid w:val="00F87417"/>
    <w:rsid w:val="00F903D3"/>
    <w:rsid w:val="00F907BC"/>
    <w:rsid w:val="00F909E4"/>
    <w:rsid w:val="00F90C84"/>
    <w:rsid w:val="00F91068"/>
    <w:rsid w:val="00F91481"/>
    <w:rsid w:val="00F915AC"/>
    <w:rsid w:val="00F91618"/>
    <w:rsid w:val="00F91CFD"/>
    <w:rsid w:val="00F92722"/>
    <w:rsid w:val="00F92805"/>
    <w:rsid w:val="00F929FA"/>
    <w:rsid w:val="00F92CDD"/>
    <w:rsid w:val="00F93D17"/>
    <w:rsid w:val="00F95356"/>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A7D"/>
    <w:rsid w:val="00FA1A8E"/>
    <w:rsid w:val="00FA2064"/>
    <w:rsid w:val="00FA2FF5"/>
    <w:rsid w:val="00FA34C6"/>
    <w:rsid w:val="00FA367C"/>
    <w:rsid w:val="00FA36D9"/>
    <w:rsid w:val="00FA409E"/>
    <w:rsid w:val="00FA4244"/>
    <w:rsid w:val="00FA4CE4"/>
    <w:rsid w:val="00FA5784"/>
    <w:rsid w:val="00FA603A"/>
    <w:rsid w:val="00FA658A"/>
    <w:rsid w:val="00FA66F3"/>
    <w:rsid w:val="00FA6B8F"/>
    <w:rsid w:val="00FA7B41"/>
    <w:rsid w:val="00FA7D54"/>
    <w:rsid w:val="00FB0515"/>
    <w:rsid w:val="00FB07E5"/>
    <w:rsid w:val="00FB1616"/>
    <w:rsid w:val="00FB1891"/>
    <w:rsid w:val="00FB1A76"/>
    <w:rsid w:val="00FB1B91"/>
    <w:rsid w:val="00FB209E"/>
    <w:rsid w:val="00FB3DF7"/>
    <w:rsid w:val="00FB3F69"/>
    <w:rsid w:val="00FB4477"/>
    <w:rsid w:val="00FB531F"/>
    <w:rsid w:val="00FB5A02"/>
    <w:rsid w:val="00FB5CB3"/>
    <w:rsid w:val="00FB5F13"/>
    <w:rsid w:val="00FB6BF7"/>
    <w:rsid w:val="00FB7752"/>
    <w:rsid w:val="00FB7DFE"/>
    <w:rsid w:val="00FB7E38"/>
    <w:rsid w:val="00FB7F4D"/>
    <w:rsid w:val="00FC019F"/>
    <w:rsid w:val="00FC0686"/>
    <w:rsid w:val="00FC0CFF"/>
    <w:rsid w:val="00FC0D90"/>
    <w:rsid w:val="00FC1B74"/>
    <w:rsid w:val="00FC1E34"/>
    <w:rsid w:val="00FC2149"/>
    <w:rsid w:val="00FC2FB6"/>
    <w:rsid w:val="00FC3487"/>
    <w:rsid w:val="00FC390E"/>
    <w:rsid w:val="00FC4087"/>
    <w:rsid w:val="00FC599A"/>
    <w:rsid w:val="00FC6DD7"/>
    <w:rsid w:val="00FC777C"/>
    <w:rsid w:val="00FD0CBF"/>
    <w:rsid w:val="00FD0EC5"/>
    <w:rsid w:val="00FD0FD9"/>
    <w:rsid w:val="00FD154F"/>
    <w:rsid w:val="00FD17CE"/>
    <w:rsid w:val="00FD1901"/>
    <w:rsid w:val="00FD1A95"/>
    <w:rsid w:val="00FD1B15"/>
    <w:rsid w:val="00FD23F2"/>
    <w:rsid w:val="00FD274A"/>
    <w:rsid w:val="00FD2964"/>
    <w:rsid w:val="00FD2E23"/>
    <w:rsid w:val="00FD3197"/>
    <w:rsid w:val="00FD32E9"/>
    <w:rsid w:val="00FD3574"/>
    <w:rsid w:val="00FD3604"/>
    <w:rsid w:val="00FD3850"/>
    <w:rsid w:val="00FD3E98"/>
    <w:rsid w:val="00FD4083"/>
    <w:rsid w:val="00FD42D2"/>
    <w:rsid w:val="00FD4389"/>
    <w:rsid w:val="00FD43D1"/>
    <w:rsid w:val="00FD46C4"/>
    <w:rsid w:val="00FD4725"/>
    <w:rsid w:val="00FD4E39"/>
    <w:rsid w:val="00FD4FCF"/>
    <w:rsid w:val="00FD500E"/>
    <w:rsid w:val="00FD52C9"/>
    <w:rsid w:val="00FD57F5"/>
    <w:rsid w:val="00FD590E"/>
    <w:rsid w:val="00FD5A0A"/>
    <w:rsid w:val="00FD5DDA"/>
    <w:rsid w:val="00FD5F1D"/>
    <w:rsid w:val="00FD6323"/>
    <w:rsid w:val="00FD6417"/>
    <w:rsid w:val="00FD666B"/>
    <w:rsid w:val="00FD6851"/>
    <w:rsid w:val="00FD6C4A"/>
    <w:rsid w:val="00FD6E28"/>
    <w:rsid w:val="00FD77C0"/>
    <w:rsid w:val="00FE048E"/>
    <w:rsid w:val="00FE04AC"/>
    <w:rsid w:val="00FE07AE"/>
    <w:rsid w:val="00FE07DE"/>
    <w:rsid w:val="00FE0ADC"/>
    <w:rsid w:val="00FE0EA4"/>
    <w:rsid w:val="00FE146F"/>
    <w:rsid w:val="00FE1869"/>
    <w:rsid w:val="00FE1E5E"/>
    <w:rsid w:val="00FE1E61"/>
    <w:rsid w:val="00FE1E74"/>
    <w:rsid w:val="00FE22A1"/>
    <w:rsid w:val="00FE23E2"/>
    <w:rsid w:val="00FE2AE1"/>
    <w:rsid w:val="00FE327D"/>
    <w:rsid w:val="00FE3650"/>
    <w:rsid w:val="00FE401F"/>
    <w:rsid w:val="00FE4115"/>
    <w:rsid w:val="00FE48FD"/>
    <w:rsid w:val="00FE4E1A"/>
    <w:rsid w:val="00FE505A"/>
    <w:rsid w:val="00FE5361"/>
    <w:rsid w:val="00FE5DA9"/>
    <w:rsid w:val="00FE5EC6"/>
    <w:rsid w:val="00FE6518"/>
    <w:rsid w:val="00FE6546"/>
    <w:rsid w:val="00FE6632"/>
    <w:rsid w:val="00FE7B0D"/>
    <w:rsid w:val="00FE7B1E"/>
    <w:rsid w:val="00FE7E80"/>
    <w:rsid w:val="00FF0637"/>
    <w:rsid w:val="00FF0645"/>
    <w:rsid w:val="00FF2475"/>
    <w:rsid w:val="00FF2664"/>
    <w:rsid w:val="00FF2E0A"/>
    <w:rsid w:val="00FF306C"/>
    <w:rsid w:val="00FF3170"/>
    <w:rsid w:val="00FF34D3"/>
    <w:rsid w:val="00FF368B"/>
    <w:rsid w:val="00FF3802"/>
    <w:rsid w:val="00FF3C79"/>
    <w:rsid w:val="00FF3CED"/>
    <w:rsid w:val="00FF3CFB"/>
    <w:rsid w:val="00FF4137"/>
    <w:rsid w:val="00FF425A"/>
    <w:rsid w:val="00FF5F1C"/>
    <w:rsid w:val="00FF60F0"/>
    <w:rsid w:val="00FF6514"/>
    <w:rsid w:val="00FF71A1"/>
    <w:rsid w:val="00FF72F6"/>
    <w:rsid w:val="00FF759F"/>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6822C22"/>
  <w15:docId w15:val="{CA684C8F-AD66-4017-B113-42AD214F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B1D"/>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9"/>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690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455DD4"/>
    <w:pPr>
      <w:spacing w:after="0"/>
    </w:pPr>
    <w:rPr>
      <w:rFonts w:ascii="Times New Roman" w:hAnsi="Times New Roman" w:cs="Times New Roman"/>
      <w:sz w:val="20"/>
    </w:rPr>
  </w:style>
  <w:style w:type="character" w:customStyle="1" w:styleId="EndnoteTextChar">
    <w:name w:val="Endnote Text Char"/>
    <w:basedOn w:val="DefaultParagraphFont"/>
    <w:link w:val="EndnoteText"/>
    <w:uiPriority w:val="99"/>
    <w:semiHidden/>
    <w:rsid w:val="00455DD4"/>
    <w:rPr>
      <w:rFonts w:ascii="Times New Roman" w:hAnsi="Times New Roman" w:cs="Times New Roman"/>
    </w:rPr>
  </w:style>
  <w:style w:type="character" w:styleId="EndnoteReference">
    <w:name w:val="endnote reference"/>
    <w:basedOn w:val="DefaultParagraphFont"/>
    <w:uiPriority w:val="99"/>
    <w:semiHidden/>
    <w:unhideWhenUsed/>
    <w:locked/>
    <w:rsid w:val="00455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rgy.ca.gov/funding-opportunities/funding-resources" TargetMode="External"/><Relationship Id="rId18" Type="http://schemas.openxmlformats.org/officeDocument/2006/relationships/hyperlink" Target="https://leginfo.legislature.ca.gov/faces/billTextClient.xhtml?bill_id=201520160AB2868" TargetMode="External"/><Relationship Id="rId26" Type="http://schemas.openxmlformats.org/officeDocument/2006/relationships/hyperlink" Target="http://innovation.energy.ca.gov/SearchHome.aspx?ti=636313946224224328" TargetMode="External"/><Relationship Id="rId39" Type="http://schemas.openxmlformats.org/officeDocument/2006/relationships/hyperlink" Target="https://oag.ca.gov/ab1887" TargetMode="External"/><Relationship Id="rId3" Type="http://schemas.openxmlformats.org/officeDocument/2006/relationships/styles" Target="styles.xml"/><Relationship Id="rId21" Type="http://schemas.openxmlformats.org/officeDocument/2006/relationships/hyperlink" Target="http://www.energy.ca.gov/energypolicy" TargetMode="External"/><Relationship Id="rId34" Type="http://schemas.openxmlformats.org/officeDocument/2006/relationships/hyperlink" Target="https://www.energy.ca.gov/funding-opportunities/solicitation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ehha.ca.gov/calenviroscreen/report/calenviroscreen-30" TargetMode="External"/><Relationship Id="rId17" Type="http://schemas.openxmlformats.org/officeDocument/2006/relationships/hyperlink" Target="http://leginfo.legislature.ca.gov/faces/billNavClient.xhtml?bill_id=200920100AB2514" TargetMode="External"/><Relationship Id="rId25" Type="http://schemas.openxmlformats.org/officeDocument/2006/relationships/hyperlink" Target="http://www.energy.ca.gov/research/" TargetMode="External"/><Relationship Id="rId33" Type="http://schemas.openxmlformats.org/officeDocument/2006/relationships/hyperlink" Target="mailto:Angela.Hockaday@energy.ca.gov" TargetMode="External"/><Relationship Id="rId38" Type="http://schemas.openxmlformats.org/officeDocument/2006/relationships/hyperlink" Target="https://gss.energy.ca.gov/" TargetMode="External"/><Relationship Id="rId2" Type="http://schemas.openxmlformats.org/officeDocument/2006/relationships/numbering" Target="numbering.xml"/><Relationship Id="rId16" Type="http://schemas.openxmlformats.org/officeDocument/2006/relationships/hyperlink" Target="http://www.cpuc.ca.gov/general.aspx?id=3462" TargetMode="External"/><Relationship Id="rId20" Type="http://schemas.openxmlformats.org/officeDocument/2006/relationships/hyperlink" Target="https://ww2.energy.ca.gov/2011publications/CEC-100-2011-001/CEC-100-2011-001-CMF.pdf" TargetMode="External"/><Relationship Id="rId29" Type="http://schemas.openxmlformats.org/officeDocument/2006/relationships/hyperlink" Target="https://energy.webex.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ketpublic.energy.ca.gov/PublicDocuments/15-IEPR-05/TN203806_20150310T093903_California%E2%80%99s_Existing_Buildings_Energy_Efficiency_Action_Plan.pdf" TargetMode="External"/><Relationship Id="rId32" Type="http://schemas.openxmlformats.org/officeDocument/2006/relationships/hyperlink" Target="https://energy.webex.com/energy/systemdiagnosis.php" TargetMode="External"/><Relationship Id="rId37" Type="http://schemas.openxmlformats.org/officeDocument/2006/relationships/hyperlink" Target="https://oehha.ca.gov/calenviroscreen/report/calenviroscreen-3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eginfo.legislature.ca.gov/faces/billTextClient.xhtml?bill_id=201720180SB100" TargetMode="External"/><Relationship Id="rId23" Type="http://schemas.openxmlformats.org/officeDocument/2006/relationships/hyperlink" Target="http://www.californiaznehomes.com/" TargetMode="External"/><Relationship Id="rId28" Type="http://schemas.openxmlformats.org/officeDocument/2006/relationships/hyperlink" Target="https://oag.ca.gov/ab1887" TargetMode="External"/><Relationship Id="rId36" Type="http://schemas.openxmlformats.org/officeDocument/2006/relationships/hyperlink" Target="http://www.hcd.ca.gov/grants-funding/income-limits/index.shtml" TargetMode="External"/><Relationship Id="rId10" Type="http://schemas.openxmlformats.org/officeDocument/2006/relationships/header" Target="header1.xml"/><Relationship Id="rId19" Type="http://schemas.openxmlformats.org/officeDocument/2006/relationships/hyperlink" Target="http://www.energy.ca.gov/title24/" TargetMode="External"/><Relationship Id="rId31" Type="http://schemas.openxmlformats.org/officeDocument/2006/relationships/hyperlink" Target="http://support.webex.com/support/system-requirements.html" TargetMode="External"/><Relationship Id="rId4" Type="http://schemas.openxmlformats.org/officeDocument/2006/relationships/settings" Target="settings.xml"/><Relationship Id="rId9" Type="http://schemas.openxmlformats.org/officeDocument/2006/relationships/hyperlink" Target="http://www.energy.ca.gov/contracts/index.html" TargetMode="External"/><Relationship Id="rId14" Type="http://schemas.openxmlformats.org/officeDocument/2006/relationships/hyperlink" Target="http://www.leginfo.ca.gov/pub/15-16/bill/sen/sb_0301-0350/sb_350_bill_20151007_chaptered.htm" TargetMode="External"/><Relationship Id="rId22" Type="http://schemas.openxmlformats.org/officeDocument/2006/relationships/hyperlink" Target="http://www.cpuc.ca.gov/uploadedfiles/cpuc_public_website/content/about_us/organization/former_commissioners/peevey(1)/news_and_announcements/ferron_peevey_concurrence_storaged1310040.pdf" TargetMode="External"/><Relationship Id="rId27" Type="http://schemas.openxmlformats.org/officeDocument/2006/relationships/hyperlink" Target="https://efiling.energy.ca.gov/getdocument.aspx?tn=217347" TargetMode="External"/><Relationship Id="rId30" Type="http://schemas.openxmlformats.org/officeDocument/2006/relationships/hyperlink" Target="mailto:workshop@cec2020" TargetMode="External"/><Relationship Id="rId35" Type="http://schemas.openxmlformats.org/officeDocument/2006/relationships/hyperlink" Target="http://www.energy.ca.gov/research/contractors.htm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alifornia.public.law/codes/ca_pub_res_code_section_25711.5" TargetMode="External"/><Relationship Id="rId2" Type="http://schemas.openxmlformats.org/officeDocument/2006/relationships/hyperlink" Target="http://docs.cpuc.ca.gov/PublishedDocs/WORD_PDF/FINAL_DECISION/167664.PDF" TargetMode="External"/><Relationship Id="rId1" Type="http://schemas.openxmlformats.org/officeDocument/2006/relationships/hyperlink" Target="http://docs.cpuc.ca.gov/PublishedDocs/WORD_PDF/FINAL_DECISION/156050.PDF" TargetMode="External"/><Relationship Id="rId6" Type="http://schemas.openxmlformats.org/officeDocument/2006/relationships/hyperlink" Target="http://docs.cpuc.ca.gov/PublishedDocs/WORD_PDF/FINAL_DECISION/167664.PDF" TargetMode="External"/><Relationship Id="rId5" Type="http://schemas.openxmlformats.org/officeDocument/2006/relationships/hyperlink" Target="http://docs.cpuc.ca.gov/PublishedDocs/Published/G000/M151/K183/151183650.PDF" TargetMode="External"/><Relationship Id="rId4" Type="http://schemas.openxmlformats.org/officeDocument/2006/relationships/hyperlink" Target="http://docs.cpuc.ca.gov/PublishedDocs/Published/G000/M081/K773/817734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C7A92-834F-48C1-A007-337D2636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269</TotalTime>
  <Pages>46</Pages>
  <Words>15247</Words>
  <Characters>93327</Characters>
  <Application>Microsoft Office Word</Application>
  <DocSecurity>0</DocSecurity>
  <Lines>777</Lines>
  <Paragraphs>216</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108358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creator>Hockaday, Angela@Energy</dc:creator>
  <cp:lastModifiedBy>Hockaday, Angela@Energy</cp:lastModifiedBy>
  <cp:revision>20</cp:revision>
  <cp:lastPrinted>2019-12-19T18:10:00Z</cp:lastPrinted>
  <dcterms:created xsi:type="dcterms:W3CDTF">2019-12-18T19:26:00Z</dcterms:created>
  <dcterms:modified xsi:type="dcterms:W3CDTF">2019-12-19T22:12:00Z</dcterms:modified>
</cp:coreProperties>
</file>