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A75" w:rsidRDefault="00DA0A75" w:rsidP="00DA0A75">
      <w:pPr>
        <w:jc w:val="both"/>
        <w:rPr>
          <w:rFonts w:ascii="Arial" w:hAnsi="Arial" w:cs="Arial"/>
          <w:sz w:val="22"/>
          <w:szCs w:val="22"/>
        </w:rPr>
      </w:pPr>
      <w:r w:rsidRPr="00DA0A75">
        <w:rPr>
          <w:rFonts w:ascii="Arial" w:hAnsi="Arial" w:cs="Arial"/>
          <w:sz w:val="22"/>
          <w:szCs w:val="22"/>
        </w:rPr>
        <w:t xml:space="preserve">Limit the fact sheet to </w:t>
      </w:r>
      <w:r w:rsidRPr="00DA0A75">
        <w:rPr>
          <w:rFonts w:ascii="Arial" w:hAnsi="Arial" w:cs="Arial"/>
          <w:b/>
          <w:sz w:val="22"/>
          <w:szCs w:val="22"/>
        </w:rPr>
        <w:t>two</w:t>
      </w:r>
      <w:r w:rsidRPr="00DA0A75">
        <w:rPr>
          <w:rFonts w:ascii="Arial" w:hAnsi="Arial" w:cs="Arial"/>
          <w:sz w:val="22"/>
          <w:szCs w:val="22"/>
        </w:rPr>
        <w:t xml:space="preserve"> pages.  See the formatting requirements in Part III, Section A.</w:t>
      </w:r>
    </w:p>
    <w:p w:rsidR="00D05265" w:rsidRDefault="00D05265" w:rsidP="00DA0A75">
      <w:pPr>
        <w:jc w:val="both"/>
        <w:rPr>
          <w:rFonts w:ascii="Arial" w:hAnsi="Arial" w:cs="Arial"/>
          <w:sz w:val="22"/>
          <w:szCs w:val="22"/>
        </w:rPr>
      </w:pPr>
    </w:p>
    <w:p w:rsidR="00D05265" w:rsidRPr="00D05265" w:rsidRDefault="00D05265" w:rsidP="00D05265">
      <w:pPr>
        <w:jc w:val="center"/>
        <w:rPr>
          <w:rFonts w:ascii="Arial" w:hAnsi="Arial" w:cs="Arial"/>
          <w:b/>
          <w:sz w:val="22"/>
          <w:szCs w:val="22"/>
          <w:u w:val="single"/>
        </w:rPr>
      </w:pPr>
      <w:r w:rsidRPr="00D05265">
        <w:rPr>
          <w:rFonts w:ascii="Arial" w:hAnsi="Arial" w:cs="Arial"/>
          <w:b/>
          <w:sz w:val="22"/>
          <w:szCs w:val="22"/>
          <w:u w:val="single"/>
        </w:rPr>
        <w:t xml:space="preserve">Title of Project </w:t>
      </w:r>
    </w:p>
    <w:p w:rsidR="00D05265" w:rsidRPr="00D05265" w:rsidRDefault="00D05265" w:rsidP="00D05265">
      <w:pPr>
        <w:jc w:val="center"/>
        <w:rPr>
          <w:rFonts w:ascii="Arial" w:hAnsi="Arial" w:cs="Arial"/>
          <w:b/>
          <w:sz w:val="22"/>
          <w:szCs w:val="22"/>
          <w:u w:val="single"/>
        </w:rPr>
      </w:pPr>
    </w:p>
    <w:p w:rsidR="00D05265" w:rsidRPr="00D05265" w:rsidRDefault="00D05265" w:rsidP="00D05265">
      <w:pPr>
        <w:jc w:val="center"/>
        <w:rPr>
          <w:rFonts w:ascii="Arial" w:hAnsi="Arial" w:cs="Arial"/>
          <w:b/>
          <w:sz w:val="22"/>
          <w:szCs w:val="22"/>
          <w:u w:val="single"/>
        </w:rPr>
      </w:pPr>
      <w:r w:rsidRPr="00D05265">
        <w:rPr>
          <w:rFonts w:ascii="Arial" w:hAnsi="Arial" w:cs="Arial"/>
          <w:b/>
          <w:sz w:val="22"/>
          <w:szCs w:val="22"/>
          <w:u w:val="single"/>
        </w:rPr>
        <w:t xml:space="preserve">Brief Highlight Statement </w:t>
      </w:r>
    </w:p>
    <w:p w:rsidR="00DA0A75" w:rsidRPr="00DA0A75" w:rsidRDefault="00DA0A75" w:rsidP="00DA0A75">
      <w:pPr>
        <w:jc w:val="both"/>
        <w:outlineLvl w:val="0"/>
        <w:rPr>
          <w:rFonts w:ascii="Arial" w:hAnsi="Arial" w:cs="Arial"/>
          <w:b/>
          <w:sz w:val="22"/>
          <w:szCs w:val="22"/>
        </w:rPr>
      </w:pPr>
    </w:p>
    <w:p w:rsidR="00DA0A75" w:rsidRDefault="00DA0A75" w:rsidP="00DA0A75">
      <w:pPr>
        <w:rPr>
          <w:rFonts w:ascii="Arial" w:hAnsi="Arial" w:cs="Arial"/>
          <w:b/>
          <w:sz w:val="22"/>
          <w:szCs w:val="22"/>
        </w:rPr>
      </w:pPr>
      <w:r w:rsidRPr="00DA0A75">
        <w:rPr>
          <w:rFonts w:ascii="Arial" w:hAnsi="Arial" w:cs="Arial"/>
          <w:b/>
          <w:sz w:val="22"/>
          <w:szCs w:val="22"/>
        </w:rPr>
        <w:t>The Issue</w:t>
      </w:r>
    </w:p>
    <w:p w:rsidR="00D05265" w:rsidRPr="00D05265" w:rsidRDefault="00D05265" w:rsidP="00DA0A75">
      <w:pPr>
        <w:rPr>
          <w:rFonts w:ascii="Arial" w:hAnsi="Arial" w:cs="Arial"/>
          <w:b/>
          <w:sz w:val="22"/>
          <w:szCs w:val="22"/>
          <w:u w:val="single"/>
        </w:rPr>
      </w:pPr>
      <w:r w:rsidRPr="00D05265">
        <w:rPr>
          <w:rFonts w:ascii="Arial" w:hAnsi="Arial" w:cs="Arial"/>
          <w:b/>
          <w:sz w:val="22"/>
          <w:szCs w:val="22"/>
          <w:u w:val="single"/>
        </w:rPr>
        <w:t>This section should be about one paragraph, 4-5 sentences, describing the issues or critical need being addressed.</w:t>
      </w:r>
    </w:p>
    <w:p w:rsidR="00D05265" w:rsidRPr="00D05265" w:rsidRDefault="00D05265" w:rsidP="00DA0A75">
      <w:pPr>
        <w:rPr>
          <w:rFonts w:ascii="Arial" w:hAnsi="Arial" w:cs="Arial"/>
          <w:bCs/>
          <w:sz w:val="22"/>
          <w:szCs w:val="22"/>
          <w:u w:val="single"/>
        </w:rPr>
      </w:pPr>
    </w:p>
    <w:p w:rsidR="00DA0A75" w:rsidRPr="00DA0A75" w:rsidRDefault="00AB784C" w:rsidP="00DA0A75">
      <w:pPr>
        <w:spacing w:after="240"/>
        <w:jc w:val="both"/>
        <w:rPr>
          <w:rFonts w:ascii="Arial" w:hAnsi="Arial" w:cs="Arial"/>
          <w:sz w:val="22"/>
          <w:szCs w:val="22"/>
        </w:rPr>
      </w:pPr>
      <w:r w:rsidRPr="00D05265">
        <w:rPr>
          <w:rFonts w:ascii="Arial" w:hAnsi="Arial" w:cs="Arial"/>
          <w:b/>
          <w:noProof/>
          <w:sz w:val="22"/>
          <w:szCs w:val="22"/>
          <w:u w:val="single"/>
        </w:rPr>
        <w:drawing>
          <wp:anchor distT="0" distB="0" distL="114300" distR="114300" simplePos="0" relativeHeight="251657216" behindDoc="0" locked="0" layoutInCell="1" allowOverlap="1">
            <wp:simplePos x="0" y="0"/>
            <wp:positionH relativeFrom="column">
              <wp:posOffset>3155950</wp:posOffset>
            </wp:positionH>
            <wp:positionV relativeFrom="paragraph">
              <wp:posOffset>1363980</wp:posOffset>
            </wp:positionV>
            <wp:extent cx="2682240" cy="2719705"/>
            <wp:effectExtent l="0" t="0" r="3810" b="4445"/>
            <wp:wrapSquare wrapText="bothSides"/>
            <wp:docPr id="4" name="Picture 1" descr="2 MW sodium sulfur batt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679" r="28072"/>
                    <a:stretch>
                      <a:fillRect/>
                    </a:stretch>
                  </pic:blipFill>
                  <pic:spPr bwMode="auto">
                    <a:xfrm>
                      <a:off x="0" y="0"/>
                      <a:ext cx="2682240" cy="2719705"/>
                    </a:xfrm>
                    <a:prstGeom prst="rect">
                      <a:avLst/>
                    </a:prstGeom>
                    <a:noFill/>
                  </pic:spPr>
                </pic:pic>
              </a:graphicData>
            </a:graphic>
            <wp14:sizeRelH relativeFrom="page">
              <wp14:pctWidth>0</wp14:pctWidth>
            </wp14:sizeRelH>
            <wp14:sizeRelV relativeFrom="page">
              <wp14:pctHeight>0</wp14:pctHeight>
            </wp14:sizeRelV>
          </wp:anchor>
        </w:drawing>
      </w:r>
      <w:r w:rsidR="00D05265" w:rsidRPr="00D05265">
        <w:rPr>
          <w:rFonts w:ascii="Arial" w:hAnsi="Arial" w:cs="Arial"/>
          <w:b/>
          <w:sz w:val="22"/>
          <w:szCs w:val="22"/>
          <w:u w:val="single"/>
        </w:rPr>
        <w:t>Example:</w:t>
      </w:r>
      <w:r w:rsidR="00D05265">
        <w:rPr>
          <w:rFonts w:ascii="Arial" w:hAnsi="Arial" w:cs="Arial"/>
          <w:sz w:val="22"/>
          <w:szCs w:val="22"/>
        </w:rPr>
        <w:t xml:space="preserve"> </w:t>
      </w:r>
      <w:r w:rsidR="00DA0A75" w:rsidRPr="00DA0A75">
        <w:rPr>
          <w:rFonts w:ascii="Arial" w:hAnsi="Arial" w:cs="Arial"/>
          <w:sz w:val="22"/>
          <w:szCs w:val="22"/>
        </w:rPr>
        <w:t>Energy storage technologies have the potential to increase the reliability of California’s energy supply, and the abilit</w:t>
      </w:r>
      <w:r w:rsidR="005722BB">
        <w:rPr>
          <w:rFonts w:ascii="Arial" w:hAnsi="Arial" w:cs="Arial"/>
          <w:sz w:val="22"/>
          <w:szCs w:val="22"/>
        </w:rPr>
        <w:t xml:space="preserve">y to dispatch energy sources.  </w:t>
      </w:r>
      <w:r w:rsidR="00DA0A75" w:rsidRPr="00DA0A75">
        <w:rPr>
          <w:rFonts w:ascii="Arial" w:hAnsi="Arial" w:cs="Arial"/>
          <w:sz w:val="22"/>
          <w:szCs w:val="22"/>
        </w:rPr>
        <w:t xml:space="preserve">While wind and solar power plants help California to generate energy with little detriment to the environment, the intermittent nature of these sources requires special attention when connecting them to the grid.  Building a portfolio of energy storage options could help address these system challenges and balance the development of newer, distributed energy technologies with the continued development of well-established generation technologies.  While energy storage has the potential to serve multiple valuable functions in the electric grid, it is currently very expensive, primarily due to it being in the early stages of development. The lack of large-scale production and mature mechanisms for energy storage in the electricity markets further adds to the high cost of available technologies. </w:t>
      </w:r>
    </w:p>
    <w:p w:rsidR="00DA0A75" w:rsidRDefault="00DA0A75" w:rsidP="00DA0A75">
      <w:pPr>
        <w:jc w:val="both"/>
        <w:outlineLvl w:val="0"/>
        <w:rPr>
          <w:rFonts w:ascii="Arial" w:hAnsi="Arial" w:cs="Arial"/>
          <w:b/>
          <w:bCs/>
          <w:sz w:val="22"/>
          <w:szCs w:val="22"/>
        </w:rPr>
      </w:pPr>
      <w:r w:rsidRPr="00DA0A75">
        <w:rPr>
          <w:rFonts w:ascii="Arial" w:hAnsi="Arial" w:cs="Arial"/>
          <w:b/>
          <w:sz w:val="22"/>
          <w:szCs w:val="22"/>
        </w:rPr>
        <w:t xml:space="preserve">Project </w:t>
      </w:r>
      <w:r w:rsidRPr="00DA0A75">
        <w:rPr>
          <w:rFonts w:ascii="Arial" w:hAnsi="Arial" w:cs="Arial"/>
          <w:b/>
          <w:bCs/>
          <w:sz w:val="22"/>
          <w:szCs w:val="22"/>
        </w:rPr>
        <w:t>Description</w:t>
      </w:r>
    </w:p>
    <w:p w:rsidR="00D05265" w:rsidRDefault="00D05265" w:rsidP="00DA0A75">
      <w:pPr>
        <w:jc w:val="both"/>
        <w:outlineLvl w:val="0"/>
        <w:rPr>
          <w:rFonts w:ascii="Arial" w:hAnsi="Arial" w:cs="Arial"/>
          <w:b/>
          <w:bCs/>
          <w:sz w:val="22"/>
          <w:szCs w:val="22"/>
          <w:u w:val="single"/>
        </w:rPr>
      </w:pPr>
      <w:r w:rsidRPr="00D05265">
        <w:rPr>
          <w:rFonts w:ascii="Arial" w:hAnsi="Arial" w:cs="Arial"/>
          <w:b/>
          <w:bCs/>
          <w:sz w:val="22"/>
          <w:szCs w:val="22"/>
          <w:u w:val="single"/>
        </w:rPr>
        <w:t>This section should be about one</w:t>
      </w:r>
      <w:r>
        <w:rPr>
          <w:rFonts w:ascii="Arial" w:hAnsi="Arial" w:cs="Arial"/>
          <w:b/>
          <w:bCs/>
          <w:sz w:val="22"/>
          <w:szCs w:val="22"/>
          <w:u w:val="single"/>
        </w:rPr>
        <w:t xml:space="preserve"> or two</w:t>
      </w:r>
      <w:r w:rsidRPr="00D05265">
        <w:rPr>
          <w:rFonts w:ascii="Arial" w:hAnsi="Arial" w:cs="Arial"/>
          <w:b/>
          <w:bCs/>
          <w:sz w:val="22"/>
          <w:szCs w:val="22"/>
          <w:u w:val="single"/>
        </w:rPr>
        <w:t xml:space="preserve"> paragraph</w:t>
      </w:r>
      <w:r>
        <w:rPr>
          <w:rFonts w:ascii="Arial" w:hAnsi="Arial" w:cs="Arial"/>
          <w:b/>
          <w:bCs/>
          <w:sz w:val="22"/>
          <w:szCs w:val="22"/>
          <w:u w:val="single"/>
        </w:rPr>
        <w:t>s</w:t>
      </w:r>
      <w:r w:rsidRPr="00D05265">
        <w:rPr>
          <w:rFonts w:ascii="Arial" w:hAnsi="Arial" w:cs="Arial"/>
          <w:b/>
          <w:bCs/>
          <w:sz w:val="22"/>
          <w:szCs w:val="22"/>
          <w:u w:val="single"/>
        </w:rPr>
        <w:t xml:space="preserve">, </w:t>
      </w:r>
      <w:r>
        <w:rPr>
          <w:rFonts w:ascii="Arial" w:hAnsi="Arial" w:cs="Arial"/>
          <w:b/>
          <w:bCs/>
          <w:sz w:val="22"/>
          <w:szCs w:val="22"/>
          <w:u w:val="single"/>
        </w:rPr>
        <w:t>8-10</w:t>
      </w:r>
      <w:r w:rsidRPr="00D05265">
        <w:rPr>
          <w:rFonts w:ascii="Arial" w:hAnsi="Arial" w:cs="Arial"/>
          <w:b/>
          <w:bCs/>
          <w:sz w:val="22"/>
          <w:szCs w:val="22"/>
          <w:u w:val="single"/>
        </w:rPr>
        <w:t xml:space="preserve"> sentences, </w:t>
      </w:r>
      <w:r>
        <w:rPr>
          <w:rFonts w:ascii="Arial" w:hAnsi="Arial" w:cs="Arial"/>
          <w:b/>
          <w:bCs/>
          <w:sz w:val="22"/>
          <w:szCs w:val="22"/>
          <w:u w:val="single"/>
        </w:rPr>
        <w:t>describing</w:t>
      </w:r>
      <w:r w:rsidRPr="00D05265">
        <w:rPr>
          <w:rFonts w:ascii="Arial" w:hAnsi="Arial" w:cs="Arial"/>
          <w:b/>
          <w:bCs/>
          <w:sz w:val="22"/>
          <w:szCs w:val="22"/>
          <w:u w:val="single"/>
        </w:rPr>
        <w:t xml:space="preserve"> the project.</w:t>
      </w:r>
    </w:p>
    <w:p w:rsidR="00D05265" w:rsidRPr="00D05265" w:rsidRDefault="00D05265" w:rsidP="00DA0A75">
      <w:pPr>
        <w:jc w:val="both"/>
        <w:outlineLvl w:val="0"/>
        <w:rPr>
          <w:rFonts w:ascii="Arial" w:hAnsi="Arial" w:cs="Arial"/>
          <w:b/>
          <w:sz w:val="22"/>
          <w:szCs w:val="22"/>
          <w:u w:val="single"/>
        </w:rPr>
      </w:pPr>
    </w:p>
    <w:p w:rsidR="00DA0A75" w:rsidRPr="00DA0A75" w:rsidRDefault="00AB784C" w:rsidP="00DA0A75">
      <w:pPr>
        <w:ind w:right="176"/>
        <w:jc w:val="both"/>
        <w:rPr>
          <w:rFonts w:ascii="Arial" w:hAnsi="Arial" w:cs="Arial"/>
          <w:sz w:val="22"/>
          <w:szCs w:val="22"/>
        </w:rPr>
      </w:pPr>
      <w:r w:rsidRPr="00D05265">
        <w:rPr>
          <w:rFonts w:ascii="Arial" w:hAnsi="Arial" w:cs="Arial"/>
          <w:b/>
          <w:noProof/>
          <w:sz w:val="22"/>
          <w:szCs w:val="22"/>
          <w:u w:val="single"/>
        </w:rPr>
        <mc:AlternateContent>
          <mc:Choice Requires="wps">
            <w:drawing>
              <wp:anchor distT="0" distB="0" distL="114300" distR="114300" simplePos="0" relativeHeight="251658240" behindDoc="0" locked="0" layoutInCell="1" allowOverlap="1">
                <wp:simplePos x="0" y="0"/>
                <wp:positionH relativeFrom="column">
                  <wp:posOffset>3371850</wp:posOffset>
                </wp:positionH>
                <wp:positionV relativeFrom="paragraph">
                  <wp:posOffset>917575</wp:posOffset>
                </wp:positionV>
                <wp:extent cx="2354580" cy="581660"/>
                <wp:effectExtent l="9525" t="5715" r="7620" b="1270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581660"/>
                        </a:xfrm>
                        <a:prstGeom prst="rect">
                          <a:avLst/>
                        </a:prstGeom>
                        <a:solidFill>
                          <a:srgbClr val="FFFFFF"/>
                        </a:solidFill>
                        <a:ln w="9525">
                          <a:solidFill>
                            <a:srgbClr val="000000"/>
                          </a:solidFill>
                          <a:miter lim="800000"/>
                          <a:headEnd/>
                          <a:tailEnd/>
                        </a:ln>
                      </wps:spPr>
                      <wps:txbx>
                        <w:txbxContent>
                          <w:p w:rsidR="00DA0A75" w:rsidRPr="000704C9" w:rsidRDefault="00DA0A75" w:rsidP="00DA0A75">
                            <w:pPr>
                              <w:ind w:right="176"/>
                              <w:rPr>
                                <w:sz w:val="16"/>
                                <w:szCs w:val="16"/>
                              </w:rPr>
                            </w:pPr>
                            <w:r>
                              <w:rPr>
                                <w:sz w:val="20"/>
                              </w:rPr>
                              <w:t xml:space="preserve">2 MW / 14 MWh sodium sulfur battery installation at PG&amp;E’s Vaca-Dixon substation.  </w:t>
                            </w:r>
                            <w:r>
                              <w:rPr>
                                <w:sz w:val="16"/>
                                <w:szCs w:val="16"/>
                              </w:rPr>
                              <w:t>Source: PG&amp;E</w:t>
                            </w:r>
                          </w:p>
                          <w:p w:rsidR="00DA0A75" w:rsidRDefault="00DA0A75" w:rsidP="00DA0A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65.5pt;margin-top:72.25pt;width:185.4pt;height:4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Yo9KwIAAFAEAAAOAAAAZHJzL2Uyb0RvYy54bWysVNuO0zAQfUfiHyy/07SlKd2o6WrpUoS0&#10;XKRdPsBxnMTC9hjbbVK+nrHTLRHwhMiD5fGMj2fOmcn2dtCKnITzEkxJF7M5JcJwqKVpS/r16fBq&#10;Q4kPzNRMgRElPQtPb3cvX2x7W4gldKBq4QiCGF/0tqRdCLbIMs87oZmfgRUGnQ04zQKars1qx3pE&#10;1ypbzufrrAdXWwdceI+n96OT7hJ+0wgePjeNF4GokmJuIa0urVVcs92WFa1jtpP8kgb7hyw0kwYf&#10;vULds8DI0ck/oLTkDjw0YcZBZ9A0kotUA1azmP9WzWPHrEi1IDneXmny/w+Wfzp9cUTWqB0lhmmU&#10;6EkMgbyFgeSRnd76AoMeLYaFAY9jZKzU2wfg3zwxsO+YacWdc9B3gtWY3SLezCZXRxwfQar+I9T4&#10;DDsGSEBD43QERDIIoqNK56syMRWOh8vX+SrfoIujL98s1uskXcaK59vW+fBegCZxU1KHyid0dnrw&#10;IWbDiueQlD0oWR+kUslwbbVXjpwYdskhfakALHIapgzpS3qTL/ORgKnPTyHm6fsbhJYB211JXdLN&#10;NYgVkbZ3pk7NGJhU4x5TVubCY6RuJDEM1XDRpYL6jIw6GNsaxxA3HbgflPTY0iX134/MCUrUB4Oq&#10;3CxWqzgDyVjlb5ZouKmnmnqY4QhV0kDJuN2HcW6O1sm2w5fGPjBwh0o2MpEcJR+zuuSNbZu4v4xY&#10;nIupnaJ+/Qh2PwEAAP//AwBQSwMEFAAGAAgAAAAhADkJLtHhAAAACwEAAA8AAABkcnMvZG93bnJl&#10;di54bWxMj8tOwzAQRfdI/IM1SGxQ66RJQxviVAgJRHfQIti68TSJ8CPYbhr+nmEFy9G9unNOtZmM&#10;ZiP60DsrIJ0nwNA2TvW2FfC2f5ytgIUorZLaWRTwjQE29eVFJUvlzvYVx11sGY3YUEoBXYxDyXlo&#10;OjQyzN2AlrKj80ZGOn3LlZdnGjeaL5Kk4Eb2lj50csCHDpvP3ckIWOXP40fYZi/vTXHU63hzOz59&#10;eSGur6b7O2ARp/hXhl98QoeamA7uZFVgWsAyS8klUpDnS2DUWCcpyRwELLIiBV5X/L9D/QMAAP//&#10;AwBQSwECLQAUAAYACAAAACEAtoM4kv4AAADhAQAAEwAAAAAAAAAAAAAAAAAAAAAAW0NvbnRlbnRf&#10;VHlwZXNdLnhtbFBLAQItABQABgAIAAAAIQA4/SH/1gAAAJQBAAALAAAAAAAAAAAAAAAAAC8BAABf&#10;cmVscy8ucmVsc1BLAQItABQABgAIAAAAIQBlWYo9KwIAAFAEAAAOAAAAAAAAAAAAAAAAAC4CAABk&#10;cnMvZTJvRG9jLnhtbFBLAQItABQABgAIAAAAIQA5CS7R4QAAAAsBAAAPAAAAAAAAAAAAAAAAAIUE&#10;AABkcnMvZG93bnJldi54bWxQSwUGAAAAAAQABADzAAAAkwUAAAAA&#10;">
                <v:textbox>
                  <w:txbxContent>
                    <w:p w:rsidR="00DA0A75" w:rsidRPr="000704C9" w:rsidRDefault="00DA0A75" w:rsidP="00DA0A75">
                      <w:pPr>
                        <w:ind w:right="176"/>
                        <w:rPr>
                          <w:sz w:val="16"/>
                          <w:szCs w:val="16"/>
                        </w:rPr>
                      </w:pPr>
                      <w:r>
                        <w:rPr>
                          <w:sz w:val="20"/>
                        </w:rPr>
                        <w:t xml:space="preserve">2 MW / 14 MWh sodium sulfur battery installation at PG&amp;E’s Vaca-Dixon substation.  </w:t>
                      </w:r>
                      <w:r>
                        <w:rPr>
                          <w:sz w:val="16"/>
                          <w:szCs w:val="16"/>
                        </w:rPr>
                        <w:t>Source: PG&amp;E</w:t>
                      </w:r>
                    </w:p>
                    <w:p w:rsidR="00DA0A75" w:rsidRDefault="00DA0A75" w:rsidP="00DA0A75"/>
                  </w:txbxContent>
                </v:textbox>
                <w10:wrap type="square"/>
              </v:shape>
            </w:pict>
          </mc:Fallback>
        </mc:AlternateContent>
      </w:r>
      <w:r w:rsidR="00D05265" w:rsidRPr="00D05265">
        <w:rPr>
          <w:rFonts w:ascii="Arial" w:hAnsi="Arial" w:cs="Arial"/>
          <w:b/>
          <w:sz w:val="22"/>
          <w:szCs w:val="22"/>
          <w:u w:val="single"/>
        </w:rPr>
        <w:t>Example:</w:t>
      </w:r>
      <w:r w:rsidR="00D05265">
        <w:rPr>
          <w:rFonts w:ascii="Arial" w:hAnsi="Arial" w:cs="Arial"/>
          <w:sz w:val="22"/>
          <w:szCs w:val="22"/>
        </w:rPr>
        <w:t xml:space="preserve"> </w:t>
      </w:r>
      <w:r w:rsidR="00DA0A75" w:rsidRPr="00DA0A75">
        <w:rPr>
          <w:rFonts w:ascii="Arial" w:hAnsi="Arial" w:cs="Arial"/>
          <w:sz w:val="22"/>
          <w:szCs w:val="22"/>
        </w:rPr>
        <w:t>The sodium-sulfur (NaS) battery energy storage system (BESS) is one of the most advanced battery storage technologies on the market, with more than six hours of energy storage, a high efficiency of about 80 percent, and a long life span of 15 years. Pacific Gas &amp; Electric Co. (PG&amp;E) is installing a 2 megawatt (MW), 14 megawatt-hour (MWh) system at its Vaca-Dixon substation and a 4 MW, 28 MWh system at the end of a distribution line that is connected to the Hitachi Global Storage Solutions facility in San Jose, CA.</w:t>
      </w:r>
      <w:bookmarkStart w:id="0" w:name="_GoBack"/>
      <w:bookmarkEnd w:id="0"/>
    </w:p>
    <w:p w:rsidR="00DA0A75" w:rsidRPr="00DA0A75" w:rsidRDefault="00DA0A75" w:rsidP="00DA0A75">
      <w:pPr>
        <w:ind w:right="176"/>
        <w:jc w:val="both"/>
        <w:rPr>
          <w:rFonts w:ascii="Arial" w:hAnsi="Arial" w:cs="Arial"/>
          <w:sz w:val="22"/>
          <w:szCs w:val="22"/>
        </w:rPr>
      </w:pPr>
    </w:p>
    <w:p w:rsidR="00DA0A75" w:rsidRPr="00DA0A75" w:rsidRDefault="00DA0A75" w:rsidP="00DA0A75">
      <w:pPr>
        <w:ind w:right="176"/>
        <w:jc w:val="both"/>
        <w:rPr>
          <w:rFonts w:ascii="Arial" w:hAnsi="Arial" w:cs="Arial"/>
          <w:sz w:val="22"/>
          <w:szCs w:val="22"/>
        </w:rPr>
      </w:pPr>
      <w:r w:rsidRPr="00DA0A75">
        <w:rPr>
          <w:rFonts w:ascii="Arial" w:hAnsi="Arial" w:cs="Arial"/>
          <w:sz w:val="22"/>
          <w:szCs w:val="22"/>
        </w:rPr>
        <w:t>The BESS installation at the Hitachi facility will serve to enhance power reliability for customers on the distribution line by mitigating fluctuations. Multiple hours of backup power provided by the BESS will reduce emissions from the facility’s diesel backup generator normally used during power outages. The BESS has the capacity to fully power the Hitachi facility powered by the battery – known as “islanding” – in the event of an outage. In addition to these functions, additional battery capacity is allocated to provide ancillary services, such as peak load shaving and voltage regulation, helping to support grid stability.  The system will further be used to supply energy in times of high demand and store energy in times of oversupply.</w:t>
      </w:r>
    </w:p>
    <w:p w:rsidR="00DA0A75" w:rsidRPr="00DA0A75" w:rsidRDefault="00DA0A75" w:rsidP="00DA0A75">
      <w:pPr>
        <w:jc w:val="both"/>
        <w:rPr>
          <w:rFonts w:ascii="Arial" w:hAnsi="Arial" w:cs="Arial"/>
          <w:sz w:val="22"/>
          <w:szCs w:val="22"/>
        </w:rPr>
      </w:pPr>
    </w:p>
    <w:p w:rsidR="00D44A56" w:rsidRPr="00D05265" w:rsidRDefault="00DA0A75" w:rsidP="00D05265">
      <w:pPr>
        <w:spacing w:after="240"/>
        <w:jc w:val="both"/>
        <w:rPr>
          <w:rFonts w:ascii="Arial" w:hAnsi="Arial" w:cs="Arial"/>
          <w:sz w:val="22"/>
          <w:szCs w:val="22"/>
        </w:rPr>
      </w:pPr>
      <w:r w:rsidRPr="00DA0A75">
        <w:rPr>
          <w:rFonts w:ascii="Arial" w:hAnsi="Arial" w:cs="Arial"/>
          <w:sz w:val="22"/>
          <w:szCs w:val="22"/>
        </w:rPr>
        <w:lastRenderedPageBreak/>
        <w:t>PG&amp;E’s Vaca-Dixon substation is close to, and on the same distribution feeder as, the Vaca-Dixon solar plant. The solar plant is capable of generating approximately 2 MW of peak power. Installation of a 2 MW energy storage battery will test the use of energy storage at the substation level to manage this intermittent resource, and will also provide the grid ancillary service</w:t>
      </w:r>
      <w:r w:rsidR="00D05265">
        <w:rPr>
          <w:rFonts w:ascii="Arial" w:hAnsi="Arial" w:cs="Arial"/>
          <w:sz w:val="22"/>
          <w:szCs w:val="22"/>
        </w:rPr>
        <w:t>s depending on customer demand.</w:t>
      </w:r>
    </w:p>
    <w:p w:rsidR="00DA0A75" w:rsidRDefault="00DA0A75" w:rsidP="00DA0A75">
      <w:pPr>
        <w:jc w:val="both"/>
        <w:rPr>
          <w:rFonts w:ascii="Arial" w:hAnsi="Arial" w:cs="Arial"/>
          <w:b/>
          <w:bCs/>
          <w:sz w:val="22"/>
          <w:szCs w:val="22"/>
        </w:rPr>
      </w:pPr>
      <w:r w:rsidRPr="00DA0A75">
        <w:rPr>
          <w:rFonts w:ascii="Arial" w:hAnsi="Arial" w:cs="Arial"/>
          <w:b/>
          <w:bCs/>
          <w:sz w:val="22"/>
          <w:szCs w:val="22"/>
        </w:rPr>
        <w:t>Anticipated Benefits for California</w:t>
      </w:r>
    </w:p>
    <w:p w:rsidR="00D05265" w:rsidRPr="00D05265" w:rsidRDefault="00D05265" w:rsidP="00DA0A75">
      <w:pPr>
        <w:jc w:val="both"/>
        <w:rPr>
          <w:rFonts w:ascii="Arial" w:hAnsi="Arial" w:cs="Arial"/>
          <w:b/>
          <w:bCs/>
          <w:sz w:val="22"/>
          <w:szCs w:val="22"/>
          <w:u w:val="single"/>
        </w:rPr>
      </w:pPr>
      <w:r w:rsidRPr="00D05265">
        <w:rPr>
          <w:rFonts w:ascii="Arial" w:hAnsi="Arial" w:cs="Arial"/>
          <w:b/>
          <w:bCs/>
          <w:sz w:val="22"/>
          <w:szCs w:val="22"/>
          <w:u w:val="single"/>
        </w:rPr>
        <w:t>This section should be about one or two paragraphs, 6-8 sentences, describing how the proposed project will help overcome barriers to achieving the state’s energy goals and provides ratepayer benefits of greater electricity reliability, lower costs, and/or increased safety.</w:t>
      </w:r>
    </w:p>
    <w:p w:rsidR="00D05265" w:rsidRPr="00DA0A75" w:rsidRDefault="00D05265" w:rsidP="00DA0A75">
      <w:pPr>
        <w:jc w:val="both"/>
        <w:rPr>
          <w:rFonts w:ascii="Arial" w:hAnsi="Arial" w:cs="Arial"/>
          <w:b/>
          <w:bCs/>
          <w:sz w:val="22"/>
          <w:szCs w:val="22"/>
        </w:rPr>
      </w:pPr>
    </w:p>
    <w:p w:rsidR="00DA0A75" w:rsidRPr="00DA0A75" w:rsidRDefault="00D05265" w:rsidP="00DA0A75">
      <w:pPr>
        <w:spacing w:after="240"/>
        <w:jc w:val="both"/>
        <w:rPr>
          <w:rFonts w:ascii="Arial" w:hAnsi="Arial" w:cs="Arial"/>
          <w:sz w:val="22"/>
          <w:szCs w:val="22"/>
        </w:rPr>
      </w:pPr>
      <w:r w:rsidRPr="00D05265">
        <w:rPr>
          <w:rFonts w:ascii="Arial" w:hAnsi="Arial" w:cs="Arial"/>
          <w:b/>
          <w:sz w:val="22"/>
          <w:szCs w:val="22"/>
          <w:u w:val="single"/>
        </w:rPr>
        <w:t>Example:</w:t>
      </w:r>
      <w:r>
        <w:rPr>
          <w:rFonts w:ascii="Arial" w:hAnsi="Arial" w:cs="Arial"/>
          <w:sz w:val="22"/>
          <w:szCs w:val="22"/>
        </w:rPr>
        <w:t xml:space="preserve"> </w:t>
      </w:r>
      <w:r w:rsidR="00DA0A75" w:rsidRPr="00DA0A75">
        <w:rPr>
          <w:rFonts w:ascii="Arial" w:hAnsi="Arial" w:cs="Arial"/>
          <w:sz w:val="22"/>
          <w:szCs w:val="22"/>
        </w:rPr>
        <w:t>Energy storage may contribute multiple benefits to California’s electricity ratepayers by helping to stabilize the grid, improve service reliability, and reduce financial losses associated with power outages. Storage can offset the need to purchase and install new generation, as well as reduce the use of highly polluting peaking power plants during periods of high demand. When compared to the slower response rates of traditionally dispatched conventional fossil fuel powered plants, the fast ramp rates of NaS batteries are particularly suited to support the integration of large amounts of variable renewable energy, helping to meet California’s aggressive renewable energy goals.</w:t>
      </w:r>
    </w:p>
    <w:p w:rsidR="00DA0A75" w:rsidRDefault="00DA0A75" w:rsidP="00DA0A75">
      <w:pPr>
        <w:spacing w:after="240"/>
        <w:jc w:val="both"/>
        <w:rPr>
          <w:rFonts w:ascii="Arial" w:hAnsi="Arial" w:cs="Arial"/>
          <w:sz w:val="22"/>
          <w:szCs w:val="22"/>
        </w:rPr>
      </w:pPr>
      <w:r w:rsidRPr="00DA0A75">
        <w:rPr>
          <w:rFonts w:ascii="Arial" w:hAnsi="Arial" w:cs="Arial"/>
          <w:sz w:val="22"/>
          <w:szCs w:val="22"/>
        </w:rPr>
        <w:t>However, the magnitude of these benefits is poorly understood because very few advanced storage devices have been deployed. These benefits are not realized primarily due to the emerging nature of many storage technologies, their high cost, and the lack of mature mechanisms for their participation in electricity markets.  This project aims to provide critical real-world data on the technical and financial performance of battery energy storage and to determine how market products can be designed to make energy storage economical.   It is driven by the mutual vision of the Energy Commission and PG&amp;E to better understand how emerging energy storage technologies can help meet California’s future energy needs, and to share this knowledge with the public.</w:t>
      </w:r>
    </w:p>
    <w:p w:rsidR="00363096" w:rsidRPr="00AB784C" w:rsidRDefault="00363096" w:rsidP="00363096">
      <w:pPr>
        <w:jc w:val="both"/>
        <w:outlineLvl w:val="0"/>
        <w:rPr>
          <w:rFonts w:ascii="Arial" w:hAnsi="Arial" w:cs="Arial"/>
          <w:strike/>
          <w:sz w:val="22"/>
          <w:szCs w:val="22"/>
        </w:rPr>
      </w:pPr>
      <w:r w:rsidRPr="00AB784C">
        <w:rPr>
          <w:rFonts w:ascii="Arial" w:hAnsi="Arial" w:cs="Arial"/>
          <w:b/>
          <w:strike/>
          <w:sz w:val="22"/>
          <w:szCs w:val="22"/>
        </w:rPr>
        <w:t>Project Specifics</w:t>
      </w:r>
    </w:p>
    <w:p w:rsidR="00363096" w:rsidRPr="00AB784C" w:rsidRDefault="00363096" w:rsidP="00363096">
      <w:pPr>
        <w:widowControl w:val="0"/>
        <w:autoSpaceDE w:val="0"/>
        <w:autoSpaceDN w:val="0"/>
        <w:adjustRightInd w:val="0"/>
        <w:jc w:val="both"/>
        <w:rPr>
          <w:rFonts w:ascii="Arial" w:hAnsi="Arial" w:cs="Arial"/>
          <w:strike/>
          <w:sz w:val="22"/>
          <w:szCs w:val="22"/>
        </w:rPr>
      </w:pPr>
      <w:r w:rsidRPr="00AB784C">
        <w:rPr>
          <w:rFonts w:ascii="Arial" w:hAnsi="Arial" w:cs="Arial"/>
          <w:strike/>
          <w:sz w:val="22"/>
          <w:szCs w:val="22"/>
        </w:rPr>
        <w:t>Contractor:  Pacific Gas and Electric Co.</w:t>
      </w:r>
    </w:p>
    <w:p w:rsidR="00363096" w:rsidRPr="00AB784C" w:rsidRDefault="00363096" w:rsidP="00363096">
      <w:pPr>
        <w:widowControl w:val="0"/>
        <w:autoSpaceDE w:val="0"/>
        <w:autoSpaceDN w:val="0"/>
        <w:adjustRightInd w:val="0"/>
        <w:ind w:left="360" w:hanging="360"/>
        <w:jc w:val="both"/>
        <w:rPr>
          <w:rFonts w:ascii="Arial" w:hAnsi="Arial" w:cs="Arial"/>
          <w:strike/>
          <w:sz w:val="22"/>
          <w:szCs w:val="22"/>
        </w:rPr>
      </w:pPr>
      <w:r w:rsidRPr="00AB784C">
        <w:rPr>
          <w:rFonts w:ascii="Arial" w:hAnsi="Arial" w:cs="Arial"/>
          <w:strike/>
          <w:sz w:val="22"/>
          <w:szCs w:val="22"/>
        </w:rPr>
        <w:t>Partners:  San Jose, San Jose County; and Vacaville, Solano County</w:t>
      </w:r>
    </w:p>
    <w:p w:rsidR="00363096" w:rsidRPr="00AB784C" w:rsidRDefault="00363096" w:rsidP="00363096">
      <w:pPr>
        <w:widowControl w:val="0"/>
        <w:autoSpaceDE w:val="0"/>
        <w:autoSpaceDN w:val="0"/>
        <w:adjustRightInd w:val="0"/>
        <w:jc w:val="both"/>
        <w:rPr>
          <w:rFonts w:ascii="Arial" w:hAnsi="Arial" w:cs="Arial"/>
          <w:bCs/>
          <w:strike/>
          <w:sz w:val="22"/>
          <w:szCs w:val="22"/>
        </w:rPr>
      </w:pPr>
      <w:r w:rsidRPr="00AB784C">
        <w:rPr>
          <w:rFonts w:ascii="Arial" w:hAnsi="Arial" w:cs="Arial"/>
          <w:strike/>
          <w:sz w:val="22"/>
          <w:szCs w:val="22"/>
        </w:rPr>
        <w:t>Amount:</w:t>
      </w:r>
      <w:r w:rsidRPr="00AB784C">
        <w:rPr>
          <w:rFonts w:ascii="Arial" w:hAnsi="Arial" w:cs="Arial"/>
          <w:bCs/>
          <w:strike/>
          <w:sz w:val="22"/>
          <w:szCs w:val="22"/>
        </w:rPr>
        <w:t xml:space="preserve"> $3,300,000</w:t>
      </w:r>
    </w:p>
    <w:p w:rsidR="00363096" w:rsidRPr="00AB784C" w:rsidRDefault="00363096" w:rsidP="00363096">
      <w:pPr>
        <w:widowControl w:val="0"/>
        <w:tabs>
          <w:tab w:val="left" w:pos="360"/>
        </w:tabs>
        <w:autoSpaceDE w:val="0"/>
        <w:autoSpaceDN w:val="0"/>
        <w:adjustRightInd w:val="0"/>
        <w:ind w:left="360" w:hanging="360"/>
        <w:jc w:val="both"/>
        <w:rPr>
          <w:rFonts w:ascii="Arial" w:hAnsi="Arial" w:cs="Arial"/>
          <w:strike/>
          <w:sz w:val="22"/>
          <w:szCs w:val="22"/>
        </w:rPr>
      </w:pPr>
      <w:r w:rsidRPr="00AB784C">
        <w:rPr>
          <w:rFonts w:ascii="Arial" w:hAnsi="Arial" w:cs="Arial"/>
          <w:bCs/>
          <w:strike/>
          <w:sz w:val="22"/>
          <w:szCs w:val="22"/>
        </w:rPr>
        <w:t>Co-funding: $8,000,000 from Pacific Gas and Electric Co.</w:t>
      </w:r>
    </w:p>
    <w:p w:rsidR="00363096" w:rsidRPr="00AB784C" w:rsidRDefault="00363096" w:rsidP="00363096">
      <w:pPr>
        <w:spacing w:after="240"/>
        <w:rPr>
          <w:rFonts w:ascii="Arial" w:hAnsi="Arial" w:cs="Arial"/>
          <w:bCs/>
          <w:strike/>
          <w:sz w:val="22"/>
          <w:szCs w:val="22"/>
        </w:rPr>
      </w:pPr>
      <w:r w:rsidRPr="00AB784C">
        <w:rPr>
          <w:rFonts w:ascii="Arial" w:hAnsi="Arial" w:cs="Arial"/>
          <w:bCs/>
          <w:strike/>
          <w:sz w:val="22"/>
          <w:szCs w:val="22"/>
        </w:rPr>
        <w:t>Term: June 2010 to December 2014</w:t>
      </w:r>
    </w:p>
    <w:p w:rsidR="00AB784C" w:rsidRPr="00AB784C" w:rsidRDefault="00AB784C" w:rsidP="00AB784C">
      <w:pPr>
        <w:jc w:val="both"/>
        <w:outlineLvl w:val="0"/>
        <w:rPr>
          <w:rFonts w:ascii="Arial" w:hAnsi="Arial" w:cs="Arial"/>
          <w:b/>
          <w:sz w:val="22"/>
          <w:szCs w:val="22"/>
          <w:u w:val="single"/>
        </w:rPr>
      </w:pPr>
      <w:r w:rsidRPr="00AB784C">
        <w:rPr>
          <w:rFonts w:ascii="Arial" w:hAnsi="Arial" w:cs="Arial"/>
          <w:b/>
          <w:sz w:val="22"/>
          <w:szCs w:val="22"/>
          <w:u w:val="single"/>
        </w:rPr>
        <w:t>Contacts</w:t>
      </w:r>
    </w:p>
    <w:p w:rsidR="00AB784C" w:rsidRPr="00AB784C" w:rsidRDefault="00AB784C" w:rsidP="00AB784C">
      <w:pPr>
        <w:widowControl w:val="0"/>
        <w:autoSpaceDE w:val="0"/>
        <w:autoSpaceDN w:val="0"/>
        <w:adjustRightInd w:val="0"/>
        <w:jc w:val="both"/>
        <w:rPr>
          <w:rFonts w:ascii="Arial" w:hAnsi="Arial" w:cs="Arial"/>
          <w:b/>
          <w:sz w:val="22"/>
          <w:szCs w:val="22"/>
          <w:u w:val="single"/>
        </w:rPr>
      </w:pPr>
      <w:r w:rsidRPr="00AB784C">
        <w:rPr>
          <w:rFonts w:ascii="Arial" w:hAnsi="Arial" w:cs="Arial"/>
          <w:b/>
          <w:sz w:val="22"/>
          <w:szCs w:val="22"/>
          <w:u w:val="single"/>
        </w:rPr>
        <w:t xml:space="preserve">Recipient:  </w:t>
      </w:r>
    </w:p>
    <w:p w:rsidR="00AB784C" w:rsidRPr="00AB784C" w:rsidRDefault="00AB784C" w:rsidP="00AB784C">
      <w:pPr>
        <w:widowControl w:val="0"/>
        <w:autoSpaceDE w:val="0"/>
        <w:autoSpaceDN w:val="0"/>
        <w:adjustRightInd w:val="0"/>
        <w:ind w:left="360" w:hanging="360"/>
        <w:jc w:val="both"/>
        <w:rPr>
          <w:rFonts w:ascii="Arial" w:hAnsi="Arial" w:cs="Arial"/>
          <w:b/>
          <w:sz w:val="22"/>
          <w:szCs w:val="22"/>
          <w:u w:val="single"/>
        </w:rPr>
      </w:pPr>
      <w:r w:rsidRPr="00AB784C">
        <w:rPr>
          <w:rFonts w:ascii="Arial" w:hAnsi="Arial" w:cs="Arial"/>
          <w:b/>
          <w:sz w:val="22"/>
          <w:szCs w:val="22"/>
          <w:u w:val="single"/>
        </w:rPr>
        <w:t>Phone:</w:t>
      </w:r>
    </w:p>
    <w:p w:rsidR="00AB784C" w:rsidRPr="00AB784C" w:rsidRDefault="00AB784C" w:rsidP="00AB784C">
      <w:pPr>
        <w:widowControl w:val="0"/>
        <w:autoSpaceDE w:val="0"/>
        <w:autoSpaceDN w:val="0"/>
        <w:adjustRightInd w:val="0"/>
        <w:ind w:left="360" w:hanging="360"/>
        <w:jc w:val="both"/>
        <w:rPr>
          <w:rFonts w:ascii="Arial" w:hAnsi="Arial" w:cs="Arial"/>
          <w:b/>
          <w:sz w:val="22"/>
          <w:szCs w:val="22"/>
          <w:u w:val="single"/>
        </w:rPr>
      </w:pPr>
      <w:r w:rsidRPr="00AB784C">
        <w:rPr>
          <w:rFonts w:ascii="Arial" w:hAnsi="Arial" w:cs="Arial"/>
          <w:b/>
          <w:sz w:val="22"/>
          <w:szCs w:val="22"/>
          <w:u w:val="single"/>
        </w:rPr>
        <w:t xml:space="preserve">Email: </w:t>
      </w:r>
    </w:p>
    <w:p w:rsidR="00AB784C" w:rsidRPr="00AB784C" w:rsidRDefault="00AB784C" w:rsidP="00AB784C">
      <w:pPr>
        <w:widowControl w:val="0"/>
        <w:autoSpaceDE w:val="0"/>
        <w:autoSpaceDN w:val="0"/>
        <w:adjustRightInd w:val="0"/>
        <w:ind w:left="360" w:hanging="360"/>
        <w:jc w:val="both"/>
        <w:rPr>
          <w:rFonts w:ascii="Arial" w:hAnsi="Arial" w:cs="Arial"/>
          <w:b/>
          <w:sz w:val="22"/>
          <w:szCs w:val="22"/>
          <w:u w:val="single"/>
        </w:rPr>
      </w:pPr>
    </w:p>
    <w:p w:rsidR="00AB784C" w:rsidRPr="00AB784C" w:rsidRDefault="00AB784C" w:rsidP="00AB784C">
      <w:pPr>
        <w:widowControl w:val="0"/>
        <w:autoSpaceDE w:val="0"/>
        <w:autoSpaceDN w:val="0"/>
        <w:adjustRightInd w:val="0"/>
        <w:jc w:val="both"/>
        <w:rPr>
          <w:rFonts w:ascii="Arial" w:hAnsi="Arial" w:cs="Arial"/>
          <w:b/>
          <w:bCs/>
          <w:sz w:val="22"/>
          <w:szCs w:val="22"/>
          <w:u w:val="single"/>
        </w:rPr>
      </w:pPr>
      <w:r w:rsidRPr="00AB784C">
        <w:rPr>
          <w:rFonts w:ascii="Arial" w:hAnsi="Arial" w:cs="Arial"/>
          <w:b/>
          <w:sz w:val="22"/>
          <w:szCs w:val="22"/>
          <w:u w:val="single"/>
        </w:rPr>
        <w:t>Amount:</w:t>
      </w:r>
    </w:p>
    <w:p w:rsidR="00AB784C" w:rsidRPr="00AB784C" w:rsidRDefault="00AB784C" w:rsidP="00AB784C">
      <w:pPr>
        <w:widowControl w:val="0"/>
        <w:tabs>
          <w:tab w:val="left" w:pos="360"/>
        </w:tabs>
        <w:autoSpaceDE w:val="0"/>
        <w:autoSpaceDN w:val="0"/>
        <w:adjustRightInd w:val="0"/>
        <w:ind w:left="360" w:hanging="360"/>
        <w:jc w:val="both"/>
        <w:rPr>
          <w:rFonts w:ascii="Arial" w:hAnsi="Arial" w:cs="Arial"/>
          <w:b/>
          <w:bCs/>
          <w:sz w:val="22"/>
          <w:szCs w:val="22"/>
          <w:u w:val="single"/>
        </w:rPr>
      </w:pPr>
      <w:r w:rsidRPr="00AB784C">
        <w:rPr>
          <w:rFonts w:ascii="Arial" w:hAnsi="Arial" w:cs="Arial"/>
          <w:b/>
          <w:bCs/>
          <w:sz w:val="22"/>
          <w:szCs w:val="22"/>
          <w:u w:val="single"/>
        </w:rPr>
        <w:t>Co-funded Amount:</w:t>
      </w:r>
    </w:p>
    <w:p w:rsidR="00AB784C" w:rsidRPr="00AB784C" w:rsidRDefault="00AB784C" w:rsidP="00AB784C">
      <w:pPr>
        <w:widowControl w:val="0"/>
        <w:tabs>
          <w:tab w:val="left" w:pos="360"/>
        </w:tabs>
        <w:autoSpaceDE w:val="0"/>
        <w:autoSpaceDN w:val="0"/>
        <w:adjustRightInd w:val="0"/>
        <w:ind w:left="360" w:hanging="360"/>
        <w:jc w:val="both"/>
        <w:rPr>
          <w:rFonts w:ascii="Arial" w:hAnsi="Arial" w:cs="Arial"/>
          <w:b/>
          <w:sz w:val="22"/>
          <w:szCs w:val="22"/>
          <w:u w:val="single"/>
        </w:rPr>
      </w:pPr>
      <w:r w:rsidRPr="00AB784C">
        <w:rPr>
          <w:rFonts w:ascii="Arial" w:hAnsi="Arial" w:cs="Arial"/>
          <w:b/>
          <w:bCs/>
          <w:sz w:val="22"/>
          <w:szCs w:val="22"/>
          <w:u w:val="single"/>
        </w:rPr>
        <w:t>Project Location(s):</w:t>
      </w:r>
    </w:p>
    <w:p w:rsidR="008B28F3" w:rsidRPr="00AB784C" w:rsidRDefault="00AB784C" w:rsidP="00AB784C">
      <w:pPr>
        <w:spacing w:after="240"/>
        <w:rPr>
          <w:rFonts w:ascii="Arial" w:hAnsi="Arial" w:cs="Arial"/>
          <w:b/>
          <w:sz w:val="22"/>
          <w:szCs w:val="22"/>
          <w:u w:val="single"/>
        </w:rPr>
      </w:pPr>
      <w:r w:rsidRPr="00AB784C">
        <w:rPr>
          <w:rFonts w:ascii="Arial" w:hAnsi="Arial" w:cs="Arial"/>
          <w:b/>
          <w:bCs/>
          <w:sz w:val="22"/>
          <w:szCs w:val="22"/>
          <w:u w:val="single"/>
        </w:rPr>
        <w:t xml:space="preserve">Project Term: </w:t>
      </w:r>
    </w:p>
    <w:sectPr w:rsidR="008B28F3" w:rsidRPr="00AB784C" w:rsidSect="00E45742">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7FE" w:rsidRDefault="001D07FE">
      <w:r>
        <w:separator/>
      </w:r>
    </w:p>
  </w:endnote>
  <w:endnote w:type="continuationSeparator" w:id="0">
    <w:p w:rsidR="001D07FE" w:rsidRDefault="001D0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056" w:rsidRDefault="007220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9CA" w:rsidRPr="005D59CA" w:rsidRDefault="009B7284" w:rsidP="005D59CA">
    <w:pPr>
      <w:pStyle w:val="Footer"/>
      <w:tabs>
        <w:tab w:val="clear" w:pos="4320"/>
        <w:tab w:val="clear" w:pos="8640"/>
        <w:tab w:val="center" w:pos="4680"/>
        <w:tab w:val="right" w:pos="9360"/>
      </w:tabs>
      <w:jc w:val="right"/>
      <w:rPr>
        <w:rFonts w:ascii="Arial" w:hAnsi="Arial" w:cs="Arial"/>
        <w:sz w:val="16"/>
        <w:szCs w:val="16"/>
      </w:rPr>
    </w:pPr>
    <w:r w:rsidRPr="00AB784C">
      <w:rPr>
        <w:rFonts w:ascii="Arial" w:hAnsi="Arial" w:cs="Arial"/>
        <w:strike/>
        <w:sz w:val="16"/>
        <w:szCs w:val="16"/>
      </w:rPr>
      <w:t>November</w:t>
    </w:r>
    <w:r w:rsidR="00756777" w:rsidRPr="00AB784C">
      <w:rPr>
        <w:rFonts w:ascii="Arial" w:hAnsi="Arial" w:cs="Arial"/>
        <w:strike/>
        <w:sz w:val="16"/>
        <w:szCs w:val="16"/>
      </w:rPr>
      <w:t xml:space="preserve"> 2015</w:t>
    </w:r>
    <w:r w:rsidR="00AB784C">
      <w:rPr>
        <w:rFonts w:ascii="Arial" w:hAnsi="Arial" w:cs="Arial"/>
        <w:sz w:val="16"/>
        <w:szCs w:val="16"/>
      </w:rPr>
      <w:t xml:space="preserve"> </w:t>
    </w:r>
    <w:r w:rsidR="00AB784C" w:rsidRPr="00AB784C">
      <w:rPr>
        <w:rFonts w:ascii="Arial" w:hAnsi="Arial" w:cs="Arial"/>
        <w:b/>
        <w:sz w:val="16"/>
        <w:szCs w:val="16"/>
        <w:u w:val="single"/>
      </w:rPr>
      <w:t>May 2018</w:t>
    </w:r>
    <w:r w:rsidR="00233D02">
      <w:rPr>
        <w:rFonts w:ascii="Arial" w:hAnsi="Arial" w:cs="Arial"/>
        <w:sz w:val="16"/>
        <w:szCs w:val="16"/>
      </w:rPr>
      <w:tab/>
    </w:r>
    <w:r w:rsidR="005D59CA" w:rsidRPr="005D59CA">
      <w:rPr>
        <w:rFonts w:ascii="Arial" w:hAnsi="Arial" w:cs="Arial"/>
        <w:sz w:val="16"/>
        <w:szCs w:val="16"/>
      </w:rPr>
      <w:t xml:space="preserve">Page </w:t>
    </w:r>
    <w:r w:rsidR="00554781" w:rsidRPr="005D59CA">
      <w:rPr>
        <w:rFonts w:ascii="Arial" w:hAnsi="Arial" w:cs="Arial"/>
        <w:sz w:val="16"/>
        <w:szCs w:val="16"/>
      </w:rPr>
      <w:fldChar w:fldCharType="begin"/>
    </w:r>
    <w:r w:rsidR="005D59CA" w:rsidRPr="005D59CA">
      <w:rPr>
        <w:rFonts w:ascii="Arial" w:hAnsi="Arial" w:cs="Arial"/>
        <w:sz w:val="16"/>
        <w:szCs w:val="16"/>
      </w:rPr>
      <w:instrText xml:space="preserve"> PAGE </w:instrText>
    </w:r>
    <w:r w:rsidR="00554781" w:rsidRPr="005D59CA">
      <w:rPr>
        <w:rFonts w:ascii="Arial" w:hAnsi="Arial" w:cs="Arial"/>
        <w:sz w:val="16"/>
        <w:szCs w:val="16"/>
      </w:rPr>
      <w:fldChar w:fldCharType="separate"/>
    </w:r>
    <w:r w:rsidR="00722056">
      <w:rPr>
        <w:rFonts w:ascii="Arial" w:hAnsi="Arial" w:cs="Arial"/>
        <w:noProof/>
        <w:sz w:val="16"/>
        <w:szCs w:val="16"/>
      </w:rPr>
      <w:t>2</w:t>
    </w:r>
    <w:r w:rsidR="00554781" w:rsidRPr="005D59CA">
      <w:rPr>
        <w:rFonts w:ascii="Arial" w:hAnsi="Arial" w:cs="Arial"/>
        <w:sz w:val="16"/>
        <w:szCs w:val="16"/>
      </w:rPr>
      <w:fldChar w:fldCharType="end"/>
    </w:r>
    <w:r w:rsidR="005D59CA" w:rsidRPr="005D59CA">
      <w:rPr>
        <w:rFonts w:ascii="Arial" w:hAnsi="Arial" w:cs="Arial"/>
        <w:sz w:val="16"/>
        <w:szCs w:val="16"/>
      </w:rPr>
      <w:t xml:space="preserve"> of </w:t>
    </w:r>
    <w:r w:rsidR="00554781" w:rsidRPr="005D59CA">
      <w:rPr>
        <w:rFonts w:ascii="Arial" w:hAnsi="Arial" w:cs="Arial"/>
        <w:sz w:val="16"/>
        <w:szCs w:val="16"/>
      </w:rPr>
      <w:fldChar w:fldCharType="begin"/>
    </w:r>
    <w:r w:rsidR="005D59CA" w:rsidRPr="005D59CA">
      <w:rPr>
        <w:rFonts w:ascii="Arial" w:hAnsi="Arial" w:cs="Arial"/>
        <w:sz w:val="16"/>
        <w:szCs w:val="16"/>
      </w:rPr>
      <w:instrText xml:space="preserve"> NUMPAGES  </w:instrText>
    </w:r>
    <w:r w:rsidR="00554781" w:rsidRPr="005D59CA">
      <w:rPr>
        <w:rFonts w:ascii="Arial" w:hAnsi="Arial" w:cs="Arial"/>
        <w:sz w:val="16"/>
        <w:szCs w:val="16"/>
      </w:rPr>
      <w:fldChar w:fldCharType="separate"/>
    </w:r>
    <w:r w:rsidR="00722056">
      <w:rPr>
        <w:rFonts w:ascii="Arial" w:hAnsi="Arial" w:cs="Arial"/>
        <w:noProof/>
        <w:sz w:val="16"/>
        <w:szCs w:val="16"/>
      </w:rPr>
      <w:t>2</w:t>
    </w:r>
    <w:r w:rsidR="00554781" w:rsidRPr="005D59CA">
      <w:rPr>
        <w:rFonts w:ascii="Arial" w:hAnsi="Arial" w:cs="Arial"/>
        <w:sz w:val="16"/>
        <w:szCs w:val="16"/>
      </w:rPr>
      <w:fldChar w:fldCharType="end"/>
    </w:r>
    <w:r w:rsidR="00D25B82">
      <w:rPr>
        <w:rFonts w:ascii="Arial" w:hAnsi="Arial" w:cs="Arial"/>
        <w:sz w:val="16"/>
        <w:szCs w:val="16"/>
      </w:rPr>
      <w:tab/>
    </w:r>
    <w:r w:rsidR="00756777">
      <w:rPr>
        <w:rFonts w:ascii="Arial" w:hAnsi="Arial" w:cs="Arial"/>
        <w:sz w:val="16"/>
        <w:szCs w:val="16"/>
      </w:rPr>
      <w:t>GFO</w:t>
    </w:r>
    <w:r w:rsidR="00D25B82" w:rsidRPr="00756777">
      <w:rPr>
        <w:rFonts w:ascii="Arial" w:hAnsi="Arial" w:cs="Arial"/>
        <w:sz w:val="16"/>
        <w:szCs w:val="16"/>
      </w:rPr>
      <w:t>-</w:t>
    </w:r>
    <w:r w:rsidR="00756777">
      <w:rPr>
        <w:rFonts w:ascii="Arial" w:hAnsi="Arial" w:cs="Arial"/>
        <w:sz w:val="16"/>
        <w:szCs w:val="16"/>
      </w:rPr>
      <w:t>15</w:t>
    </w:r>
    <w:r w:rsidR="00D25B82" w:rsidRPr="00756777">
      <w:rPr>
        <w:rFonts w:ascii="Arial" w:hAnsi="Arial" w:cs="Arial"/>
        <w:sz w:val="16"/>
        <w:szCs w:val="16"/>
      </w:rPr>
      <w:t>-</w:t>
    </w:r>
    <w:r w:rsidR="00756777">
      <w:rPr>
        <w:rFonts w:ascii="Arial" w:hAnsi="Arial" w:cs="Arial"/>
        <w:sz w:val="16"/>
        <w:szCs w:val="16"/>
      </w:rPr>
      <w:t>3</w:t>
    </w:r>
    <w:r>
      <w:rPr>
        <w:rFonts w:ascii="Arial" w:hAnsi="Arial" w:cs="Arial"/>
        <w:sz w:val="16"/>
        <w:szCs w:val="16"/>
      </w:rPr>
      <w:t>12</w:t>
    </w:r>
  </w:p>
  <w:p w:rsidR="009B7284" w:rsidRPr="009B7284" w:rsidRDefault="005D59CA" w:rsidP="009B7284">
    <w:pPr>
      <w:pStyle w:val="Footer"/>
      <w:tabs>
        <w:tab w:val="clear" w:pos="4320"/>
        <w:tab w:val="clear" w:pos="8640"/>
        <w:tab w:val="center" w:pos="5040"/>
        <w:tab w:val="right" w:pos="9360"/>
      </w:tabs>
      <w:spacing w:after="40"/>
      <w:rPr>
        <w:rFonts w:ascii="Arial" w:hAnsi="Arial" w:cs="Arial"/>
        <w:sz w:val="16"/>
      </w:rPr>
    </w:pPr>
    <w:r w:rsidRPr="005D59CA">
      <w:rPr>
        <w:rFonts w:ascii="Arial" w:hAnsi="Arial" w:cs="Arial"/>
        <w:sz w:val="16"/>
        <w:szCs w:val="16"/>
      </w:rPr>
      <w:tab/>
    </w:r>
    <w:r w:rsidRPr="005D59CA">
      <w:rPr>
        <w:rFonts w:ascii="Arial" w:hAnsi="Arial" w:cs="Arial"/>
        <w:sz w:val="16"/>
        <w:szCs w:val="16"/>
      </w:rPr>
      <w:tab/>
    </w:r>
    <w:r w:rsidR="009B7284" w:rsidRPr="009B7284">
      <w:rPr>
        <w:rFonts w:ascii="Arial" w:hAnsi="Arial" w:cs="Arial"/>
        <w:sz w:val="16"/>
      </w:rPr>
      <w:t>The EPIC Challenge: Accelerating the</w:t>
    </w:r>
  </w:p>
  <w:p w:rsidR="009B7284" w:rsidRPr="009B7284" w:rsidRDefault="009B7284" w:rsidP="00722056">
    <w:pPr>
      <w:pStyle w:val="Footer"/>
      <w:tabs>
        <w:tab w:val="clear" w:pos="4320"/>
        <w:tab w:val="clear" w:pos="8640"/>
        <w:tab w:val="center" w:pos="5040"/>
        <w:tab w:val="right" w:pos="9360"/>
      </w:tabs>
      <w:spacing w:after="40"/>
      <w:jc w:val="right"/>
      <w:rPr>
        <w:rFonts w:ascii="Arial" w:hAnsi="Arial" w:cs="Arial"/>
        <w:sz w:val="16"/>
      </w:rPr>
    </w:pPr>
    <w:r w:rsidRPr="009B7284">
      <w:rPr>
        <w:rFonts w:ascii="Arial" w:hAnsi="Arial" w:cs="Arial"/>
        <w:sz w:val="16"/>
      </w:rPr>
      <w:t>Deployment of Advanced Energy Communities</w:t>
    </w:r>
  </w:p>
  <w:p w:rsidR="005D59CA" w:rsidRPr="005D59CA" w:rsidRDefault="005D59CA" w:rsidP="005D59CA">
    <w:pPr>
      <w:pStyle w:val="Footer"/>
      <w:tabs>
        <w:tab w:val="clear" w:pos="4320"/>
        <w:tab w:val="clear" w:pos="8640"/>
        <w:tab w:val="center" w:pos="4680"/>
        <w:tab w:val="right" w:pos="9360"/>
      </w:tabs>
      <w:rPr>
        <w:rFonts w:ascii="Arial" w:hAnsi="Arial" w:cs="Arial"/>
        <w:sz w:val="16"/>
        <w:szCs w:val="16"/>
      </w:rPr>
    </w:pPr>
  </w:p>
  <w:p w:rsidR="0058727F" w:rsidRDefault="0058727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056" w:rsidRDefault="007220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7FE" w:rsidRDefault="001D07FE">
      <w:r>
        <w:separator/>
      </w:r>
    </w:p>
  </w:footnote>
  <w:footnote w:type="continuationSeparator" w:id="0">
    <w:p w:rsidR="001D07FE" w:rsidRDefault="001D0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056" w:rsidRDefault="007220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CBD" w:rsidRDefault="00804CBD" w:rsidP="00DA0A75">
    <w:pPr>
      <w:pStyle w:val="Default"/>
      <w:jc w:val="center"/>
      <w:rPr>
        <w:b/>
        <w:bCs/>
        <w:sz w:val="22"/>
        <w:szCs w:val="22"/>
      </w:rPr>
    </w:pPr>
  </w:p>
  <w:p w:rsidR="000B4761" w:rsidRDefault="000B4761" w:rsidP="00DA0A75">
    <w:pPr>
      <w:pStyle w:val="Default"/>
      <w:jc w:val="center"/>
      <w:rPr>
        <w:b/>
        <w:bCs/>
        <w:sz w:val="22"/>
        <w:szCs w:val="22"/>
      </w:rPr>
    </w:pPr>
  </w:p>
  <w:p w:rsidR="00DA0A75" w:rsidRPr="007C60DB" w:rsidRDefault="00DA0A75" w:rsidP="00DA0A75">
    <w:pPr>
      <w:pStyle w:val="Default"/>
      <w:jc w:val="center"/>
      <w:rPr>
        <w:b/>
        <w:bCs/>
        <w:sz w:val="26"/>
        <w:szCs w:val="26"/>
      </w:rPr>
    </w:pPr>
    <w:r w:rsidRPr="007C60DB">
      <w:rPr>
        <w:b/>
        <w:bCs/>
        <w:sz w:val="26"/>
        <w:szCs w:val="26"/>
      </w:rPr>
      <w:t>ATTACHMENT 3</w:t>
    </w:r>
  </w:p>
  <w:p w:rsidR="00DA0A75" w:rsidRPr="007C60DB" w:rsidRDefault="00DA0A75" w:rsidP="00DA0A75">
    <w:pPr>
      <w:keepLines/>
      <w:tabs>
        <w:tab w:val="left" w:pos="1080"/>
        <w:tab w:val="right" w:leader="underscore" w:pos="7200"/>
      </w:tabs>
      <w:jc w:val="center"/>
      <w:rPr>
        <w:rFonts w:ascii="Arial" w:hAnsi="Arial" w:cs="Arial"/>
        <w:b/>
        <w:bCs/>
        <w:sz w:val="26"/>
        <w:szCs w:val="26"/>
      </w:rPr>
    </w:pPr>
    <w:r w:rsidRPr="007C60DB">
      <w:rPr>
        <w:rFonts w:ascii="Arial" w:hAnsi="Arial" w:cs="Arial"/>
        <w:b/>
        <w:bCs/>
        <w:sz w:val="26"/>
        <w:szCs w:val="26"/>
      </w:rPr>
      <w:t xml:space="preserve">Fact Sheet </w:t>
    </w:r>
    <w:r w:rsidR="000B4761" w:rsidRPr="007C60DB">
      <w:rPr>
        <w:rFonts w:ascii="Arial" w:hAnsi="Arial" w:cs="Arial"/>
        <w:b/>
        <w:bCs/>
        <w:sz w:val="26"/>
        <w:szCs w:val="26"/>
      </w:rPr>
      <w:t>Template</w:t>
    </w:r>
  </w:p>
  <w:p w:rsidR="0058727F" w:rsidRPr="00E736F8" w:rsidRDefault="0058727F" w:rsidP="00DA0A75">
    <w:pPr>
      <w:pStyle w:val="Header"/>
      <w:jc w:val="center"/>
      <w:rPr>
        <w:rFonts w:ascii="Arial Bold" w:hAnsi="Arial Bold" w:cs="Arial"/>
        <w:b/>
        <w:smallCaps/>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056" w:rsidRDefault="00722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12B7"/>
    <w:multiLevelType w:val="hybridMultilevel"/>
    <w:tmpl w:val="72B03C06"/>
    <w:lvl w:ilvl="0" w:tplc="FCD2BD78">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6630D"/>
    <w:multiLevelType w:val="hybridMultilevel"/>
    <w:tmpl w:val="84F8C8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3527EE"/>
    <w:multiLevelType w:val="hybridMultilevel"/>
    <w:tmpl w:val="1DD4CC5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6B30EB"/>
    <w:multiLevelType w:val="hybridMultilevel"/>
    <w:tmpl w:val="30DEFA50"/>
    <w:lvl w:ilvl="0" w:tplc="04090001">
      <w:start w:val="1"/>
      <w:numFmt w:val="bullet"/>
      <w:lvlText w:val=""/>
      <w:lvlJc w:val="left"/>
      <w:pPr>
        <w:tabs>
          <w:tab w:val="num" w:pos="216"/>
        </w:tabs>
        <w:ind w:left="216" w:hanging="360"/>
      </w:pPr>
      <w:rPr>
        <w:rFonts w:ascii="Symbol" w:hAnsi="Symbol" w:hint="default"/>
      </w:rPr>
    </w:lvl>
    <w:lvl w:ilvl="1" w:tplc="04090003" w:tentative="1">
      <w:start w:val="1"/>
      <w:numFmt w:val="bullet"/>
      <w:lvlText w:val="o"/>
      <w:lvlJc w:val="left"/>
      <w:pPr>
        <w:tabs>
          <w:tab w:val="num" w:pos="936"/>
        </w:tabs>
        <w:ind w:left="936" w:hanging="360"/>
      </w:pPr>
      <w:rPr>
        <w:rFonts w:ascii="Courier New" w:hAnsi="Courier New" w:cs="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cs="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cs="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4" w15:restartNumberingAfterBreak="0">
    <w:nsid w:val="2CFE405A"/>
    <w:multiLevelType w:val="hybridMultilevel"/>
    <w:tmpl w:val="161803EA"/>
    <w:lvl w:ilvl="0" w:tplc="65B2C1A6">
      <w:start w:val="1"/>
      <w:numFmt w:val="lowerLetter"/>
      <w:lvlText w:val="%1."/>
      <w:lvlJc w:val="left"/>
      <w:pPr>
        <w:ind w:left="648" w:hanging="360"/>
      </w:pPr>
      <w:rPr>
        <w:i w:val="0"/>
        <w:sz w:val="22"/>
        <w:szCs w:val="2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325C2375"/>
    <w:multiLevelType w:val="hybridMultilevel"/>
    <w:tmpl w:val="F500994C"/>
    <w:lvl w:ilvl="0" w:tplc="7C66FAD2">
      <w:start w:val="1"/>
      <w:numFmt w:val="lowerLetter"/>
      <w:lvlText w:val="%1."/>
      <w:lvlJc w:val="left"/>
      <w:pPr>
        <w:ind w:left="720" w:hanging="360"/>
      </w:pPr>
      <w:rPr>
        <w:rFonts w:hint="default"/>
        <w:b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9C423C"/>
    <w:multiLevelType w:val="hybridMultilevel"/>
    <w:tmpl w:val="92BCA900"/>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BAE0DEA"/>
    <w:multiLevelType w:val="hybridMultilevel"/>
    <w:tmpl w:val="0D56E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153478"/>
    <w:multiLevelType w:val="hybridMultilevel"/>
    <w:tmpl w:val="59B287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AA37483"/>
    <w:multiLevelType w:val="hybridMultilevel"/>
    <w:tmpl w:val="31A038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023077"/>
    <w:multiLevelType w:val="hybridMultilevel"/>
    <w:tmpl w:val="DEA29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AA3F0E"/>
    <w:multiLevelType w:val="hybridMultilevel"/>
    <w:tmpl w:val="161803EA"/>
    <w:lvl w:ilvl="0" w:tplc="65B2C1A6">
      <w:start w:val="1"/>
      <w:numFmt w:val="lowerLetter"/>
      <w:lvlText w:val="%1."/>
      <w:lvlJc w:val="left"/>
      <w:pPr>
        <w:ind w:left="648" w:hanging="360"/>
      </w:pPr>
      <w:rPr>
        <w:i w:val="0"/>
        <w:sz w:val="22"/>
        <w:szCs w:val="2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6B417614"/>
    <w:multiLevelType w:val="hybridMultilevel"/>
    <w:tmpl w:val="1ECAACC8"/>
    <w:lvl w:ilvl="0" w:tplc="17FA1284">
      <w:start w:val="1"/>
      <w:numFmt w:val="decimal"/>
      <w:lvlText w:val="%1."/>
      <w:lvlJc w:val="left"/>
      <w:pPr>
        <w:tabs>
          <w:tab w:val="num" w:pos="360"/>
        </w:tabs>
        <w:ind w:left="360" w:hanging="360"/>
      </w:pPr>
      <w:rPr>
        <w:rFonts w:ascii="Arial" w:hAnsi="Arial" w:cs="Arial" w:hint="default"/>
        <w:b/>
        <w:i w:val="0"/>
        <w:strike w:val="0"/>
        <w:color w:val="auto"/>
        <w:sz w:val="24"/>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D831C28"/>
    <w:multiLevelType w:val="hybridMultilevel"/>
    <w:tmpl w:val="161803EA"/>
    <w:lvl w:ilvl="0" w:tplc="65B2C1A6">
      <w:start w:val="1"/>
      <w:numFmt w:val="lowerLetter"/>
      <w:lvlText w:val="%1."/>
      <w:lvlJc w:val="left"/>
      <w:pPr>
        <w:ind w:left="648" w:hanging="360"/>
      </w:pPr>
      <w:rPr>
        <w:i w:val="0"/>
        <w:sz w:val="22"/>
        <w:szCs w:val="2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76B25389"/>
    <w:multiLevelType w:val="hybridMultilevel"/>
    <w:tmpl w:val="FCA051F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604E20"/>
    <w:multiLevelType w:val="hybridMultilevel"/>
    <w:tmpl w:val="EBCA281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3"/>
  </w:num>
  <w:num w:numId="3">
    <w:abstractNumId w:val="10"/>
  </w:num>
  <w:num w:numId="4">
    <w:abstractNumId w:val="12"/>
  </w:num>
  <w:num w:numId="5">
    <w:abstractNumId w:val="0"/>
  </w:num>
  <w:num w:numId="6">
    <w:abstractNumId w:val="5"/>
  </w:num>
  <w:num w:numId="7">
    <w:abstractNumId w:val="4"/>
  </w:num>
  <w:num w:numId="8">
    <w:abstractNumId w:val="11"/>
  </w:num>
  <w:num w:numId="9">
    <w:abstractNumId w:val="13"/>
  </w:num>
  <w:num w:numId="10">
    <w:abstractNumId w:val="7"/>
  </w:num>
  <w:num w:numId="11">
    <w:abstractNumId w:val="2"/>
  </w:num>
  <w:num w:numId="12">
    <w:abstractNumId w:val="8"/>
  </w:num>
  <w:num w:numId="13">
    <w:abstractNumId w:val="1"/>
  </w:num>
  <w:num w:numId="14">
    <w:abstractNumId w:val="15"/>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286"/>
    <w:rsid w:val="00010C32"/>
    <w:rsid w:val="0001481B"/>
    <w:rsid w:val="00015FC3"/>
    <w:rsid w:val="0002180D"/>
    <w:rsid w:val="000221F1"/>
    <w:rsid w:val="00026255"/>
    <w:rsid w:val="00065E8D"/>
    <w:rsid w:val="00072C9D"/>
    <w:rsid w:val="0007601D"/>
    <w:rsid w:val="0008677D"/>
    <w:rsid w:val="00095DB4"/>
    <w:rsid w:val="000977B6"/>
    <w:rsid w:val="000A31D2"/>
    <w:rsid w:val="000A612A"/>
    <w:rsid w:val="000A64E1"/>
    <w:rsid w:val="000A6F8F"/>
    <w:rsid w:val="000B3E1D"/>
    <w:rsid w:val="000B4761"/>
    <w:rsid w:val="000C56C2"/>
    <w:rsid w:val="000C7E71"/>
    <w:rsid w:val="000D302C"/>
    <w:rsid w:val="000D7152"/>
    <w:rsid w:val="000E089F"/>
    <w:rsid w:val="000F1368"/>
    <w:rsid w:val="000F1EC4"/>
    <w:rsid w:val="000F5A8B"/>
    <w:rsid w:val="00101391"/>
    <w:rsid w:val="001063FA"/>
    <w:rsid w:val="001100FF"/>
    <w:rsid w:val="001121BF"/>
    <w:rsid w:val="0011608D"/>
    <w:rsid w:val="00125D68"/>
    <w:rsid w:val="00127E11"/>
    <w:rsid w:val="00130497"/>
    <w:rsid w:val="001321FC"/>
    <w:rsid w:val="001339C5"/>
    <w:rsid w:val="00140D95"/>
    <w:rsid w:val="00141F26"/>
    <w:rsid w:val="00145289"/>
    <w:rsid w:val="00145C63"/>
    <w:rsid w:val="001463CE"/>
    <w:rsid w:val="001469E2"/>
    <w:rsid w:val="001600BE"/>
    <w:rsid w:val="00162600"/>
    <w:rsid w:val="00167948"/>
    <w:rsid w:val="00170387"/>
    <w:rsid w:val="00173953"/>
    <w:rsid w:val="0018351A"/>
    <w:rsid w:val="001845A0"/>
    <w:rsid w:val="001B0C91"/>
    <w:rsid w:val="001B1AB5"/>
    <w:rsid w:val="001B2D80"/>
    <w:rsid w:val="001C0C28"/>
    <w:rsid w:val="001D07FE"/>
    <w:rsid w:val="001D7089"/>
    <w:rsid w:val="001E5E07"/>
    <w:rsid w:val="001F08A3"/>
    <w:rsid w:val="001F7F01"/>
    <w:rsid w:val="00204CBE"/>
    <w:rsid w:val="00220E58"/>
    <w:rsid w:val="00224E73"/>
    <w:rsid w:val="00233D02"/>
    <w:rsid w:val="0024459C"/>
    <w:rsid w:val="00246C50"/>
    <w:rsid w:val="0025061E"/>
    <w:rsid w:val="002545E0"/>
    <w:rsid w:val="00265185"/>
    <w:rsid w:val="0028273B"/>
    <w:rsid w:val="00285901"/>
    <w:rsid w:val="002926CE"/>
    <w:rsid w:val="002B3957"/>
    <w:rsid w:val="002C5C07"/>
    <w:rsid w:val="002C5D5A"/>
    <w:rsid w:val="002D02AF"/>
    <w:rsid w:val="002D28E9"/>
    <w:rsid w:val="002D3BD1"/>
    <w:rsid w:val="002F21B1"/>
    <w:rsid w:val="00307615"/>
    <w:rsid w:val="003142B2"/>
    <w:rsid w:val="00314F22"/>
    <w:rsid w:val="00333FE1"/>
    <w:rsid w:val="0034404B"/>
    <w:rsid w:val="00347785"/>
    <w:rsid w:val="0034784D"/>
    <w:rsid w:val="00360B13"/>
    <w:rsid w:val="00363096"/>
    <w:rsid w:val="00367871"/>
    <w:rsid w:val="00367BAF"/>
    <w:rsid w:val="003760A4"/>
    <w:rsid w:val="00380AEC"/>
    <w:rsid w:val="00380EC2"/>
    <w:rsid w:val="003842EE"/>
    <w:rsid w:val="00385C2D"/>
    <w:rsid w:val="00395DDE"/>
    <w:rsid w:val="0039699B"/>
    <w:rsid w:val="003A216E"/>
    <w:rsid w:val="003A7678"/>
    <w:rsid w:val="003B5117"/>
    <w:rsid w:val="003C014C"/>
    <w:rsid w:val="003F45F3"/>
    <w:rsid w:val="003F4ED5"/>
    <w:rsid w:val="003F590C"/>
    <w:rsid w:val="003F7177"/>
    <w:rsid w:val="0041277E"/>
    <w:rsid w:val="00412903"/>
    <w:rsid w:val="0041646D"/>
    <w:rsid w:val="004176C0"/>
    <w:rsid w:val="00441BB8"/>
    <w:rsid w:val="0044221E"/>
    <w:rsid w:val="0044373F"/>
    <w:rsid w:val="0044621B"/>
    <w:rsid w:val="00457861"/>
    <w:rsid w:val="004779D5"/>
    <w:rsid w:val="00480324"/>
    <w:rsid w:val="0048038B"/>
    <w:rsid w:val="00485905"/>
    <w:rsid w:val="004916A8"/>
    <w:rsid w:val="004A4E94"/>
    <w:rsid w:val="004A6BEF"/>
    <w:rsid w:val="004B53F8"/>
    <w:rsid w:val="004B6206"/>
    <w:rsid w:val="004D2B8C"/>
    <w:rsid w:val="004E75FD"/>
    <w:rsid w:val="004F2A23"/>
    <w:rsid w:val="004F7AB0"/>
    <w:rsid w:val="00522799"/>
    <w:rsid w:val="005414C4"/>
    <w:rsid w:val="00554781"/>
    <w:rsid w:val="00557105"/>
    <w:rsid w:val="00561D29"/>
    <w:rsid w:val="00565391"/>
    <w:rsid w:val="00572153"/>
    <w:rsid w:val="005722BB"/>
    <w:rsid w:val="0057450F"/>
    <w:rsid w:val="0057592B"/>
    <w:rsid w:val="005826A7"/>
    <w:rsid w:val="0058727F"/>
    <w:rsid w:val="00593EC1"/>
    <w:rsid w:val="005A6041"/>
    <w:rsid w:val="005B5BD1"/>
    <w:rsid w:val="005C5CA2"/>
    <w:rsid w:val="005D4061"/>
    <w:rsid w:val="005D59CA"/>
    <w:rsid w:val="005D6685"/>
    <w:rsid w:val="005E0529"/>
    <w:rsid w:val="005F196A"/>
    <w:rsid w:val="00606873"/>
    <w:rsid w:val="00615B97"/>
    <w:rsid w:val="006224A5"/>
    <w:rsid w:val="0062441C"/>
    <w:rsid w:val="006261BD"/>
    <w:rsid w:val="006305BF"/>
    <w:rsid w:val="006310B1"/>
    <w:rsid w:val="0063326F"/>
    <w:rsid w:val="00636B5E"/>
    <w:rsid w:val="00640704"/>
    <w:rsid w:val="00643E21"/>
    <w:rsid w:val="0065323E"/>
    <w:rsid w:val="006624A4"/>
    <w:rsid w:val="00663D53"/>
    <w:rsid w:val="006674B2"/>
    <w:rsid w:val="006729BB"/>
    <w:rsid w:val="00676C2F"/>
    <w:rsid w:val="006803FD"/>
    <w:rsid w:val="00681480"/>
    <w:rsid w:val="00683BD3"/>
    <w:rsid w:val="00684F13"/>
    <w:rsid w:val="0068642A"/>
    <w:rsid w:val="00690429"/>
    <w:rsid w:val="006909D7"/>
    <w:rsid w:val="0069191B"/>
    <w:rsid w:val="00693D15"/>
    <w:rsid w:val="006A2861"/>
    <w:rsid w:val="006C190C"/>
    <w:rsid w:val="006D202F"/>
    <w:rsid w:val="006D70BB"/>
    <w:rsid w:val="006E291E"/>
    <w:rsid w:val="006E43EC"/>
    <w:rsid w:val="006E45BF"/>
    <w:rsid w:val="006E5D57"/>
    <w:rsid w:val="00701076"/>
    <w:rsid w:val="00704758"/>
    <w:rsid w:val="007060DA"/>
    <w:rsid w:val="00706B7A"/>
    <w:rsid w:val="00710599"/>
    <w:rsid w:val="00717BA2"/>
    <w:rsid w:val="00722056"/>
    <w:rsid w:val="00731477"/>
    <w:rsid w:val="007325CE"/>
    <w:rsid w:val="00734F98"/>
    <w:rsid w:val="00735A7C"/>
    <w:rsid w:val="007428F8"/>
    <w:rsid w:val="00756777"/>
    <w:rsid w:val="00763039"/>
    <w:rsid w:val="00771F65"/>
    <w:rsid w:val="00773B03"/>
    <w:rsid w:val="00773B0B"/>
    <w:rsid w:val="007835C7"/>
    <w:rsid w:val="00785C13"/>
    <w:rsid w:val="00786487"/>
    <w:rsid w:val="00787CD9"/>
    <w:rsid w:val="0079170D"/>
    <w:rsid w:val="007936A8"/>
    <w:rsid w:val="00794F52"/>
    <w:rsid w:val="007963E5"/>
    <w:rsid w:val="007B1ABC"/>
    <w:rsid w:val="007C1BC0"/>
    <w:rsid w:val="007C35CB"/>
    <w:rsid w:val="007C60DB"/>
    <w:rsid w:val="007E579D"/>
    <w:rsid w:val="007F07E9"/>
    <w:rsid w:val="008040BC"/>
    <w:rsid w:val="00804CBD"/>
    <w:rsid w:val="00806C34"/>
    <w:rsid w:val="008105A3"/>
    <w:rsid w:val="0081112F"/>
    <w:rsid w:val="008150A3"/>
    <w:rsid w:val="00815EB9"/>
    <w:rsid w:val="00816C7C"/>
    <w:rsid w:val="00820A7E"/>
    <w:rsid w:val="0082261B"/>
    <w:rsid w:val="00840916"/>
    <w:rsid w:val="0084523A"/>
    <w:rsid w:val="00851A54"/>
    <w:rsid w:val="00855286"/>
    <w:rsid w:val="00856EC6"/>
    <w:rsid w:val="00862B25"/>
    <w:rsid w:val="0086384C"/>
    <w:rsid w:val="00876F21"/>
    <w:rsid w:val="00880BFE"/>
    <w:rsid w:val="008837D0"/>
    <w:rsid w:val="008906B8"/>
    <w:rsid w:val="008913A9"/>
    <w:rsid w:val="008A48F1"/>
    <w:rsid w:val="008B28F3"/>
    <w:rsid w:val="008B6A98"/>
    <w:rsid w:val="008E19AC"/>
    <w:rsid w:val="008E572D"/>
    <w:rsid w:val="008E75CE"/>
    <w:rsid w:val="008F385E"/>
    <w:rsid w:val="008F60B4"/>
    <w:rsid w:val="008F6EEE"/>
    <w:rsid w:val="00901C47"/>
    <w:rsid w:val="00915C43"/>
    <w:rsid w:val="0092268F"/>
    <w:rsid w:val="00923005"/>
    <w:rsid w:val="0092451E"/>
    <w:rsid w:val="00950DDD"/>
    <w:rsid w:val="00953B58"/>
    <w:rsid w:val="00956EB4"/>
    <w:rsid w:val="00960FC0"/>
    <w:rsid w:val="009613AB"/>
    <w:rsid w:val="0096498A"/>
    <w:rsid w:val="00973440"/>
    <w:rsid w:val="0097518A"/>
    <w:rsid w:val="00982083"/>
    <w:rsid w:val="009A21C3"/>
    <w:rsid w:val="009A2649"/>
    <w:rsid w:val="009A3A19"/>
    <w:rsid w:val="009A681A"/>
    <w:rsid w:val="009A7671"/>
    <w:rsid w:val="009B6D1D"/>
    <w:rsid w:val="009B6F3E"/>
    <w:rsid w:val="009B7284"/>
    <w:rsid w:val="009C0C10"/>
    <w:rsid w:val="009D24A3"/>
    <w:rsid w:val="009E717D"/>
    <w:rsid w:val="009E7E53"/>
    <w:rsid w:val="00A00996"/>
    <w:rsid w:val="00A04C5A"/>
    <w:rsid w:val="00A26D12"/>
    <w:rsid w:val="00A33B16"/>
    <w:rsid w:val="00A43E0A"/>
    <w:rsid w:val="00A54F20"/>
    <w:rsid w:val="00A66349"/>
    <w:rsid w:val="00A71FBE"/>
    <w:rsid w:val="00A73EBE"/>
    <w:rsid w:val="00A74E3E"/>
    <w:rsid w:val="00A832AA"/>
    <w:rsid w:val="00A85A1A"/>
    <w:rsid w:val="00A86612"/>
    <w:rsid w:val="00A95062"/>
    <w:rsid w:val="00AA0333"/>
    <w:rsid w:val="00AB00C9"/>
    <w:rsid w:val="00AB0472"/>
    <w:rsid w:val="00AB784C"/>
    <w:rsid w:val="00AC1EA2"/>
    <w:rsid w:val="00AD053C"/>
    <w:rsid w:val="00AD29E1"/>
    <w:rsid w:val="00AD6239"/>
    <w:rsid w:val="00AE2917"/>
    <w:rsid w:val="00AF23C0"/>
    <w:rsid w:val="00AF31D3"/>
    <w:rsid w:val="00AF7617"/>
    <w:rsid w:val="00B071D7"/>
    <w:rsid w:val="00B07D42"/>
    <w:rsid w:val="00B12510"/>
    <w:rsid w:val="00B128EC"/>
    <w:rsid w:val="00B17A5E"/>
    <w:rsid w:val="00B34B75"/>
    <w:rsid w:val="00B4504A"/>
    <w:rsid w:val="00B47AED"/>
    <w:rsid w:val="00B569AF"/>
    <w:rsid w:val="00B76A54"/>
    <w:rsid w:val="00B8231A"/>
    <w:rsid w:val="00B94D4C"/>
    <w:rsid w:val="00B963F1"/>
    <w:rsid w:val="00BA2122"/>
    <w:rsid w:val="00BA2904"/>
    <w:rsid w:val="00BB3C4D"/>
    <w:rsid w:val="00BB7C72"/>
    <w:rsid w:val="00BC2535"/>
    <w:rsid w:val="00BC4C95"/>
    <w:rsid w:val="00BD7F6D"/>
    <w:rsid w:val="00BE7CD6"/>
    <w:rsid w:val="00BF1DF4"/>
    <w:rsid w:val="00BF23AD"/>
    <w:rsid w:val="00C029E0"/>
    <w:rsid w:val="00C063EA"/>
    <w:rsid w:val="00C06BEB"/>
    <w:rsid w:val="00C07D9B"/>
    <w:rsid w:val="00C12AB0"/>
    <w:rsid w:val="00C16998"/>
    <w:rsid w:val="00C25361"/>
    <w:rsid w:val="00C41B50"/>
    <w:rsid w:val="00C46A48"/>
    <w:rsid w:val="00C55BF7"/>
    <w:rsid w:val="00C569FF"/>
    <w:rsid w:val="00C82178"/>
    <w:rsid w:val="00C9304A"/>
    <w:rsid w:val="00C93A20"/>
    <w:rsid w:val="00CA3965"/>
    <w:rsid w:val="00CA4C12"/>
    <w:rsid w:val="00CB35B7"/>
    <w:rsid w:val="00CB634C"/>
    <w:rsid w:val="00CB67F9"/>
    <w:rsid w:val="00CC16AE"/>
    <w:rsid w:val="00CD3171"/>
    <w:rsid w:val="00CE2B54"/>
    <w:rsid w:val="00CF27EC"/>
    <w:rsid w:val="00CF5FE7"/>
    <w:rsid w:val="00CF6E5A"/>
    <w:rsid w:val="00D05265"/>
    <w:rsid w:val="00D15796"/>
    <w:rsid w:val="00D1690A"/>
    <w:rsid w:val="00D16C38"/>
    <w:rsid w:val="00D25B82"/>
    <w:rsid w:val="00D307EC"/>
    <w:rsid w:val="00D329CC"/>
    <w:rsid w:val="00D346F1"/>
    <w:rsid w:val="00D36F9D"/>
    <w:rsid w:val="00D43602"/>
    <w:rsid w:val="00D44A56"/>
    <w:rsid w:val="00D45F5F"/>
    <w:rsid w:val="00D500E5"/>
    <w:rsid w:val="00D50DFF"/>
    <w:rsid w:val="00D61E61"/>
    <w:rsid w:val="00D631E2"/>
    <w:rsid w:val="00D70641"/>
    <w:rsid w:val="00D739A3"/>
    <w:rsid w:val="00D747C8"/>
    <w:rsid w:val="00D81EA4"/>
    <w:rsid w:val="00D83E6F"/>
    <w:rsid w:val="00D8509B"/>
    <w:rsid w:val="00D854F9"/>
    <w:rsid w:val="00D91FFB"/>
    <w:rsid w:val="00D9517E"/>
    <w:rsid w:val="00DA0A75"/>
    <w:rsid w:val="00DA66BC"/>
    <w:rsid w:val="00DB7C8B"/>
    <w:rsid w:val="00DC1AA3"/>
    <w:rsid w:val="00DD1078"/>
    <w:rsid w:val="00DD2545"/>
    <w:rsid w:val="00DD2834"/>
    <w:rsid w:val="00DE3F2B"/>
    <w:rsid w:val="00DE42A0"/>
    <w:rsid w:val="00DF16B2"/>
    <w:rsid w:val="00DF18ED"/>
    <w:rsid w:val="00DF229B"/>
    <w:rsid w:val="00E1174C"/>
    <w:rsid w:val="00E12F94"/>
    <w:rsid w:val="00E16F39"/>
    <w:rsid w:val="00E22B0A"/>
    <w:rsid w:val="00E22F4D"/>
    <w:rsid w:val="00E25635"/>
    <w:rsid w:val="00E26124"/>
    <w:rsid w:val="00E261F3"/>
    <w:rsid w:val="00E30610"/>
    <w:rsid w:val="00E30E54"/>
    <w:rsid w:val="00E35364"/>
    <w:rsid w:val="00E45742"/>
    <w:rsid w:val="00E62B85"/>
    <w:rsid w:val="00E736F8"/>
    <w:rsid w:val="00E760A3"/>
    <w:rsid w:val="00E85119"/>
    <w:rsid w:val="00EA0B95"/>
    <w:rsid w:val="00EA540A"/>
    <w:rsid w:val="00EC421C"/>
    <w:rsid w:val="00ED6899"/>
    <w:rsid w:val="00EE1AFE"/>
    <w:rsid w:val="00EE2816"/>
    <w:rsid w:val="00EF1317"/>
    <w:rsid w:val="00F04F5E"/>
    <w:rsid w:val="00F0519A"/>
    <w:rsid w:val="00F1414D"/>
    <w:rsid w:val="00F15EE2"/>
    <w:rsid w:val="00F2733F"/>
    <w:rsid w:val="00F303D9"/>
    <w:rsid w:val="00F327C6"/>
    <w:rsid w:val="00F32D93"/>
    <w:rsid w:val="00F46D0E"/>
    <w:rsid w:val="00F47CD9"/>
    <w:rsid w:val="00F47FED"/>
    <w:rsid w:val="00F500C8"/>
    <w:rsid w:val="00F54F6F"/>
    <w:rsid w:val="00F678FA"/>
    <w:rsid w:val="00F7078F"/>
    <w:rsid w:val="00F724DE"/>
    <w:rsid w:val="00F90600"/>
    <w:rsid w:val="00FA2DAC"/>
    <w:rsid w:val="00FB400E"/>
    <w:rsid w:val="00FB4032"/>
    <w:rsid w:val="00FC0654"/>
    <w:rsid w:val="00FC235F"/>
    <w:rsid w:val="00FC5E6A"/>
    <w:rsid w:val="00FC6A9D"/>
    <w:rsid w:val="00FE0020"/>
    <w:rsid w:val="00FE23D4"/>
    <w:rsid w:val="00FF3748"/>
    <w:rsid w:val="00FF5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34408217"/>
  <w15:docId w15:val="{514DEBBE-6618-4B5C-AF8A-022D3C6EF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B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3E0A"/>
    <w:pPr>
      <w:tabs>
        <w:tab w:val="center" w:pos="4320"/>
        <w:tab w:val="right" w:pos="8640"/>
      </w:tabs>
    </w:pPr>
  </w:style>
  <w:style w:type="paragraph" w:styleId="Footer">
    <w:name w:val="footer"/>
    <w:basedOn w:val="Normal"/>
    <w:link w:val="FooterChar"/>
    <w:uiPriority w:val="99"/>
    <w:rsid w:val="00A43E0A"/>
    <w:pPr>
      <w:tabs>
        <w:tab w:val="center" w:pos="4320"/>
        <w:tab w:val="right" w:pos="8640"/>
      </w:tabs>
    </w:pPr>
  </w:style>
  <w:style w:type="table" w:styleId="TableGrid">
    <w:name w:val="Table Grid"/>
    <w:basedOn w:val="TableNormal"/>
    <w:rsid w:val="00A43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83BD3"/>
    <w:rPr>
      <w:rFonts w:ascii="Tahoma" w:hAnsi="Tahoma" w:cs="Tahoma"/>
      <w:sz w:val="16"/>
      <w:szCs w:val="16"/>
    </w:rPr>
  </w:style>
  <w:style w:type="character" w:customStyle="1" w:styleId="HeaderChar">
    <w:name w:val="Header Char"/>
    <w:basedOn w:val="DefaultParagraphFont"/>
    <w:link w:val="Header"/>
    <w:rsid w:val="003A216E"/>
    <w:rPr>
      <w:sz w:val="24"/>
      <w:szCs w:val="24"/>
    </w:rPr>
  </w:style>
  <w:style w:type="character" w:customStyle="1" w:styleId="FooterChar">
    <w:name w:val="Footer Char"/>
    <w:basedOn w:val="DefaultParagraphFont"/>
    <w:link w:val="Footer"/>
    <w:uiPriority w:val="99"/>
    <w:rsid w:val="003A216E"/>
    <w:rPr>
      <w:sz w:val="24"/>
      <w:szCs w:val="24"/>
    </w:rPr>
  </w:style>
  <w:style w:type="character" w:customStyle="1" w:styleId="BalloonTextChar">
    <w:name w:val="Balloon Text Char"/>
    <w:basedOn w:val="DefaultParagraphFont"/>
    <w:link w:val="BalloonText"/>
    <w:semiHidden/>
    <w:rsid w:val="003A216E"/>
    <w:rPr>
      <w:rFonts w:ascii="Tahoma" w:hAnsi="Tahoma" w:cs="Tahoma"/>
      <w:sz w:val="16"/>
      <w:szCs w:val="16"/>
    </w:rPr>
  </w:style>
  <w:style w:type="character" w:styleId="PlaceholderText">
    <w:name w:val="Placeholder Text"/>
    <w:basedOn w:val="DefaultParagraphFont"/>
    <w:uiPriority w:val="99"/>
    <w:semiHidden/>
    <w:rsid w:val="003A216E"/>
    <w:rPr>
      <w:color w:val="808080"/>
    </w:rPr>
  </w:style>
  <w:style w:type="paragraph" w:styleId="BodyText2">
    <w:name w:val="Body Text 2"/>
    <w:basedOn w:val="Normal"/>
    <w:link w:val="BodyText2Char"/>
    <w:rsid w:val="00E736F8"/>
    <w:pPr>
      <w:ind w:right="288"/>
    </w:pPr>
    <w:rPr>
      <w:sz w:val="22"/>
      <w:szCs w:val="20"/>
    </w:rPr>
  </w:style>
  <w:style w:type="character" w:customStyle="1" w:styleId="BodyText2Char">
    <w:name w:val="Body Text 2 Char"/>
    <w:basedOn w:val="DefaultParagraphFont"/>
    <w:link w:val="BodyText2"/>
    <w:rsid w:val="00E736F8"/>
    <w:rPr>
      <w:sz w:val="22"/>
    </w:rPr>
  </w:style>
  <w:style w:type="character" w:styleId="PageNumber">
    <w:name w:val="page number"/>
    <w:basedOn w:val="DefaultParagraphFont"/>
    <w:rsid w:val="00C46A48"/>
  </w:style>
  <w:style w:type="character" w:styleId="CommentReference">
    <w:name w:val="annotation reference"/>
    <w:basedOn w:val="DefaultParagraphFont"/>
    <w:uiPriority w:val="99"/>
    <w:semiHidden/>
    <w:unhideWhenUsed/>
    <w:rsid w:val="00787CD9"/>
    <w:rPr>
      <w:sz w:val="16"/>
      <w:szCs w:val="16"/>
    </w:rPr>
  </w:style>
  <w:style w:type="paragraph" w:styleId="CommentText">
    <w:name w:val="annotation text"/>
    <w:basedOn w:val="Normal"/>
    <w:link w:val="CommentTextChar"/>
    <w:uiPriority w:val="99"/>
    <w:unhideWhenUsed/>
    <w:rsid w:val="00787CD9"/>
    <w:rPr>
      <w:sz w:val="20"/>
      <w:szCs w:val="20"/>
    </w:rPr>
  </w:style>
  <w:style w:type="character" w:customStyle="1" w:styleId="CommentTextChar">
    <w:name w:val="Comment Text Char"/>
    <w:basedOn w:val="DefaultParagraphFont"/>
    <w:link w:val="CommentText"/>
    <w:uiPriority w:val="99"/>
    <w:rsid w:val="00787CD9"/>
  </w:style>
  <w:style w:type="paragraph" w:styleId="CommentSubject">
    <w:name w:val="annotation subject"/>
    <w:basedOn w:val="CommentText"/>
    <w:next w:val="CommentText"/>
    <w:link w:val="CommentSubjectChar"/>
    <w:uiPriority w:val="99"/>
    <w:semiHidden/>
    <w:unhideWhenUsed/>
    <w:rsid w:val="00787CD9"/>
    <w:rPr>
      <w:b/>
      <w:bCs/>
    </w:rPr>
  </w:style>
  <w:style w:type="character" w:customStyle="1" w:styleId="CommentSubjectChar">
    <w:name w:val="Comment Subject Char"/>
    <w:basedOn w:val="CommentTextChar"/>
    <w:link w:val="CommentSubject"/>
    <w:uiPriority w:val="99"/>
    <w:semiHidden/>
    <w:rsid w:val="00787CD9"/>
    <w:rPr>
      <w:b/>
      <w:bCs/>
    </w:rPr>
  </w:style>
  <w:style w:type="paragraph" w:styleId="Revision">
    <w:name w:val="Revision"/>
    <w:hidden/>
    <w:uiPriority w:val="99"/>
    <w:semiHidden/>
    <w:rsid w:val="00385C2D"/>
    <w:rPr>
      <w:sz w:val="24"/>
      <w:szCs w:val="24"/>
    </w:rPr>
  </w:style>
  <w:style w:type="character" w:customStyle="1" w:styleId="Style10pt">
    <w:name w:val="Style 10 pt"/>
    <w:basedOn w:val="DefaultParagraphFont"/>
    <w:rsid w:val="009E717D"/>
    <w:rPr>
      <w:rFonts w:ascii="Arial" w:hAnsi="Arial"/>
      <w:sz w:val="22"/>
    </w:rPr>
  </w:style>
  <w:style w:type="table" w:customStyle="1" w:styleId="LightShading1">
    <w:name w:val="Light Shading1"/>
    <w:basedOn w:val="TableNormal"/>
    <w:uiPriority w:val="60"/>
    <w:rsid w:val="009E717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FootnoteText">
    <w:name w:val="footnote text"/>
    <w:basedOn w:val="Normal"/>
    <w:link w:val="FootnoteTextChar"/>
    <w:uiPriority w:val="99"/>
    <w:semiHidden/>
    <w:rsid w:val="00E45742"/>
    <w:pPr>
      <w:spacing w:after="120"/>
    </w:pPr>
    <w:rPr>
      <w:rFonts w:ascii="Arial" w:hAnsi="Arial" w:cs="Arial"/>
      <w:sz w:val="20"/>
      <w:szCs w:val="20"/>
    </w:rPr>
  </w:style>
  <w:style w:type="character" w:customStyle="1" w:styleId="FootnoteTextChar">
    <w:name w:val="Footnote Text Char"/>
    <w:basedOn w:val="DefaultParagraphFont"/>
    <w:link w:val="FootnoteText"/>
    <w:uiPriority w:val="99"/>
    <w:semiHidden/>
    <w:rsid w:val="00E45742"/>
    <w:rPr>
      <w:rFonts w:ascii="Arial" w:hAnsi="Arial" w:cs="Arial"/>
    </w:rPr>
  </w:style>
  <w:style w:type="character" w:styleId="FootnoteReference">
    <w:name w:val="footnote reference"/>
    <w:rsid w:val="00E45742"/>
    <w:rPr>
      <w:vertAlign w:val="superscript"/>
    </w:rPr>
  </w:style>
  <w:style w:type="paragraph" w:styleId="ListParagraph">
    <w:name w:val="List Paragraph"/>
    <w:basedOn w:val="Normal"/>
    <w:uiPriority w:val="34"/>
    <w:qFormat/>
    <w:rsid w:val="00E45742"/>
    <w:pPr>
      <w:spacing w:after="120"/>
      <w:ind w:left="720"/>
    </w:pPr>
    <w:rPr>
      <w:rFonts w:ascii="Arial" w:hAnsi="Arial" w:cs="Arial"/>
      <w:sz w:val="22"/>
      <w:szCs w:val="20"/>
    </w:rPr>
  </w:style>
  <w:style w:type="paragraph" w:customStyle="1" w:styleId="Default">
    <w:name w:val="Default"/>
    <w:uiPriority w:val="99"/>
    <w:rsid w:val="002926CE"/>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143121">
      <w:bodyDiv w:val="1"/>
      <w:marLeft w:val="0"/>
      <w:marRight w:val="0"/>
      <w:marTop w:val="0"/>
      <w:marBottom w:val="0"/>
      <w:divBdr>
        <w:top w:val="none" w:sz="0" w:space="0" w:color="auto"/>
        <w:left w:val="none" w:sz="0" w:space="0" w:color="auto"/>
        <w:bottom w:val="none" w:sz="0" w:space="0" w:color="auto"/>
        <w:right w:val="none" w:sz="0" w:space="0" w:color="auto"/>
      </w:divBdr>
    </w:div>
    <w:div w:id="333647224">
      <w:bodyDiv w:val="1"/>
      <w:marLeft w:val="0"/>
      <w:marRight w:val="0"/>
      <w:marTop w:val="0"/>
      <w:marBottom w:val="0"/>
      <w:divBdr>
        <w:top w:val="none" w:sz="0" w:space="0" w:color="auto"/>
        <w:left w:val="none" w:sz="0" w:space="0" w:color="auto"/>
        <w:bottom w:val="none" w:sz="0" w:space="0" w:color="auto"/>
        <w:right w:val="none" w:sz="0" w:space="0" w:color="auto"/>
      </w:divBdr>
    </w:div>
    <w:div w:id="854927384">
      <w:bodyDiv w:val="1"/>
      <w:marLeft w:val="0"/>
      <w:marRight w:val="0"/>
      <w:marTop w:val="0"/>
      <w:marBottom w:val="0"/>
      <w:divBdr>
        <w:top w:val="none" w:sz="0" w:space="0" w:color="auto"/>
        <w:left w:val="none" w:sz="0" w:space="0" w:color="auto"/>
        <w:bottom w:val="none" w:sz="0" w:space="0" w:color="auto"/>
        <w:right w:val="none" w:sz="0" w:space="0" w:color="auto"/>
      </w:divBdr>
    </w:div>
    <w:div w:id="131163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rgrant\LOCALS~1\Temp\XPgrpwise\CEC9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A0DD5-CE8B-4C39-913C-52031348A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CEC94.dotm</Template>
  <TotalTime>0</TotalTime>
  <Pages>2</Pages>
  <Words>775</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Work Order Number:</vt:lpstr>
    </vt:vector>
  </TitlesOfParts>
  <Company>California Energy Commission</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Order Number:</dc:title>
  <dc:subject/>
  <dc:creator>rgrant</dc:creator>
  <cp:keywords/>
  <dc:description/>
  <cp:lastModifiedBy>Lundeen, Albert@Energy</cp:lastModifiedBy>
  <cp:revision>2</cp:revision>
  <cp:lastPrinted>2015-11-13T22:23:00Z</cp:lastPrinted>
  <dcterms:created xsi:type="dcterms:W3CDTF">2019-12-24T16:50:00Z</dcterms:created>
  <dcterms:modified xsi:type="dcterms:W3CDTF">2019-12-24T16:50:00Z</dcterms:modified>
</cp:coreProperties>
</file>