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529" w:rsidRDefault="009C1529" w:rsidP="009C1529">
      <w:pPr>
        <w:tabs>
          <w:tab w:val="right" w:pos="10980"/>
        </w:tabs>
        <w:rPr>
          <w:rFonts w:ascii="Arial" w:hAnsi="Arial"/>
          <w:sz w:val="14"/>
        </w:rPr>
      </w:pPr>
      <w:r>
        <w:rPr>
          <w:rFonts w:ascii="Arial" w:hAnsi="Arial"/>
          <w:sz w:val="14"/>
        </w:rPr>
        <w:t xml:space="preserve">STATE OF CALIFORNIA – </w:t>
      </w:r>
      <w:r w:rsidR="00DD12EA">
        <w:rPr>
          <w:rFonts w:ascii="Arial" w:hAnsi="Arial"/>
          <w:sz w:val="14"/>
        </w:rPr>
        <w:t>NATURAL RESOURCES AGENCY</w:t>
      </w:r>
      <w:r>
        <w:rPr>
          <w:rFonts w:ascii="Arial" w:hAnsi="Arial"/>
          <w:sz w:val="14"/>
        </w:rPr>
        <w:tab/>
      </w:r>
      <w:r w:rsidR="00AB55CC">
        <w:rPr>
          <w:rFonts w:ascii="Arial" w:hAnsi="Arial"/>
          <w:sz w:val="14"/>
        </w:rPr>
        <w:t>EDMUND G. BROWN JR.</w:t>
      </w:r>
      <w:r>
        <w:rPr>
          <w:rFonts w:ascii="Arial" w:hAnsi="Arial"/>
          <w:sz w:val="14"/>
        </w:rPr>
        <w:t xml:space="preserve">, </w:t>
      </w:r>
      <w:r>
        <w:rPr>
          <w:rFonts w:ascii="Arial" w:hAnsi="Arial"/>
          <w:i/>
          <w:sz w:val="14"/>
        </w:rPr>
        <w:t>Governor</w:t>
      </w:r>
    </w:p>
    <w:p w:rsidR="009C1529" w:rsidRDefault="00822467" w:rsidP="009C1529">
      <w:pPr>
        <w:tabs>
          <w:tab w:val="right" w:pos="11160"/>
        </w:tabs>
        <w:rPr>
          <w:rFonts w:ascii="Arial" w:hAnsi="Arial"/>
          <w:sz w:val="14"/>
        </w:rPr>
      </w:pPr>
      <w:r w:rsidRPr="00DC0E8D">
        <w:rPr>
          <w:rFonts w:ascii="Arial" w:hAnsi="Arial"/>
          <w:noProof/>
          <w:sz w:val="20"/>
        </w:rPr>
        <mc:AlternateContent>
          <mc:Choice Requires="wps">
            <w:drawing>
              <wp:anchor distT="0" distB="0" distL="114300" distR="114300" simplePos="0" relativeHeight="251657216" behindDoc="0" locked="1" layoutInCell="0" allowOverlap="1">
                <wp:simplePos x="0" y="0"/>
                <wp:positionH relativeFrom="column">
                  <wp:posOffset>0</wp:posOffset>
                </wp:positionH>
                <wp:positionV relativeFrom="page">
                  <wp:posOffset>596900</wp:posOffset>
                </wp:positionV>
                <wp:extent cx="3314700" cy="568960"/>
                <wp:effectExtent l="381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916" w:rsidRDefault="00904916" w:rsidP="009C1529">
                            <w:pPr>
                              <w:tabs>
                                <w:tab w:val="left" w:pos="10080"/>
                              </w:tabs>
                              <w:jc w:val="both"/>
                              <w:rPr>
                                <w:rFonts w:ascii="Arial" w:hAnsi="Arial"/>
                              </w:rPr>
                            </w:pPr>
                            <w:r>
                              <w:rPr>
                                <w:rFonts w:ascii="Arial" w:hAnsi="Arial"/>
                              </w:rPr>
                              <w:t>CALIFORNIA ENERGY COMMISSION</w:t>
                            </w:r>
                          </w:p>
                          <w:p w:rsidR="00904916" w:rsidRDefault="00904916" w:rsidP="009C1529">
                            <w:pPr>
                              <w:jc w:val="both"/>
                              <w:rPr>
                                <w:rFonts w:ascii="Arial" w:hAnsi="Arial"/>
                                <w:sz w:val="14"/>
                              </w:rPr>
                            </w:pPr>
                            <w:r>
                              <w:rPr>
                                <w:rFonts w:ascii="Arial" w:hAnsi="Arial"/>
                                <w:sz w:val="14"/>
                              </w:rPr>
                              <w:t>1516 NINTH STREET</w:t>
                            </w:r>
                          </w:p>
                          <w:p w:rsidR="00904916" w:rsidRDefault="00904916" w:rsidP="009C1529">
                            <w:pPr>
                              <w:jc w:val="both"/>
                              <w:rPr>
                                <w:rFonts w:ascii="Arial" w:hAnsi="Arial"/>
                                <w:sz w:val="14"/>
                              </w:rPr>
                            </w:pPr>
                            <w:r>
                              <w:rPr>
                                <w:rFonts w:ascii="Arial" w:hAnsi="Arial"/>
                                <w:sz w:val="14"/>
                              </w:rPr>
                              <w:t>SACRAMENTO, CA  95814-5512</w:t>
                            </w:r>
                          </w:p>
                          <w:p w:rsidR="00904916" w:rsidRDefault="00904916" w:rsidP="009C1529">
                            <w:pPr>
                              <w:jc w:val="both"/>
                              <w:rPr>
                                <w:rFonts w:ascii="Arial" w:hAnsi="Arial"/>
                                <w:sz w:val="14"/>
                              </w:rPr>
                            </w:pPr>
                            <w:r>
                              <w:rPr>
                                <w:rFonts w:ascii="Arial" w:hAnsi="Arial"/>
                                <w:sz w:val="14"/>
                              </w:rPr>
                              <w:t>www.energy.ca.gov</w:t>
                            </w:r>
                          </w:p>
                          <w:p w:rsidR="00904916" w:rsidRDefault="00904916" w:rsidP="009C1529">
                            <w:pPr>
                              <w:jc w:val="both"/>
                            </w:pP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47pt;width:261pt;height:4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" o:allowincell="f" filled="f" stroked="f">
                <v:textbox inset="0,0">
                  <w:txbxContent>
                    <w:p w:rsidR="00904916" w:rsidRDefault="00904916" w:rsidP="009C1529">
                      <w:pPr>
                        <w:tabs>
                          <w:tab w:val="left" w:pos="10080"/>
                        </w:tabs>
                        <w:jc w:val="both"/>
                        <w:rPr>
                          <w:rFonts w:ascii="Arial" w:hAnsi="Arial"/>
                        </w:rPr>
                      </w:pPr>
                      <w:r>
                        <w:rPr>
                          <w:rFonts w:ascii="Arial" w:hAnsi="Arial"/>
                        </w:rPr>
                        <w:t>CALIFORNIA ENERGY COMMISSION</w:t>
                      </w:r>
                    </w:p>
                    <w:p w:rsidR="00904916" w:rsidRDefault="00904916" w:rsidP="009C1529">
                      <w:pPr>
                        <w:jc w:val="both"/>
                        <w:rPr>
                          <w:rFonts w:ascii="Arial" w:hAnsi="Arial"/>
                          <w:sz w:val="14"/>
                        </w:rPr>
                      </w:pPr>
                      <w:r>
                        <w:rPr>
                          <w:rFonts w:ascii="Arial" w:hAnsi="Arial"/>
                          <w:sz w:val="14"/>
                        </w:rPr>
                        <w:t>1516 NINTH STREET</w:t>
                      </w:r>
                    </w:p>
                    <w:p w:rsidR="00904916" w:rsidRDefault="00904916" w:rsidP="009C1529">
                      <w:pPr>
                        <w:jc w:val="both"/>
                        <w:rPr>
                          <w:rFonts w:ascii="Arial" w:hAnsi="Arial"/>
                          <w:sz w:val="14"/>
                        </w:rPr>
                      </w:pPr>
                      <w:r>
                        <w:rPr>
                          <w:rFonts w:ascii="Arial" w:hAnsi="Arial"/>
                          <w:sz w:val="14"/>
                        </w:rPr>
                        <w:t>SACRAMENTO, CA  95814-5512</w:t>
                      </w:r>
                    </w:p>
                    <w:p w:rsidR="00904916" w:rsidRDefault="00904916" w:rsidP="009C1529">
                      <w:pPr>
                        <w:jc w:val="both"/>
                        <w:rPr>
                          <w:rFonts w:ascii="Arial" w:hAnsi="Arial"/>
                          <w:sz w:val="14"/>
                        </w:rPr>
                      </w:pPr>
                      <w:r>
                        <w:rPr>
                          <w:rFonts w:ascii="Arial" w:hAnsi="Arial"/>
                          <w:sz w:val="14"/>
                        </w:rPr>
                        <w:t>www.energy.ca.gov</w:t>
                      </w:r>
                    </w:p>
                    <w:p w:rsidR="00904916" w:rsidRDefault="00904916" w:rsidP="009C1529">
                      <w:pPr>
                        <w:jc w:val="both"/>
                      </w:pPr>
                    </w:p>
                  </w:txbxContent>
                </v:textbox>
                <w10:wrap anchory="page"/>
                <w10:anchorlock/>
              </v:shape>
            </w:pict>
          </mc:Fallback>
        </mc:AlternateContent>
      </w:r>
    </w:p>
    <w:p w:rsidR="009C1529" w:rsidRDefault="00822467" w:rsidP="009C1529">
      <w:pPr>
        <w:rPr>
          <w:rFonts w:ascii="Arial" w:hAnsi="Arial"/>
          <w:sz w:val="20"/>
        </w:rPr>
      </w:pPr>
      <w:r w:rsidRPr="00DC0E8D">
        <w:rPr>
          <w:noProof/>
        </w:rPr>
        <mc:AlternateContent>
          <mc:Choice Requires="wps">
            <w:drawing>
              <wp:anchor distT="0" distB="0" distL="114300" distR="114300" simplePos="0" relativeHeight="251659264" behindDoc="0" locked="1" layoutInCell="0" allowOverlap="1">
                <wp:simplePos x="0" y="0"/>
                <wp:positionH relativeFrom="column">
                  <wp:posOffset>9525</wp:posOffset>
                </wp:positionH>
                <wp:positionV relativeFrom="page">
                  <wp:posOffset>523875</wp:posOffset>
                </wp:positionV>
                <wp:extent cx="6981825" cy="0"/>
                <wp:effectExtent l="13335" t="9525" r="5715" b="9525"/>
                <wp:wrapNone/>
                <wp:docPr id="2" name="Line 5" descr="&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123ED" id="Line 5" o:spid="_x0000_s1026" al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41.25pt" to="550.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" o:allowincell="f" strokeweight=".25pt">
                <w10:wrap anchory="page"/>
                <w10:anchorlock/>
              </v:line>
            </w:pict>
          </mc:Fallback>
        </mc:AlternateContent>
      </w:r>
      <w:r w:rsidR="00DC0E8D" w:rsidRPr="00DC0E8D">
        <w:rPr>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California State Seal" style="position:absolute;margin-left:516pt;margin-top:1pt;width:37pt;height:37pt;z-index:251658240;mso-position-horizontal-relative:text;mso-position-vertical-relative:text" o:allowincell="f" fillcolor="window">
            <v:imagedata r:id="rId7" o:title=""/>
            <w10:wrap type="topAndBottom"/>
            <w10:anchorlock/>
          </v:shape>
          <o:OLEObject Type="Embed" ProgID="Word.Picture.8" ShapeID="_x0000_s1028" DrawAspect="Content" ObjectID="_1638686894" r:id="rId8"/>
        </w:object>
      </w:r>
      <w:r w:rsidRPr="00DC0E8D">
        <w:rPr>
          <w:noProof/>
        </w:rPr>
        <mc:AlternateContent>
          <mc:Choice Requires="wps">
            <w:drawing>
              <wp:anchor distT="0" distB="0" distL="114300" distR="114300" simplePos="0" relativeHeight="251656192" behindDoc="0" locked="1" layoutInCell="0" allowOverlap="1">
                <wp:simplePos x="0" y="0"/>
                <wp:positionH relativeFrom="column">
                  <wp:posOffset>9525</wp:posOffset>
                </wp:positionH>
                <wp:positionV relativeFrom="page">
                  <wp:posOffset>498475</wp:posOffset>
                </wp:positionV>
                <wp:extent cx="6981825" cy="0"/>
                <wp:effectExtent l="13335" t="12700" r="5715" b="6350"/>
                <wp:wrapNone/>
                <wp:docPr id="1" name="Line 2" descr="&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07807" id="Line 2" o:spid="_x0000_s1026" al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5pt,39.25pt" to="550.5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" o:allowincell="f" strokeweight=".25pt">
                <w10:wrap anchory="page"/>
                <w10:anchorlock/>
              </v:line>
            </w:pict>
          </mc:Fallback>
        </mc:AlternateContent>
      </w:r>
    </w:p>
    <w:p w:rsidR="009C1529" w:rsidRDefault="009C1529" w:rsidP="009C1529">
      <w:pPr>
        <w:rPr>
          <w:rFonts w:ascii="Arial" w:hAnsi="Arial"/>
          <w:sz w:val="20"/>
        </w:rPr>
        <w:sectPr w:rsidR="009C1529" w:rsidSect="00966E55">
          <w:headerReference w:type="even" r:id="rId9"/>
          <w:headerReference w:type="default" r:id="rId10"/>
          <w:footerReference w:type="even" r:id="rId11"/>
          <w:footerReference w:type="default" r:id="rId12"/>
          <w:headerReference w:type="first" r:id="rId13"/>
          <w:footerReference w:type="first" r:id="rId14"/>
          <w:pgSz w:w="12240" w:h="15840"/>
          <w:pgMar w:top="576" w:right="576" w:bottom="1440" w:left="576" w:header="720" w:footer="720" w:gutter="0"/>
          <w:cols w:space="720"/>
        </w:sectPr>
      </w:pPr>
    </w:p>
    <w:p w:rsidR="00513C63" w:rsidRDefault="00513C63" w:rsidP="0024342B">
      <w:pPr>
        <w:rPr>
          <w:rFonts w:ascii="Arial" w:hAnsi="Arial"/>
          <w:szCs w:val="24"/>
        </w:rPr>
      </w:pPr>
    </w:p>
    <w:p w:rsidR="006654CB" w:rsidRDefault="006654CB" w:rsidP="007F486F">
      <w:pPr>
        <w:jc w:val="center"/>
        <w:rPr>
          <w:rFonts w:ascii="Arial" w:hAnsi="Arial"/>
          <w:b/>
          <w:sz w:val="28"/>
          <w:szCs w:val="28"/>
        </w:rPr>
      </w:pPr>
      <w:r>
        <w:rPr>
          <w:rFonts w:ascii="Arial" w:hAnsi="Arial"/>
          <w:b/>
          <w:sz w:val="28"/>
          <w:szCs w:val="28"/>
        </w:rPr>
        <w:t>GFO-15-312</w:t>
      </w:r>
    </w:p>
    <w:p w:rsidR="00C37240" w:rsidRPr="007F486F" w:rsidRDefault="005B3F33" w:rsidP="007F486F">
      <w:pPr>
        <w:jc w:val="center"/>
        <w:rPr>
          <w:rFonts w:ascii="Arial" w:hAnsi="Arial"/>
          <w:b/>
          <w:sz w:val="28"/>
          <w:szCs w:val="28"/>
        </w:rPr>
      </w:pPr>
      <w:r>
        <w:rPr>
          <w:rFonts w:ascii="Arial" w:hAnsi="Arial"/>
          <w:b/>
          <w:sz w:val="28"/>
          <w:szCs w:val="28"/>
        </w:rPr>
        <w:t xml:space="preserve">Addendum </w:t>
      </w:r>
      <w:r w:rsidR="0046206C">
        <w:rPr>
          <w:rFonts w:ascii="Arial" w:hAnsi="Arial"/>
          <w:b/>
          <w:sz w:val="28"/>
          <w:szCs w:val="28"/>
        </w:rPr>
        <w:t>1</w:t>
      </w:r>
      <w:r w:rsidR="00705EAF">
        <w:rPr>
          <w:rFonts w:ascii="Arial" w:hAnsi="Arial"/>
          <w:b/>
          <w:sz w:val="28"/>
          <w:szCs w:val="28"/>
        </w:rPr>
        <w:t xml:space="preserve"> </w:t>
      </w:r>
    </w:p>
    <w:p w:rsidR="007F486F" w:rsidRDefault="0026236A" w:rsidP="007F486F">
      <w:pPr>
        <w:jc w:val="center"/>
        <w:rPr>
          <w:rFonts w:ascii="Arial" w:hAnsi="Arial"/>
          <w:b/>
          <w:sz w:val="28"/>
          <w:szCs w:val="28"/>
        </w:rPr>
      </w:pPr>
      <w:r>
        <w:rPr>
          <w:rFonts w:ascii="Arial" w:hAnsi="Arial"/>
          <w:b/>
          <w:sz w:val="28"/>
          <w:szCs w:val="28"/>
        </w:rPr>
        <w:t>January 8, 2016</w:t>
      </w:r>
    </w:p>
    <w:p w:rsidR="00BF574D" w:rsidRDefault="00BF574D" w:rsidP="006654CB">
      <w:pPr>
        <w:rPr>
          <w:rFonts w:ascii="Arial" w:hAnsi="Arial"/>
          <w:b/>
          <w:sz w:val="28"/>
          <w:szCs w:val="28"/>
        </w:rPr>
      </w:pPr>
    </w:p>
    <w:p w:rsidR="00B725DB" w:rsidRPr="00B725DB" w:rsidRDefault="0046206C" w:rsidP="00B725DB">
      <w:pPr>
        <w:jc w:val="center"/>
        <w:rPr>
          <w:rFonts w:ascii="Arial" w:hAnsi="Arial"/>
          <w:b/>
          <w:sz w:val="28"/>
          <w:szCs w:val="28"/>
        </w:rPr>
      </w:pPr>
      <w:r>
        <w:rPr>
          <w:rFonts w:ascii="Arial" w:hAnsi="Arial"/>
          <w:b/>
          <w:sz w:val="28"/>
          <w:szCs w:val="28"/>
        </w:rPr>
        <w:t xml:space="preserve">The EPIC Challenge: Accelerating the Deployment of Advanced Energy Communities </w:t>
      </w:r>
    </w:p>
    <w:p w:rsidR="00847B9B" w:rsidRPr="007F486F" w:rsidRDefault="00847B9B" w:rsidP="007F486F">
      <w:pPr>
        <w:jc w:val="center"/>
        <w:rPr>
          <w:rFonts w:ascii="Arial" w:hAnsi="Arial"/>
          <w:b/>
          <w:sz w:val="28"/>
          <w:szCs w:val="28"/>
        </w:rPr>
      </w:pPr>
    </w:p>
    <w:p w:rsidR="002829B9" w:rsidRDefault="002829B9" w:rsidP="001E5DFA">
      <w:pPr>
        <w:ind w:left="360"/>
        <w:rPr>
          <w:rFonts w:ascii="Arial" w:hAnsi="Arial"/>
          <w:szCs w:val="24"/>
        </w:rPr>
      </w:pPr>
      <w:r w:rsidRPr="002829B9">
        <w:rPr>
          <w:rFonts w:ascii="Arial" w:hAnsi="Arial"/>
          <w:szCs w:val="24"/>
        </w:rPr>
        <w:t>The purpose of this addendum is to</w:t>
      </w:r>
      <w:r w:rsidR="00AE1C98">
        <w:rPr>
          <w:rFonts w:ascii="Arial" w:hAnsi="Arial"/>
          <w:szCs w:val="24"/>
        </w:rPr>
        <w:t xml:space="preserve"> revise</w:t>
      </w:r>
      <w:r w:rsidR="00957212">
        <w:rPr>
          <w:rFonts w:ascii="Arial" w:hAnsi="Arial"/>
          <w:szCs w:val="24"/>
        </w:rPr>
        <w:t xml:space="preserve"> definitions,</w:t>
      </w:r>
      <w:r w:rsidR="00AE1C98">
        <w:rPr>
          <w:rFonts w:ascii="Arial" w:hAnsi="Arial"/>
          <w:szCs w:val="24"/>
        </w:rPr>
        <w:t xml:space="preserve"> </w:t>
      </w:r>
      <w:r w:rsidR="0046206C">
        <w:rPr>
          <w:rFonts w:ascii="Arial" w:hAnsi="Arial"/>
          <w:szCs w:val="24"/>
        </w:rPr>
        <w:t>hyperlinks for</w:t>
      </w:r>
      <w:r w:rsidR="00555F36">
        <w:rPr>
          <w:rFonts w:ascii="Arial" w:hAnsi="Arial"/>
          <w:szCs w:val="24"/>
        </w:rPr>
        <w:t xml:space="preserve"> applicable laws, policies, </w:t>
      </w:r>
      <w:r w:rsidR="0046206C">
        <w:rPr>
          <w:rFonts w:ascii="Arial" w:hAnsi="Arial"/>
          <w:szCs w:val="24"/>
        </w:rPr>
        <w:t>background documents</w:t>
      </w:r>
      <w:r w:rsidR="00957212">
        <w:rPr>
          <w:rFonts w:ascii="Arial" w:hAnsi="Arial"/>
          <w:szCs w:val="24"/>
        </w:rPr>
        <w:t>, and application requirements</w:t>
      </w:r>
      <w:r w:rsidR="00471BBD">
        <w:rPr>
          <w:rFonts w:ascii="Arial" w:hAnsi="Arial"/>
          <w:szCs w:val="24"/>
        </w:rPr>
        <w:t xml:space="preserve"> </w:t>
      </w:r>
      <w:r w:rsidR="001E5DFA">
        <w:rPr>
          <w:rFonts w:ascii="Arial" w:hAnsi="Arial"/>
          <w:szCs w:val="24"/>
        </w:rPr>
        <w:t xml:space="preserve">listed in the </w:t>
      </w:r>
      <w:r w:rsidR="0046206C">
        <w:rPr>
          <w:rFonts w:ascii="Arial" w:hAnsi="Arial"/>
          <w:szCs w:val="24"/>
        </w:rPr>
        <w:t>Grant Funding Opportunity</w:t>
      </w:r>
      <w:r w:rsidR="001E5DFA">
        <w:rPr>
          <w:rFonts w:ascii="Arial" w:hAnsi="Arial"/>
          <w:szCs w:val="24"/>
        </w:rPr>
        <w:t xml:space="preserve"> Solicitation Manual, as provided below</w:t>
      </w:r>
      <w:r w:rsidR="00E62D12">
        <w:rPr>
          <w:rFonts w:ascii="Arial" w:hAnsi="Arial"/>
          <w:szCs w:val="24"/>
        </w:rPr>
        <w:t>:</w:t>
      </w:r>
    </w:p>
    <w:p w:rsidR="002A117C" w:rsidRDefault="002A117C" w:rsidP="0029465E">
      <w:pPr>
        <w:ind w:left="450" w:hanging="90"/>
        <w:rPr>
          <w:rFonts w:ascii="Arial" w:hAnsi="Arial"/>
          <w:szCs w:val="24"/>
        </w:rPr>
      </w:pPr>
    </w:p>
    <w:p w:rsidR="00904916" w:rsidRDefault="00E91134" w:rsidP="00D359EA">
      <w:pPr>
        <w:ind w:left="720" w:hanging="720"/>
        <w:rPr>
          <w:rFonts w:ascii="Arial" w:hAnsi="Arial"/>
          <w:b/>
          <w:szCs w:val="24"/>
          <w:u w:val="single"/>
        </w:rPr>
      </w:pPr>
      <w:r>
        <w:rPr>
          <w:rFonts w:ascii="Arial" w:hAnsi="Arial"/>
          <w:szCs w:val="24"/>
        </w:rPr>
        <w:tab/>
      </w:r>
      <w:r w:rsidR="00997D5A">
        <w:rPr>
          <w:rFonts w:ascii="Arial" w:hAnsi="Arial"/>
          <w:b/>
          <w:szCs w:val="24"/>
          <w:u w:val="single"/>
        </w:rPr>
        <w:t>Application</w:t>
      </w:r>
      <w:r w:rsidR="00904916">
        <w:rPr>
          <w:rFonts w:ascii="Arial" w:hAnsi="Arial"/>
          <w:b/>
          <w:szCs w:val="24"/>
          <w:u w:val="single"/>
        </w:rPr>
        <w:t xml:space="preserve"> Manual (</w:t>
      </w:r>
      <w:r w:rsidR="00234F89">
        <w:rPr>
          <w:rFonts w:ascii="Arial" w:hAnsi="Arial"/>
          <w:b/>
          <w:szCs w:val="24"/>
          <w:u w:val="single"/>
        </w:rPr>
        <w:t>Gran</w:t>
      </w:r>
      <w:r w:rsidR="00FD11A3">
        <w:rPr>
          <w:rFonts w:ascii="Arial" w:hAnsi="Arial"/>
          <w:b/>
          <w:szCs w:val="24"/>
          <w:u w:val="single"/>
        </w:rPr>
        <w:t>t</w:t>
      </w:r>
      <w:r w:rsidR="0046206C">
        <w:rPr>
          <w:rFonts w:ascii="Arial" w:hAnsi="Arial"/>
          <w:b/>
          <w:szCs w:val="24"/>
          <w:u w:val="single"/>
        </w:rPr>
        <w:t xml:space="preserve"> Funding Opportunity</w:t>
      </w:r>
      <w:r w:rsidR="00904916">
        <w:rPr>
          <w:rFonts w:ascii="Arial" w:hAnsi="Arial"/>
          <w:b/>
          <w:szCs w:val="24"/>
          <w:u w:val="single"/>
        </w:rPr>
        <w:t>)</w:t>
      </w:r>
    </w:p>
    <w:p w:rsidR="00904916" w:rsidRPr="00CA2039" w:rsidRDefault="00904916" w:rsidP="00904916">
      <w:pPr>
        <w:ind w:left="360" w:hanging="360"/>
        <w:rPr>
          <w:rFonts w:ascii="Arial" w:hAnsi="Arial"/>
          <w:szCs w:val="24"/>
        </w:rPr>
      </w:pPr>
      <w:r w:rsidRPr="00CA2039">
        <w:rPr>
          <w:rFonts w:ascii="Arial" w:hAnsi="Arial"/>
          <w:szCs w:val="24"/>
        </w:rPr>
        <w:tab/>
      </w:r>
    </w:p>
    <w:p w:rsidR="00904916" w:rsidRDefault="006654CB" w:rsidP="00D359EA">
      <w:pPr>
        <w:tabs>
          <w:tab w:val="right" w:pos="810"/>
        </w:tabs>
        <w:ind w:firstLine="720"/>
        <w:rPr>
          <w:rFonts w:ascii="Arial" w:hAnsi="Arial"/>
          <w:szCs w:val="24"/>
        </w:rPr>
      </w:pPr>
      <w:r w:rsidRPr="00CA2039">
        <w:rPr>
          <w:rFonts w:ascii="Arial" w:hAnsi="Arial"/>
          <w:szCs w:val="24"/>
        </w:rPr>
        <w:t>Part</w:t>
      </w:r>
      <w:r w:rsidR="00B725DB" w:rsidRPr="00CA2039">
        <w:rPr>
          <w:rFonts w:ascii="Arial" w:hAnsi="Arial"/>
          <w:szCs w:val="24"/>
        </w:rPr>
        <w:t xml:space="preserve"> I</w:t>
      </w:r>
      <w:r w:rsidRPr="00CA2039">
        <w:rPr>
          <w:rFonts w:ascii="Arial" w:hAnsi="Arial"/>
          <w:szCs w:val="24"/>
        </w:rPr>
        <w:t xml:space="preserve">, </w:t>
      </w:r>
      <w:r w:rsidR="00CA2039" w:rsidRPr="00CA2039">
        <w:rPr>
          <w:rFonts w:ascii="Arial" w:hAnsi="Arial"/>
          <w:szCs w:val="24"/>
        </w:rPr>
        <w:t>Introduction</w:t>
      </w:r>
    </w:p>
    <w:p w:rsidR="00FF46B5" w:rsidRDefault="00FF46B5" w:rsidP="00904916">
      <w:pPr>
        <w:ind w:left="360" w:hanging="360"/>
        <w:rPr>
          <w:rFonts w:ascii="Arial" w:hAnsi="Arial"/>
          <w:szCs w:val="24"/>
        </w:rPr>
      </w:pPr>
    </w:p>
    <w:p w:rsidR="00FF46B5" w:rsidRDefault="00FF46B5" w:rsidP="00FF46B5">
      <w:pPr>
        <w:numPr>
          <w:ilvl w:val="0"/>
          <w:numId w:val="12"/>
        </w:numPr>
        <w:rPr>
          <w:rFonts w:ascii="Arial" w:hAnsi="Arial"/>
          <w:szCs w:val="24"/>
        </w:rPr>
      </w:pPr>
      <w:r>
        <w:rPr>
          <w:rFonts w:ascii="Arial" w:hAnsi="Arial"/>
          <w:szCs w:val="24"/>
        </w:rPr>
        <w:t>Page 6, Section B. Key Words/Terms Principal Investigator</w:t>
      </w:r>
    </w:p>
    <w:p w:rsidR="00FF46B5" w:rsidRDefault="00FF46B5" w:rsidP="00FF46B5">
      <w:pPr>
        <w:ind w:left="1080"/>
        <w:rPr>
          <w:rFonts w:ascii="Arial" w:hAnsi="Arial"/>
          <w:szCs w:val="24"/>
        </w:rPr>
      </w:pPr>
      <w:r>
        <w:rPr>
          <w:rFonts w:ascii="Arial" w:hAnsi="Arial"/>
          <w:szCs w:val="24"/>
        </w:rPr>
        <w:t>Deleted: “</w:t>
      </w:r>
      <w:r w:rsidRPr="00FF46B5">
        <w:rPr>
          <w:rFonts w:ascii="Arial" w:hAnsi="Arial"/>
          <w:szCs w:val="24"/>
        </w:rPr>
        <w:t xml:space="preserve">The lead scientist or engineer for the applicant’s project, who is responsible for overseeing the project; in some instances, the Principal Investigator and Project Manager may be the same person.  </w:t>
      </w:r>
    </w:p>
    <w:p w:rsidR="00FF46B5" w:rsidRPr="00CA2039" w:rsidRDefault="00FF46B5" w:rsidP="00FF46B5">
      <w:pPr>
        <w:ind w:left="1080"/>
        <w:rPr>
          <w:rFonts w:ascii="Arial" w:hAnsi="Arial"/>
          <w:szCs w:val="24"/>
        </w:rPr>
      </w:pPr>
      <w:r>
        <w:rPr>
          <w:rFonts w:ascii="Arial" w:hAnsi="Arial"/>
          <w:szCs w:val="24"/>
        </w:rPr>
        <w:t>Added: “</w:t>
      </w:r>
      <w:r w:rsidRPr="00FF46B5">
        <w:rPr>
          <w:rFonts w:ascii="Arial" w:hAnsi="Arial"/>
          <w:szCs w:val="24"/>
        </w:rPr>
        <w:t>The lead technical expert for the applicant’s project, who is responsible for overseeing the project; in some instances, the Principal Investigator and Project Manager may be the same person.</w:t>
      </w:r>
      <w:r>
        <w:rPr>
          <w:rFonts w:ascii="Arial" w:hAnsi="Arial"/>
          <w:szCs w:val="24"/>
        </w:rPr>
        <w:t>”</w:t>
      </w:r>
    </w:p>
    <w:p w:rsidR="007D3A87" w:rsidRPr="00CA2039" w:rsidRDefault="007D3A87" w:rsidP="007D3A87">
      <w:pPr>
        <w:pStyle w:val="ListParagraph"/>
        <w:rPr>
          <w:rFonts w:ascii="Arial" w:hAnsi="Arial"/>
          <w:szCs w:val="24"/>
        </w:rPr>
      </w:pPr>
    </w:p>
    <w:p w:rsidR="00CA2039" w:rsidRPr="00CA2039" w:rsidRDefault="00904916" w:rsidP="00FF46B5">
      <w:pPr>
        <w:numPr>
          <w:ilvl w:val="0"/>
          <w:numId w:val="12"/>
        </w:numPr>
        <w:rPr>
          <w:rFonts w:ascii="Arial" w:hAnsi="Arial" w:cs="Arial"/>
          <w:szCs w:val="24"/>
          <w:lang w:eastAsia="x-none"/>
        </w:rPr>
      </w:pPr>
      <w:r w:rsidRPr="00CA2039">
        <w:rPr>
          <w:rFonts w:ascii="Arial" w:hAnsi="Arial"/>
          <w:szCs w:val="24"/>
        </w:rPr>
        <w:t xml:space="preserve">Page </w:t>
      </w:r>
      <w:r w:rsidR="0046206C" w:rsidRPr="00CA2039">
        <w:rPr>
          <w:rFonts w:ascii="Arial" w:hAnsi="Arial"/>
          <w:szCs w:val="24"/>
        </w:rPr>
        <w:t>9</w:t>
      </w:r>
      <w:r w:rsidRPr="00CA2039">
        <w:rPr>
          <w:rFonts w:ascii="Arial" w:hAnsi="Arial"/>
          <w:szCs w:val="24"/>
        </w:rPr>
        <w:t>,</w:t>
      </w:r>
      <w:r w:rsidR="00CA2039" w:rsidRPr="00CA2039">
        <w:rPr>
          <w:rFonts w:ascii="Arial" w:hAnsi="Arial"/>
          <w:szCs w:val="24"/>
        </w:rPr>
        <w:t xml:space="preserve"> Section D.3. </w:t>
      </w:r>
      <w:r w:rsidR="0046206C" w:rsidRPr="00CA2039">
        <w:rPr>
          <w:rFonts w:ascii="Arial" w:hAnsi="Arial"/>
          <w:szCs w:val="24"/>
          <w:lang w:eastAsia="x-none"/>
        </w:rPr>
        <w:t>Applicable Laws, Policies, and Backgroun</w:t>
      </w:r>
      <w:r w:rsidR="00CA2039">
        <w:rPr>
          <w:rFonts w:ascii="Arial" w:hAnsi="Arial"/>
          <w:szCs w:val="24"/>
          <w:lang w:eastAsia="x-none"/>
        </w:rPr>
        <w:t xml:space="preserve">d Documents. Laws/Regulations. </w:t>
      </w:r>
      <w:r w:rsidR="00CA2039" w:rsidRPr="00CA2039">
        <w:rPr>
          <w:rFonts w:ascii="Arial" w:hAnsi="Arial" w:cs="Arial"/>
        </w:rPr>
        <w:t>Assembly Bill (AB) 2514 - Energy Storage Systems (Statutes of 2010)</w:t>
      </w:r>
      <w:r w:rsidR="00CA2039" w:rsidRPr="00CA2039">
        <w:rPr>
          <w:rFonts w:ascii="Arial" w:hAnsi="Arial" w:cs="Arial"/>
          <w:szCs w:val="24"/>
          <w:lang w:eastAsia="x-none"/>
        </w:rPr>
        <w:t>:</w:t>
      </w:r>
    </w:p>
    <w:p w:rsidR="00CA2039" w:rsidRDefault="00904916" w:rsidP="00CA2039">
      <w:pPr>
        <w:ind w:left="1080"/>
        <w:rPr>
          <w:rFonts w:ascii="Arial" w:hAnsi="Arial"/>
          <w:szCs w:val="24"/>
          <w:lang w:eastAsia="x-none"/>
        </w:rPr>
      </w:pPr>
      <w:r w:rsidRPr="00CA2039">
        <w:rPr>
          <w:rFonts w:ascii="Arial" w:hAnsi="Arial"/>
          <w:szCs w:val="24"/>
        </w:rPr>
        <w:t>Deleted: “</w:t>
      </w:r>
      <w:r w:rsidR="0046206C" w:rsidRPr="005118C0">
        <w:rPr>
          <w:rFonts w:ascii="Arial" w:hAnsi="Arial"/>
          <w:szCs w:val="24"/>
          <w:u w:val="single"/>
        </w:rPr>
        <w:t>http://www.cpuc.ca.gov/PUC/energy/electric/storage.htm</w:t>
      </w:r>
      <w:r w:rsidRPr="00CA2039">
        <w:rPr>
          <w:rFonts w:ascii="Arial" w:hAnsi="Arial"/>
          <w:szCs w:val="24"/>
        </w:rPr>
        <w:t xml:space="preserve">” </w:t>
      </w:r>
    </w:p>
    <w:p w:rsidR="0046206C" w:rsidRPr="0026236A" w:rsidRDefault="00904916" w:rsidP="00CA2039">
      <w:pPr>
        <w:ind w:left="1080"/>
        <w:rPr>
          <w:rFonts w:ascii="Arial" w:hAnsi="Arial"/>
          <w:szCs w:val="24"/>
        </w:rPr>
      </w:pPr>
      <w:r w:rsidRPr="00CA2039">
        <w:rPr>
          <w:rFonts w:ascii="Arial" w:hAnsi="Arial"/>
          <w:szCs w:val="24"/>
        </w:rPr>
        <w:t>Added: “</w:t>
      </w:r>
      <w:hyperlink r:id="rId15" w:history="1">
        <w:r w:rsidR="0046206C" w:rsidRPr="0026236A">
          <w:rPr>
            <w:rStyle w:val="Hyperlink"/>
            <w:rFonts w:ascii="Arial" w:hAnsi="Arial"/>
            <w:color w:val="auto"/>
            <w:szCs w:val="24"/>
          </w:rPr>
          <w:t>http://www.cpuc.ca.gov/PUC/energy/</w:t>
        </w:r>
        <w:r w:rsidR="0046206C" w:rsidRPr="0026236A">
          <w:rPr>
            <w:rStyle w:val="Hyperlink"/>
            <w:rFonts w:ascii="Arial" w:hAnsi="Arial"/>
            <w:color w:val="auto"/>
            <w:szCs w:val="24"/>
          </w:rPr>
          <w:t>s</w:t>
        </w:r>
        <w:r w:rsidR="0046206C" w:rsidRPr="0026236A">
          <w:rPr>
            <w:rStyle w:val="Hyperlink"/>
            <w:rFonts w:ascii="Arial" w:hAnsi="Arial"/>
            <w:color w:val="auto"/>
            <w:szCs w:val="24"/>
          </w:rPr>
          <w:t>torage.htm</w:t>
        </w:r>
      </w:hyperlink>
      <w:r w:rsidRPr="0026236A">
        <w:rPr>
          <w:rFonts w:ascii="Arial" w:hAnsi="Arial"/>
          <w:szCs w:val="24"/>
        </w:rPr>
        <w:t>”</w:t>
      </w:r>
    </w:p>
    <w:p w:rsidR="00FD11A3" w:rsidRPr="0026236A" w:rsidRDefault="00FD11A3" w:rsidP="00CA2039">
      <w:pPr>
        <w:ind w:left="1080"/>
        <w:rPr>
          <w:rFonts w:ascii="Arial" w:hAnsi="Arial" w:cs="Arial"/>
        </w:rPr>
      </w:pPr>
      <w:r w:rsidRPr="0026236A">
        <w:rPr>
          <w:rFonts w:ascii="Arial" w:hAnsi="Arial"/>
          <w:szCs w:val="24"/>
        </w:rPr>
        <w:t xml:space="preserve">Deleted: </w:t>
      </w:r>
      <w:r w:rsidRPr="0026236A">
        <w:rPr>
          <w:rFonts w:ascii="Arial" w:hAnsi="Arial" w:cs="Arial"/>
          <w:szCs w:val="22"/>
        </w:rPr>
        <w:t>(</w:t>
      </w:r>
      <w:hyperlink r:id="rId16" w:history="1">
        <w:r w:rsidRPr="0026236A">
          <w:rPr>
            <w:rStyle w:val="Hyperlink"/>
            <w:rFonts w:ascii="Arial" w:hAnsi="Arial" w:cs="Arial"/>
            <w:color w:val="auto"/>
          </w:rPr>
          <w:t>http://www.leginfo.ca.gov/pub/09-10/bill/asm/ab_2501-2550/ab_2514_bill_20100929_ chaptered.pdf</w:t>
        </w:r>
      </w:hyperlink>
      <w:r w:rsidRPr="0026236A">
        <w:rPr>
          <w:rFonts w:ascii="Arial" w:hAnsi="Arial" w:cs="Arial"/>
        </w:rPr>
        <w:t>)</w:t>
      </w:r>
    </w:p>
    <w:p w:rsidR="00FD11A3" w:rsidRPr="0026236A" w:rsidRDefault="00FD11A3" w:rsidP="00CA2039">
      <w:pPr>
        <w:ind w:left="1080"/>
        <w:rPr>
          <w:rFonts w:ascii="Arial" w:hAnsi="Arial" w:cs="Arial"/>
          <w:szCs w:val="24"/>
        </w:rPr>
      </w:pPr>
      <w:r w:rsidRPr="0026236A">
        <w:rPr>
          <w:rFonts w:ascii="Arial" w:hAnsi="Arial"/>
          <w:szCs w:val="24"/>
        </w:rPr>
        <w:t xml:space="preserve">Added: </w:t>
      </w:r>
      <w:hyperlink r:id="rId17" w:history="1">
        <w:r w:rsidRPr="0026236A">
          <w:rPr>
            <w:rStyle w:val="Hyperlink"/>
            <w:rFonts w:ascii="Arial" w:hAnsi="Arial" w:cs="Arial"/>
            <w:color w:val="auto"/>
          </w:rPr>
          <w:t>http://leginfo.legislature.ca.gov/faces/billNavClient.xhtml?bill_id=200920100AB2514</w:t>
        </w:r>
      </w:hyperlink>
    </w:p>
    <w:p w:rsidR="00904916" w:rsidRPr="00CA2039" w:rsidRDefault="00B725DB" w:rsidP="00FF46B5">
      <w:pPr>
        <w:pStyle w:val="ListParagraph"/>
        <w:ind w:left="0"/>
        <w:rPr>
          <w:rFonts w:ascii="Arial" w:hAnsi="Arial"/>
          <w:szCs w:val="24"/>
          <w:lang w:val="en-US"/>
        </w:rPr>
      </w:pPr>
      <w:r w:rsidRPr="00CA2039">
        <w:rPr>
          <w:rFonts w:ascii="Arial" w:hAnsi="Arial"/>
          <w:szCs w:val="24"/>
          <w:lang w:val="en-US"/>
        </w:rPr>
        <w:t xml:space="preserve"> </w:t>
      </w:r>
    </w:p>
    <w:p w:rsidR="00471BBD" w:rsidRPr="0026236A" w:rsidRDefault="00471BBD" w:rsidP="00FF46B5">
      <w:pPr>
        <w:numPr>
          <w:ilvl w:val="0"/>
          <w:numId w:val="12"/>
        </w:numPr>
        <w:rPr>
          <w:rFonts w:ascii="Arial" w:hAnsi="Arial"/>
          <w:szCs w:val="24"/>
          <w:lang w:eastAsia="x-none"/>
        </w:rPr>
      </w:pPr>
      <w:r w:rsidRPr="00CA2039">
        <w:rPr>
          <w:rFonts w:ascii="Arial" w:hAnsi="Arial"/>
          <w:szCs w:val="24"/>
        </w:rPr>
        <w:t>Page 1</w:t>
      </w:r>
      <w:r w:rsidR="0046206C" w:rsidRPr="00CA2039">
        <w:rPr>
          <w:rFonts w:ascii="Arial" w:hAnsi="Arial"/>
          <w:szCs w:val="24"/>
        </w:rPr>
        <w:t>0</w:t>
      </w:r>
      <w:r w:rsidRPr="00CA2039">
        <w:rPr>
          <w:rFonts w:ascii="Arial" w:hAnsi="Arial"/>
          <w:szCs w:val="24"/>
        </w:rPr>
        <w:t>,</w:t>
      </w:r>
      <w:r w:rsidR="00CA2039">
        <w:rPr>
          <w:rFonts w:ascii="Arial" w:hAnsi="Arial"/>
          <w:szCs w:val="24"/>
        </w:rPr>
        <w:t xml:space="preserve"> Section D.3.</w:t>
      </w:r>
      <w:r w:rsidRPr="00CA2039">
        <w:rPr>
          <w:rFonts w:ascii="Arial" w:hAnsi="Arial"/>
          <w:szCs w:val="24"/>
        </w:rPr>
        <w:t xml:space="preserve"> </w:t>
      </w:r>
      <w:r w:rsidR="0046206C" w:rsidRPr="00CA2039">
        <w:rPr>
          <w:rFonts w:ascii="Arial" w:hAnsi="Arial"/>
          <w:szCs w:val="24"/>
          <w:lang w:eastAsia="x-none"/>
        </w:rPr>
        <w:t>Applicable Laws, Pol</w:t>
      </w:r>
      <w:r w:rsidR="00CA2039">
        <w:rPr>
          <w:rFonts w:ascii="Arial" w:hAnsi="Arial"/>
          <w:szCs w:val="24"/>
          <w:lang w:eastAsia="x-none"/>
        </w:rPr>
        <w:t xml:space="preserve">icies, and Background Documents. Policies/Plans. </w:t>
      </w:r>
      <w:r w:rsidR="00CA2039" w:rsidRPr="00CA2039">
        <w:rPr>
          <w:rFonts w:ascii="Arial" w:hAnsi="Arial" w:cs="Arial"/>
          <w:bCs/>
          <w:color w:val="000000"/>
          <w:szCs w:val="22"/>
        </w:rPr>
        <w:t>CPUC’s Order Instituting Rulemaking Regarding Policies, Procedures and Rules for Development of Distribution Resources Plans Pursuant to Public Utilities Code S</w:t>
      </w:r>
      <w:r w:rsidR="00CA2039" w:rsidRPr="00CA2039">
        <w:rPr>
          <w:rFonts w:ascii="Arial" w:hAnsi="Arial" w:cs="Arial"/>
          <w:bCs/>
          <w:szCs w:val="22"/>
        </w:rPr>
        <w:t>ection 769.</w:t>
      </w:r>
      <w:r w:rsidR="00CA2039" w:rsidRPr="00CA2039">
        <w:rPr>
          <w:rFonts w:ascii="Arial" w:hAnsi="Arial" w:cs="Arial"/>
          <w:bCs/>
          <w:color w:val="000000"/>
          <w:szCs w:val="22"/>
        </w:rPr>
        <w:t>  </w:t>
      </w:r>
      <w:r w:rsidR="00CA2039" w:rsidRPr="00CA2039">
        <w:rPr>
          <w:rStyle w:val="apple-converted-space"/>
          <w:rFonts w:ascii="Arial" w:hAnsi="Arial" w:cs="Arial"/>
          <w:bCs/>
          <w:color w:val="000000"/>
          <w:szCs w:val="22"/>
        </w:rPr>
        <w:t> </w:t>
      </w:r>
      <w:r w:rsidR="00CA2039" w:rsidRPr="00CA2039">
        <w:rPr>
          <w:rFonts w:ascii="Arial" w:hAnsi="Arial" w:cs="Arial"/>
          <w:bCs/>
          <w:szCs w:val="22"/>
        </w:rPr>
        <w:t>(R. 14-08-013) (2013)</w:t>
      </w:r>
      <w:r w:rsidR="00CA2039">
        <w:rPr>
          <w:rFonts w:ascii="Arial" w:hAnsi="Arial" w:cs="Arial"/>
          <w:bCs/>
          <w:szCs w:val="22"/>
        </w:rPr>
        <w:t>:</w:t>
      </w:r>
      <w:r w:rsidRPr="00CA2039">
        <w:rPr>
          <w:rFonts w:ascii="Arial" w:hAnsi="Arial"/>
          <w:szCs w:val="24"/>
        </w:rPr>
        <w:t xml:space="preserve"> Deleted: </w:t>
      </w:r>
      <w:r w:rsidR="00CA2039">
        <w:rPr>
          <w:rFonts w:ascii="Arial" w:hAnsi="Arial"/>
          <w:szCs w:val="24"/>
        </w:rPr>
        <w:t>“</w:t>
      </w:r>
      <w:r w:rsidR="0046206C" w:rsidRPr="005118C0">
        <w:rPr>
          <w:rFonts w:ascii="Arial" w:hAnsi="Arial"/>
          <w:szCs w:val="24"/>
          <w:u w:val="single"/>
        </w:rPr>
        <w:t>http://www.cpuc.ca.gov/PUC/energy/Distribution_Resources_Plan.htm</w:t>
      </w:r>
      <w:r w:rsidRPr="00CA2039">
        <w:rPr>
          <w:rFonts w:ascii="Arial" w:hAnsi="Arial"/>
          <w:szCs w:val="24"/>
        </w:rPr>
        <w:t xml:space="preserve">” Added: </w:t>
      </w:r>
      <w:r w:rsidRPr="0026236A">
        <w:rPr>
          <w:rFonts w:ascii="Arial" w:hAnsi="Arial"/>
          <w:szCs w:val="24"/>
        </w:rPr>
        <w:t>“</w:t>
      </w:r>
      <w:hyperlink r:id="rId18" w:history="1">
        <w:r w:rsidR="0046206C" w:rsidRPr="0026236A">
          <w:rPr>
            <w:rStyle w:val="Hyperlink"/>
            <w:rFonts w:ascii="Arial" w:hAnsi="Arial"/>
            <w:color w:val="auto"/>
            <w:szCs w:val="24"/>
          </w:rPr>
          <w:t>http://www.cpuc.ca.gov/PUC/energy/drp/</w:t>
        </w:r>
      </w:hyperlink>
      <w:r w:rsidRPr="0026236A">
        <w:rPr>
          <w:rFonts w:ascii="Arial" w:hAnsi="Arial"/>
          <w:szCs w:val="24"/>
        </w:rPr>
        <w:t>”</w:t>
      </w:r>
    </w:p>
    <w:p w:rsidR="0046206C" w:rsidRPr="0026236A" w:rsidRDefault="0046206C" w:rsidP="0046206C">
      <w:pPr>
        <w:pStyle w:val="ListParagraph"/>
        <w:ind w:left="1080"/>
        <w:rPr>
          <w:rFonts w:ascii="Arial" w:hAnsi="Arial"/>
          <w:szCs w:val="24"/>
          <w:lang w:val="en-US"/>
        </w:rPr>
      </w:pPr>
    </w:p>
    <w:p w:rsidR="00CA2039" w:rsidRPr="0026236A" w:rsidRDefault="00471BBD" w:rsidP="00FF46B5">
      <w:pPr>
        <w:numPr>
          <w:ilvl w:val="0"/>
          <w:numId w:val="12"/>
        </w:numPr>
        <w:rPr>
          <w:rFonts w:ascii="Arial" w:hAnsi="Arial"/>
          <w:szCs w:val="24"/>
        </w:rPr>
      </w:pPr>
      <w:r w:rsidRPr="0026236A">
        <w:rPr>
          <w:rFonts w:ascii="Arial" w:hAnsi="Arial"/>
          <w:szCs w:val="24"/>
        </w:rPr>
        <w:t>Page 1</w:t>
      </w:r>
      <w:r w:rsidR="0046206C" w:rsidRPr="0026236A">
        <w:rPr>
          <w:rFonts w:ascii="Arial" w:hAnsi="Arial"/>
          <w:szCs w:val="24"/>
        </w:rPr>
        <w:t>1</w:t>
      </w:r>
      <w:r w:rsidRPr="0026236A">
        <w:rPr>
          <w:rFonts w:ascii="Arial" w:hAnsi="Arial"/>
          <w:szCs w:val="24"/>
        </w:rPr>
        <w:t xml:space="preserve">, </w:t>
      </w:r>
      <w:r w:rsidR="00CA2039" w:rsidRPr="0026236A">
        <w:rPr>
          <w:rFonts w:ascii="Arial" w:hAnsi="Arial"/>
          <w:szCs w:val="24"/>
        </w:rPr>
        <w:t xml:space="preserve">Section D.3. </w:t>
      </w:r>
      <w:r w:rsidR="00CA2039" w:rsidRPr="0026236A">
        <w:rPr>
          <w:rFonts w:ascii="Arial" w:hAnsi="Arial"/>
          <w:szCs w:val="24"/>
          <w:lang w:eastAsia="x-none"/>
        </w:rPr>
        <w:t>Applicable Laws, Policies, and Background Documents. Policies/Plans. Bioenergy Action Plan (2012):</w:t>
      </w:r>
    </w:p>
    <w:p w:rsidR="00CA2039" w:rsidRPr="0026236A" w:rsidRDefault="00471BBD" w:rsidP="00CA2039">
      <w:pPr>
        <w:ind w:left="1080"/>
        <w:rPr>
          <w:rFonts w:ascii="Arial" w:hAnsi="Arial"/>
          <w:szCs w:val="24"/>
        </w:rPr>
      </w:pPr>
      <w:r w:rsidRPr="0026236A">
        <w:rPr>
          <w:rFonts w:ascii="Arial" w:hAnsi="Arial"/>
          <w:szCs w:val="24"/>
        </w:rPr>
        <w:t xml:space="preserve">Deleted: </w:t>
      </w:r>
      <w:r w:rsidR="00CA2039" w:rsidRPr="0026236A">
        <w:rPr>
          <w:rFonts w:ascii="Arial" w:hAnsi="Arial"/>
          <w:szCs w:val="24"/>
        </w:rPr>
        <w:t>“</w:t>
      </w:r>
      <w:hyperlink r:id="rId19" w:history="1">
        <w:r w:rsidR="00CA2039" w:rsidRPr="0026236A">
          <w:rPr>
            <w:rStyle w:val="Hyperlink"/>
            <w:rFonts w:ascii="Arial" w:hAnsi="Arial"/>
            <w:color w:val="auto"/>
            <w:szCs w:val="24"/>
          </w:rPr>
          <w:t>http://www.resources.ca.gov/docs/2012_Bioenergy_Action_Plan.pdf</w:t>
        </w:r>
      </w:hyperlink>
      <w:r w:rsidR="00CA2039" w:rsidRPr="0026236A">
        <w:rPr>
          <w:rFonts w:ascii="Arial" w:hAnsi="Arial"/>
          <w:szCs w:val="24"/>
        </w:rPr>
        <w:t>”</w:t>
      </w:r>
    </w:p>
    <w:p w:rsidR="00471BBD" w:rsidRPr="0026236A" w:rsidRDefault="00471BBD" w:rsidP="00CA2039">
      <w:pPr>
        <w:ind w:left="1080"/>
        <w:rPr>
          <w:rFonts w:ascii="Arial" w:hAnsi="Arial"/>
          <w:szCs w:val="24"/>
        </w:rPr>
      </w:pPr>
      <w:r w:rsidRPr="0026236A">
        <w:rPr>
          <w:rFonts w:ascii="Arial" w:hAnsi="Arial"/>
          <w:szCs w:val="24"/>
        </w:rPr>
        <w:t>Added: “</w:t>
      </w:r>
      <w:hyperlink r:id="rId20" w:history="1">
        <w:r w:rsidR="0046206C" w:rsidRPr="0026236A">
          <w:rPr>
            <w:rStyle w:val="Hyperlink"/>
            <w:rFonts w:ascii="Arial" w:hAnsi="Arial"/>
            <w:color w:val="auto"/>
            <w:szCs w:val="24"/>
          </w:rPr>
          <w:t>http://www.energy.ca.gov/b</w:t>
        </w:r>
        <w:r w:rsidR="0046206C" w:rsidRPr="0026236A">
          <w:rPr>
            <w:rStyle w:val="Hyperlink"/>
            <w:rFonts w:ascii="Arial" w:hAnsi="Arial"/>
            <w:color w:val="auto"/>
            <w:szCs w:val="24"/>
          </w:rPr>
          <w:t>i</w:t>
        </w:r>
        <w:r w:rsidR="0046206C" w:rsidRPr="0026236A">
          <w:rPr>
            <w:rStyle w:val="Hyperlink"/>
            <w:rFonts w:ascii="Arial" w:hAnsi="Arial"/>
            <w:color w:val="auto"/>
            <w:szCs w:val="24"/>
          </w:rPr>
          <w:t>oenergy_action_plan/</w:t>
        </w:r>
      </w:hyperlink>
      <w:r w:rsidRPr="0026236A">
        <w:rPr>
          <w:rFonts w:ascii="Arial" w:hAnsi="Arial"/>
          <w:szCs w:val="24"/>
        </w:rPr>
        <w:t xml:space="preserve">” </w:t>
      </w:r>
    </w:p>
    <w:p w:rsidR="0046206C" w:rsidRPr="0026236A" w:rsidRDefault="0046206C" w:rsidP="0046206C">
      <w:pPr>
        <w:pStyle w:val="ListParagraph"/>
        <w:ind w:left="1080"/>
        <w:rPr>
          <w:rFonts w:ascii="Arial" w:hAnsi="Arial"/>
          <w:szCs w:val="24"/>
          <w:lang w:val="en-US"/>
        </w:rPr>
      </w:pPr>
    </w:p>
    <w:p w:rsidR="00404A1D" w:rsidRPr="00404A1D" w:rsidRDefault="0046206C" w:rsidP="00FF46B5">
      <w:pPr>
        <w:numPr>
          <w:ilvl w:val="0"/>
          <w:numId w:val="12"/>
        </w:numPr>
        <w:rPr>
          <w:rFonts w:ascii="Arial" w:hAnsi="Arial" w:cs="Arial"/>
          <w:szCs w:val="24"/>
        </w:rPr>
      </w:pPr>
      <w:r w:rsidRPr="0026236A">
        <w:rPr>
          <w:rFonts w:ascii="Arial" w:hAnsi="Arial"/>
          <w:szCs w:val="24"/>
        </w:rPr>
        <w:t xml:space="preserve">Page 11, </w:t>
      </w:r>
      <w:r w:rsidR="00404A1D" w:rsidRPr="0026236A">
        <w:rPr>
          <w:rFonts w:ascii="Arial" w:hAnsi="Arial"/>
          <w:szCs w:val="24"/>
        </w:rPr>
        <w:t xml:space="preserve">Section D.3. </w:t>
      </w:r>
      <w:r w:rsidR="00404A1D" w:rsidRPr="0026236A">
        <w:rPr>
          <w:rFonts w:ascii="Arial" w:hAnsi="Arial"/>
          <w:szCs w:val="24"/>
          <w:lang w:eastAsia="x-none"/>
        </w:rPr>
        <w:t>Applicable Laws, Policies, and Backgr</w:t>
      </w:r>
      <w:r w:rsidR="00404A1D">
        <w:rPr>
          <w:rFonts w:ascii="Arial" w:hAnsi="Arial"/>
          <w:szCs w:val="24"/>
          <w:lang w:eastAsia="x-none"/>
        </w:rPr>
        <w:t>ound Documents. Policies/Plans.</w:t>
      </w:r>
      <w:r w:rsidR="00404A1D" w:rsidRPr="00404A1D">
        <w:rPr>
          <w:rFonts w:ascii="Arial" w:hAnsi="Arial" w:cs="Arial"/>
          <w:szCs w:val="24"/>
          <w:lang w:eastAsia="x-none"/>
        </w:rPr>
        <w:t xml:space="preserve"> </w:t>
      </w:r>
      <w:r w:rsidR="00404A1D" w:rsidRPr="00404A1D">
        <w:rPr>
          <w:rFonts w:ascii="Arial" w:hAnsi="Arial" w:cs="Arial"/>
        </w:rPr>
        <w:t>CPUC Decision 13-10-040, “Decision Adopting Energy Storage Procurement Framework and Design Program” (2013)</w:t>
      </w:r>
      <w:r w:rsidR="00404A1D">
        <w:rPr>
          <w:rFonts w:ascii="Arial" w:hAnsi="Arial" w:cs="Arial"/>
        </w:rPr>
        <w:t>:</w:t>
      </w:r>
    </w:p>
    <w:p w:rsidR="00404A1D" w:rsidRDefault="00471BBD" w:rsidP="00404A1D">
      <w:pPr>
        <w:ind w:left="1080"/>
        <w:rPr>
          <w:rFonts w:ascii="Arial" w:hAnsi="Arial"/>
          <w:szCs w:val="24"/>
        </w:rPr>
      </w:pPr>
      <w:r w:rsidRPr="00CA2039">
        <w:rPr>
          <w:rFonts w:ascii="Arial" w:hAnsi="Arial"/>
          <w:szCs w:val="24"/>
        </w:rPr>
        <w:t xml:space="preserve">Deleted: </w:t>
      </w:r>
      <w:r w:rsidR="00404A1D" w:rsidRPr="00404A1D">
        <w:rPr>
          <w:rFonts w:ascii="Arial" w:hAnsi="Arial"/>
          <w:szCs w:val="24"/>
        </w:rPr>
        <w:t>“</w:t>
      </w:r>
      <w:hyperlink r:id="rId21" w:history="1">
        <w:r w:rsidR="00404A1D" w:rsidRPr="00404A1D">
          <w:rPr>
            <w:rStyle w:val="Hyperlink"/>
            <w:rFonts w:ascii="Arial" w:hAnsi="Arial"/>
            <w:color w:val="auto"/>
            <w:szCs w:val="24"/>
          </w:rPr>
          <w:t>http://docs.cpuc.ca.gov/PublishedDocs/Published/G000/M079/K5 33/79533378.PDF</w:t>
        </w:r>
      </w:hyperlink>
      <w:r w:rsidR="00404A1D">
        <w:rPr>
          <w:rFonts w:ascii="Arial" w:hAnsi="Arial"/>
          <w:szCs w:val="24"/>
        </w:rPr>
        <w:t>”</w:t>
      </w:r>
    </w:p>
    <w:p w:rsidR="00471BBD" w:rsidRPr="0026236A" w:rsidRDefault="00471BBD" w:rsidP="00404A1D">
      <w:pPr>
        <w:ind w:left="1080"/>
        <w:rPr>
          <w:rFonts w:ascii="Arial" w:hAnsi="Arial"/>
          <w:szCs w:val="24"/>
        </w:rPr>
      </w:pPr>
      <w:r w:rsidRPr="00CA2039">
        <w:rPr>
          <w:rFonts w:ascii="Arial" w:hAnsi="Arial"/>
          <w:szCs w:val="24"/>
        </w:rPr>
        <w:t xml:space="preserve">Added: </w:t>
      </w:r>
      <w:r w:rsidRPr="0026236A">
        <w:rPr>
          <w:rFonts w:ascii="Arial" w:hAnsi="Arial"/>
          <w:szCs w:val="24"/>
        </w:rPr>
        <w:t>“</w:t>
      </w:r>
      <w:hyperlink r:id="rId22" w:history="1">
        <w:r w:rsidR="0046206C" w:rsidRPr="0026236A">
          <w:rPr>
            <w:rStyle w:val="Hyperlink"/>
            <w:rFonts w:ascii="Arial" w:hAnsi="Arial"/>
            <w:color w:val="auto"/>
            <w:szCs w:val="24"/>
          </w:rPr>
          <w:t>http://docs.cpuc.ca.gov/PublishedDocs/Published/G000/M079/K533/79533378.PDF</w:t>
        </w:r>
      </w:hyperlink>
      <w:r w:rsidRPr="0026236A">
        <w:rPr>
          <w:rFonts w:ascii="Arial" w:hAnsi="Arial"/>
          <w:szCs w:val="24"/>
        </w:rPr>
        <w:t xml:space="preserve">” </w:t>
      </w:r>
    </w:p>
    <w:p w:rsidR="0046206C" w:rsidRPr="0026236A" w:rsidRDefault="0046206C" w:rsidP="0046206C">
      <w:pPr>
        <w:pStyle w:val="ListParagraph"/>
        <w:ind w:left="1080"/>
        <w:rPr>
          <w:rFonts w:ascii="Arial" w:hAnsi="Arial"/>
          <w:szCs w:val="24"/>
          <w:lang w:val="en-US"/>
        </w:rPr>
      </w:pPr>
    </w:p>
    <w:p w:rsidR="00404A1D" w:rsidRPr="0026236A" w:rsidRDefault="00471BBD" w:rsidP="00FF46B5">
      <w:pPr>
        <w:numPr>
          <w:ilvl w:val="0"/>
          <w:numId w:val="12"/>
        </w:numPr>
        <w:rPr>
          <w:rFonts w:ascii="Arial" w:hAnsi="Arial"/>
          <w:szCs w:val="24"/>
        </w:rPr>
      </w:pPr>
      <w:r w:rsidRPr="0026236A">
        <w:rPr>
          <w:rFonts w:ascii="Arial" w:hAnsi="Arial"/>
          <w:szCs w:val="24"/>
        </w:rPr>
        <w:t>Page 1</w:t>
      </w:r>
      <w:r w:rsidR="0046206C" w:rsidRPr="0026236A">
        <w:rPr>
          <w:rFonts w:ascii="Arial" w:hAnsi="Arial"/>
          <w:szCs w:val="24"/>
        </w:rPr>
        <w:t>2</w:t>
      </w:r>
      <w:r w:rsidRPr="0026236A">
        <w:rPr>
          <w:rFonts w:ascii="Arial" w:hAnsi="Arial"/>
          <w:szCs w:val="24"/>
        </w:rPr>
        <w:t xml:space="preserve">, </w:t>
      </w:r>
      <w:r w:rsidR="00404A1D" w:rsidRPr="0026236A">
        <w:rPr>
          <w:rFonts w:ascii="Arial" w:hAnsi="Arial"/>
          <w:szCs w:val="24"/>
        </w:rPr>
        <w:t xml:space="preserve">Section D.3. </w:t>
      </w:r>
      <w:r w:rsidR="0046206C" w:rsidRPr="0026236A">
        <w:rPr>
          <w:rFonts w:ascii="Arial" w:hAnsi="Arial"/>
          <w:szCs w:val="24"/>
          <w:lang w:eastAsia="x-none"/>
        </w:rPr>
        <w:t>Applicable Laws, Policies, and Background Documents</w:t>
      </w:r>
      <w:r w:rsidR="00404A1D" w:rsidRPr="0026236A">
        <w:rPr>
          <w:rFonts w:ascii="Arial" w:hAnsi="Arial"/>
          <w:szCs w:val="24"/>
          <w:lang w:eastAsia="x-none"/>
        </w:rPr>
        <w:t>. Policies/Plans.</w:t>
      </w:r>
      <w:r w:rsidR="00404A1D" w:rsidRPr="0026236A">
        <w:rPr>
          <w:rFonts w:ascii="Arial" w:hAnsi="Arial" w:cs="Arial"/>
          <w:szCs w:val="24"/>
          <w:lang w:eastAsia="x-none"/>
        </w:rPr>
        <w:t xml:space="preserve"> </w:t>
      </w:r>
      <w:r w:rsidR="00404A1D" w:rsidRPr="0026236A">
        <w:rPr>
          <w:rFonts w:ascii="Arial" w:hAnsi="Arial" w:cs="Arial"/>
          <w:szCs w:val="22"/>
        </w:rPr>
        <w:t>California’s Existing Buildings Energy Efficiency Action Plan Draft</w:t>
      </w:r>
      <w:r w:rsidR="00404A1D" w:rsidRPr="0026236A">
        <w:rPr>
          <w:rFonts w:ascii="Arial" w:hAnsi="Arial"/>
          <w:szCs w:val="24"/>
        </w:rPr>
        <w:t xml:space="preserve">: </w:t>
      </w:r>
    </w:p>
    <w:p w:rsidR="00404A1D" w:rsidRPr="0026236A" w:rsidRDefault="00471BBD" w:rsidP="00404A1D">
      <w:pPr>
        <w:ind w:left="1080"/>
        <w:rPr>
          <w:rFonts w:ascii="Arial" w:hAnsi="Arial"/>
          <w:szCs w:val="24"/>
        </w:rPr>
      </w:pPr>
      <w:r w:rsidRPr="0026236A">
        <w:rPr>
          <w:rFonts w:ascii="Arial" w:hAnsi="Arial"/>
          <w:szCs w:val="24"/>
        </w:rPr>
        <w:t xml:space="preserve">Deleted: </w:t>
      </w:r>
      <w:r w:rsidR="00404A1D" w:rsidRPr="0026236A">
        <w:rPr>
          <w:rFonts w:ascii="Arial" w:hAnsi="Arial"/>
          <w:szCs w:val="24"/>
        </w:rPr>
        <w:t>“</w:t>
      </w:r>
      <w:r w:rsidR="00404A1D" w:rsidRPr="0026236A">
        <w:rPr>
          <w:rFonts w:ascii="Arial" w:hAnsi="Arial"/>
          <w:szCs w:val="24"/>
          <w:u w:val="single"/>
        </w:rPr>
        <w:t>http://docketpublic.energy.ca.gov/PublicDocuments/15-IEPR-05/TN203806_20150310T093903_California%E2%80%99s_Existing_Buildings_Energy_Efficiency_Action_Plan.pdf</w:t>
      </w:r>
      <w:r w:rsidR="00404A1D" w:rsidRPr="0026236A">
        <w:rPr>
          <w:rFonts w:ascii="Arial" w:hAnsi="Arial"/>
          <w:szCs w:val="24"/>
        </w:rPr>
        <w:t>”</w:t>
      </w:r>
    </w:p>
    <w:p w:rsidR="0046206C" w:rsidRPr="0026236A" w:rsidRDefault="00471BBD" w:rsidP="00404A1D">
      <w:pPr>
        <w:ind w:left="1080"/>
        <w:rPr>
          <w:rFonts w:ascii="Arial" w:hAnsi="Arial"/>
          <w:szCs w:val="24"/>
        </w:rPr>
      </w:pPr>
      <w:r w:rsidRPr="0026236A">
        <w:rPr>
          <w:rFonts w:ascii="Arial" w:hAnsi="Arial"/>
          <w:szCs w:val="24"/>
        </w:rPr>
        <w:t>Added: “</w:t>
      </w:r>
      <w:hyperlink r:id="rId23" w:history="1">
        <w:r w:rsidR="0046206C" w:rsidRPr="0026236A">
          <w:rPr>
            <w:rStyle w:val="Hyperlink"/>
            <w:rFonts w:ascii="Arial" w:hAnsi="Arial"/>
            <w:color w:val="auto"/>
            <w:szCs w:val="24"/>
          </w:rPr>
          <w:t>http://docketpublic.energy.ca.gov/PublicDocuments/15-IEPR-05/TN205919_20150828T153953_Existing</w:t>
        </w:r>
        <w:r w:rsidR="0046206C" w:rsidRPr="0026236A">
          <w:rPr>
            <w:rStyle w:val="Hyperlink"/>
            <w:rFonts w:ascii="Arial" w:hAnsi="Arial"/>
            <w:color w:val="auto"/>
            <w:szCs w:val="24"/>
          </w:rPr>
          <w:t>_</w:t>
        </w:r>
        <w:r w:rsidR="0046206C" w:rsidRPr="0026236A">
          <w:rPr>
            <w:rStyle w:val="Hyperlink"/>
            <w:rFonts w:ascii="Arial" w:hAnsi="Arial"/>
            <w:color w:val="auto"/>
            <w:szCs w:val="24"/>
          </w:rPr>
          <w:t>Buildings_Energy_Efficiency_Action_Plan.pdf</w:t>
        </w:r>
      </w:hyperlink>
      <w:r w:rsidRPr="0026236A">
        <w:rPr>
          <w:rFonts w:ascii="Arial" w:hAnsi="Arial"/>
          <w:szCs w:val="24"/>
        </w:rPr>
        <w:t>”</w:t>
      </w:r>
    </w:p>
    <w:p w:rsidR="0046206C" w:rsidRPr="0026236A" w:rsidRDefault="0046206C" w:rsidP="0046206C">
      <w:pPr>
        <w:pStyle w:val="ListParagraph"/>
        <w:ind w:left="1080"/>
        <w:rPr>
          <w:rFonts w:ascii="Arial" w:hAnsi="Arial"/>
          <w:szCs w:val="24"/>
          <w:lang w:val="en-US"/>
        </w:rPr>
      </w:pPr>
    </w:p>
    <w:p w:rsidR="00FF46B5" w:rsidRPr="0026236A" w:rsidRDefault="00FF46B5" w:rsidP="00FF46B5">
      <w:pPr>
        <w:numPr>
          <w:ilvl w:val="0"/>
          <w:numId w:val="12"/>
        </w:numPr>
        <w:rPr>
          <w:rFonts w:ascii="Arial" w:hAnsi="Arial" w:cs="Arial"/>
          <w:szCs w:val="24"/>
        </w:rPr>
      </w:pPr>
      <w:r w:rsidRPr="0026236A">
        <w:rPr>
          <w:rFonts w:ascii="Arial" w:hAnsi="Arial"/>
          <w:szCs w:val="24"/>
        </w:rPr>
        <w:t xml:space="preserve">Page 13, Section D.3. </w:t>
      </w:r>
      <w:r w:rsidRPr="0026236A">
        <w:rPr>
          <w:rFonts w:ascii="Arial" w:hAnsi="Arial"/>
          <w:szCs w:val="24"/>
          <w:lang w:eastAsia="x-none"/>
        </w:rPr>
        <w:t>Applicable Laws, Policies, and Background Documents. Reference Documents.</w:t>
      </w:r>
      <w:r w:rsidRPr="0026236A">
        <w:rPr>
          <w:rFonts w:ascii="Arial" w:hAnsi="Arial" w:cs="Arial"/>
          <w:szCs w:val="24"/>
          <w:lang w:eastAsia="x-none"/>
        </w:rPr>
        <w:t xml:space="preserve"> </w:t>
      </w:r>
      <w:r w:rsidRPr="0026236A">
        <w:rPr>
          <w:rFonts w:ascii="Arial" w:hAnsi="Arial" w:cs="Arial"/>
        </w:rPr>
        <w:t>California Energy Efficiency Finance Pilots:</w:t>
      </w:r>
    </w:p>
    <w:p w:rsidR="00FF46B5" w:rsidRPr="0026236A" w:rsidRDefault="00FF46B5" w:rsidP="00FF46B5">
      <w:pPr>
        <w:ind w:left="1080"/>
        <w:rPr>
          <w:rFonts w:ascii="Arial" w:hAnsi="Arial"/>
          <w:szCs w:val="24"/>
        </w:rPr>
      </w:pPr>
      <w:r w:rsidRPr="0026236A">
        <w:rPr>
          <w:rFonts w:ascii="Arial" w:hAnsi="Arial"/>
          <w:szCs w:val="24"/>
        </w:rPr>
        <w:t>Deleted: “</w:t>
      </w:r>
      <w:r w:rsidRPr="0026236A">
        <w:rPr>
          <w:rFonts w:ascii="Arial" w:hAnsi="Arial"/>
          <w:szCs w:val="24"/>
          <w:u w:val="single"/>
        </w:rPr>
        <w:t>http://docs.cpuc.ca.gov/PublishedDocs/Published/G000/M077/K1 82/77182202.pdf</w:t>
      </w:r>
      <w:r w:rsidRPr="0026236A">
        <w:rPr>
          <w:rFonts w:ascii="Arial" w:hAnsi="Arial"/>
          <w:szCs w:val="24"/>
        </w:rPr>
        <w:t>”</w:t>
      </w:r>
    </w:p>
    <w:p w:rsidR="00FF46B5" w:rsidRPr="0026236A" w:rsidRDefault="00FF46B5" w:rsidP="00FF46B5">
      <w:pPr>
        <w:ind w:left="1080"/>
        <w:rPr>
          <w:rFonts w:ascii="Arial" w:hAnsi="Arial"/>
          <w:szCs w:val="24"/>
        </w:rPr>
      </w:pPr>
      <w:r w:rsidRPr="0026236A">
        <w:rPr>
          <w:rFonts w:ascii="Arial" w:hAnsi="Arial"/>
          <w:szCs w:val="24"/>
        </w:rPr>
        <w:t>Added: “</w:t>
      </w:r>
      <w:hyperlink r:id="rId24" w:history="1">
        <w:r w:rsidRPr="0026236A">
          <w:rPr>
            <w:rStyle w:val="Hyperlink"/>
            <w:rFonts w:ascii="Arial" w:hAnsi="Arial"/>
            <w:color w:val="auto"/>
            <w:szCs w:val="24"/>
          </w:rPr>
          <w:t>http://www.cpuc.ca.gov/PUC/energy/Energy+Efficiency/Financing.htm</w:t>
        </w:r>
      </w:hyperlink>
      <w:r w:rsidRPr="0026236A">
        <w:rPr>
          <w:rFonts w:ascii="Arial" w:hAnsi="Arial"/>
          <w:szCs w:val="24"/>
        </w:rPr>
        <w:t>”</w:t>
      </w:r>
    </w:p>
    <w:p w:rsidR="00FF46B5" w:rsidRDefault="00FF46B5" w:rsidP="00FF46B5">
      <w:pPr>
        <w:ind w:left="1080"/>
        <w:rPr>
          <w:rFonts w:ascii="Arial" w:hAnsi="Arial"/>
          <w:szCs w:val="24"/>
        </w:rPr>
      </w:pPr>
    </w:p>
    <w:p w:rsidR="00FF46B5" w:rsidRDefault="00FF46B5" w:rsidP="00FF46B5">
      <w:pPr>
        <w:numPr>
          <w:ilvl w:val="0"/>
          <w:numId w:val="12"/>
        </w:numPr>
        <w:rPr>
          <w:rFonts w:ascii="Arial" w:hAnsi="Arial" w:cs="Arial"/>
          <w:szCs w:val="24"/>
        </w:rPr>
      </w:pPr>
      <w:r>
        <w:rPr>
          <w:rFonts w:ascii="Arial" w:hAnsi="Arial" w:cs="Arial"/>
          <w:szCs w:val="24"/>
        </w:rPr>
        <w:t xml:space="preserve">Page 14, Section E.1. Amount Available and Minimum/Maximum Funding Amounts: </w:t>
      </w:r>
    </w:p>
    <w:p w:rsidR="00FF46B5" w:rsidRDefault="00FF46B5" w:rsidP="00FF46B5">
      <w:pPr>
        <w:ind w:left="1080"/>
        <w:rPr>
          <w:rFonts w:ascii="Arial" w:hAnsi="Arial" w:cs="Arial"/>
          <w:szCs w:val="24"/>
        </w:rPr>
      </w:pPr>
      <w:r>
        <w:rPr>
          <w:rFonts w:ascii="Arial" w:hAnsi="Arial" w:cs="Arial"/>
          <w:szCs w:val="24"/>
        </w:rPr>
        <w:t>Deleted: “</w:t>
      </w:r>
      <w:r w:rsidRPr="00FF46B5">
        <w:rPr>
          <w:rFonts w:ascii="Arial" w:hAnsi="Arial" w:cs="Arial"/>
          <w:szCs w:val="24"/>
        </w:rPr>
        <w:t>The eligibility of each project group is determined by the location of the proposed Advanced Energy Community project, not the location of the applicant.</w:t>
      </w:r>
      <w:r>
        <w:rPr>
          <w:rFonts w:ascii="Arial" w:hAnsi="Arial" w:cs="Arial"/>
          <w:szCs w:val="24"/>
        </w:rPr>
        <w:t>”</w:t>
      </w:r>
    </w:p>
    <w:p w:rsidR="00FF46B5" w:rsidRDefault="00FF46B5" w:rsidP="00FF46B5">
      <w:pPr>
        <w:ind w:left="1080"/>
        <w:rPr>
          <w:rFonts w:ascii="Arial" w:hAnsi="Arial" w:cs="Arial"/>
          <w:szCs w:val="24"/>
        </w:rPr>
      </w:pPr>
      <w:r>
        <w:rPr>
          <w:rFonts w:ascii="Arial" w:hAnsi="Arial" w:cs="Arial"/>
          <w:szCs w:val="24"/>
        </w:rPr>
        <w:t>Added: “</w:t>
      </w:r>
      <w:r w:rsidRPr="00FF46B5">
        <w:rPr>
          <w:rFonts w:ascii="Arial" w:hAnsi="Arial" w:cs="Arial"/>
          <w:szCs w:val="24"/>
        </w:rPr>
        <w:t xml:space="preserve">Applicants are not required to have a pre-selected site prior to submitting a proposal. Applicants will self-select which funding group they wish to apply to. Applicants must describe in their proposal the approach for how they plan to select a specific site if they have not done so already. The approach and eventual site must be consistent with the funding group that was applied for. An applicant that applies funding under the disadvantaged </w:t>
      </w:r>
      <w:r w:rsidRPr="00FF46B5">
        <w:rPr>
          <w:rFonts w:ascii="Arial" w:hAnsi="Arial" w:cs="Arial"/>
          <w:szCs w:val="24"/>
        </w:rPr>
        <w:lastRenderedPageBreak/>
        <w:t>communities groups must expend EPIC funds on developments that are located wholly in a disadvantaged community.</w:t>
      </w:r>
      <w:r w:rsidR="00957212">
        <w:rPr>
          <w:rFonts w:ascii="Arial" w:hAnsi="Arial" w:cs="Arial"/>
          <w:szCs w:val="24"/>
        </w:rPr>
        <w:t>”</w:t>
      </w:r>
    </w:p>
    <w:p w:rsidR="00FF46B5" w:rsidRDefault="00FF46B5" w:rsidP="00FF46B5">
      <w:pPr>
        <w:ind w:left="1080"/>
        <w:rPr>
          <w:rFonts w:ascii="Arial" w:hAnsi="Arial" w:cs="Arial"/>
          <w:szCs w:val="24"/>
        </w:rPr>
      </w:pPr>
    </w:p>
    <w:p w:rsidR="00FF46B5" w:rsidRDefault="00FF46B5" w:rsidP="00FF46B5">
      <w:pPr>
        <w:ind w:left="1080"/>
        <w:rPr>
          <w:rFonts w:ascii="Arial" w:hAnsi="Arial" w:cs="Arial"/>
          <w:szCs w:val="24"/>
        </w:rPr>
      </w:pPr>
      <w:r>
        <w:rPr>
          <w:rFonts w:ascii="Arial" w:hAnsi="Arial" w:cs="Arial"/>
          <w:szCs w:val="24"/>
        </w:rPr>
        <w:t xml:space="preserve">Part II. Eligibility Requirements </w:t>
      </w:r>
    </w:p>
    <w:p w:rsidR="00FF46B5" w:rsidRDefault="00FF46B5" w:rsidP="00FF46B5">
      <w:pPr>
        <w:ind w:left="1080"/>
        <w:rPr>
          <w:rFonts w:ascii="Arial" w:hAnsi="Arial" w:cs="Arial"/>
          <w:szCs w:val="24"/>
        </w:rPr>
      </w:pPr>
    </w:p>
    <w:p w:rsidR="00FF46B5" w:rsidRDefault="00FF46B5" w:rsidP="00FF46B5">
      <w:pPr>
        <w:numPr>
          <w:ilvl w:val="0"/>
          <w:numId w:val="12"/>
        </w:numPr>
        <w:rPr>
          <w:rFonts w:ascii="Arial" w:hAnsi="Arial" w:cs="Arial"/>
          <w:szCs w:val="24"/>
        </w:rPr>
      </w:pPr>
      <w:r>
        <w:rPr>
          <w:rFonts w:ascii="Arial" w:hAnsi="Arial" w:cs="Arial"/>
          <w:szCs w:val="24"/>
        </w:rPr>
        <w:t>Page 20, Section B.2. Project Focus:</w:t>
      </w:r>
    </w:p>
    <w:p w:rsidR="00FF46B5" w:rsidRDefault="00FF46B5" w:rsidP="00FF46B5">
      <w:pPr>
        <w:ind w:left="1080"/>
        <w:rPr>
          <w:rFonts w:ascii="Arial" w:hAnsi="Arial" w:cs="Arial"/>
          <w:szCs w:val="24"/>
        </w:rPr>
      </w:pPr>
      <w:r>
        <w:rPr>
          <w:rFonts w:ascii="Arial" w:hAnsi="Arial" w:cs="Arial"/>
          <w:szCs w:val="24"/>
        </w:rPr>
        <w:t>Deleted: “</w:t>
      </w:r>
      <w:r w:rsidRPr="00FF46B5">
        <w:rPr>
          <w:rFonts w:ascii="Arial" w:hAnsi="Arial" w:cs="Arial"/>
          <w:szCs w:val="24"/>
        </w:rPr>
        <w:t>Project teams must include one or more local city or county governments.</w:t>
      </w:r>
      <w:r>
        <w:rPr>
          <w:rFonts w:ascii="Arial" w:hAnsi="Arial" w:cs="Arial"/>
          <w:szCs w:val="24"/>
        </w:rPr>
        <w:t>”</w:t>
      </w:r>
    </w:p>
    <w:p w:rsidR="00FF46B5" w:rsidRDefault="00FF46B5" w:rsidP="00FF46B5">
      <w:pPr>
        <w:ind w:left="1080"/>
        <w:rPr>
          <w:rFonts w:ascii="Arial" w:hAnsi="Arial" w:cs="Arial"/>
          <w:szCs w:val="24"/>
        </w:rPr>
      </w:pPr>
      <w:r>
        <w:rPr>
          <w:rFonts w:ascii="Arial" w:hAnsi="Arial" w:cs="Arial"/>
          <w:szCs w:val="24"/>
        </w:rPr>
        <w:t>Added: “</w:t>
      </w:r>
      <w:r w:rsidRPr="00FF46B5">
        <w:rPr>
          <w:rFonts w:ascii="Arial" w:hAnsi="Arial" w:cs="Arial"/>
          <w:szCs w:val="24"/>
        </w:rPr>
        <w:t>Project teams must include one or more local city</w:t>
      </w:r>
      <w:r w:rsidR="00B242AA">
        <w:rPr>
          <w:rFonts w:ascii="Arial" w:hAnsi="Arial" w:cs="Arial"/>
          <w:szCs w:val="24"/>
        </w:rPr>
        <w:t xml:space="preserve">, </w:t>
      </w:r>
      <w:r w:rsidRPr="00FF46B5">
        <w:rPr>
          <w:rFonts w:ascii="Arial" w:hAnsi="Arial" w:cs="Arial"/>
          <w:szCs w:val="24"/>
        </w:rPr>
        <w:t>county government</w:t>
      </w:r>
      <w:r w:rsidR="003D202B">
        <w:rPr>
          <w:rFonts w:ascii="Arial" w:hAnsi="Arial" w:cs="Arial"/>
          <w:szCs w:val="24"/>
        </w:rPr>
        <w:t>, or</w:t>
      </w:r>
      <w:r w:rsidRPr="00FF46B5">
        <w:rPr>
          <w:rFonts w:ascii="Arial" w:hAnsi="Arial" w:cs="Arial"/>
          <w:szCs w:val="24"/>
        </w:rPr>
        <w:t xml:space="preserve"> organizations connected to city or county governments</w:t>
      </w:r>
      <w:r w:rsidR="00B242AA">
        <w:rPr>
          <w:rFonts w:ascii="Arial" w:hAnsi="Arial" w:cs="Arial"/>
          <w:szCs w:val="24"/>
        </w:rPr>
        <w:t>,</w:t>
      </w:r>
      <w:r w:rsidRPr="00FF46B5">
        <w:rPr>
          <w:rFonts w:ascii="Arial" w:hAnsi="Arial" w:cs="Arial"/>
          <w:szCs w:val="24"/>
        </w:rPr>
        <w:t xml:space="preserve"> such as joint power authorities, council of governments, and housing authorities</w:t>
      </w:r>
      <w:r w:rsidR="00F5439C">
        <w:rPr>
          <w:rFonts w:ascii="Arial" w:hAnsi="Arial" w:cs="Arial"/>
          <w:szCs w:val="24"/>
        </w:rPr>
        <w:t xml:space="preserve"> </w:t>
      </w:r>
      <w:r w:rsidR="00F5439C" w:rsidRPr="00F5439C">
        <w:rPr>
          <w:rFonts w:ascii="Arial" w:hAnsi="Arial" w:cs="Arial"/>
          <w:szCs w:val="24"/>
        </w:rPr>
        <w:t>that have a role in the development process</w:t>
      </w:r>
      <w:r w:rsidRPr="00FF46B5">
        <w:rPr>
          <w:rFonts w:ascii="Arial" w:hAnsi="Arial" w:cs="Arial"/>
          <w:szCs w:val="24"/>
        </w:rPr>
        <w:t>.</w:t>
      </w:r>
      <w:r>
        <w:rPr>
          <w:rFonts w:ascii="Arial" w:hAnsi="Arial" w:cs="Arial"/>
          <w:szCs w:val="24"/>
        </w:rPr>
        <w:t>”</w:t>
      </w:r>
    </w:p>
    <w:p w:rsidR="00FF46B5" w:rsidRDefault="00FF46B5" w:rsidP="00FF46B5">
      <w:pPr>
        <w:ind w:left="1080"/>
        <w:rPr>
          <w:rFonts w:ascii="Arial" w:hAnsi="Arial" w:cs="Arial"/>
          <w:szCs w:val="24"/>
        </w:rPr>
      </w:pPr>
    </w:p>
    <w:p w:rsidR="00FF46B5" w:rsidRDefault="00FF46B5" w:rsidP="00FF46B5">
      <w:pPr>
        <w:ind w:left="1080"/>
        <w:rPr>
          <w:rFonts w:ascii="Arial" w:hAnsi="Arial" w:cs="Arial"/>
          <w:szCs w:val="24"/>
        </w:rPr>
      </w:pPr>
      <w:r>
        <w:rPr>
          <w:rFonts w:ascii="Arial" w:hAnsi="Arial" w:cs="Arial"/>
          <w:szCs w:val="24"/>
        </w:rPr>
        <w:t>Part IV. Evaluation and Award Process</w:t>
      </w:r>
    </w:p>
    <w:p w:rsidR="00FF46B5" w:rsidRDefault="00FF46B5" w:rsidP="00FF46B5">
      <w:pPr>
        <w:ind w:left="1080"/>
        <w:rPr>
          <w:rFonts w:ascii="Arial" w:hAnsi="Arial" w:cs="Arial"/>
          <w:szCs w:val="24"/>
        </w:rPr>
      </w:pPr>
    </w:p>
    <w:p w:rsidR="00FF46B5" w:rsidRDefault="00FF46B5" w:rsidP="00FF46B5">
      <w:pPr>
        <w:numPr>
          <w:ilvl w:val="0"/>
          <w:numId w:val="12"/>
        </w:numPr>
        <w:rPr>
          <w:rFonts w:ascii="Arial" w:hAnsi="Arial" w:cs="Arial"/>
          <w:szCs w:val="24"/>
        </w:rPr>
      </w:pPr>
      <w:r>
        <w:rPr>
          <w:rFonts w:ascii="Arial" w:hAnsi="Arial" w:cs="Arial"/>
          <w:szCs w:val="24"/>
        </w:rPr>
        <w:t>Page 38, Section G.9. Scoring Criteria, Additional Local Government Participation:</w:t>
      </w:r>
    </w:p>
    <w:p w:rsidR="00FF46B5" w:rsidRDefault="00FF46B5" w:rsidP="00FF46B5">
      <w:pPr>
        <w:ind w:left="1080"/>
        <w:rPr>
          <w:rFonts w:ascii="Arial" w:hAnsi="Arial" w:cs="Arial"/>
          <w:szCs w:val="24"/>
        </w:rPr>
      </w:pPr>
      <w:r>
        <w:rPr>
          <w:rFonts w:ascii="Arial" w:hAnsi="Arial" w:cs="Arial"/>
          <w:szCs w:val="24"/>
        </w:rPr>
        <w:t>Deleted: “</w:t>
      </w:r>
      <w:r w:rsidRPr="00FF46B5">
        <w:rPr>
          <w:rFonts w:ascii="Arial" w:hAnsi="Arial" w:cs="Arial"/>
          <w:szCs w:val="24"/>
        </w:rPr>
        <w:t>Additional points will be awarded for project teams that feature participation from additional local governments.</w:t>
      </w:r>
      <w:r w:rsidR="00B242AA">
        <w:rPr>
          <w:rFonts w:ascii="Arial" w:hAnsi="Arial" w:cs="Arial"/>
          <w:szCs w:val="24"/>
        </w:rPr>
        <w:t>”</w:t>
      </w:r>
    </w:p>
    <w:p w:rsidR="00FF46B5" w:rsidRPr="00FF46B5" w:rsidRDefault="00FF46B5" w:rsidP="00D359EA">
      <w:pPr>
        <w:spacing w:after="1200"/>
        <w:ind w:left="1080"/>
        <w:rPr>
          <w:rFonts w:ascii="Arial" w:hAnsi="Arial" w:cs="Arial"/>
          <w:szCs w:val="24"/>
        </w:rPr>
      </w:pPr>
      <w:r>
        <w:rPr>
          <w:rFonts w:ascii="Arial" w:hAnsi="Arial" w:cs="Arial"/>
          <w:szCs w:val="24"/>
        </w:rPr>
        <w:t>Added: “</w:t>
      </w:r>
      <w:r w:rsidRPr="00FF46B5">
        <w:rPr>
          <w:rFonts w:ascii="Arial" w:hAnsi="Arial" w:cs="Arial"/>
          <w:szCs w:val="24"/>
        </w:rPr>
        <w:t>Additional points will be awarded for project teams that feature participation from additional local city or county governments</w:t>
      </w:r>
      <w:r w:rsidR="003D202B">
        <w:rPr>
          <w:rFonts w:ascii="Arial" w:hAnsi="Arial" w:cs="Arial"/>
          <w:szCs w:val="24"/>
        </w:rPr>
        <w:t>,</w:t>
      </w:r>
      <w:r w:rsidRPr="00FF46B5">
        <w:rPr>
          <w:rFonts w:ascii="Arial" w:hAnsi="Arial" w:cs="Arial"/>
          <w:szCs w:val="24"/>
        </w:rPr>
        <w:t xml:space="preserve"> or organizations connected to city or county governments</w:t>
      </w:r>
      <w:r w:rsidR="00B242AA">
        <w:rPr>
          <w:rFonts w:ascii="Arial" w:hAnsi="Arial" w:cs="Arial"/>
          <w:szCs w:val="24"/>
        </w:rPr>
        <w:t>,</w:t>
      </w:r>
      <w:r w:rsidRPr="00FF46B5">
        <w:rPr>
          <w:rFonts w:ascii="Arial" w:hAnsi="Arial" w:cs="Arial"/>
          <w:szCs w:val="24"/>
        </w:rPr>
        <w:t xml:space="preserve"> such as joint power authorities, council of governments, and housing authorities</w:t>
      </w:r>
      <w:r w:rsidR="00F5439C">
        <w:rPr>
          <w:rFonts w:ascii="Arial" w:hAnsi="Arial" w:cs="Arial"/>
          <w:szCs w:val="24"/>
        </w:rPr>
        <w:t xml:space="preserve"> </w:t>
      </w:r>
      <w:r w:rsidR="00F5439C" w:rsidRPr="00F5439C">
        <w:rPr>
          <w:rFonts w:ascii="Arial" w:hAnsi="Arial" w:cs="Arial"/>
          <w:szCs w:val="24"/>
        </w:rPr>
        <w:t>that have a role in the development process</w:t>
      </w:r>
      <w:r w:rsidRPr="00FF46B5">
        <w:rPr>
          <w:rFonts w:ascii="Arial" w:hAnsi="Arial" w:cs="Arial"/>
          <w:szCs w:val="24"/>
        </w:rPr>
        <w:t>.</w:t>
      </w:r>
      <w:r>
        <w:rPr>
          <w:rFonts w:ascii="Arial" w:hAnsi="Arial" w:cs="Arial"/>
          <w:szCs w:val="24"/>
        </w:rPr>
        <w:t>”</w:t>
      </w:r>
      <w:bookmarkStart w:id="0" w:name="_GoBack"/>
      <w:bookmarkEnd w:id="0"/>
    </w:p>
    <w:p w:rsidR="00F751BD" w:rsidRDefault="00E115D9" w:rsidP="00297D5D">
      <w:pPr>
        <w:keepNext/>
        <w:autoSpaceDE w:val="0"/>
        <w:autoSpaceDN w:val="0"/>
        <w:adjustRightInd w:val="0"/>
        <w:ind w:left="720"/>
        <w:rPr>
          <w:rFonts w:ascii="Arial" w:hAnsi="Arial" w:cs="Arial"/>
          <w:b/>
          <w:szCs w:val="24"/>
        </w:rPr>
      </w:pPr>
      <w:r>
        <w:rPr>
          <w:rFonts w:ascii="Arial" w:hAnsi="Arial" w:cs="Arial"/>
          <w:b/>
          <w:szCs w:val="24"/>
        </w:rPr>
        <w:t>Janna Franks</w:t>
      </w:r>
    </w:p>
    <w:p w:rsidR="00F751BD" w:rsidRPr="000D3C45" w:rsidRDefault="00F751BD" w:rsidP="00297D5D">
      <w:pPr>
        <w:keepNext/>
        <w:autoSpaceDE w:val="0"/>
        <w:autoSpaceDN w:val="0"/>
        <w:adjustRightInd w:val="0"/>
        <w:ind w:left="720"/>
        <w:rPr>
          <w:rFonts w:ascii="Arial" w:hAnsi="Arial" w:cs="Arial"/>
          <w:b/>
          <w:szCs w:val="24"/>
        </w:rPr>
      </w:pPr>
      <w:r>
        <w:rPr>
          <w:rFonts w:ascii="Arial" w:hAnsi="Arial" w:cs="Arial"/>
          <w:b/>
          <w:szCs w:val="24"/>
        </w:rPr>
        <w:t>Commission Agreement Officer</w:t>
      </w:r>
    </w:p>
    <w:p w:rsidR="008B10D3" w:rsidRPr="008B10D3" w:rsidRDefault="008B10D3" w:rsidP="00F751BD">
      <w:pPr>
        <w:jc w:val="center"/>
        <w:rPr>
          <w:rFonts w:ascii="Arial" w:hAnsi="Arial"/>
          <w:b/>
          <w:szCs w:val="24"/>
        </w:rPr>
      </w:pPr>
    </w:p>
    <w:sectPr w:rsidR="008B10D3" w:rsidRPr="008B10D3" w:rsidSect="00905C5B">
      <w:footerReference w:type="default" r:id="rId25"/>
      <w:type w:val="continuous"/>
      <w:pgSz w:w="12240" w:h="15840"/>
      <w:pgMar w:top="1440" w:right="1440" w:bottom="144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C0C" w:rsidRDefault="005A1C0C" w:rsidP="00407C63">
      <w:r>
        <w:separator/>
      </w:r>
    </w:p>
  </w:endnote>
  <w:endnote w:type="continuationSeparator" w:id="0">
    <w:p w:rsidR="005A1C0C" w:rsidRDefault="005A1C0C" w:rsidP="0040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9EA" w:rsidRDefault="00D35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916" w:rsidRPr="00407C63" w:rsidRDefault="00904916" w:rsidP="00D359EA">
    <w:pPr>
      <w:tabs>
        <w:tab w:val="right" w:pos="6030"/>
      </w:tabs>
      <w:ind w:right="18"/>
      <w:jc w:val="right"/>
      <w:rPr>
        <w:rFonts w:ascii="Arial" w:hAnsi="Arial" w:cs="Arial"/>
      </w:rPr>
    </w:pPr>
    <w:r w:rsidRPr="00407C63">
      <w:rPr>
        <w:rFonts w:ascii="Arial" w:hAnsi="Arial" w:cs="Arial"/>
      </w:rPr>
      <w:t xml:space="preserve">Page </w:t>
    </w:r>
    <w:r w:rsidRPr="00407C63">
      <w:rPr>
        <w:rFonts w:ascii="Arial" w:hAnsi="Arial" w:cs="Arial"/>
      </w:rPr>
      <w:fldChar w:fldCharType="begin"/>
    </w:r>
    <w:r w:rsidRPr="00407C63">
      <w:rPr>
        <w:rFonts w:ascii="Arial" w:hAnsi="Arial" w:cs="Arial"/>
      </w:rPr>
      <w:instrText xml:space="preserve"> PAGE </w:instrText>
    </w:r>
    <w:r w:rsidRPr="00407C63">
      <w:rPr>
        <w:rFonts w:ascii="Arial" w:hAnsi="Arial" w:cs="Arial"/>
      </w:rPr>
      <w:fldChar w:fldCharType="separate"/>
    </w:r>
    <w:r w:rsidR="00D359EA">
      <w:rPr>
        <w:rFonts w:ascii="Arial" w:hAnsi="Arial" w:cs="Arial"/>
        <w:noProof/>
      </w:rPr>
      <w:t>1</w:t>
    </w:r>
    <w:r w:rsidRPr="00407C63">
      <w:rPr>
        <w:rFonts w:ascii="Arial" w:hAnsi="Arial" w:cs="Arial"/>
      </w:rPr>
      <w:fldChar w:fldCharType="end"/>
    </w:r>
    <w:r w:rsidRPr="00407C63">
      <w:rPr>
        <w:rFonts w:ascii="Arial" w:hAnsi="Arial" w:cs="Arial"/>
      </w:rPr>
      <w:t xml:space="preserve"> of </w:t>
    </w:r>
    <w:r w:rsidRPr="00407C63">
      <w:rPr>
        <w:rFonts w:ascii="Arial" w:hAnsi="Arial" w:cs="Arial"/>
      </w:rPr>
      <w:fldChar w:fldCharType="begin"/>
    </w:r>
    <w:r w:rsidRPr="00407C63">
      <w:rPr>
        <w:rFonts w:ascii="Arial" w:hAnsi="Arial" w:cs="Arial"/>
      </w:rPr>
      <w:instrText xml:space="preserve"> NUMPAGES  </w:instrText>
    </w:r>
    <w:r w:rsidRPr="00407C63">
      <w:rPr>
        <w:rFonts w:ascii="Arial" w:hAnsi="Arial" w:cs="Arial"/>
      </w:rPr>
      <w:fldChar w:fldCharType="separate"/>
    </w:r>
    <w:r w:rsidR="00D359EA">
      <w:rPr>
        <w:rFonts w:ascii="Arial" w:hAnsi="Arial" w:cs="Arial"/>
        <w:noProof/>
      </w:rPr>
      <w:t>3</w:t>
    </w:r>
    <w:r w:rsidRPr="00407C63">
      <w:rPr>
        <w:rFonts w:ascii="Arial" w:hAnsi="Arial" w:cs="Arial"/>
      </w:rPr>
      <w:fldChar w:fldCharType="end"/>
    </w:r>
    <w:r w:rsidR="00D359EA">
      <w:rPr>
        <w:rFonts w:ascii="Arial" w:hAnsi="Arial" w:cs="Arial"/>
      </w:rPr>
      <w:tab/>
    </w:r>
    <w:r w:rsidR="00297D5D">
      <w:rPr>
        <w:rFonts w:ascii="Arial" w:hAnsi="Arial" w:cs="Arial"/>
      </w:rPr>
      <w:t>GFO-15-312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9EA" w:rsidRDefault="00D359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0FC" w:rsidRPr="00407C63" w:rsidRDefault="004A70FC" w:rsidP="00D359EA">
    <w:pPr>
      <w:tabs>
        <w:tab w:val="right" w:pos="6210"/>
      </w:tabs>
      <w:ind w:right="-900"/>
      <w:jc w:val="right"/>
      <w:rPr>
        <w:rFonts w:ascii="Arial" w:hAnsi="Arial" w:cs="Arial"/>
      </w:rPr>
    </w:pPr>
    <w:r w:rsidRPr="00407C63">
      <w:rPr>
        <w:rFonts w:ascii="Arial" w:hAnsi="Arial" w:cs="Arial"/>
      </w:rPr>
      <w:t xml:space="preserve">Page </w:t>
    </w:r>
    <w:r w:rsidRPr="00407C63">
      <w:rPr>
        <w:rFonts w:ascii="Arial" w:hAnsi="Arial" w:cs="Arial"/>
      </w:rPr>
      <w:fldChar w:fldCharType="begin"/>
    </w:r>
    <w:r w:rsidRPr="00407C63">
      <w:rPr>
        <w:rFonts w:ascii="Arial" w:hAnsi="Arial" w:cs="Arial"/>
      </w:rPr>
      <w:instrText xml:space="preserve"> PAGE </w:instrText>
    </w:r>
    <w:r w:rsidRPr="00407C63">
      <w:rPr>
        <w:rFonts w:ascii="Arial" w:hAnsi="Arial" w:cs="Arial"/>
      </w:rPr>
      <w:fldChar w:fldCharType="separate"/>
    </w:r>
    <w:r w:rsidR="00D359EA">
      <w:rPr>
        <w:rFonts w:ascii="Arial" w:hAnsi="Arial" w:cs="Arial"/>
        <w:noProof/>
      </w:rPr>
      <w:t>3</w:t>
    </w:r>
    <w:r w:rsidRPr="00407C63">
      <w:rPr>
        <w:rFonts w:ascii="Arial" w:hAnsi="Arial" w:cs="Arial"/>
      </w:rPr>
      <w:fldChar w:fldCharType="end"/>
    </w:r>
    <w:r w:rsidRPr="00407C63">
      <w:rPr>
        <w:rFonts w:ascii="Arial" w:hAnsi="Arial" w:cs="Arial"/>
      </w:rPr>
      <w:t xml:space="preserve"> of </w:t>
    </w:r>
    <w:r w:rsidRPr="00407C63">
      <w:rPr>
        <w:rFonts w:ascii="Arial" w:hAnsi="Arial" w:cs="Arial"/>
      </w:rPr>
      <w:fldChar w:fldCharType="begin"/>
    </w:r>
    <w:r w:rsidRPr="00407C63">
      <w:rPr>
        <w:rFonts w:ascii="Arial" w:hAnsi="Arial" w:cs="Arial"/>
      </w:rPr>
      <w:instrText xml:space="preserve"> NUMPAGES  </w:instrText>
    </w:r>
    <w:r w:rsidRPr="00407C63">
      <w:rPr>
        <w:rFonts w:ascii="Arial" w:hAnsi="Arial" w:cs="Arial"/>
      </w:rPr>
      <w:fldChar w:fldCharType="separate"/>
    </w:r>
    <w:r w:rsidR="00D359EA">
      <w:rPr>
        <w:rFonts w:ascii="Arial" w:hAnsi="Arial" w:cs="Arial"/>
        <w:noProof/>
      </w:rPr>
      <w:t>3</w:t>
    </w:r>
    <w:r w:rsidRPr="00407C63">
      <w:rPr>
        <w:rFonts w:ascii="Arial" w:hAnsi="Arial" w:cs="Arial"/>
      </w:rPr>
      <w:fldChar w:fldCharType="end"/>
    </w:r>
    <w:r>
      <w:rPr>
        <w:rFonts w:ascii="Arial" w:hAnsi="Arial" w:cs="Arial"/>
      </w:rPr>
      <w:tab/>
      <w:t>GFO-15-312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C0C" w:rsidRDefault="005A1C0C" w:rsidP="00407C63">
      <w:r>
        <w:separator/>
      </w:r>
    </w:p>
  </w:footnote>
  <w:footnote w:type="continuationSeparator" w:id="0">
    <w:p w:rsidR="005A1C0C" w:rsidRDefault="005A1C0C" w:rsidP="00407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9EA" w:rsidRDefault="00D359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9EA" w:rsidRDefault="00D359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9EA" w:rsidRDefault="00D35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6F22"/>
    <w:multiLevelType w:val="hybridMultilevel"/>
    <w:tmpl w:val="0BD08A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5C48"/>
    <w:multiLevelType w:val="hybridMultilevel"/>
    <w:tmpl w:val="16283D7C"/>
    <w:lvl w:ilvl="0" w:tplc="A9605C52">
      <w:start w:val="8"/>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10245"/>
    <w:multiLevelType w:val="hybridMultilevel"/>
    <w:tmpl w:val="FE1E84A2"/>
    <w:lvl w:ilvl="0" w:tplc="ADE22B2E">
      <w:start w:val="1"/>
      <w:numFmt w:val="decimal"/>
      <w:lvlText w:val="%1."/>
      <w:lvlJc w:val="left"/>
      <w:pPr>
        <w:ind w:left="1080" w:hanging="360"/>
      </w:pPr>
      <w:rPr>
        <w:rFonts w:hint="default"/>
        <w:b/>
        <w:lang w:val="x-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DC5AE0"/>
    <w:multiLevelType w:val="hybridMultilevel"/>
    <w:tmpl w:val="4ACC0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4526B"/>
    <w:multiLevelType w:val="hybridMultilevel"/>
    <w:tmpl w:val="0D90BB2E"/>
    <w:lvl w:ilvl="0" w:tplc="355A1432">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50BA0"/>
    <w:multiLevelType w:val="hybridMultilevel"/>
    <w:tmpl w:val="FE0A50B8"/>
    <w:lvl w:ilvl="0" w:tplc="A9605C52">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8828F2"/>
    <w:multiLevelType w:val="hybridMultilevel"/>
    <w:tmpl w:val="5DEC8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10E60"/>
    <w:multiLevelType w:val="hybridMultilevel"/>
    <w:tmpl w:val="4F7CC5F0"/>
    <w:lvl w:ilvl="0" w:tplc="CBECA662">
      <w:start w:val="1"/>
      <w:numFmt w:val="decimal"/>
      <w:lvlText w:val="%1."/>
      <w:lvlJc w:val="left"/>
      <w:pPr>
        <w:ind w:left="720" w:hanging="360"/>
      </w:pPr>
    </w:lvl>
    <w:lvl w:ilvl="1" w:tplc="4DAE65CA">
      <w:start w:val="1"/>
      <w:numFmt w:val="decimal"/>
      <w:lvlText w:val="%2."/>
      <w:lvlJc w:val="left"/>
      <w:pPr>
        <w:tabs>
          <w:tab w:val="num" w:pos="1440"/>
        </w:tabs>
        <w:ind w:left="1440" w:hanging="360"/>
      </w:pPr>
    </w:lvl>
    <w:lvl w:ilvl="2" w:tplc="382EAAEE">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74257632"/>
    <w:multiLevelType w:val="hybridMultilevel"/>
    <w:tmpl w:val="5DEC8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61106C"/>
    <w:multiLevelType w:val="hybridMultilevel"/>
    <w:tmpl w:val="0F105B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FC38C6"/>
    <w:multiLevelType w:val="hybridMultilevel"/>
    <w:tmpl w:val="C520C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9"/>
  </w:num>
  <w:num w:numId="6">
    <w:abstractNumId w:val="2"/>
  </w:num>
  <w:num w:numId="7">
    <w:abstractNumId w:val="6"/>
  </w:num>
  <w:num w:numId="8">
    <w:abstractNumId w:val="8"/>
  </w:num>
  <w:num w:numId="9">
    <w:abstractNumId w:val="3"/>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29"/>
    <w:rsid w:val="00013B44"/>
    <w:rsid w:val="00013BF9"/>
    <w:rsid w:val="000402B1"/>
    <w:rsid w:val="00072491"/>
    <w:rsid w:val="000759C2"/>
    <w:rsid w:val="0007619B"/>
    <w:rsid w:val="00082411"/>
    <w:rsid w:val="0009369B"/>
    <w:rsid w:val="000A1FA1"/>
    <w:rsid w:val="000B4547"/>
    <w:rsid w:val="000C6ED3"/>
    <w:rsid w:val="000E46E0"/>
    <w:rsid w:val="000E797C"/>
    <w:rsid w:val="000F4F70"/>
    <w:rsid w:val="00110764"/>
    <w:rsid w:val="0012236C"/>
    <w:rsid w:val="00196242"/>
    <w:rsid w:val="001B0E8F"/>
    <w:rsid w:val="001E0AB3"/>
    <w:rsid w:val="001E5DFA"/>
    <w:rsid w:val="00207462"/>
    <w:rsid w:val="002131B3"/>
    <w:rsid w:val="00234F89"/>
    <w:rsid w:val="00240F3D"/>
    <w:rsid w:val="0024342B"/>
    <w:rsid w:val="0026236A"/>
    <w:rsid w:val="002823DA"/>
    <w:rsid w:val="002829B9"/>
    <w:rsid w:val="0029465E"/>
    <w:rsid w:val="00297D5D"/>
    <w:rsid w:val="002A117C"/>
    <w:rsid w:val="002A6946"/>
    <w:rsid w:val="002C411F"/>
    <w:rsid w:val="002D4236"/>
    <w:rsid w:val="00302441"/>
    <w:rsid w:val="00305C3E"/>
    <w:rsid w:val="00335100"/>
    <w:rsid w:val="003514D1"/>
    <w:rsid w:val="003523F4"/>
    <w:rsid w:val="00367663"/>
    <w:rsid w:val="00386BA6"/>
    <w:rsid w:val="0039142C"/>
    <w:rsid w:val="003A1CD2"/>
    <w:rsid w:val="003C44DD"/>
    <w:rsid w:val="003D202B"/>
    <w:rsid w:val="003F0FE5"/>
    <w:rsid w:val="003F2913"/>
    <w:rsid w:val="00400E2C"/>
    <w:rsid w:val="004039A3"/>
    <w:rsid w:val="00404A1D"/>
    <w:rsid w:val="00407C63"/>
    <w:rsid w:val="00407DD7"/>
    <w:rsid w:val="00413C5A"/>
    <w:rsid w:val="00423914"/>
    <w:rsid w:val="0045380D"/>
    <w:rsid w:val="00460A53"/>
    <w:rsid w:val="0046206C"/>
    <w:rsid w:val="00471BBD"/>
    <w:rsid w:val="0048538F"/>
    <w:rsid w:val="004A70FC"/>
    <w:rsid w:val="004B0D80"/>
    <w:rsid w:val="004C02CD"/>
    <w:rsid w:val="005042BF"/>
    <w:rsid w:val="00504354"/>
    <w:rsid w:val="005118C0"/>
    <w:rsid w:val="00513C63"/>
    <w:rsid w:val="00516C60"/>
    <w:rsid w:val="00522CD6"/>
    <w:rsid w:val="005253E6"/>
    <w:rsid w:val="00547803"/>
    <w:rsid w:val="0054796E"/>
    <w:rsid w:val="00555F36"/>
    <w:rsid w:val="0056076D"/>
    <w:rsid w:val="00573F3F"/>
    <w:rsid w:val="00575551"/>
    <w:rsid w:val="005856C8"/>
    <w:rsid w:val="005A1C0C"/>
    <w:rsid w:val="005A45C3"/>
    <w:rsid w:val="005A682A"/>
    <w:rsid w:val="005B2FE1"/>
    <w:rsid w:val="005B3F33"/>
    <w:rsid w:val="005C2E84"/>
    <w:rsid w:val="005D604C"/>
    <w:rsid w:val="005E1684"/>
    <w:rsid w:val="005E41B6"/>
    <w:rsid w:val="006339E8"/>
    <w:rsid w:val="0065144D"/>
    <w:rsid w:val="00653AA9"/>
    <w:rsid w:val="006654CB"/>
    <w:rsid w:val="006832C9"/>
    <w:rsid w:val="00683BEA"/>
    <w:rsid w:val="0068789B"/>
    <w:rsid w:val="00687A89"/>
    <w:rsid w:val="006A49DB"/>
    <w:rsid w:val="006B6CD5"/>
    <w:rsid w:val="006D5180"/>
    <w:rsid w:val="006E0BC9"/>
    <w:rsid w:val="006F5805"/>
    <w:rsid w:val="007011DB"/>
    <w:rsid w:val="0070493D"/>
    <w:rsid w:val="00705EAF"/>
    <w:rsid w:val="00717989"/>
    <w:rsid w:val="007208DA"/>
    <w:rsid w:val="00725A2B"/>
    <w:rsid w:val="0074792B"/>
    <w:rsid w:val="00752DF8"/>
    <w:rsid w:val="00753489"/>
    <w:rsid w:val="007762E9"/>
    <w:rsid w:val="007811E1"/>
    <w:rsid w:val="007813ED"/>
    <w:rsid w:val="00784AC8"/>
    <w:rsid w:val="00784EA1"/>
    <w:rsid w:val="0078707C"/>
    <w:rsid w:val="007C1459"/>
    <w:rsid w:val="007C31E2"/>
    <w:rsid w:val="007D3A87"/>
    <w:rsid w:val="007E27C4"/>
    <w:rsid w:val="007E64B6"/>
    <w:rsid w:val="007F146A"/>
    <w:rsid w:val="007F486F"/>
    <w:rsid w:val="00804B5A"/>
    <w:rsid w:val="00806656"/>
    <w:rsid w:val="008141EC"/>
    <w:rsid w:val="00822467"/>
    <w:rsid w:val="00823EEF"/>
    <w:rsid w:val="00843104"/>
    <w:rsid w:val="00847B9B"/>
    <w:rsid w:val="00860B8F"/>
    <w:rsid w:val="008745F0"/>
    <w:rsid w:val="00897A43"/>
    <w:rsid w:val="008A2C48"/>
    <w:rsid w:val="008A6D81"/>
    <w:rsid w:val="008A7702"/>
    <w:rsid w:val="008B10D3"/>
    <w:rsid w:val="008B4DA8"/>
    <w:rsid w:val="008C0545"/>
    <w:rsid w:val="008D24C0"/>
    <w:rsid w:val="00904916"/>
    <w:rsid w:val="00905C5B"/>
    <w:rsid w:val="00917033"/>
    <w:rsid w:val="00917BA1"/>
    <w:rsid w:val="00926DC3"/>
    <w:rsid w:val="00937034"/>
    <w:rsid w:val="00954AB6"/>
    <w:rsid w:val="00957212"/>
    <w:rsid w:val="0096156C"/>
    <w:rsid w:val="00966E55"/>
    <w:rsid w:val="00972E88"/>
    <w:rsid w:val="00973420"/>
    <w:rsid w:val="009741F4"/>
    <w:rsid w:val="009944AC"/>
    <w:rsid w:val="00994FA9"/>
    <w:rsid w:val="00997D5A"/>
    <w:rsid w:val="009B25CB"/>
    <w:rsid w:val="009C1529"/>
    <w:rsid w:val="009C7EE9"/>
    <w:rsid w:val="009D1F87"/>
    <w:rsid w:val="009F1786"/>
    <w:rsid w:val="009F45A2"/>
    <w:rsid w:val="00A10357"/>
    <w:rsid w:val="00A22C65"/>
    <w:rsid w:val="00A316BD"/>
    <w:rsid w:val="00A41DB5"/>
    <w:rsid w:val="00A71426"/>
    <w:rsid w:val="00A906FE"/>
    <w:rsid w:val="00A91957"/>
    <w:rsid w:val="00AA1623"/>
    <w:rsid w:val="00AA1DAE"/>
    <w:rsid w:val="00AA6928"/>
    <w:rsid w:val="00AB3491"/>
    <w:rsid w:val="00AB3690"/>
    <w:rsid w:val="00AB55CC"/>
    <w:rsid w:val="00AD35F8"/>
    <w:rsid w:val="00AD3EC4"/>
    <w:rsid w:val="00AE1C98"/>
    <w:rsid w:val="00AF5851"/>
    <w:rsid w:val="00B032D1"/>
    <w:rsid w:val="00B03A18"/>
    <w:rsid w:val="00B04A26"/>
    <w:rsid w:val="00B21313"/>
    <w:rsid w:val="00B242AA"/>
    <w:rsid w:val="00B5130A"/>
    <w:rsid w:val="00B605F2"/>
    <w:rsid w:val="00B725DB"/>
    <w:rsid w:val="00B73F41"/>
    <w:rsid w:val="00B97DF3"/>
    <w:rsid w:val="00BA3845"/>
    <w:rsid w:val="00BC1559"/>
    <w:rsid w:val="00BD0D27"/>
    <w:rsid w:val="00BE46F9"/>
    <w:rsid w:val="00BF574D"/>
    <w:rsid w:val="00BF72E6"/>
    <w:rsid w:val="00C00884"/>
    <w:rsid w:val="00C023A6"/>
    <w:rsid w:val="00C06B3B"/>
    <w:rsid w:val="00C126D4"/>
    <w:rsid w:val="00C20EFE"/>
    <w:rsid w:val="00C22AA7"/>
    <w:rsid w:val="00C31564"/>
    <w:rsid w:val="00C37240"/>
    <w:rsid w:val="00C40A56"/>
    <w:rsid w:val="00C51FF7"/>
    <w:rsid w:val="00C70157"/>
    <w:rsid w:val="00C8139E"/>
    <w:rsid w:val="00C902E6"/>
    <w:rsid w:val="00C9147B"/>
    <w:rsid w:val="00C94806"/>
    <w:rsid w:val="00CA2039"/>
    <w:rsid w:val="00CB6F6C"/>
    <w:rsid w:val="00CC12B2"/>
    <w:rsid w:val="00CC38EC"/>
    <w:rsid w:val="00CD03F0"/>
    <w:rsid w:val="00CD329C"/>
    <w:rsid w:val="00CD3E87"/>
    <w:rsid w:val="00CE38AE"/>
    <w:rsid w:val="00CF0338"/>
    <w:rsid w:val="00D0588C"/>
    <w:rsid w:val="00D230D4"/>
    <w:rsid w:val="00D2506B"/>
    <w:rsid w:val="00D30B92"/>
    <w:rsid w:val="00D359EA"/>
    <w:rsid w:val="00D41A36"/>
    <w:rsid w:val="00D47F89"/>
    <w:rsid w:val="00D5157B"/>
    <w:rsid w:val="00D5384D"/>
    <w:rsid w:val="00D60D15"/>
    <w:rsid w:val="00D90411"/>
    <w:rsid w:val="00DA079C"/>
    <w:rsid w:val="00DB4803"/>
    <w:rsid w:val="00DC0E8D"/>
    <w:rsid w:val="00DC7176"/>
    <w:rsid w:val="00DD12EA"/>
    <w:rsid w:val="00DF3FC1"/>
    <w:rsid w:val="00E006D0"/>
    <w:rsid w:val="00E115D9"/>
    <w:rsid w:val="00E1486F"/>
    <w:rsid w:val="00E23235"/>
    <w:rsid w:val="00E46D72"/>
    <w:rsid w:val="00E47215"/>
    <w:rsid w:val="00E62D12"/>
    <w:rsid w:val="00E75415"/>
    <w:rsid w:val="00E91134"/>
    <w:rsid w:val="00E94787"/>
    <w:rsid w:val="00EB369F"/>
    <w:rsid w:val="00EC41ED"/>
    <w:rsid w:val="00EE6255"/>
    <w:rsid w:val="00F11CE1"/>
    <w:rsid w:val="00F1584B"/>
    <w:rsid w:val="00F27C23"/>
    <w:rsid w:val="00F5439C"/>
    <w:rsid w:val="00F629A8"/>
    <w:rsid w:val="00F751BD"/>
    <w:rsid w:val="00F8425C"/>
    <w:rsid w:val="00F96DEE"/>
    <w:rsid w:val="00FA2B28"/>
    <w:rsid w:val="00FA3066"/>
    <w:rsid w:val="00FC708B"/>
    <w:rsid w:val="00FD11A3"/>
    <w:rsid w:val="00FD4E63"/>
    <w:rsid w:val="00FF3D0C"/>
    <w:rsid w:val="00FF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E0375B5"/>
  <w15:chartTrackingRefBased/>
  <w15:docId w15:val="{34A866E6-6D89-484E-8A85-D2A36E32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529"/>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5C5B"/>
    <w:rPr>
      <w:rFonts w:ascii="Tahoma" w:hAnsi="Tahoma" w:cs="Tahoma"/>
      <w:sz w:val="16"/>
      <w:szCs w:val="16"/>
    </w:rPr>
  </w:style>
  <w:style w:type="paragraph" w:styleId="ListParagraph">
    <w:name w:val="List Paragraph"/>
    <w:basedOn w:val="Normal"/>
    <w:link w:val="ListParagraphChar"/>
    <w:uiPriority w:val="34"/>
    <w:qFormat/>
    <w:rsid w:val="007F486F"/>
    <w:pPr>
      <w:ind w:left="720"/>
      <w:contextualSpacing/>
    </w:pPr>
    <w:rPr>
      <w:lang w:val="x-none" w:eastAsia="x-none"/>
    </w:rPr>
  </w:style>
  <w:style w:type="paragraph" w:styleId="Header">
    <w:name w:val="header"/>
    <w:basedOn w:val="Normal"/>
    <w:link w:val="HeaderChar"/>
    <w:uiPriority w:val="99"/>
    <w:unhideWhenUsed/>
    <w:rsid w:val="00407C63"/>
    <w:pPr>
      <w:tabs>
        <w:tab w:val="center" w:pos="4680"/>
        <w:tab w:val="right" w:pos="9360"/>
      </w:tabs>
    </w:pPr>
  </w:style>
  <w:style w:type="character" w:customStyle="1" w:styleId="HeaderChar">
    <w:name w:val="Header Char"/>
    <w:link w:val="Header"/>
    <w:uiPriority w:val="99"/>
    <w:rsid w:val="00407C63"/>
    <w:rPr>
      <w:sz w:val="24"/>
    </w:rPr>
  </w:style>
  <w:style w:type="paragraph" w:styleId="Footer">
    <w:name w:val="footer"/>
    <w:basedOn w:val="Normal"/>
    <w:link w:val="FooterChar"/>
    <w:uiPriority w:val="99"/>
    <w:unhideWhenUsed/>
    <w:rsid w:val="00407C63"/>
    <w:pPr>
      <w:tabs>
        <w:tab w:val="center" w:pos="4680"/>
        <w:tab w:val="right" w:pos="9360"/>
      </w:tabs>
    </w:pPr>
  </w:style>
  <w:style w:type="character" w:customStyle="1" w:styleId="FooterChar">
    <w:name w:val="Footer Char"/>
    <w:link w:val="Footer"/>
    <w:uiPriority w:val="99"/>
    <w:rsid w:val="00407C63"/>
    <w:rPr>
      <w:sz w:val="24"/>
    </w:rPr>
  </w:style>
  <w:style w:type="character" w:styleId="Hyperlink">
    <w:name w:val="Hyperlink"/>
    <w:uiPriority w:val="99"/>
    <w:unhideWhenUsed/>
    <w:rsid w:val="00E47215"/>
    <w:rPr>
      <w:color w:val="0000FF"/>
      <w:u w:val="single"/>
    </w:rPr>
  </w:style>
  <w:style w:type="character" w:customStyle="1" w:styleId="ListParagraphChar">
    <w:name w:val="List Paragraph Char"/>
    <w:link w:val="ListParagraph"/>
    <w:uiPriority w:val="34"/>
    <w:rsid w:val="002829B9"/>
    <w:rPr>
      <w:sz w:val="24"/>
    </w:rPr>
  </w:style>
  <w:style w:type="character" w:customStyle="1" w:styleId="apple-converted-space">
    <w:name w:val="apple-converted-space"/>
    <w:rsid w:val="00CA2039"/>
  </w:style>
  <w:style w:type="character" w:styleId="FollowedHyperlink">
    <w:name w:val="FollowedHyperlink"/>
    <w:uiPriority w:val="99"/>
    <w:semiHidden/>
    <w:unhideWhenUsed/>
    <w:rsid w:val="005118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869130">
      <w:bodyDiv w:val="1"/>
      <w:marLeft w:val="0"/>
      <w:marRight w:val="0"/>
      <w:marTop w:val="0"/>
      <w:marBottom w:val="0"/>
      <w:divBdr>
        <w:top w:val="none" w:sz="0" w:space="0" w:color="auto"/>
        <w:left w:val="none" w:sz="0" w:space="0" w:color="auto"/>
        <w:bottom w:val="none" w:sz="0" w:space="0" w:color="auto"/>
        <w:right w:val="none" w:sz="0" w:space="0" w:color="auto"/>
      </w:divBdr>
    </w:div>
    <w:div w:id="1477338319">
      <w:bodyDiv w:val="1"/>
      <w:marLeft w:val="0"/>
      <w:marRight w:val="0"/>
      <w:marTop w:val="0"/>
      <w:marBottom w:val="0"/>
      <w:divBdr>
        <w:top w:val="none" w:sz="0" w:space="0" w:color="auto"/>
        <w:left w:val="none" w:sz="0" w:space="0" w:color="auto"/>
        <w:bottom w:val="none" w:sz="0" w:space="0" w:color="auto"/>
        <w:right w:val="none" w:sz="0" w:space="0" w:color="auto"/>
      </w:divBdr>
    </w:div>
    <w:div w:id="20354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hyperlink" Target="http://www.cpuc.ca.gov/PUC/energy/dr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cs.cpuc.ca.gov/PublishedDocs/Published/G000/M079/K5%2033/79533378.PDF"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leginfo.legislature.ca.gov/faces/billNavClient.xhtml?bill_id=200920100AB2514"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leginfo.ca.gov/pub/09-10/bill/asm/ab_2501-2550/ab_2514_bill_20100929_%20chaptered.pdf" TargetMode="External"/><Relationship Id="rId20" Type="http://schemas.openxmlformats.org/officeDocument/2006/relationships/hyperlink" Target="http://www.energy.ca.gov/bioenergy_action_pla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cpuc.ca.gov/PUC/energy/Energy+Efficiency/Financing.htm" TargetMode="External"/><Relationship Id="rId5" Type="http://schemas.openxmlformats.org/officeDocument/2006/relationships/footnotes" Target="footnotes.xml"/><Relationship Id="rId15" Type="http://schemas.openxmlformats.org/officeDocument/2006/relationships/hyperlink" Target="http://www.cpuc.ca.gov/PUC/energy/storage.htm" TargetMode="External"/><Relationship Id="rId23" Type="http://schemas.openxmlformats.org/officeDocument/2006/relationships/hyperlink" Target="http://docketpublic.energy.ca.gov/PublicDocuments/15-IEPR-05/TN205919_20150828T153953_Existing_Buildings_Energy_Efficiency_Action_Plan.pdf" TargetMode="External"/><Relationship Id="rId10" Type="http://schemas.openxmlformats.org/officeDocument/2006/relationships/header" Target="header2.xml"/><Relationship Id="rId19" Type="http://schemas.openxmlformats.org/officeDocument/2006/relationships/hyperlink" Target="http://www.resources.ca.gov/docs/2012_Bioenergy_Action_Plan.pdf"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docs.cpuc.ca.gov/PublishedDocs/Published/G000/M079/K533/79533378.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STATE OF CALIFORNIA – THE RESOURCES AGENCY</vt:lpstr>
    </vt:vector>
  </TitlesOfParts>
  <Company>California Energy Commission</Company>
  <LinksUpToDate>false</LinksUpToDate>
  <CharactersWithSpaces>6015</CharactersWithSpaces>
  <SharedDoc>false</SharedDoc>
  <HLinks>
    <vt:vector size="60" baseType="variant">
      <vt:variant>
        <vt:i4>4915276</vt:i4>
      </vt:variant>
      <vt:variant>
        <vt:i4>27</vt:i4>
      </vt:variant>
      <vt:variant>
        <vt:i4>0</vt:i4>
      </vt:variant>
      <vt:variant>
        <vt:i4>5</vt:i4>
      </vt:variant>
      <vt:variant>
        <vt:lpwstr>http://www.cpuc.ca.gov/PUC/energy/Energy+Efficiency/Financing.htm</vt:lpwstr>
      </vt:variant>
      <vt:variant>
        <vt:lpwstr/>
      </vt:variant>
      <vt:variant>
        <vt:i4>6357076</vt:i4>
      </vt:variant>
      <vt:variant>
        <vt:i4>24</vt:i4>
      </vt:variant>
      <vt:variant>
        <vt:i4>0</vt:i4>
      </vt:variant>
      <vt:variant>
        <vt:i4>5</vt:i4>
      </vt:variant>
      <vt:variant>
        <vt:lpwstr>http://docketpublic.energy.ca.gov/PublicDocuments/15-IEPR-05/TN205919_20150828T153953_Existing_Buildings_Energy_Efficiency_Action_Plan.pdf</vt:lpwstr>
      </vt:variant>
      <vt:variant>
        <vt:lpwstr/>
      </vt:variant>
      <vt:variant>
        <vt:i4>2359350</vt:i4>
      </vt:variant>
      <vt:variant>
        <vt:i4>21</vt:i4>
      </vt:variant>
      <vt:variant>
        <vt:i4>0</vt:i4>
      </vt:variant>
      <vt:variant>
        <vt:i4>5</vt:i4>
      </vt:variant>
      <vt:variant>
        <vt:lpwstr>http://docs.cpuc.ca.gov/PublishedDocs/Published/G000/M079/K533/79533378.PDF</vt:lpwstr>
      </vt:variant>
      <vt:variant>
        <vt:lpwstr/>
      </vt:variant>
      <vt:variant>
        <vt:i4>5242884</vt:i4>
      </vt:variant>
      <vt:variant>
        <vt:i4>18</vt:i4>
      </vt:variant>
      <vt:variant>
        <vt:i4>0</vt:i4>
      </vt:variant>
      <vt:variant>
        <vt:i4>5</vt:i4>
      </vt:variant>
      <vt:variant>
        <vt:lpwstr>http://docs.cpuc.ca.gov/PublishedDocs/Published/G000/M079/K5 33/79533378.PDF</vt:lpwstr>
      </vt:variant>
      <vt:variant>
        <vt:lpwstr/>
      </vt:variant>
      <vt:variant>
        <vt:i4>6094876</vt:i4>
      </vt:variant>
      <vt:variant>
        <vt:i4>15</vt:i4>
      </vt:variant>
      <vt:variant>
        <vt:i4>0</vt:i4>
      </vt:variant>
      <vt:variant>
        <vt:i4>5</vt:i4>
      </vt:variant>
      <vt:variant>
        <vt:lpwstr>http://www.energy.ca.gov/bioenergy_action_plan/</vt:lpwstr>
      </vt:variant>
      <vt:variant>
        <vt:lpwstr/>
      </vt:variant>
      <vt:variant>
        <vt:i4>7077894</vt:i4>
      </vt:variant>
      <vt:variant>
        <vt:i4>12</vt:i4>
      </vt:variant>
      <vt:variant>
        <vt:i4>0</vt:i4>
      </vt:variant>
      <vt:variant>
        <vt:i4>5</vt:i4>
      </vt:variant>
      <vt:variant>
        <vt:lpwstr>http://www.resources.ca.gov/docs/2012_Bioenergy_Action_Plan.pdf</vt:lpwstr>
      </vt:variant>
      <vt:variant>
        <vt:lpwstr/>
      </vt:variant>
      <vt:variant>
        <vt:i4>6619237</vt:i4>
      </vt:variant>
      <vt:variant>
        <vt:i4>9</vt:i4>
      </vt:variant>
      <vt:variant>
        <vt:i4>0</vt:i4>
      </vt:variant>
      <vt:variant>
        <vt:i4>5</vt:i4>
      </vt:variant>
      <vt:variant>
        <vt:lpwstr>http://www.cpuc.ca.gov/PUC/energy/drp/</vt:lpwstr>
      </vt:variant>
      <vt:variant>
        <vt:lpwstr/>
      </vt:variant>
      <vt:variant>
        <vt:i4>2097243</vt:i4>
      </vt:variant>
      <vt:variant>
        <vt:i4>6</vt:i4>
      </vt:variant>
      <vt:variant>
        <vt:i4>0</vt:i4>
      </vt:variant>
      <vt:variant>
        <vt:i4>5</vt:i4>
      </vt:variant>
      <vt:variant>
        <vt:lpwstr>http://leginfo.legislature.ca.gov/faces/billNavClient.xhtml?bill_id=200920100AB2514</vt:lpwstr>
      </vt:variant>
      <vt:variant>
        <vt:lpwstr/>
      </vt:variant>
      <vt:variant>
        <vt:i4>5832818</vt:i4>
      </vt:variant>
      <vt:variant>
        <vt:i4>3</vt:i4>
      </vt:variant>
      <vt:variant>
        <vt:i4>0</vt:i4>
      </vt:variant>
      <vt:variant>
        <vt:i4>5</vt:i4>
      </vt:variant>
      <vt:variant>
        <vt:lpwstr>http://www.leginfo.ca.gov/pub/09-10/bill/asm/ab_2501-2550/ab_2514_bill_20100929_ chaptered.pdf</vt:lpwstr>
      </vt:variant>
      <vt:variant>
        <vt:lpwstr/>
      </vt:variant>
      <vt:variant>
        <vt:i4>196609</vt:i4>
      </vt:variant>
      <vt:variant>
        <vt:i4>0</vt:i4>
      </vt:variant>
      <vt:variant>
        <vt:i4>0</vt:i4>
      </vt:variant>
      <vt:variant>
        <vt:i4>5</vt:i4>
      </vt:variant>
      <vt:variant>
        <vt:lpwstr>http://www.cpuc.ca.gov/PUC/energy/storage.htm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 THE RESOURCES AGENCY</dc:title>
  <dc:subject/>
  <dc:creator>CEC</dc:creator>
  <cp:keywords/>
  <cp:lastModifiedBy>Lundeen, Albert@Energy</cp:lastModifiedBy>
  <cp:revision>2</cp:revision>
  <cp:lastPrinted>2016-01-05T23:29:00Z</cp:lastPrinted>
  <dcterms:created xsi:type="dcterms:W3CDTF">2019-12-24T18:02:00Z</dcterms:created>
  <dcterms:modified xsi:type="dcterms:W3CDTF">2019-12-24T18:02:00Z</dcterms:modified>
</cp:coreProperties>
</file>