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6263" w14:textId="77777777" w:rsidR="00AD73CA" w:rsidRPr="00102B0E" w:rsidRDefault="00D53E79" w:rsidP="00027FD2">
      <w:pPr>
        <w:jc w:val="center"/>
        <w:rPr>
          <w:rFonts w:ascii="Arial" w:eastAsia="Times New Roman" w:hAnsi="Arial" w:cs="Arial"/>
          <w:b/>
          <w:color w:val="000000"/>
          <w:szCs w:val="22"/>
        </w:rPr>
      </w:pPr>
      <w:bookmarkStart w:id="0" w:name="_GoBack"/>
      <w:bookmarkEnd w:id="0"/>
      <w:r w:rsidRPr="00102B0E">
        <w:rPr>
          <w:rFonts w:ascii="Arial" w:eastAsia="Times New Roman" w:hAnsi="Arial" w:cs="Arial"/>
          <w:b/>
          <w:color w:val="000000"/>
          <w:szCs w:val="22"/>
        </w:rPr>
        <w:t>Questions, Answers, and Clarifications</w:t>
      </w:r>
    </w:p>
    <w:p w14:paraId="4BA057E4" w14:textId="77777777" w:rsidR="00D53E79" w:rsidRPr="00102B0E" w:rsidRDefault="00C924A1" w:rsidP="00027FD2">
      <w:pPr>
        <w:jc w:val="center"/>
        <w:rPr>
          <w:rFonts w:ascii="Arial" w:eastAsia="Times New Roman" w:hAnsi="Arial" w:cs="Arial"/>
          <w:b/>
          <w:color w:val="000000"/>
          <w:szCs w:val="22"/>
        </w:rPr>
      </w:pPr>
      <w:r w:rsidRPr="00C924A1">
        <w:rPr>
          <w:rFonts w:ascii="Arial" w:eastAsia="Times New Roman" w:hAnsi="Arial" w:cs="Arial"/>
          <w:b/>
          <w:color w:val="000000"/>
          <w:szCs w:val="22"/>
        </w:rPr>
        <w:t>Increasing Compliance with the Building Energy Efficiency Standards</w:t>
      </w:r>
    </w:p>
    <w:p w14:paraId="61589D31" w14:textId="77777777" w:rsidR="00D53E79" w:rsidRPr="00102B0E" w:rsidRDefault="00C924A1" w:rsidP="00027FD2">
      <w:pPr>
        <w:jc w:val="center"/>
        <w:rPr>
          <w:rFonts w:ascii="Arial" w:eastAsia="Times New Roman" w:hAnsi="Arial" w:cs="Arial"/>
          <w:b/>
          <w:color w:val="000000"/>
          <w:szCs w:val="22"/>
        </w:rPr>
      </w:pPr>
      <w:r>
        <w:rPr>
          <w:rFonts w:ascii="Arial" w:eastAsia="Times New Roman" w:hAnsi="Arial" w:cs="Arial"/>
          <w:b/>
          <w:color w:val="000000"/>
          <w:szCs w:val="22"/>
        </w:rPr>
        <w:t>IFB</w:t>
      </w:r>
      <w:r w:rsidR="006662A1">
        <w:rPr>
          <w:rFonts w:ascii="Arial" w:eastAsia="Times New Roman" w:hAnsi="Arial" w:cs="Arial"/>
          <w:b/>
          <w:color w:val="000000"/>
          <w:szCs w:val="22"/>
        </w:rPr>
        <w:t>-1</w:t>
      </w:r>
      <w:r>
        <w:rPr>
          <w:rFonts w:ascii="Arial" w:eastAsia="Times New Roman" w:hAnsi="Arial" w:cs="Arial"/>
          <w:b/>
          <w:color w:val="000000"/>
          <w:szCs w:val="22"/>
        </w:rPr>
        <w:t>7</w:t>
      </w:r>
      <w:r w:rsidR="006662A1">
        <w:rPr>
          <w:rFonts w:ascii="Arial" w:eastAsia="Times New Roman" w:hAnsi="Arial" w:cs="Arial"/>
          <w:b/>
          <w:color w:val="000000"/>
          <w:szCs w:val="22"/>
        </w:rPr>
        <w:t>-40</w:t>
      </w:r>
      <w:r>
        <w:rPr>
          <w:rFonts w:ascii="Arial" w:eastAsia="Times New Roman" w:hAnsi="Arial" w:cs="Arial"/>
          <w:b/>
          <w:color w:val="000000"/>
          <w:szCs w:val="22"/>
        </w:rPr>
        <w:t>3</w:t>
      </w:r>
    </w:p>
    <w:p w14:paraId="1F935910" w14:textId="77777777" w:rsidR="00D53E79" w:rsidRPr="008C5AF0" w:rsidRDefault="006662A1" w:rsidP="00027FD2">
      <w:pPr>
        <w:jc w:val="center"/>
        <w:rPr>
          <w:rFonts w:ascii="Arial" w:eastAsia="Times New Roman" w:hAnsi="Arial" w:cs="Arial"/>
          <w:color w:val="000000"/>
          <w:sz w:val="22"/>
          <w:szCs w:val="22"/>
        </w:rPr>
      </w:pPr>
      <w:r>
        <w:rPr>
          <w:rFonts w:ascii="Arial" w:eastAsia="Times New Roman" w:hAnsi="Arial" w:cs="Arial"/>
          <w:color w:val="000000"/>
          <w:sz w:val="22"/>
          <w:szCs w:val="22"/>
        </w:rPr>
        <w:t>Standards</w:t>
      </w:r>
      <w:r w:rsidR="00C924A1">
        <w:rPr>
          <w:rFonts w:ascii="Arial" w:eastAsia="Times New Roman" w:hAnsi="Arial" w:cs="Arial"/>
          <w:color w:val="000000"/>
          <w:sz w:val="22"/>
          <w:szCs w:val="22"/>
        </w:rPr>
        <w:t xml:space="preserve"> Compliance</w:t>
      </w:r>
      <w:r>
        <w:rPr>
          <w:rFonts w:ascii="Arial" w:eastAsia="Times New Roman" w:hAnsi="Arial" w:cs="Arial"/>
          <w:color w:val="000000"/>
          <w:sz w:val="22"/>
          <w:szCs w:val="22"/>
        </w:rPr>
        <w:t xml:space="preserve"> Office, Efficiency Division</w:t>
      </w:r>
    </w:p>
    <w:p w14:paraId="72CC82BE" w14:textId="77777777" w:rsidR="00D53E79" w:rsidRPr="008C5AF0" w:rsidRDefault="00D53E79" w:rsidP="00027FD2">
      <w:pPr>
        <w:jc w:val="center"/>
        <w:rPr>
          <w:rFonts w:ascii="Arial" w:eastAsia="Times New Roman" w:hAnsi="Arial" w:cs="Arial"/>
          <w:color w:val="000000"/>
          <w:sz w:val="22"/>
          <w:szCs w:val="22"/>
        </w:rPr>
      </w:pPr>
      <w:r w:rsidRPr="008C5AF0">
        <w:rPr>
          <w:rFonts w:ascii="Arial" w:eastAsia="Times New Roman" w:hAnsi="Arial" w:cs="Arial"/>
          <w:color w:val="000000"/>
          <w:sz w:val="22"/>
          <w:szCs w:val="22"/>
        </w:rPr>
        <w:t>California Energy Commission</w:t>
      </w:r>
    </w:p>
    <w:p w14:paraId="2AC09B40" w14:textId="77777777" w:rsidR="008B1FE3" w:rsidRPr="003071D6" w:rsidRDefault="008B1FE3" w:rsidP="00DE29A0">
      <w:pPr>
        <w:rPr>
          <w:rFonts w:ascii="Arial" w:eastAsia="Times New Roman" w:hAnsi="Arial" w:cs="Arial"/>
          <w:color w:val="000000"/>
          <w:sz w:val="18"/>
          <w:szCs w:val="18"/>
        </w:rPr>
      </w:pPr>
    </w:p>
    <w:p w14:paraId="3A10B334" w14:textId="77777777" w:rsidR="008B1FE3" w:rsidRDefault="004B3DFD" w:rsidP="00DE29A0">
      <w:hyperlink r:id="rId8" w:history="1">
        <w:r w:rsidR="00393A7C" w:rsidRPr="00FE26E2">
          <w:rPr>
            <w:rStyle w:val="Hyperlink"/>
          </w:rPr>
          <w:t>http://www.energy.ca.gov/contracts/IFB-17-403/</w:t>
        </w:r>
      </w:hyperlink>
    </w:p>
    <w:p w14:paraId="2DB79A46" w14:textId="77777777" w:rsidR="00CC523F" w:rsidRDefault="00CC523F" w:rsidP="00DE29A0">
      <w:pPr>
        <w:rPr>
          <w:rFonts w:ascii="Arial" w:eastAsia="Times New Roman" w:hAnsi="Arial" w:cs="Arial"/>
          <w:color w:val="000000"/>
          <w:sz w:val="18"/>
          <w:szCs w:val="1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835"/>
      </w:tblGrid>
      <w:tr w:rsidR="00CC523F" w:rsidRPr="00B75CD0" w14:paraId="3E42112D" w14:textId="77777777" w:rsidTr="00952CFC">
        <w:tc>
          <w:tcPr>
            <w:tcW w:w="9528" w:type="dxa"/>
            <w:gridSpan w:val="2"/>
            <w:shd w:val="clear" w:color="auto" w:fill="B8CCE4"/>
          </w:tcPr>
          <w:p w14:paraId="77A634BC" w14:textId="77777777" w:rsidR="00CC523F" w:rsidRPr="00B75CD0" w:rsidRDefault="00CC523F" w:rsidP="00952CFC">
            <w:pPr>
              <w:jc w:val="center"/>
              <w:rPr>
                <w:rFonts w:ascii="Arial" w:eastAsia="Times New Roman" w:hAnsi="Arial" w:cs="Arial"/>
                <w:b/>
                <w:color w:val="000000"/>
                <w:sz w:val="22"/>
                <w:szCs w:val="22"/>
              </w:rPr>
            </w:pPr>
            <w:r w:rsidRPr="00C02A31">
              <w:rPr>
                <w:rFonts w:ascii="Arial" w:eastAsia="Times New Roman" w:hAnsi="Arial" w:cs="Arial"/>
                <w:b/>
                <w:color w:val="000000"/>
                <w:sz w:val="22"/>
                <w:szCs w:val="22"/>
              </w:rPr>
              <w:t>Eligibility/Minimum Qualification</w:t>
            </w:r>
          </w:p>
        </w:tc>
      </w:tr>
      <w:tr w:rsidR="00CC523F" w:rsidRPr="00EA3027" w14:paraId="618A5FEC" w14:textId="77777777" w:rsidTr="00952CFC">
        <w:tc>
          <w:tcPr>
            <w:tcW w:w="693" w:type="dxa"/>
          </w:tcPr>
          <w:p w14:paraId="0799AF03" w14:textId="77777777" w:rsidR="00CC523F" w:rsidRPr="00EA3027" w:rsidRDefault="00CC523F" w:rsidP="00952CFC">
            <w:pPr>
              <w:spacing w:before="120" w:after="120"/>
              <w:rPr>
                <w:rFonts w:ascii="Arial" w:eastAsia="Times New Roman" w:hAnsi="Arial" w:cs="Arial"/>
                <w:color w:val="000000"/>
              </w:rPr>
            </w:pPr>
            <w:r>
              <w:rPr>
                <w:rFonts w:ascii="Arial" w:eastAsia="Times New Roman" w:hAnsi="Arial" w:cs="Arial"/>
                <w:color w:val="000000"/>
              </w:rPr>
              <w:t>Q1</w:t>
            </w:r>
          </w:p>
        </w:tc>
        <w:tc>
          <w:tcPr>
            <w:tcW w:w="8835" w:type="dxa"/>
          </w:tcPr>
          <w:p w14:paraId="2DDBBA64" w14:textId="77777777" w:rsidR="00CC523F" w:rsidRPr="00EA3027" w:rsidRDefault="00CC523F" w:rsidP="00952CFC">
            <w:pPr>
              <w:spacing w:before="120" w:after="120"/>
              <w:rPr>
                <w:rFonts w:ascii="Arial" w:eastAsia="Times New Roman" w:hAnsi="Arial" w:cs="Arial"/>
              </w:rPr>
            </w:pPr>
            <w:r w:rsidRPr="00B104E6">
              <w:rPr>
                <w:rFonts w:ascii="Arial" w:eastAsia="Times New Roman" w:hAnsi="Arial" w:cs="Arial"/>
              </w:rPr>
              <w:t>When ConSol bought CHEERS, a certification organization, one of the conditions we agreed to was that ConSol would not do any rating work (ConSol and CHEERS are legally distinct companies), as this could potentially be  conflict of interest. My question is whether, were ConSol to be successful in bidding for this solicitation, this would prevent CHEERS from carrying out rating work that would result from an increase in compliance with the Energy Standards that arose as a result of the contract.</w:t>
            </w:r>
          </w:p>
        </w:tc>
      </w:tr>
      <w:tr w:rsidR="00CC523F" w:rsidRPr="00EA3027" w14:paraId="53E96623" w14:textId="77777777" w:rsidTr="00952CFC">
        <w:tc>
          <w:tcPr>
            <w:tcW w:w="693" w:type="dxa"/>
            <w:tcBorders>
              <w:bottom w:val="single" w:sz="4" w:space="0" w:color="auto"/>
            </w:tcBorders>
            <w:shd w:val="clear" w:color="auto" w:fill="D9D9D9"/>
          </w:tcPr>
          <w:p w14:paraId="148ED986"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A1</w:t>
            </w:r>
          </w:p>
        </w:tc>
        <w:tc>
          <w:tcPr>
            <w:tcW w:w="8835" w:type="dxa"/>
            <w:tcBorders>
              <w:bottom w:val="single" w:sz="4" w:space="0" w:color="auto"/>
            </w:tcBorders>
            <w:shd w:val="clear" w:color="auto" w:fill="D9D9D9"/>
          </w:tcPr>
          <w:p w14:paraId="473B95AA" w14:textId="3FBEBB0B" w:rsidR="00CC523F" w:rsidRPr="00EA3027" w:rsidRDefault="00CC523F" w:rsidP="00952CFC">
            <w:pPr>
              <w:spacing w:before="120" w:after="120"/>
              <w:rPr>
                <w:rFonts w:ascii="Arial" w:eastAsia="Times New Roman" w:hAnsi="Arial" w:cs="Arial"/>
                <w:color w:val="000000"/>
              </w:rPr>
            </w:pPr>
            <w:r w:rsidRPr="00B104E6">
              <w:rPr>
                <w:rFonts w:ascii="Arial" w:eastAsia="Times New Roman" w:hAnsi="Arial" w:cs="Arial"/>
                <w:color w:val="000000"/>
              </w:rPr>
              <w:t xml:space="preserve">ConSol would not be able to submit a bid as the owner of CHEERS, which is a </w:t>
            </w:r>
            <w:r w:rsidR="00090761">
              <w:rPr>
                <w:rFonts w:ascii="Arial" w:eastAsia="Times New Roman" w:hAnsi="Arial" w:cs="Arial"/>
                <w:color w:val="000000"/>
              </w:rPr>
              <w:t>Home Energy Rating System (</w:t>
            </w:r>
            <w:r w:rsidRPr="00B104E6">
              <w:rPr>
                <w:rFonts w:ascii="Arial" w:eastAsia="Times New Roman" w:hAnsi="Arial" w:cs="Arial"/>
                <w:color w:val="000000"/>
              </w:rPr>
              <w:t>HERS</w:t>
            </w:r>
            <w:r w:rsidR="00090761">
              <w:rPr>
                <w:rFonts w:ascii="Arial" w:eastAsia="Times New Roman" w:hAnsi="Arial" w:cs="Arial"/>
                <w:color w:val="000000"/>
              </w:rPr>
              <w:t>)</w:t>
            </w:r>
            <w:r w:rsidRPr="00B104E6">
              <w:rPr>
                <w:rFonts w:ascii="Arial" w:eastAsia="Times New Roman" w:hAnsi="Arial" w:cs="Arial"/>
                <w:color w:val="000000"/>
              </w:rPr>
              <w:t xml:space="preserve"> provider. The Energy Commission will issue an addendum to the </w:t>
            </w:r>
            <w:r w:rsidR="00090761">
              <w:rPr>
                <w:rFonts w:ascii="Arial" w:eastAsia="Times New Roman" w:hAnsi="Arial" w:cs="Arial"/>
                <w:color w:val="000000"/>
              </w:rPr>
              <w:t>Invitation for Bids (</w:t>
            </w:r>
            <w:r w:rsidRPr="00B104E6">
              <w:rPr>
                <w:rFonts w:ascii="Arial" w:eastAsia="Times New Roman" w:hAnsi="Arial" w:cs="Arial"/>
                <w:color w:val="000000"/>
              </w:rPr>
              <w:t>IFB</w:t>
            </w:r>
            <w:r w:rsidR="00090761">
              <w:rPr>
                <w:rFonts w:ascii="Arial" w:eastAsia="Times New Roman" w:hAnsi="Arial" w:cs="Arial"/>
                <w:color w:val="000000"/>
              </w:rPr>
              <w:t>)</w:t>
            </w:r>
            <w:r w:rsidRPr="00B104E6">
              <w:rPr>
                <w:rFonts w:ascii="Arial" w:eastAsia="Times New Roman" w:hAnsi="Arial" w:cs="Arial"/>
                <w:color w:val="000000"/>
              </w:rPr>
              <w:t xml:space="preserve"> to clarify that certain entities, including HERS Providers, Raters, and Acceptance Test Certification Provider</w:t>
            </w:r>
            <w:r>
              <w:rPr>
                <w:rFonts w:ascii="Arial" w:eastAsia="Times New Roman" w:hAnsi="Arial" w:cs="Arial"/>
                <w:color w:val="000000"/>
              </w:rPr>
              <w:t>s</w:t>
            </w:r>
            <w:r w:rsidRPr="00B104E6">
              <w:rPr>
                <w:rFonts w:ascii="Arial" w:eastAsia="Times New Roman" w:hAnsi="Arial" w:cs="Arial"/>
                <w:color w:val="000000"/>
              </w:rPr>
              <w:t xml:space="preserve"> (ATTCP), ATTCP Employer</w:t>
            </w:r>
            <w:r>
              <w:rPr>
                <w:rFonts w:ascii="Arial" w:eastAsia="Times New Roman" w:hAnsi="Arial" w:cs="Arial"/>
                <w:color w:val="000000"/>
              </w:rPr>
              <w:t>s</w:t>
            </w:r>
            <w:r w:rsidR="00090761">
              <w:rPr>
                <w:rFonts w:ascii="Arial" w:eastAsia="Times New Roman" w:hAnsi="Arial" w:cs="Arial"/>
                <w:color w:val="000000"/>
              </w:rPr>
              <w:t>,</w:t>
            </w:r>
            <w:r w:rsidRPr="00B104E6">
              <w:rPr>
                <w:rFonts w:ascii="Arial" w:eastAsia="Times New Roman" w:hAnsi="Arial" w:cs="Arial"/>
                <w:color w:val="000000"/>
              </w:rPr>
              <w:t xml:space="preserve"> or Acceptance Test Technician</w:t>
            </w:r>
            <w:r>
              <w:rPr>
                <w:rFonts w:ascii="Arial" w:eastAsia="Times New Roman" w:hAnsi="Arial" w:cs="Arial"/>
                <w:color w:val="000000"/>
              </w:rPr>
              <w:t>s</w:t>
            </w:r>
            <w:r w:rsidRPr="00B104E6">
              <w:rPr>
                <w:rFonts w:ascii="Arial" w:eastAsia="Times New Roman" w:hAnsi="Arial" w:cs="Arial"/>
                <w:color w:val="000000"/>
              </w:rPr>
              <w:t xml:space="preserve"> cannot bid. </w:t>
            </w:r>
            <w:r w:rsidR="004A2787" w:rsidRPr="00B104E6">
              <w:rPr>
                <w:rFonts w:ascii="Arial" w:eastAsia="Times New Roman" w:hAnsi="Arial" w:cs="Arial"/>
                <w:color w:val="000000"/>
              </w:rPr>
              <w:t xml:space="preserve"> </w:t>
            </w:r>
            <w:r w:rsidR="004A2787">
              <w:rPr>
                <w:rFonts w:ascii="Arial" w:eastAsia="Times New Roman" w:hAnsi="Arial" w:cs="Arial"/>
                <w:color w:val="000000"/>
              </w:rPr>
              <w:t>Entities or persons actively participating in the HERS or ATTCP programs m</w:t>
            </w:r>
            <w:r w:rsidR="0070487A">
              <w:rPr>
                <w:rFonts w:ascii="Arial" w:eastAsia="Times New Roman" w:hAnsi="Arial" w:cs="Arial"/>
                <w:color w:val="000000"/>
              </w:rPr>
              <w:t>a</w:t>
            </w:r>
            <w:r w:rsidR="004A2787">
              <w:rPr>
                <w:rFonts w:ascii="Arial" w:eastAsia="Times New Roman" w:hAnsi="Arial" w:cs="Arial"/>
                <w:color w:val="000000"/>
              </w:rPr>
              <w:t xml:space="preserve">y constitute a conflict of interest and the Energy Commission needs to ensure that the compliance plan is written from a neutral perspective. </w:t>
            </w:r>
          </w:p>
        </w:tc>
      </w:tr>
      <w:tr w:rsidR="00CC523F" w:rsidRPr="00EA3027" w14:paraId="26669375" w14:textId="77777777" w:rsidTr="00952CFC">
        <w:tc>
          <w:tcPr>
            <w:tcW w:w="693" w:type="dxa"/>
            <w:tcBorders>
              <w:bottom w:val="single" w:sz="4" w:space="0" w:color="auto"/>
            </w:tcBorders>
            <w:shd w:val="clear" w:color="auto" w:fill="auto"/>
          </w:tcPr>
          <w:p w14:paraId="3C001C37"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Q2</w:t>
            </w:r>
          </w:p>
        </w:tc>
        <w:tc>
          <w:tcPr>
            <w:tcW w:w="8835" w:type="dxa"/>
            <w:tcBorders>
              <w:bottom w:val="single" w:sz="4" w:space="0" w:color="auto"/>
            </w:tcBorders>
            <w:shd w:val="clear" w:color="auto" w:fill="auto"/>
          </w:tcPr>
          <w:p w14:paraId="6B47391A" w14:textId="77777777" w:rsidR="00CC523F" w:rsidRPr="00EA3027" w:rsidRDefault="00CC523F" w:rsidP="00952CFC">
            <w:pPr>
              <w:spacing w:before="120" w:after="120"/>
              <w:rPr>
                <w:rFonts w:ascii="Arial" w:eastAsia="Times New Roman" w:hAnsi="Arial" w:cs="Arial"/>
              </w:rPr>
            </w:pPr>
            <w:r w:rsidRPr="00C02A31">
              <w:rPr>
                <w:rFonts w:ascii="Arial" w:eastAsia="Times New Roman" w:hAnsi="Arial" w:cs="Arial"/>
              </w:rPr>
              <w:t>Can people with HERS credentials who have not performed any HERS testing or reporting during the current code cycle qualify to be team members?</w:t>
            </w:r>
          </w:p>
        </w:tc>
      </w:tr>
      <w:tr w:rsidR="00CC523F" w:rsidRPr="00EA3027" w14:paraId="2F7A4745" w14:textId="77777777" w:rsidTr="00952CFC">
        <w:tc>
          <w:tcPr>
            <w:tcW w:w="693" w:type="dxa"/>
            <w:tcBorders>
              <w:bottom w:val="single" w:sz="4" w:space="0" w:color="auto"/>
            </w:tcBorders>
            <w:shd w:val="clear" w:color="auto" w:fill="D9D9D9"/>
          </w:tcPr>
          <w:p w14:paraId="4833B077" w14:textId="77777777" w:rsidR="00CC523F" w:rsidRPr="00EA3027" w:rsidRDefault="00CC523F" w:rsidP="00952CFC">
            <w:pPr>
              <w:spacing w:before="120" w:after="120"/>
              <w:rPr>
                <w:rFonts w:ascii="Arial" w:eastAsia="Times New Roman" w:hAnsi="Arial" w:cs="Arial"/>
                <w:color w:val="000000"/>
              </w:rPr>
            </w:pPr>
            <w:r>
              <w:rPr>
                <w:rFonts w:ascii="Arial" w:eastAsia="Times New Roman" w:hAnsi="Arial" w:cs="Arial"/>
                <w:color w:val="000000"/>
              </w:rPr>
              <w:t>A2</w:t>
            </w:r>
          </w:p>
        </w:tc>
        <w:tc>
          <w:tcPr>
            <w:tcW w:w="8835" w:type="dxa"/>
            <w:tcBorders>
              <w:bottom w:val="single" w:sz="4" w:space="0" w:color="auto"/>
            </w:tcBorders>
            <w:shd w:val="clear" w:color="auto" w:fill="D9D9D9"/>
          </w:tcPr>
          <w:p w14:paraId="0205B195" w14:textId="28D7C889" w:rsidR="00CC523F" w:rsidRPr="005645EF" w:rsidRDefault="00CC523F" w:rsidP="00952CFC">
            <w:pPr>
              <w:spacing w:before="120" w:after="120"/>
              <w:rPr>
                <w:rFonts w:ascii="Arial" w:eastAsia="Times New Roman" w:hAnsi="Arial" w:cs="Arial"/>
                <w:color w:val="FF0000"/>
              </w:rPr>
            </w:pPr>
            <w:r>
              <w:rPr>
                <w:rFonts w:ascii="Arial" w:eastAsia="Times New Roman" w:hAnsi="Arial" w:cs="Arial"/>
                <w:color w:val="000000"/>
              </w:rPr>
              <w:t>Yes. The update in Addendum 1</w:t>
            </w:r>
            <w:r w:rsidRPr="00C02A31">
              <w:rPr>
                <w:rFonts w:ascii="Arial" w:eastAsia="Times New Roman" w:hAnsi="Arial" w:cs="Arial"/>
                <w:color w:val="000000"/>
              </w:rPr>
              <w:t xml:space="preserve"> appl</w:t>
            </w:r>
            <w:r>
              <w:rPr>
                <w:rFonts w:ascii="Arial" w:eastAsia="Times New Roman" w:hAnsi="Arial" w:cs="Arial"/>
                <w:color w:val="000000"/>
              </w:rPr>
              <w:t>ies</w:t>
            </w:r>
            <w:r w:rsidRPr="00C02A31">
              <w:rPr>
                <w:rFonts w:ascii="Arial" w:eastAsia="Times New Roman" w:hAnsi="Arial" w:cs="Arial"/>
                <w:color w:val="000000"/>
              </w:rPr>
              <w:t xml:space="preserve"> to </w:t>
            </w:r>
            <w:r>
              <w:rPr>
                <w:rFonts w:ascii="Arial" w:eastAsia="Times New Roman" w:hAnsi="Arial" w:cs="Arial"/>
                <w:color w:val="000000"/>
              </w:rPr>
              <w:t>persons</w:t>
            </w:r>
            <w:r w:rsidRPr="00C02A31">
              <w:rPr>
                <w:rFonts w:ascii="Arial" w:eastAsia="Times New Roman" w:hAnsi="Arial" w:cs="Arial"/>
                <w:color w:val="000000"/>
              </w:rPr>
              <w:t xml:space="preserve"> who </w:t>
            </w:r>
            <w:r>
              <w:rPr>
                <w:rFonts w:ascii="Arial" w:eastAsia="Times New Roman" w:hAnsi="Arial" w:cs="Arial"/>
                <w:color w:val="000000"/>
              </w:rPr>
              <w:t>are</w:t>
            </w:r>
            <w:r w:rsidRPr="00C02A31">
              <w:rPr>
                <w:rFonts w:ascii="Arial" w:eastAsia="Times New Roman" w:hAnsi="Arial" w:cs="Arial"/>
                <w:color w:val="000000"/>
              </w:rPr>
              <w:t xml:space="preserve"> certified to work </w:t>
            </w:r>
            <w:r>
              <w:rPr>
                <w:rFonts w:ascii="Arial" w:eastAsia="Times New Roman" w:hAnsi="Arial" w:cs="Arial"/>
                <w:color w:val="000000"/>
              </w:rPr>
              <w:t xml:space="preserve">and are </w:t>
            </w:r>
            <w:r w:rsidR="004A2787">
              <w:rPr>
                <w:rFonts w:ascii="Arial" w:eastAsia="Times New Roman" w:hAnsi="Arial" w:cs="Arial"/>
                <w:color w:val="000000"/>
              </w:rPr>
              <w:t xml:space="preserve">actively </w:t>
            </w:r>
            <w:r>
              <w:rPr>
                <w:rFonts w:ascii="Arial" w:eastAsia="Times New Roman" w:hAnsi="Arial" w:cs="Arial"/>
                <w:color w:val="000000"/>
              </w:rPr>
              <w:t xml:space="preserve">working </w:t>
            </w:r>
            <w:r w:rsidRPr="00C02A31">
              <w:rPr>
                <w:rFonts w:ascii="Arial" w:eastAsia="Times New Roman" w:hAnsi="Arial" w:cs="Arial"/>
                <w:color w:val="000000"/>
              </w:rPr>
              <w:t>in these capacities</w:t>
            </w:r>
            <w:r>
              <w:rPr>
                <w:rFonts w:ascii="Arial" w:eastAsia="Times New Roman" w:hAnsi="Arial" w:cs="Arial"/>
                <w:color w:val="000000"/>
              </w:rPr>
              <w:t xml:space="preserve"> (</w:t>
            </w:r>
            <w:r w:rsidR="004A2787">
              <w:rPr>
                <w:rFonts w:ascii="Arial" w:eastAsia="Times New Roman" w:hAnsi="Arial" w:cs="Arial"/>
                <w:color w:val="000000"/>
              </w:rPr>
              <w:t>that is,</w:t>
            </w:r>
            <w:r>
              <w:rPr>
                <w:rFonts w:ascii="Arial" w:eastAsia="Times New Roman" w:hAnsi="Arial" w:cs="Arial"/>
                <w:color w:val="000000"/>
              </w:rPr>
              <w:t xml:space="preserve"> persons who</w:t>
            </w:r>
            <w:r w:rsidRPr="00C02A31">
              <w:rPr>
                <w:rFonts w:ascii="Arial" w:eastAsia="Times New Roman" w:hAnsi="Arial" w:cs="Arial"/>
                <w:color w:val="000000"/>
              </w:rPr>
              <w:t xml:space="preserve"> are currently certified to work </w:t>
            </w:r>
            <w:r>
              <w:rPr>
                <w:rFonts w:ascii="Arial" w:eastAsia="Times New Roman" w:hAnsi="Arial" w:cs="Arial"/>
                <w:color w:val="000000"/>
              </w:rPr>
              <w:t xml:space="preserve">and are testing and reporting </w:t>
            </w:r>
            <w:r w:rsidRPr="00C02A31">
              <w:rPr>
                <w:rFonts w:ascii="Arial" w:eastAsia="Times New Roman" w:hAnsi="Arial" w:cs="Arial"/>
                <w:color w:val="000000"/>
              </w:rPr>
              <w:t xml:space="preserve">as a </w:t>
            </w:r>
            <w:r w:rsidR="004A2787">
              <w:rPr>
                <w:rFonts w:ascii="Arial" w:eastAsia="Times New Roman" w:hAnsi="Arial" w:cs="Arial"/>
                <w:color w:val="000000"/>
              </w:rPr>
              <w:t xml:space="preserve">HERS </w:t>
            </w:r>
            <w:r w:rsidRPr="00C02A31">
              <w:rPr>
                <w:rFonts w:ascii="Arial" w:eastAsia="Times New Roman" w:hAnsi="Arial" w:cs="Arial"/>
                <w:color w:val="000000"/>
              </w:rPr>
              <w:t>rater</w:t>
            </w:r>
            <w:r w:rsidR="004A2787">
              <w:rPr>
                <w:rFonts w:ascii="Arial" w:eastAsia="Times New Roman" w:hAnsi="Arial" w:cs="Arial"/>
                <w:color w:val="000000"/>
              </w:rPr>
              <w:t xml:space="preserve">, acceptance test </w:t>
            </w:r>
            <w:r w:rsidRPr="00C02A31">
              <w:rPr>
                <w:rFonts w:ascii="Arial" w:eastAsia="Times New Roman" w:hAnsi="Arial" w:cs="Arial"/>
                <w:color w:val="000000"/>
              </w:rPr>
              <w:t xml:space="preserve">technician, </w:t>
            </w:r>
            <w:r>
              <w:rPr>
                <w:rFonts w:ascii="Arial" w:eastAsia="Times New Roman" w:hAnsi="Arial" w:cs="Arial"/>
                <w:color w:val="000000"/>
              </w:rPr>
              <w:t xml:space="preserve">are </w:t>
            </w:r>
            <w:r w:rsidRPr="00C02A31">
              <w:rPr>
                <w:rFonts w:ascii="Arial" w:eastAsia="Times New Roman" w:hAnsi="Arial" w:cs="Arial"/>
                <w:color w:val="000000"/>
              </w:rPr>
              <w:t xml:space="preserve">employed by a </w:t>
            </w:r>
            <w:r>
              <w:rPr>
                <w:rFonts w:ascii="Arial" w:eastAsia="Times New Roman" w:hAnsi="Arial" w:cs="Arial"/>
                <w:color w:val="000000"/>
              </w:rPr>
              <w:t>HERS Rating Company</w:t>
            </w:r>
            <w:r w:rsidR="004A2787">
              <w:rPr>
                <w:rFonts w:ascii="Arial" w:eastAsia="Times New Roman" w:hAnsi="Arial" w:cs="Arial"/>
                <w:color w:val="000000"/>
              </w:rPr>
              <w:t xml:space="preserve"> or </w:t>
            </w:r>
            <w:r>
              <w:rPr>
                <w:rFonts w:ascii="Arial" w:eastAsia="Times New Roman" w:hAnsi="Arial" w:cs="Arial"/>
                <w:color w:val="000000"/>
              </w:rPr>
              <w:t>ATTCP Employer, or are employed by a HERS Provider</w:t>
            </w:r>
            <w:r w:rsidR="004A2787">
              <w:rPr>
                <w:rFonts w:ascii="Arial" w:eastAsia="Times New Roman" w:hAnsi="Arial" w:cs="Arial"/>
                <w:color w:val="000000"/>
              </w:rPr>
              <w:t xml:space="preserve"> or </w:t>
            </w:r>
            <w:r>
              <w:rPr>
                <w:rFonts w:ascii="Arial" w:eastAsia="Times New Roman" w:hAnsi="Arial" w:cs="Arial"/>
                <w:color w:val="000000"/>
              </w:rPr>
              <w:t>ATTCP)</w:t>
            </w:r>
            <w:r w:rsidRPr="00C02A31">
              <w:rPr>
                <w:rFonts w:ascii="Arial" w:eastAsia="Times New Roman" w:hAnsi="Arial" w:cs="Arial"/>
                <w:color w:val="000000"/>
              </w:rPr>
              <w:t>.</w:t>
            </w:r>
          </w:p>
        </w:tc>
      </w:tr>
      <w:tr w:rsidR="00CC523F" w:rsidRPr="00EA3027" w14:paraId="0DCDAED6" w14:textId="77777777" w:rsidTr="00952CFC">
        <w:tc>
          <w:tcPr>
            <w:tcW w:w="693" w:type="dxa"/>
            <w:shd w:val="clear" w:color="auto" w:fill="auto"/>
          </w:tcPr>
          <w:p w14:paraId="010CE702"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Q3</w:t>
            </w:r>
          </w:p>
        </w:tc>
        <w:tc>
          <w:tcPr>
            <w:tcW w:w="8835" w:type="dxa"/>
            <w:shd w:val="clear" w:color="auto" w:fill="auto"/>
          </w:tcPr>
          <w:p w14:paraId="6706E009" w14:textId="77777777" w:rsidR="00CC523F" w:rsidRPr="00C02A31" w:rsidRDefault="00CC523F" w:rsidP="00952CFC">
            <w:pPr>
              <w:spacing w:before="120" w:after="120"/>
              <w:rPr>
                <w:rFonts w:ascii="Arial" w:eastAsia="Times New Roman" w:hAnsi="Arial" w:cs="Arial"/>
              </w:rPr>
            </w:pPr>
            <w:r w:rsidRPr="00C02A31">
              <w:rPr>
                <w:rFonts w:ascii="Arial" w:eastAsia="Times New Roman" w:hAnsi="Arial" w:cs="Arial"/>
              </w:rPr>
              <w:t>We presume that Addendum 1 applies to persons who currently hold any of these positions or titles? Would this prohibition also apply to persons who held one or more of these positions in the past, but no longer hold these positions?</w:t>
            </w:r>
          </w:p>
        </w:tc>
      </w:tr>
      <w:tr w:rsidR="00CC523F" w:rsidRPr="00EA3027" w14:paraId="72942F70" w14:textId="77777777" w:rsidTr="00952CFC">
        <w:tc>
          <w:tcPr>
            <w:tcW w:w="693" w:type="dxa"/>
            <w:tcBorders>
              <w:bottom w:val="single" w:sz="4" w:space="0" w:color="auto"/>
            </w:tcBorders>
            <w:shd w:val="clear" w:color="auto" w:fill="D9D9D9"/>
          </w:tcPr>
          <w:p w14:paraId="26B90676"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A3</w:t>
            </w:r>
          </w:p>
        </w:tc>
        <w:tc>
          <w:tcPr>
            <w:tcW w:w="8835" w:type="dxa"/>
            <w:tcBorders>
              <w:bottom w:val="single" w:sz="4" w:space="0" w:color="auto"/>
            </w:tcBorders>
            <w:shd w:val="clear" w:color="auto" w:fill="D9D9D9"/>
          </w:tcPr>
          <w:p w14:paraId="2339919E" w14:textId="37E3C1E1" w:rsidR="00CC523F" w:rsidRPr="005645EF" w:rsidRDefault="00CC523F" w:rsidP="00952CFC">
            <w:pPr>
              <w:spacing w:before="120" w:after="120"/>
              <w:rPr>
                <w:rFonts w:ascii="Arial" w:eastAsia="Times New Roman" w:hAnsi="Arial" w:cs="Arial"/>
                <w:color w:val="FF0000"/>
              </w:rPr>
            </w:pPr>
            <w:r>
              <w:rPr>
                <w:rFonts w:ascii="Arial" w:eastAsia="Times New Roman" w:hAnsi="Arial" w:cs="Arial"/>
                <w:color w:val="000000"/>
              </w:rPr>
              <w:t>Yes, the update in Addendum 1</w:t>
            </w:r>
            <w:r w:rsidRPr="00C02A31">
              <w:rPr>
                <w:rFonts w:ascii="Arial" w:eastAsia="Times New Roman" w:hAnsi="Arial" w:cs="Arial"/>
                <w:color w:val="000000"/>
              </w:rPr>
              <w:t xml:space="preserve"> appl</w:t>
            </w:r>
            <w:r>
              <w:rPr>
                <w:rFonts w:ascii="Arial" w:eastAsia="Times New Roman" w:hAnsi="Arial" w:cs="Arial"/>
                <w:color w:val="000000"/>
              </w:rPr>
              <w:t>ies</w:t>
            </w:r>
            <w:r w:rsidRPr="00C02A31">
              <w:rPr>
                <w:rFonts w:ascii="Arial" w:eastAsia="Times New Roman" w:hAnsi="Arial" w:cs="Arial"/>
                <w:color w:val="000000"/>
              </w:rPr>
              <w:t xml:space="preserve"> to </w:t>
            </w:r>
            <w:r>
              <w:rPr>
                <w:rFonts w:ascii="Arial" w:eastAsia="Times New Roman" w:hAnsi="Arial" w:cs="Arial"/>
                <w:color w:val="000000"/>
              </w:rPr>
              <w:t>persons</w:t>
            </w:r>
            <w:r w:rsidRPr="00C02A31">
              <w:rPr>
                <w:rFonts w:ascii="Arial" w:eastAsia="Times New Roman" w:hAnsi="Arial" w:cs="Arial"/>
                <w:color w:val="000000"/>
              </w:rPr>
              <w:t xml:space="preserve"> who </w:t>
            </w:r>
            <w:r>
              <w:rPr>
                <w:rFonts w:ascii="Arial" w:eastAsia="Times New Roman" w:hAnsi="Arial" w:cs="Arial"/>
                <w:color w:val="000000"/>
              </w:rPr>
              <w:t>are</w:t>
            </w:r>
            <w:r w:rsidRPr="00C02A31">
              <w:rPr>
                <w:rFonts w:ascii="Arial" w:eastAsia="Times New Roman" w:hAnsi="Arial" w:cs="Arial"/>
                <w:color w:val="000000"/>
              </w:rPr>
              <w:t xml:space="preserve"> certified to work </w:t>
            </w:r>
            <w:r>
              <w:rPr>
                <w:rFonts w:ascii="Arial" w:eastAsia="Times New Roman" w:hAnsi="Arial" w:cs="Arial"/>
                <w:color w:val="000000"/>
              </w:rPr>
              <w:t xml:space="preserve">and are currently </w:t>
            </w:r>
            <w:r w:rsidR="004A2787">
              <w:rPr>
                <w:rFonts w:ascii="Arial" w:eastAsia="Times New Roman" w:hAnsi="Arial" w:cs="Arial"/>
                <w:color w:val="000000"/>
              </w:rPr>
              <w:t xml:space="preserve">actively </w:t>
            </w:r>
            <w:r>
              <w:rPr>
                <w:rFonts w:ascii="Arial" w:eastAsia="Times New Roman" w:hAnsi="Arial" w:cs="Arial"/>
                <w:color w:val="000000"/>
              </w:rPr>
              <w:t xml:space="preserve">working </w:t>
            </w:r>
            <w:r w:rsidRPr="00C02A31">
              <w:rPr>
                <w:rFonts w:ascii="Arial" w:eastAsia="Times New Roman" w:hAnsi="Arial" w:cs="Arial"/>
                <w:color w:val="000000"/>
              </w:rPr>
              <w:t>in these capacities</w:t>
            </w:r>
            <w:r>
              <w:rPr>
                <w:rFonts w:ascii="Arial" w:eastAsia="Times New Roman" w:hAnsi="Arial" w:cs="Arial"/>
                <w:color w:val="000000"/>
              </w:rPr>
              <w:t xml:space="preserve"> (i.e. persons who</w:t>
            </w:r>
            <w:r w:rsidRPr="00C02A31">
              <w:rPr>
                <w:rFonts w:ascii="Arial" w:eastAsia="Times New Roman" w:hAnsi="Arial" w:cs="Arial"/>
                <w:color w:val="000000"/>
              </w:rPr>
              <w:t xml:space="preserve"> are currently certified to work </w:t>
            </w:r>
            <w:r>
              <w:rPr>
                <w:rFonts w:ascii="Arial" w:eastAsia="Times New Roman" w:hAnsi="Arial" w:cs="Arial"/>
                <w:color w:val="000000"/>
              </w:rPr>
              <w:t xml:space="preserve">and are testing and reporting </w:t>
            </w:r>
            <w:r w:rsidRPr="00C02A31">
              <w:rPr>
                <w:rFonts w:ascii="Arial" w:eastAsia="Times New Roman" w:hAnsi="Arial" w:cs="Arial"/>
                <w:color w:val="000000"/>
              </w:rPr>
              <w:t>as a rater</w:t>
            </w:r>
            <w:r w:rsidR="004A2787">
              <w:rPr>
                <w:rFonts w:ascii="Arial" w:eastAsia="Times New Roman" w:hAnsi="Arial" w:cs="Arial"/>
                <w:color w:val="000000"/>
              </w:rPr>
              <w:t xml:space="preserve"> or </w:t>
            </w:r>
            <w:r w:rsidRPr="00C02A31">
              <w:rPr>
                <w:rFonts w:ascii="Arial" w:eastAsia="Times New Roman" w:hAnsi="Arial" w:cs="Arial"/>
                <w:color w:val="000000"/>
              </w:rPr>
              <w:t xml:space="preserve">technician, </w:t>
            </w:r>
            <w:r>
              <w:rPr>
                <w:rFonts w:ascii="Arial" w:eastAsia="Times New Roman" w:hAnsi="Arial" w:cs="Arial"/>
                <w:color w:val="000000"/>
              </w:rPr>
              <w:t xml:space="preserve">are </w:t>
            </w:r>
            <w:r w:rsidRPr="00C02A31">
              <w:rPr>
                <w:rFonts w:ascii="Arial" w:eastAsia="Times New Roman" w:hAnsi="Arial" w:cs="Arial"/>
                <w:color w:val="000000"/>
              </w:rPr>
              <w:t xml:space="preserve">employed by a </w:t>
            </w:r>
            <w:r>
              <w:rPr>
                <w:rFonts w:ascii="Arial" w:eastAsia="Times New Roman" w:hAnsi="Arial" w:cs="Arial"/>
                <w:color w:val="000000"/>
              </w:rPr>
              <w:t>HERS Rating Company</w:t>
            </w:r>
            <w:r w:rsidR="004A2787">
              <w:rPr>
                <w:rFonts w:ascii="Arial" w:eastAsia="Times New Roman" w:hAnsi="Arial" w:cs="Arial"/>
                <w:color w:val="000000"/>
              </w:rPr>
              <w:t xml:space="preserve"> or </w:t>
            </w:r>
            <w:r>
              <w:rPr>
                <w:rFonts w:ascii="Arial" w:eastAsia="Times New Roman" w:hAnsi="Arial" w:cs="Arial"/>
                <w:color w:val="000000"/>
              </w:rPr>
              <w:t>ATTCP Employer, or are employed by a HERS Provider</w:t>
            </w:r>
            <w:r w:rsidR="004A2787">
              <w:rPr>
                <w:rFonts w:ascii="Arial" w:eastAsia="Times New Roman" w:hAnsi="Arial" w:cs="Arial"/>
                <w:color w:val="000000"/>
              </w:rPr>
              <w:t xml:space="preserve"> or </w:t>
            </w:r>
            <w:r>
              <w:rPr>
                <w:rFonts w:ascii="Arial" w:eastAsia="Times New Roman" w:hAnsi="Arial" w:cs="Arial"/>
                <w:color w:val="000000"/>
              </w:rPr>
              <w:t>ATTCP)</w:t>
            </w:r>
            <w:r w:rsidRPr="00C02A31">
              <w:rPr>
                <w:rFonts w:ascii="Arial" w:eastAsia="Times New Roman" w:hAnsi="Arial" w:cs="Arial"/>
                <w:color w:val="000000"/>
              </w:rPr>
              <w:t>.</w:t>
            </w:r>
            <w:r>
              <w:rPr>
                <w:rFonts w:ascii="Arial" w:eastAsia="Times New Roman" w:hAnsi="Arial" w:cs="Arial"/>
                <w:color w:val="000000"/>
              </w:rPr>
              <w:t xml:space="preserve"> The minimum qualifications do not apply to persons who are not currently </w:t>
            </w:r>
            <w:r w:rsidR="004A2787">
              <w:rPr>
                <w:rFonts w:ascii="Arial" w:eastAsia="Times New Roman" w:hAnsi="Arial" w:cs="Arial"/>
                <w:color w:val="000000"/>
              </w:rPr>
              <w:t>active in these positions</w:t>
            </w:r>
            <w:r>
              <w:rPr>
                <w:rFonts w:ascii="Arial" w:eastAsia="Times New Roman" w:hAnsi="Arial" w:cs="Arial"/>
                <w:color w:val="000000"/>
              </w:rPr>
              <w:t xml:space="preserve">. </w:t>
            </w:r>
          </w:p>
        </w:tc>
      </w:tr>
      <w:tr w:rsidR="00CC523F" w:rsidRPr="00EA3027" w14:paraId="731A9B8E" w14:textId="77777777" w:rsidTr="00952CFC">
        <w:tc>
          <w:tcPr>
            <w:tcW w:w="693" w:type="dxa"/>
            <w:shd w:val="clear" w:color="auto" w:fill="auto"/>
          </w:tcPr>
          <w:p w14:paraId="39ECE21C"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Q4</w:t>
            </w:r>
          </w:p>
        </w:tc>
        <w:tc>
          <w:tcPr>
            <w:tcW w:w="8835" w:type="dxa"/>
            <w:shd w:val="clear" w:color="auto" w:fill="auto"/>
          </w:tcPr>
          <w:p w14:paraId="4FAB20EA" w14:textId="77777777" w:rsidR="00CC523F" w:rsidRDefault="00CC523F" w:rsidP="00952CFC">
            <w:pPr>
              <w:spacing w:before="120" w:after="120"/>
              <w:rPr>
                <w:rFonts w:ascii="Arial" w:eastAsia="Times New Roman" w:hAnsi="Arial" w:cs="Arial"/>
                <w:color w:val="000000"/>
              </w:rPr>
            </w:pPr>
            <w:r w:rsidRPr="00C02A31">
              <w:rPr>
                <w:rFonts w:ascii="Arial" w:eastAsia="Times New Roman" w:hAnsi="Arial" w:cs="Arial"/>
                <w:color w:val="000000"/>
              </w:rPr>
              <w:t xml:space="preserve">We presume that this prohibition [from Addendum 1] applies to the primary consulting team listed on the project bid. Would this prohibition apply to persons with whom the consulting team would want to interview, or speak with, or use as </w:t>
            </w:r>
            <w:r w:rsidRPr="00C02A31">
              <w:rPr>
                <w:rFonts w:ascii="Arial" w:eastAsia="Times New Roman" w:hAnsi="Arial" w:cs="Arial"/>
                <w:color w:val="000000"/>
              </w:rPr>
              <w:lastRenderedPageBreak/>
              <w:t>advisors during the investigation? Would this prohibition apply to persons whom the consulting team would want to pay as sub-consultants on the project, but who were not part of the primary consulting team?</w:t>
            </w:r>
          </w:p>
        </w:tc>
      </w:tr>
      <w:tr w:rsidR="00CC523F" w:rsidRPr="00EA3027" w14:paraId="4E8336ED" w14:textId="77777777" w:rsidTr="00952CFC">
        <w:tc>
          <w:tcPr>
            <w:tcW w:w="693" w:type="dxa"/>
            <w:tcBorders>
              <w:bottom w:val="single" w:sz="4" w:space="0" w:color="auto"/>
            </w:tcBorders>
            <w:shd w:val="clear" w:color="auto" w:fill="D9D9D9"/>
          </w:tcPr>
          <w:p w14:paraId="5ECE7BAA"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lastRenderedPageBreak/>
              <w:t>A4</w:t>
            </w:r>
          </w:p>
        </w:tc>
        <w:tc>
          <w:tcPr>
            <w:tcW w:w="8835" w:type="dxa"/>
            <w:tcBorders>
              <w:bottom w:val="single" w:sz="4" w:space="0" w:color="auto"/>
            </w:tcBorders>
            <w:shd w:val="clear" w:color="auto" w:fill="D9D9D9"/>
          </w:tcPr>
          <w:p w14:paraId="326B03F2" w14:textId="7E09411C"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 xml:space="preserve">The minimum qualifications </w:t>
            </w:r>
            <w:r w:rsidRPr="000F628C">
              <w:rPr>
                <w:rFonts w:ascii="Arial" w:eastAsia="Times New Roman" w:hAnsi="Arial" w:cs="Arial"/>
                <w:color w:val="000000"/>
              </w:rPr>
              <w:t>prohibition appl</w:t>
            </w:r>
            <w:r>
              <w:rPr>
                <w:rFonts w:ascii="Arial" w:eastAsia="Times New Roman" w:hAnsi="Arial" w:cs="Arial"/>
                <w:color w:val="000000"/>
              </w:rPr>
              <w:t>ies</w:t>
            </w:r>
            <w:r w:rsidRPr="000F628C">
              <w:rPr>
                <w:rFonts w:ascii="Arial" w:eastAsia="Times New Roman" w:hAnsi="Arial" w:cs="Arial"/>
                <w:color w:val="000000"/>
              </w:rPr>
              <w:t xml:space="preserve"> to contractors and their sub</w:t>
            </w:r>
            <w:r w:rsidR="0070487A">
              <w:rPr>
                <w:rFonts w:ascii="Arial" w:eastAsia="Times New Roman" w:hAnsi="Arial" w:cs="Arial"/>
                <w:color w:val="000000"/>
              </w:rPr>
              <w:t>contractors</w:t>
            </w:r>
            <w:r w:rsidRPr="000F628C">
              <w:rPr>
                <w:rFonts w:ascii="Arial" w:eastAsia="Times New Roman" w:hAnsi="Arial" w:cs="Arial"/>
                <w:color w:val="000000"/>
              </w:rPr>
              <w:t xml:space="preserve">, </w:t>
            </w:r>
            <w:r w:rsidR="0070487A">
              <w:rPr>
                <w:rFonts w:ascii="Arial" w:eastAsia="Times New Roman" w:hAnsi="Arial" w:cs="Arial"/>
                <w:color w:val="000000"/>
              </w:rPr>
              <w:t>working on this contract</w:t>
            </w:r>
            <w:r w:rsidRPr="000F628C">
              <w:rPr>
                <w:rFonts w:ascii="Arial" w:eastAsia="Times New Roman" w:hAnsi="Arial" w:cs="Arial"/>
                <w:color w:val="000000"/>
              </w:rPr>
              <w:t xml:space="preserve">. It </w:t>
            </w:r>
            <w:r>
              <w:rPr>
                <w:rFonts w:ascii="Arial" w:eastAsia="Times New Roman" w:hAnsi="Arial" w:cs="Arial"/>
                <w:color w:val="000000"/>
              </w:rPr>
              <w:t>does not</w:t>
            </w:r>
            <w:r w:rsidRPr="000F628C">
              <w:rPr>
                <w:rFonts w:ascii="Arial" w:eastAsia="Times New Roman" w:hAnsi="Arial" w:cs="Arial"/>
                <w:color w:val="000000"/>
              </w:rPr>
              <w:t xml:space="preserve"> preclude</w:t>
            </w:r>
            <w:r>
              <w:rPr>
                <w:rFonts w:ascii="Arial" w:eastAsia="Times New Roman" w:hAnsi="Arial" w:cs="Arial"/>
                <w:color w:val="000000"/>
              </w:rPr>
              <w:t xml:space="preserve"> the contractor from</w:t>
            </w:r>
            <w:r w:rsidRPr="000F628C">
              <w:rPr>
                <w:rFonts w:ascii="Arial" w:eastAsia="Times New Roman" w:hAnsi="Arial" w:cs="Arial"/>
                <w:color w:val="000000"/>
              </w:rPr>
              <w:t xml:space="preserve"> interviewing or speaking with individuals working in the HERS or </w:t>
            </w:r>
            <w:r w:rsidR="0070487A">
              <w:rPr>
                <w:rFonts w:ascii="Arial" w:eastAsia="Times New Roman" w:hAnsi="Arial" w:cs="Arial"/>
                <w:color w:val="000000"/>
              </w:rPr>
              <w:t>ATTCP</w:t>
            </w:r>
            <w:r w:rsidRPr="000F628C">
              <w:rPr>
                <w:rFonts w:ascii="Arial" w:eastAsia="Times New Roman" w:hAnsi="Arial" w:cs="Arial"/>
                <w:color w:val="000000"/>
              </w:rPr>
              <w:t xml:space="preserve"> programs. </w:t>
            </w:r>
          </w:p>
        </w:tc>
      </w:tr>
      <w:tr w:rsidR="00CC523F" w:rsidRPr="00EA3027" w14:paraId="46AC2140" w14:textId="77777777" w:rsidTr="00952CFC">
        <w:tc>
          <w:tcPr>
            <w:tcW w:w="693" w:type="dxa"/>
            <w:shd w:val="clear" w:color="auto" w:fill="auto"/>
          </w:tcPr>
          <w:p w14:paraId="1ADEFE0A"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Q5</w:t>
            </w:r>
          </w:p>
        </w:tc>
        <w:tc>
          <w:tcPr>
            <w:tcW w:w="8835" w:type="dxa"/>
            <w:shd w:val="clear" w:color="auto" w:fill="auto"/>
          </w:tcPr>
          <w:p w14:paraId="77C4743C" w14:textId="77777777" w:rsidR="00CC523F" w:rsidRPr="00FC0FC1" w:rsidRDefault="00CC523F" w:rsidP="00952CFC">
            <w:pPr>
              <w:spacing w:before="120" w:after="120"/>
              <w:rPr>
                <w:rFonts w:ascii="Arial" w:eastAsia="Times New Roman" w:hAnsi="Arial" w:cs="Arial"/>
                <w:color w:val="000000"/>
              </w:rPr>
            </w:pPr>
            <w:r w:rsidRPr="00C02A31">
              <w:rPr>
                <w:rFonts w:ascii="Arial" w:eastAsia="Times New Roman" w:hAnsi="Arial" w:cs="Arial"/>
                <w:color w:val="000000"/>
              </w:rPr>
              <w:t>Can one of the primary consulting team be a person who works for a company that is currently in the process of applying for certification from the CEC as a Third-Party-Quality-Control-Program?</w:t>
            </w:r>
          </w:p>
        </w:tc>
      </w:tr>
      <w:tr w:rsidR="00CC523F" w:rsidRPr="00EA3027" w14:paraId="05652D78" w14:textId="77777777" w:rsidTr="00952CFC">
        <w:tc>
          <w:tcPr>
            <w:tcW w:w="693" w:type="dxa"/>
            <w:tcBorders>
              <w:bottom w:val="single" w:sz="4" w:space="0" w:color="auto"/>
            </w:tcBorders>
            <w:shd w:val="clear" w:color="auto" w:fill="D9D9D9"/>
          </w:tcPr>
          <w:p w14:paraId="54846D0A"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A5</w:t>
            </w:r>
          </w:p>
        </w:tc>
        <w:tc>
          <w:tcPr>
            <w:tcW w:w="8835" w:type="dxa"/>
            <w:tcBorders>
              <w:bottom w:val="single" w:sz="4" w:space="0" w:color="auto"/>
            </w:tcBorders>
            <w:shd w:val="clear" w:color="auto" w:fill="D9D9D9"/>
          </w:tcPr>
          <w:p w14:paraId="24CB2B18" w14:textId="09F8E998" w:rsidR="00BC73FD" w:rsidRDefault="00CC523F" w:rsidP="00B0257F">
            <w:pPr>
              <w:spacing w:before="120" w:after="120"/>
              <w:rPr>
                <w:rFonts w:ascii="Arial" w:eastAsia="Times New Roman" w:hAnsi="Arial" w:cs="Arial"/>
                <w:color w:val="000000"/>
              </w:rPr>
            </w:pPr>
            <w:r>
              <w:rPr>
                <w:rFonts w:ascii="Arial" w:eastAsia="Times New Roman" w:hAnsi="Arial" w:cs="Arial"/>
                <w:color w:val="000000"/>
              </w:rPr>
              <w:t xml:space="preserve">No. A person who works for a </w:t>
            </w:r>
            <w:r w:rsidRPr="00402AE1">
              <w:rPr>
                <w:rFonts w:ascii="Arial" w:eastAsia="Times New Roman" w:hAnsi="Arial" w:cs="Arial"/>
                <w:color w:val="000000"/>
              </w:rPr>
              <w:t>Third Party Quality Control Program</w:t>
            </w:r>
            <w:r>
              <w:rPr>
                <w:rFonts w:ascii="Arial" w:eastAsia="Times New Roman" w:hAnsi="Arial" w:cs="Arial"/>
                <w:color w:val="000000"/>
              </w:rPr>
              <w:t xml:space="preserve"> (TPQCP)</w:t>
            </w:r>
            <w:r w:rsidRPr="00B104E6">
              <w:rPr>
                <w:rFonts w:ascii="Arial" w:eastAsia="Times New Roman" w:hAnsi="Arial" w:cs="Arial"/>
                <w:color w:val="000000"/>
              </w:rPr>
              <w:t xml:space="preserve"> would not be able to </w:t>
            </w:r>
            <w:r>
              <w:rPr>
                <w:rFonts w:ascii="Arial" w:eastAsia="Times New Roman" w:hAnsi="Arial" w:cs="Arial"/>
                <w:color w:val="000000"/>
              </w:rPr>
              <w:t>be on the Bidder team.</w:t>
            </w:r>
            <w:r w:rsidR="0070487A">
              <w:rPr>
                <w:rFonts w:ascii="Arial" w:eastAsia="Times New Roman" w:hAnsi="Arial" w:cs="Arial"/>
                <w:color w:val="000000"/>
              </w:rPr>
              <w:t xml:space="preserve"> The minimum qualifications also extend to participants, providers, and anyone who works for the TPQCP provider</w:t>
            </w:r>
            <w:r w:rsidR="00BC73FD">
              <w:rPr>
                <w:rFonts w:ascii="Arial" w:eastAsia="Times New Roman" w:hAnsi="Arial" w:cs="Arial"/>
                <w:color w:val="000000"/>
              </w:rPr>
              <w:t xml:space="preserve">. </w:t>
            </w:r>
          </w:p>
          <w:p w14:paraId="7757FBD6" w14:textId="24F505A9" w:rsidR="00CC523F" w:rsidRPr="00FC0FC1" w:rsidRDefault="00CC523F" w:rsidP="005E1BEE">
            <w:pPr>
              <w:spacing w:before="120" w:after="120"/>
              <w:rPr>
                <w:rFonts w:ascii="Arial" w:eastAsia="Times New Roman" w:hAnsi="Arial" w:cs="Arial"/>
                <w:color w:val="000000"/>
              </w:rPr>
            </w:pPr>
            <w:r w:rsidRPr="00B104E6">
              <w:rPr>
                <w:rFonts w:ascii="Arial" w:eastAsia="Times New Roman" w:hAnsi="Arial" w:cs="Arial"/>
                <w:color w:val="000000"/>
              </w:rPr>
              <w:t>The Energy Commission will issue an addendum to the IFB to clarify that</w:t>
            </w:r>
            <w:r>
              <w:rPr>
                <w:rFonts w:ascii="Arial" w:eastAsia="Times New Roman" w:hAnsi="Arial" w:cs="Arial"/>
                <w:color w:val="000000"/>
              </w:rPr>
              <w:t xml:space="preserve"> a person who works for a</w:t>
            </w:r>
            <w:r w:rsidRPr="00B104E6">
              <w:rPr>
                <w:rFonts w:ascii="Arial" w:eastAsia="Times New Roman" w:hAnsi="Arial" w:cs="Arial"/>
                <w:color w:val="000000"/>
              </w:rPr>
              <w:t xml:space="preserve"> </w:t>
            </w:r>
            <w:r w:rsidRPr="00B52439">
              <w:rPr>
                <w:rFonts w:ascii="Arial" w:eastAsia="Times New Roman" w:hAnsi="Arial" w:cs="Arial"/>
                <w:color w:val="000000"/>
              </w:rPr>
              <w:t>TPQCP</w:t>
            </w:r>
            <w:r w:rsidRPr="00B104E6">
              <w:rPr>
                <w:rFonts w:ascii="Arial" w:eastAsia="Times New Roman" w:hAnsi="Arial" w:cs="Arial"/>
                <w:color w:val="000000"/>
              </w:rPr>
              <w:t xml:space="preserve"> cannot </w:t>
            </w:r>
            <w:r>
              <w:rPr>
                <w:rFonts w:ascii="Arial" w:eastAsia="Times New Roman" w:hAnsi="Arial" w:cs="Arial"/>
                <w:color w:val="000000"/>
              </w:rPr>
              <w:t>be on the Bidder team</w:t>
            </w:r>
            <w:r w:rsidRPr="00B104E6">
              <w:rPr>
                <w:rFonts w:ascii="Arial" w:eastAsia="Times New Roman" w:hAnsi="Arial" w:cs="Arial"/>
                <w:color w:val="000000"/>
              </w:rPr>
              <w:t>.</w:t>
            </w:r>
            <w:r>
              <w:rPr>
                <w:rFonts w:ascii="Arial" w:eastAsia="Times New Roman" w:hAnsi="Arial" w:cs="Arial"/>
                <w:color w:val="000000"/>
              </w:rPr>
              <w:t xml:space="preserve"> </w:t>
            </w:r>
            <w:r w:rsidR="0070487A">
              <w:rPr>
                <w:rFonts w:ascii="Arial" w:eastAsia="Times New Roman" w:hAnsi="Arial" w:cs="Arial"/>
                <w:color w:val="000000"/>
              </w:rPr>
              <w:t>Entities or persons actively participating in the HERS or ATTCP programs may constitute a conflict of interest and the Energy Commission needs to ensure that the compliance plan is written from a neutral perspective</w:t>
            </w:r>
            <w:r w:rsidRPr="000F628C">
              <w:rPr>
                <w:rFonts w:ascii="Arial" w:eastAsia="Times New Roman" w:hAnsi="Arial" w:cs="Arial"/>
                <w:color w:val="000000"/>
              </w:rPr>
              <w:t>.</w:t>
            </w:r>
          </w:p>
        </w:tc>
      </w:tr>
      <w:tr w:rsidR="00CC523F" w:rsidRPr="00EA3027" w14:paraId="001F8581" w14:textId="77777777" w:rsidTr="00952CFC">
        <w:tc>
          <w:tcPr>
            <w:tcW w:w="693" w:type="dxa"/>
            <w:shd w:val="clear" w:color="auto" w:fill="auto"/>
          </w:tcPr>
          <w:p w14:paraId="158DF74A"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Q6</w:t>
            </w:r>
          </w:p>
        </w:tc>
        <w:tc>
          <w:tcPr>
            <w:tcW w:w="8835" w:type="dxa"/>
            <w:shd w:val="clear" w:color="auto" w:fill="auto"/>
          </w:tcPr>
          <w:p w14:paraId="0254892F" w14:textId="77777777" w:rsidR="00CC523F" w:rsidRPr="00FC0FC1" w:rsidRDefault="00CC523F" w:rsidP="00952CFC">
            <w:pPr>
              <w:spacing w:before="120" w:after="120"/>
              <w:rPr>
                <w:rFonts w:ascii="Arial" w:eastAsia="Times New Roman" w:hAnsi="Arial" w:cs="Arial"/>
                <w:color w:val="000000"/>
              </w:rPr>
            </w:pPr>
            <w:r w:rsidRPr="00C02A31">
              <w:rPr>
                <w:rFonts w:ascii="Arial" w:eastAsia="Times New Roman" w:hAnsi="Arial" w:cs="Arial"/>
                <w:color w:val="000000"/>
              </w:rPr>
              <w:t>Can an employee of a company that developed an on-line permitting software application that the state may, at some point, consider buying participate as a part of the primary consulting team?</w:t>
            </w:r>
          </w:p>
        </w:tc>
      </w:tr>
      <w:tr w:rsidR="00CC523F" w:rsidRPr="00EA3027" w14:paraId="3AB3CA1E" w14:textId="77777777" w:rsidTr="00CC523F">
        <w:tc>
          <w:tcPr>
            <w:tcW w:w="693" w:type="dxa"/>
            <w:tcBorders>
              <w:bottom w:val="single" w:sz="4" w:space="0" w:color="auto"/>
            </w:tcBorders>
            <w:shd w:val="clear" w:color="auto" w:fill="D9D9D9"/>
          </w:tcPr>
          <w:p w14:paraId="54514689"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A6</w:t>
            </w:r>
          </w:p>
        </w:tc>
        <w:tc>
          <w:tcPr>
            <w:tcW w:w="8835" w:type="dxa"/>
            <w:tcBorders>
              <w:bottom w:val="single" w:sz="4" w:space="0" w:color="auto"/>
            </w:tcBorders>
            <w:shd w:val="clear" w:color="auto" w:fill="D9D9D9"/>
          </w:tcPr>
          <w:p w14:paraId="57FA5C4D" w14:textId="7C33E269" w:rsidR="00BC73FD" w:rsidRPr="00A154D7" w:rsidRDefault="00BC73FD" w:rsidP="00952CFC">
            <w:pPr>
              <w:spacing w:before="120" w:after="120"/>
              <w:rPr>
                <w:rFonts w:ascii="Arial" w:eastAsia="Times New Roman" w:hAnsi="Arial" w:cs="Arial"/>
                <w:i/>
                <w:color w:val="000000"/>
                <w:highlight w:val="yellow"/>
              </w:rPr>
            </w:pPr>
            <w:r>
              <w:rPr>
                <w:rFonts w:ascii="Arial" w:eastAsia="Times New Roman" w:hAnsi="Arial" w:cs="Arial"/>
                <w:color w:val="000000"/>
              </w:rPr>
              <w:t>The Energy Commission needs to ensure that the compliance plan is written from a neutral perspective. If a member of the primary consulting team was unable to make unbiased recommendations, then this would constitute a conflict of interest.</w:t>
            </w:r>
          </w:p>
        </w:tc>
      </w:tr>
      <w:tr w:rsidR="00CC523F" w:rsidRPr="00EA3027" w14:paraId="03D2FB42" w14:textId="77777777" w:rsidTr="00CC523F">
        <w:tc>
          <w:tcPr>
            <w:tcW w:w="693" w:type="dxa"/>
            <w:shd w:val="clear" w:color="auto" w:fill="auto"/>
          </w:tcPr>
          <w:p w14:paraId="1E5DBA11" w14:textId="77777777" w:rsidR="00CC523F" w:rsidRPr="00CC523F" w:rsidRDefault="002F4879" w:rsidP="00CC523F">
            <w:pPr>
              <w:spacing w:before="120" w:after="120"/>
              <w:rPr>
                <w:rFonts w:ascii="Arial" w:eastAsia="Times New Roman" w:hAnsi="Arial" w:cs="Arial"/>
                <w:color w:val="000000"/>
              </w:rPr>
            </w:pPr>
            <w:r>
              <w:rPr>
                <w:rFonts w:ascii="Arial" w:eastAsia="Times New Roman" w:hAnsi="Arial" w:cs="Arial"/>
                <w:color w:val="000000"/>
              </w:rPr>
              <w:t>Q</w:t>
            </w:r>
            <w:r w:rsidR="001B6F0B">
              <w:rPr>
                <w:rFonts w:ascii="Arial" w:eastAsia="Times New Roman" w:hAnsi="Arial" w:cs="Arial"/>
                <w:color w:val="000000"/>
              </w:rPr>
              <w:t>7</w:t>
            </w:r>
          </w:p>
        </w:tc>
        <w:tc>
          <w:tcPr>
            <w:tcW w:w="8835" w:type="dxa"/>
            <w:shd w:val="clear" w:color="auto" w:fill="auto"/>
          </w:tcPr>
          <w:p w14:paraId="0CB7D780" w14:textId="77777777" w:rsidR="00CC523F" w:rsidRPr="00CC523F" w:rsidRDefault="00CC523F" w:rsidP="00CC523F">
            <w:pPr>
              <w:spacing w:before="120" w:after="120"/>
              <w:rPr>
                <w:rFonts w:ascii="Arial" w:eastAsia="Times New Roman" w:hAnsi="Arial" w:cs="Arial"/>
                <w:color w:val="000000"/>
              </w:rPr>
            </w:pPr>
            <w:r w:rsidRPr="00CC523F">
              <w:rPr>
                <w:rFonts w:ascii="Arial" w:eastAsia="Times New Roman" w:hAnsi="Arial" w:cs="Arial"/>
                <w:color w:val="000000"/>
              </w:rPr>
              <w:t>Is the intent that the excluded categories are not paid members of the team, but could still be involved as a stakeholder/interview subject? Could the excluded perspectives still be noted to clarify if they are in alignment with or counter to other perspectives represented in the compliance plan?</w:t>
            </w:r>
          </w:p>
        </w:tc>
      </w:tr>
      <w:tr w:rsidR="00CC523F" w:rsidRPr="00EA3027" w14:paraId="2D2247D2" w14:textId="77777777" w:rsidTr="00CC523F">
        <w:tc>
          <w:tcPr>
            <w:tcW w:w="693" w:type="dxa"/>
            <w:tcBorders>
              <w:bottom w:val="single" w:sz="4" w:space="0" w:color="auto"/>
            </w:tcBorders>
            <w:shd w:val="clear" w:color="auto" w:fill="D9D9D9"/>
          </w:tcPr>
          <w:p w14:paraId="4FFDB777" w14:textId="77777777" w:rsidR="00CC523F" w:rsidRPr="00CC523F" w:rsidRDefault="002F4879" w:rsidP="00CC523F">
            <w:pPr>
              <w:spacing w:before="120" w:after="120"/>
              <w:rPr>
                <w:rFonts w:ascii="Arial" w:eastAsia="Times New Roman" w:hAnsi="Arial" w:cs="Arial"/>
                <w:color w:val="000000"/>
              </w:rPr>
            </w:pPr>
            <w:r>
              <w:rPr>
                <w:rFonts w:ascii="Arial" w:eastAsia="Times New Roman" w:hAnsi="Arial" w:cs="Arial"/>
                <w:color w:val="000000"/>
              </w:rPr>
              <w:t>A</w:t>
            </w:r>
            <w:r w:rsidR="001B6F0B">
              <w:rPr>
                <w:rFonts w:ascii="Arial" w:eastAsia="Times New Roman" w:hAnsi="Arial" w:cs="Arial"/>
                <w:color w:val="000000"/>
              </w:rPr>
              <w:t>7</w:t>
            </w:r>
          </w:p>
        </w:tc>
        <w:tc>
          <w:tcPr>
            <w:tcW w:w="8835" w:type="dxa"/>
            <w:tcBorders>
              <w:bottom w:val="single" w:sz="4" w:space="0" w:color="auto"/>
            </w:tcBorders>
            <w:shd w:val="clear" w:color="auto" w:fill="D9D9D9"/>
          </w:tcPr>
          <w:p w14:paraId="53743BAD" w14:textId="77777777" w:rsidR="00CC523F" w:rsidRPr="00CC523F" w:rsidRDefault="000D2074" w:rsidP="00071F5B">
            <w:pPr>
              <w:spacing w:before="120" w:after="120"/>
              <w:rPr>
                <w:rFonts w:ascii="Arial" w:eastAsia="Times New Roman" w:hAnsi="Arial" w:cs="Arial"/>
                <w:color w:val="000000"/>
              </w:rPr>
            </w:pPr>
            <w:r>
              <w:rPr>
                <w:rFonts w:ascii="Arial" w:eastAsia="Times New Roman" w:hAnsi="Arial" w:cs="Arial"/>
                <w:color w:val="000000"/>
              </w:rPr>
              <w:t>Yes, the excluded categories may still be involved as a stakeholder and may participate</w:t>
            </w:r>
            <w:r w:rsidR="008C3C94">
              <w:rPr>
                <w:rFonts w:ascii="Arial" w:eastAsia="Times New Roman" w:hAnsi="Arial" w:cs="Arial"/>
                <w:color w:val="000000"/>
              </w:rPr>
              <w:t xml:space="preserve"> in the</w:t>
            </w:r>
            <w:r>
              <w:rPr>
                <w:rFonts w:ascii="Arial" w:eastAsia="Times New Roman" w:hAnsi="Arial" w:cs="Arial"/>
                <w:color w:val="000000"/>
              </w:rPr>
              <w:t xml:space="preserve"> </w:t>
            </w:r>
            <w:r w:rsidR="008C3C94">
              <w:rPr>
                <w:rFonts w:ascii="Arial" w:eastAsia="Times New Roman" w:hAnsi="Arial" w:cs="Arial"/>
                <w:color w:val="000000"/>
              </w:rPr>
              <w:t>workshop</w:t>
            </w:r>
            <w:r>
              <w:rPr>
                <w:rFonts w:ascii="Arial" w:eastAsia="Times New Roman" w:hAnsi="Arial" w:cs="Arial"/>
                <w:color w:val="000000"/>
              </w:rPr>
              <w:t xml:space="preserve"> and be included in the interviews.</w:t>
            </w:r>
            <w:r w:rsidR="008C3C94">
              <w:rPr>
                <w:rFonts w:ascii="Arial" w:eastAsia="Times New Roman" w:hAnsi="Arial" w:cs="Arial"/>
                <w:color w:val="000000"/>
              </w:rPr>
              <w:t xml:space="preserve"> </w:t>
            </w:r>
            <w:r w:rsidR="002E46CF">
              <w:rPr>
                <w:rFonts w:ascii="Arial" w:eastAsia="Times New Roman" w:hAnsi="Arial" w:cs="Arial"/>
                <w:color w:val="000000"/>
              </w:rPr>
              <w:t>P</w:t>
            </w:r>
            <w:r w:rsidR="008C3C94">
              <w:rPr>
                <w:rFonts w:ascii="Arial" w:eastAsia="Times New Roman" w:hAnsi="Arial" w:cs="Arial"/>
                <w:color w:val="000000"/>
              </w:rPr>
              <w:t>erspective</w:t>
            </w:r>
            <w:r w:rsidR="002E46CF">
              <w:rPr>
                <w:rFonts w:ascii="Arial" w:eastAsia="Times New Roman" w:hAnsi="Arial" w:cs="Arial"/>
                <w:color w:val="000000"/>
              </w:rPr>
              <w:t>s</w:t>
            </w:r>
            <w:r w:rsidR="008C3C94">
              <w:rPr>
                <w:rFonts w:ascii="Arial" w:eastAsia="Times New Roman" w:hAnsi="Arial" w:cs="Arial"/>
                <w:color w:val="000000"/>
              </w:rPr>
              <w:t xml:space="preserve"> from all stakeholders should be noted to clarify alignment with other perspective</w:t>
            </w:r>
            <w:r w:rsidR="002E46CF">
              <w:rPr>
                <w:rFonts w:ascii="Arial" w:eastAsia="Times New Roman" w:hAnsi="Arial" w:cs="Arial"/>
                <w:color w:val="000000"/>
              </w:rPr>
              <w:t>s</w:t>
            </w:r>
            <w:r w:rsidR="008C3C94">
              <w:rPr>
                <w:rFonts w:ascii="Arial" w:eastAsia="Times New Roman" w:hAnsi="Arial" w:cs="Arial"/>
                <w:color w:val="000000"/>
              </w:rPr>
              <w:t xml:space="preserve">, but more importantly to identify barriers and ultimately develop solutions and recommendations </w:t>
            </w:r>
            <w:r w:rsidR="00706E7C">
              <w:rPr>
                <w:rFonts w:ascii="Arial" w:eastAsia="Times New Roman" w:hAnsi="Arial" w:cs="Arial"/>
                <w:color w:val="000000"/>
              </w:rPr>
              <w:t>applicable to all</w:t>
            </w:r>
            <w:r w:rsidR="008C3C94">
              <w:rPr>
                <w:rFonts w:ascii="Arial" w:eastAsia="Times New Roman" w:hAnsi="Arial" w:cs="Arial"/>
                <w:color w:val="000000"/>
              </w:rPr>
              <w:t xml:space="preserve"> stakeholders.</w:t>
            </w:r>
          </w:p>
        </w:tc>
      </w:tr>
      <w:tr w:rsidR="00CC523F" w:rsidRPr="00EA3027" w14:paraId="0FFD991C" w14:textId="77777777" w:rsidTr="00CC523F">
        <w:tc>
          <w:tcPr>
            <w:tcW w:w="693" w:type="dxa"/>
            <w:shd w:val="clear" w:color="auto" w:fill="auto"/>
          </w:tcPr>
          <w:p w14:paraId="172A1351"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Q</w:t>
            </w:r>
            <w:r w:rsidR="001B6F0B">
              <w:rPr>
                <w:rFonts w:ascii="Arial" w:eastAsia="Times New Roman" w:hAnsi="Arial" w:cs="Arial"/>
                <w:color w:val="000000"/>
              </w:rPr>
              <w:t>8</w:t>
            </w:r>
          </w:p>
        </w:tc>
        <w:tc>
          <w:tcPr>
            <w:tcW w:w="8835" w:type="dxa"/>
            <w:shd w:val="clear" w:color="auto" w:fill="auto"/>
          </w:tcPr>
          <w:p w14:paraId="4433BD9A" w14:textId="77777777" w:rsidR="00CC523F" w:rsidRDefault="00CC523F" w:rsidP="00952CFC">
            <w:pPr>
              <w:spacing w:before="120" w:after="120"/>
              <w:rPr>
                <w:rFonts w:ascii="Arial" w:eastAsia="Times New Roman" w:hAnsi="Arial" w:cs="Arial"/>
                <w:i/>
                <w:color w:val="000000"/>
                <w:highlight w:val="yellow"/>
              </w:rPr>
            </w:pPr>
            <w:r w:rsidRPr="00CC523F">
              <w:rPr>
                <w:rFonts w:ascii="Arial" w:eastAsia="Times New Roman" w:hAnsi="Arial" w:cs="Arial"/>
                <w:color w:val="000000"/>
              </w:rPr>
              <w:t>Can collective Board of Directors and/or Organization Membership experience be used to help satisfy qualifications?</w:t>
            </w:r>
          </w:p>
        </w:tc>
      </w:tr>
      <w:tr w:rsidR="00CC523F" w:rsidRPr="00EA3027" w14:paraId="5DD6EBCF" w14:textId="77777777" w:rsidTr="00B2525C">
        <w:tc>
          <w:tcPr>
            <w:tcW w:w="693" w:type="dxa"/>
            <w:tcBorders>
              <w:bottom w:val="single" w:sz="4" w:space="0" w:color="auto"/>
            </w:tcBorders>
            <w:shd w:val="clear" w:color="auto" w:fill="D9D9D9"/>
          </w:tcPr>
          <w:p w14:paraId="0EE78AB0" w14:textId="77777777" w:rsidR="00CC523F" w:rsidRDefault="00CC523F" w:rsidP="00952CFC">
            <w:pPr>
              <w:spacing w:before="120" w:after="120"/>
              <w:rPr>
                <w:rFonts w:ascii="Arial" w:eastAsia="Times New Roman" w:hAnsi="Arial" w:cs="Arial"/>
                <w:color w:val="000000"/>
              </w:rPr>
            </w:pPr>
            <w:r>
              <w:rPr>
                <w:rFonts w:ascii="Arial" w:eastAsia="Times New Roman" w:hAnsi="Arial" w:cs="Arial"/>
                <w:color w:val="000000"/>
              </w:rPr>
              <w:t>A</w:t>
            </w:r>
            <w:r w:rsidR="001B6F0B">
              <w:rPr>
                <w:rFonts w:ascii="Arial" w:eastAsia="Times New Roman" w:hAnsi="Arial" w:cs="Arial"/>
                <w:color w:val="000000"/>
              </w:rPr>
              <w:t>8</w:t>
            </w:r>
          </w:p>
        </w:tc>
        <w:tc>
          <w:tcPr>
            <w:tcW w:w="8835" w:type="dxa"/>
            <w:tcBorders>
              <w:bottom w:val="single" w:sz="4" w:space="0" w:color="auto"/>
            </w:tcBorders>
            <w:shd w:val="clear" w:color="auto" w:fill="D9D9D9"/>
          </w:tcPr>
          <w:p w14:paraId="63C0284D" w14:textId="3A022126" w:rsidR="00BC73FD" w:rsidRPr="000616BC" w:rsidRDefault="00BC73FD" w:rsidP="004A7C24">
            <w:pPr>
              <w:spacing w:before="120" w:after="120"/>
              <w:rPr>
                <w:rFonts w:ascii="Arial" w:eastAsia="Times New Roman" w:hAnsi="Arial" w:cs="Arial"/>
                <w:color w:val="000000"/>
                <w:highlight w:val="yellow"/>
              </w:rPr>
            </w:pPr>
            <w:r w:rsidRPr="000616BC">
              <w:rPr>
                <w:rFonts w:ascii="Arial" w:eastAsia="Times New Roman" w:hAnsi="Arial" w:cs="Arial"/>
                <w:color w:val="000000"/>
              </w:rPr>
              <w:t>Board members and organization members</w:t>
            </w:r>
            <w:r w:rsidR="000616BC" w:rsidRPr="000616BC">
              <w:rPr>
                <w:rFonts w:ascii="Arial" w:eastAsia="Times New Roman" w:hAnsi="Arial" w:cs="Arial"/>
                <w:color w:val="000000"/>
              </w:rPr>
              <w:t>’</w:t>
            </w:r>
            <w:r w:rsidRPr="000616BC">
              <w:rPr>
                <w:rFonts w:ascii="Arial" w:eastAsia="Times New Roman" w:hAnsi="Arial" w:cs="Arial"/>
                <w:color w:val="000000"/>
              </w:rPr>
              <w:t xml:space="preserve"> experience may be use to meet the minimu</w:t>
            </w:r>
            <w:r w:rsidR="000616BC" w:rsidRPr="000616BC">
              <w:rPr>
                <w:rFonts w:ascii="Arial" w:eastAsia="Times New Roman" w:hAnsi="Arial" w:cs="Arial"/>
                <w:color w:val="000000"/>
              </w:rPr>
              <w:t>m</w:t>
            </w:r>
            <w:r w:rsidRPr="000616BC">
              <w:rPr>
                <w:rFonts w:ascii="Arial" w:eastAsia="Times New Roman" w:hAnsi="Arial" w:cs="Arial"/>
                <w:color w:val="000000"/>
              </w:rPr>
              <w:t xml:space="preserve"> qualifications. The applicants will need to disclose the role they will play </w:t>
            </w:r>
            <w:r w:rsidRPr="000616BC">
              <w:rPr>
                <w:rFonts w:ascii="Arial" w:eastAsia="Times New Roman" w:hAnsi="Arial" w:cs="Arial"/>
                <w:color w:val="000000"/>
              </w:rPr>
              <w:lastRenderedPageBreak/>
              <w:t>per the instructions in the IFB.</w:t>
            </w:r>
          </w:p>
        </w:tc>
      </w:tr>
      <w:tr w:rsidR="00B2525C" w:rsidRPr="00EA3027" w14:paraId="7DFCA9EB" w14:textId="77777777" w:rsidTr="00B2525C">
        <w:tc>
          <w:tcPr>
            <w:tcW w:w="693" w:type="dxa"/>
            <w:shd w:val="clear" w:color="auto" w:fill="auto"/>
          </w:tcPr>
          <w:p w14:paraId="41D8CC78" w14:textId="35D9DF81" w:rsidR="00B2525C" w:rsidRDefault="00B2525C" w:rsidP="00952CFC">
            <w:pPr>
              <w:spacing w:before="120" w:after="120"/>
              <w:rPr>
                <w:rFonts w:ascii="Arial" w:eastAsia="Times New Roman" w:hAnsi="Arial" w:cs="Arial"/>
                <w:color w:val="000000"/>
              </w:rPr>
            </w:pPr>
            <w:r>
              <w:rPr>
                <w:rFonts w:ascii="Arial" w:eastAsia="Times New Roman" w:hAnsi="Arial" w:cs="Arial"/>
                <w:color w:val="000000"/>
              </w:rPr>
              <w:lastRenderedPageBreak/>
              <w:t>Q9</w:t>
            </w:r>
          </w:p>
        </w:tc>
        <w:tc>
          <w:tcPr>
            <w:tcW w:w="8835" w:type="dxa"/>
            <w:shd w:val="clear" w:color="auto" w:fill="auto"/>
          </w:tcPr>
          <w:p w14:paraId="6065928E" w14:textId="77777777" w:rsidR="00B2525C" w:rsidRPr="00B2525C" w:rsidRDefault="00B2525C" w:rsidP="00B2525C">
            <w:pPr>
              <w:spacing w:before="120" w:after="120"/>
              <w:rPr>
                <w:rFonts w:ascii="Arial" w:eastAsia="Times New Roman" w:hAnsi="Arial" w:cs="Arial"/>
                <w:color w:val="000000"/>
              </w:rPr>
            </w:pPr>
            <w:r w:rsidRPr="00B2525C">
              <w:rPr>
                <w:rFonts w:ascii="Arial" w:eastAsia="Times New Roman" w:hAnsi="Arial" w:cs="Arial"/>
                <w:color w:val="000000"/>
              </w:rPr>
              <w:t>One of the minimum qualifications is, “6) Team has at least one person with post graduate degree in economics and 10+ years of experience conducting economic analyses on data collection and development, implementation, and maintenance of new data systems and business processes, and estimating the costs and cost avoidance to key actors and stakeholders.”</w:t>
            </w:r>
          </w:p>
          <w:p w14:paraId="33B44E58" w14:textId="77777777" w:rsidR="00B2525C" w:rsidRPr="00B2525C" w:rsidRDefault="00B2525C" w:rsidP="00B2525C">
            <w:pPr>
              <w:spacing w:before="120" w:after="120"/>
              <w:rPr>
                <w:rFonts w:ascii="Arial" w:eastAsia="Times New Roman" w:hAnsi="Arial" w:cs="Arial"/>
                <w:color w:val="000000"/>
              </w:rPr>
            </w:pPr>
            <w:r w:rsidRPr="00B2525C">
              <w:rPr>
                <w:rFonts w:ascii="Arial" w:eastAsia="Times New Roman" w:hAnsi="Arial" w:cs="Arial"/>
                <w:color w:val="000000"/>
              </w:rPr>
              <w:t xml:space="preserve"> </w:t>
            </w:r>
          </w:p>
          <w:p w14:paraId="3528EC44" w14:textId="272E4A01" w:rsidR="00B2525C" w:rsidRPr="000616BC" w:rsidRDefault="00B2525C" w:rsidP="00B2525C">
            <w:pPr>
              <w:spacing w:before="120" w:after="120"/>
              <w:rPr>
                <w:rFonts w:ascii="Arial" w:eastAsia="Times New Roman" w:hAnsi="Arial" w:cs="Arial"/>
                <w:color w:val="000000"/>
              </w:rPr>
            </w:pPr>
            <w:r w:rsidRPr="00B2525C">
              <w:rPr>
                <w:rFonts w:ascii="Arial" w:eastAsia="Times New Roman" w:hAnsi="Arial" w:cs="Arial"/>
                <w:color w:val="000000"/>
              </w:rPr>
              <w:t>Could you help us to better understand what exactly this means? Does “data systems” refer to HVAC equipment number registration and tracking?</w:t>
            </w:r>
          </w:p>
        </w:tc>
      </w:tr>
      <w:tr w:rsidR="00B2525C" w:rsidRPr="00EA3027" w14:paraId="03EB06DD" w14:textId="77777777" w:rsidTr="00952CFC">
        <w:tc>
          <w:tcPr>
            <w:tcW w:w="693" w:type="dxa"/>
            <w:shd w:val="clear" w:color="auto" w:fill="D9D9D9"/>
          </w:tcPr>
          <w:p w14:paraId="610F8592" w14:textId="02603B39" w:rsidR="00B2525C" w:rsidRDefault="00B2525C" w:rsidP="00952CFC">
            <w:pPr>
              <w:spacing w:before="120" w:after="120"/>
              <w:rPr>
                <w:rFonts w:ascii="Arial" w:eastAsia="Times New Roman" w:hAnsi="Arial" w:cs="Arial"/>
                <w:color w:val="000000"/>
              </w:rPr>
            </w:pPr>
            <w:r>
              <w:rPr>
                <w:rFonts w:ascii="Arial" w:eastAsia="Times New Roman" w:hAnsi="Arial" w:cs="Arial"/>
                <w:color w:val="000000"/>
              </w:rPr>
              <w:t>A9</w:t>
            </w:r>
          </w:p>
        </w:tc>
        <w:tc>
          <w:tcPr>
            <w:tcW w:w="8835" w:type="dxa"/>
            <w:shd w:val="clear" w:color="auto" w:fill="D9D9D9"/>
          </w:tcPr>
          <w:p w14:paraId="2B840CC7" w14:textId="238BB069" w:rsidR="00B2525C" w:rsidRPr="000616BC" w:rsidRDefault="00B2525C" w:rsidP="004A7C24">
            <w:pPr>
              <w:spacing w:before="120" w:after="120"/>
              <w:rPr>
                <w:rFonts w:ascii="Arial" w:eastAsia="Times New Roman" w:hAnsi="Arial" w:cs="Arial"/>
                <w:color w:val="000000"/>
              </w:rPr>
            </w:pPr>
            <w:r w:rsidRPr="00B2525C">
              <w:rPr>
                <w:rFonts w:ascii="Arial" w:eastAsia="Times New Roman" w:hAnsi="Arial" w:cs="Arial"/>
                <w:color w:val="000000"/>
              </w:rPr>
              <w:t>The term “data systems” may, but does not specifically refer to HVAC equipment tracking. The term is used in a more general sense, and refers to software applications used to collect, organize, and analyze data.</w:t>
            </w:r>
          </w:p>
        </w:tc>
      </w:tr>
    </w:tbl>
    <w:p w14:paraId="19215C3D" w14:textId="77777777" w:rsidR="00CC523F" w:rsidRDefault="00CC523F" w:rsidP="00DE29A0">
      <w:pPr>
        <w:rPr>
          <w:rFonts w:ascii="Arial" w:eastAsia="Times New Roman" w:hAnsi="Arial" w:cs="Arial"/>
          <w:color w:val="000000"/>
          <w:sz w:val="18"/>
          <w:szCs w:val="18"/>
        </w:rPr>
      </w:pPr>
    </w:p>
    <w:p w14:paraId="2FDC4330" w14:textId="77777777" w:rsidR="00CC523F" w:rsidRPr="003071D6" w:rsidRDefault="00CC523F" w:rsidP="00DE29A0">
      <w:pPr>
        <w:rPr>
          <w:rFonts w:ascii="Arial" w:eastAsia="Times New Roman" w:hAnsi="Arial" w:cs="Arial"/>
          <w:color w:val="000000"/>
          <w:sz w:val="18"/>
          <w:szCs w:val="1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8493"/>
      </w:tblGrid>
      <w:tr w:rsidR="00890D24" w:rsidRPr="00C61082" w14:paraId="17AB8383" w14:textId="77777777" w:rsidTr="00D46AA5">
        <w:tc>
          <w:tcPr>
            <w:tcW w:w="9528" w:type="dxa"/>
            <w:gridSpan w:val="2"/>
            <w:tcBorders>
              <w:bottom w:val="single" w:sz="4" w:space="0" w:color="auto"/>
            </w:tcBorders>
            <w:shd w:val="clear" w:color="auto" w:fill="B8CCE4"/>
          </w:tcPr>
          <w:p w14:paraId="300A56AA" w14:textId="77777777" w:rsidR="00890D24" w:rsidRPr="00C61082" w:rsidRDefault="00B104E6" w:rsidP="00C61082">
            <w:pPr>
              <w:jc w:val="center"/>
              <w:rPr>
                <w:rFonts w:ascii="Arial" w:eastAsia="Times New Roman" w:hAnsi="Arial" w:cs="Arial"/>
                <w:b/>
                <w:color w:val="000000"/>
                <w:sz w:val="22"/>
                <w:szCs w:val="22"/>
              </w:rPr>
            </w:pPr>
            <w:r>
              <w:rPr>
                <w:rFonts w:ascii="Arial" w:eastAsia="Times New Roman" w:hAnsi="Arial" w:cs="Arial"/>
                <w:b/>
                <w:color w:val="000000"/>
                <w:sz w:val="22"/>
                <w:szCs w:val="22"/>
              </w:rPr>
              <w:t>IFB</w:t>
            </w:r>
          </w:p>
        </w:tc>
      </w:tr>
      <w:tr w:rsidR="00D46AA5" w:rsidRPr="00EA3027" w14:paraId="1756B579" w14:textId="77777777" w:rsidTr="00D46AA5">
        <w:tc>
          <w:tcPr>
            <w:tcW w:w="1035" w:type="dxa"/>
            <w:shd w:val="clear" w:color="auto" w:fill="auto"/>
          </w:tcPr>
          <w:p w14:paraId="29E10492" w14:textId="067369BB" w:rsidR="00D46AA5" w:rsidRPr="00D46AA5" w:rsidRDefault="002F4879" w:rsidP="00D46AA5">
            <w:pPr>
              <w:spacing w:before="120" w:after="120"/>
              <w:rPr>
                <w:rFonts w:ascii="Arial" w:eastAsia="Times New Roman" w:hAnsi="Arial" w:cs="Arial"/>
                <w:color w:val="000000"/>
              </w:rPr>
            </w:pPr>
            <w:r>
              <w:rPr>
                <w:rFonts w:ascii="Arial" w:eastAsia="Times New Roman" w:hAnsi="Arial" w:cs="Arial"/>
                <w:color w:val="000000"/>
              </w:rPr>
              <w:t>Q</w:t>
            </w:r>
            <w:r w:rsidR="00B2525C">
              <w:rPr>
                <w:rFonts w:ascii="Arial" w:eastAsia="Times New Roman" w:hAnsi="Arial" w:cs="Arial"/>
                <w:color w:val="000000"/>
              </w:rPr>
              <w:t>10</w:t>
            </w:r>
          </w:p>
        </w:tc>
        <w:tc>
          <w:tcPr>
            <w:tcW w:w="8493" w:type="dxa"/>
            <w:shd w:val="clear" w:color="auto" w:fill="auto"/>
          </w:tcPr>
          <w:p w14:paraId="38790F8F" w14:textId="77777777" w:rsidR="00D46AA5" w:rsidRPr="00D46AA5" w:rsidRDefault="00D46AA5" w:rsidP="00D46AA5">
            <w:pPr>
              <w:spacing w:before="120" w:after="120"/>
              <w:rPr>
                <w:rFonts w:ascii="Arial" w:eastAsia="Times New Roman" w:hAnsi="Arial" w:cs="Arial"/>
                <w:color w:val="000000"/>
              </w:rPr>
            </w:pPr>
            <w:r w:rsidRPr="00D46AA5">
              <w:rPr>
                <w:rFonts w:ascii="Arial" w:eastAsia="Times New Roman" w:hAnsi="Arial" w:cs="Arial"/>
                <w:color w:val="000000"/>
              </w:rPr>
              <w:t>Under description of Task 1.1 the text says the kick-off meeting “will be held either via WebEx, teleconference.” The text does not mention an in-person meeting. Is that desirable or does the CEC prefer not doing the meeting in person?</w:t>
            </w:r>
          </w:p>
        </w:tc>
      </w:tr>
      <w:tr w:rsidR="00D46AA5" w:rsidRPr="00EA3027" w14:paraId="0F20734D" w14:textId="77777777" w:rsidTr="00D46AA5">
        <w:tc>
          <w:tcPr>
            <w:tcW w:w="1035" w:type="dxa"/>
            <w:tcBorders>
              <w:bottom w:val="single" w:sz="4" w:space="0" w:color="auto"/>
            </w:tcBorders>
            <w:shd w:val="clear" w:color="auto" w:fill="D9D9D9"/>
          </w:tcPr>
          <w:p w14:paraId="747C923C" w14:textId="18F45538" w:rsidR="00D46AA5" w:rsidRPr="00D46AA5" w:rsidRDefault="002F4879" w:rsidP="00D46AA5">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10</w:t>
            </w:r>
          </w:p>
        </w:tc>
        <w:tc>
          <w:tcPr>
            <w:tcW w:w="8493" w:type="dxa"/>
            <w:tcBorders>
              <w:bottom w:val="single" w:sz="4" w:space="0" w:color="auto"/>
            </w:tcBorders>
            <w:shd w:val="clear" w:color="auto" w:fill="D9D9D9"/>
          </w:tcPr>
          <w:p w14:paraId="6A02F93C" w14:textId="21B769DC" w:rsidR="00D46AA5" w:rsidRPr="00D46AA5" w:rsidRDefault="00D46AA5" w:rsidP="00D46AA5">
            <w:pPr>
              <w:spacing w:before="120" w:after="120"/>
              <w:rPr>
                <w:rFonts w:ascii="Arial" w:eastAsia="Times New Roman" w:hAnsi="Arial" w:cs="Arial"/>
                <w:color w:val="000000"/>
              </w:rPr>
            </w:pPr>
            <w:r w:rsidRPr="00D46AA5">
              <w:rPr>
                <w:rFonts w:ascii="Arial" w:eastAsia="Times New Roman" w:hAnsi="Arial" w:cs="Arial"/>
                <w:color w:val="000000"/>
              </w:rPr>
              <w:t>An in-person kick-off meeting is not required. Should the contractor prefer to have an in-person kick-off meeting, the travel costs for that meeting will not be reimbursable</w:t>
            </w:r>
            <w:r w:rsidR="000B2EB5">
              <w:rPr>
                <w:rFonts w:ascii="Arial" w:eastAsia="Times New Roman" w:hAnsi="Arial" w:cs="Arial"/>
                <w:color w:val="000000"/>
              </w:rPr>
              <w:t>.</w:t>
            </w:r>
          </w:p>
        </w:tc>
      </w:tr>
      <w:tr w:rsidR="00D46AA5" w:rsidRPr="00EA3027" w14:paraId="51D8BB7C" w14:textId="77777777" w:rsidTr="00D46AA5">
        <w:tc>
          <w:tcPr>
            <w:tcW w:w="1035" w:type="dxa"/>
            <w:shd w:val="clear" w:color="auto" w:fill="auto"/>
          </w:tcPr>
          <w:p w14:paraId="6AF41827" w14:textId="06E7F5FE" w:rsidR="00D46AA5" w:rsidRPr="00D46AA5" w:rsidRDefault="002F4879" w:rsidP="00D46AA5">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11</w:t>
            </w:r>
          </w:p>
        </w:tc>
        <w:tc>
          <w:tcPr>
            <w:tcW w:w="8493" w:type="dxa"/>
            <w:shd w:val="clear" w:color="auto" w:fill="auto"/>
          </w:tcPr>
          <w:p w14:paraId="314F7F70" w14:textId="77777777" w:rsidR="00D46AA5" w:rsidRPr="00D46AA5" w:rsidRDefault="00D46AA5" w:rsidP="00D46AA5">
            <w:pPr>
              <w:spacing w:before="120" w:after="120"/>
              <w:rPr>
                <w:rFonts w:ascii="Arial" w:eastAsia="Times New Roman" w:hAnsi="Arial" w:cs="Arial"/>
                <w:color w:val="000000"/>
              </w:rPr>
            </w:pPr>
            <w:r w:rsidRPr="00D46AA5">
              <w:rPr>
                <w:rFonts w:ascii="Arial" w:eastAsia="Times New Roman" w:hAnsi="Arial" w:cs="Arial"/>
                <w:color w:val="000000"/>
              </w:rPr>
              <w:t>Task #2 reads, “Conduct at least 20 stakeholder interviews via phone, WebEx, other online meeting application…”  However, it is not clear if these must be 20 separate individual interviews, or whether they could be combined interviews with groups of interviewees.  Can you please clarify what the intent is?</w:t>
            </w:r>
          </w:p>
        </w:tc>
      </w:tr>
      <w:tr w:rsidR="00016E82" w:rsidRPr="00EA3027" w14:paraId="320D9412" w14:textId="77777777" w:rsidTr="00CC523F">
        <w:tc>
          <w:tcPr>
            <w:tcW w:w="1035" w:type="dxa"/>
            <w:shd w:val="clear" w:color="auto" w:fill="D9D9D9"/>
          </w:tcPr>
          <w:p w14:paraId="029D6F0C" w14:textId="04E7C793" w:rsidR="00016E82" w:rsidRPr="00EA3027" w:rsidRDefault="002F4879" w:rsidP="00CA2464">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11</w:t>
            </w:r>
          </w:p>
        </w:tc>
        <w:tc>
          <w:tcPr>
            <w:tcW w:w="8493" w:type="dxa"/>
            <w:shd w:val="clear" w:color="auto" w:fill="D9D9D9"/>
          </w:tcPr>
          <w:p w14:paraId="6CB9E185" w14:textId="1E6B078F" w:rsidR="005645EF" w:rsidRPr="005645EF" w:rsidRDefault="00B104E6" w:rsidP="003071D6">
            <w:pPr>
              <w:spacing w:before="120" w:after="120"/>
              <w:rPr>
                <w:rFonts w:ascii="Arial" w:eastAsia="Times New Roman" w:hAnsi="Arial" w:cs="Arial"/>
                <w:color w:val="000000"/>
              </w:rPr>
            </w:pPr>
            <w:r w:rsidRPr="00B104E6">
              <w:rPr>
                <w:rFonts w:ascii="Arial" w:eastAsia="Times New Roman" w:hAnsi="Arial" w:cs="Arial"/>
                <w:color w:val="000000"/>
              </w:rPr>
              <w:t xml:space="preserve">The intent of this activity is to gather a wide range of perspectives on the barriers faced by each stakeholder in the central air-conditioning and heat pump industries, specifically in residential and small commercial buildings. Ultimately, the information gathered through the stakeholder interviews will be used to develop the recommendations in the Compliance Plan. Interviews can be conducted as a group, but the consultant must demonstrate </w:t>
            </w:r>
            <w:r w:rsidR="000B2EB5">
              <w:rPr>
                <w:rFonts w:ascii="Arial" w:eastAsia="Times New Roman" w:hAnsi="Arial" w:cs="Arial"/>
                <w:color w:val="000000"/>
              </w:rPr>
              <w:t>how it</w:t>
            </w:r>
            <w:r w:rsidRPr="00B104E6">
              <w:rPr>
                <w:rFonts w:ascii="Arial" w:eastAsia="Times New Roman" w:hAnsi="Arial" w:cs="Arial"/>
                <w:color w:val="000000"/>
              </w:rPr>
              <w:t xml:space="preserve"> consider</w:t>
            </w:r>
            <w:r w:rsidR="000B2EB5">
              <w:rPr>
                <w:rFonts w:ascii="Arial" w:eastAsia="Times New Roman" w:hAnsi="Arial" w:cs="Arial"/>
                <w:color w:val="000000"/>
              </w:rPr>
              <w:t>ed</w:t>
            </w:r>
            <w:r w:rsidRPr="00B104E6">
              <w:rPr>
                <w:rFonts w:ascii="Arial" w:eastAsia="Times New Roman" w:hAnsi="Arial" w:cs="Arial"/>
                <w:color w:val="000000"/>
              </w:rPr>
              <w:t xml:space="preserve"> the impacts of the plan on stakeholders, as mandated by Senate Bill 1414.</w:t>
            </w:r>
          </w:p>
        </w:tc>
      </w:tr>
      <w:tr w:rsidR="00E57D79" w:rsidRPr="00EA3027" w14:paraId="3D79D40F" w14:textId="77777777" w:rsidTr="00CC523F">
        <w:tc>
          <w:tcPr>
            <w:tcW w:w="1035" w:type="dxa"/>
            <w:shd w:val="clear" w:color="auto" w:fill="auto"/>
          </w:tcPr>
          <w:p w14:paraId="4DF63E8B" w14:textId="327B0410" w:rsidR="00E57D79" w:rsidRDefault="002F4879" w:rsidP="00CA2464">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12</w:t>
            </w:r>
          </w:p>
        </w:tc>
        <w:tc>
          <w:tcPr>
            <w:tcW w:w="8493" w:type="dxa"/>
            <w:shd w:val="clear" w:color="auto" w:fill="auto"/>
          </w:tcPr>
          <w:p w14:paraId="7ACA49B0" w14:textId="77777777" w:rsidR="00E57D79" w:rsidRPr="00E57D79" w:rsidRDefault="00E57D79" w:rsidP="003071D6">
            <w:pPr>
              <w:spacing w:before="120" w:after="120"/>
              <w:rPr>
                <w:rFonts w:ascii="Arial" w:eastAsia="Times New Roman" w:hAnsi="Arial" w:cs="Arial"/>
                <w:color w:val="000000"/>
              </w:rPr>
            </w:pPr>
            <w:r>
              <w:rPr>
                <w:rFonts w:ascii="Arial" w:eastAsia="Times New Roman" w:hAnsi="Arial" w:cs="Arial"/>
                <w:color w:val="000000"/>
              </w:rPr>
              <w:t>Regarding Task 2b (page 12), How</w:t>
            </w:r>
            <w:r w:rsidR="00173079">
              <w:rPr>
                <w:rFonts w:ascii="Arial" w:eastAsia="Times New Roman" w:hAnsi="Arial" w:cs="Arial"/>
                <w:color w:val="000000"/>
              </w:rPr>
              <w:t xml:space="preserve"> does the </w:t>
            </w:r>
            <w:r w:rsidR="00173079" w:rsidRPr="00173079">
              <w:rPr>
                <w:rFonts w:ascii="Arial" w:eastAsia="Times New Roman" w:hAnsi="Arial" w:cs="Arial"/>
                <w:color w:val="000000"/>
              </w:rPr>
              <w:t>minimum of 20 stakeholder interviews relate to the cited interview list minimums? As the interview list minimums total a significantly greater number than the minimum number of required interviews, is the intent to use the full interview list as a starting point, but mirror percentage makeup of the minimum stakeholder interview categories for actual interviews conducted?</w:t>
            </w:r>
          </w:p>
        </w:tc>
      </w:tr>
      <w:tr w:rsidR="00E57D79" w:rsidRPr="00EA3027" w14:paraId="4F8DD0F6" w14:textId="77777777" w:rsidTr="00CC523F">
        <w:tc>
          <w:tcPr>
            <w:tcW w:w="1035" w:type="dxa"/>
            <w:tcBorders>
              <w:bottom w:val="single" w:sz="4" w:space="0" w:color="auto"/>
            </w:tcBorders>
            <w:shd w:val="clear" w:color="auto" w:fill="D9D9D9"/>
          </w:tcPr>
          <w:p w14:paraId="05C90551" w14:textId="43D83F9A" w:rsidR="00E57D79" w:rsidRDefault="00A56A92" w:rsidP="002F4879">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12</w:t>
            </w:r>
          </w:p>
        </w:tc>
        <w:tc>
          <w:tcPr>
            <w:tcW w:w="8493" w:type="dxa"/>
            <w:tcBorders>
              <w:bottom w:val="single" w:sz="4" w:space="0" w:color="auto"/>
            </w:tcBorders>
            <w:shd w:val="clear" w:color="auto" w:fill="D9D9D9"/>
          </w:tcPr>
          <w:p w14:paraId="0BDD9AF1" w14:textId="77777777" w:rsidR="00E57D79" w:rsidRPr="00E57D79" w:rsidRDefault="00F318F7" w:rsidP="000D2074">
            <w:pPr>
              <w:spacing w:before="120" w:after="120"/>
              <w:rPr>
                <w:rFonts w:ascii="Arial" w:eastAsia="Times New Roman" w:hAnsi="Arial" w:cs="Arial"/>
                <w:color w:val="000000"/>
              </w:rPr>
            </w:pPr>
            <w:r>
              <w:rPr>
                <w:rFonts w:ascii="Arial" w:eastAsia="Times New Roman" w:hAnsi="Arial" w:cs="Arial"/>
                <w:color w:val="000000"/>
              </w:rPr>
              <w:t xml:space="preserve">The intended total number of interviewees is </w:t>
            </w:r>
            <w:r w:rsidR="0073518C">
              <w:rPr>
                <w:rFonts w:ascii="Arial" w:eastAsia="Times New Roman" w:hAnsi="Arial" w:cs="Arial"/>
                <w:color w:val="000000"/>
              </w:rPr>
              <w:t xml:space="preserve">at least </w:t>
            </w:r>
            <w:r>
              <w:rPr>
                <w:rFonts w:ascii="Arial" w:eastAsia="Times New Roman" w:hAnsi="Arial" w:cs="Arial"/>
                <w:color w:val="000000"/>
              </w:rPr>
              <w:t xml:space="preserve">61. </w:t>
            </w:r>
            <w:r w:rsidRPr="00F318F7">
              <w:rPr>
                <w:rFonts w:ascii="Arial" w:eastAsia="Times New Roman" w:hAnsi="Arial" w:cs="Arial"/>
                <w:color w:val="000000"/>
              </w:rPr>
              <w:t>The interview list will be made up of 2 manufacturers, 2 distributors, 20 contractors (10 owners and 10 installers), 15 building departments, 10 building owners, 10 homeowners, the CSLB, and the Energy Commission</w:t>
            </w:r>
            <w:r>
              <w:rPr>
                <w:rFonts w:ascii="Arial" w:eastAsia="Times New Roman" w:hAnsi="Arial" w:cs="Arial"/>
                <w:color w:val="000000"/>
              </w:rPr>
              <w:t>.</w:t>
            </w:r>
            <w:r w:rsidR="003316BA">
              <w:rPr>
                <w:rFonts w:ascii="Arial" w:eastAsia="Times New Roman" w:hAnsi="Arial" w:cs="Arial"/>
                <w:color w:val="000000"/>
              </w:rPr>
              <w:t xml:space="preserve"> </w:t>
            </w:r>
            <w:r w:rsidR="0073518C">
              <w:rPr>
                <w:rFonts w:ascii="Arial" w:eastAsia="Times New Roman" w:hAnsi="Arial" w:cs="Arial"/>
                <w:color w:val="000000"/>
              </w:rPr>
              <w:t>This is</w:t>
            </w:r>
            <w:r w:rsidR="000D2074">
              <w:rPr>
                <w:rFonts w:ascii="Arial" w:eastAsia="Times New Roman" w:hAnsi="Arial" w:cs="Arial"/>
                <w:color w:val="000000"/>
              </w:rPr>
              <w:t xml:space="preserve"> not an exhaustive list,</w:t>
            </w:r>
            <w:r w:rsidR="0073518C">
              <w:rPr>
                <w:rFonts w:ascii="Arial" w:eastAsia="Times New Roman" w:hAnsi="Arial" w:cs="Arial"/>
                <w:color w:val="000000"/>
              </w:rPr>
              <w:t xml:space="preserve"> and the contractor may suggest additional stakeholders.</w:t>
            </w:r>
          </w:p>
        </w:tc>
      </w:tr>
      <w:tr w:rsidR="00EE4540" w:rsidRPr="00EA3027" w14:paraId="1C86C874" w14:textId="77777777" w:rsidTr="00CC523F">
        <w:tc>
          <w:tcPr>
            <w:tcW w:w="1035" w:type="dxa"/>
            <w:shd w:val="clear" w:color="auto" w:fill="auto"/>
          </w:tcPr>
          <w:p w14:paraId="0E965D2A" w14:textId="67CF4AB2" w:rsidR="00EE4540" w:rsidRDefault="002F4879" w:rsidP="00CA2464">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13</w:t>
            </w:r>
          </w:p>
        </w:tc>
        <w:tc>
          <w:tcPr>
            <w:tcW w:w="8493" w:type="dxa"/>
            <w:shd w:val="clear" w:color="auto" w:fill="auto"/>
          </w:tcPr>
          <w:p w14:paraId="3980C809" w14:textId="77777777" w:rsidR="00EE4540" w:rsidRDefault="00EE4540" w:rsidP="00173079">
            <w:pPr>
              <w:spacing w:before="120" w:after="120"/>
              <w:rPr>
                <w:rFonts w:ascii="Arial" w:eastAsia="Times New Roman" w:hAnsi="Arial" w:cs="Arial"/>
                <w:color w:val="000000"/>
              </w:rPr>
            </w:pPr>
            <w:r w:rsidRPr="008D50F6">
              <w:rPr>
                <w:rFonts w:ascii="Arial" w:eastAsia="Times New Roman" w:hAnsi="Arial" w:cs="Arial"/>
                <w:color w:val="000000"/>
              </w:rPr>
              <w:t>Will the CEC invite participants to the workshop described under Task 2? Will the contractor have any responsibility for inviting participants?</w:t>
            </w:r>
          </w:p>
        </w:tc>
      </w:tr>
      <w:tr w:rsidR="00EE4540" w:rsidRPr="00EA3027" w14:paraId="72D760A8" w14:textId="77777777" w:rsidTr="00CC523F">
        <w:tc>
          <w:tcPr>
            <w:tcW w:w="1035" w:type="dxa"/>
            <w:tcBorders>
              <w:bottom w:val="single" w:sz="4" w:space="0" w:color="auto"/>
            </w:tcBorders>
            <w:shd w:val="clear" w:color="auto" w:fill="D9D9D9"/>
          </w:tcPr>
          <w:p w14:paraId="79C4D30B" w14:textId="62DD091F" w:rsidR="00EE4540" w:rsidRDefault="002F4879" w:rsidP="00A56A92">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13</w:t>
            </w:r>
          </w:p>
        </w:tc>
        <w:tc>
          <w:tcPr>
            <w:tcW w:w="8493" w:type="dxa"/>
            <w:tcBorders>
              <w:bottom w:val="single" w:sz="4" w:space="0" w:color="auto"/>
            </w:tcBorders>
            <w:shd w:val="clear" w:color="auto" w:fill="D9D9D9"/>
          </w:tcPr>
          <w:p w14:paraId="0EE14316" w14:textId="597CD13D" w:rsidR="00EE4540" w:rsidRDefault="00813EF6" w:rsidP="00173079">
            <w:pPr>
              <w:spacing w:before="120" w:after="120"/>
              <w:rPr>
                <w:rFonts w:ascii="Arial" w:eastAsia="Times New Roman" w:hAnsi="Arial" w:cs="Arial"/>
                <w:color w:val="000000"/>
              </w:rPr>
            </w:pPr>
            <w:r>
              <w:rPr>
                <w:rFonts w:ascii="Arial" w:eastAsia="Times New Roman" w:hAnsi="Arial" w:cs="Arial"/>
                <w:color w:val="000000"/>
              </w:rPr>
              <w:t>The Energy Commission</w:t>
            </w:r>
            <w:r w:rsidR="0073518C">
              <w:rPr>
                <w:rFonts w:ascii="Arial" w:eastAsia="Times New Roman" w:hAnsi="Arial" w:cs="Arial"/>
                <w:color w:val="000000"/>
              </w:rPr>
              <w:t xml:space="preserve"> will be responsible for inviting participants to the workshop described under Task 2. </w:t>
            </w:r>
            <w:r w:rsidR="000B2EB5">
              <w:rPr>
                <w:rFonts w:ascii="Arial" w:eastAsia="Times New Roman" w:hAnsi="Arial" w:cs="Arial"/>
                <w:color w:val="000000"/>
              </w:rPr>
              <w:t xml:space="preserve">Although it is not required, the contractor </w:t>
            </w:r>
            <w:r w:rsidR="0073518C">
              <w:rPr>
                <w:rFonts w:ascii="Arial" w:eastAsia="Times New Roman" w:hAnsi="Arial" w:cs="Arial"/>
                <w:color w:val="000000"/>
              </w:rPr>
              <w:t>may forward the invitation and any workshops materials approved by the CAM</w:t>
            </w:r>
            <w:r w:rsidR="000B2EB5">
              <w:rPr>
                <w:rFonts w:ascii="Arial" w:eastAsia="Times New Roman" w:hAnsi="Arial" w:cs="Arial"/>
                <w:color w:val="000000"/>
              </w:rPr>
              <w:t>.</w:t>
            </w:r>
          </w:p>
        </w:tc>
      </w:tr>
      <w:tr w:rsidR="00EE4540" w:rsidRPr="00EA3027" w14:paraId="75680742" w14:textId="77777777" w:rsidTr="00CC523F">
        <w:tc>
          <w:tcPr>
            <w:tcW w:w="1035" w:type="dxa"/>
            <w:shd w:val="clear" w:color="auto" w:fill="auto"/>
          </w:tcPr>
          <w:p w14:paraId="4BA3F9AD" w14:textId="12D10405" w:rsidR="00EE4540" w:rsidRDefault="002F4879" w:rsidP="00CA2464">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14</w:t>
            </w:r>
          </w:p>
        </w:tc>
        <w:tc>
          <w:tcPr>
            <w:tcW w:w="8493" w:type="dxa"/>
            <w:shd w:val="clear" w:color="auto" w:fill="auto"/>
          </w:tcPr>
          <w:p w14:paraId="6CAE4A5F" w14:textId="77777777" w:rsidR="00EE4540" w:rsidRDefault="00EE4540" w:rsidP="00173079">
            <w:pPr>
              <w:spacing w:before="120" w:after="120"/>
              <w:rPr>
                <w:rFonts w:ascii="Arial" w:eastAsia="Times New Roman" w:hAnsi="Arial" w:cs="Arial"/>
                <w:color w:val="000000"/>
              </w:rPr>
            </w:pPr>
            <w:r w:rsidRPr="008D50F6">
              <w:rPr>
                <w:rFonts w:ascii="Arial" w:eastAsia="Times New Roman" w:hAnsi="Arial" w:cs="Arial"/>
                <w:color w:val="000000"/>
              </w:rPr>
              <w:t xml:space="preserve">Task 2 stakeholders mentioned do not include HERS contractors; should they be invited to the workshop and should they be interviewed?  </w:t>
            </w:r>
          </w:p>
        </w:tc>
      </w:tr>
      <w:tr w:rsidR="00EE4540" w:rsidRPr="00EA3027" w14:paraId="324B715D" w14:textId="77777777" w:rsidTr="00CC523F">
        <w:tc>
          <w:tcPr>
            <w:tcW w:w="1035" w:type="dxa"/>
            <w:tcBorders>
              <w:bottom w:val="single" w:sz="4" w:space="0" w:color="auto"/>
            </w:tcBorders>
            <w:shd w:val="clear" w:color="auto" w:fill="D9D9D9"/>
          </w:tcPr>
          <w:p w14:paraId="32EB6CC8" w14:textId="11B65865" w:rsidR="00EE4540" w:rsidRDefault="002F4879" w:rsidP="00A56A92">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14</w:t>
            </w:r>
          </w:p>
        </w:tc>
        <w:tc>
          <w:tcPr>
            <w:tcW w:w="8493" w:type="dxa"/>
            <w:tcBorders>
              <w:bottom w:val="single" w:sz="4" w:space="0" w:color="auto"/>
            </w:tcBorders>
            <w:shd w:val="clear" w:color="auto" w:fill="D9D9D9"/>
          </w:tcPr>
          <w:p w14:paraId="0CB90D99" w14:textId="2473EB27" w:rsidR="00EE4540" w:rsidRDefault="0073518C" w:rsidP="000D2074">
            <w:pPr>
              <w:spacing w:before="120" w:after="120"/>
              <w:rPr>
                <w:rFonts w:ascii="Arial" w:eastAsia="Times New Roman" w:hAnsi="Arial" w:cs="Arial"/>
                <w:color w:val="000000"/>
              </w:rPr>
            </w:pPr>
            <w:r>
              <w:rPr>
                <w:rFonts w:ascii="Arial" w:eastAsia="Times New Roman" w:hAnsi="Arial" w:cs="Arial"/>
                <w:color w:val="000000"/>
              </w:rPr>
              <w:t xml:space="preserve">HERS </w:t>
            </w:r>
            <w:r w:rsidR="000B2EB5">
              <w:rPr>
                <w:rFonts w:ascii="Arial" w:eastAsia="Times New Roman" w:hAnsi="Arial" w:cs="Arial"/>
                <w:color w:val="000000"/>
              </w:rPr>
              <w:t xml:space="preserve">raters, providers, and others implementing the HERS program </w:t>
            </w:r>
            <w:r>
              <w:rPr>
                <w:rFonts w:ascii="Arial" w:eastAsia="Times New Roman" w:hAnsi="Arial" w:cs="Arial"/>
                <w:color w:val="000000"/>
              </w:rPr>
              <w:t xml:space="preserve">should be invited to the workshop and </w:t>
            </w:r>
            <w:r w:rsidR="000D2074">
              <w:rPr>
                <w:rFonts w:ascii="Arial" w:eastAsia="Times New Roman" w:hAnsi="Arial" w:cs="Arial"/>
                <w:color w:val="000000"/>
              </w:rPr>
              <w:t>should</w:t>
            </w:r>
            <w:r>
              <w:rPr>
                <w:rFonts w:ascii="Arial" w:eastAsia="Times New Roman" w:hAnsi="Arial" w:cs="Arial"/>
                <w:color w:val="000000"/>
              </w:rPr>
              <w:t xml:space="preserve"> be interviewed. The list of interviewees is not </w:t>
            </w:r>
            <w:r w:rsidRPr="0073518C">
              <w:rPr>
                <w:rFonts w:ascii="Arial" w:eastAsia="Times New Roman" w:hAnsi="Arial" w:cs="Arial"/>
                <w:color w:val="000000"/>
              </w:rPr>
              <w:t>an exhaustive list, and the contractor may suggest additional stakeholders.</w:t>
            </w:r>
          </w:p>
        </w:tc>
      </w:tr>
      <w:tr w:rsidR="00EE4540" w:rsidRPr="00EA3027" w14:paraId="201424F5" w14:textId="77777777" w:rsidTr="00CC523F">
        <w:tc>
          <w:tcPr>
            <w:tcW w:w="1035" w:type="dxa"/>
            <w:shd w:val="clear" w:color="auto" w:fill="auto"/>
          </w:tcPr>
          <w:p w14:paraId="1348BAE7" w14:textId="72208B74" w:rsidR="00EE4540" w:rsidRDefault="002F4879" w:rsidP="00CA2464">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15</w:t>
            </w:r>
          </w:p>
        </w:tc>
        <w:tc>
          <w:tcPr>
            <w:tcW w:w="8493" w:type="dxa"/>
            <w:shd w:val="clear" w:color="auto" w:fill="auto"/>
          </w:tcPr>
          <w:p w14:paraId="6836F9A5" w14:textId="77777777" w:rsidR="00EE4540" w:rsidRDefault="00EE4540" w:rsidP="00173079">
            <w:pPr>
              <w:spacing w:before="120" w:after="120"/>
              <w:rPr>
                <w:rFonts w:ascii="Arial" w:eastAsia="Times New Roman" w:hAnsi="Arial" w:cs="Arial"/>
                <w:color w:val="000000"/>
              </w:rPr>
            </w:pPr>
            <w:r w:rsidRPr="008D50F6">
              <w:rPr>
                <w:rFonts w:ascii="Arial" w:eastAsia="Times New Roman" w:hAnsi="Arial" w:cs="Arial"/>
                <w:color w:val="000000"/>
              </w:rPr>
              <w:t xml:space="preserve">Task 2 indicated the contractors will conduct at least 20 stakeholder interviews and then lists more than 60 stakeholders. Does the CEC want all listed stakeholders to be interviewed or 20 will be sufficient? If fewer than 60 can meet the requirement, does the CEC have priorities for whom should be interviewed?  </w:t>
            </w:r>
          </w:p>
        </w:tc>
      </w:tr>
      <w:tr w:rsidR="0073518C" w:rsidRPr="00EA3027" w14:paraId="125B73C0" w14:textId="77777777" w:rsidTr="00643F46">
        <w:tc>
          <w:tcPr>
            <w:tcW w:w="1035" w:type="dxa"/>
            <w:tcBorders>
              <w:bottom w:val="single" w:sz="4" w:space="0" w:color="auto"/>
            </w:tcBorders>
            <w:shd w:val="clear" w:color="auto" w:fill="D9D9D9"/>
          </w:tcPr>
          <w:p w14:paraId="3FDA81B4" w14:textId="3C55D849" w:rsidR="0073518C" w:rsidRDefault="002F4879" w:rsidP="00CA2464">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15</w:t>
            </w:r>
          </w:p>
        </w:tc>
        <w:tc>
          <w:tcPr>
            <w:tcW w:w="8493" w:type="dxa"/>
            <w:tcBorders>
              <w:bottom w:val="single" w:sz="4" w:space="0" w:color="auto"/>
            </w:tcBorders>
            <w:shd w:val="clear" w:color="auto" w:fill="D9D9D9"/>
          </w:tcPr>
          <w:p w14:paraId="3CAEA0CC" w14:textId="77777777" w:rsidR="0073518C" w:rsidRPr="00E57D79" w:rsidRDefault="0073518C" w:rsidP="00952CFC">
            <w:pPr>
              <w:spacing w:before="120" w:after="120"/>
              <w:rPr>
                <w:rFonts w:ascii="Arial" w:eastAsia="Times New Roman" w:hAnsi="Arial" w:cs="Arial"/>
                <w:color w:val="000000"/>
              </w:rPr>
            </w:pPr>
            <w:r>
              <w:rPr>
                <w:rFonts w:ascii="Arial" w:eastAsia="Times New Roman" w:hAnsi="Arial" w:cs="Arial"/>
                <w:color w:val="000000"/>
              </w:rPr>
              <w:t xml:space="preserve">The intended total number of interviewees is at least 61. </w:t>
            </w:r>
            <w:r w:rsidRPr="00F318F7">
              <w:rPr>
                <w:rFonts w:ascii="Arial" w:eastAsia="Times New Roman" w:hAnsi="Arial" w:cs="Arial"/>
                <w:color w:val="000000"/>
              </w:rPr>
              <w:t>The interview list will be made up of 2 manufacturers, 2 distributors, 20 contractors (10 owners and 10 installers), 15 building departments, 10 building owners, 10 homeowners, the CSLB, and the Energy Commission</w:t>
            </w:r>
            <w:r>
              <w:rPr>
                <w:rFonts w:ascii="Arial" w:eastAsia="Times New Roman" w:hAnsi="Arial" w:cs="Arial"/>
                <w:color w:val="000000"/>
              </w:rPr>
              <w:t xml:space="preserve">. This is </w:t>
            </w:r>
            <w:r w:rsidR="000D2074">
              <w:rPr>
                <w:rFonts w:ascii="Arial" w:eastAsia="Times New Roman" w:hAnsi="Arial" w:cs="Arial"/>
                <w:color w:val="000000"/>
              </w:rPr>
              <w:t>not an exhaustive list,</w:t>
            </w:r>
            <w:r>
              <w:rPr>
                <w:rFonts w:ascii="Arial" w:eastAsia="Times New Roman" w:hAnsi="Arial" w:cs="Arial"/>
                <w:color w:val="000000"/>
              </w:rPr>
              <w:t xml:space="preserve"> and the contractor may suggest additional stakeholders.</w:t>
            </w:r>
          </w:p>
        </w:tc>
      </w:tr>
      <w:tr w:rsidR="00643F46" w:rsidRPr="00EA3027" w14:paraId="4B4C9DDA" w14:textId="77777777" w:rsidTr="00643F46">
        <w:tc>
          <w:tcPr>
            <w:tcW w:w="1035" w:type="dxa"/>
            <w:tcBorders>
              <w:bottom w:val="single" w:sz="4" w:space="0" w:color="auto"/>
            </w:tcBorders>
            <w:shd w:val="clear" w:color="auto" w:fill="auto"/>
          </w:tcPr>
          <w:p w14:paraId="597444B8" w14:textId="6C9CC8B1" w:rsidR="00643F46" w:rsidRPr="00643F46" w:rsidRDefault="002F4879" w:rsidP="00643F46">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16</w:t>
            </w:r>
          </w:p>
        </w:tc>
        <w:tc>
          <w:tcPr>
            <w:tcW w:w="8493" w:type="dxa"/>
            <w:tcBorders>
              <w:bottom w:val="single" w:sz="4" w:space="0" w:color="auto"/>
            </w:tcBorders>
            <w:shd w:val="clear" w:color="auto" w:fill="auto"/>
          </w:tcPr>
          <w:p w14:paraId="5C7D3AFB" w14:textId="77777777" w:rsidR="00643F46" w:rsidRPr="00643F46" w:rsidRDefault="00643F46" w:rsidP="00643F46">
            <w:pPr>
              <w:spacing w:before="120" w:after="120"/>
              <w:rPr>
                <w:rFonts w:ascii="Arial" w:eastAsia="Times New Roman" w:hAnsi="Arial" w:cs="Arial"/>
                <w:color w:val="000000"/>
              </w:rPr>
            </w:pPr>
            <w:r w:rsidRPr="00643F46">
              <w:rPr>
                <w:rFonts w:ascii="Arial" w:eastAsia="Times New Roman" w:hAnsi="Arial" w:cs="Arial"/>
                <w:color w:val="000000"/>
              </w:rPr>
              <w:t xml:space="preserve">How does the CEC plan for the consultant team to incorporate feedback from practitioners such as HERS raters and Acceptance Testing technicians into this work on improving compliance?  How will these market actors be compensated?  </w:t>
            </w:r>
          </w:p>
        </w:tc>
      </w:tr>
      <w:tr w:rsidR="00643F46" w:rsidRPr="00EA3027" w14:paraId="6689B116" w14:textId="77777777" w:rsidTr="002F4879">
        <w:tc>
          <w:tcPr>
            <w:tcW w:w="1035" w:type="dxa"/>
            <w:tcBorders>
              <w:bottom w:val="single" w:sz="4" w:space="0" w:color="auto"/>
            </w:tcBorders>
            <w:shd w:val="clear" w:color="auto" w:fill="D9D9D9"/>
          </w:tcPr>
          <w:p w14:paraId="555098E6" w14:textId="7FEECC11" w:rsidR="00643F46" w:rsidRPr="00643F46" w:rsidRDefault="002F4879" w:rsidP="00643F46">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16</w:t>
            </w:r>
          </w:p>
        </w:tc>
        <w:tc>
          <w:tcPr>
            <w:tcW w:w="8493" w:type="dxa"/>
            <w:tcBorders>
              <w:bottom w:val="single" w:sz="4" w:space="0" w:color="auto"/>
            </w:tcBorders>
            <w:shd w:val="clear" w:color="auto" w:fill="D9D9D9"/>
          </w:tcPr>
          <w:p w14:paraId="10068E31" w14:textId="77777777" w:rsidR="00643F46" w:rsidRPr="00643F46" w:rsidRDefault="00643F46" w:rsidP="00643F46">
            <w:pPr>
              <w:spacing w:before="120" w:after="120"/>
              <w:rPr>
                <w:rFonts w:ascii="Arial" w:eastAsia="Times New Roman" w:hAnsi="Arial" w:cs="Arial"/>
                <w:color w:val="000000"/>
              </w:rPr>
            </w:pPr>
            <w:r w:rsidRPr="00643F46">
              <w:rPr>
                <w:rFonts w:ascii="Arial" w:eastAsia="Times New Roman" w:hAnsi="Arial" w:cs="Arial"/>
                <w:color w:val="000000"/>
              </w:rPr>
              <w:t>Feedback from stakeholders is strictly voluntary. There is no compensation through this project for stakeholders who participate in the workshop, interviews, and any other collaboration in the development of the Compliance Plan.</w:t>
            </w:r>
          </w:p>
        </w:tc>
      </w:tr>
      <w:tr w:rsidR="0073518C" w:rsidRPr="00EA3027" w14:paraId="5647F4C5" w14:textId="77777777" w:rsidTr="00CC523F">
        <w:tc>
          <w:tcPr>
            <w:tcW w:w="1035" w:type="dxa"/>
            <w:shd w:val="clear" w:color="auto" w:fill="auto"/>
          </w:tcPr>
          <w:p w14:paraId="4B5B772D" w14:textId="79FDF376" w:rsidR="0073518C" w:rsidRDefault="002F4879" w:rsidP="00CA2464">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17</w:t>
            </w:r>
          </w:p>
        </w:tc>
        <w:tc>
          <w:tcPr>
            <w:tcW w:w="8493" w:type="dxa"/>
            <w:shd w:val="clear" w:color="auto" w:fill="auto"/>
          </w:tcPr>
          <w:p w14:paraId="0EF7DF8E" w14:textId="77777777" w:rsidR="0073518C" w:rsidRDefault="0073518C" w:rsidP="00173079">
            <w:pPr>
              <w:spacing w:before="120" w:after="120"/>
              <w:rPr>
                <w:rFonts w:ascii="Arial" w:eastAsia="Times New Roman" w:hAnsi="Arial" w:cs="Arial"/>
                <w:color w:val="000000"/>
              </w:rPr>
            </w:pPr>
            <w:r w:rsidRPr="008D50F6">
              <w:rPr>
                <w:rFonts w:ascii="Arial" w:eastAsia="Times New Roman" w:hAnsi="Arial" w:cs="Arial"/>
                <w:color w:val="000000"/>
              </w:rPr>
              <w:t>Task 4.f. does not mention including the findings from Task 4.e. in the draft analysis report; should the findings from Task 4.e. be included?</w:t>
            </w:r>
          </w:p>
        </w:tc>
      </w:tr>
      <w:tr w:rsidR="0073518C" w:rsidRPr="00EA3027" w14:paraId="524AD8C5" w14:textId="77777777" w:rsidTr="00F35925">
        <w:tc>
          <w:tcPr>
            <w:tcW w:w="1035" w:type="dxa"/>
            <w:tcBorders>
              <w:bottom w:val="single" w:sz="4" w:space="0" w:color="auto"/>
            </w:tcBorders>
            <w:shd w:val="clear" w:color="auto" w:fill="D9D9D9"/>
          </w:tcPr>
          <w:p w14:paraId="21860D86" w14:textId="55F361A5" w:rsidR="0073518C" w:rsidRDefault="0073518C" w:rsidP="002F4879">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17</w:t>
            </w:r>
          </w:p>
        </w:tc>
        <w:tc>
          <w:tcPr>
            <w:tcW w:w="8493" w:type="dxa"/>
            <w:tcBorders>
              <w:bottom w:val="single" w:sz="4" w:space="0" w:color="auto"/>
            </w:tcBorders>
            <w:shd w:val="clear" w:color="auto" w:fill="D9D9D9"/>
          </w:tcPr>
          <w:p w14:paraId="2EC18CFF" w14:textId="77777777" w:rsidR="0073518C" w:rsidRDefault="001E05FE" w:rsidP="00173079">
            <w:pPr>
              <w:spacing w:before="120" w:after="120"/>
              <w:rPr>
                <w:rFonts w:ascii="Arial" w:eastAsia="Times New Roman" w:hAnsi="Arial" w:cs="Arial"/>
                <w:color w:val="000000"/>
              </w:rPr>
            </w:pPr>
            <w:r>
              <w:rPr>
                <w:rFonts w:ascii="Arial" w:eastAsia="Times New Roman" w:hAnsi="Arial" w:cs="Arial"/>
                <w:color w:val="000000"/>
              </w:rPr>
              <w:t>Finding from Task 4.e should also be included in the Analysis of Recommendations Report as described under Task 4.f.</w:t>
            </w:r>
          </w:p>
        </w:tc>
      </w:tr>
      <w:tr w:rsidR="00F35925" w:rsidRPr="00EA3027" w14:paraId="378AC4A8" w14:textId="77777777" w:rsidTr="00F35925">
        <w:tc>
          <w:tcPr>
            <w:tcW w:w="1035" w:type="dxa"/>
            <w:tcBorders>
              <w:bottom w:val="single" w:sz="4" w:space="0" w:color="auto"/>
            </w:tcBorders>
            <w:shd w:val="clear" w:color="auto" w:fill="auto"/>
          </w:tcPr>
          <w:p w14:paraId="1C6AD802" w14:textId="2767B6CB" w:rsidR="00F35925" w:rsidRPr="00F35925" w:rsidRDefault="00F35925" w:rsidP="00F35925">
            <w:pPr>
              <w:spacing w:before="120" w:after="120"/>
              <w:rPr>
                <w:rFonts w:ascii="Arial" w:eastAsia="Times New Roman" w:hAnsi="Arial" w:cs="Arial"/>
                <w:color w:val="000000"/>
              </w:rPr>
            </w:pPr>
            <w:r w:rsidRPr="00F35925">
              <w:rPr>
                <w:rFonts w:ascii="Arial" w:eastAsia="Times New Roman" w:hAnsi="Arial" w:cs="Arial"/>
                <w:color w:val="000000"/>
              </w:rPr>
              <w:t>Q</w:t>
            </w:r>
            <w:r w:rsidR="001D295F">
              <w:rPr>
                <w:rFonts w:ascii="Arial" w:eastAsia="Times New Roman" w:hAnsi="Arial" w:cs="Arial"/>
                <w:color w:val="000000"/>
              </w:rPr>
              <w:t>18</w:t>
            </w:r>
          </w:p>
        </w:tc>
        <w:tc>
          <w:tcPr>
            <w:tcW w:w="8493" w:type="dxa"/>
            <w:tcBorders>
              <w:bottom w:val="single" w:sz="4" w:space="0" w:color="auto"/>
            </w:tcBorders>
            <w:shd w:val="clear" w:color="auto" w:fill="auto"/>
          </w:tcPr>
          <w:p w14:paraId="49ED816B" w14:textId="77777777" w:rsidR="00F35925" w:rsidRPr="00F35925" w:rsidRDefault="00F35925" w:rsidP="00F35925">
            <w:pPr>
              <w:spacing w:before="120" w:after="120"/>
              <w:rPr>
                <w:rFonts w:ascii="Arial" w:eastAsia="Times New Roman" w:hAnsi="Arial" w:cs="Arial"/>
                <w:color w:val="000000"/>
              </w:rPr>
            </w:pPr>
            <w:r w:rsidRPr="00F35925">
              <w:rPr>
                <w:rFonts w:ascii="Arial" w:eastAsia="Times New Roman" w:hAnsi="Arial" w:cs="Arial"/>
                <w:color w:val="000000"/>
              </w:rPr>
              <w:t>Task 4 asks the contractor to "identify recommendations, determine associated costs to implement recommendations, and assess the cost and impact...".  To ensure that you receive comparable bids, can you state the number of recommendations you expect the contractor to analyze? If you cannot state numbers, can you suggest whether you are looking for a small number of detailed recommendations or a larger number of less-detailed recommendations?</w:t>
            </w:r>
          </w:p>
        </w:tc>
      </w:tr>
      <w:tr w:rsidR="00F35925" w:rsidRPr="00EA3027" w14:paraId="3657D78A" w14:textId="77777777" w:rsidTr="00F35925">
        <w:tc>
          <w:tcPr>
            <w:tcW w:w="1035" w:type="dxa"/>
            <w:tcBorders>
              <w:bottom w:val="single" w:sz="4" w:space="0" w:color="auto"/>
            </w:tcBorders>
            <w:shd w:val="clear" w:color="auto" w:fill="D9D9D9"/>
          </w:tcPr>
          <w:p w14:paraId="61A73240" w14:textId="7D41EEF4" w:rsidR="00F35925" w:rsidRPr="00F35925" w:rsidRDefault="00F35925" w:rsidP="00F35925">
            <w:pPr>
              <w:spacing w:before="120" w:after="120"/>
              <w:rPr>
                <w:rFonts w:ascii="Arial" w:eastAsia="Times New Roman" w:hAnsi="Arial" w:cs="Arial"/>
                <w:color w:val="000000"/>
              </w:rPr>
            </w:pPr>
            <w:r w:rsidRPr="00F35925">
              <w:rPr>
                <w:rFonts w:ascii="Arial" w:eastAsia="Times New Roman" w:hAnsi="Arial" w:cs="Arial"/>
                <w:color w:val="000000"/>
              </w:rPr>
              <w:t>A</w:t>
            </w:r>
            <w:r w:rsidR="001D295F">
              <w:rPr>
                <w:rFonts w:ascii="Arial" w:eastAsia="Times New Roman" w:hAnsi="Arial" w:cs="Arial"/>
                <w:color w:val="000000"/>
              </w:rPr>
              <w:t>18</w:t>
            </w:r>
          </w:p>
        </w:tc>
        <w:tc>
          <w:tcPr>
            <w:tcW w:w="8493" w:type="dxa"/>
            <w:tcBorders>
              <w:bottom w:val="single" w:sz="4" w:space="0" w:color="auto"/>
            </w:tcBorders>
            <w:shd w:val="clear" w:color="auto" w:fill="D9D9D9"/>
          </w:tcPr>
          <w:p w14:paraId="663FBD8E" w14:textId="7C813798" w:rsidR="000B2EB5" w:rsidRPr="00FD3618" w:rsidRDefault="000B2EB5" w:rsidP="00FD3618">
            <w:pPr>
              <w:spacing w:before="120" w:after="120"/>
              <w:rPr>
                <w:rFonts w:ascii="Arial" w:eastAsia="Times New Roman" w:hAnsi="Arial" w:cs="Arial"/>
                <w:i/>
                <w:color w:val="000000"/>
              </w:rPr>
            </w:pPr>
            <w:r w:rsidRPr="00371E47">
              <w:rPr>
                <w:rFonts w:ascii="Arial" w:eastAsia="Times New Roman" w:hAnsi="Arial" w:cs="Arial"/>
                <w:color w:val="000000"/>
              </w:rPr>
              <w:t xml:space="preserve">The recommendations should be based on the consultant’s research and surveys conducted in relation to this project. The number of recommendations will be based on that research. </w:t>
            </w:r>
            <w:r w:rsidR="00BC2E47" w:rsidRPr="00371E47">
              <w:rPr>
                <w:rFonts w:ascii="Arial" w:eastAsia="Times New Roman" w:hAnsi="Arial" w:cs="Arial"/>
                <w:color w:val="000000"/>
              </w:rPr>
              <w:t>The Energy Commission is seeking recommendations that are implementable and would like the consultant to determine the costs associated with those recommendations.</w:t>
            </w:r>
            <w:r w:rsidR="00BC2E47">
              <w:rPr>
                <w:rFonts w:ascii="Arial" w:eastAsia="Times New Roman" w:hAnsi="Arial" w:cs="Arial"/>
                <w:i/>
                <w:color w:val="000000"/>
              </w:rPr>
              <w:t xml:space="preserve"> </w:t>
            </w:r>
          </w:p>
        </w:tc>
      </w:tr>
      <w:tr w:rsidR="00F35925" w:rsidRPr="00EA3027" w14:paraId="310B2B37" w14:textId="77777777" w:rsidTr="00F35925">
        <w:tc>
          <w:tcPr>
            <w:tcW w:w="1035" w:type="dxa"/>
            <w:tcBorders>
              <w:bottom w:val="single" w:sz="4" w:space="0" w:color="auto"/>
            </w:tcBorders>
            <w:shd w:val="clear" w:color="auto" w:fill="auto"/>
          </w:tcPr>
          <w:p w14:paraId="62F492A3" w14:textId="4C554FF0" w:rsidR="00F35925" w:rsidRPr="00F35925" w:rsidRDefault="00F35925" w:rsidP="00F35925">
            <w:pPr>
              <w:spacing w:before="120" w:after="120"/>
              <w:rPr>
                <w:rFonts w:ascii="Arial" w:eastAsia="Times New Roman" w:hAnsi="Arial" w:cs="Arial"/>
                <w:color w:val="000000"/>
              </w:rPr>
            </w:pPr>
            <w:r w:rsidRPr="00F35925">
              <w:rPr>
                <w:rFonts w:ascii="Arial" w:eastAsia="Times New Roman" w:hAnsi="Arial" w:cs="Arial"/>
                <w:color w:val="000000"/>
              </w:rPr>
              <w:t>Q</w:t>
            </w:r>
            <w:r w:rsidR="001D295F">
              <w:rPr>
                <w:rFonts w:ascii="Arial" w:eastAsia="Times New Roman" w:hAnsi="Arial" w:cs="Arial"/>
                <w:color w:val="000000"/>
              </w:rPr>
              <w:t>19</w:t>
            </w:r>
          </w:p>
        </w:tc>
        <w:tc>
          <w:tcPr>
            <w:tcW w:w="8493" w:type="dxa"/>
            <w:tcBorders>
              <w:bottom w:val="single" w:sz="4" w:space="0" w:color="auto"/>
            </w:tcBorders>
            <w:shd w:val="clear" w:color="auto" w:fill="auto"/>
          </w:tcPr>
          <w:p w14:paraId="5BAA5852" w14:textId="77777777" w:rsidR="00F35925" w:rsidRPr="00F35925" w:rsidRDefault="00F35925" w:rsidP="00F35925">
            <w:pPr>
              <w:spacing w:before="120" w:after="120"/>
              <w:rPr>
                <w:rFonts w:ascii="Arial" w:eastAsia="Times New Roman" w:hAnsi="Arial" w:cs="Arial"/>
                <w:color w:val="000000"/>
              </w:rPr>
            </w:pPr>
            <w:r w:rsidRPr="00F35925">
              <w:rPr>
                <w:rFonts w:ascii="Arial" w:eastAsia="Times New Roman" w:hAnsi="Arial" w:cs="Arial"/>
                <w:color w:val="000000"/>
              </w:rPr>
              <w:t>Task 5 asks the contractor to "develop strategies" to overcome barriers and target outreach etc.  To ensure that you receive comparable bids, can you state the number of strategies you expect the contractor to develop?  If you cannot state numbers, can you suggest whether you are looking for a small number of detailed strategies or a larger number of less-detailed strategies?</w:t>
            </w:r>
          </w:p>
        </w:tc>
      </w:tr>
      <w:tr w:rsidR="00FD3618" w:rsidRPr="00EA3027" w14:paraId="78AEB7EB" w14:textId="77777777" w:rsidTr="00CC523F">
        <w:tc>
          <w:tcPr>
            <w:tcW w:w="1035" w:type="dxa"/>
            <w:tcBorders>
              <w:bottom w:val="single" w:sz="4" w:space="0" w:color="auto"/>
            </w:tcBorders>
            <w:shd w:val="clear" w:color="auto" w:fill="D9D9D9"/>
          </w:tcPr>
          <w:p w14:paraId="1485A643" w14:textId="20C9F650" w:rsidR="00FD3618" w:rsidRPr="00F35925" w:rsidRDefault="00FD3618" w:rsidP="00F35925">
            <w:pPr>
              <w:spacing w:before="120" w:after="120"/>
              <w:rPr>
                <w:rFonts w:ascii="Arial" w:eastAsia="Times New Roman" w:hAnsi="Arial" w:cs="Arial"/>
                <w:color w:val="000000"/>
              </w:rPr>
            </w:pPr>
            <w:r w:rsidRPr="00F35925">
              <w:rPr>
                <w:rFonts w:ascii="Arial" w:eastAsia="Times New Roman" w:hAnsi="Arial" w:cs="Arial"/>
                <w:color w:val="000000"/>
              </w:rPr>
              <w:t>A</w:t>
            </w:r>
            <w:r w:rsidR="001D295F">
              <w:rPr>
                <w:rFonts w:ascii="Arial" w:eastAsia="Times New Roman" w:hAnsi="Arial" w:cs="Arial"/>
                <w:color w:val="000000"/>
              </w:rPr>
              <w:t>19</w:t>
            </w:r>
          </w:p>
        </w:tc>
        <w:tc>
          <w:tcPr>
            <w:tcW w:w="8493" w:type="dxa"/>
            <w:tcBorders>
              <w:bottom w:val="single" w:sz="4" w:space="0" w:color="auto"/>
            </w:tcBorders>
            <w:shd w:val="clear" w:color="auto" w:fill="D9D9D9"/>
          </w:tcPr>
          <w:p w14:paraId="6648248A" w14:textId="6848F0D4" w:rsidR="00BC2E47" w:rsidRPr="00371E47" w:rsidRDefault="00BC2E47" w:rsidP="0053109E">
            <w:pPr>
              <w:spacing w:before="120" w:after="120"/>
              <w:rPr>
                <w:rFonts w:ascii="Arial" w:eastAsia="Times New Roman" w:hAnsi="Arial" w:cs="Arial"/>
                <w:color w:val="000000"/>
              </w:rPr>
            </w:pPr>
            <w:r w:rsidRPr="00371E47">
              <w:rPr>
                <w:rFonts w:ascii="Arial" w:eastAsia="Times New Roman" w:hAnsi="Arial" w:cs="Arial"/>
                <w:color w:val="000000"/>
              </w:rPr>
              <w:t>The strategies should be based on the consultant’s recommendations. The number of strategies will be based on the recommendations. The Energy Commission is seeking strategies that can be implemented statewide.</w:t>
            </w:r>
          </w:p>
        </w:tc>
      </w:tr>
      <w:tr w:rsidR="00FD3618" w:rsidRPr="00EA3027" w14:paraId="23DF8AF8" w14:textId="77777777" w:rsidTr="00CC523F">
        <w:tc>
          <w:tcPr>
            <w:tcW w:w="1035" w:type="dxa"/>
            <w:shd w:val="clear" w:color="auto" w:fill="auto"/>
          </w:tcPr>
          <w:p w14:paraId="61D2A0E3" w14:textId="36B88121" w:rsidR="00FD3618" w:rsidRDefault="00FD3618" w:rsidP="00CA2464">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20</w:t>
            </w:r>
          </w:p>
        </w:tc>
        <w:tc>
          <w:tcPr>
            <w:tcW w:w="8493" w:type="dxa"/>
            <w:shd w:val="clear" w:color="auto" w:fill="auto"/>
          </w:tcPr>
          <w:p w14:paraId="687321AB" w14:textId="77777777" w:rsidR="00FD3618" w:rsidRDefault="00FD3618" w:rsidP="00173079">
            <w:pPr>
              <w:spacing w:before="120" w:after="120"/>
              <w:rPr>
                <w:rFonts w:ascii="Arial" w:eastAsia="Times New Roman" w:hAnsi="Arial" w:cs="Arial"/>
                <w:color w:val="000000"/>
              </w:rPr>
            </w:pPr>
            <w:r w:rsidRPr="008D50F6">
              <w:rPr>
                <w:rFonts w:ascii="Arial" w:eastAsia="Times New Roman" w:hAnsi="Arial" w:cs="Arial"/>
                <w:color w:val="000000"/>
              </w:rPr>
              <w:t>What is the difference between the deliverables "Draft Compliance Plan Chapters" (due Oct 19) and "Draft Compliance Plan" (due Oct 31)?</w:t>
            </w:r>
          </w:p>
        </w:tc>
      </w:tr>
      <w:tr w:rsidR="00FD3618" w:rsidRPr="00EA3027" w14:paraId="23D4648C" w14:textId="77777777" w:rsidTr="00CC523F">
        <w:tc>
          <w:tcPr>
            <w:tcW w:w="1035" w:type="dxa"/>
            <w:tcBorders>
              <w:bottom w:val="single" w:sz="4" w:space="0" w:color="auto"/>
            </w:tcBorders>
            <w:shd w:val="clear" w:color="auto" w:fill="D9D9D9"/>
          </w:tcPr>
          <w:p w14:paraId="51E30A82" w14:textId="78BC3CCA" w:rsidR="00FD3618" w:rsidRDefault="00FD3618" w:rsidP="00CA2464">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20</w:t>
            </w:r>
          </w:p>
        </w:tc>
        <w:tc>
          <w:tcPr>
            <w:tcW w:w="8493" w:type="dxa"/>
            <w:tcBorders>
              <w:bottom w:val="single" w:sz="4" w:space="0" w:color="auto"/>
            </w:tcBorders>
            <w:shd w:val="clear" w:color="auto" w:fill="D9D9D9"/>
          </w:tcPr>
          <w:p w14:paraId="0E1702D5" w14:textId="25B88036" w:rsidR="00FD3618" w:rsidRDefault="00FD3618" w:rsidP="00D61955">
            <w:pPr>
              <w:spacing w:before="120" w:after="120"/>
              <w:rPr>
                <w:rFonts w:ascii="Arial" w:eastAsia="Times New Roman" w:hAnsi="Arial" w:cs="Arial"/>
                <w:color w:val="000000"/>
              </w:rPr>
            </w:pPr>
            <w:r>
              <w:rPr>
                <w:rFonts w:ascii="Arial" w:eastAsia="Times New Roman" w:hAnsi="Arial" w:cs="Arial"/>
                <w:color w:val="000000"/>
              </w:rPr>
              <w:t xml:space="preserve">The Draft Compliance Plan Chapters will contain </w:t>
            </w:r>
            <w:r w:rsidR="000616BC">
              <w:rPr>
                <w:rFonts w:ascii="Arial" w:eastAsia="Times New Roman" w:hAnsi="Arial" w:cs="Arial"/>
                <w:color w:val="000000"/>
              </w:rPr>
              <w:t>a draft of each individual chapter</w:t>
            </w:r>
            <w:r>
              <w:rPr>
                <w:rFonts w:ascii="Arial" w:eastAsia="Times New Roman" w:hAnsi="Arial" w:cs="Arial"/>
                <w:color w:val="000000"/>
              </w:rPr>
              <w:t xml:space="preserve">. The Draft Compliance Plan will </w:t>
            </w:r>
            <w:r w:rsidR="000616BC">
              <w:rPr>
                <w:rFonts w:ascii="Arial" w:eastAsia="Times New Roman" w:hAnsi="Arial" w:cs="Arial"/>
                <w:color w:val="000000"/>
              </w:rPr>
              <w:t>organize the chapters</w:t>
            </w:r>
            <w:r w:rsidR="00D61955">
              <w:rPr>
                <w:rFonts w:ascii="Arial" w:eastAsia="Times New Roman" w:hAnsi="Arial" w:cs="Arial"/>
                <w:color w:val="000000"/>
              </w:rPr>
              <w:t xml:space="preserve"> together</w:t>
            </w:r>
            <w:r w:rsidR="000616BC">
              <w:rPr>
                <w:rFonts w:ascii="Arial" w:eastAsia="Times New Roman" w:hAnsi="Arial" w:cs="Arial"/>
                <w:color w:val="000000"/>
              </w:rPr>
              <w:t xml:space="preserve">, </w:t>
            </w:r>
            <w:r w:rsidR="00D61955">
              <w:rPr>
                <w:rFonts w:ascii="Arial" w:eastAsia="Times New Roman" w:hAnsi="Arial" w:cs="Arial"/>
                <w:color w:val="000000"/>
              </w:rPr>
              <w:t>contain nearly all</w:t>
            </w:r>
            <w:r>
              <w:rPr>
                <w:rFonts w:ascii="Arial" w:eastAsia="Times New Roman" w:hAnsi="Arial" w:cs="Arial"/>
                <w:color w:val="000000"/>
              </w:rPr>
              <w:t xml:space="preserve"> final content</w:t>
            </w:r>
            <w:r w:rsidR="00D61955">
              <w:rPr>
                <w:rFonts w:ascii="Arial" w:eastAsia="Times New Roman" w:hAnsi="Arial" w:cs="Arial"/>
                <w:color w:val="000000"/>
              </w:rPr>
              <w:t>,</w:t>
            </w:r>
            <w:r>
              <w:rPr>
                <w:rFonts w:ascii="Arial" w:eastAsia="Times New Roman" w:hAnsi="Arial" w:cs="Arial"/>
                <w:color w:val="000000"/>
              </w:rPr>
              <w:t xml:space="preserve"> and be </w:t>
            </w:r>
            <w:r w:rsidR="000616BC">
              <w:rPr>
                <w:rFonts w:ascii="Arial" w:eastAsia="Times New Roman" w:hAnsi="Arial" w:cs="Arial"/>
                <w:color w:val="000000"/>
              </w:rPr>
              <w:t>similar in</w:t>
            </w:r>
            <w:r>
              <w:rPr>
                <w:rFonts w:ascii="Arial" w:eastAsia="Times New Roman" w:hAnsi="Arial" w:cs="Arial"/>
                <w:color w:val="000000"/>
              </w:rPr>
              <w:t xml:space="preserve"> quality to a finalized p</w:t>
            </w:r>
            <w:r w:rsidR="00D61955">
              <w:rPr>
                <w:rFonts w:ascii="Arial" w:eastAsia="Times New Roman" w:hAnsi="Arial" w:cs="Arial"/>
                <w:color w:val="000000"/>
              </w:rPr>
              <w:t>lan</w:t>
            </w:r>
            <w:r>
              <w:rPr>
                <w:rFonts w:ascii="Arial" w:eastAsia="Times New Roman" w:hAnsi="Arial" w:cs="Arial"/>
                <w:color w:val="000000"/>
              </w:rPr>
              <w:t xml:space="preserve">. </w:t>
            </w:r>
          </w:p>
        </w:tc>
      </w:tr>
      <w:tr w:rsidR="00FD3618" w:rsidRPr="00EA3027" w14:paraId="71BFEF82" w14:textId="77777777" w:rsidTr="00D46AA5">
        <w:tc>
          <w:tcPr>
            <w:tcW w:w="1035" w:type="dxa"/>
            <w:tcBorders>
              <w:bottom w:val="single" w:sz="4" w:space="0" w:color="auto"/>
            </w:tcBorders>
            <w:shd w:val="clear" w:color="auto" w:fill="auto"/>
          </w:tcPr>
          <w:p w14:paraId="2622070F" w14:textId="27905C01" w:rsidR="00FD3618" w:rsidRPr="00D46AA5" w:rsidRDefault="00FD3618" w:rsidP="00D46AA5">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21</w:t>
            </w:r>
          </w:p>
        </w:tc>
        <w:tc>
          <w:tcPr>
            <w:tcW w:w="8493" w:type="dxa"/>
            <w:tcBorders>
              <w:bottom w:val="single" w:sz="4" w:space="0" w:color="auto"/>
            </w:tcBorders>
            <w:shd w:val="clear" w:color="auto" w:fill="auto"/>
          </w:tcPr>
          <w:p w14:paraId="027586C5" w14:textId="77777777"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In Task 6, would the CEC like to have specific knowledge transfer activities conducted other than those listed in subtasks b through d?</w:t>
            </w:r>
          </w:p>
        </w:tc>
      </w:tr>
      <w:tr w:rsidR="00FD3618" w:rsidRPr="00EA3027" w14:paraId="65A03619" w14:textId="77777777" w:rsidTr="00D46AA5">
        <w:tc>
          <w:tcPr>
            <w:tcW w:w="1035" w:type="dxa"/>
            <w:tcBorders>
              <w:bottom w:val="single" w:sz="4" w:space="0" w:color="auto"/>
            </w:tcBorders>
            <w:shd w:val="clear" w:color="auto" w:fill="D9D9D9"/>
          </w:tcPr>
          <w:p w14:paraId="6B54340E" w14:textId="1F77DC72" w:rsidR="00FD3618" w:rsidRPr="00D46AA5" w:rsidRDefault="00FD3618" w:rsidP="00D46AA5">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21</w:t>
            </w:r>
          </w:p>
        </w:tc>
        <w:tc>
          <w:tcPr>
            <w:tcW w:w="8493" w:type="dxa"/>
            <w:tcBorders>
              <w:bottom w:val="single" w:sz="4" w:space="0" w:color="auto"/>
            </w:tcBorders>
            <w:shd w:val="clear" w:color="auto" w:fill="D9D9D9"/>
          </w:tcPr>
          <w:p w14:paraId="185DE829" w14:textId="080D09D2"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 xml:space="preserve">The contractor is not required to conduct knowledge transfer activities other than those listed in subtasks b through d. </w:t>
            </w:r>
            <w:r w:rsidR="00BC2E47">
              <w:rPr>
                <w:rFonts w:ascii="Arial" w:eastAsia="Times New Roman" w:hAnsi="Arial" w:cs="Arial"/>
                <w:color w:val="000000"/>
              </w:rPr>
              <w:t>T</w:t>
            </w:r>
            <w:r w:rsidRPr="00D46AA5">
              <w:rPr>
                <w:rFonts w:ascii="Arial" w:eastAsia="Times New Roman" w:hAnsi="Arial" w:cs="Arial"/>
                <w:color w:val="000000"/>
              </w:rPr>
              <w:t>he CAM may ask for updates and additional clarification on deliverables.</w:t>
            </w:r>
          </w:p>
        </w:tc>
      </w:tr>
      <w:tr w:rsidR="00FD3618" w:rsidRPr="00EA3027" w14:paraId="4A57F042" w14:textId="77777777" w:rsidTr="00D46AA5">
        <w:tc>
          <w:tcPr>
            <w:tcW w:w="1035" w:type="dxa"/>
            <w:tcBorders>
              <w:bottom w:val="single" w:sz="4" w:space="0" w:color="auto"/>
            </w:tcBorders>
            <w:shd w:val="clear" w:color="auto" w:fill="auto"/>
          </w:tcPr>
          <w:p w14:paraId="4E4848AE" w14:textId="6CA5F49A" w:rsidR="00FD3618" w:rsidRPr="00D46AA5" w:rsidRDefault="00FD3618" w:rsidP="00D46AA5">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22</w:t>
            </w:r>
          </w:p>
        </w:tc>
        <w:tc>
          <w:tcPr>
            <w:tcW w:w="8493" w:type="dxa"/>
            <w:tcBorders>
              <w:bottom w:val="single" w:sz="4" w:space="0" w:color="auto"/>
            </w:tcBorders>
            <w:shd w:val="clear" w:color="auto" w:fill="auto"/>
          </w:tcPr>
          <w:p w14:paraId="46190EC2" w14:textId="77777777"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It is understood that travel to the stakeholder workshop in Task 2 is reimbursable by the CEC. What about travel for other meetings, such as under the Knowledge Transfer task?  Would those be reimbursable as well, if they are held as in-person meetings?</w:t>
            </w:r>
          </w:p>
        </w:tc>
      </w:tr>
      <w:tr w:rsidR="00FD3618" w:rsidRPr="00EA3027" w14:paraId="25A00E51" w14:textId="77777777" w:rsidTr="00D46AA5">
        <w:tc>
          <w:tcPr>
            <w:tcW w:w="1035" w:type="dxa"/>
            <w:tcBorders>
              <w:bottom w:val="single" w:sz="4" w:space="0" w:color="auto"/>
            </w:tcBorders>
            <w:shd w:val="clear" w:color="auto" w:fill="D9D9D9"/>
          </w:tcPr>
          <w:p w14:paraId="2AA8EE44" w14:textId="781CDB0C" w:rsidR="00FD3618" w:rsidRPr="00D46AA5" w:rsidRDefault="00FD3618" w:rsidP="00D46AA5">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22</w:t>
            </w:r>
          </w:p>
        </w:tc>
        <w:tc>
          <w:tcPr>
            <w:tcW w:w="8493" w:type="dxa"/>
            <w:tcBorders>
              <w:bottom w:val="single" w:sz="4" w:space="0" w:color="auto"/>
            </w:tcBorders>
            <w:shd w:val="clear" w:color="auto" w:fill="D9D9D9"/>
          </w:tcPr>
          <w:p w14:paraId="2DC97BD3" w14:textId="77777777"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It is expected that knowledge transfer activities under Task 6 will be conducted remotely. Should the consultant feel the need to conduct in-person knowledge transfer activities, such as, meetings or presentations, the travel costs for those activities will not be reimbursable.</w:t>
            </w:r>
          </w:p>
        </w:tc>
      </w:tr>
      <w:tr w:rsidR="00FD3618" w:rsidRPr="00EA3027" w14:paraId="51D92CEE" w14:textId="77777777" w:rsidTr="00D46AA5">
        <w:tc>
          <w:tcPr>
            <w:tcW w:w="1035" w:type="dxa"/>
            <w:tcBorders>
              <w:bottom w:val="single" w:sz="4" w:space="0" w:color="auto"/>
            </w:tcBorders>
            <w:shd w:val="clear" w:color="auto" w:fill="auto"/>
          </w:tcPr>
          <w:p w14:paraId="085209E7" w14:textId="0712B81E" w:rsidR="00FD3618" w:rsidRPr="00D46AA5" w:rsidRDefault="00FD3618" w:rsidP="00D46AA5">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23</w:t>
            </w:r>
          </w:p>
        </w:tc>
        <w:tc>
          <w:tcPr>
            <w:tcW w:w="8493" w:type="dxa"/>
            <w:tcBorders>
              <w:bottom w:val="single" w:sz="4" w:space="0" w:color="auto"/>
            </w:tcBorders>
            <w:shd w:val="clear" w:color="auto" w:fill="auto"/>
          </w:tcPr>
          <w:p w14:paraId="4E52998A" w14:textId="77777777"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The CEC issued RFP 16-403 in early 2017 that covered some of the same topics as this IFB and it was later withdrawn. Can you clarify the differences and overlaps between the requirements of this IFB and the earlier RFP?</w:t>
            </w:r>
          </w:p>
        </w:tc>
      </w:tr>
      <w:tr w:rsidR="00FD3618" w:rsidRPr="00EA3027" w14:paraId="59C70FA7" w14:textId="77777777" w:rsidTr="00D46AA5">
        <w:tc>
          <w:tcPr>
            <w:tcW w:w="1035" w:type="dxa"/>
            <w:tcBorders>
              <w:bottom w:val="single" w:sz="4" w:space="0" w:color="auto"/>
            </w:tcBorders>
            <w:shd w:val="clear" w:color="auto" w:fill="D9D9D9"/>
          </w:tcPr>
          <w:p w14:paraId="139D9296" w14:textId="449EB9C9" w:rsidR="00FD3618" w:rsidRPr="00D46AA5" w:rsidRDefault="00FD3618" w:rsidP="00D46AA5">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23</w:t>
            </w:r>
          </w:p>
        </w:tc>
        <w:tc>
          <w:tcPr>
            <w:tcW w:w="8493" w:type="dxa"/>
            <w:tcBorders>
              <w:bottom w:val="single" w:sz="4" w:space="0" w:color="auto"/>
            </w:tcBorders>
            <w:shd w:val="clear" w:color="auto" w:fill="D9D9D9"/>
          </w:tcPr>
          <w:p w14:paraId="1F0D3C17" w14:textId="77777777"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The purpose of RFP-16-403 was to identify the business needs and develop functional requirements specifically for a residential heating ventilation and air conditioning (HVAC) installation compliance tracking system (compliance tracking system). IFB-17-403 will result in the development of a statewide plan (Compliance Plan) that will promote compliance with the Energy Standards in the installation central air-conditioning and heat pumps (AC/HP) installations in residential and small commercial buildings. While the concept of a compliance tracking system may be a possible area of interest for IFB-17-403, the Compliance Plan will take a broader, more comprehensive approach in identifying barriers and recommending solutions to increase compliance with the Energy Standards.</w:t>
            </w:r>
          </w:p>
        </w:tc>
      </w:tr>
      <w:tr w:rsidR="00FD3618" w:rsidRPr="00EA3027" w14:paraId="73320D75" w14:textId="77777777" w:rsidTr="00D46AA5">
        <w:tc>
          <w:tcPr>
            <w:tcW w:w="1035" w:type="dxa"/>
            <w:tcBorders>
              <w:bottom w:val="single" w:sz="4" w:space="0" w:color="auto"/>
            </w:tcBorders>
            <w:shd w:val="clear" w:color="auto" w:fill="auto"/>
          </w:tcPr>
          <w:p w14:paraId="44B05694" w14:textId="6663DB36"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Q</w:t>
            </w:r>
            <w:r w:rsidR="001D295F">
              <w:rPr>
                <w:rFonts w:ascii="Arial" w:eastAsia="Times New Roman" w:hAnsi="Arial" w:cs="Arial"/>
                <w:color w:val="000000"/>
              </w:rPr>
              <w:t>24</w:t>
            </w:r>
          </w:p>
        </w:tc>
        <w:tc>
          <w:tcPr>
            <w:tcW w:w="8493" w:type="dxa"/>
            <w:tcBorders>
              <w:bottom w:val="single" w:sz="4" w:space="0" w:color="auto"/>
            </w:tcBorders>
            <w:shd w:val="clear" w:color="auto" w:fill="auto"/>
          </w:tcPr>
          <w:p w14:paraId="3BF64E99" w14:textId="77777777"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How does the purpose for IBF 17-403 differ from the purpose intended for the canceled RFP 16-403? Specifically, is the concept of an HVAC equipment tracking system as discussed within 16-403 a possible area of interest for 17-403 or is that type of work precluded from 17-403?</w:t>
            </w:r>
          </w:p>
        </w:tc>
      </w:tr>
      <w:tr w:rsidR="00FD3618" w:rsidRPr="00EA3027" w14:paraId="4EAC5364" w14:textId="77777777" w:rsidTr="00D46AA5">
        <w:tc>
          <w:tcPr>
            <w:tcW w:w="1035" w:type="dxa"/>
            <w:tcBorders>
              <w:bottom w:val="single" w:sz="4" w:space="0" w:color="auto"/>
            </w:tcBorders>
            <w:shd w:val="clear" w:color="auto" w:fill="D9D9D9"/>
          </w:tcPr>
          <w:p w14:paraId="623B4573" w14:textId="6C7E9FC0"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A</w:t>
            </w:r>
            <w:r w:rsidR="001D295F">
              <w:rPr>
                <w:rFonts w:ascii="Arial" w:eastAsia="Times New Roman" w:hAnsi="Arial" w:cs="Arial"/>
                <w:color w:val="000000"/>
              </w:rPr>
              <w:t>24</w:t>
            </w:r>
          </w:p>
        </w:tc>
        <w:tc>
          <w:tcPr>
            <w:tcW w:w="8493" w:type="dxa"/>
            <w:tcBorders>
              <w:bottom w:val="single" w:sz="4" w:space="0" w:color="auto"/>
            </w:tcBorders>
            <w:shd w:val="clear" w:color="auto" w:fill="D9D9D9"/>
          </w:tcPr>
          <w:p w14:paraId="16E4480A" w14:textId="77777777"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The purpose of RFP-16-403 was to identify the business needs and develop functional requirements specifically for a residential heating ventilation and air conditioning (HVAC) installation compliance tracking system (compliance tracking system). IFB-17-403 will result in the development of a statewide plan (Compliance Plan) that will promote compliance with the Energy Standards in the installation central air-conditioning and heat pumps (AC/HP) installations in residential and small commercial buildings. While the concept of a compliance tracking system may be a possible area of interest for IFB-17-403, the Compliance Plan will take a broader, more comprehensive approach in identifying barriers and recommending solutions to increase compliance with the Energy Standards.</w:t>
            </w:r>
          </w:p>
        </w:tc>
      </w:tr>
      <w:tr w:rsidR="00FD3618" w:rsidRPr="00EA3027" w14:paraId="1A7C4D8E" w14:textId="77777777" w:rsidTr="00D46AA5">
        <w:tc>
          <w:tcPr>
            <w:tcW w:w="1035" w:type="dxa"/>
            <w:shd w:val="clear" w:color="auto" w:fill="auto"/>
          </w:tcPr>
          <w:p w14:paraId="4408002A" w14:textId="25AC2965" w:rsidR="00FD3618" w:rsidRDefault="00FD3618" w:rsidP="00CA2464">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25</w:t>
            </w:r>
          </w:p>
        </w:tc>
        <w:tc>
          <w:tcPr>
            <w:tcW w:w="8493" w:type="dxa"/>
            <w:shd w:val="clear" w:color="auto" w:fill="auto"/>
          </w:tcPr>
          <w:p w14:paraId="01FB2720" w14:textId="77777777" w:rsidR="00FD3618" w:rsidRPr="00D46AA5" w:rsidRDefault="00FD3618" w:rsidP="00D46AA5">
            <w:pPr>
              <w:tabs>
                <w:tab w:val="left" w:pos="1576"/>
              </w:tabs>
              <w:spacing w:before="120" w:after="120"/>
              <w:rPr>
                <w:rFonts w:ascii="Arial" w:eastAsia="Times New Roman" w:hAnsi="Arial" w:cs="Arial"/>
                <w:color w:val="000000"/>
              </w:rPr>
            </w:pPr>
            <w:r w:rsidRPr="00D46AA5">
              <w:rPr>
                <w:rFonts w:ascii="Arial" w:eastAsia="Times New Roman" w:hAnsi="Arial" w:cs="Arial"/>
                <w:color w:val="000000"/>
              </w:rPr>
              <w:t xml:space="preserve">Can you clarify how the objectives of this project differ (or not) from the project which resulted in this report being written under CEC-400-2018-003? </w:t>
            </w:r>
            <w:hyperlink r:id="rId9" w:history="1">
              <w:r w:rsidRPr="00C05C3E">
                <w:rPr>
                  <w:rStyle w:val="Hyperlink"/>
                  <w:rFonts w:ascii="Arial" w:eastAsia="Times New Roman" w:hAnsi="Arial" w:cs="Arial"/>
                </w:rPr>
                <w:t>http://www.energy.ca.gov/2018publications/CEC-400-2018-003/CEC-400-2018-003.pdf</w:t>
              </w:r>
            </w:hyperlink>
            <w:r>
              <w:rPr>
                <w:rFonts w:ascii="Arial" w:eastAsia="Times New Roman" w:hAnsi="Arial" w:cs="Arial"/>
                <w:color w:val="000000"/>
              </w:rPr>
              <w:t xml:space="preserve"> </w:t>
            </w:r>
            <w:r w:rsidRPr="00D46AA5">
              <w:rPr>
                <w:rFonts w:ascii="Arial" w:eastAsia="Times New Roman" w:hAnsi="Arial" w:cs="Arial"/>
                <w:color w:val="000000"/>
              </w:rPr>
              <w:t xml:space="preserve"> </w:t>
            </w:r>
          </w:p>
          <w:p w14:paraId="1B189E44" w14:textId="77777777" w:rsidR="00FD3618" w:rsidRDefault="00FD3618" w:rsidP="00D46AA5">
            <w:pPr>
              <w:tabs>
                <w:tab w:val="left" w:pos="1576"/>
              </w:tabs>
              <w:spacing w:before="120" w:after="120"/>
              <w:rPr>
                <w:rFonts w:ascii="Arial" w:eastAsia="Times New Roman" w:hAnsi="Arial" w:cs="Arial"/>
                <w:color w:val="000000"/>
              </w:rPr>
            </w:pPr>
            <w:r w:rsidRPr="00D46AA5">
              <w:rPr>
                <w:rFonts w:ascii="Arial" w:eastAsia="Times New Roman" w:hAnsi="Arial" w:cs="Arial"/>
                <w:color w:val="000000"/>
              </w:rPr>
              <w:t>It seems that this September 2017 report provides recommendations similar to that requested in this IFB, however the latter report does not include a compliance or outreach plan.</w:t>
            </w:r>
            <w:r>
              <w:rPr>
                <w:rFonts w:ascii="Arial" w:eastAsia="Times New Roman" w:hAnsi="Arial" w:cs="Arial"/>
                <w:color w:val="000000"/>
              </w:rPr>
              <w:tab/>
            </w:r>
          </w:p>
        </w:tc>
      </w:tr>
      <w:tr w:rsidR="00FD3618" w:rsidRPr="00EA3027" w14:paraId="1353B40F" w14:textId="77777777" w:rsidTr="00D46AA5">
        <w:tc>
          <w:tcPr>
            <w:tcW w:w="1035" w:type="dxa"/>
            <w:tcBorders>
              <w:bottom w:val="single" w:sz="4" w:space="0" w:color="auto"/>
            </w:tcBorders>
            <w:shd w:val="clear" w:color="auto" w:fill="D9D9D9"/>
          </w:tcPr>
          <w:p w14:paraId="2DB80991" w14:textId="3BC0F860" w:rsidR="00FD3618" w:rsidRDefault="00FD3618" w:rsidP="00CA2464">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25</w:t>
            </w:r>
          </w:p>
        </w:tc>
        <w:tc>
          <w:tcPr>
            <w:tcW w:w="8493" w:type="dxa"/>
            <w:tcBorders>
              <w:bottom w:val="single" w:sz="4" w:space="0" w:color="auto"/>
            </w:tcBorders>
            <w:shd w:val="clear" w:color="auto" w:fill="D9D9D9"/>
          </w:tcPr>
          <w:p w14:paraId="0853D65F" w14:textId="35B3891E" w:rsidR="00FD3618" w:rsidRDefault="00FD3618" w:rsidP="00D61955">
            <w:pPr>
              <w:spacing w:before="120" w:after="120"/>
              <w:rPr>
                <w:rFonts w:ascii="Arial" w:eastAsia="Times New Roman" w:hAnsi="Arial" w:cs="Arial"/>
                <w:color w:val="000000"/>
              </w:rPr>
            </w:pPr>
            <w:r w:rsidRPr="00D46AA5">
              <w:rPr>
                <w:rFonts w:ascii="Arial" w:eastAsia="Times New Roman" w:hAnsi="Arial" w:cs="Arial"/>
                <w:color w:val="000000"/>
              </w:rPr>
              <w:t xml:space="preserve">The </w:t>
            </w:r>
            <w:r w:rsidR="001E04FC">
              <w:rPr>
                <w:rFonts w:ascii="Arial" w:eastAsia="Times New Roman" w:hAnsi="Arial" w:cs="Arial"/>
                <w:color w:val="000000"/>
              </w:rPr>
              <w:t>research for CSE</w:t>
            </w:r>
            <w:r w:rsidRPr="00D46AA5">
              <w:rPr>
                <w:rFonts w:ascii="Arial" w:eastAsia="Times New Roman" w:hAnsi="Arial" w:cs="Arial"/>
                <w:color w:val="000000"/>
              </w:rPr>
              <w:t xml:space="preserve"> Consultant Report (CEC-400-2018-003) was </w:t>
            </w:r>
            <w:r w:rsidR="001E04FC">
              <w:rPr>
                <w:rFonts w:ascii="Arial" w:eastAsia="Times New Roman" w:hAnsi="Arial" w:cs="Arial"/>
                <w:color w:val="000000"/>
              </w:rPr>
              <w:t>conducted</w:t>
            </w:r>
            <w:r w:rsidR="001E04FC" w:rsidRPr="00D46AA5">
              <w:rPr>
                <w:rFonts w:ascii="Arial" w:eastAsia="Times New Roman" w:hAnsi="Arial" w:cs="Arial"/>
                <w:color w:val="000000"/>
              </w:rPr>
              <w:t xml:space="preserve"> </w:t>
            </w:r>
            <w:r w:rsidRPr="00D46AA5">
              <w:rPr>
                <w:rFonts w:ascii="Arial" w:eastAsia="Times New Roman" w:hAnsi="Arial" w:cs="Arial"/>
                <w:color w:val="000000"/>
              </w:rPr>
              <w:t xml:space="preserve">before SB 1414 and offers general recommendations for mechanical alterations in residential buildings. Additionally, the </w:t>
            </w:r>
            <w:r w:rsidR="001E04FC">
              <w:rPr>
                <w:rFonts w:ascii="Arial" w:eastAsia="Times New Roman" w:hAnsi="Arial" w:cs="Arial"/>
                <w:color w:val="000000"/>
              </w:rPr>
              <w:t xml:space="preserve">CSE’s report’s </w:t>
            </w:r>
            <w:r w:rsidRPr="00D46AA5">
              <w:rPr>
                <w:rFonts w:ascii="Arial" w:eastAsia="Times New Roman" w:hAnsi="Arial" w:cs="Arial"/>
                <w:color w:val="000000"/>
              </w:rPr>
              <w:t>recommendations focus on what the building departments can do to improve compliance with the Efficiency Standards. In contrast, the Compliance Plan resulting from this project will be a statewide plan that provides recommendations to all stakeholders. Furthermore, these recommendations will be specific to central air-conditioning and heat pump (AC/HP)</w:t>
            </w:r>
            <w:r w:rsidR="00D61955">
              <w:rPr>
                <w:rFonts w:ascii="Arial" w:eastAsia="Times New Roman" w:hAnsi="Arial" w:cs="Arial"/>
                <w:color w:val="000000"/>
              </w:rPr>
              <w:t xml:space="preserve"> system</w:t>
            </w:r>
            <w:r w:rsidRPr="00D46AA5">
              <w:rPr>
                <w:rFonts w:ascii="Arial" w:eastAsia="Times New Roman" w:hAnsi="Arial" w:cs="Arial"/>
                <w:color w:val="000000"/>
              </w:rPr>
              <w:t xml:space="preserve"> installations, and will </w:t>
            </w:r>
            <w:r w:rsidR="00D61955">
              <w:rPr>
                <w:rFonts w:ascii="Arial" w:eastAsia="Times New Roman" w:hAnsi="Arial" w:cs="Arial"/>
                <w:color w:val="000000"/>
              </w:rPr>
              <w:t>apply to</w:t>
            </w:r>
            <w:r w:rsidR="00D61955" w:rsidRPr="00D46AA5">
              <w:rPr>
                <w:rFonts w:ascii="Arial" w:eastAsia="Times New Roman" w:hAnsi="Arial" w:cs="Arial"/>
                <w:color w:val="000000"/>
              </w:rPr>
              <w:t xml:space="preserve"> </w:t>
            </w:r>
            <w:r w:rsidRPr="00D46AA5">
              <w:rPr>
                <w:rFonts w:ascii="Arial" w:eastAsia="Times New Roman" w:hAnsi="Arial" w:cs="Arial"/>
                <w:color w:val="000000"/>
              </w:rPr>
              <w:t>both residential and small commercial buildings.</w:t>
            </w:r>
          </w:p>
        </w:tc>
      </w:tr>
      <w:tr w:rsidR="00FD3618" w:rsidRPr="00EA3027" w14:paraId="6569A9F7" w14:textId="77777777" w:rsidTr="00D46AA5">
        <w:tc>
          <w:tcPr>
            <w:tcW w:w="1035" w:type="dxa"/>
            <w:shd w:val="clear" w:color="auto" w:fill="auto"/>
          </w:tcPr>
          <w:p w14:paraId="0D2F6A1C" w14:textId="6EB3BD2A" w:rsidR="00FD3618" w:rsidRPr="00D46AA5" w:rsidRDefault="00FD3618" w:rsidP="00D46AA5">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26</w:t>
            </w:r>
          </w:p>
        </w:tc>
        <w:tc>
          <w:tcPr>
            <w:tcW w:w="8493" w:type="dxa"/>
            <w:shd w:val="clear" w:color="auto" w:fill="auto"/>
          </w:tcPr>
          <w:p w14:paraId="6F0672A9" w14:textId="77777777"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This is described as a 12 month contract, yet it seems that the bulk of the work is to be done in 4 months (July - Oct), and the final deliverable is due at the end of month 9 (March 29).   Are any of the deadlines flexible?  Should the contractor's spending plan span 9 or 12 months?</w:t>
            </w:r>
          </w:p>
        </w:tc>
      </w:tr>
      <w:tr w:rsidR="00FD3618" w:rsidRPr="00EA3027" w14:paraId="6CA4CC5A" w14:textId="77777777" w:rsidTr="001B6F0B">
        <w:tc>
          <w:tcPr>
            <w:tcW w:w="1035" w:type="dxa"/>
            <w:tcBorders>
              <w:bottom w:val="single" w:sz="4" w:space="0" w:color="auto"/>
            </w:tcBorders>
            <w:shd w:val="clear" w:color="auto" w:fill="D9D9D9"/>
          </w:tcPr>
          <w:p w14:paraId="21AA4A37" w14:textId="425D2609" w:rsidR="00FD3618" w:rsidRPr="00D46AA5" w:rsidRDefault="00FD3618" w:rsidP="00D46AA5">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26</w:t>
            </w:r>
          </w:p>
        </w:tc>
        <w:tc>
          <w:tcPr>
            <w:tcW w:w="8493" w:type="dxa"/>
            <w:tcBorders>
              <w:bottom w:val="single" w:sz="4" w:space="0" w:color="auto"/>
            </w:tcBorders>
            <w:shd w:val="clear" w:color="auto" w:fill="D9D9D9"/>
          </w:tcPr>
          <w:p w14:paraId="1CEDDF86" w14:textId="77777777" w:rsidR="00FD3618" w:rsidRPr="00D46AA5" w:rsidRDefault="00FD3618" w:rsidP="00D46AA5">
            <w:pPr>
              <w:spacing w:before="120" w:after="120"/>
              <w:rPr>
                <w:rFonts w:ascii="Arial" w:eastAsia="Times New Roman" w:hAnsi="Arial" w:cs="Arial"/>
                <w:color w:val="000000"/>
              </w:rPr>
            </w:pPr>
            <w:r w:rsidRPr="00D46AA5">
              <w:rPr>
                <w:rFonts w:ascii="Arial" w:eastAsia="Times New Roman" w:hAnsi="Arial" w:cs="Arial"/>
                <w:color w:val="000000"/>
              </w:rPr>
              <w:t>Agreement term is 12 months. The final deliverable is due March 29 to allow enough time to finalize and process all final invoices. We do not anticipate project work after March 29.</w:t>
            </w:r>
          </w:p>
        </w:tc>
      </w:tr>
      <w:tr w:rsidR="00FD3618" w:rsidRPr="00EA3027" w14:paraId="3ADF365E" w14:textId="77777777" w:rsidTr="001B6F0B">
        <w:tc>
          <w:tcPr>
            <w:tcW w:w="1035" w:type="dxa"/>
            <w:shd w:val="clear" w:color="auto" w:fill="auto"/>
          </w:tcPr>
          <w:p w14:paraId="09408D23" w14:textId="05FF2A8A" w:rsidR="00FD3618" w:rsidRPr="002F4879" w:rsidRDefault="00FD3618" w:rsidP="002F4879">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27</w:t>
            </w:r>
          </w:p>
        </w:tc>
        <w:tc>
          <w:tcPr>
            <w:tcW w:w="8493" w:type="dxa"/>
            <w:shd w:val="clear" w:color="auto" w:fill="auto"/>
          </w:tcPr>
          <w:p w14:paraId="0C7335AF" w14:textId="77777777" w:rsidR="00FD3618" w:rsidRPr="002F4879" w:rsidRDefault="00FD3618" w:rsidP="002F4879">
            <w:pPr>
              <w:spacing w:before="120" w:after="120"/>
              <w:rPr>
                <w:rFonts w:ascii="Arial" w:eastAsia="Times New Roman" w:hAnsi="Arial" w:cs="Arial"/>
                <w:color w:val="000000"/>
              </w:rPr>
            </w:pPr>
            <w:r w:rsidRPr="002F4879">
              <w:rPr>
                <w:rFonts w:ascii="Arial" w:eastAsia="Times New Roman" w:hAnsi="Arial" w:cs="Arial"/>
                <w:color w:val="000000"/>
              </w:rPr>
              <w:t>There does not seem to be an expectation for ongoing stakeholder engagement after the initial information-gathering tasks (i.e., throughout the development of recommendations, development of Compliance Plan, and knowledge transfer).  Is this assessment accurate?</w:t>
            </w:r>
          </w:p>
        </w:tc>
      </w:tr>
      <w:tr w:rsidR="00FD3618" w:rsidRPr="00EA3027" w14:paraId="5751105C" w14:textId="77777777" w:rsidTr="001B6F0B">
        <w:tc>
          <w:tcPr>
            <w:tcW w:w="1035" w:type="dxa"/>
            <w:tcBorders>
              <w:bottom w:val="single" w:sz="4" w:space="0" w:color="auto"/>
            </w:tcBorders>
            <w:shd w:val="clear" w:color="auto" w:fill="D9D9D9"/>
          </w:tcPr>
          <w:p w14:paraId="20358C0B" w14:textId="1692C6C2" w:rsidR="00FD3618" w:rsidRPr="002F4879" w:rsidRDefault="00FD3618" w:rsidP="002F4879">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27</w:t>
            </w:r>
          </w:p>
        </w:tc>
        <w:tc>
          <w:tcPr>
            <w:tcW w:w="8493" w:type="dxa"/>
            <w:tcBorders>
              <w:bottom w:val="single" w:sz="4" w:space="0" w:color="auto"/>
            </w:tcBorders>
            <w:shd w:val="clear" w:color="auto" w:fill="D9D9D9"/>
          </w:tcPr>
          <w:p w14:paraId="414A37F2" w14:textId="7FC8DB95" w:rsidR="00371E47" w:rsidRPr="00C00C45" w:rsidRDefault="00C00C45" w:rsidP="00C00C45">
            <w:pPr>
              <w:spacing w:before="120" w:after="120"/>
              <w:rPr>
                <w:rFonts w:ascii="Arial" w:eastAsia="Times New Roman" w:hAnsi="Arial" w:cs="Arial"/>
                <w:color w:val="000000"/>
              </w:rPr>
            </w:pPr>
            <w:r w:rsidRPr="00C00C45">
              <w:rPr>
                <w:rFonts w:ascii="Arial" w:eastAsia="Times New Roman" w:hAnsi="Arial" w:cs="Arial"/>
                <w:color w:val="000000"/>
              </w:rPr>
              <w:t>Ongoing</w:t>
            </w:r>
            <w:r w:rsidR="001E04FC" w:rsidRPr="00C00C45">
              <w:rPr>
                <w:rFonts w:ascii="Arial" w:eastAsia="Times New Roman" w:hAnsi="Arial" w:cs="Arial"/>
                <w:color w:val="000000"/>
              </w:rPr>
              <w:t xml:space="preserve"> stakeholder </w:t>
            </w:r>
            <w:r w:rsidRPr="00C00C45">
              <w:rPr>
                <w:rFonts w:ascii="Arial" w:eastAsia="Times New Roman" w:hAnsi="Arial" w:cs="Arial"/>
                <w:color w:val="000000"/>
              </w:rPr>
              <w:t xml:space="preserve">engagement </w:t>
            </w:r>
            <w:r w:rsidR="001E04FC" w:rsidRPr="00C00C45">
              <w:rPr>
                <w:rFonts w:ascii="Arial" w:eastAsia="Times New Roman" w:hAnsi="Arial" w:cs="Arial"/>
                <w:color w:val="000000"/>
              </w:rPr>
              <w:t>is not discouraged</w:t>
            </w:r>
            <w:r w:rsidRPr="00C00C45">
              <w:rPr>
                <w:rFonts w:ascii="Arial" w:eastAsia="Times New Roman" w:hAnsi="Arial" w:cs="Arial"/>
                <w:color w:val="000000"/>
              </w:rPr>
              <w:t>.</w:t>
            </w:r>
            <w:r>
              <w:rPr>
                <w:rFonts w:ascii="Arial" w:eastAsia="Times New Roman" w:hAnsi="Arial" w:cs="Arial"/>
                <w:color w:val="000000"/>
              </w:rPr>
              <w:t xml:space="preserve"> </w:t>
            </w:r>
            <w:r w:rsidR="00371E47" w:rsidRPr="00C00C45">
              <w:rPr>
                <w:rFonts w:ascii="Arial" w:eastAsia="Times New Roman" w:hAnsi="Arial" w:cs="Arial"/>
                <w:color w:val="000000"/>
              </w:rPr>
              <w:t xml:space="preserve">The contractor may continue to engage with stakeholders after the initial information-gathering tasks, but is not required to. The </w:t>
            </w:r>
            <w:r w:rsidRPr="00C00C45">
              <w:rPr>
                <w:rFonts w:ascii="Arial" w:eastAsia="Times New Roman" w:hAnsi="Arial" w:cs="Arial"/>
                <w:color w:val="000000"/>
              </w:rPr>
              <w:t>Energy Commission will</w:t>
            </w:r>
            <w:r w:rsidR="00371E47" w:rsidRPr="00C00C45">
              <w:rPr>
                <w:rFonts w:ascii="Arial" w:eastAsia="Times New Roman" w:hAnsi="Arial" w:cs="Arial"/>
                <w:color w:val="000000"/>
              </w:rPr>
              <w:t xml:space="preserve"> releas</w:t>
            </w:r>
            <w:r w:rsidRPr="00C00C45">
              <w:rPr>
                <w:rFonts w:ascii="Arial" w:eastAsia="Times New Roman" w:hAnsi="Arial" w:cs="Arial"/>
                <w:color w:val="000000"/>
              </w:rPr>
              <w:t>e</w:t>
            </w:r>
            <w:r w:rsidR="00371E47" w:rsidRPr="00C00C45">
              <w:rPr>
                <w:rFonts w:ascii="Arial" w:eastAsia="Times New Roman" w:hAnsi="Arial" w:cs="Arial"/>
                <w:color w:val="000000"/>
              </w:rPr>
              <w:t xml:space="preserve"> the Final Compliance Plan for public review and comment and </w:t>
            </w:r>
            <w:r w:rsidRPr="00C00C45">
              <w:rPr>
                <w:rFonts w:ascii="Arial" w:eastAsia="Times New Roman" w:hAnsi="Arial" w:cs="Arial"/>
                <w:color w:val="000000"/>
              </w:rPr>
              <w:t xml:space="preserve">will </w:t>
            </w:r>
            <w:r w:rsidR="00371E47" w:rsidRPr="00C00C45">
              <w:rPr>
                <w:rFonts w:ascii="Arial" w:eastAsia="Times New Roman" w:hAnsi="Arial" w:cs="Arial"/>
                <w:color w:val="000000"/>
              </w:rPr>
              <w:t>adopt the Compliance Plan at an Energy Commission Business Meeting before January 1, 2019.</w:t>
            </w:r>
          </w:p>
        </w:tc>
      </w:tr>
      <w:tr w:rsidR="00FD3618" w:rsidRPr="00EA3027" w14:paraId="67C968A8" w14:textId="77777777" w:rsidTr="001B6F0B">
        <w:tc>
          <w:tcPr>
            <w:tcW w:w="1035" w:type="dxa"/>
            <w:shd w:val="clear" w:color="auto" w:fill="auto"/>
          </w:tcPr>
          <w:p w14:paraId="5BED8445" w14:textId="3555105D" w:rsidR="00FD3618" w:rsidRPr="002F4879" w:rsidRDefault="00FD3618" w:rsidP="002F4879">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28</w:t>
            </w:r>
          </w:p>
        </w:tc>
        <w:tc>
          <w:tcPr>
            <w:tcW w:w="8493" w:type="dxa"/>
            <w:shd w:val="clear" w:color="auto" w:fill="auto"/>
          </w:tcPr>
          <w:p w14:paraId="41F825A8" w14:textId="77777777" w:rsidR="00FD3618" w:rsidRPr="002F4879" w:rsidRDefault="00FD3618" w:rsidP="002F4879">
            <w:pPr>
              <w:spacing w:before="120" w:after="120"/>
              <w:rPr>
                <w:rFonts w:ascii="Arial" w:eastAsia="Times New Roman" w:hAnsi="Arial" w:cs="Arial"/>
                <w:color w:val="000000"/>
              </w:rPr>
            </w:pPr>
            <w:r w:rsidRPr="002F4879">
              <w:rPr>
                <w:rFonts w:ascii="Arial" w:eastAsia="Times New Roman" w:hAnsi="Arial" w:cs="Arial"/>
                <w:color w:val="000000"/>
              </w:rPr>
              <w:t>How many reviews of various deliverables should contractor budget for? Will organizations outside the CEC provide reviews of drafts?</w:t>
            </w:r>
          </w:p>
        </w:tc>
      </w:tr>
      <w:tr w:rsidR="00FD3618" w:rsidRPr="00EA3027" w14:paraId="660C31CB" w14:textId="77777777" w:rsidTr="00CC523F">
        <w:tc>
          <w:tcPr>
            <w:tcW w:w="1035" w:type="dxa"/>
            <w:tcBorders>
              <w:bottom w:val="single" w:sz="4" w:space="0" w:color="auto"/>
            </w:tcBorders>
            <w:shd w:val="clear" w:color="auto" w:fill="D9D9D9"/>
          </w:tcPr>
          <w:p w14:paraId="34C0F1F0" w14:textId="78DB38DF" w:rsidR="00FD3618" w:rsidRPr="002F4879" w:rsidRDefault="00FD3618" w:rsidP="002F4879">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28</w:t>
            </w:r>
          </w:p>
        </w:tc>
        <w:tc>
          <w:tcPr>
            <w:tcW w:w="8493" w:type="dxa"/>
            <w:tcBorders>
              <w:bottom w:val="single" w:sz="4" w:space="0" w:color="auto"/>
            </w:tcBorders>
            <w:shd w:val="clear" w:color="auto" w:fill="D9D9D9"/>
          </w:tcPr>
          <w:p w14:paraId="690E5628" w14:textId="6EF7ACA0" w:rsidR="00FD3618" w:rsidRPr="002F4879" w:rsidRDefault="00FD3618" w:rsidP="002F4879">
            <w:pPr>
              <w:spacing w:before="120" w:after="120"/>
              <w:rPr>
                <w:rFonts w:ascii="Arial" w:eastAsia="Times New Roman" w:hAnsi="Arial" w:cs="Arial"/>
                <w:color w:val="000000"/>
              </w:rPr>
            </w:pPr>
            <w:r w:rsidRPr="002F4879">
              <w:rPr>
                <w:rFonts w:ascii="Arial" w:eastAsia="Times New Roman" w:hAnsi="Arial" w:cs="Arial"/>
                <w:color w:val="000000"/>
              </w:rPr>
              <w:t xml:space="preserve">The Energy Commission may solicit reviews of drafts from other organizations, such as </w:t>
            </w:r>
            <w:r w:rsidR="00BF69BD">
              <w:rPr>
                <w:rFonts w:ascii="Arial" w:eastAsia="Times New Roman" w:hAnsi="Arial" w:cs="Arial"/>
                <w:color w:val="000000"/>
              </w:rPr>
              <w:t>other state agencies</w:t>
            </w:r>
            <w:r w:rsidRPr="002F4879">
              <w:rPr>
                <w:rFonts w:ascii="Arial" w:eastAsia="Times New Roman" w:hAnsi="Arial" w:cs="Arial"/>
                <w:color w:val="000000"/>
              </w:rPr>
              <w:t>. All comments and edits will be compiled and reviewed by the CAM and provided to the contractor as one document.</w:t>
            </w:r>
            <w:r w:rsidR="00BF69BD">
              <w:rPr>
                <w:rFonts w:ascii="Arial" w:eastAsia="Times New Roman" w:hAnsi="Arial" w:cs="Arial"/>
                <w:color w:val="000000"/>
              </w:rPr>
              <w:t xml:space="preserve"> The CAM will expect the submission of high quality drafts that will not require numerous reviews.</w:t>
            </w:r>
          </w:p>
        </w:tc>
      </w:tr>
    </w:tbl>
    <w:p w14:paraId="7CDF1CD9" w14:textId="77777777" w:rsidR="00A55DF1" w:rsidRDefault="00A55DF1"/>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835"/>
      </w:tblGrid>
      <w:tr w:rsidR="00D226CC" w:rsidRPr="00B75CD0" w14:paraId="614B8DBE" w14:textId="77777777" w:rsidTr="00D226CC">
        <w:tc>
          <w:tcPr>
            <w:tcW w:w="9528" w:type="dxa"/>
            <w:gridSpan w:val="2"/>
            <w:shd w:val="clear" w:color="auto" w:fill="B8CCE4"/>
          </w:tcPr>
          <w:p w14:paraId="1662A473" w14:textId="77777777" w:rsidR="00D226CC" w:rsidRPr="00B75CD0" w:rsidRDefault="00D226CC" w:rsidP="00D226CC">
            <w:pPr>
              <w:jc w:val="center"/>
              <w:rPr>
                <w:rFonts w:ascii="Arial" w:eastAsia="Times New Roman" w:hAnsi="Arial" w:cs="Arial"/>
                <w:b/>
                <w:color w:val="000000"/>
                <w:sz w:val="22"/>
                <w:szCs w:val="22"/>
              </w:rPr>
            </w:pPr>
            <w:r>
              <w:rPr>
                <w:rFonts w:ascii="Arial" w:eastAsia="Times New Roman" w:hAnsi="Arial" w:cs="Arial"/>
                <w:b/>
                <w:color w:val="000000"/>
                <w:sz w:val="22"/>
                <w:szCs w:val="22"/>
              </w:rPr>
              <w:t>Administrative</w:t>
            </w:r>
          </w:p>
        </w:tc>
      </w:tr>
      <w:tr w:rsidR="00D226CC" w:rsidRPr="00EA3027" w14:paraId="43807042" w14:textId="77777777" w:rsidTr="00D226CC">
        <w:tc>
          <w:tcPr>
            <w:tcW w:w="693" w:type="dxa"/>
          </w:tcPr>
          <w:p w14:paraId="2A89942E" w14:textId="37DEF3E3" w:rsidR="00D226CC" w:rsidRPr="00EA3027" w:rsidRDefault="00D226CC" w:rsidP="00D226CC">
            <w:pPr>
              <w:spacing w:before="120" w:after="120"/>
              <w:rPr>
                <w:rFonts w:ascii="Arial" w:eastAsia="Times New Roman" w:hAnsi="Arial" w:cs="Arial"/>
                <w:color w:val="000000"/>
              </w:rPr>
            </w:pPr>
            <w:r w:rsidRPr="00EA3027">
              <w:rPr>
                <w:rFonts w:ascii="Arial" w:eastAsia="Times New Roman" w:hAnsi="Arial" w:cs="Arial"/>
                <w:color w:val="000000"/>
              </w:rPr>
              <w:t>Q</w:t>
            </w:r>
            <w:r w:rsidR="001D295F">
              <w:rPr>
                <w:rFonts w:ascii="Arial" w:eastAsia="Times New Roman" w:hAnsi="Arial" w:cs="Arial"/>
                <w:color w:val="000000"/>
              </w:rPr>
              <w:t>29</w:t>
            </w:r>
          </w:p>
        </w:tc>
        <w:tc>
          <w:tcPr>
            <w:tcW w:w="8835" w:type="dxa"/>
          </w:tcPr>
          <w:p w14:paraId="7B068099" w14:textId="77777777" w:rsidR="00D226CC" w:rsidRPr="00EA3027" w:rsidRDefault="00D226CC" w:rsidP="00D226CC">
            <w:pPr>
              <w:spacing w:before="120" w:after="120"/>
              <w:rPr>
                <w:rFonts w:ascii="Arial" w:eastAsia="Times New Roman" w:hAnsi="Arial" w:cs="Arial"/>
              </w:rPr>
            </w:pPr>
            <w:r w:rsidRPr="00B104E6">
              <w:rPr>
                <w:rFonts w:ascii="Arial" w:eastAsia="Times New Roman" w:hAnsi="Arial" w:cs="Arial"/>
              </w:rPr>
              <w:t>The scoring criteria appears to be Stage 1 – Pass/Fail, move to Stage 2 – Pass/Fail, then if a firm passes both Stage 1 and Stage 2 they are considered for Stage 3. In Stage 3 the lowest bid (after discounts are applied) is taken.  EXCEPT in the case where the lowest bid is NOT a small business. It sounds like a larger firm cannot the work away from a small business, even if the larger firm is the lowest bidder. Is this interpretation correct?</w:t>
            </w:r>
          </w:p>
        </w:tc>
      </w:tr>
      <w:tr w:rsidR="00D226CC" w:rsidRPr="00EA3027" w14:paraId="52F5BF37" w14:textId="77777777" w:rsidTr="00D226CC">
        <w:tc>
          <w:tcPr>
            <w:tcW w:w="693" w:type="dxa"/>
            <w:tcBorders>
              <w:bottom w:val="single" w:sz="4" w:space="0" w:color="auto"/>
            </w:tcBorders>
            <w:shd w:val="clear" w:color="auto" w:fill="D9D9D9"/>
          </w:tcPr>
          <w:p w14:paraId="315F656D" w14:textId="1160ED33" w:rsidR="00D226CC" w:rsidRPr="00EA3027" w:rsidRDefault="002F4879" w:rsidP="00D226CC">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29</w:t>
            </w:r>
          </w:p>
        </w:tc>
        <w:tc>
          <w:tcPr>
            <w:tcW w:w="8835" w:type="dxa"/>
            <w:tcBorders>
              <w:bottom w:val="single" w:sz="4" w:space="0" w:color="auto"/>
            </w:tcBorders>
            <w:shd w:val="clear" w:color="auto" w:fill="D9D9D9"/>
          </w:tcPr>
          <w:p w14:paraId="33C2CB15" w14:textId="77777777" w:rsidR="00D226CC" w:rsidRPr="005645EF" w:rsidRDefault="00D226CC" w:rsidP="00D226CC">
            <w:pPr>
              <w:spacing w:before="120" w:after="120"/>
              <w:rPr>
                <w:rFonts w:ascii="Arial" w:eastAsia="Times New Roman" w:hAnsi="Arial" w:cs="Arial"/>
                <w:color w:val="FF0000"/>
              </w:rPr>
            </w:pPr>
            <w:r w:rsidRPr="00B104E6">
              <w:rPr>
                <w:rFonts w:ascii="Arial" w:eastAsia="Times New Roman" w:hAnsi="Arial" w:cs="Arial"/>
              </w:rPr>
              <w:t>A non-small business entity cannot take an award away from a small business entity with the non-small business preference.  However, if a non-small business is the lowest bidder after preferences are applied to any small businesses, the non-small business would win the bid.</w:t>
            </w:r>
          </w:p>
        </w:tc>
      </w:tr>
      <w:tr w:rsidR="00D226CC" w:rsidRPr="00EA3027" w14:paraId="47DF805B" w14:textId="77777777" w:rsidTr="00D226CC">
        <w:tc>
          <w:tcPr>
            <w:tcW w:w="693" w:type="dxa"/>
            <w:shd w:val="clear" w:color="auto" w:fill="auto"/>
          </w:tcPr>
          <w:p w14:paraId="38B591F9" w14:textId="481359E5" w:rsidR="00D226CC" w:rsidRDefault="002F4879" w:rsidP="00D226CC">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30</w:t>
            </w:r>
          </w:p>
        </w:tc>
        <w:tc>
          <w:tcPr>
            <w:tcW w:w="8835" w:type="dxa"/>
            <w:shd w:val="clear" w:color="auto" w:fill="auto"/>
          </w:tcPr>
          <w:p w14:paraId="28ADD400" w14:textId="77777777" w:rsidR="00D226CC" w:rsidRPr="00D226CC" w:rsidRDefault="00D226CC" w:rsidP="00D226CC">
            <w:pPr>
              <w:spacing w:before="120" w:after="120"/>
              <w:rPr>
                <w:rFonts w:ascii="Arial" w:eastAsia="Times New Roman" w:hAnsi="Arial" w:cs="Arial"/>
              </w:rPr>
            </w:pPr>
            <w:r w:rsidRPr="00D226CC">
              <w:rPr>
                <w:rFonts w:ascii="Arial" w:eastAsia="Times New Roman" w:hAnsi="Arial" w:cs="Arial"/>
              </w:rPr>
              <w:t>For Attachment 1 #3 – Small Business</w:t>
            </w:r>
          </w:p>
          <w:p w14:paraId="2FAAD5F9" w14:textId="77777777" w:rsidR="00D226CC" w:rsidRDefault="00D226CC" w:rsidP="00D226CC">
            <w:pPr>
              <w:spacing w:before="120" w:after="120"/>
              <w:rPr>
                <w:rFonts w:ascii="Arial" w:eastAsia="Times New Roman" w:hAnsi="Arial" w:cs="Arial"/>
                <w:color w:val="000000"/>
              </w:rPr>
            </w:pPr>
            <w:r w:rsidRPr="00D226CC">
              <w:rPr>
                <w:rFonts w:ascii="Arial" w:eastAsia="Times New Roman" w:hAnsi="Arial" w:cs="Arial"/>
              </w:rPr>
              <w:t>If we provide the date certified do we also need to supply the date the application was submitted (i.e., this is an either/or)?</w:t>
            </w:r>
          </w:p>
        </w:tc>
      </w:tr>
      <w:tr w:rsidR="00D226CC" w:rsidRPr="00EA3027" w14:paraId="607C967B" w14:textId="77777777" w:rsidTr="00FC0FC1">
        <w:tc>
          <w:tcPr>
            <w:tcW w:w="693" w:type="dxa"/>
            <w:tcBorders>
              <w:bottom w:val="single" w:sz="4" w:space="0" w:color="auto"/>
            </w:tcBorders>
            <w:shd w:val="clear" w:color="auto" w:fill="D9D9D9"/>
          </w:tcPr>
          <w:p w14:paraId="644C0729" w14:textId="574E0CBB" w:rsidR="00D226CC" w:rsidRDefault="002F4879" w:rsidP="00D226CC">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30</w:t>
            </w:r>
          </w:p>
        </w:tc>
        <w:tc>
          <w:tcPr>
            <w:tcW w:w="8835" w:type="dxa"/>
            <w:tcBorders>
              <w:bottom w:val="single" w:sz="4" w:space="0" w:color="auto"/>
            </w:tcBorders>
            <w:shd w:val="clear" w:color="auto" w:fill="D9D9D9"/>
          </w:tcPr>
          <w:p w14:paraId="53BBA382" w14:textId="636876E6" w:rsidR="00D226CC" w:rsidRPr="00371E47" w:rsidRDefault="00371E47" w:rsidP="00D226CC">
            <w:pPr>
              <w:spacing w:before="120" w:after="120"/>
              <w:rPr>
                <w:rFonts w:ascii="Arial" w:eastAsia="Times New Roman" w:hAnsi="Arial" w:cs="Arial"/>
                <w:color w:val="000000"/>
              </w:rPr>
            </w:pPr>
            <w:r w:rsidRPr="00371E47">
              <w:rPr>
                <w:rFonts w:ascii="Arial" w:eastAsia="Times New Roman" w:hAnsi="Arial" w:cs="Arial"/>
                <w:color w:val="000000"/>
              </w:rPr>
              <w:t>It is either or. If a bidder does not have a certification date but has applied to the State of California to be certified as a small business, they can be consider for the preference points.</w:t>
            </w:r>
          </w:p>
        </w:tc>
      </w:tr>
      <w:tr w:rsidR="00FC0FC1" w:rsidRPr="00EA3027" w14:paraId="3663CE1D" w14:textId="77777777" w:rsidTr="00FC0FC1">
        <w:tc>
          <w:tcPr>
            <w:tcW w:w="693" w:type="dxa"/>
            <w:shd w:val="clear" w:color="auto" w:fill="auto"/>
          </w:tcPr>
          <w:p w14:paraId="26A5C7E0" w14:textId="34333165" w:rsidR="00FC0FC1" w:rsidRDefault="00FC0FC1" w:rsidP="00D226CC">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31</w:t>
            </w:r>
          </w:p>
        </w:tc>
        <w:tc>
          <w:tcPr>
            <w:tcW w:w="8835" w:type="dxa"/>
            <w:shd w:val="clear" w:color="auto" w:fill="auto"/>
          </w:tcPr>
          <w:p w14:paraId="40F19206" w14:textId="77777777" w:rsidR="00FC0FC1" w:rsidRPr="00FC0FC1" w:rsidRDefault="00FC0FC1" w:rsidP="00FC0FC1">
            <w:pPr>
              <w:spacing w:before="120" w:after="120"/>
              <w:rPr>
                <w:rFonts w:ascii="Arial" w:eastAsia="Times New Roman" w:hAnsi="Arial" w:cs="Arial"/>
                <w:color w:val="000000"/>
              </w:rPr>
            </w:pPr>
            <w:r w:rsidRPr="00FC0FC1">
              <w:rPr>
                <w:rFonts w:ascii="Arial" w:eastAsia="Times New Roman" w:hAnsi="Arial" w:cs="Arial"/>
                <w:color w:val="000000"/>
              </w:rPr>
              <w:t>We were proceeding with these instructions from the IFB:</w:t>
            </w:r>
          </w:p>
          <w:p w14:paraId="0E7BCC1F" w14:textId="77777777" w:rsidR="00FC0FC1" w:rsidRDefault="00FC0FC1" w:rsidP="00FC0FC1">
            <w:pPr>
              <w:spacing w:before="120" w:after="120"/>
              <w:rPr>
                <w:rFonts w:ascii="Arial" w:eastAsia="Times New Roman" w:hAnsi="Arial" w:cs="Arial"/>
                <w:color w:val="000000"/>
              </w:rPr>
            </w:pPr>
            <w:r w:rsidRPr="00FC0FC1">
              <w:rPr>
                <w:rFonts w:ascii="Arial" w:eastAsia="Times New Roman" w:hAnsi="Arial" w:cs="Arial"/>
                <w:color w:val="000000"/>
              </w:rPr>
              <w:t>“A separate set of complete budget forms, including the full set of worksheets listed below, is required for the Contractor and for each subcontract containing: 1) $100,000 or more of Energy Commission funds; or 2) 25% or more of the total Energy Commission funds requested.”</w:t>
            </w:r>
          </w:p>
          <w:p w14:paraId="3E526FDE" w14:textId="77777777" w:rsidR="00FC0FC1" w:rsidRPr="00FC0FC1" w:rsidRDefault="00FC0FC1" w:rsidP="00FC0FC1">
            <w:pPr>
              <w:spacing w:before="120" w:after="120"/>
              <w:rPr>
                <w:rFonts w:ascii="Arial" w:eastAsia="Times New Roman" w:hAnsi="Arial" w:cs="Arial"/>
                <w:color w:val="000000"/>
              </w:rPr>
            </w:pPr>
            <w:r w:rsidRPr="00FC0FC1">
              <w:rPr>
                <w:rFonts w:ascii="Arial" w:eastAsia="Times New Roman" w:hAnsi="Arial" w:cs="Arial"/>
                <w:color w:val="000000"/>
              </w:rPr>
              <w:t>However, the instructions in the budget sheets state:</w:t>
            </w:r>
          </w:p>
          <w:p w14:paraId="7B9A70BC" w14:textId="77777777" w:rsidR="00FC0FC1" w:rsidRPr="00FC0FC1" w:rsidRDefault="00FC0FC1" w:rsidP="00FC0FC1">
            <w:pPr>
              <w:spacing w:before="120" w:after="120"/>
              <w:rPr>
                <w:rFonts w:ascii="Arial" w:eastAsia="Times New Roman" w:hAnsi="Arial" w:cs="Arial"/>
                <w:color w:val="000000"/>
              </w:rPr>
            </w:pPr>
            <w:r w:rsidRPr="00FC0FC1">
              <w:rPr>
                <w:rFonts w:ascii="Arial" w:eastAsia="Times New Roman" w:hAnsi="Arial" w:cs="Arial"/>
                <w:color w:val="000000"/>
              </w:rPr>
              <w:t>1.</w:t>
            </w:r>
            <w:r>
              <w:rPr>
                <w:rFonts w:ascii="Arial" w:eastAsia="Times New Roman" w:hAnsi="Arial" w:cs="Arial"/>
                <w:color w:val="000000"/>
              </w:rPr>
              <w:t xml:space="preserve"> </w:t>
            </w:r>
            <w:r w:rsidRPr="00FC0FC1">
              <w:rPr>
                <w:rFonts w:ascii="Arial" w:eastAsia="Times New Roman" w:hAnsi="Arial" w:cs="Arial"/>
                <w:color w:val="000000"/>
              </w:rPr>
              <w:t>A separate set of complete budget forms, including the full set of worksheets, is required for the Contractor/Recipient and for each subcontract</w:t>
            </w:r>
          </w:p>
          <w:p w14:paraId="6EE3DB5F" w14:textId="77777777" w:rsidR="00FC0FC1" w:rsidRDefault="00FC0FC1" w:rsidP="00FC0FC1">
            <w:pPr>
              <w:spacing w:before="120" w:after="120"/>
              <w:rPr>
                <w:rFonts w:ascii="Arial" w:eastAsia="Times New Roman" w:hAnsi="Arial" w:cs="Arial"/>
                <w:color w:val="000000"/>
              </w:rPr>
            </w:pPr>
            <w:r w:rsidRPr="00FC0FC1">
              <w:rPr>
                <w:rFonts w:ascii="Arial" w:eastAsia="Times New Roman" w:hAnsi="Arial" w:cs="Arial"/>
                <w:color w:val="000000"/>
              </w:rPr>
              <w:t>Can you please clarify if we can follow the instructions from the IFB?</w:t>
            </w:r>
          </w:p>
        </w:tc>
      </w:tr>
      <w:tr w:rsidR="00FC0FC1" w:rsidRPr="00EA3027" w14:paraId="30EC9E8E" w14:textId="77777777" w:rsidTr="00D226CC">
        <w:tc>
          <w:tcPr>
            <w:tcW w:w="693" w:type="dxa"/>
            <w:shd w:val="clear" w:color="auto" w:fill="D9D9D9"/>
          </w:tcPr>
          <w:p w14:paraId="2DE6F917" w14:textId="341863D8" w:rsidR="00FC0FC1" w:rsidRDefault="00FC0FC1" w:rsidP="00D226CC">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31</w:t>
            </w:r>
          </w:p>
        </w:tc>
        <w:tc>
          <w:tcPr>
            <w:tcW w:w="8835" w:type="dxa"/>
            <w:shd w:val="clear" w:color="auto" w:fill="D9D9D9"/>
          </w:tcPr>
          <w:p w14:paraId="10EEB6EF" w14:textId="30718211" w:rsidR="00FC0FC1" w:rsidRDefault="00FC0FC1" w:rsidP="00FC0FC1">
            <w:pPr>
              <w:spacing w:before="120" w:after="120"/>
              <w:rPr>
                <w:rFonts w:ascii="Arial" w:eastAsia="Times New Roman" w:hAnsi="Arial" w:cs="Arial"/>
                <w:color w:val="000000"/>
              </w:rPr>
            </w:pPr>
            <w:r w:rsidRPr="00FC0FC1">
              <w:rPr>
                <w:rFonts w:ascii="Arial" w:eastAsia="Times New Roman" w:hAnsi="Arial" w:cs="Arial"/>
                <w:color w:val="000000"/>
              </w:rPr>
              <w:t xml:space="preserve">It is for </w:t>
            </w:r>
            <w:r w:rsidRPr="00FC0FC1">
              <w:rPr>
                <w:rFonts w:ascii="Arial" w:eastAsia="Times New Roman" w:hAnsi="Arial" w:cs="Arial"/>
                <w:b/>
                <w:i/>
                <w:color w:val="000000"/>
                <w:u w:val="single"/>
              </w:rPr>
              <w:t>each</w:t>
            </w:r>
            <w:r>
              <w:rPr>
                <w:rFonts w:ascii="Arial" w:eastAsia="Times New Roman" w:hAnsi="Arial" w:cs="Arial"/>
                <w:color w:val="000000"/>
              </w:rPr>
              <w:t xml:space="preserve"> subcontract. </w:t>
            </w:r>
            <w:r w:rsidRPr="00FC0FC1">
              <w:rPr>
                <w:rFonts w:ascii="Arial" w:eastAsia="Times New Roman" w:hAnsi="Arial" w:cs="Arial"/>
                <w:color w:val="000000"/>
              </w:rPr>
              <w:t xml:space="preserve">The other instruction standard for </w:t>
            </w:r>
            <w:r>
              <w:rPr>
                <w:rFonts w:ascii="Arial" w:eastAsia="Times New Roman" w:hAnsi="Arial" w:cs="Arial"/>
                <w:color w:val="000000"/>
              </w:rPr>
              <w:t>grants but this is a contract. A</w:t>
            </w:r>
            <w:r w:rsidRPr="00FC0FC1">
              <w:rPr>
                <w:rFonts w:ascii="Arial" w:eastAsia="Times New Roman" w:hAnsi="Arial" w:cs="Arial"/>
                <w:color w:val="000000"/>
              </w:rPr>
              <w:t xml:space="preserve">n update </w:t>
            </w:r>
            <w:r>
              <w:rPr>
                <w:rFonts w:ascii="Arial" w:eastAsia="Times New Roman" w:hAnsi="Arial" w:cs="Arial"/>
                <w:color w:val="000000"/>
              </w:rPr>
              <w:t>will be</w:t>
            </w:r>
            <w:r w:rsidRPr="00FC0FC1">
              <w:rPr>
                <w:rFonts w:ascii="Arial" w:eastAsia="Times New Roman" w:hAnsi="Arial" w:cs="Arial"/>
                <w:color w:val="000000"/>
              </w:rPr>
              <w:t xml:space="preserve"> made to the IFB</w:t>
            </w:r>
            <w:r>
              <w:rPr>
                <w:rFonts w:ascii="Arial" w:eastAsia="Times New Roman" w:hAnsi="Arial" w:cs="Arial"/>
                <w:color w:val="000000"/>
              </w:rPr>
              <w:t>.</w:t>
            </w:r>
          </w:p>
        </w:tc>
      </w:tr>
      <w:tr w:rsidR="00A56A92" w:rsidRPr="00EA3027" w14:paraId="6627E4F7" w14:textId="77777777" w:rsidTr="00C63E11">
        <w:tc>
          <w:tcPr>
            <w:tcW w:w="693" w:type="dxa"/>
          </w:tcPr>
          <w:p w14:paraId="008B7C1D" w14:textId="35D251B0" w:rsidR="00A56A92" w:rsidRPr="00EA3027" w:rsidRDefault="00A56A92" w:rsidP="00C63E11">
            <w:pPr>
              <w:spacing w:before="120" w:after="120"/>
              <w:rPr>
                <w:rFonts w:ascii="Arial" w:eastAsia="Times New Roman" w:hAnsi="Arial" w:cs="Arial"/>
                <w:color w:val="000000"/>
              </w:rPr>
            </w:pPr>
            <w:r w:rsidRPr="00EA3027">
              <w:rPr>
                <w:rFonts w:ascii="Arial" w:eastAsia="Times New Roman" w:hAnsi="Arial" w:cs="Arial"/>
                <w:color w:val="000000"/>
              </w:rPr>
              <w:t>Q</w:t>
            </w:r>
            <w:r w:rsidR="001D295F">
              <w:rPr>
                <w:rFonts w:ascii="Arial" w:eastAsia="Times New Roman" w:hAnsi="Arial" w:cs="Arial"/>
                <w:color w:val="000000"/>
              </w:rPr>
              <w:t>32</w:t>
            </w:r>
          </w:p>
        </w:tc>
        <w:tc>
          <w:tcPr>
            <w:tcW w:w="8835" w:type="dxa"/>
          </w:tcPr>
          <w:p w14:paraId="022525CD" w14:textId="77777777" w:rsidR="00A56A92" w:rsidRDefault="00A56A92" w:rsidP="00C63E11">
            <w:pPr>
              <w:spacing w:before="120" w:after="120"/>
              <w:rPr>
                <w:rFonts w:ascii="Arial" w:eastAsia="Times New Roman" w:hAnsi="Arial" w:cs="Arial"/>
                <w:color w:val="000000"/>
              </w:rPr>
            </w:pPr>
            <w:r w:rsidRPr="008D50F6">
              <w:rPr>
                <w:rFonts w:ascii="Arial" w:eastAsia="Times New Roman" w:hAnsi="Arial" w:cs="Arial"/>
                <w:color w:val="000000"/>
              </w:rPr>
              <w:t>The instructions for Attachment 7 (contractor budget forms) indicate that a set of budget forms should be submitted for "each subcontract,"   yet the Invitation to Bid specifies that a complete set of budget forms should be submitted for "each subcontract containing: 1) $100,000 or more of Energy Commission funds; or 2) 25% or more of the total Energy Commission funds requested."  Please clarify.</w:t>
            </w:r>
          </w:p>
        </w:tc>
      </w:tr>
      <w:tr w:rsidR="00A56A92" w:rsidRPr="00EA3027" w14:paraId="76885FE5" w14:textId="77777777" w:rsidTr="00C63E11">
        <w:tc>
          <w:tcPr>
            <w:tcW w:w="693" w:type="dxa"/>
            <w:tcBorders>
              <w:bottom w:val="single" w:sz="4" w:space="0" w:color="auto"/>
            </w:tcBorders>
            <w:shd w:val="clear" w:color="auto" w:fill="D9D9D9"/>
          </w:tcPr>
          <w:p w14:paraId="2387C59D" w14:textId="7EBA6EDB" w:rsidR="00A56A92" w:rsidRPr="00EA3027" w:rsidRDefault="002F4879" w:rsidP="00C63E11">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32</w:t>
            </w:r>
          </w:p>
        </w:tc>
        <w:tc>
          <w:tcPr>
            <w:tcW w:w="8835" w:type="dxa"/>
            <w:tcBorders>
              <w:bottom w:val="single" w:sz="4" w:space="0" w:color="auto"/>
            </w:tcBorders>
            <w:shd w:val="clear" w:color="auto" w:fill="D9D9D9"/>
          </w:tcPr>
          <w:p w14:paraId="2AB4D627" w14:textId="0BD72814" w:rsidR="00A56A92" w:rsidRPr="005645EF" w:rsidRDefault="00D32350" w:rsidP="00C63E11">
            <w:pPr>
              <w:spacing w:before="120" w:after="120"/>
              <w:rPr>
                <w:rFonts w:ascii="Arial" w:eastAsia="Times New Roman" w:hAnsi="Arial" w:cs="Arial"/>
                <w:color w:val="FF0000"/>
              </w:rPr>
            </w:pPr>
            <w:r w:rsidRPr="00FC0FC1">
              <w:rPr>
                <w:rFonts w:ascii="Arial" w:eastAsia="Times New Roman" w:hAnsi="Arial" w:cs="Arial"/>
                <w:color w:val="000000"/>
              </w:rPr>
              <w:t xml:space="preserve">It is for </w:t>
            </w:r>
            <w:r w:rsidRPr="00FC0FC1">
              <w:rPr>
                <w:rFonts w:ascii="Arial" w:eastAsia="Times New Roman" w:hAnsi="Arial" w:cs="Arial"/>
                <w:b/>
                <w:i/>
                <w:color w:val="000000"/>
                <w:u w:val="single"/>
              </w:rPr>
              <w:t>each</w:t>
            </w:r>
            <w:r>
              <w:rPr>
                <w:rFonts w:ascii="Arial" w:eastAsia="Times New Roman" w:hAnsi="Arial" w:cs="Arial"/>
                <w:color w:val="000000"/>
              </w:rPr>
              <w:t xml:space="preserve"> subcontract. </w:t>
            </w:r>
            <w:r w:rsidRPr="00FC0FC1">
              <w:rPr>
                <w:rFonts w:ascii="Arial" w:eastAsia="Times New Roman" w:hAnsi="Arial" w:cs="Arial"/>
                <w:color w:val="000000"/>
              </w:rPr>
              <w:t xml:space="preserve">The other instruction standard for </w:t>
            </w:r>
            <w:r>
              <w:rPr>
                <w:rFonts w:ascii="Arial" w:eastAsia="Times New Roman" w:hAnsi="Arial" w:cs="Arial"/>
                <w:color w:val="000000"/>
              </w:rPr>
              <w:t>grants but this is a contract. A</w:t>
            </w:r>
            <w:r w:rsidRPr="00FC0FC1">
              <w:rPr>
                <w:rFonts w:ascii="Arial" w:eastAsia="Times New Roman" w:hAnsi="Arial" w:cs="Arial"/>
                <w:color w:val="000000"/>
              </w:rPr>
              <w:t xml:space="preserve">n update </w:t>
            </w:r>
            <w:r>
              <w:rPr>
                <w:rFonts w:ascii="Arial" w:eastAsia="Times New Roman" w:hAnsi="Arial" w:cs="Arial"/>
                <w:color w:val="000000"/>
              </w:rPr>
              <w:t>will be</w:t>
            </w:r>
            <w:r w:rsidRPr="00FC0FC1">
              <w:rPr>
                <w:rFonts w:ascii="Arial" w:eastAsia="Times New Roman" w:hAnsi="Arial" w:cs="Arial"/>
                <w:color w:val="000000"/>
              </w:rPr>
              <w:t xml:space="preserve"> made to the IFB</w:t>
            </w:r>
            <w:r>
              <w:rPr>
                <w:rFonts w:ascii="Arial" w:eastAsia="Times New Roman" w:hAnsi="Arial" w:cs="Arial"/>
                <w:color w:val="000000"/>
              </w:rPr>
              <w:t>.</w:t>
            </w:r>
          </w:p>
        </w:tc>
      </w:tr>
      <w:tr w:rsidR="00B75CD0" w:rsidRPr="00EA3027" w14:paraId="62EA7FEA" w14:textId="77777777" w:rsidTr="00C924A1">
        <w:tc>
          <w:tcPr>
            <w:tcW w:w="693" w:type="dxa"/>
          </w:tcPr>
          <w:p w14:paraId="68D3CA34" w14:textId="4D7EAEAC" w:rsidR="00B75CD0" w:rsidRPr="00EA3027" w:rsidRDefault="00EA3027" w:rsidP="00CA2464">
            <w:pPr>
              <w:spacing w:before="120" w:after="120"/>
              <w:rPr>
                <w:rFonts w:ascii="Arial" w:eastAsia="Times New Roman" w:hAnsi="Arial" w:cs="Arial"/>
                <w:color w:val="000000"/>
              </w:rPr>
            </w:pPr>
            <w:r w:rsidRPr="00EA3027">
              <w:rPr>
                <w:rFonts w:ascii="Arial" w:eastAsia="Times New Roman" w:hAnsi="Arial" w:cs="Arial"/>
                <w:color w:val="000000"/>
              </w:rPr>
              <w:t>Q</w:t>
            </w:r>
            <w:r w:rsidR="001D295F">
              <w:rPr>
                <w:rFonts w:ascii="Arial" w:eastAsia="Times New Roman" w:hAnsi="Arial" w:cs="Arial"/>
                <w:color w:val="000000"/>
              </w:rPr>
              <w:t>33</w:t>
            </w:r>
          </w:p>
        </w:tc>
        <w:tc>
          <w:tcPr>
            <w:tcW w:w="8835" w:type="dxa"/>
          </w:tcPr>
          <w:p w14:paraId="20010A07" w14:textId="77777777" w:rsidR="0073343A" w:rsidRPr="00EA3027" w:rsidRDefault="00E57D79" w:rsidP="003071D6">
            <w:pPr>
              <w:spacing w:before="120" w:after="120"/>
              <w:rPr>
                <w:rFonts w:ascii="Arial" w:eastAsia="Times New Roman" w:hAnsi="Arial" w:cs="Arial"/>
              </w:rPr>
            </w:pPr>
            <w:r w:rsidRPr="00E57D79">
              <w:rPr>
                <w:rFonts w:ascii="Arial" w:eastAsia="Times New Roman" w:hAnsi="Arial" w:cs="Arial"/>
              </w:rPr>
              <w:t>For the Attachment 9 Team Member Minimum Quals, should we only list the team members or could we list the team members plus include descriptions of their quals (in addition to attaching resumes)?</w:t>
            </w:r>
          </w:p>
        </w:tc>
      </w:tr>
      <w:tr w:rsidR="00B75CD0" w:rsidRPr="00EA3027" w14:paraId="0B650E9B" w14:textId="77777777" w:rsidTr="00D226CC">
        <w:tc>
          <w:tcPr>
            <w:tcW w:w="693" w:type="dxa"/>
            <w:tcBorders>
              <w:bottom w:val="single" w:sz="4" w:space="0" w:color="auto"/>
            </w:tcBorders>
            <w:shd w:val="clear" w:color="auto" w:fill="D9D9D9"/>
          </w:tcPr>
          <w:p w14:paraId="593A17E3" w14:textId="3280F382" w:rsidR="00B75CD0" w:rsidRPr="00EA3027" w:rsidRDefault="002F4879" w:rsidP="00CA2464">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33</w:t>
            </w:r>
          </w:p>
        </w:tc>
        <w:tc>
          <w:tcPr>
            <w:tcW w:w="8835" w:type="dxa"/>
            <w:tcBorders>
              <w:bottom w:val="single" w:sz="4" w:space="0" w:color="auto"/>
            </w:tcBorders>
            <w:shd w:val="clear" w:color="auto" w:fill="D9D9D9"/>
          </w:tcPr>
          <w:p w14:paraId="24B33E2D" w14:textId="77777777" w:rsidR="0073343A" w:rsidRPr="0073343A" w:rsidRDefault="00965EB9" w:rsidP="00217F77">
            <w:pPr>
              <w:spacing w:before="120" w:after="120"/>
              <w:rPr>
                <w:rFonts w:ascii="Arial" w:eastAsia="Times New Roman" w:hAnsi="Arial" w:cs="Arial"/>
                <w:color w:val="000000"/>
              </w:rPr>
            </w:pPr>
            <w:r>
              <w:rPr>
                <w:rFonts w:ascii="Arial" w:eastAsia="Times New Roman" w:hAnsi="Arial" w:cs="Arial"/>
                <w:color w:val="000000"/>
              </w:rPr>
              <w:t>Bidders</w:t>
            </w:r>
            <w:r w:rsidR="0073343A">
              <w:rPr>
                <w:rFonts w:ascii="Arial" w:eastAsia="Times New Roman" w:hAnsi="Arial" w:cs="Arial"/>
                <w:color w:val="000000"/>
              </w:rPr>
              <w:t xml:space="preserve"> should </w:t>
            </w:r>
            <w:r w:rsidR="00E57D79" w:rsidRPr="00E57D79">
              <w:rPr>
                <w:rFonts w:ascii="Arial" w:eastAsia="Times New Roman" w:hAnsi="Arial" w:cs="Arial"/>
                <w:color w:val="000000"/>
              </w:rPr>
              <w:t>only list team member names on the Team Member Minimum Qu</w:t>
            </w:r>
            <w:r w:rsidR="00217F77">
              <w:rPr>
                <w:rFonts w:ascii="Arial" w:eastAsia="Times New Roman" w:hAnsi="Arial" w:cs="Arial"/>
                <w:color w:val="000000"/>
              </w:rPr>
              <w:t>alifications S</w:t>
            </w:r>
            <w:r w:rsidR="00E57D79">
              <w:rPr>
                <w:rFonts w:ascii="Arial" w:eastAsia="Times New Roman" w:hAnsi="Arial" w:cs="Arial"/>
                <w:color w:val="000000"/>
              </w:rPr>
              <w:t xml:space="preserve">heet (Attachment 09). There is no penalty for including </w:t>
            </w:r>
            <w:r w:rsidR="00E57D79" w:rsidRPr="00E57D79">
              <w:rPr>
                <w:rFonts w:ascii="Arial" w:eastAsia="Times New Roman" w:hAnsi="Arial" w:cs="Arial"/>
                <w:color w:val="000000"/>
              </w:rPr>
              <w:t>a</w:t>
            </w:r>
            <w:r w:rsidR="00E57D79">
              <w:rPr>
                <w:rFonts w:ascii="Arial" w:eastAsia="Times New Roman" w:hAnsi="Arial" w:cs="Arial"/>
                <w:color w:val="000000"/>
              </w:rPr>
              <w:t xml:space="preserve"> </w:t>
            </w:r>
            <w:r w:rsidR="00E57D79" w:rsidRPr="00E57D79">
              <w:rPr>
                <w:rFonts w:ascii="Arial" w:eastAsia="Times New Roman" w:hAnsi="Arial" w:cs="Arial"/>
                <w:color w:val="000000"/>
              </w:rPr>
              <w:t xml:space="preserve">description of each team member’s qualifications as a </w:t>
            </w:r>
            <w:r w:rsidR="00E57D79" w:rsidRPr="004D3DF9">
              <w:rPr>
                <w:rFonts w:ascii="Arial" w:eastAsia="Times New Roman" w:hAnsi="Arial" w:cs="Arial"/>
                <w:b/>
                <w:i/>
                <w:color w:val="000000"/>
                <w:u w:val="single"/>
              </w:rPr>
              <w:t>separate</w:t>
            </w:r>
            <w:r w:rsidR="00E57D79">
              <w:rPr>
                <w:rFonts w:ascii="Arial" w:eastAsia="Times New Roman" w:hAnsi="Arial" w:cs="Arial"/>
                <w:color w:val="000000"/>
              </w:rPr>
              <w:t xml:space="preserve"> attachment.</w:t>
            </w:r>
          </w:p>
        </w:tc>
      </w:tr>
      <w:tr w:rsidR="00D226CC" w:rsidRPr="00EA3027" w14:paraId="024B285E" w14:textId="77777777" w:rsidTr="00D226CC">
        <w:tc>
          <w:tcPr>
            <w:tcW w:w="693" w:type="dxa"/>
            <w:shd w:val="clear" w:color="auto" w:fill="auto"/>
          </w:tcPr>
          <w:p w14:paraId="3EEE0402" w14:textId="107A8883" w:rsidR="00D226CC" w:rsidRDefault="002F4879" w:rsidP="002F4879">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34</w:t>
            </w:r>
          </w:p>
        </w:tc>
        <w:tc>
          <w:tcPr>
            <w:tcW w:w="8835" w:type="dxa"/>
            <w:shd w:val="clear" w:color="auto" w:fill="auto"/>
          </w:tcPr>
          <w:p w14:paraId="4C1CA74E" w14:textId="77777777" w:rsidR="00D226CC" w:rsidRDefault="00D226CC" w:rsidP="00E57D79">
            <w:pPr>
              <w:spacing w:before="120" w:after="120"/>
              <w:rPr>
                <w:rFonts w:ascii="Arial" w:eastAsia="Times New Roman" w:hAnsi="Arial" w:cs="Arial"/>
                <w:color w:val="000000"/>
              </w:rPr>
            </w:pPr>
            <w:r w:rsidRPr="00D226CC">
              <w:rPr>
                <w:rFonts w:ascii="Arial" w:eastAsia="Times New Roman" w:hAnsi="Arial" w:cs="Arial"/>
                <w:color w:val="000000"/>
              </w:rPr>
              <w:t>Does the Energy Commission expect all staff listed in the budget forms to also be listed in the Minimum Qualifications List and resumes provided?</w:t>
            </w:r>
          </w:p>
        </w:tc>
      </w:tr>
      <w:tr w:rsidR="00D226CC" w:rsidRPr="00EA3027" w14:paraId="5F4DF1CF" w14:textId="77777777" w:rsidTr="00643F46">
        <w:tc>
          <w:tcPr>
            <w:tcW w:w="693" w:type="dxa"/>
            <w:tcBorders>
              <w:bottom w:val="single" w:sz="4" w:space="0" w:color="auto"/>
            </w:tcBorders>
            <w:shd w:val="clear" w:color="auto" w:fill="D9D9D9"/>
          </w:tcPr>
          <w:p w14:paraId="18584723" w14:textId="114341AD" w:rsidR="00D226CC" w:rsidRDefault="002F4879" w:rsidP="00CA2464">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34</w:t>
            </w:r>
          </w:p>
        </w:tc>
        <w:tc>
          <w:tcPr>
            <w:tcW w:w="8835" w:type="dxa"/>
            <w:tcBorders>
              <w:bottom w:val="single" w:sz="4" w:space="0" w:color="auto"/>
            </w:tcBorders>
            <w:shd w:val="clear" w:color="auto" w:fill="D9D9D9"/>
          </w:tcPr>
          <w:p w14:paraId="0DADCAE8" w14:textId="77777777" w:rsidR="00D226CC" w:rsidRDefault="00C27C07" w:rsidP="00097DB2">
            <w:pPr>
              <w:spacing w:before="120" w:after="120"/>
              <w:rPr>
                <w:rFonts w:ascii="Arial" w:eastAsia="Times New Roman" w:hAnsi="Arial" w:cs="Arial"/>
                <w:color w:val="000000"/>
              </w:rPr>
            </w:pPr>
            <w:r>
              <w:rPr>
                <w:rFonts w:ascii="Arial" w:eastAsia="Times New Roman" w:hAnsi="Arial" w:cs="Arial"/>
                <w:color w:val="000000"/>
              </w:rPr>
              <w:t xml:space="preserve">Only team members that help meet the minimum qualifications for this project should be listed in the Team Member Minimum Qualifications List. Bidders are not </w:t>
            </w:r>
            <w:r w:rsidR="00097DB2">
              <w:rPr>
                <w:rFonts w:ascii="Arial" w:eastAsia="Times New Roman" w:hAnsi="Arial" w:cs="Arial"/>
                <w:color w:val="000000"/>
              </w:rPr>
              <w:t>expected</w:t>
            </w:r>
            <w:r>
              <w:rPr>
                <w:rFonts w:ascii="Arial" w:eastAsia="Times New Roman" w:hAnsi="Arial" w:cs="Arial"/>
                <w:color w:val="000000"/>
              </w:rPr>
              <w:t xml:space="preserve"> to list any additional team members or provide additional resumes. If more than one team member satisfies a specific minimum qualification, the bidder is only required to list one.</w:t>
            </w:r>
          </w:p>
        </w:tc>
      </w:tr>
      <w:tr w:rsidR="00643F46" w:rsidRPr="00EA3027" w14:paraId="3A689D7A" w14:textId="77777777" w:rsidTr="00643F46">
        <w:tc>
          <w:tcPr>
            <w:tcW w:w="693" w:type="dxa"/>
            <w:shd w:val="clear" w:color="auto" w:fill="auto"/>
          </w:tcPr>
          <w:p w14:paraId="4C426FA2" w14:textId="0C03102F" w:rsidR="00643F46" w:rsidRPr="00643F46" w:rsidRDefault="002F4879" w:rsidP="00643F46">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35</w:t>
            </w:r>
          </w:p>
        </w:tc>
        <w:tc>
          <w:tcPr>
            <w:tcW w:w="8835" w:type="dxa"/>
            <w:shd w:val="clear" w:color="auto" w:fill="auto"/>
          </w:tcPr>
          <w:p w14:paraId="2BC18719" w14:textId="77777777" w:rsidR="00643F46" w:rsidRPr="00643F46" w:rsidRDefault="00643F46" w:rsidP="00643F46">
            <w:pPr>
              <w:spacing w:before="120" w:after="120"/>
              <w:rPr>
                <w:rFonts w:ascii="Arial" w:eastAsia="Times New Roman" w:hAnsi="Arial" w:cs="Arial"/>
                <w:color w:val="000000"/>
              </w:rPr>
            </w:pPr>
            <w:r w:rsidRPr="00643F46">
              <w:rPr>
                <w:rFonts w:ascii="Arial" w:eastAsia="Times New Roman" w:hAnsi="Arial" w:cs="Arial"/>
                <w:color w:val="000000"/>
              </w:rPr>
              <w:t>Can contractor propose milestones associated with the funding retention so that retention can be paid once milestones are achieved?</w:t>
            </w:r>
          </w:p>
        </w:tc>
      </w:tr>
      <w:tr w:rsidR="00643F46" w:rsidRPr="00EA3027" w14:paraId="4A29DDC5" w14:textId="77777777" w:rsidTr="00C924A1">
        <w:tc>
          <w:tcPr>
            <w:tcW w:w="693" w:type="dxa"/>
            <w:shd w:val="clear" w:color="auto" w:fill="D9D9D9"/>
          </w:tcPr>
          <w:p w14:paraId="5A6E3187" w14:textId="1E4FAC3B" w:rsidR="00643F46" w:rsidRPr="00643F46" w:rsidRDefault="002F4879" w:rsidP="00643F46">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35</w:t>
            </w:r>
          </w:p>
        </w:tc>
        <w:tc>
          <w:tcPr>
            <w:tcW w:w="8835" w:type="dxa"/>
            <w:shd w:val="clear" w:color="auto" w:fill="D9D9D9"/>
          </w:tcPr>
          <w:p w14:paraId="506EEA93" w14:textId="77777777" w:rsidR="00643F46" w:rsidRPr="00643F46" w:rsidRDefault="00643F46" w:rsidP="00643F46">
            <w:pPr>
              <w:spacing w:before="120" w:after="120"/>
              <w:rPr>
                <w:rFonts w:ascii="Arial" w:eastAsia="Times New Roman" w:hAnsi="Arial" w:cs="Arial"/>
                <w:color w:val="000000"/>
              </w:rPr>
            </w:pPr>
            <w:r w:rsidRPr="00643F46">
              <w:rPr>
                <w:rFonts w:ascii="Arial" w:eastAsia="Times New Roman" w:hAnsi="Arial" w:cs="Arial"/>
                <w:color w:val="000000"/>
              </w:rPr>
              <w:t>Retention may be released only upon approval that work has been satisfactorily completed and the Final Knowledge Transfer Report has been received and approved.</w:t>
            </w:r>
          </w:p>
        </w:tc>
      </w:tr>
    </w:tbl>
    <w:p w14:paraId="432DBCA3" w14:textId="77777777" w:rsidR="00B75CD0" w:rsidRDefault="00B75CD0"/>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835"/>
      </w:tblGrid>
      <w:tr w:rsidR="00A250FE" w:rsidRPr="00B75CD0" w14:paraId="45DE3D02" w14:textId="77777777" w:rsidTr="00A250FE">
        <w:tc>
          <w:tcPr>
            <w:tcW w:w="9528" w:type="dxa"/>
            <w:gridSpan w:val="2"/>
            <w:shd w:val="clear" w:color="auto" w:fill="B8CCE4"/>
          </w:tcPr>
          <w:p w14:paraId="4CAA8C89" w14:textId="77777777" w:rsidR="00A250FE" w:rsidRPr="00B75CD0" w:rsidRDefault="00A250FE" w:rsidP="00A250FE">
            <w:pPr>
              <w:jc w:val="center"/>
              <w:rPr>
                <w:rFonts w:ascii="Arial" w:eastAsia="Times New Roman" w:hAnsi="Arial" w:cs="Arial"/>
                <w:b/>
                <w:color w:val="000000"/>
                <w:sz w:val="22"/>
                <w:szCs w:val="22"/>
              </w:rPr>
            </w:pPr>
            <w:r>
              <w:rPr>
                <w:rFonts w:ascii="Arial" w:eastAsia="Times New Roman" w:hAnsi="Arial" w:cs="Arial"/>
                <w:b/>
                <w:color w:val="000000"/>
                <w:sz w:val="22"/>
                <w:szCs w:val="22"/>
              </w:rPr>
              <w:t>Addendum 1</w:t>
            </w:r>
          </w:p>
        </w:tc>
      </w:tr>
      <w:tr w:rsidR="00D226CC" w:rsidRPr="00EA3027" w14:paraId="50D7CE19" w14:textId="77777777" w:rsidTr="00D226CC">
        <w:tc>
          <w:tcPr>
            <w:tcW w:w="693" w:type="dxa"/>
            <w:tcBorders>
              <w:bottom w:val="single" w:sz="4" w:space="0" w:color="auto"/>
            </w:tcBorders>
            <w:shd w:val="clear" w:color="auto" w:fill="auto"/>
          </w:tcPr>
          <w:p w14:paraId="79D75C60" w14:textId="27E423F5" w:rsidR="00D226CC" w:rsidRDefault="00D226CC" w:rsidP="00A250FE">
            <w:pPr>
              <w:spacing w:before="120" w:after="120"/>
              <w:rPr>
                <w:rFonts w:ascii="Arial" w:eastAsia="Times New Roman" w:hAnsi="Arial" w:cs="Arial"/>
                <w:color w:val="000000"/>
              </w:rPr>
            </w:pPr>
            <w:r>
              <w:rPr>
                <w:rFonts w:ascii="Arial" w:eastAsia="Times New Roman" w:hAnsi="Arial" w:cs="Arial"/>
                <w:color w:val="000000"/>
              </w:rPr>
              <w:t>Q</w:t>
            </w:r>
            <w:r w:rsidR="001D295F">
              <w:rPr>
                <w:rFonts w:ascii="Arial" w:eastAsia="Times New Roman" w:hAnsi="Arial" w:cs="Arial"/>
                <w:color w:val="000000"/>
              </w:rPr>
              <w:t>36</w:t>
            </w:r>
          </w:p>
        </w:tc>
        <w:tc>
          <w:tcPr>
            <w:tcW w:w="8835" w:type="dxa"/>
            <w:tcBorders>
              <w:bottom w:val="single" w:sz="4" w:space="0" w:color="auto"/>
            </w:tcBorders>
            <w:shd w:val="clear" w:color="auto" w:fill="auto"/>
          </w:tcPr>
          <w:p w14:paraId="55FFC93B" w14:textId="77777777" w:rsidR="00D226CC" w:rsidRDefault="00D226CC" w:rsidP="00A250FE">
            <w:pPr>
              <w:spacing w:before="120" w:after="120"/>
              <w:rPr>
                <w:rFonts w:ascii="Arial" w:eastAsia="Times New Roman" w:hAnsi="Arial" w:cs="Arial"/>
                <w:color w:val="000000"/>
              </w:rPr>
            </w:pPr>
            <w:r w:rsidRPr="00E57D79">
              <w:rPr>
                <w:rFonts w:ascii="Arial" w:eastAsia="Times New Roman" w:hAnsi="Arial" w:cs="Arial"/>
                <w:color w:val="000000"/>
              </w:rPr>
              <w:t>I was wondering if you could provide any insight on this addendum.  I’ve never seen a group of professionals excluded like this.  There must be a very concrete reason.  The way it is written nobody on the bidding team can even be a certified HERS Rater.  That’s a long list of people.</w:t>
            </w:r>
          </w:p>
        </w:tc>
      </w:tr>
      <w:tr w:rsidR="00D226CC" w:rsidRPr="00EA3027" w14:paraId="0D481B74" w14:textId="77777777" w:rsidTr="00A250FE">
        <w:tc>
          <w:tcPr>
            <w:tcW w:w="693" w:type="dxa"/>
            <w:tcBorders>
              <w:bottom w:val="single" w:sz="4" w:space="0" w:color="auto"/>
            </w:tcBorders>
            <w:shd w:val="clear" w:color="auto" w:fill="D9D9D9"/>
          </w:tcPr>
          <w:p w14:paraId="020A83FB" w14:textId="3FCCEA1D" w:rsidR="00D226CC" w:rsidRDefault="00D226CC" w:rsidP="00A250FE">
            <w:pPr>
              <w:spacing w:before="120" w:after="120"/>
              <w:rPr>
                <w:rFonts w:ascii="Arial" w:eastAsia="Times New Roman" w:hAnsi="Arial" w:cs="Arial"/>
                <w:color w:val="000000"/>
              </w:rPr>
            </w:pPr>
            <w:r>
              <w:rPr>
                <w:rFonts w:ascii="Arial" w:eastAsia="Times New Roman" w:hAnsi="Arial" w:cs="Arial"/>
                <w:color w:val="000000"/>
              </w:rPr>
              <w:t>A</w:t>
            </w:r>
            <w:r w:rsidR="001D295F">
              <w:rPr>
                <w:rFonts w:ascii="Arial" w:eastAsia="Times New Roman" w:hAnsi="Arial" w:cs="Arial"/>
                <w:color w:val="000000"/>
              </w:rPr>
              <w:t>36</w:t>
            </w:r>
          </w:p>
        </w:tc>
        <w:tc>
          <w:tcPr>
            <w:tcW w:w="8835" w:type="dxa"/>
            <w:tcBorders>
              <w:bottom w:val="single" w:sz="4" w:space="0" w:color="auto"/>
            </w:tcBorders>
            <w:shd w:val="clear" w:color="auto" w:fill="D9D9D9"/>
          </w:tcPr>
          <w:p w14:paraId="6875E110" w14:textId="5CF3BBDB" w:rsidR="00D226CC" w:rsidRDefault="00B67F1F" w:rsidP="00371E47">
            <w:pPr>
              <w:spacing w:before="120" w:after="120"/>
              <w:rPr>
                <w:rFonts w:ascii="Arial" w:eastAsia="Times New Roman" w:hAnsi="Arial" w:cs="Arial"/>
                <w:color w:val="000000"/>
              </w:rPr>
            </w:pPr>
            <w:r>
              <w:rPr>
                <w:rFonts w:ascii="Arial" w:eastAsia="Times New Roman" w:hAnsi="Arial" w:cs="Arial"/>
                <w:color w:val="000000"/>
              </w:rPr>
              <w:t xml:space="preserve">The purpose of Addendum 1 is </w:t>
            </w:r>
            <w:r w:rsidRPr="00B67F1F">
              <w:rPr>
                <w:rFonts w:ascii="Arial" w:eastAsia="Times New Roman" w:hAnsi="Arial" w:cs="Arial"/>
                <w:color w:val="000000"/>
              </w:rPr>
              <w:t>to ensure that the compliance plan is written from a completely neutral perspective</w:t>
            </w:r>
            <w:r>
              <w:rPr>
                <w:rFonts w:ascii="Arial" w:eastAsia="Times New Roman" w:hAnsi="Arial" w:cs="Arial"/>
                <w:color w:val="000000"/>
              </w:rPr>
              <w:t xml:space="preserve">. While this addendum excludes </w:t>
            </w:r>
            <w:r w:rsidR="00BF69BD">
              <w:rPr>
                <w:rFonts w:ascii="Arial" w:eastAsia="Times New Roman" w:hAnsi="Arial" w:cs="Arial"/>
                <w:color w:val="000000"/>
              </w:rPr>
              <w:t xml:space="preserve">active </w:t>
            </w:r>
            <w:r w:rsidRPr="00B67F1F">
              <w:rPr>
                <w:rFonts w:ascii="Arial" w:eastAsia="Times New Roman" w:hAnsi="Arial" w:cs="Arial"/>
                <w:color w:val="000000"/>
              </w:rPr>
              <w:t>HERS Providers, HERS Raters, HERS Rating Companies, Acceptance Test Technician Certification Providers (ATTCP), ATTCP Employers or Acceptance Test Technicians</w:t>
            </w:r>
            <w:r>
              <w:rPr>
                <w:rFonts w:ascii="Arial" w:eastAsia="Times New Roman" w:hAnsi="Arial" w:cs="Arial"/>
                <w:color w:val="000000"/>
              </w:rPr>
              <w:t xml:space="preserve"> from bidding, it does not exclude them from participating in workshops, interviews, and </w:t>
            </w:r>
            <w:r w:rsidR="004D3DF9">
              <w:rPr>
                <w:rFonts w:ascii="Arial" w:eastAsia="Times New Roman" w:hAnsi="Arial" w:cs="Arial"/>
                <w:color w:val="000000"/>
              </w:rPr>
              <w:t xml:space="preserve">any </w:t>
            </w:r>
            <w:r>
              <w:rPr>
                <w:rFonts w:ascii="Arial" w:eastAsia="Times New Roman" w:hAnsi="Arial" w:cs="Arial"/>
                <w:color w:val="000000"/>
              </w:rPr>
              <w:t>other collaboration in the development of the Compliance Plan.</w:t>
            </w:r>
          </w:p>
        </w:tc>
      </w:tr>
    </w:tbl>
    <w:p w14:paraId="2251E631" w14:textId="77777777" w:rsidR="002C45E2" w:rsidRDefault="002C45E2" w:rsidP="003F1C56"/>
    <w:sectPr w:rsidR="002C45E2" w:rsidSect="003071D6">
      <w:footerReference w:type="default" r:id="rId10"/>
      <w:pgSz w:w="12240" w:h="15840"/>
      <w:pgMar w:top="1080" w:right="1440" w:bottom="1080" w:left="1440" w:header="720" w:footer="51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200AD" w16cid:durableId="1E5D3A69"/>
  <w16cid:commentId w16cid:paraId="3AF8B05B" w16cid:durableId="1E5D365C"/>
  <w16cid:commentId w16cid:paraId="719262A1" w16cid:durableId="1E5D365D"/>
  <w16cid:commentId w16cid:paraId="17DEB6F2" w16cid:durableId="1E5D365E"/>
  <w16cid:commentId w16cid:paraId="514BE5C8" w16cid:durableId="1E5D4390"/>
  <w16cid:commentId w16cid:paraId="561D3083" w16cid:durableId="1E5D36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C1DF" w14:textId="77777777" w:rsidR="00AE50BC" w:rsidRDefault="00AE50BC" w:rsidP="00D24BD2">
      <w:r>
        <w:separator/>
      </w:r>
    </w:p>
  </w:endnote>
  <w:endnote w:type="continuationSeparator" w:id="0">
    <w:p w14:paraId="51AA67F7" w14:textId="77777777" w:rsidR="00AE50BC" w:rsidRDefault="00AE50BC" w:rsidP="00D2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D913" w14:textId="77777777" w:rsidR="00D226CC" w:rsidRDefault="00D226CC" w:rsidP="00D24BD2">
    <w:pPr>
      <w:pStyle w:val="Footer"/>
    </w:pPr>
  </w:p>
  <w:p w14:paraId="51C693BB" w14:textId="5E0276C5" w:rsidR="00D226CC" w:rsidRPr="00D24BD2" w:rsidRDefault="00433212" w:rsidP="00D24BD2">
    <w:pPr>
      <w:pStyle w:val="Footer"/>
      <w:rPr>
        <w:rFonts w:ascii="Arial" w:hAnsi="Arial" w:cs="Arial"/>
        <w:sz w:val="20"/>
        <w:szCs w:val="20"/>
      </w:rPr>
    </w:pPr>
    <w:r>
      <w:rPr>
        <w:rFonts w:ascii="Arial" w:hAnsi="Arial" w:cs="Arial"/>
        <w:sz w:val="20"/>
        <w:szCs w:val="20"/>
      </w:rPr>
      <w:t>3/26/18</w:t>
    </w:r>
    <w:r w:rsidR="00D226CC" w:rsidRPr="00D24BD2">
      <w:rPr>
        <w:rFonts w:ascii="Arial" w:hAnsi="Arial" w:cs="Arial"/>
        <w:sz w:val="20"/>
        <w:szCs w:val="20"/>
      </w:rPr>
      <w:tab/>
      <w:t xml:space="preserve">Page </w:t>
    </w:r>
    <w:r w:rsidR="00D226CC" w:rsidRPr="00D24BD2">
      <w:rPr>
        <w:rFonts w:ascii="Arial" w:hAnsi="Arial" w:cs="Arial"/>
        <w:sz w:val="20"/>
        <w:szCs w:val="20"/>
      </w:rPr>
      <w:fldChar w:fldCharType="begin"/>
    </w:r>
    <w:r w:rsidR="00D226CC" w:rsidRPr="00D24BD2">
      <w:rPr>
        <w:rFonts w:ascii="Arial" w:hAnsi="Arial" w:cs="Arial"/>
        <w:sz w:val="20"/>
        <w:szCs w:val="20"/>
      </w:rPr>
      <w:instrText xml:space="preserve"> PAGE </w:instrText>
    </w:r>
    <w:r w:rsidR="00D226CC" w:rsidRPr="00D24BD2">
      <w:rPr>
        <w:rFonts w:ascii="Arial" w:hAnsi="Arial" w:cs="Arial"/>
        <w:sz w:val="20"/>
        <w:szCs w:val="20"/>
      </w:rPr>
      <w:fldChar w:fldCharType="separate"/>
    </w:r>
    <w:r w:rsidR="004B3DFD">
      <w:rPr>
        <w:rFonts w:ascii="Arial" w:hAnsi="Arial" w:cs="Arial"/>
        <w:noProof/>
        <w:sz w:val="20"/>
        <w:szCs w:val="20"/>
      </w:rPr>
      <w:t>1</w:t>
    </w:r>
    <w:r w:rsidR="00D226CC" w:rsidRPr="00D24BD2">
      <w:rPr>
        <w:rFonts w:ascii="Arial" w:hAnsi="Arial" w:cs="Arial"/>
        <w:sz w:val="20"/>
        <w:szCs w:val="20"/>
      </w:rPr>
      <w:fldChar w:fldCharType="end"/>
    </w:r>
    <w:r w:rsidR="00D226CC" w:rsidRPr="00D24BD2">
      <w:rPr>
        <w:rFonts w:ascii="Arial" w:hAnsi="Arial" w:cs="Arial"/>
        <w:sz w:val="20"/>
        <w:szCs w:val="20"/>
      </w:rPr>
      <w:t xml:space="preserve"> of </w:t>
    </w:r>
    <w:r w:rsidR="00D226CC" w:rsidRPr="00D24BD2">
      <w:rPr>
        <w:rFonts w:ascii="Arial" w:hAnsi="Arial" w:cs="Arial"/>
        <w:sz w:val="20"/>
        <w:szCs w:val="20"/>
      </w:rPr>
      <w:fldChar w:fldCharType="begin"/>
    </w:r>
    <w:r w:rsidR="00D226CC" w:rsidRPr="00D24BD2">
      <w:rPr>
        <w:rFonts w:ascii="Arial" w:hAnsi="Arial" w:cs="Arial"/>
        <w:sz w:val="20"/>
        <w:szCs w:val="20"/>
      </w:rPr>
      <w:instrText xml:space="preserve"> NUMPAGES  </w:instrText>
    </w:r>
    <w:r w:rsidR="00D226CC" w:rsidRPr="00D24BD2">
      <w:rPr>
        <w:rFonts w:ascii="Arial" w:hAnsi="Arial" w:cs="Arial"/>
        <w:sz w:val="20"/>
        <w:szCs w:val="20"/>
      </w:rPr>
      <w:fldChar w:fldCharType="separate"/>
    </w:r>
    <w:r w:rsidR="004B3DFD">
      <w:rPr>
        <w:rFonts w:ascii="Arial" w:hAnsi="Arial" w:cs="Arial"/>
        <w:noProof/>
        <w:sz w:val="20"/>
        <w:szCs w:val="20"/>
      </w:rPr>
      <w:t>9</w:t>
    </w:r>
    <w:r w:rsidR="00D226CC" w:rsidRPr="00D24BD2">
      <w:rPr>
        <w:rFonts w:ascii="Arial" w:hAnsi="Arial" w:cs="Arial"/>
        <w:sz w:val="20"/>
        <w:szCs w:val="20"/>
      </w:rPr>
      <w:fldChar w:fldCharType="end"/>
    </w:r>
    <w:r w:rsidR="00D226CC" w:rsidRPr="00D24BD2">
      <w:rPr>
        <w:rFonts w:ascii="Arial" w:hAnsi="Arial" w:cs="Arial"/>
        <w:sz w:val="20"/>
        <w:szCs w:val="20"/>
      </w:rPr>
      <w:tab/>
    </w:r>
    <w:r w:rsidR="00D226CC">
      <w:rPr>
        <w:rFonts w:ascii="Arial" w:hAnsi="Arial" w:cs="Arial"/>
        <w:sz w:val="20"/>
        <w:szCs w:val="20"/>
      </w:rPr>
      <w:t>IFB-17-403</w:t>
    </w:r>
  </w:p>
  <w:p w14:paraId="4A1E4101" w14:textId="77777777" w:rsidR="00D226CC" w:rsidRDefault="00D2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8489" w14:textId="77777777" w:rsidR="00AE50BC" w:rsidRDefault="00AE50BC" w:rsidP="00D24BD2">
      <w:r>
        <w:separator/>
      </w:r>
    </w:p>
  </w:footnote>
  <w:footnote w:type="continuationSeparator" w:id="0">
    <w:p w14:paraId="76548BC5" w14:textId="77777777" w:rsidR="00AE50BC" w:rsidRDefault="00AE50BC" w:rsidP="00D24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001"/>
    <w:multiLevelType w:val="hybridMultilevel"/>
    <w:tmpl w:val="A098913C"/>
    <w:lvl w:ilvl="0" w:tplc="BE602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F65C5"/>
    <w:multiLevelType w:val="hybridMultilevel"/>
    <w:tmpl w:val="51FA76C8"/>
    <w:lvl w:ilvl="0" w:tplc="7A7A3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D02D7"/>
    <w:multiLevelType w:val="multilevel"/>
    <w:tmpl w:val="66DEC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525428"/>
    <w:multiLevelType w:val="hybridMultilevel"/>
    <w:tmpl w:val="35E03AEC"/>
    <w:lvl w:ilvl="0" w:tplc="5E045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C217C"/>
    <w:multiLevelType w:val="hybridMultilevel"/>
    <w:tmpl w:val="23E09474"/>
    <w:lvl w:ilvl="0" w:tplc="6A1062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896E31"/>
    <w:multiLevelType w:val="multilevel"/>
    <w:tmpl w:val="5FE68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B37368"/>
    <w:multiLevelType w:val="hybridMultilevel"/>
    <w:tmpl w:val="BF20C780"/>
    <w:lvl w:ilvl="0" w:tplc="26BC8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64C02"/>
    <w:multiLevelType w:val="hybridMultilevel"/>
    <w:tmpl w:val="9C3E8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55246"/>
    <w:multiLevelType w:val="multilevel"/>
    <w:tmpl w:val="FAEA9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91777F"/>
    <w:multiLevelType w:val="hybridMultilevel"/>
    <w:tmpl w:val="A8BA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314C1"/>
    <w:multiLevelType w:val="hybridMultilevel"/>
    <w:tmpl w:val="6EC4B6FA"/>
    <w:lvl w:ilvl="0" w:tplc="7AA6A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41FD1"/>
    <w:multiLevelType w:val="hybridMultilevel"/>
    <w:tmpl w:val="55FC363A"/>
    <w:lvl w:ilvl="0" w:tplc="EC308D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1657EB5"/>
    <w:multiLevelType w:val="hybridMultilevel"/>
    <w:tmpl w:val="7D7C9E6E"/>
    <w:lvl w:ilvl="0" w:tplc="43266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110089"/>
    <w:multiLevelType w:val="hybridMultilevel"/>
    <w:tmpl w:val="F3382F50"/>
    <w:lvl w:ilvl="0" w:tplc="CCAC8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977451"/>
    <w:multiLevelType w:val="hybridMultilevel"/>
    <w:tmpl w:val="590821F4"/>
    <w:lvl w:ilvl="0" w:tplc="27BA8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2955A1"/>
    <w:multiLevelType w:val="hybridMultilevel"/>
    <w:tmpl w:val="55FC363A"/>
    <w:lvl w:ilvl="0" w:tplc="EC308D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1B26871"/>
    <w:multiLevelType w:val="hybridMultilevel"/>
    <w:tmpl w:val="1130E5A0"/>
    <w:lvl w:ilvl="0" w:tplc="75023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A36ECD"/>
    <w:multiLevelType w:val="hybridMultilevel"/>
    <w:tmpl w:val="DA5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F6E0D"/>
    <w:multiLevelType w:val="hybridMultilevel"/>
    <w:tmpl w:val="AD5E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A78F9"/>
    <w:multiLevelType w:val="hybridMultilevel"/>
    <w:tmpl w:val="D61C81DE"/>
    <w:lvl w:ilvl="0" w:tplc="895AE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8F76D3"/>
    <w:multiLevelType w:val="hybridMultilevel"/>
    <w:tmpl w:val="32207136"/>
    <w:lvl w:ilvl="0" w:tplc="B64E5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222A1D"/>
    <w:multiLevelType w:val="hybridMultilevel"/>
    <w:tmpl w:val="C456AAB2"/>
    <w:lvl w:ilvl="0" w:tplc="B02AD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696A16"/>
    <w:multiLevelType w:val="hybridMultilevel"/>
    <w:tmpl w:val="5182758C"/>
    <w:lvl w:ilvl="0" w:tplc="A3881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C30562"/>
    <w:multiLevelType w:val="hybridMultilevel"/>
    <w:tmpl w:val="50F64B5C"/>
    <w:lvl w:ilvl="0" w:tplc="6494D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14"/>
  </w:num>
  <w:num w:numId="7">
    <w:abstractNumId w:val="13"/>
  </w:num>
  <w:num w:numId="8">
    <w:abstractNumId w:val="20"/>
  </w:num>
  <w:num w:numId="9">
    <w:abstractNumId w:val="0"/>
  </w:num>
  <w:num w:numId="10">
    <w:abstractNumId w:val="10"/>
  </w:num>
  <w:num w:numId="11">
    <w:abstractNumId w:val="21"/>
  </w:num>
  <w:num w:numId="12">
    <w:abstractNumId w:val="22"/>
  </w:num>
  <w:num w:numId="13">
    <w:abstractNumId w:val="19"/>
  </w:num>
  <w:num w:numId="14">
    <w:abstractNumId w:val="23"/>
  </w:num>
  <w:num w:numId="15">
    <w:abstractNumId w:val="16"/>
  </w:num>
  <w:num w:numId="16">
    <w:abstractNumId w:val="3"/>
  </w:num>
  <w:num w:numId="17">
    <w:abstractNumId w:val="17"/>
  </w:num>
  <w:num w:numId="18">
    <w:abstractNumId w:val="12"/>
  </w:num>
  <w:num w:numId="19">
    <w:abstractNumId w:val="1"/>
  </w:num>
  <w:num w:numId="20">
    <w:abstractNumId w:val="11"/>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A0"/>
    <w:rsid w:val="00004C2F"/>
    <w:rsid w:val="00005B3D"/>
    <w:rsid w:val="00007B31"/>
    <w:rsid w:val="00013EF4"/>
    <w:rsid w:val="000145AB"/>
    <w:rsid w:val="0001680D"/>
    <w:rsid w:val="00016E82"/>
    <w:rsid w:val="00020617"/>
    <w:rsid w:val="00020BCB"/>
    <w:rsid w:val="00025C25"/>
    <w:rsid w:val="00027FD2"/>
    <w:rsid w:val="00027FE3"/>
    <w:rsid w:val="00032633"/>
    <w:rsid w:val="00033375"/>
    <w:rsid w:val="000338F6"/>
    <w:rsid w:val="000369B3"/>
    <w:rsid w:val="00037806"/>
    <w:rsid w:val="00047566"/>
    <w:rsid w:val="000504E3"/>
    <w:rsid w:val="00050F63"/>
    <w:rsid w:val="00054BFB"/>
    <w:rsid w:val="00056AC2"/>
    <w:rsid w:val="000616BC"/>
    <w:rsid w:val="00062A69"/>
    <w:rsid w:val="00066D51"/>
    <w:rsid w:val="0006794A"/>
    <w:rsid w:val="00071F5B"/>
    <w:rsid w:val="000737FB"/>
    <w:rsid w:val="000741C0"/>
    <w:rsid w:val="000841EA"/>
    <w:rsid w:val="00090761"/>
    <w:rsid w:val="00094EB1"/>
    <w:rsid w:val="00097DB2"/>
    <w:rsid w:val="000B10E1"/>
    <w:rsid w:val="000B12DF"/>
    <w:rsid w:val="000B1378"/>
    <w:rsid w:val="000B2EB5"/>
    <w:rsid w:val="000B31E3"/>
    <w:rsid w:val="000B436A"/>
    <w:rsid w:val="000B546B"/>
    <w:rsid w:val="000D1E91"/>
    <w:rsid w:val="000D2074"/>
    <w:rsid w:val="000D3F72"/>
    <w:rsid w:val="000E0DB5"/>
    <w:rsid w:val="000E4A38"/>
    <w:rsid w:val="000E7C85"/>
    <w:rsid w:val="000F0FCA"/>
    <w:rsid w:val="000F4107"/>
    <w:rsid w:val="000F481F"/>
    <w:rsid w:val="000F62A4"/>
    <w:rsid w:val="00102B0E"/>
    <w:rsid w:val="00112AB2"/>
    <w:rsid w:val="00115193"/>
    <w:rsid w:val="00121026"/>
    <w:rsid w:val="0013310D"/>
    <w:rsid w:val="0013476F"/>
    <w:rsid w:val="00143EFA"/>
    <w:rsid w:val="00145114"/>
    <w:rsid w:val="001532F4"/>
    <w:rsid w:val="00155658"/>
    <w:rsid w:val="001569BE"/>
    <w:rsid w:val="001571E0"/>
    <w:rsid w:val="00166BC8"/>
    <w:rsid w:val="00166BFF"/>
    <w:rsid w:val="00173079"/>
    <w:rsid w:val="001A0DE9"/>
    <w:rsid w:val="001A47FC"/>
    <w:rsid w:val="001A68DD"/>
    <w:rsid w:val="001A7044"/>
    <w:rsid w:val="001A79A5"/>
    <w:rsid w:val="001B0F0C"/>
    <w:rsid w:val="001B354E"/>
    <w:rsid w:val="001B4C52"/>
    <w:rsid w:val="001B6F0B"/>
    <w:rsid w:val="001C1A9F"/>
    <w:rsid w:val="001C3A9C"/>
    <w:rsid w:val="001C4A48"/>
    <w:rsid w:val="001D295F"/>
    <w:rsid w:val="001D6342"/>
    <w:rsid w:val="001E04FC"/>
    <w:rsid w:val="001E05FE"/>
    <w:rsid w:val="001E3B5F"/>
    <w:rsid w:val="001F02F2"/>
    <w:rsid w:val="001F7026"/>
    <w:rsid w:val="002048E0"/>
    <w:rsid w:val="00205E81"/>
    <w:rsid w:val="0020635C"/>
    <w:rsid w:val="00211361"/>
    <w:rsid w:val="002171CC"/>
    <w:rsid w:val="00217396"/>
    <w:rsid w:val="00217F77"/>
    <w:rsid w:val="00220ACD"/>
    <w:rsid w:val="00221433"/>
    <w:rsid w:val="00222D96"/>
    <w:rsid w:val="0022465E"/>
    <w:rsid w:val="00225912"/>
    <w:rsid w:val="002268D8"/>
    <w:rsid w:val="00227357"/>
    <w:rsid w:val="002400FD"/>
    <w:rsid w:val="002542C2"/>
    <w:rsid w:val="002621CB"/>
    <w:rsid w:val="00262CE3"/>
    <w:rsid w:val="002630F9"/>
    <w:rsid w:val="00274586"/>
    <w:rsid w:val="002817E5"/>
    <w:rsid w:val="00285FA1"/>
    <w:rsid w:val="00297A94"/>
    <w:rsid w:val="00297C77"/>
    <w:rsid w:val="002A1BB1"/>
    <w:rsid w:val="002B09B6"/>
    <w:rsid w:val="002C0AA6"/>
    <w:rsid w:val="002C45E2"/>
    <w:rsid w:val="002C62F0"/>
    <w:rsid w:val="002D7164"/>
    <w:rsid w:val="002E137A"/>
    <w:rsid w:val="002E43FF"/>
    <w:rsid w:val="002E46CF"/>
    <w:rsid w:val="002F0CAC"/>
    <w:rsid w:val="002F191F"/>
    <w:rsid w:val="002F3EA0"/>
    <w:rsid w:val="002F4879"/>
    <w:rsid w:val="00302331"/>
    <w:rsid w:val="003071D6"/>
    <w:rsid w:val="00311A25"/>
    <w:rsid w:val="00313DAF"/>
    <w:rsid w:val="00330D3D"/>
    <w:rsid w:val="003316BA"/>
    <w:rsid w:val="0034300B"/>
    <w:rsid w:val="0034377B"/>
    <w:rsid w:val="00344424"/>
    <w:rsid w:val="00350D65"/>
    <w:rsid w:val="00351E00"/>
    <w:rsid w:val="0036241A"/>
    <w:rsid w:val="00365FCE"/>
    <w:rsid w:val="00367198"/>
    <w:rsid w:val="00367F65"/>
    <w:rsid w:val="00371E47"/>
    <w:rsid w:val="00373C87"/>
    <w:rsid w:val="00374132"/>
    <w:rsid w:val="003748DB"/>
    <w:rsid w:val="00377D35"/>
    <w:rsid w:val="00383E47"/>
    <w:rsid w:val="003878E1"/>
    <w:rsid w:val="00391B05"/>
    <w:rsid w:val="00392ECD"/>
    <w:rsid w:val="00393A7C"/>
    <w:rsid w:val="00394AE4"/>
    <w:rsid w:val="00395489"/>
    <w:rsid w:val="003A5AE1"/>
    <w:rsid w:val="003A69EB"/>
    <w:rsid w:val="003B1738"/>
    <w:rsid w:val="003B6395"/>
    <w:rsid w:val="003B7A25"/>
    <w:rsid w:val="003C1F1E"/>
    <w:rsid w:val="003C324A"/>
    <w:rsid w:val="003C799D"/>
    <w:rsid w:val="003D0C6D"/>
    <w:rsid w:val="003D7DDD"/>
    <w:rsid w:val="003E4A25"/>
    <w:rsid w:val="003F1C56"/>
    <w:rsid w:val="0040126F"/>
    <w:rsid w:val="00404A47"/>
    <w:rsid w:val="004117CA"/>
    <w:rsid w:val="004129D4"/>
    <w:rsid w:val="00414B1E"/>
    <w:rsid w:val="00414FCE"/>
    <w:rsid w:val="0041575A"/>
    <w:rsid w:val="00417321"/>
    <w:rsid w:val="00422C91"/>
    <w:rsid w:val="0042772F"/>
    <w:rsid w:val="00433212"/>
    <w:rsid w:val="0043348C"/>
    <w:rsid w:val="00433B27"/>
    <w:rsid w:val="00437637"/>
    <w:rsid w:val="00445126"/>
    <w:rsid w:val="00446D46"/>
    <w:rsid w:val="00446E1D"/>
    <w:rsid w:val="00451BDF"/>
    <w:rsid w:val="00460BCA"/>
    <w:rsid w:val="00462D8E"/>
    <w:rsid w:val="00470E6A"/>
    <w:rsid w:val="00472344"/>
    <w:rsid w:val="00482983"/>
    <w:rsid w:val="0049367A"/>
    <w:rsid w:val="0049376A"/>
    <w:rsid w:val="004A0A95"/>
    <w:rsid w:val="004A2755"/>
    <w:rsid w:val="004A2787"/>
    <w:rsid w:val="004A3FA9"/>
    <w:rsid w:val="004A7BED"/>
    <w:rsid w:val="004A7C24"/>
    <w:rsid w:val="004B0286"/>
    <w:rsid w:val="004B0509"/>
    <w:rsid w:val="004B346E"/>
    <w:rsid w:val="004B3DFD"/>
    <w:rsid w:val="004B5C2B"/>
    <w:rsid w:val="004C51F7"/>
    <w:rsid w:val="004C5FC7"/>
    <w:rsid w:val="004D3027"/>
    <w:rsid w:val="004D3DF9"/>
    <w:rsid w:val="004D7F7E"/>
    <w:rsid w:val="004F152C"/>
    <w:rsid w:val="004F45A2"/>
    <w:rsid w:val="004F4E70"/>
    <w:rsid w:val="004F5EAF"/>
    <w:rsid w:val="00502020"/>
    <w:rsid w:val="005050CD"/>
    <w:rsid w:val="00507DC1"/>
    <w:rsid w:val="0051196C"/>
    <w:rsid w:val="00512079"/>
    <w:rsid w:val="0051614F"/>
    <w:rsid w:val="00520466"/>
    <w:rsid w:val="005209A2"/>
    <w:rsid w:val="00527517"/>
    <w:rsid w:val="00540951"/>
    <w:rsid w:val="00542178"/>
    <w:rsid w:val="005449D4"/>
    <w:rsid w:val="00545D85"/>
    <w:rsid w:val="005470AA"/>
    <w:rsid w:val="0055072A"/>
    <w:rsid w:val="00555FA7"/>
    <w:rsid w:val="00560988"/>
    <w:rsid w:val="005645EF"/>
    <w:rsid w:val="00575FB6"/>
    <w:rsid w:val="00584168"/>
    <w:rsid w:val="00586FF1"/>
    <w:rsid w:val="005926D4"/>
    <w:rsid w:val="00593756"/>
    <w:rsid w:val="005A2CA0"/>
    <w:rsid w:val="005A4175"/>
    <w:rsid w:val="005B50BB"/>
    <w:rsid w:val="005B5F2C"/>
    <w:rsid w:val="005B7BC4"/>
    <w:rsid w:val="005C3B1B"/>
    <w:rsid w:val="005C6A25"/>
    <w:rsid w:val="005C71B6"/>
    <w:rsid w:val="005D43F5"/>
    <w:rsid w:val="005D51CE"/>
    <w:rsid w:val="005D69DD"/>
    <w:rsid w:val="005D7592"/>
    <w:rsid w:val="005E1BEE"/>
    <w:rsid w:val="005E33F5"/>
    <w:rsid w:val="005E6627"/>
    <w:rsid w:val="005F1BCB"/>
    <w:rsid w:val="005F3A1A"/>
    <w:rsid w:val="005F53EA"/>
    <w:rsid w:val="006005EE"/>
    <w:rsid w:val="00601673"/>
    <w:rsid w:val="0061237A"/>
    <w:rsid w:val="0062303D"/>
    <w:rsid w:val="006258FF"/>
    <w:rsid w:val="006262D0"/>
    <w:rsid w:val="00630011"/>
    <w:rsid w:val="006305F6"/>
    <w:rsid w:val="00630D7D"/>
    <w:rsid w:val="00643F46"/>
    <w:rsid w:val="0065341D"/>
    <w:rsid w:val="00656BA9"/>
    <w:rsid w:val="0066266F"/>
    <w:rsid w:val="006662A1"/>
    <w:rsid w:val="0067034A"/>
    <w:rsid w:val="00676017"/>
    <w:rsid w:val="00676CA1"/>
    <w:rsid w:val="006845BD"/>
    <w:rsid w:val="006856E7"/>
    <w:rsid w:val="00687066"/>
    <w:rsid w:val="006B51FD"/>
    <w:rsid w:val="006B7695"/>
    <w:rsid w:val="006C5882"/>
    <w:rsid w:val="006D4554"/>
    <w:rsid w:val="006D4B36"/>
    <w:rsid w:val="006E0FB8"/>
    <w:rsid w:val="006E19B1"/>
    <w:rsid w:val="006E23EB"/>
    <w:rsid w:val="006E3EAE"/>
    <w:rsid w:val="006F5273"/>
    <w:rsid w:val="006F6B6D"/>
    <w:rsid w:val="006F7B21"/>
    <w:rsid w:val="007006E1"/>
    <w:rsid w:val="00702E9D"/>
    <w:rsid w:val="007036A3"/>
    <w:rsid w:val="0070487A"/>
    <w:rsid w:val="00704E0F"/>
    <w:rsid w:val="00706E7C"/>
    <w:rsid w:val="00714466"/>
    <w:rsid w:val="00714D84"/>
    <w:rsid w:val="00715DA3"/>
    <w:rsid w:val="007164D3"/>
    <w:rsid w:val="00721B1C"/>
    <w:rsid w:val="00721FDF"/>
    <w:rsid w:val="00731CA2"/>
    <w:rsid w:val="0073343A"/>
    <w:rsid w:val="00734F00"/>
    <w:rsid w:val="0073518C"/>
    <w:rsid w:val="00736333"/>
    <w:rsid w:val="0074240F"/>
    <w:rsid w:val="00742703"/>
    <w:rsid w:val="00746522"/>
    <w:rsid w:val="007469D0"/>
    <w:rsid w:val="0076326A"/>
    <w:rsid w:val="00772D80"/>
    <w:rsid w:val="00773E3E"/>
    <w:rsid w:val="0077481C"/>
    <w:rsid w:val="00774F8F"/>
    <w:rsid w:val="00775048"/>
    <w:rsid w:val="00776429"/>
    <w:rsid w:val="00782EDF"/>
    <w:rsid w:val="007928E1"/>
    <w:rsid w:val="007A06D1"/>
    <w:rsid w:val="007B275B"/>
    <w:rsid w:val="007B516C"/>
    <w:rsid w:val="007B6B72"/>
    <w:rsid w:val="007B76EB"/>
    <w:rsid w:val="007C218E"/>
    <w:rsid w:val="007C23CC"/>
    <w:rsid w:val="007C43D3"/>
    <w:rsid w:val="007D0075"/>
    <w:rsid w:val="007E101F"/>
    <w:rsid w:val="007E3426"/>
    <w:rsid w:val="007E5AD7"/>
    <w:rsid w:val="007E5B12"/>
    <w:rsid w:val="007F14E9"/>
    <w:rsid w:val="007F4E9F"/>
    <w:rsid w:val="00811785"/>
    <w:rsid w:val="008127EA"/>
    <w:rsid w:val="00813EF6"/>
    <w:rsid w:val="00822A7E"/>
    <w:rsid w:val="00822CEC"/>
    <w:rsid w:val="00826AE7"/>
    <w:rsid w:val="00831792"/>
    <w:rsid w:val="00832F0D"/>
    <w:rsid w:val="0083467D"/>
    <w:rsid w:val="00845EF4"/>
    <w:rsid w:val="008501E6"/>
    <w:rsid w:val="00852959"/>
    <w:rsid w:val="008753E4"/>
    <w:rsid w:val="00890D24"/>
    <w:rsid w:val="008A223D"/>
    <w:rsid w:val="008B1FE3"/>
    <w:rsid w:val="008B5443"/>
    <w:rsid w:val="008C3C94"/>
    <w:rsid w:val="008C5AF0"/>
    <w:rsid w:val="008C5CAD"/>
    <w:rsid w:val="008D3C3B"/>
    <w:rsid w:val="008D50F6"/>
    <w:rsid w:val="008D604A"/>
    <w:rsid w:val="008D79FC"/>
    <w:rsid w:val="008D7DD2"/>
    <w:rsid w:val="008E58D6"/>
    <w:rsid w:val="008F630A"/>
    <w:rsid w:val="00905F6D"/>
    <w:rsid w:val="00910B3D"/>
    <w:rsid w:val="0092167B"/>
    <w:rsid w:val="00921B05"/>
    <w:rsid w:val="0092244E"/>
    <w:rsid w:val="00924D36"/>
    <w:rsid w:val="00931AFC"/>
    <w:rsid w:val="00931CB7"/>
    <w:rsid w:val="00933F56"/>
    <w:rsid w:val="009465F4"/>
    <w:rsid w:val="009468A6"/>
    <w:rsid w:val="009540B7"/>
    <w:rsid w:val="009573A6"/>
    <w:rsid w:val="009615EF"/>
    <w:rsid w:val="00963342"/>
    <w:rsid w:val="00965EB9"/>
    <w:rsid w:val="00966994"/>
    <w:rsid w:val="0098407B"/>
    <w:rsid w:val="00991E28"/>
    <w:rsid w:val="009A6B69"/>
    <w:rsid w:val="009B39FC"/>
    <w:rsid w:val="009B71FE"/>
    <w:rsid w:val="009B7637"/>
    <w:rsid w:val="009C1095"/>
    <w:rsid w:val="009C191F"/>
    <w:rsid w:val="009C1BB1"/>
    <w:rsid w:val="009C6673"/>
    <w:rsid w:val="009C7481"/>
    <w:rsid w:val="009C7EDB"/>
    <w:rsid w:val="009C7FB0"/>
    <w:rsid w:val="009E1F9F"/>
    <w:rsid w:val="009E20B2"/>
    <w:rsid w:val="009E693D"/>
    <w:rsid w:val="00A0002C"/>
    <w:rsid w:val="00A250FE"/>
    <w:rsid w:val="00A255AA"/>
    <w:rsid w:val="00A261A0"/>
    <w:rsid w:val="00A301A1"/>
    <w:rsid w:val="00A46CB8"/>
    <w:rsid w:val="00A46D58"/>
    <w:rsid w:val="00A47F70"/>
    <w:rsid w:val="00A5412A"/>
    <w:rsid w:val="00A55DF1"/>
    <w:rsid w:val="00A563DD"/>
    <w:rsid w:val="00A56A92"/>
    <w:rsid w:val="00A70B90"/>
    <w:rsid w:val="00A73470"/>
    <w:rsid w:val="00A80EF4"/>
    <w:rsid w:val="00A811A8"/>
    <w:rsid w:val="00A82777"/>
    <w:rsid w:val="00A82F42"/>
    <w:rsid w:val="00A8366D"/>
    <w:rsid w:val="00A87A91"/>
    <w:rsid w:val="00A95386"/>
    <w:rsid w:val="00A96912"/>
    <w:rsid w:val="00A97F25"/>
    <w:rsid w:val="00AA4498"/>
    <w:rsid w:val="00AB3AAA"/>
    <w:rsid w:val="00AB446F"/>
    <w:rsid w:val="00AB4CA4"/>
    <w:rsid w:val="00AC3B44"/>
    <w:rsid w:val="00AC5A18"/>
    <w:rsid w:val="00AC626D"/>
    <w:rsid w:val="00AC73C5"/>
    <w:rsid w:val="00AD0EBF"/>
    <w:rsid w:val="00AD501A"/>
    <w:rsid w:val="00AD73CA"/>
    <w:rsid w:val="00AD7462"/>
    <w:rsid w:val="00AE2269"/>
    <w:rsid w:val="00AE50BC"/>
    <w:rsid w:val="00B02154"/>
    <w:rsid w:val="00B0257F"/>
    <w:rsid w:val="00B05B70"/>
    <w:rsid w:val="00B104E6"/>
    <w:rsid w:val="00B15226"/>
    <w:rsid w:val="00B17EEC"/>
    <w:rsid w:val="00B2123D"/>
    <w:rsid w:val="00B22B2B"/>
    <w:rsid w:val="00B2525C"/>
    <w:rsid w:val="00B271AB"/>
    <w:rsid w:val="00B301F9"/>
    <w:rsid w:val="00B41D0B"/>
    <w:rsid w:val="00B564D8"/>
    <w:rsid w:val="00B62BD7"/>
    <w:rsid w:val="00B637B9"/>
    <w:rsid w:val="00B66215"/>
    <w:rsid w:val="00B67F1F"/>
    <w:rsid w:val="00B71A95"/>
    <w:rsid w:val="00B7257E"/>
    <w:rsid w:val="00B72900"/>
    <w:rsid w:val="00B75CD0"/>
    <w:rsid w:val="00B876ED"/>
    <w:rsid w:val="00B912A2"/>
    <w:rsid w:val="00BB78F3"/>
    <w:rsid w:val="00BC060C"/>
    <w:rsid w:val="00BC2E47"/>
    <w:rsid w:val="00BC3F39"/>
    <w:rsid w:val="00BC73FD"/>
    <w:rsid w:val="00BC7DCB"/>
    <w:rsid w:val="00BD1E18"/>
    <w:rsid w:val="00BE67EF"/>
    <w:rsid w:val="00BE7870"/>
    <w:rsid w:val="00BF1ECE"/>
    <w:rsid w:val="00BF69BD"/>
    <w:rsid w:val="00C00696"/>
    <w:rsid w:val="00C00C45"/>
    <w:rsid w:val="00C03E82"/>
    <w:rsid w:val="00C21A53"/>
    <w:rsid w:val="00C222C8"/>
    <w:rsid w:val="00C27C07"/>
    <w:rsid w:val="00C36591"/>
    <w:rsid w:val="00C41D22"/>
    <w:rsid w:val="00C53A62"/>
    <w:rsid w:val="00C61082"/>
    <w:rsid w:val="00C70BBD"/>
    <w:rsid w:val="00C74659"/>
    <w:rsid w:val="00C853F0"/>
    <w:rsid w:val="00C90040"/>
    <w:rsid w:val="00C9039A"/>
    <w:rsid w:val="00C924A1"/>
    <w:rsid w:val="00C926F6"/>
    <w:rsid w:val="00C93F96"/>
    <w:rsid w:val="00C97487"/>
    <w:rsid w:val="00CA0B40"/>
    <w:rsid w:val="00CA2464"/>
    <w:rsid w:val="00CA6D7B"/>
    <w:rsid w:val="00CB0F10"/>
    <w:rsid w:val="00CC523F"/>
    <w:rsid w:val="00CD6653"/>
    <w:rsid w:val="00CD6AAE"/>
    <w:rsid w:val="00CD6E9F"/>
    <w:rsid w:val="00CE2E93"/>
    <w:rsid w:val="00CE70FA"/>
    <w:rsid w:val="00CF091A"/>
    <w:rsid w:val="00CF5EF6"/>
    <w:rsid w:val="00CF7803"/>
    <w:rsid w:val="00D1459E"/>
    <w:rsid w:val="00D214C9"/>
    <w:rsid w:val="00D226CC"/>
    <w:rsid w:val="00D23573"/>
    <w:rsid w:val="00D24971"/>
    <w:rsid w:val="00D24BD2"/>
    <w:rsid w:val="00D25501"/>
    <w:rsid w:val="00D27E7F"/>
    <w:rsid w:val="00D32350"/>
    <w:rsid w:val="00D46AA5"/>
    <w:rsid w:val="00D47C02"/>
    <w:rsid w:val="00D53E79"/>
    <w:rsid w:val="00D60730"/>
    <w:rsid w:val="00D618FE"/>
    <w:rsid w:val="00D61955"/>
    <w:rsid w:val="00D675A8"/>
    <w:rsid w:val="00D72C9F"/>
    <w:rsid w:val="00D76113"/>
    <w:rsid w:val="00D816A0"/>
    <w:rsid w:val="00DA1E49"/>
    <w:rsid w:val="00DA2841"/>
    <w:rsid w:val="00DB19F3"/>
    <w:rsid w:val="00DB49D5"/>
    <w:rsid w:val="00DB5777"/>
    <w:rsid w:val="00DC0826"/>
    <w:rsid w:val="00DC448E"/>
    <w:rsid w:val="00DD05B4"/>
    <w:rsid w:val="00DD257F"/>
    <w:rsid w:val="00DE29A0"/>
    <w:rsid w:val="00DF0ECB"/>
    <w:rsid w:val="00DF2602"/>
    <w:rsid w:val="00E04205"/>
    <w:rsid w:val="00E12A46"/>
    <w:rsid w:val="00E1344D"/>
    <w:rsid w:val="00E167F8"/>
    <w:rsid w:val="00E40ABF"/>
    <w:rsid w:val="00E50F48"/>
    <w:rsid w:val="00E537D4"/>
    <w:rsid w:val="00E57D79"/>
    <w:rsid w:val="00E626BE"/>
    <w:rsid w:val="00E6658B"/>
    <w:rsid w:val="00E66616"/>
    <w:rsid w:val="00E71434"/>
    <w:rsid w:val="00E71A8F"/>
    <w:rsid w:val="00E73E7C"/>
    <w:rsid w:val="00E8390F"/>
    <w:rsid w:val="00E93F8B"/>
    <w:rsid w:val="00EA3027"/>
    <w:rsid w:val="00EB0835"/>
    <w:rsid w:val="00EB1ADD"/>
    <w:rsid w:val="00EB4614"/>
    <w:rsid w:val="00EB7487"/>
    <w:rsid w:val="00EC3F4D"/>
    <w:rsid w:val="00EC4CD8"/>
    <w:rsid w:val="00EC4D18"/>
    <w:rsid w:val="00ED1179"/>
    <w:rsid w:val="00ED2C31"/>
    <w:rsid w:val="00ED52AA"/>
    <w:rsid w:val="00ED5407"/>
    <w:rsid w:val="00ED6D53"/>
    <w:rsid w:val="00EE34FE"/>
    <w:rsid w:val="00EE4540"/>
    <w:rsid w:val="00EE677E"/>
    <w:rsid w:val="00EF1689"/>
    <w:rsid w:val="00F0112F"/>
    <w:rsid w:val="00F17584"/>
    <w:rsid w:val="00F20C23"/>
    <w:rsid w:val="00F23188"/>
    <w:rsid w:val="00F235B9"/>
    <w:rsid w:val="00F25B88"/>
    <w:rsid w:val="00F318F7"/>
    <w:rsid w:val="00F35925"/>
    <w:rsid w:val="00F37A1B"/>
    <w:rsid w:val="00F4297C"/>
    <w:rsid w:val="00F47CA8"/>
    <w:rsid w:val="00F50CC5"/>
    <w:rsid w:val="00F51631"/>
    <w:rsid w:val="00F5628C"/>
    <w:rsid w:val="00F57EDC"/>
    <w:rsid w:val="00F61E29"/>
    <w:rsid w:val="00F62FB3"/>
    <w:rsid w:val="00F71D22"/>
    <w:rsid w:val="00F72CCD"/>
    <w:rsid w:val="00F77A1F"/>
    <w:rsid w:val="00F82081"/>
    <w:rsid w:val="00F87446"/>
    <w:rsid w:val="00F94D0D"/>
    <w:rsid w:val="00F95DF8"/>
    <w:rsid w:val="00F96A9C"/>
    <w:rsid w:val="00F97F5C"/>
    <w:rsid w:val="00FA1E04"/>
    <w:rsid w:val="00FA3A2A"/>
    <w:rsid w:val="00FB2887"/>
    <w:rsid w:val="00FB31FF"/>
    <w:rsid w:val="00FB7E2D"/>
    <w:rsid w:val="00FC0FC1"/>
    <w:rsid w:val="00FC1DE2"/>
    <w:rsid w:val="00FC7D3C"/>
    <w:rsid w:val="00FD3618"/>
    <w:rsid w:val="00FE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E4F8F0"/>
  <w15:docId w15:val="{9462350A-4055-452D-9A76-B8A045C8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A0"/>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02C"/>
    <w:rPr>
      <w:sz w:val="16"/>
      <w:szCs w:val="16"/>
    </w:rPr>
  </w:style>
  <w:style w:type="paragraph" w:styleId="CommentText">
    <w:name w:val="annotation text"/>
    <w:basedOn w:val="Normal"/>
    <w:link w:val="CommentTextChar"/>
    <w:uiPriority w:val="99"/>
    <w:semiHidden/>
    <w:unhideWhenUsed/>
    <w:rsid w:val="00A0002C"/>
    <w:rPr>
      <w:sz w:val="20"/>
      <w:szCs w:val="20"/>
    </w:rPr>
  </w:style>
  <w:style w:type="character" w:customStyle="1" w:styleId="CommentTextChar">
    <w:name w:val="Comment Text Char"/>
    <w:basedOn w:val="DefaultParagraphFont"/>
    <w:link w:val="CommentText"/>
    <w:uiPriority w:val="99"/>
    <w:semiHidden/>
    <w:rsid w:val="00A0002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0002C"/>
    <w:rPr>
      <w:b/>
      <w:bCs/>
    </w:rPr>
  </w:style>
  <w:style w:type="character" w:customStyle="1" w:styleId="CommentSubjectChar">
    <w:name w:val="Comment Subject Char"/>
    <w:basedOn w:val="CommentTextChar"/>
    <w:link w:val="CommentSubject"/>
    <w:uiPriority w:val="99"/>
    <w:semiHidden/>
    <w:rsid w:val="00A0002C"/>
    <w:rPr>
      <w:rFonts w:ascii="Times New Roman" w:hAnsi="Times New Roman"/>
      <w:b/>
      <w:bCs/>
    </w:rPr>
  </w:style>
  <w:style w:type="paragraph" w:styleId="BalloonText">
    <w:name w:val="Balloon Text"/>
    <w:basedOn w:val="Normal"/>
    <w:link w:val="BalloonTextChar"/>
    <w:uiPriority w:val="99"/>
    <w:semiHidden/>
    <w:unhideWhenUsed/>
    <w:rsid w:val="00A0002C"/>
    <w:rPr>
      <w:rFonts w:ascii="Tahoma" w:hAnsi="Tahoma" w:cs="Tahoma"/>
      <w:sz w:val="16"/>
      <w:szCs w:val="16"/>
    </w:rPr>
  </w:style>
  <w:style w:type="character" w:customStyle="1" w:styleId="BalloonTextChar">
    <w:name w:val="Balloon Text Char"/>
    <w:basedOn w:val="DefaultParagraphFont"/>
    <w:link w:val="BalloonText"/>
    <w:uiPriority w:val="99"/>
    <w:semiHidden/>
    <w:rsid w:val="00A0002C"/>
    <w:rPr>
      <w:rFonts w:ascii="Tahoma" w:hAnsi="Tahoma" w:cs="Tahoma"/>
      <w:sz w:val="16"/>
      <w:szCs w:val="16"/>
    </w:rPr>
  </w:style>
  <w:style w:type="character" w:styleId="Hyperlink">
    <w:name w:val="Hyperlink"/>
    <w:basedOn w:val="DefaultParagraphFont"/>
    <w:uiPriority w:val="99"/>
    <w:unhideWhenUsed/>
    <w:rsid w:val="00032633"/>
    <w:rPr>
      <w:color w:val="0000FF"/>
      <w:u w:val="single"/>
    </w:rPr>
  </w:style>
  <w:style w:type="table" w:styleId="TableGrid">
    <w:name w:val="Table Grid"/>
    <w:basedOn w:val="TableNormal"/>
    <w:uiPriority w:val="59"/>
    <w:rsid w:val="00890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4D0D"/>
    <w:rPr>
      <w:color w:val="800080"/>
      <w:u w:val="single"/>
    </w:rPr>
  </w:style>
  <w:style w:type="paragraph" w:styleId="Revision">
    <w:name w:val="Revision"/>
    <w:hidden/>
    <w:uiPriority w:val="99"/>
    <w:semiHidden/>
    <w:rsid w:val="00676CA1"/>
    <w:rPr>
      <w:rFonts w:ascii="Times New Roman" w:hAnsi="Times New Roman"/>
      <w:sz w:val="24"/>
      <w:szCs w:val="24"/>
      <w:lang w:eastAsia="ja-JP"/>
    </w:rPr>
  </w:style>
  <w:style w:type="paragraph" w:styleId="Date">
    <w:name w:val="Date"/>
    <w:basedOn w:val="Normal"/>
    <w:next w:val="Normal"/>
    <w:link w:val="DateChar"/>
    <w:uiPriority w:val="99"/>
    <w:semiHidden/>
    <w:unhideWhenUsed/>
    <w:rsid w:val="0006794A"/>
  </w:style>
  <w:style w:type="character" w:customStyle="1" w:styleId="DateChar">
    <w:name w:val="Date Char"/>
    <w:basedOn w:val="DefaultParagraphFont"/>
    <w:link w:val="Date"/>
    <w:uiPriority w:val="99"/>
    <w:semiHidden/>
    <w:rsid w:val="0006794A"/>
    <w:rPr>
      <w:rFonts w:ascii="Times New Roman" w:hAnsi="Times New Roman"/>
      <w:sz w:val="24"/>
      <w:szCs w:val="24"/>
    </w:rPr>
  </w:style>
  <w:style w:type="paragraph" w:styleId="Header">
    <w:name w:val="header"/>
    <w:basedOn w:val="Normal"/>
    <w:link w:val="HeaderChar"/>
    <w:uiPriority w:val="99"/>
    <w:unhideWhenUsed/>
    <w:rsid w:val="00D24BD2"/>
    <w:pPr>
      <w:tabs>
        <w:tab w:val="center" w:pos="4680"/>
        <w:tab w:val="right" w:pos="9360"/>
      </w:tabs>
    </w:pPr>
  </w:style>
  <w:style w:type="character" w:customStyle="1" w:styleId="HeaderChar">
    <w:name w:val="Header Char"/>
    <w:basedOn w:val="DefaultParagraphFont"/>
    <w:link w:val="Header"/>
    <w:uiPriority w:val="99"/>
    <w:rsid w:val="00D24BD2"/>
    <w:rPr>
      <w:rFonts w:ascii="Times New Roman" w:hAnsi="Times New Roman"/>
      <w:sz w:val="24"/>
      <w:szCs w:val="24"/>
      <w:lang w:eastAsia="ja-JP"/>
    </w:rPr>
  </w:style>
  <w:style w:type="paragraph" w:styleId="Footer">
    <w:name w:val="footer"/>
    <w:basedOn w:val="Normal"/>
    <w:link w:val="FooterChar"/>
    <w:uiPriority w:val="99"/>
    <w:unhideWhenUsed/>
    <w:rsid w:val="00D24BD2"/>
    <w:pPr>
      <w:tabs>
        <w:tab w:val="center" w:pos="4680"/>
        <w:tab w:val="right" w:pos="9360"/>
      </w:tabs>
    </w:pPr>
  </w:style>
  <w:style w:type="character" w:customStyle="1" w:styleId="FooterChar">
    <w:name w:val="Footer Char"/>
    <w:basedOn w:val="DefaultParagraphFont"/>
    <w:link w:val="Footer"/>
    <w:uiPriority w:val="99"/>
    <w:rsid w:val="00D24BD2"/>
    <w:rPr>
      <w:rFonts w:ascii="Times New Roman" w:hAnsi="Times New Roman"/>
      <w:sz w:val="24"/>
      <w:szCs w:val="24"/>
      <w:lang w:eastAsia="ja-JP"/>
    </w:rPr>
  </w:style>
  <w:style w:type="paragraph" w:styleId="ListParagraph">
    <w:name w:val="List Paragraph"/>
    <w:basedOn w:val="Normal"/>
    <w:uiPriority w:val="34"/>
    <w:qFormat/>
    <w:rsid w:val="008B1FE3"/>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865">
      <w:bodyDiv w:val="1"/>
      <w:marLeft w:val="0"/>
      <w:marRight w:val="0"/>
      <w:marTop w:val="0"/>
      <w:marBottom w:val="0"/>
      <w:divBdr>
        <w:top w:val="none" w:sz="0" w:space="0" w:color="auto"/>
        <w:left w:val="none" w:sz="0" w:space="0" w:color="auto"/>
        <w:bottom w:val="none" w:sz="0" w:space="0" w:color="auto"/>
        <w:right w:val="none" w:sz="0" w:space="0" w:color="auto"/>
      </w:divBdr>
    </w:div>
    <w:div w:id="85469054">
      <w:bodyDiv w:val="1"/>
      <w:marLeft w:val="0"/>
      <w:marRight w:val="0"/>
      <w:marTop w:val="0"/>
      <w:marBottom w:val="0"/>
      <w:divBdr>
        <w:top w:val="none" w:sz="0" w:space="0" w:color="auto"/>
        <w:left w:val="none" w:sz="0" w:space="0" w:color="auto"/>
        <w:bottom w:val="none" w:sz="0" w:space="0" w:color="auto"/>
        <w:right w:val="none" w:sz="0" w:space="0" w:color="auto"/>
      </w:divBdr>
    </w:div>
    <w:div w:id="102847413">
      <w:bodyDiv w:val="1"/>
      <w:marLeft w:val="0"/>
      <w:marRight w:val="0"/>
      <w:marTop w:val="0"/>
      <w:marBottom w:val="0"/>
      <w:divBdr>
        <w:top w:val="none" w:sz="0" w:space="0" w:color="auto"/>
        <w:left w:val="none" w:sz="0" w:space="0" w:color="auto"/>
        <w:bottom w:val="none" w:sz="0" w:space="0" w:color="auto"/>
        <w:right w:val="none" w:sz="0" w:space="0" w:color="auto"/>
      </w:divBdr>
    </w:div>
    <w:div w:id="119229807">
      <w:bodyDiv w:val="1"/>
      <w:marLeft w:val="0"/>
      <w:marRight w:val="0"/>
      <w:marTop w:val="0"/>
      <w:marBottom w:val="0"/>
      <w:divBdr>
        <w:top w:val="none" w:sz="0" w:space="0" w:color="auto"/>
        <w:left w:val="none" w:sz="0" w:space="0" w:color="auto"/>
        <w:bottom w:val="none" w:sz="0" w:space="0" w:color="auto"/>
        <w:right w:val="none" w:sz="0" w:space="0" w:color="auto"/>
      </w:divBdr>
    </w:div>
    <w:div w:id="123546835">
      <w:bodyDiv w:val="1"/>
      <w:marLeft w:val="0"/>
      <w:marRight w:val="0"/>
      <w:marTop w:val="0"/>
      <w:marBottom w:val="0"/>
      <w:divBdr>
        <w:top w:val="none" w:sz="0" w:space="0" w:color="auto"/>
        <w:left w:val="none" w:sz="0" w:space="0" w:color="auto"/>
        <w:bottom w:val="none" w:sz="0" w:space="0" w:color="auto"/>
        <w:right w:val="none" w:sz="0" w:space="0" w:color="auto"/>
      </w:divBdr>
    </w:div>
    <w:div w:id="146292420">
      <w:bodyDiv w:val="1"/>
      <w:marLeft w:val="0"/>
      <w:marRight w:val="0"/>
      <w:marTop w:val="0"/>
      <w:marBottom w:val="0"/>
      <w:divBdr>
        <w:top w:val="none" w:sz="0" w:space="0" w:color="auto"/>
        <w:left w:val="none" w:sz="0" w:space="0" w:color="auto"/>
        <w:bottom w:val="none" w:sz="0" w:space="0" w:color="auto"/>
        <w:right w:val="none" w:sz="0" w:space="0" w:color="auto"/>
      </w:divBdr>
    </w:div>
    <w:div w:id="159202676">
      <w:bodyDiv w:val="1"/>
      <w:marLeft w:val="0"/>
      <w:marRight w:val="0"/>
      <w:marTop w:val="0"/>
      <w:marBottom w:val="0"/>
      <w:divBdr>
        <w:top w:val="none" w:sz="0" w:space="0" w:color="auto"/>
        <w:left w:val="none" w:sz="0" w:space="0" w:color="auto"/>
        <w:bottom w:val="none" w:sz="0" w:space="0" w:color="auto"/>
        <w:right w:val="none" w:sz="0" w:space="0" w:color="auto"/>
      </w:divBdr>
    </w:div>
    <w:div w:id="198780295">
      <w:bodyDiv w:val="1"/>
      <w:marLeft w:val="0"/>
      <w:marRight w:val="0"/>
      <w:marTop w:val="0"/>
      <w:marBottom w:val="0"/>
      <w:divBdr>
        <w:top w:val="none" w:sz="0" w:space="0" w:color="auto"/>
        <w:left w:val="none" w:sz="0" w:space="0" w:color="auto"/>
        <w:bottom w:val="none" w:sz="0" w:space="0" w:color="auto"/>
        <w:right w:val="none" w:sz="0" w:space="0" w:color="auto"/>
      </w:divBdr>
    </w:div>
    <w:div w:id="336232111">
      <w:bodyDiv w:val="1"/>
      <w:marLeft w:val="0"/>
      <w:marRight w:val="0"/>
      <w:marTop w:val="0"/>
      <w:marBottom w:val="0"/>
      <w:divBdr>
        <w:top w:val="none" w:sz="0" w:space="0" w:color="auto"/>
        <w:left w:val="none" w:sz="0" w:space="0" w:color="auto"/>
        <w:bottom w:val="none" w:sz="0" w:space="0" w:color="auto"/>
        <w:right w:val="none" w:sz="0" w:space="0" w:color="auto"/>
      </w:divBdr>
    </w:div>
    <w:div w:id="348336903">
      <w:bodyDiv w:val="1"/>
      <w:marLeft w:val="0"/>
      <w:marRight w:val="0"/>
      <w:marTop w:val="0"/>
      <w:marBottom w:val="0"/>
      <w:divBdr>
        <w:top w:val="none" w:sz="0" w:space="0" w:color="auto"/>
        <w:left w:val="none" w:sz="0" w:space="0" w:color="auto"/>
        <w:bottom w:val="none" w:sz="0" w:space="0" w:color="auto"/>
        <w:right w:val="none" w:sz="0" w:space="0" w:color="auto"/>
      </w:divBdr>
    </w:div>
    <w:div w:id="487332917">
      <w:bodyDiv w:val="1"/>
      <w:marLeft w:val="0"/>
      <w:marRight w:val="0"/>
      <w:marTop w:val="0"/>
      <w:marBottom w:val="0"/>
      <w:divBdr>
        <w:top w:val="none" w:sz="0" w:space="0" w:color="auto"/>
        <w:left w:val="none" w:sz="0" w:space="0" w:color="auto"/>
        <w:bottom w:val="none" w:sz="0" w:space="0" w:color="auto"/>
        <w:right w:val="none" w:sz="0" w:space="0" w:color="auto"/>
      </w:divBdr>
    </w:div>
    <w:div w:id="499351446">
      <w:bodyDiv w:val="1"/>
      <w:marLeft w:val="0"/>
      <w:marRight w:val="0"/>
      <w:marTop w:val="0"/>
      <w:marBottom w:val="0"/>
      <w:divBdr>
        <w:top w:val="none" w:sz="0" w:space="0" w:color="auto"/>
        <w:left w:val="none" w:sz="0" w:space="0" w:color="auto"/>
        <w:bottom w:val="none" w:sz="0" w:space="0" w:color="auto"/>
        <w:right w:val="none" w:sz="0" w:space="0" w:color="auto"/>
      </w:divBdr>
    </w:div>
    <w:div w:id="528445468">
      <w:bodyDiv w:val="1"/>
      <w:marLeft w:val="0"/>
      <w:marRight w:val="0"/>
      <w:marTop w:val="0"/>
      <w:marBottom w:val="0"/>
      <w:divBdr>
        <w:top w:val="none" w:sz="0" w:space="0" w:color="auto"/>
        <w:left w:val="none" w:sz="0" w:space="0" w:color="auto"/>
        <w:bottom w:val="none" w:sz="0" w:space="0" w:color="auto"/>
        <w:right w:val="none" w:sz="0" w:space="0" w:color="auto"/>
      </w:divBdr>
    </w:div>
    <w:div w:id="537163841">
      <w:bodyDiv w:val="1"/>
      <w:marLeft w:val="0"/>
      <w:marRight w:val="0"/>
      <w:marTop w:val="0"/>
      <w:marBottom w:val="0"/>
      <w:divBdr>
        <w:top w:val="none" w:sz="0" w:space="0" w:color="auto"/>
        <w:left w:val="none" w:sz="0" w:space="0" w:color="auto"/>
        <w:bottom w:val="none" w:sz="0" w:space="0" w:color="auto"/>
        <w:right w:val="none" w:sz="0" w:space="0" w:color="auto"/>
      </w:divBdr>
    </w:div>
    <w:div w:id="587812546">
      <w:bodyDiv w:val="1"/>
      <w:marLeft w:val="0"/>
      <w:marRight w:val="0"/>
      <w:marTop w:val="0"/>
      <w:marBottom w:val="0"/>
      <w:divBdr>
        <w:top w:val="none" w:sz="0" w:space="0" w:color="auto"/>
        <w:left w:val="none" w:sz="0" w:space="0" w:color="auto"/>
        <w:bottom w:val="none" w:sz="0" w:space="0" w:color="auto"/>
        <w:right w:val="none" w:sz="0" w:space="0" w:color="auto"/>
      </w:divBdr>
    </w:div>
    <w:div w:id="601038730">
      <w:bodyDiv w:val="1"/>
      <w:marLeft w:val="0"/>
      <w:marRight w:val="0"/>
      <w:marTop w:val="0"/>
      <w:marBottom w:val="0"/>
      <w:divBdr>
        <w:top w:val="none" w:sz="0" w:space="0" w:color="auto"/>
        <w:left w:val="none" w:sz="0" w:space="0" w:color="auto"/>
        <w:bottom w:val="none" w:sz="0" w:space="0" w:color="auto"/>
        <w:right w:val="none" w:sz="0" w:space="0" w:color="auto"/>
      </w:divBdr>
    </w:div>
    <w:div w:id="605699216">
      <w:bodyDiv w:val="1"/>
      <w:marLeft w:val="0"/>
      <w:marRight w:val="0"/>
      <w:marTop w:val="0"/>
      <w:marBottom w:val="0"/>
      <w:divBdr>
        <w:top w:val="none" w:sz="0" w:space="0" w:color="auto"/>
        <w:left w:val="none" w:sz="0" w:space="0" w:color="auto"/>
        <w:bottom w:val="none" w:sz="0" w:space="0" w:color="auto"/>
        <w:right w:val="none" w:sz="0" w:space="0" w:color="auto"/>
      </w:divBdr>
    </w:div>
    <w:div w:id="631326151">
      <w:bodyDiv w:val="1"/>
      <w:marLeft w:val="0"/>
      <w:marRight w:val="0"/>
      <w:marTop w:val="0"/>
      <w:marBottom w:val="0"/>
      <w:divBdr>
        <w:top w:val="none" w:sz="0" w:space="0" w:color="auto"/>
        <w:left w:val="none" w:sz="0" w:space="0" w:color="auto"/>
        <w:bottom w:val="none" w:sz="0" w:space="0" w:color="auto"/>
        <w:right w:val="none" w:sz="0" w:space="0" w:color="auto"/>
      </w:divBdr>
    </w:div>
    <w:div w:id="639578343">
      <w:bodyDiv w:val="1"/>
      <w:marLeft w:val="0"/>
      <w:marRight w:val="0"/>
      <w:marTop w:val="0"/>
      <w:marBottom w:val="0"/>
      <w:divBdr>
        <w:top w:val="none" w:sz="0" w:space="0" w:color="auto"/>
        <w:left w:val="none" w:sz="0" w:space="0" w:color="auto"/>
        <w:bottom w:val="none" w:sz="0" w:space="0" w:color="auto"/>
        <w:right w:val="none" w:sz="0" w:space="0" w:color="auto"/>
      </w:divBdr>
    </w:div>
    <w:div w:id="675424875">
      <w:bodyDiv w:val="1"/>
      <w:marLeft w:val="0"/>
      <w:marRight w:val="0"/>
      <w:marTop w:val="0"/>
      <w:marBottom w:val="0"/>
      <w:divBdr>
        <w:top w:val="none" w:sz="0" w:space="0" w:color="auto"/>
        <w:left w:val="none" w:sz="0" w:space="0" w:color="auto"/>
        <w:bottom w:val="none" w:sz="0" w:space="0" w:color="auto"/>
        <w:right w:val="none" w:sz="0" w:space="0" w:color="auto"/>
      </w:divBdr>
    </w:div>
    <w:div w:id="716247517">
      <w:bodyDiv w:val="1"/>
      <w:marLeft w:val="0"/>
      <w:marRight w:val="0"/>
      <w:marTop w:val="0"/>
      <w:marBottom w:val="0"/>
      <w:divBdr>
        <w:top w:val="none" w:sz="0" w:space="0" w:color="auto"/>
        <w:left w:val="none" w:sz="0" w:space="0" w:color="auto"/>
        <w:bottom w:val="none" w:sz="0" w:space="0" w:color="auto"/>
        <w:right w:val="none" w:sz="0" w:space="0" w:color="auto"/>
      </w:divBdr>
    </w:div>
    <w:div w:id="719208300">
      <w:bodyDiv w:val="1"/>
      <w:marLeft w:val="0"/>
      <w:marRight w:val="0"/>
      <w:marTop w:val="0"/>
      <w:marBottom w:val="0"/>
      <w:divBdr>
        <w:top w:val="none" w:sz="0" w:space="0" w:color="auto"/>
        <w:left w:val="none" w:sz="0" w:space="0" w:color="auto"/>
        <w:bottom w:val="none" w:sz="0" w:space="0" w:color="auto"/>
        <w:right w:val="none" w:sz="0" w:space="0" w:color="auto"/>
      </w:divBdr>
    </w:div>
    <w:div w:id="728959010">
      <w:bodyDiv w:val="1"/>
      <w:marLeft w:val="0"/>
      <w:marRight w:val="0"/>
      <w:marTop w:val="0"/>
      <w:marBottom w:val="0"/>
      <w:divBdr>
        <w:top w:val="none" w:sz="0" w:space="0" w:color="auto"/>
        <w:left w:val="none" w:sz="0" w:space="0" w:color="auto"/>
        <w:bottom w:val="none" w:sz="0" w:space="0" w:color="auto"/>
        <w:right w:val="none" w:sz="0" w:space="0" w:color="auto"/>
      </w:divBdr>
    </w:div>
    <w:div w:id="803736101">
      <w:bodyDiv w:val="1"/>
      <w:marLeft w:val="0"/>
      <w:marRight w:val="0"/>
      <w:marTop w:val="0"/>
      <w:marBottom w:val="0"/>
      <w:divBdr>
        <w:top w:val="none" w:sz="0" w:space="0" w:color="auto"/>
        <w:left w:val="none" w:sz="0" w:space="0" w:color="auto"/>
        <w:bottom w:val="none" w:sz="0" w:space="0" w:color="auto"/>
        <w:right w:val="none" w:sz="0" w:space="0" w:color="auto"/>
      </w:divBdr>
    </w:div>
    <w:div w:id="810486817">
      <w:bodyDiv w:val="1"/>
      <w:marLeft w:val="0"/>
      <w:marRight w:val="0"/>
      <w:marTop w:val="0"/>
      <w:marBottom w:val="0"/>
      <w:divBdr>
        <w:top w:val="none" w:sz="0" w:space="0" w:color="auto"/>
        <w:left w:val="none" w:sz="0" w:space="0" w:color="auto"/>
        <w:bottom w:val="none" w:sz="0" w:space="0" w:color="auto"/>
        <w:right w:val="none" w:sz="0" w:space="0" w:color="auto"/>
      </w:divBdr>
    </w:div>
    <w:div w:id="847210829">
      <w:bodyDiv w:val="1"/>
      <w:marLeft w:val="0"/>
      <w:marRight w:val="0"/>
      <w:marTop w:val="0"/>
      <w:marBottom w:val="0"/>
      <w:divBdr>
        <w:top w:val="none" w:sz="0" w:space="0" w:color="auto"/>
        <w:left w:val="none" w:sz="0" w:space="0" w:color="auto"/>
        <w:bottom w:val="none" w:sz="0" w:space="0" w:color="auto"/>
        <w:right w:val="none" w:sz="0" w:space="0" w:color="auto"/>
      </w:divBdr>
    </w:div>
    <w:div w:id="993025705">
      <w:bodyDiv w:val="1"/>
      <w:marLeft w:val="0"/>
      <w:marRight w:val="0"/>
      <w:marTop w:val="0"/>
      <w:marBottom w:val="0"/>
      <w:divBdr>
        <w:top w:val="none" w:sz="0" w:space="0" w:color="auto"/>
        <w:left w:val="none" w:sz="0" w:space="0" w:color="auto"/>
        <w:bottom w:val="none" w:sz="0" w:space="0" w:color="auto"/>
        <w:right w:val="none" w:sz="0" w:space="0" w:color="auto"/>
      </w:divBdr>
    </w:div>
    <w:div w:id="1095709170">
      <w:bodyDiv w:val="1"/>
      <w:marLeft w:val="0"/>
      <w:marRight w:val="0"/>
      <w:marTop w:val="0"/>
      <w:marBottom w:val="0"/>
      <w:divBdr>
        <w:top w:val="none" w:sz="0" w:space="0" w:color="auto"/>
        <w:left w:val="none" w:sz="0" w:space="0" w:color="auto"/>
        <w:bottom w:val="none" w:sz="0" w:space="0" w:color="auto"/>
        <w:right w:val="none" w:sz="0" w:space="0" w:color="auto"/>
      </w:divBdr>
    </w:div>
    <w:div w:id="1149905368">
      <w:bodyDiv w:val="1"/>
      <w:marLeft w:val="0"/>
      <w:marRight w:val="0"/>
      <w:marTop w:val="0"/>
      <w:marBottom w:val="0"/>
      <w:divBdr>
        <w:top w:val="none" w:sz="0" w:space="0" w:color="auto"/>
        <w:left w:val="none" w:sz="0" w:space="0" w:color="auto"/>
        <w:bottom w:val="none" w:sz="0" w:space="0" w:color="auto"/>
        <w:right w:val="none" w:sz="0" w:space="0" w:color="auto"/>
      </w:divBdr>
    </w:div>
    <w:div w:id="1227378503">
      <w:bodyDiv w:val="1"/>
      <w:marLeft w:val="0"/>
      <w:marRight w:val="0"/>
      <w:marTop w:val="0"/>
      <w:marBottom w:val="0"/>
      <w:divBdr>
        <w:top w:val="none" w:sz="0" w:space="0" w:color="auto"/>
        <w:left w:val="none" w:sz="0" w:space="0" w:color="auto"/>
        <w:bottom w:val="none" w:sz="0" w:space="0" w:color="auto"/>
        <w:right w:val="none" w:sz="0" w:space="0" w:color="auto"/>
      </w:divBdr>
    </w:div>
    <w:div w:id="1228302125">
      <w:bodyDiv w:val="1"/>
      <w:marLeft w:val="0"/>
      <w:marRight w:val="0"/>
      <w:marTop w:val="0"/>
      <w:marBottom w:val="0"/>
      <w:divBdr>
        <w:top w:val="none" w:sz="0" w:space="0" w:color="auto"/>
        <w:left w:val="none" w:sz="0" w:space="0" w:color="auto"/>
        <w:bottom w:val="none" w:sz="0" w:space="0" w:color="auto"/>
        <w:right w:val="none" w:sz="0" w:space="0" w:color="auto"/>
      </w:divBdr>
    </w:div>
    <w:div w:id="1269123750">
      <w:bodyDiv w:val="1"/>
      <w:marLeft w:val="0"/>
      <w:marRight w:val="0"/>
      <w:marTop w:val="0"/>
      <w:marBottom w:val="0"/>
      <w:divBdr>
        <w:top w:val="none" w:sz="0" w:space="0" w:color="auto"/>
        <w:left w:val="none" w:sz="0" w:space="0" w:color="auto"/>
        <w:bottom w:val="none" w:sz="0" w:space="0" w:color="auto"/>
        <w:right w:val="none" w:sz="0" w:space="0" w:color="auto"/>
      </w:divBdr>
    </w:div>
    <w:div w:id="1320768060">
      <w:bodyDiv w:val="1"/>
      <w:marLeft w:val="0"/>
      <w:marRight w:val="0"/>
      <w:marTop w:val="0"/>
      <w:marBottom w:val="0"/>
      <w:divBdr>
        <w:top w:val="none" w:sz="0" w:space="0" w:color="auto"/>
        <w:left w:val="none" w:sz="0" w:space="0" w:color="auto"/>
        <w:bottom w:val="none" w:sz="0" w:space="0" w:color="auto"/>
        <w:right w:val="none" w:sz="0" w:space="0" w:color="auto"/>
      </w:divBdr>
    </w:div>
    <w:div w:id="1339039849">
      <w:bodyDiv w:val="1"/>
      <w:marLeft w:val="0"/>
      <w:marRight w:val="0"/>
      <w:marTop w:val="0"/>
      <w:marBottom w:val="0"/>
      <w:divBdr>
        <w:top w:val="none" w:sz="0" w:space="0" w:color="auto"/>
        <w:left w:val="none" w:sz="0" w:space="0" w:color="auto"/>
        <w:bottom w:val="none" w:sz="0" w:space="0" w:color="auto"/>
        <w:right w:val="none" w:sz="0" w:space="0" w:color="auto"/>
      </w:divBdr>
    </w:div>
    <w:div w:id="1436241973">
      <w:bodyDiv w:val="1"/>
      <w:marLeft w:val="0"/>
      <w:marRight w:val="0"/>
      <w:marTop w:val="0"/>
      <w:marBottom w:val="0"/>
      <w:divBdr>
        <w:top w:val="none" w:sz="0" w:space="0" w:color="auto"/>
        <w:left w:val="none" w:sz="0" w:space="0" w:color="auto"/>
        <w:bottom w:val="none" w:sz="0" w:space="0" w:color="auto"/>
        <w:right w:val="none" w:sz="0" w:space="0" w:color="auto"/>
      </w:divBdr>
    </w:div>
    <w:div w:id="1466580652">
      <w:bodyDiv w:val="1"/>
      <w:marLeft w:val="0"/>
      <w:marRight w:val="0"/>
      <w:marTop w:val="0"/>
      <w:marBottom w:val="0"/>
      <w:divBdr>
        <w:top w:val="none" w:sz="0" w:space="0" w:color="auto"/>
        <w:left w:val="none" w:sz="0" w:space="0" w:color="auto"/>
        <w:bottom w:val="none" w:sz="0" w:space="0" w:color="auto"/>
        <w:right w:val="none" w:sz="0" w:space="0" w:color="auto"/>
      </w:divBdr>
    </w:div>
    <w:div w:id="1558397226">
      <w:bodyDiv w:val="1"/>
      <w:marLeft w:val="0"/>
      <w:marRight w:val="0"/>
      <w:marTop w:val="0"/>
      <w:marBottom w:val="0"/>
      <w:divBdr>
        <w:top w:val="none" w:sz="0" w:space="0" w:color="auto"/>
        <w:left w:val="none" w:sz="0" w:space="0" w:color="auto"/>
        <w:bottom w:val="none" w:sz="0" w:space="0" w:color="auto"/>
        <w:right w:val="none" w:sz="0" w:space="0" w:color="auto"/>
      </w:divBdr>
    </w:div>
    <w:div w:id="1595899647">
      <w:bodyDiv w:val="1"/>
      <w:marLeft w:val="0"/>
      <w:marRight w:val="0"/>
      <w:marTop w:val="0"/>
      <w:marBottom w:val="0"/>
      <w:divBdr>
        <w:top w:val="none" w:sz="0" w:space="0" w:color="auto"/>
        <w:left w:val="none" w:sz="0" w:space="0" w:color="auto"/>
        <w:bottom w:val="none" w:sz="0" w:space="0" w:color="auto"/>
        <w:right w:val="none" w:sz="0" w:space="0" w:color="auto"/>
      </w:divBdr>
    </w:div>
    <w:div w:id="1621957056">
      <w:bodyDiv w:val="1"/>
      <w:marLeft w:val="0"/>
      <w:marRight w:val="0"/>
      <w:marTop w:val="0"/>
      <w:marBottom w:val="0"/>
      <w:divBdr>
        <w:top w:val="none" w:sz="0" w:space="0" w:color="auto"/>
        <w:left w:val="none" w:sz="0" w:space="0" w:color="auto"/>
        <w:bottom w:val="none" w:sz="0" w:space="0" w:color="auto"/>
        <w:right w:val="none" w:sz="0" w:space="0" w:color="auto"/>
      </w:divBdr>
    </w:div>
    <w:div w:id="1623615652">
      <w:bodyDiv w:val="1"/>
      <w:marLeft w:val="0"/>
      <w:marRight w:val="0"/>
      <w:marTop w:val="0"/>
      <w:marBottom w:val="0"/>
      <w:divBdr>
        <w:top w:val="none" w:sz="0" w:space="0" w:color="auto"/>
        <w:left w:val="none" w:sz="0" w:space="0" w:color="auto"/>
        <w:bottom w:val="none" w:sz="0" w:space="0" w:color="auto"/>
        <w:right w:val="none" w:sz="0" w:space="0" w:color="auto"/>
      </w:divBdr>
    </w:div>
    <w:div w:id="1623924757">
      <w:bodyDiv w:val="1"/>
      <w:marLeft w:val="0"/>
      <w:marRight w:val="0"/>
      <w:marTop w:val="0"/>
      <w:marBottom w:val="0"/>
      <w:divBdr>
        <w:top w:val="none" w:sz="0" w:space="0" w:color="auto"/>
        <w:left w:val="none" w:sz="0" w:space="0" w:color="auto"/>
        <w:bottom w:val="none" w:sz="0" w:space="0" w:color="auto"/>
        <w:right w:val="none" w:sz="0" w:space="0" w:color="auto"/>
      </w:divBdr>
    </w:div>
    <w:div w:id="1625501327">
      <w:bodyDiv w:val="1"/>
      <w:marLeft w:val="0"/>
      <w:marRight w:val="0"/>
      <w:marTop w:val="0"/>
      <w:marBottom w:val="0"/>
      <w:divBdr>
        <w:top w:val="none" w:sz="0" w:space="0" w:color="auto"/>
        <w:left w:val="none" w:sz="0" w:space="0" w:color="auto"/>
        <w:bottom w:val="none" w:sz="0" w:space="0" w:color="auto"/>
        <w:right w:val="none" w:sz="0" w:space="0" w:color="auto"/>
      </w:divBdr>
    </w:div>
    <w:div w:id="1658069863">
      <w:bodyDiv w:val="1"/>
      <w:marLeft w:val="0"/>
      <w:marRight w:val="0"/>
      <w:marTop w:val="0"/>
      <w:marBottom w:val="0"/>
      <w:divBdr>
        <w:top w:val="none" w:sz="0" w:space="0" w:color="auto"/>
        <w:left w:val="none" w:sz="0" w:space="0" w:color="auto"/>
        <w:bottom w:val="none" w:sz="0" w:space="0" w:color="auto"/>
        <w:right w:val="none" w:sz="0" w:space="0" w:color="auto"/>
      </w:divBdr>
    </w:div>
    <w:div w:id="1680427773">
      <w:bodyDiv w:val="1"/>
      <w:marLeft w:val="0"/>
      <w:marRight w:val="0"/>
      <w:marTop w:val="0"/>
      <w:marBottom w:val="0"/>
      <w:divBdr>
        <w:top w:val="none" w:sz="0" w:space="0" w:color="auto"/>
        <w:left w:val="none" w:sz="0" w:space="0" w:color="auto"/>
        <w:bottom w:val="none" w:sz="0" w:space="0" w:color="auto"/>
        <w:right w:val="none" w:sz="0" w:space="0" w:color="auto"/>
      </w:divBdr>
    </w:div>
    <w:div w:id="1682702930">
      <w:bodyDiv w:val="1"/>
      <w:marLeft w:val="0"/>
      <w:marRight w:val="0"/>
      <w:marTop w:val="0"/>
      <w:marBottom w:val="0"/>
      <w:divBdr>
        <w:top w:val="none" w:sz="0" w:space="0" w:color="auto"/>
        <w:left w:val="none" w:sz="0" w:space="0" w:color="auto"/>
        <w:bottom w:val="none" w:sz="0" w:space="0" w:color="auto"/>
        <w:right w:val="none" w:sz="0" w:space="0" w:color="auto"/>
      </w:divBdr>
    </w:div>
    <w:div w:id="1707179007">
      <w:bodyDiv w:val="1"/>
      <w:marLeft w:val="0"/>
      <w:marRight w:val="0"/>
      <w:marTop w:val="0"/>
      <w:marBottom w:val="0"/>
      <w:divBdr>
        <w:top w:val="none" w:sz="0" w:space="0" w:color="auto"/>
        <w:left w:val="none" w:sz="0" w:space="0" w:color="auto"/>
        <w:bottom w:val="none" w:sz="0" w:space="0" w:color="auto"/>
        <w:right w:val="none" w:sz="0" w:space="0" w:color="auto"/>
      </w:divBdr>
    </w:div>
    <w:div w:id="1736008995">
      <w:bodyDiv w:val="1"/>
      <w:marLeft w:val="0"/>
      <w:marRight w:val="0"/>
      <w:marTop w:val="0"/>
      <w:marBottom w:val="0"/>
      <w:divBdr>
        <w:top w:val="none" w:sz="0" w:space="0" w:color="auto"/>
        <w:left w:val="none" w:sz="0" w:space="0" w:color="auto"/>
        <w:bottom w:val="none" w:sz="0" w:space="0" w:color="auto"/>
        <w:right w:val="none" w:sz="0" w:space="0" w:color="auto"/>
      </w:divBdr>
    </w:div>
    <w:div w:id="1743410582">
      <w:bodyDiv w:val="1"/>
      <w:marLeft w:val="0"/>
      <w:marRight w:val="0"/>
      <w:marTop w:val="0"/>
      <w:marBottom w:val="0"/>
      <w:divBdr>
        <w:top w:val="none" w:sz="0" w:space="0" w:color="auto"/>
        <w:left w:val="none" w:sz="0" w:space="0" w:color="auto"/>
        <w:bottom w:val="none" w:sz="0" w:space="0" w:color="auto"/>
        <w:right w:val="none" w:sz="0" w:space="0" w:color="auto"/>
      </w:divBdr>
    </w:div>
    <w:div w:id="1906262940">
      <w:bodyDiv w:val="1"/>
      <w:marLeft w:val="0"/>
      <w:marRight w:val="0"/>
      <w:marTop w:val="0"/>
      <w:marBottom w:val="0"/>
      <w:divBdr>
        <w:top w:val="none" w:sz="0" w:space="0" w:color="auto"/>
        <w:left w:val="none" w:sz="0" w:space="0" w:color="auto"/>
        <w:bottom w:val="none" w:sz="0" w:space="0" w:color="auto"/>
        <w:right w:val="none" w:sz="0" w:space="0" w:color="auto"/>
      </w:divBdr>
    </w:div>
    <w:div w:id="1912348872">
      <w:bodyDiv w:val="1"/>
      <w:marLeft w:val="0"/>
      <w:marRight w:val="0"/>
      <w:marTop w:val="0"/>
      <w:marBottom w:val="0"/>
      <w:divBdr>
        <w:top w:val="none" w:sz="0" w:space="0" w:color="auto"/>
        <w:left w:val="none" w:sz="0" w:space="0" w:color="auto"/>
        <w:bottom w:val="none" w:sz="0" w:space="0" w:color="auto"/>
        <w:right w:val="none" w:sz="0" w:space="0" w:color="auto"/>
      </w:divBdr>
    </w:div>
    <w:div w:id="1916545452">
      <w:bodyDiv w:val="1"/>
      <w:marLeft w:val="0"/>
      <w:marRight w:val="0"/>
      <w:marTop w:val="0"/>
      <w:marBottom w:val="0"/>
      <w:divBdr>
        <w:top w:val="none" w:sz="0" w:space="0" w:color="auto"/>
        <w:left w:val="none" w:sz="0" w:space="0" w:color="auto"/>
        <w:bottom w:val="none" w:sz="0" w:space="0" w:color="auto"/>
        <w:right w:val="none" w:sz="0" w:space="0" w:color="auto"/>
      </w:divBdr>
    </w:div>
    <w:div w:id="1935551870">
      <w:bodyDiv w:val="1"/>
      <w:marLeft w:val="0"/>
      <w:marRight w:val="0"/>
      <w:marTop w:val="0"/>
      <w:marBottom w:val="0"/>
      <w:divBdr>
        <w:top w:val="none" w:sz="0" w:space="0" w:color="auto"/>
        <w:left w:val="none" w:sz="0" w:space="0" w:color="auto"/>
        <w:bottom w:val="none" w:sz="0" w:space="0" w:color="auto"/>
        <w:right w:val="none" w:sz="0" w:space="0" w:color="auto"/>
      </w:divBdr>
    </w:div>
    <w:div w:id="1939748799">
      <w:bodyDiv w:val="1"/>
      <w:marLeft w:val="0"/>
      <w:marRight w:val="0"/>
      <w:marTop w:val="0"/>
      <w:marBottom w:val="0"/>
      <w:divBdr>
        <w:top w:val="none" w:sz="0" w:space="0" w:color="auto"/>
        <w:left w:val="none" w:sz="0" w:space="0" w:color="auto"/>
        <w:bottom w:val="none" w:sz="0" w:space="0" w:color="auto"/>
        <w:right w:val="none" w:sz="0" w:space="0" w:color="auto"/>
      </w:divBdr>
    </w:div>
    <w:div w:id="21441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contracts/IFB-17-4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y.ca.gov/2018publications/CEC-400-2018-003/CEC-400-2018-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1B1F8-6FD1-4688-9E05-429739D0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22355</CharactersWithSpaces>
  <SharedDoc>false</SharedDoc>
  <HLinks>
    <vt:vector size="30" baseType="variant">
      <vt:variant>
        <vt:i4>6226006</vt:i4>
      </vt:variant>
      <vt:variant>
        <vt:i4>12</vt:i4>
      </vt:variant>
      <vt:variant>
        <vt:i4>0</vt:i4>
      </vt:variant>
      <vt:variant>
        <vt:i4>5</vt:i4>
      </vt:variant>
      <vt:variant>
        <vt:lpwstr>http://www.energy.ca.gov/contracts/transportation.html</vt:lpwstr>
      </vt:variant>
      <vt:variant>
        <vt:lpwstr>PON-13-605</vt:lpwstr>
      </vt:variant>
      <vt:variant>
        <vt:i4>6226006</vt:i4>
      </vt:variant>
      <vt:variant>
        <vt:i4>9</vt:i4>
      </vt:variant>
      <vt:variant>
        <vt:i4>0</vt:i4>
      </vt:variant>
      <vt:variant>
        <vt:i4>5</vt:i4>
      </vt:variant>
      <vt:variant>
        <vt:lpwstr>http://www.energy.ca.gov/contracts/transportation.html</vt:lpwstr>
      </vt:variant>
      <vt:variant>
        <vt:lpwstr>PON-13-605</vt:lpwstr>
      </vt:variant>
      <vt:variant>
        <vt:i4>6226006</vt:i4>
      </vt:variant>
      <vt:variant>
        <vt:i4>6</vt:i4>
      </vt:variant>
      <vt:variant>
        <vt:i4>0</vt:i4>
      </vt:variant>
      <vt:variant>
        <vt:i4>5</vt:i4>
      </vt:variant>
      <vt:variant>
        <vt:lpwstr>http://www.energy.ca.gov/contracts/transportation.html</vt:lpwstr>
      </vt:variant>
      <vt:variant>
        <vt:lpwstr>PON-13-605</vt:lpwstr>
      </vt:variant>
      <vt:variant>
        <vt:i4>7733354</vt:i4>
      </vt:variant>
      <vt:variant>
        <vt:i4>3</vt:i4>
      </vt:variant>
      <vt:variant>
        <vt:i4>0</vt:i4>
      </vt:variant>
      <vt:variant>
        <vt:i4>5</vt:i4>
      </vt:variant>
      <vt:variant>
        <vt:lpwstr>http://www.energy.ca.gov/2012-ALT-2/documents/</vt:lpwstr>
      </vt:variant>
      <vt:variant>
        <vt:lpwstr/>
      </vt:variant>
      <vt:variant>
        <vt:i4>8192054</vt:i4>
      </vt:variant>
      <vt:variant>
        <vt:i4>0</vt:i4>
      </vt:variant>
      <vt:variant>
        <vt:i4>0</vt:i4>
      </vt:variant>
      <vt:variant>
        <vt:i4>5</vt:i4>
      </vt:variant>
      <vt:variant>
        <vt:lpwstr>http://www.energy.ca.gov/contracts/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mcrowell</dc:creator>
  <cp:lastModifiedBy>Lundeen, Albert@Energy</cp:lastModifiedBy>
  <cp:revision>2</cp:revision>
  <cp:lastPrinted>2018-03-21T18:04:00Z</cp:lastPrinted>
  <dcterms:created xsi:type="dcterms:W3CDTF">2019-12-24T20:01:00Z</dcterms:created>
  <dcterms:modified xsi:type="dcterms:W3CDTF">2019-12-24T20:01:00Z</dcterms:modified>
</cp:coreProperties>
</file>