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B6" w:rsidRDefault="002778BF" w:rsidP="002778BF">
      <w:pPr>
        <w:pStyle w:val="Heading1"/>
        <w:jc w:val="center"/>
        <w:rPr>
          <w:rFonts w:ascii="Times New Roman" w:hAnsi="Times New Roman" w:cs="Times New Roman"/>
          <w:color w:val="auto"/>
        </w:rPr>
      </w:pPr>
      <w:bookmarkStart w:id="0" w:name="_GoBack"/>
      <w:bookmarkEnd w:id="0"/>
      <w:r w:rsidRPr="002778BF">
        <w:rPr>
          <w:rFonts w:ascii="Times New Roman" w:hAnsi="Times New Roman" w:cs="Times New Roman"/>
          <w:color w:val="auto"/>
        </w:rPr>
        <w:t>University of California Model Agreement Template and Terms</w:t>
      </w:r>
    </w:p>
    <w:p w:rsidR="002778BF" w:rsidRDefault="002778BF" w:rsidP="002778BF">
      <w:pPr>
        <w:spacing w:before="240"/>
      </w:pPr>
      <w:r>
        <w:t xml:space="preserve">Please visit the </w:t>
      </w:r>
      <w:hyperlink r:id="rId7" w:history="1">
        <w:r w:rsidRPr="002778BF">
          <w:rPr>
            <w:rStyle w:val="Hyperlink"/>
          </w:rPr>
          <w:t>University of California, Office of the President</w:t>
        </w:r>
      </w:hyperlink>
      <w:r>
        <w:t xml:space="preserve"> for the California Model Agreement Template and Terms at </w:t>
      </w:r>
      <w:r w:rsidRPr="002778BF">
        <w:t>https://www.ucop.edu/research-policy-analysis-coordination/research-sponsors-agreements/state-of-california/california-model-agreement.html</w:t>
      </w:r>
      <w:r>
        <w:t>.</w:t>
      </w:r>
    </w:p>
    <w:p w:rsidR="00FD55DA" w:rsidRDefault="009E2886" w:rsidP="002778BF">
      <w:pPr>
        <w:spacing w:before="240"/>
      </w:pPr>
      <w:r>
        <w:t>In addition to the California Model Agreement Template and Terms, the California Energy Commission also requires the use of the California Energy Commission budget forms and the California Energy Commissio</w:t>
      </w:r>
      <w:r w:rsidR="00927DD4">
        <w:t>n Negotiated Alternate UTC Terms.</w:t>
      </w:r>
    </w:p>
    <w:p w:rsidR="00FD55DA" w:rsidRDefault="00FD55DA" w:rsidP="00FD55DA">
      <w:r>
        <w:br w:type="page"/>
      </w:r>
    </w:p>
    <w:p w:rsidR="00FD55DA" w:rsidRPr="00FD55DA" w:rsidRDefault="00FD55DA" w:rsidP="00FD55DA">
      <w:pPr>
        <w:tabs>
          <w:tab w:val="right" w:leader="dot" w:pos="9090"/>
        </w:tabs>
        <w:autoSpaceDE w:val="0"/>
        <w:autoSpaceDN w:val="0"/>
        <w:spacing w:before="20" w:after="0" w:line="360" w:lineRule="auto"/>
        <w:jc w:val="center"/>
        <w:rPr>
          <w:rFonts w:ascii="Times New Roman" w:eastAsia="Times New Roman" w:hAnsi="Times New Roman" w:cs="Times New Roman"/>
          <w:b/>
          <w:bCs/>
          <w:sz w:val="28"/>
          <w:szCs w:val="32"/>
        </w:rPr>
      </w:pPr>
      <w:r w:rsidRPr="00FD55DA">
        <w:rPr>
          <w:rFonts w:ascii="Times New Roman" w:eastAsia="Times New Roman" w:hAnsi="Times New Roman" w:cs="Times New Roman"/>
          <w:b/>
          <w:bCs/>
          <w:sz w:val="28"/>
          <w:szCs w:val="32"/>
        </w:rPr>
        <w:lastRenderedPageBreak/>
        <w:t>Exhibit B</w:t>
      </w:r>
    </w:p>
    <w:p w:rsidR="00FD55DA" w:rsidRPr="00FD55DA" w:rsidRDefault="00FD55DA" w:rsidP="00FD55DA">
      <w:pPr>
        <w:tabs>
          <w:tab w:val="right" w:leader="dot" w:pos="9090"/>
        </w:tabs>
        <w:autoSpaceDE w:val="0"/>
        <w:autoSpaceDN w:val="0"/>
        <w:spacing w:before="20" w:after="0" w:line="360" w:lineRule="auto"/>
        <w:jc w:val="center"/>
        <w:rPr>
          <w:rFonts w:ascii="Times New Roman" w:eastAsia="Times New Roman" w:hAnsi="Times New Roman" w:cs="Times New Roman"/>
          <w:b/>
          <w:bCs/>
          <w:sz w:val="24"/>
          <w:szCs w:val="32"/>
        </w:rPr>
      </w:pPr>
      <w:r w:rsidRPr="00FD55DA">
        <w:rPr>
          <w:rFonts w:ascii="Times New Roman" w:eastAsia="Times New Roman" w:hAnsi="Times New Roman" w:cs="Times New Roman"/>
          <w:b/>
          <w:bCs/>
          <w:sz w:val="24"/>
          <w:szCs w:val="32"/>
        </w:rPr>
        <w:t>Budget for Project Period</w:t>
      </w:r>
    </w:p>
    <w:p w:rsidR="00FD55DA" w:rsidRPr="00FD55DA" w:rsidRDefault="00FD55DA" w:rsidP="00FD55DA">
      <w:pPr>
        <w:tabs>
          <w:tab w:val="right" w:leader="dot" w:pos="9090"/>
        </w:tabs>
        <w:autoSpaceDE w:val="0"/>
        <w:autoSpaceDN w:val="0"/>
        <w:spacing w:before="20" w:after="0" w:line="360" w:lineRule="auto"/>
        <w:jc w:val="center"/>
        <w:rPr>
          <w:rFonts w:ascii="Times New Roman" w:eastAsia="Times New Roman" w:hAnsi="Times New Roman" w:cs="Times New Roman"/>
          <w:b/>
          <w:bCs/>
          <w:sz w:val="24"/>
          <w:szCs w:val="32"/>
        </w:rPr>
      </w:pPr>
      <w:r w:rsidRPr="00FD55DA">
        <w:rPr>
          <w:rFonts w:ascii="Times New Roman" w:eastAsia="Times New Roman" w:hAnsi="Times New Roman" w:cs="Times New Roman"/>
          <w:bCs/>
          <w:color w:val="2E74B5"/>
        </w:rPr>
        <w:fldChar w:fldCharType="begin">
          <w:ffData>
            <w:name w:val="Text34"/>
            <w:enabled/>
            <w:calcOnExit w:val="0"/>
            <w:textInput>
              <w:default w:val="Attach (or insert) California Energy Commission Budget form"/>
            </w:textInput>
          </w:ffData>
        </w:fldChar>
      </w:r>
      <w:bookmarkStart w:id="1" w:name="Text34"/>
      <w:r w:rsidRPr="00FD55DA">
        <w:rPr>
          <w:rFonts w:ascii="Times New Roman" w:eastAsia="Times New Roman" w:hAnsi="Times New Roman" w:cs="Times New Roman"/>
          <w:bCs/>
          <w:color w:val="2E74B5"/>
        </w:rPr>
        <w:instrText xml:space="preserve"> FORMTEXT </w:instrText>
      </w:r>
      <w:r w:rsidRPr="00FD55DA">
        <w:rPr>
          <w:rFonts w:ascii="Times New Roman" w:eastAsia="Times New Roman" w:hAnsi="Times New Roman" w:cs="Times New Roman"/>
          <w:bCs/>
          <w:color w:val="2E74B5"/>
        </w:rPr>
      </w:r>
      <w:r w:rsidRPr="00FD55DA">
        <w:rPr>
          <w:rFonts w:ascii="Times New Roman" w:eastAsia="Times New Roman" w:hAnsi="Times New Roman" w:cs="Times New Roman"/>
          <w:bCs/>
          <w:color w:val="2E74B5"/>
        </w:rPr>
        <w:fldChar w:fldCharType="separate"/>
      </w:r>
      <w:r w:rsidRPr="00FD55DA">
        <w:rPr>
          <w:rFonts w:ascii="Times New Roman" w:eastAsia="Times New Roman" w:hAnsi="Times New Roman" w:cs="Times New Roman"/>
          <w:bCs/>
          <w:noProof/>
          <w:color w:val="2E74B5"/>
        </w:rPr>
        <w:t>Attach (or insert) California Energy Commission Budget form</w:t>
      </w:r>
      <w:r w:rsidRPr="00FD55DA">
        <w:rPr>
          <w:rFonts w:ascii="Times New Roman" w:eastAsia="Times New Roman" w:hAnsi="Times New Roman" w:cs="Times New Roman"/>
          <w:bCs/>
          <w:color w:val="2E74B5"/>
        </w:rPr>
        <w:fldChar w:fldCharType="end"/>
      </w:r>
      <w:bookmarkEnd w:id="1"/>
    </w:p>
    <w:p w:rsidR="00FD55DA" w:rsidRDefault="00FD55DA">
      <w:r>
        <w:br w:type="page"/>
      </w:r>
    </w:p>
    <w:p w:rsidR="00FD55DA" w:rsidRPr="00FD55DA" w:rsidRDefault="00FD55DA" w:rsidP="00FD55DA">
      <w:pPr>
        <w:tabs>
          <w:tab w:val="right" w:leader="dot" w:pos="9090"/>
        </w:tabs>
        <w:autoSpaceDE w:val="0"/>
        <w:autoSpaceDN w:val="0"/>
        <w:spacing w:before="20" w:after="0" w:line="360" w:lineRule="auto"/>
        <w:jc w:val="center"/>
        <w:rPr>
          <w:rFonts w:ascii="Times New Roman" w:eastAsia="Times New Roman" w:hAnsi="Times New Roman" w:cs="Times New Roman"/>
          <w:b/>
          <w:bCs/>
          <w:sz w:val="28"/>
          <w:szCs w:val="32"/>
        </w:rPr>
      </w:pPr>
      <w:r w:rsidRPr="00FD55DA">
        <w:rPr>
          <w:rFonts w:ascii="Times New Roman" w:eastAsia="Times New Roman" w:hAnsi="Times New Roman" w:cs="Times New Roman"/>
          <w:b/>
          <w:bCs/>
          <w:sz w:val="28"/>
          <w:szCs w:val="32"/>
        </w:rPr>
        <w:lastRenderedPageBreak/>
        <w:t>Exhibit B2</w:t>
      </w:r>
    </w:p>
    <w:p w:rsidR="00FD55DA" w:rsidRPr="00FD55DA" w:rsidRDefault="00FD55DA" w:rsidP="00FD55DA">
      <w:pPr>
        <w:tabs>
          <w:tab w:val="right" w:leader="dot" w:pos="9090"/>
        </w:tabs>
        <w:autoSpaceDE w:val="0"/>
        <w:autoSpaceDN w:val="0"/>
        <w:spacing w:before="20" w:after="0" w:line="360" w:lineRule="auto"/>
        <w:jc w:val="center"/>
        <w:rPr>
          <w:rFonts w:ascii="Times New Roman" w:eastAsia="Times New Roman" w:hAnsi="Times New Roman" w:cs="Times New Roman"/>
          <w:b/>
          <w:bCs/>
          <w:sz w:val="24"/>
          <w:szCs w:val="32"/>
        </w:rPr>
      </w:pPr>
      <w:r w:rsidRPr="00FD55DA">
        <w:rPr>
          <w:rFonts w:ascii="Times New Roman" w:eastAsia="Times New Roman" w:hAnsi="Times New Roman" w:cs="Times New Roman"/>
          <w:b/>
          <w:bCs/>
          <w:sz w:val="24"/>
          <w:szCs w:val="32"/>
        </w:rPr>
        <w:t>Budget(s) Pertaining to Subcontractor(s) (when applicable)</w:t>
      </w:r>
      <w:r w:rsidRPr="00FD55DA">
        <w:rPr>
          <w:rFonts w:ascii="Arial" w:eastAsia="Times New Roman" w:hAnsi="Arial" w:cs="Arial"/>
          <w:b/>
          <w:bCs/>
          <w:noProof/>
          <w:sz w:val="20"/>
          <w:szCs w:val="20"/>
        </w:rPr>
        <w:t xml:space="preserve"> </w:t>
      </w:r>
    </w:p>
    <w:p w:rsidR="00FD55DA" w:rsidRPr="00FD55DA" w:rsidRDefault="00FD55DA" w:rsidP="00FD55DA">
      <w:pPr>
        <w:tabs>
          <w:tab w:val="right" w:leader="dot" w:pos="9090"/>
        </w:tabs>
        <w:autoSpaceDE w:val="0"/>
        <w:autoSpaceDN w:val="0"/>
        <w:spacing w:before="20" w:after="0" w:line="360" w:lineRule="auto"/>
        <w:jc w:val="center"/>
        <w:rPr>
          <w:rFonts w:ascii="Times New Roman" w:eastAsia="Times New Roman" w:hAnsi="Times New Roman" w:cs="Times New Roman"/>
          <w:b/>
          <w:bCs/>
          <w:sz w:val="24"/>
          <w:szCs w:val="32"/>
        </w:rPr>
      </w:pPr>
      <w:r w:rsidRPr="00FD55DA">
        <w:rPr>
          <w:rFonts w:ascii="Times New Roman" w:eastAsia="Times New Roman" w:hAnsi="Times New Roman" w:cs="Times New Roman"/>
          <w:bCs/>
          <w:color w:val="2E74B5"/>
        </w:rPr>
        <w:fldChar w:fldCharType="begin">
          <w:ffData>
            <w:name w:val="Text34"/>
            <w:enabled/>
            <w:calcOnExit w:val="0"/>
            <w:textInput>
              <w:default w:val="Attach (or insert) California Energy Commission Budget form"/>
            </w:textInput>
          </w:ffData>
        </w:fldChar>
      </w:r>
      <w:r w:rsidRPr="00FD55DA">
        <w:rPr>
          <w:rFonts w:ascii="Times New Roman" w:eastAsia="Times New Roman" w:hAnsi="Times New Roman" w:cs="Times New Roman"/>
          <w:bCs/>
          <w:color w:val="2E74B5"/>
        </w:rPr>
        <w:instrText xml:space="preserve"> FORMTEXT </w:instrText>
      </w:r>
      <w:r w:rsidRPr="00FD55DA">
        <w:rPr>
          <w:rFonts w:ascii="Times New Roman" w:eastAsia="Times New Roman" w:hAnsi="Times New Roman" w:cs="Times New Roman"/>
          <w:bCs/>
          <w:color w:val="2E74B5"/>
        </w:rPr>
      </w:r>
      <w:r w:rsidRPr="00FD55DA">
        <w:rPr>
          <w:rFonts w:ascii="Times New Roman" w:eastAsia="Times New Roman" w:hAnsi="Times New Roman" w:cs="Times New Roman"/>
          <w:bCs/>
          <w:color w:val="2E74B5"/>
        </w:rPr>
        <w:fldChar w:fldCharType="separate"/>
      </w:r>
      <w:r w:rsidRPr="00FD55DA">
        <w:rPr>
          <w:rFonts w:ascii="Times New Roman" w:eastAsia="Times New Roman" w:hAnsi="Times New Roman" w:cs="Times New Roman"/>
          <w:bCs/>
          <w:noProof/>
          <w:color w:val="2E74B5"/>
        </w:rPr>
        <w:t>Attach (or insert) California Energy Commission Budget form</w:t>
      </w:r>
      <w:r w:rsidRPr="00FD55DA">
        <w:rPr>
          <w:rFonts w:ascii="Times New Roman" w:eastAsia="Times New Roman" w:hAnsi="Times New Roman" w:cs="Times New Roman"/>
          <w:bCs/>
          <w:color w:val="2E74B5"/>
        </w:rPr>
        <w:fldChar w:fldCharType="end"/>
      </w:r>
    </w:p>
    <w:p w:rsidR="00D947B6" w:rsidRPr="00D947B6" w:rsidRDefault="00FD55DA" w:rsidP="00D947B6">
      <w:pPr>
        <w:pStyle w:val="Heading1"/>
        <w:jc w:val="center"/>
        <w:rPr>
          <w:rFonts w:ascii="Times New Roman" w:eastAsia="Times New Roman" w:hAnsi="Times New Roman" w:cs="Times New Roman"/>
          <w:b/>
          <w:color w:val="auto"/>
          <w:sz w:val="28"/>
          <w:szCs w:val="28"/>
        </w:rPr>
      </w:pPr>
      <w:r>
        <w:br w:type="page"/>
      </w:r>
      <w:bookmarkStart w:id="2" w:name="ExhibitG"/>
      <w:bookmarkEnd w:id="2"/>
      <w:r w:rsidR="00D947B6" w:rsidRPr="00D947B6">
        <w:rPr>
          <w:rFonts w:ascii="Times New Roman" w:eastAsia="Times New Roman" w:hAnsi="Times New Roman" w:cs="Times New Roman"/>
          <w:b/>
          <w:color w:val="auto"/>
          <w:sz w:val="28"/>
          <w:szCs w:val="28"/>
        </w:rPr>
        <w:lastRenderedPageBreak/>
        <w:t>Exhibit G – Negotiated Alternate UTC Terms</w:t>
      </w:r>
    </w:p>
    <w:p w:rsidR="00D947B6" w:rsidRPr="00D947B6" w:rsidRDefault="00D947B6" w:rsidP="00D947B6">
      <w:pPr>
        <w:keepNext/>
        <w:tabs>
          <w:tab w:val="left" w:pos="1890"/>
        </w:tabs>
        <w:spacing w:after="240" w:line="240" w:lineRule="auto"/>
        <w:ind w:hanging="115"/>
        <w:jc w:val="center"/>
        <w:outlineLvl w:val="0"/>
        <w:rPr>
          <w:rFonts w:ascii="Times New Roman" w:eastAsia="Times New Roman" w:hAnsi="Times New Roman" w:cs="Times New Roman"/>
          <w:b/>
          <w:sz w:val="28"/>
          <w:szCs w:val="28"/>
        </w:rPr>
      </w:pPr>
      <w:r w:rsidRPr="00D947B6">
        <w:rPr>
          <w:rFonts w:ascii="Times New Roman" w:eastAsia="Times New Roman" w:hAnsi="Times New Roman" w:cs="Times New Roman"/>
          <w:b/>
          <w:sz w:val="28"/>
          <w:szCs w:val="28"/>
        </w:rPr>
        <w:t>CEC PIER NG</w:t>
      </w:r>
    </w:p>
    <w:p w:rsidR="00D947B6" w:rsidRPr="00D947B6" w:rsidRDefault="00D947B6" w:rsidP="00D947B6">
      <w:pPr>
        <w:numPr>
          <w:ilvl w:val="0"/>
          <w:numId w:val="4"/>
        </w:numPr>
        <w:spacing w:after="0" w:line="240" w:lineRule="auto"/>
        <w:ind w:left="360"/>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Precedence of this Exhibit G  </w:t>
      </w:r>
    </w:p>
    <w:p w:rsidR="00D947B6" w:rsidRPr="00D947B6" w:rsidRDefault="00D947B6" w:rsidP="00D947B6">
      <w:pPr>
        <w:numPr>
          <w:ilvl w:val="1"/>
          <w:numId w:val="4"/>
        </w:numPr>
        <w:spacing w:before="120" w:after="0" w:line="240" w:lineRule="auto"/>
        <w:ind w:left="720"/>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The Energy Commission and the University have mutually determined that certain specified Agreement provisions from Exhibit C are inappropriate or inadequate for this Agreement and therefore have agreed to the following alternate UTC Terms as provided for in this Exhibit G – Negotiated Alternate UTC Terms.</w:t>
      </w:r>
    </w:p>
    <w:p w:rsidR="00D947B6" w:rsidRPr="00D947B6" w:rsidRDefault="00D947B6" w:rsidP="00D947B6">
      <w:pPr>
        <w:spacing w:before="120" w:after="0" w:line="240" w:lineRule="auto"/>
        <w:ind w:left="720"/>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 </w:t>
      </w:r>
    </w:p>
    <w:p w:rsidR="00D947B6" w:rsidRPr="00D947B6" w:rsidRDefault="00D947B6" w:rsidP="00D947B6">
      <w:pPr>
        <w:numPr>
          <w:ilvl w:val="1"/>
          <w:numId w:val="4"/>
        </w:numPr>
        <w:spacing w:after="0" w:line="240" w:lineRule="auto"/>
        <w:ind w:left="720"/>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In the event of a conflict, the terms in this Exhibit G take precedence over other provisions of this Agreement, including Exhibit C.</w:t>
      </w:r>
    </w:p>
    <w:p w:rsidR="00D947B6" w:rsidRPr="00D947B6" w:rsidRDefault="00D947B6" w:rsidP="00D947B6">
      <w:pPr>
        <w:spacing w:after="0" w:line="240" w:lineRule="auto"/>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 </w:t>
      </w:r>
    </w:p>
    <w:p w:rsidR="00D947B6" w:rsidRPr="00D947B6" w:rsidRDefault="00D947B6" w:rsidP="00D947B6">
      <w:pPr>
        <w:numPr>
          <w:ilvl w:val="0"/>
          <w:numId w:val="4"/>
        </w:numPr>
        <w:spacing w:after="0" w:line="240" w:lineRule="auto"/>
        <w:ind w:left="360"/>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Patent Rights - University</w:t>
      </w:r>
    </w:p>
    <w:p w:rsidR="00D947B6" w:rsidRPr="00D947B6" w:rsidRDefault="00D947B6" w:rsidP="00D947B6">
      <w:pPr>
        <w:numPr>
          <w:ilvl w:val="1"/>
          <w:numId w:val="1"/>
        </w:numPr>
        <w:spacing w:before="120" w:after="0" w:line="240" w:lineRule="auto"/>
        <w:rPr>
          <w:rFonts w:ascii="Times New Roman" w:eastAsia="?????? Pro W3" w:hAnsi="Times New Roman" w:cs="Times New Roman"/>
          <w:color w:val="000000"/>
          <w:sz w:val="24"/>
          <w:szCs w:val="24"/>
        </w:rPr>
      </w:pPr>
      <w:r w:rsidRPr="00D947B6">
        <w:rPr>
          <w:rFonts w:ascii="Times New Roman" w:eastAsia="?????? Pro W3" w:hAnsi="Times New Roman" w:cs="Times New Roman"/>
          <w:color w:val="000000"/>
          <w:sz w:val="24"/>
          <w:szCs w:val="24"/>
        </w:rPr>
        <w:t>Subject to the requirements of law, all rights to any patentable inventions or discoveries conceived and first actually reduced to practice in the performance of the Scope of Work, Exhibit A, conducted under this Agreement (“Patentable Inventions”) shall belong to the University. The State shall have a nonexclusive, sublicensable, irrevocable, paid-up license to practice or have practiced such Patentable Invention for government purposes.</w:t>
      </w:r>
    </w:p>
    <w:p w:rsidR="00D947B6" w:rsidRPr="00D947B6" w:rsidRDefault="00D947B6" w:rsidP="00D947B6">
      <w:pPr>
        <w:numPr>
          <w:ilvl w:val="1"/>
          <w:numId w:val="1"/>
        </w:numPr>
        <w:spacing w:before="200" w:after="0" w:line="240" w:lineRule="auto"/>
        <w:rPr>
          <w:rFonts w:ascii="Times New Roman" w:eastAsia="?????? Pro W3" w:hAnsi="Times New Roman" w:cs="Times New Roman"/>
          <w:color w:val="000000"/>
          <w:sz w:val="24"/>
          <w:szCs w:val="24"/>
        </w:rPr>
      </w:pPr>
      <w:r w:rsidRPr="00D947B6">
        <w:rPr>
          <w:rFonts w:ascii="Times New Roman" w:eastAsia="?????? Pro W3" w:hAnsi="Times New Roman" w:cs="Times New Roman"/>
          <w:color w:val="000000"/>
          <w:sz w:val="24"/>
          <w:szCs w:val="24"/>
        </w:rPr>
        <w:t>A State Confirmatory License (attached) will be executed by the University to provide said license to any such Patentable Invention, within ninety (90) days after filing of patent application.</w:t>
      </w:r>
    </w:p>
    <w:p w:rsidR="00D947B6" w:rsidRPr="00D947B6" w:rsidRDefault="00D947B6" w:rsidP="00D947B6">
      <w:pPr>
        <w:numPr>
          <w:ilvl w:val="1"/>
          <w:numId w:val="1"/>
        </w:numPr>
        <w:spacing w:before="200" w:after="0" w:line="240" w:lineRule="auto"/>
        <w:rPr>
          <w:rFonts w:ascii="Times New Roman" w:eastAsia="?????? Pro W3" w:hAnsi="Times New Roman" w:cs="Times New Roman"/>
          <w:color w:val="000000"/>
          <w:sz w:val="24"/>
          <w:szCs w:val="24"/>
        </w:rPr>
      </w:pPr>
      <w:r w:rsidRPr="00D947B6">
        <w:rPr>
          <w:rFonts w:ascii="Times New Roman" w:eastAsia="?????? Pro W3" w:hAnsi="Times New Roman" w:cs="Times New Roman"/>
          <w:color w:val="000000"/>
          <w:sz w:val="24"/>
          <w:szCs w:val="24"/>
        </w:rPr>
        <w:t>University shall file, prosecute and maintain a patent application claiming a Patentable Invention described in paragraph A above within two years of disclosure of a Patentable Invention to University by inventors and will diligently pursue broad application of such Patentable Invention.  If State notifies University of a need that is not being met by University, University will take steps to meet such need or will offer sufficient field-of-use rights to State to address such unmet need.</w:t>
      </w:r>
    </w:p>
    <w:p w:rsidR="00D947B6" w:rsidRPr="00D947B6" w:rsidRDefault="00D947B6" w:rsidP="00D947B6">
      <w:pPr>
        <w:numPr>
          <w:ilvl w:val="1"/>
          <w:numId w:val="1"/>
        </w:numPr>
        <w:spacing w:before="200" w:after="0" w:line="240" w:lineRule="auto"/>
        <w:rPr>
          <w:rFonts w:ascii="Times New Roman" w:eastAsia="?????? Pro W3" w:hAnsi="Times New Roman" w:cs="Times New Roman"/>
          <w:color w:val="000000"/>
          <w:sz w:val="24"/>
          <w:szCs w:val="24"/>
        </w:rPr>
      </w:pPr>
      <w:r w:rsidRPr="00D947B6">
        <w:rPr>
          <w:rFonts w:ascii="Times New Roman" w:eastAsia="?????? Pro W3" w:hAnsi="Times New Roman" w:cs="Times New Roman"/>
          <w:color w:val="000000"/>
          <w:sz w:val="24"/>
          <w:szCs w:val="24"/>
        </w:rPr>
        <w:t>If University decides not to file a patent application within such two-year period or decides to abandon a patent or patent application claiming such Patentable Invention, and determines that it does not intend to pursue commercialization of such Patentable Invention, then University will notify the State in sufficient time to preserve patent rights, and upon State agency request, University agrees to assign title to State, subject to requirements of law, outstanding rights in third parties, and a reserved right to use the Patentable Invention for educational and research purposes and to allow other educational and nonprofit institutions to do so.</w:t>
      </w:r>
    </w:p>
    <w:p w:rsidR="00D947B6" w:rsidRPr="00D947B6" w:rsidRDefault="00D947B6" w:rsidP="00D947B6">
      <w:pPr>
        <w:numPr>
          <w:ilvl w:val="1"/>
          <w:numId w:val="1"/>
        </w:numPr>
        <w:spacing w:before="200" w:after="0" w:line="240" w:lineRule="auto"/>
        <w:rPr>
          <w:rFonts w:ascii="Times New Roman" w:eastAsia="?????? Pro W3" w:hAnsi="Times New Roman" w:cs="Times New Roman"/>
          <w:color w:val="000000"/>
          <w:sz w:val="24"/>
          <w:szCs w:val="24"/>
        </w:rPr>
      </w:pPr>
      <w:r w:rsidRPr="00D947B6">
        <w:rPr>
          <w:rFonts w:ascii="Times New Roman" w:eastAsia="?????? Pro W3" w:hAnsi="Times New Roman" w:cs="Times New Roman"/>
          <w:color w:val="000000"/>
          <w:sz w:val="24"/>
          <w:szCs w:val="24"/>
        </w:rPr>
        <w:t>Copyrightable works that may be patentable are also subject to the Patent Rights clause, which will take precedence in case of a conflict.</w:t>
      </w:r>
      <w:bookmarkStart w:id="3" w:name="_Toc233012628"/>
      <w:bookmarkStart w:id="4" w:name="_Toc414626898"/>
    </w:p>
    <w:p w:rsidR="00D947B6" w:rsidRPr="00D947B6" w:rsidRDefault="00D947B6" w:rsidP="00D947B6">
      <w:pPr>
        <w:spacing w:after="0" w:line="240" w:lineRule="auto"/>
        <w:ind w:left="720"/>
        <w:rPr>
          <w:rFonts w:ascii="Times New Roman" w:eastAsia="?????? Pro W3" w:hAnsi="Times New Roman" w:cs="Times New Roman"/>
          <w:color w:val="000000"/>
          <w:sz w:val="24"/>
          <w:szCs w:val="24"/>
        </w:rPr>
      </w:pPr>
    </w:p>
    <w:p w:rsidR="00D947B6" w:rsidRPr="00D947B6" w:rsidRDefault="00D947B6" w:rsidP="00D947B6">
      <w:pPr>
        <w:numPr>
          <w:ilvl w:val="0"/>
          <w:numId w:val="4"/>
        </w:numPr>
        <w:spacing w:after="0" w:line="240" w:lineRule="auto"/>
        <w:ind w:left="360"/>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Royalty Payments to the Energy Commission</w:t>
      </w:r>
      <w:bookmarkEnd w:id="3"/>
      <w:bookmarkEnd w:id="4"/>
    </w:p>
    <w:p w:rsidR="00D947B6" w:rsidRPr="00D947B6" w:rsidRDefault="00D947B6" w:rsidP="00D947B6">
      <w:pPr>
        <w:numPr>
          <w:ilvl w:val="1"/>
          <w:numId w:val="5"/>
        </w:numPr>
        <w:spacing w:before="120" w:after="0" w:line="240" w:lineRule="auto"/>
        <w:ind w:left="720"/>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In consideration of the Commission providing funding to the University, University agrees to pay the Commission a portion of either Net Revenues or Net Royalties under the terms and conditions hereinafter set forth.  If federal funds are used in the conception </w:t>
      </w:r>
      <w:r w:rsidRPr="00D947B6">
        <w:rPr>
          <w:rFonts w:ascii="Times New Roman" w:eastAsia="Times New Roman" w:hAnsi="Times New Roman" w:cs="Times New Roman"/>
          <w:color w:val="000000"/>
          <w:sz w:val="24"/>
          <w:szCs w:val="24"/>
        </w:rPr>
        <w:lastRenderedPageBreak/>
        <w:t xml:space="preserve">or reduction to practice of a Subject Invention, </w:t>
      </w:r>
      <w:r w:rsidRPr="00D947B6" w:rsidDel="00365471">
        <w:rPr>
          <w:rFonts w:ascii="Times New Roman" w:eastAsia="Times New Roman" w:hAnsi="Times New Roman" w:cs="Times New Roman"/>
          <w:color w:val="000000"/>
          <w:sz w:val="24"/>
          <w:szCs w:val="24"/>
        </w:rPr>
        <w:t xml:space="preserve"> </w:t>
      </w:r>
      <w:r w:rsidRPr="00D947B6">
        <w:rPr>
          <w:rFonts w:ascii="Times New Roman" w:eastAsia="Times New Roman" w:hAnsi="Times New Roman" w:cs="Times New Roman"/>
          <w:color w:val="000000"/>
          <w:sz w:val="24"/>
          <w:szCs w:val="24"/>
        </w:rPr>
        <w:t xml:space="preserve">such Net Revenues or Net Royalties shall be used by the State in a manner consistent with Title 35 United States Code (USC), Section 202, subdivision (c)(7) to the extent this USC Section applies).  </w:t>
      </w:r>
    </w:p>
    <w:p w:rsidR="00D947B6" w:rsidRPr="00D947B6" w:rsidRDefault="00D947B6" w:rsidP="00D947B6">
      <w:pPr>
        <w:keepLines/>
        <w:widowControl w:val="0"/>
        <w:numPr>
          <w:ilvl w:val="2"/>
          <w:numId w:val="11"/>
        </w:numPr>
        <w:spacing w:after="120" w:line="240" w:lineRule="auto"/>
        <w:ind w:left="1170"/>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 xml:space="preserve">Net Royalties.  The University’s obligation to make payments to the Commission shall commence from the date that the Net Royalties calculation is positive and extend until ten (10) years from the Agreement’s end date.  Payments are payable in annual installments and are due the first day of March for Net Royalties calculation made for the University’s prior fiscal year.  University agrees to pay to Commission an amount equivalent to 10% of the total cumulative Net Royalties, less payments made by University to Commission in previous years when Net Royalties were positive.  Payments shall be made by check and made payable to the California Energy Commission. </w:t>
      </w:r>
    </w:p>
    <w:p w:rsidR="00D947B6" w:rsidRPr="00D947B6" w:rsidRDefault="00D947B6" w:rsidP="00D947B6">
      <w:pPr>
        <w:keepLines/>
        <w:widowControl w:val="0"/>
        <w:numPr>
          <w:ilvl w:val="2"/>
          <w:numId w:val="11"/>
        </w:numPr>
        <w:spacing w:after="120" w:line="240" w:lineRule="auto"/>
        <w:ind w:left="1170"/>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Net Revenues.  If the University is the Licensee, the University’s obligation to make payments to the Commission shall commence upon the first Sale of the Licensed Product.  Payments are payable in annual installments and are due the first day of March for the prior fiscal year of the University and extend until ten (10) years from the Agreement’s end date.  University agrees to pay an amount equivalent to 1.5% of the Net Revenues by check made payable to the California Energy Commission.</w:t>
      </w:r>
    </w:p>
    <w:p w:rsidR="00D947B6" w:rsidRPr="00D947B6" w:rsidRDefault="00D947B6" w:rsidP="00D947B6">
      <w:pPr>
        <w:keepLines/>
        <w:widowControl w:val="0"/>
        <w:numPr>
          <w:ilvl w:val="1"/>
          <w:numId w:val="11"/>
        </w:numPr>
        <w:spacing w:before="160" w:after="240" w:line="240" w:lineRule="auto"/>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 xml:space="preserve">If a Licensed Product was developed in part with Match Funds during the Agreement term, the Net Royalty payments will be reduced in accordance with the percentage of such development activities that were funded with Match Funds.  For example, if 20% of the development activities were funded with Match Funds during the Agreement and total cumulative Net Royalties equaled $100,000 in one year, the University would owe the Energy Commission $8,000 for the year ( 10% of $100,000 = $10,000; 80% of $10,000 = $8,000 (the 80% coming from 100% - 20% in match funds)). </w:t>
      </w:r>
    </w:p>
    <w:p w:rsidR="00D947B6" w:rsidRPr="00D947B6" w:rsidRDefault="00D947B6" w:rsidP="00D947B6">
      <w:pPr>
        <w:keepLines/>
        <w:widowControl w:val="0"/>
        <w:spacing w:before="160" w:after="0" w:line="240" w:lineRule="auto"/>
        <w:ind w:left="720"/>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If the Energy Commission is providing funds to the University under this Agreement as a project match partner and Energy Commission funds are used in part to develop a Licensed Product, the Net Royalty payments will be reduced in accordance with the percentage of such development activities that were funded with non-Energy Commission funds during the Agreement term.  For example, if 80% of the development activities were funded with University and/or third party funds during the Agreement and Net Royalties totaled $100,000 in one year, the University would owe the Energy Commission $2,000 for the year (10% of $100,000 = $10,000; 20% of $10,000 = $2,000 (the 20% coming from 100% - 80% in match funds)).</w:t>
      </w:r>
    </w:p>
    <w:p w:rsidR="00D947B6" w:rsidRPr="00D947B6" w:rsidRDefault="00D947B6" w:rsidP="00D947B6">
      <w:pPr>
        <w:keepLines/>
        <w:widowControl w:val="0"/>
        <w:numPr>
          <w:ilvl w:val="1"/>
          <w:numId w:val="11"/>
        </w:numPr>
        <w:spacing w:before="160" w:after="0" w:line="240" w:lineRule="auto"/>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 xml:space="preserve">Unless the University makes an early buyout, total Net Royalty or Net Revenue payments will be limited to three (3) times the amount of funds paid by the Energy Commission under the Agreement.  The University may make an early buyout payment to the Energy Commission without a pre-payment penalty, as an alternative to making annual royalty payments for ten (10) years following the Agreement’s end date. The payment must be in a lump sum amount equal to one and a half (1.5) times the amount of funds paid by the Energy Commission under the Agreement and made within five (5) years of the Agreement’s end date.  The payment amount due under the early buyout option will not be reduced by the percentage of Match Funds as described above. </w:t>
      </w:r>
    </w:p>
    <w:p w:rsidR="00D947B6" w:rsidRPr="00D947B6" w:rsidRDefault="00D947B6" w:rsidP="00D947B6">
      <w:pPr>
        <w:keepLines/>
        <w:widowControl w:val="0"/>
        <w:numPr>
          <w:ilvl w:val="1"/>
          <w:numId w:val="11"/>
        </w:numPr>
        <w:tabs>
          <w:tab w:val="left" w:pos="720"/>
        </w:tabs>
        <w:spacing w:before="160" w:after="0" w:line="240" w:lineRule="auto"/>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lastRenderedPageBreak/>
        <w:t>University agrees not to make any Sale, license, lease, gift or other transfer of any Project Data, Subject Invention, copyrightable work or Licensed Product with the intent of, or for the purpose of, depriving Commission of Net Royalties or Net Revenues hereunder.  Generally, this means that the University will not make any Sale, license, lease or other transfer of Project Data, Subject Invention, Copyrightable Work or Licensed Product for consideration other than fair market value except for research, educational, or other mutually agreed to purposes intended to serve the public benefit.</w:t>
      </w:r>
    </w:p>
    <w:p w:rsidR="00D947B6" w:rsidRPr="00D947B6" w:rsidRDefault="00D947B6" w:rsidP="00D947B6">
      <w:pPr>
        <w:keepLines/>
        <w:widowControl w:val="0"/>
        <w:numPr>
          <w:ilvl w:val="1"/>
          <w:numId w:val="11"/>
        </w:numPr>
        <w:tabs>
          <w:tab w:val="left" w:pos="720"/>
        </w:tabs>
        <w:spacing w:before="160" w:after="0" w:line="240" w:lineRule="auto"/>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 xml:space="preserve">University shall maintain separate accounts within their financial and other records for purposes of tracking royalties and revenues due to the Commission under this Agreement. </w:t>
      </w:r>
    </w:p>
    <w:p w:rsidR="00D947B6" w:rsidRPr="00D947B6" w:rsidRDefault="00D947B6" w:rsidP="00D947B6">
      <w:pPr>
        <w:keepLines/>
        <w:widowControl w:val="0"/>
        <w:numPr>
          <w:ilvl w:val="1"/>
          <w:numId w:val="11"/>
        </w:numPr>
        <w:tabs>
          <w:tab w:val="left" w:pos="720"/>
        </w:tabs>
        <w:spacing w:before="160" w:after="0" w:line="240" w:lineRule="auto"/>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Audits on Payments to Commission.  Payments to the Commission are subject to the audit clause, Exhibit C, section 15.</w:t>
      </w:r>
    </w:p>
    <w:p w:rsidR="00D947B6" w:rsidRPr="00D947B6" w:rsidRDefault="00D947B6" w:rsidP="00D947B6">
      <w:pPr>
        <w:keepLines/>
        <w:widowControl w:val="0"/>
        <w:numPr>
          <w:ilvl w:val="1"/>
          <w:numId w:val="11"/>
        </w:numPr>
        <w:spacing w:before="160" w:after="0" w:line="240" w:lineRule="auto"/>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Defaults.  In the event of default hereunder, the Commission shall be free to exercise all rights and remedies available to it herein, and under law and at equity. University’s failure to pay when due, absent any prior written authorization by the Commission to delay payment, any amount due and payable under the terms of this Agreement constitutes a default under this Agreement.</w:t>
      </w:r>
    </w:p>
    <w:p w:rsidR="00D947B6" w:rsidRPr="00D947B6" w:rsidRDefault="00D947B6" w:rsidP="00D947B6">
      <w:pPr>
        <w:spacing w:after="0" w:line="240" w:lineRule="auto"/>
        <w:ind w:left="360"/>
        <w:contextualSpacing/>
        <w:rPr>
          <w:rFonts w:ascii="Times New Roman" w:eastAsia="Times New Roman" w:hAnsi="Times New Roman" w:cs="Times New Roman"/>
          <w:color w:val="000000"/>
          <w:sz w:val="24"/>
          <w:szCs w:val="24"/>
        </w:rPr>
      </w:pPr>
    </w:p>
    <w:p w:rsidR="00D947B6" w:rsidRPr="00D947B6" w:rsidRDefault="00D947B6" w:rsidP="00D947B6">
      <w:pPr>
        <w:numPr>
          <w:ilvl w:val="0"/>
          <w:numId w:val="12"/>
        </w:numPr>
        <w:spacing w:after="0" w:line="240" w:lineRule="auto"/>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Travel</w:t>
      </w:r>
    </w:p>
    <w:p w:rsidR="00D947B6" w:rsidRPr="00D947B6" w:rsidRDefault="00D947B6" w:rsidP="00D947B6">
      <w:pPr>
        <w:spacing w:before="120" w:after="0" w:line="240" w:lineRule="auto"/>
        <w:ind w:left="360"/>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Exhibit C, section 13.C is replaced in its entirety as follows: </w:t>
      </w:r>
    </w:p>
    <w:p w:rsidR="00D947B6" w:rsidRPr="00D947B6" w:rsidRDefault="00D947B6" w:rsidP="00D947B6">
      <w:pPr>
        <w:numPr>
          <w:ilvl w:val="1"/>
          <w:numId w:val="2"/>
        </w:numPr>
        <w:tabs>
          <w:tab w:val="left" w:pos="720"/>
          <w:tab w:val="left" w:pos="10800"/>
        </w:tabs>
        <w:spacing w:after="0" w:line="240" w:lineRule="auto"/>
        <w:ind w:right="-54"/>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Travel Approval Requirements</w:t>
      </w:r>
    </w:p>
    <w:p w:rsidR="00D947B6" w:rsidRPr="00D947B6" w:rsidRDefault="00D947B6" w:rsidP="00D947B6">
      <w:pPr>
        <w:numPr>
          <w:ilvl w:val="2"/>
          <w:numId w:val="2"/>
        </w:numPr>
        <w:tabs>
          <w:tab w:val="left" w:pos="720"/>
          <w:tab w:val="left" w:pos="10800"/>
        </w:tabs>
        <w:spacing w:after="0" w:line="240" w:lineRule="auto"/>
        <w:ind w:right="-54"/>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Pre-Approved Travel: The Budget shall identify all travel and the costs of travel, including travel by subawardees, and shall itemize the rate, estimated cost and destination of the travel. The Budget Justification and/or Scope of Work shall identify the travelers and purpose of the travel. Travel identified in this manner is considered approved upon execution and approval of the Agreement.  </w:t>
      </w:r>
    </w:p>
    <w:p w:rsidR="00D947B6" w:rsidRPr="00D947B6" w:rsidRDefault="00D947B6" w:rsidP="00D947B6">
      <w:pPr>
        <w:numPr>
          <w:ilvl w:val="2"/>
          <w:numId w:val="2"/>
        </w:numPr>
        <w:tabs>
          <w:tab w:val="left" w:pos="720"/>
          <w:tab w:val="left" w:pos="10800"/>
        </w:tabs>
        <w:spacing w:after="0" w:line="240" w:lineRule="auto"/>
        <w:ind w:right="-54"/>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Prior Approval Required:  Travel that is: 1) identified as non-pre-approved travel; or 2) not identified in the Budget and/or Scope of Work shall require prior written (including fax or email) authorization from the State Contract Project Manager. The need for actual travel not identified in the proposed Budget and/or Scope of Work must be justified and all technological avenues of communication (e.g., teleconferencing, videoconferencing, or web conferencing) must be explored before travel will be approved.</w:t>
      </w:r>
    </w:p>
    <w:p w:rsidR="00D947B6" w:rsidRPr="00D947B6" w:rsidRDefault="00D947B6" w:rsidP="00D947B6">
      <w:pPr>
        <w:tabs>
          <w:tab w:val="left" w:pos="720"/>
          <w:tab w:val="left" w:pos="10800"/>
        </w:tabs>
        <w:spacing w:after="0" w:line="240" w:lineRule="auto"/>
        <w:ind w:left="1080" w:right="-54"/>
        <w:contextualSpacing/>
        <w:rPr>
          <w:rFonts w:ascii="Times New Roman" w:eastAsia="Times New Roman" w:hAnsi="Times New Roman" w:cs="Times New Roman"/>
          <w:color w:val="000000"/>
          <w:sz w:val="24"/>
          <w:szCs w:val="24"/>
        </w:rPr>
      </w:pPr>
    </w:p>
    <w:p w:rsidR="00D947B6" w:rsidRPr="00D947B6" w:rsidRDefault="00D947B6" w:rsidP="00D947B6">
      <w:pPr>
        <w:numPr>
          <w:ilvl w:val="0"/>
          <w:numId w:val="12"/>
        </w:numPr>
        <w:spacing w:after="0" w:line="240" w:lineRule="auto"/>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Equipment</w:t>
      </w:r>
    </w:p>
    <w:p w:rsidR="00D947B6" w:rsidRPr="00D947B6" w:rsidRDefault="00D947B6" w:rsidP="00D947B6">
      <w:pPr>
        <w:spacing w:before="120" w:after="0" w:line="240" w:lineRule="auto"/>
        <w:ind w:left="360"/>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Exhibit C, section 14.B.2 is replaced in its entirety as follows: </w:t>
      </w:r>
    </w:p>
    <w:p w:rsidR="00D947B6" w:rsidRPr="00D947B6" w:rsidRDefault="00D947B6" w:rsidP="00D947B6">
      <w:pPr>
        <w:spacing w:after="240" w:line="240" w:lineRule="auto"/>
        <w:ind w:left="720"/>
        <w:contextualSpacing/>
        <w:rPr>
          <w:rFonts w:ascii="Times New Roman" w:eastAsia="Times New Roman" w:hAnsi="Times New Roman" w:cs="Times New Roman"/>
          <w:color w:val="000000"/>
          <w:spacing w:val="-3"/>
          <w:sz w:val="24"/>
          <w:szCs w:val="24"/>
        </w:rPr>
      </w:pPr>
      <w:r w:rsidRPr="00D947B6">
        <w:rPr>
          <w:rFonts w:ascii="Times New Roman" w:eastAsia="Times New Roman" w:hAnsi="Times New Roman" w:cs="Times New Roman"/>
          <w:color w:val="000000"/>
          <w:spacing w:val="-3"/>
          <w:sz w:val="24"/>
          <w:szCs w:val="24"/>
        </w:rPr>
        <w:t>“Equipment” means any products, objects, machinery, apparatus, vehicles, implements or tools purchased, used or constructed within the Agreement, having a useful life of at least one year, an acquisition unit cost of at least $5,000, and purchased in whole or part with Energy Commission funds.</w:t>
      </w:r>
    </w:p>
    <w:p w:rsidR="00D947B6" w:rsidRPr="00D947B6" w:rsidRDefault="00D947B6" w:rsidP="00D947B6">
      <w:pPr>
        <w:spacing w:after="240" w:line="240" w:lineRule="auto"/>
        <w:ind w:left="720"/>
        <w:contextualSpacing/>
        <w:rPr>
          <w:rFonts w:ascii="Times New Roman" w:eastAsia="Times New Roman" w:hAnsi="Times New Roman" w:cs="Times New Roman"/>
          <w:color w:val="000000"/>
          <w:spacing w:val="-3"/>
          <w:sz w:val="24"/>
          <w:szCs w:val="24"/>
        </w:rPr>
      </w:pPr>
      <w:r w:rsidRPr="00D947B6">
        <w:rPr>
          <w:rFonts w:ascii="Times New Roman" w:eastAsia="Times New Roman" w:hAnsi="Times New Roman" w:cs="Times New Roman"/>
          <w:color w:val="000000"/>
          <w:spacing w:val="-3"/>
          <w:sz w:val="24"/>
          <w:szCs w:val="24"/>
        </w:rPr>
        <w:t xml:space="preserve"> </w:t>
      </w:r>
    </w:p>
    <w:p w:rsidR="00D947B6" w:rsidRPr="00D947B6" w:rsidRDefault="00D947B6" w:rsidP="00D947B6">
      <w:pPr>
        <w:spacing w:after="0" w:line="240" w:lineRule="auto"/>
        <w:ind w:left="720"/>
        <w:contextualSpacing/>
        <w:rPr>
          <w:rFonts w:ascii="Times New Roman" w:eastAsia="Times New Roman" w:hAnsi="Times New Roman" w:cs="Times New Roman"/>
          <w:color w:val="000000"/>
          <w:spacing w:val="-3"/>
          <w:sz w:val="24"/>
          <w:szCs w:val="24"/>
        </w:rPr>
      </w:pPr>
      <w:r w:rsidRPr="00D947B6">
        <w:rPr>
          <w:rFonts w:ascii="Times New Roman" w:eastAsia="Times New Roman" w:hAnsi="Times New Roman" w:cs="Times New Roman"/>
          <w:color w:val="000000"/>
          <w:spacing w:val="-3"/>
          <w:sz w:val="24"/>
          <w:szCs w:val="24"/>
        </w:rPr>
        <w:t xml:space="preserve">During the Agreement term, the University shall use the Equipment for this Agreement. </w:t>
      </w:r>
    </w:p>
    <w:p w:rsidR="00D947B6" w:rsidRPr="00D947B6" w:rsidRDefault="00D947B6" w:rsidP="00D947B6">
      <w:pPr>
        <w:spacing w:after="0" w:line="240" w:lineRule="auto"/>
        <w:ind w:left="720"/>
        <w:contextualSpacing/>
        <w:rPr>
          <w:rFonts w:ascii="Times New Roman" w:eastAsia="Times New Roman" w:hAnsi="Times New Roman" w:cs="Times New Roman"/>
          <w:color w:val="000000"/>
          <w:spacing w:val="-3"/>
          <w:sz w:val="24"/>
          <w:szCs w:val="24"/>
        </w:rPr>
      </w:pPr>
      <w:r w:rsidRPr="00D947B6">
        <w:rPr>
          <w:rFonts w:ascii="Times New Roman" w:eastAsia="Times New Roman" w:hAnsi="Times New Roman" w:cs="Times New Roman"/>
          <w:color w:val="000000"/>
          <w:spacing w:val="-3"/>
          <w:sz w:val="24"/>
          <w:szCs w:val="24"/>
        </w:rPr>
        <w:t xml:space="preserve">The University shall be solely responsible for the possession, use, storage, and maintenance of the Equipment, for maintaining appropriate insurance on the Equipment sufficient to </w:t>
      </w:r>
      <w:r w:rsidRPr="00D947B6">
        <w:rPr>
          <w:rFonts w:ascii="Times New Roman" w:eastAsia="Times New Roman" w:hAnsi="Times New Roman" w:cs="Times New Roman"/>
          <w:color w:val="000000"/>
          <w:spacing w:val="-3"/>
          <w:sz w:val="24"/>
          <w:szCs w:val="24"/>
        </w:rPr>
        <w:lastRenderedPageBreak/>
        <w:t>cover its replacement value in case of loss, and for complying with any and all laws, including environmental laws, applicable to the Equipment.</w:t>
      </w:r>
    </w:p>
    <w:p w:rsidR="00D947B6" w:rsidRPr="00D947B6" w:rsidRDefault="00D947B6" w:rsidP="00D947B6">
      <w:pPr>
        <w:spacing w:after="0" w:line="240" w:lineRule="auto"/>
        <w:ind w:left="720"/>
        <w:contextualSpacing/>
        <w:rPr>
          <w:rFonts w:ascii="Times New Roman" w:eastAsia="Times New Roman" w:hAnsi="Times New Roman" w:cs="Times New Roman"/>
          <w:color w:val="000000"/>
          <w:spacing w:val="-3"/>
          <w:sz w:val="24"/>
          <w:szCs w:val="24"/>
        </w:rPr>
      </w:pPr>
    </w:p>
    <w:p w:rsidR="00D947B6" w:rsidRPr="00D947B6" w:rsidRDefault="00D947B6" w:rsidP="00D947B6">
      <w:pPr>
        <w:spacing w:after="0" w:line="240" w:lineRule="auto"/>
        <w:ind w:left="720"/>
        <w:contextualSpacing/>
        <w:rPr>
          <w:rFonts w:ascii="Times New Roman" w:eastAsia="Times New Roman" w:hAnsi="Times New Roman" w:cs="Times New Roman"/>
          <w:color w:val="000000"/>
          <w:spacing w:val="-3"/>
          <w:sz w:val="24"/>
          <w:szCs w:val="24"/>
        </w:rPr>
      </w:pPr>
      <w:r w:rsidRPr="00D947B6">
        <w:rPr>
          <w:rFonts w:ascii="Times New Roman" w:eastAsia="Times New Roman" w:hAnsi="Times New Roman" w:cs="Times New Roman"/>
          <w:color w:val="000000"/>
          <w:spacing w:val="-3"/>
          <w:sz w:val="24"/>
          <w:szCs w:val="24"/>
        </w:rPr>
        <w:t>Equipment, which is purchased in whole or in part with Commission funds, may not be claimed as Match Funds.  Likewise, Match Funds used for the purchase of equipment may not be claimed for reimbursement with Energy Commission funds.</w:t>
      </w:r>
    </w:p>
    <w:p w:rsidR="00D947B6" w:rsidRPr="00D947B6" w:rsidRDefault="00D947B6" w:rsidP="00D947B6">
      <w:pPr>
        <w:spacing w:after="0" w:line="240" w:lineRule="auto"/>
        <w:ind w:left="720"/>
        <w:contextualSpacing/>
        <w:rPr>
          <w:rFonts w:ascii="Times New Roman" w:eastAsia="Times New Roman" w:hAnsi="Times New Roman" w:cs="Times New Roman"/>
          <w:color w:val="000000"/>
          <w:spacing w:val="-3"/>
          <w:sz w:val="24"/>
          <w:szCs w:val="24"/>
        </w:rPr>
      </w:pPr>
    </w:p>
    <w:p w:rsidR="00D947B6" w:rsidRPr="00D947B6" w:rsidRDefault="00D947B6" w:rsidP="00D947B6">
      <w:pPr>
        <w:spacing w:after="0" w:line="240" w:lineRule="auto"/>
        <w:ind w:left="720"/>
        <w:contextualSpacing/>
        <w:rPr>
          <w:rFonts w:ascii="Times New Roman" w:eastAsia="Times New Roman" w:hAnsi="Times New Roman" w:cs="Times New Roman"/>
          <w:color w:val="000000"/>
          <w:spacing w:val="-3"/>
          <w:sz w:val="24"/>
          <w:szCs w:val="24"/>
        </w:rPr>
      </w:pPr>
      <w:r w:rsidRPr="00D947B6">
        <w:rPr>
          <w:rFonts w:ascii="Times New Roman" w:eastAsia="Times New Roman" w:hAnsi="Times New Roman" w:cs="Times New Roman"/>
          <w:color w:val="000000"/>
          <w:spacing w:val="-3"/>
          <w:sz w:val="24"/>
          <w:szCs w:val="24"/>
        </w:rPr>
        <w:t xml:space="preserve">As between the Energy Commission and the University, legal title to Equipment acquired by the University shall vest in the University.   With the exception of pre-existing UCC-1 blanket liens during the Agreement term, the University shall not further encumber or sell the Equipment except for the sole purpose of using the proceeds of such sale or encumbrance for the direct benefit of this Agreement’s activities.  In such circumstance, the University shall provide written notice to the </w:t>
      </w:r>
      <w:r w:rsidRPr="00D947B6">
        <w:rPr>
          <w:rFonts w:ascii="Times New Roman" w:eastAsia="Times New Roman" w:hAnsi="Times New Roman" w:cs="Times New Roman"/>
          <w:color w:val="000000"/>
          <w:sz w:val="24"/>
          <w:szCs w:val="24"/>
        </w:rPr>
        <w:t>State’s Contract Project Manager</w:t>
      </w:r>
      <w:r w:rsidRPr="00D947B6">
        <w:rPr>
          <w:rFonts w:ascii="Times New Roman" w:eastAsia="Times New Roman" w:hAnsi="Times New Roman" w:cs="Times New Roman"/>
          <w:color w:val="000000"/>
          <w:spacing w:val="-3"/>
          <w:sz w:val="24"/>
          <w:szCs w:val="24"/>
        </w:rPr>
        <w:t xml:space="preserve"> of such proposed sale or encumbrance at least 30 days in advance of any sale or encumbrance, stating the purpose of the sale or encumbrance, and specifying the amount, how the amount equates with the reasonable value of the Equipment, and how the proceeds of the sale or encumbrance will be used for this Agreement.</w:t>
      </w:r>
    </w:p>
    <w:p w:rsidR="00D947B6" w:rsidRPr="00D947B6" w:rsidRDefault="00D947B6" w:rsidP="00D947B6">
      <w:pPr>
        <w:spacing w:after="0" w:line="240" w:lineRule="auto"/>
        <w:ind w:left="720"/>
        <w:contextualSpacing/>
        <w:rPr>
          <w:rFonts w:ascii="Times New Roman" w:eastAsia="Times New Roman" w:hAnsi="Times New Roman" w:cs="Times New Roman"/>
          <w:color w:val="000000"/>
          <w:spacing w:val="-3"/>
          <w:sz w:val="24"/>
          <w:szCs w:val="24"/>
        </w:rPr>
      </w:pPr>
      <w:r w:rsidRPr="00D947B6">
        <w:rPr>
          <w:rFonts w:ascii="Times New Roman" w:eastAsia="Times New Roman" w:hAnsi="Times New Roman" w:cs="Times New Roman"/>
          <w:color w:val="000000"/>
          <w:spacing w:val="-3"/>
          <w:sz w:val="24"/>
          <w:szCs w:val="24"/>
        </w:rPr>
        <w:t xml:space="preserve"> </w:t>
      </w:r>
    </w:p>
    <w:p w:rsidR="00D947B6" w:rsidRPr="00D947B6" w:rsidRDefault="00D947B6" w:rsidP="00D947B6">
      <w:pPr>
        <w:spacing w:after="0" w:line="240" w:lineRule="auto"/>
        <w:ind w:left="720"/>
        <w:contextualSpacing/>
        <w:rPr>
          <w:rFonts w:ascii="Times New Roman" w:eastAsia="Times New Roman" w:hAnsi="Times New Roman" w:cs="Times New Roman"/>
          <w:color w:val="000000"/>
          <w:spacing w:val="-3"/>
          <w:sz w:val="24"/>
          <w:szCs w:val="24"/>
        </w:rPr>
      </w:pPr>
      <w:r w:rsidRPr="00D947B6">
        <w:rPr>
          <w:rFonts w:ascii="Times New Roman" w:eastAsia="Times New Roman" w:hAnsi="Times New Roman" w:cs="Times New Roman"/>
          <w:color w:val="000000"/>
          <w:spacing w:val="-3"/>
          <w:sz w:val="24"/>
          <w:szCs w:val="24"/>
        </w:rPr>
        <w:t>It is understood and agreed that this Section shall survive the completion or termination date of this Agreement for any reason.</w:t>
      </w:r>
    </w:p>
    <w:p w:rsidR="00D947B6" w:rsidRPr="00D947B6" w:rsidRDefault="00D947B6" w:rsidP="00D947B6">
      <w:pPr>
        <w:spacing w:after="0" w:line="240" w:lineRule="auto"/>
        <w:ind w:left="720"/>
        <w:contextualSpacing/>
        <w:rPr>
          <w:rFonts w:ascii="Times New Roman" w:eastAsia="Times New Roman" w:hAnsi="Times New Roman" w:cs="Times New Roman"/>
          <w:color w:val="000000"/>
          <w:sz w:val="24"/>
          <w:szCs w:val="24"/>
        </w:rPr>
      </w:pPr>
    </w:p>
    <w:p w:rsidR="00D947B6" w:rsidRPr="00D947B6" w:rsidRDefault="00D947B6" w:rsidP="00D947B6">
      <w:pPr>
        <w:numPr>
          <w:ilvl w:val="0"/>
          <w:numId w:val="12"/>
        </w:numPr>
        <w:spacing w:after="0" w:line="240" w:lineRule="auto"/>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No Payment for Late Final Invoice </w:t>
      </w:r>
    </w:p>
    <w:p w:rsidR="00D947B6" w:rsidRPr="00D947B6" w:rsidRDefault="00D947B6" w:rsidP="00D947B6">
      <w:pPr>
        <w:spacing w:after="0" w:line="240" w:lineRule="auto"/>
        <w:ind w:firstLine="360"/>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Exhibit C, section 14.E.5 is replaced in its entirety as follows: </w:t>
      </w:r>
    </w:p>
    <w:p w:rsidR="00D947B6" w:rsidRPr="00D947B6" w:rsidRDefault="00D947B6" w:rsidP="00D947B6">
      <w:pPr>
        <w:spacing w:after="0" w:line="240" w:lineRule="auto"/>
        <w:ind w:left="360"/>
        <w:rPr>
          <w:rFonts w:ascii="Times New Roman" w:eastAsia="Times New Roman" w:hAnsi="Times New Roman" w:cs="Times New Roman"/>
          <w:color w:val="000000"/>
          <w:sz w:val="24"/>
          <w:szCs w:val="24"/>
        </w:rPr>
      </w:pPr>
    </w:p>
    <w:p w:rsidR="00D947B6" w:rsidRPr="00D947B6" w:rsidRDefault="00D947B6" w:rsidP="00D947B6">
      <w:pPr>
        <w:spacing w:after="0" w:line="240" w:lineRule="auto"/>
        <w:ind w:left="360"/>
        <w:rPr>
          <w:rFonts w:ascii="Times New Roman" w:eastAsia="Times New Roman" w:hAnsi="Times New Roman" w:cs="Times New Roman"/>
          <w:b/>
          <w:color w:val="000000"/>
          <w:sz w:val="24"/>
          <w:szCs w:val="24"/>
          <w:u w:val="single"/>
        </w:rPr>
      </w:pPr>
      <w:r w:rsidRPr="00D947B6">
        <w:rPr>
          <w:rFonts w:ascii="Times New Roman" w:eastAsia="Times New Roman" w:hAnsi="Times New Roman" w:cs="Times New Roman"/>
          <w:color w:val="000000"/>
          <w:sz w:val="24"/>
          <w:szCs w:val="24"/>
        </w:rPr>
        <w:t>The University shall submit the final invoice to the State, no later than ninety (90) calendar days after the Agreement completion date. If the University does not submit the final invoice within the 90-day required time period (or a greater period of time as agreed to by the Energy Commission in its sole and absolute discretion), in addition to any other rights and remedies available to the Energy Commission, the University will not receive payment.</w:t>
      </w:r>
    </w:p>
    <w:p w:rsidR="00D947B6" w:rsidRPr="00D947B6" w:rsidRDefault="00D947B6" w:rsidP="00D947B6">
      <w:pPr>
        <w:spacing w:after="0" w:line="240" w:lineRule="auto"/>
        <w:ind w:left="360"/>
        <w:rPr>
          <w:rFonts w:ascii="Times New Roman" w:eastAsia="Times New Roman" w:hAnsi="Times New Roman" w:cs="Times New Roman"/>
          <w:color w:val="000000"/>
          <w:spacing w:val="-3"/>
          <w:sz w:val="24"/>
          <w:szCs w:val="24"/>
        </w:rPr>
      </w:pPr>
    </w:p>
    <w:p w:rsidR="00D947B6" w:rsidRPr="00D947B6" w:rsidRDefault="00D947B6" w:rsidP="00D947B6">
      <w:pPr>
        <w:spacing w:after="0" w:line="240" w:lineRule="auto"/>
        <w:ind w:left="360"/>
        <w:rPr>
          <w:rFonts w:ascii="Times New Roman" w:eastAsia="Times New Roman" w:hAnsi="Times New Roman" w:cs="Times New Roman"/>
          <w:color w:val="000000"/>
          <w:spacing w:val="-3"/>
          <w:sz w:val="24"/>
          <w:szCs w:val="24"/>
        </w:rPr>
      </w:pPr>
      <w:r w:rsidRPr="00D947B6">
        <w:rPr>
          <w:rFonts w:ascii="Times New Roman" w:eastAsia="Times New Roman" w:hAnsi="Times New Roman" w:cs="Times New Roman"/>
          <w:color w:val="000000"/>
          <w:spacing w:val="-3"/>
          <w:sz w:val="24"/>
          <w:szCs w:val="24"/>
        </w:rPr>
        <w:t>It is understood and agreed that this Section shall survive the completion or termination date of this Agreement for any reason.</w:t>
      </w:r>
    </w:p>
    <w:p w:rsidR="00D947B6" w:rsidRPr="00D947B6" w:rsidRDefault="00D947B6" w:rsidP="00D947B6">
      <w:pPr>
        <w:spacing w:after="0" w:line="240" w:lineRule="auto"/>
        <w:ind w:left="360"/>
        <w:rPr>
          <w:rFonts w:ascii="Times New Roman" w:eastAsia="Times New Roman" w:hAnsi="Times New Roman" w:cs="Times New Roman"/>
          <w:color w:val="000000"/>
          <w:sz w:val="24"/>
          <w:szCs w:val="24"/>
        </w:rPr>
      </w:pPr>
    </w:p>
    <w:p w:rsidR="00D947B6" w:rsidRPr="00D947B6" w:rsidRDefault="00D947B6" w:rsidP="00D947B6">
      <w:pPr>
        <w:numPr>
          <w:ilvl w:val="0"/>
          <w:numId w:val="12"/>
        </w:numPr>
        <w:spacing w:after="0" w:line="240" w:lineRule="auto"/>
        <w:contextualSpacing/>
        <w:rPr>
          <w:rFonts w:ascii="Times New Roman" w:eastAsia="Times New Roman" w:hAnsi="Times New Roman" w:cs="Times New Roman"/>
          <w:color w:val="000000"/>
          <w:sz w:val="24"/>
          <w:szCs w:val="24"/>
        </w:rPr>
      </w:pPr>
      <w:bookmarkStart w:id="5" w:name="_Hlk14360175"/>
      <w:r w:rsidRPr="00D947B6">
        <w:rPr>
          <w:rFonts w:ascii="Times New Roman" w:eastAsia="Times New Roman" w:hAnsi="Times New Roman" w:cs="Times New Roman"/>
          <w:color w:val="000000"/>
          <w:sz w:val="24"/>
          <w:szCs w:val="24"/>
        </w:rPr>
        <w:t>Default disclaimer on publications.</w:t>
      </w:r>
      <w:bookmarkEnd w:id="5"/>
    </w:p>
    <w:p w:rsidR="00D947B6" w:rsidRPr="00D947B6" w:rsidRDefault="00D947B6" w:rsidP="00D947B6">
      <w:pPr>
        <w:spacing w:before="120" w:after="0" w:line="240" w:lineRule="auto"/>
        <w:ind w:left="360"/>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Exhibit C, section 16.C is replaced in its entirety by the following: </w:t>
      </w:r>
    </w:p>
    <w:p w:rsidR="00D947B6" w:rsidRPr="00D947B6" w:rsidRDefault="00D947B6" w:rsidP="00D947B6">
      <w:pPr>
        <w:numPr>
          <w:ilvl w:val="1"/>
          <w:numId w:val="7"/>
        </w:numPr>
        <w:spacing w:after="0" w:line="240" w:lineRule="auto"/>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At the State’s sole discretion, the State will require the University to use one or more of the following disclaimers in any publication, presentation or other public release: </w:t>
      </w:r>
    </w:p>
    <w:p w:rsidR="00D947B6" w:rsidRPr="00D947B6" w:rsidRDefault="00D947B6" w:rsidP="00D947B6">
      <w:pPr>
        <w:numPr>
          <w:ilvl w:val="2"/>
          <w:numId w:val="7"/>
        </w:numPr>
        <w:tabs>
          <w:tab w:val="left" w:pos="1080"/>
          <w:tab w:val="left" w:pos="10800"/>
        </w:tabs>
        <w:spacing w:before="240" w:after="240" w:line="240" w:lineRule="auto"/>
        <w:ind w:right="-58"/>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“This project was funded by the California Energy Commission. The contents may not necessarily reflect the official views or policies of the State of California.”  </w:t>
      </w:r>
    </w:p>
    <w:p w:rsidR="00D947B6" w:rsidRPr="00D947B6" w:rsidRDefault="00D947B6" w:rsidP="00D947B6">
      <w:pPr>
        <w:numPr>
          <w:ilvl w:val="2"/>
          <w:numId w:val="7"/>
        </w:numPr>
        <w:spacing w:after="0" w:line="240" w:lineRule="auto"/>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w:t>
      </w:r>
      <w:r w:rsidRPr="00D947B6">
        <w:rPr>
          <w:rFonts w:ascii="Times New Roman" w:eastAsia="Times New Roman" w:hAnsi="Times New Roman" w:cs="Times New Roman"/>
          <w:b/>
          <w:color w:val="000000"/>
          <w:sz w:val="24"/>
          <w:szCs w:val="24"/>
        </w:rPr>
        <w:t>Legal Notice:</w:t>
      </w:r>
      <w:r w:rsidRPr="00D947B6">
        <w:rPr>
          <w:rFonts w:ascii="Times New Roman" w:eastAsia="Times New Roman" w:hAnsi="Times New Roman" w:cs="Times New Roman"/>
          <w:color w:val="000000"/>
          <w:sz w:val="24"/>
          <w:szCs w:val="24"/>
        </w:rPr>
        <w:t xml:space="preserve"> This document was prepared as a result of work sponsored by the California Energy Commission. It does not necessarily represent the views of the Energy Commission, its employees, or the State of California. The Energy Commission, the State of California, its employees, contractors, and subcontractors make no warranty, express or implied, and assume no legal liability for the </w:t>
      </w:r>
      <w:r w:rsidRPr="00D947B6">
        <w:rPr>
          <w:rFonts w:ascii="Times New Roman" w:eastAsia="Times New Roman" w:hAnsi="Times New Roman" w:cs="Times New Roman"/>
          <w:color w:val="000000"/>
          <w:sz w:val="24"/>
          <w:szCs w:val="24"/>
        </w:rPr>
        <w:lastRenderedPageBreak/>
        <w:t>information in this document; nor does any party represent that the use of this information will not infringe upon privately owned rights. This report has not been approved or disapproved by the Energy Commission nor has the Energy Commission passed upon the accuracy of the information in this report.”</w:t>
      </w:r>
    </w:p>
    <w:p w:rsidR="00D947B6" w:rsidRPr="00D947B6" w:rsidRDefault="00D947B6" w:rsidP="00D947B6">
      <w:pPr>
        <w:spacing w:after="0" w:line="240" w:lineRule="auto"/>
        <w:ind w:left="360"/>
        <w:contextualSpacing/>
        <w:rPr>
          <w:rFonts w:ascii="Times New Roman" w:eastAsia="Times New Roman" w:hAnsi="Times New Roman" w:cs="Times New Roman"/>
          <w:color w:val="000000"/>
          <w:sz w:val="24"/>
          <w:szCs w:val="24"/>
        </w:rPr>
      </w:pPr>
    </w:p>
    <w:p w:rsidR="00D947B6" w:rsidRPr="00D947B6" w:rsidRDefault="00D947B6" w:rsidP="00D947B6">
      <w:pPr>
        <w:spacing w:after="0" w:line="240" w:lineRule="auto"/>
        <w:ind w:left="360"/>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Unless otherwise directed in writing by the State’s Contract Project Manager, the University shall use the disclaimer in Section 6.C.1 above. </w:t>
      </w:r>
    </w:p>
    <w:p w:rsidR="00D947B6" w:rsidRPr="00D947B6" w:rsidRDefault="00D947B6" w:rsidP="00D947B6">
      <w:pPr>
        <w:spacing w:after="0" w:line="240" w:lineRule="auto"/>
        <w:rPr>
          <w:rFonts w:ascii="Times New Roman" w:eastAsia="Times New Roman" w:hAnsi="Times New Roman" w:cs="Times New Roman"/>
          <w:color w:val="000000"/>
          <w:sz w:val="24"/>
          <w:szCs w:val="24"/>
        </w:rPr>
      </w:pPr>
    </w:p>
    <w:p w:rsidR="00D947B6" w:rsidRPr="00D947B6" w:rsidRDefault="00D947B6" w:rsidP="00D947B6">
      <w:pPr>
        <w:spacing w:after="0" w:line="240" w:lineRule="auto"/>
        <w:ind w:left="360"/>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pacing w:val="-3"/>
          <w:sz w:val="24"/>
          <w:szCs w:val="24"/>
        </w:rPr>
        <w:t>It is understood and agreed that this Section shall survive the completion or termination date of this Agreement for any reason.</w:t>
      </w:r>
    </w:p>
    <w:p w:rsidR="00D947B6" w:rsidRPr="00D947B6" w:rsidRDefault="00D947B6" w:rsidP="00D947B6">
      <w:pPr>
        <w:spacing w:after="0" w:line="240" w:lineRule="auto"/>
        <w:rPr>
          <w:rFonts w:ascii="Times New Roman" w:eastAsia="Times New Roman" w:hAnsi="Times New Roman" w:cs="Times New Roman"/>
          <w:color w:val="000000"/>
          <w:sz w:val="24"/>
          <w:szCs w:val="24"/>
        </w:rPr>
      </w:pPr>
    </w:p>
    <w:p w:rsidR="00D947B6" w:rsidRPr="00D947B6" w:rsidRDefault="00D947B6" w:rsidP="00D947B6">
      <w:pPr>
        <w:keepLines/>
        <w:widowControl w:val="0"/>
        <w:numPr>
          <w:ilvl w:val="0"/>
          <w:numId w:val="12"/>
        </w:numPr>
        <w:spacing w:after="0" w:line="240" w:lineRule="auto"/>
        <w:jc w:val="both"/>
        <w:rPr>
          <w:rFonts w:ascii="Times New Roman" w:eastAsia="Times New Roman" w:hAnsi="Times New Roman" w:cs="Times New Roman"/>
          <w:color w:val="000000"/>
          <w:spacing w:val="-2"/>
          <w:sz w:val="24"/>
          <w:szCs w:val="24"/>
        </w:rPr>
      </w:pPr>
      <w:bookmarkStart w:id="6" w:name="MatchFunds"/>
      <w:bookmarkEnd w:id="6"/>
      <w:r w:rsidRPr="00D947B6">
        <w:rPr>
          <w:rFonts w:ascii="Times New Roman" w:eastAsia="Times New Roman" w:hAnsi="Times New Roman" w:cs="Times New Roman"/>
          <w:color w:val="000000"/>
          <w:spacing w:val="-2"/>
          <w:sz w:val="24"/>
          <w:szCs w:val="24"/>
        </w:rPr>
        <w:t>Match Funds</w:t>
      </w:r>
    </w:p>
    <w:p w:rsidR="00D947B6" w:rsidRPr="00D947B6" w:rsidRDefault="00D947B6" w:rsidP="00D947B6">
      <w:pPr>
        <w:keepLines/>
        <w:widowControl w:val="0"/>
        <w:spacing w:after="0" w:line="240" w:lineRule="auto"/>
        <w:ind w:left="360"/>
        <w:jc w:val="both"/>
        <w:rPr>
          <w:rFonts w:ascii="Times New Roman" w:eastAsia="Times New Roman" w:hAnsi="Times New Roman" w:cs="Times New Roman"/>
          <w:color w:val="000000"/>
          <w:spacing w:val="-3"/>
          <w:sz w:val="24"/>
          <w:szCs w:val="24"/>
        </w:rPr>
      </w:pPr>
      <w:r w:rsidRPr="00D947B6">
        <w:rPr>
          <w:rFonts w:ascii="Times New Roman" w:eastAsia="Times New Roman" w:hAnsi="Times New Roman" w:cs="Times New Roman"/>
          <w:color w:val="000000"/>
          <w:spacing w:val="-3"/>
          <w:sz w:val="24"/>
          <w:szCs w:val="24"/>
        </w:rPr>
        <w:t>If the Agreement budget includes a Match Funds requirement, University’s commitment of resources, as described in this Agreement, is a required expenditure for receipt of Energy Commission funds. Agreement funds will be released only if the Match Funds are expended according to the Budget. University must maintain accounting records detailing the expenditure of the Match Funds (actual cash and in-kind services) and provide a Match Funds Report as required in Exhibit A1.</w:t>
      </w:r>
    </w:p>
    <w:p w:rsidR="00D947B6" w:rsidRPr="00D947B6" w:rsidRDefault="00D947B6" w:rsidP="00D947B6">
      <w:pPr>
        <w:keepLines/>
        <w:widowControl w:val="0"/>
        <w:spacing w:after="0" w:line="240" w:lineRule="auto"/>
        <w:ind w:left="360"/>
        <w:jc w:val="both"/>
        <w:rPr>
          <w:rFonts w:ascii="Times New Roman" w:eastAsia="Times New Roman" w:hAnsi="Times New Roman" w:cs="Times New Roman"/>
          <w:color w:val="000000"/>
          <w:spacing w:val="-2"/>
          <w:sz w:val="24"/>
          <w:szCs w:val="24"/>
        </w:rPr>
      </w:pPr>
    </w:p>
    <w:p w:rsidR="00D947B6" w:rsidRPr="00D947B6" w:rsidRDefault="00D947B6" w:rsidP="00D947B6">
      <w:pPr>
        <w:keepLines/>
        <w:widowControl w:val="0"/>
        <w:numPr>
          <w:ilvl w:val="0"/>
          <w:numId w:val="12"/>
        </w:numPr>
        <w:spacing w:after="0" w:line="240" w:lineRule="auto"/>
        <w:jc w:val="both"/>
        <w:rPr>
          <w:rFonts w:ascii="Times New Roman" w:eastAsia="Times New Roman" w:hAnsi="Times New Roman" w:cs="Times New Roman"/>
          <w:color w:val="000000"/>
          <w:spacing w:val="-2"/>
          <w:sz w:val="24"/>
          <w:szCs w:val="24"/>
        </w:rPr>
      </w:pPr>
      <w:bookmarkStart w:id="7" w:name="_Hlk14360273"/>
      <w:r w:rsidRPr="00D947B6">
        <w:rPr>
          <w:rFonts w:ascii="Times New Roman" w:eastAsia="Times New Roman" w:hAnsi="Times New Roman" w:cs="Times New Roman"/>
          <w:color w:val="000000"/>
          <w:spacing w:val="-2"/>
          <w:sz w:val="24"/>
          <w:szCs w:val="24"/>
        </w:rPr>
        <w:t xml:space="preserve">Additional Subaward Flow-Down Terms </w:t>
      </w:r>
      <w:bookmarkEnd w:id="7"/>
    </w:p>
    <w:p w:rsidR="00D947B6" w:rsidRPr="00D947B6" w:rsidRDefault="00D947B6" w:rsidP="00D947B6">
      <w:pPr>
        <w:keepLines/>
        <w:widowControl w:val="0"/>
        <w:spacing w:after="0" w:line="240" w:lineRule="auto"/>
        <w:ind w:left="360"/>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Exhibit C, section 11.A is replaced in its entirety as follows:</w:t>
      </w:r>
    </w:p>
    <w:p w:rsidR="00D947B6" w:rsidRPr="00D947B6" w:rsidRDefault="00D947B6" w:rsidP="00D947B6">
      <w:pPr>
        <w:numPr>
          <w:ilvl w:val="1"/>
          <w:numId w:val="16"/>
        </w:numPr>
        <w:tabs>
          <w:tab w:val="left" w:pos="720"/>
          <w:tab w:val="left" w:pos="10800"/>
        </w:tabs>
        <w:spacing w:after="0" w:line="240" w:lineRule="auto"/>
        <w:ind w:right="-54"/>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The University will perform the work contemplated with resources available within its own organization and no portion of the work shall be subawarded except for Subawards expressly identified in the proposal, the Scope of Work or the Budget, or any amendments to the foregoing.  The University will incorporate into any Subaward for work identified in this Agreement all provisions and Exhibits in this Agreement applicable to the particular Subawardee, including, but not limited to the following: </w:t>
      </w:r>
    </w:p>
    <w:p w:rsidR="00D947B6" w:rsidRPr="00D947B6" w:rsidRDefault="00D947B6" w:rsidP="00D947B6">
      <w:pPr>
        <w:numPr>
          <w:ilvl w:val="2"/>
          <w:numId w:val="9"/>
        </w:numPr>
        <w:tabs>
          <w:tab w:val="left" w:pos="1080"/>
          <w:tab w:val="left" w:pos="10800"/>
        </w:tabs>
        <w:spacing w:after="0" w:line="240" w:lineRule="auto"/>
        <w:ind w:left="1800" w:right="-54"/>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Conflict of Interest</w:t>
      </w:r>
    </w:p>
    <w:p w:rsidR="00D947B6" w:rsidRPr="00D947B6" w:rsidRDefault="00D947B6" w:rsidP="00D947B6">
      <w:pPr>
        <w:numPr>
          <w:ilvl w:val="2"/>
          <w:numId w:val="9"/>
        </w:numPr>
        <w:tabs>
          <w:tab w:val="left" w:pos="1080"/>
          <w:tab w:val="left" w:pos="10800"/>
        </w:tabs>
        <w:spacing w:after="0" w:line="240" w:lineRule="auto"/>
        <w:ind w:left="1800" w:right="-54"/>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Confidential Information</w:t>
      </w:r>
    </w:p>
    <w:p w:rsidR="00D947B6" w:rsidRPr="00D947B6" w:rsidRDefault="00D947B6" w:rsidP="00D947B6">
      <w:pPr>
        <w:numPr>
          <w:ilvl w:val="2"/>
          <w:numId w:val="9"/>
        </w:numPr>
        <w:tabs>
          <w:tab w:val="left" w:pos="1080"/>
          <w:tab w:val="left" w:pos="10800"/>
        </w:tabs>
        <w:spacing w:after="0" w:line="240" w:lineRule="auto"/>
        <w:ind w:left="1800" w:right="-54"/>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Budget Contingency</w:t>
      </w:r>
    </w:p>
    <w:p w:rsidR="00D947B6" w:rsidRPr="00D947B6" w:rsidRDefault="00D947B6" w:rsidP="00D947B6">
      <w:pPr>
        <w:numPr>
          <w:ilvl w:val="2"/>
          <w:numId w:val="9"/>
        </w:numPr>
        <w:tabs>
          <w:tab w:val="left" w:pos="1080"/>
          <w:tab w:val="left" w:pos="10800"/>
        </w:tabs>
        <w:spacing w:after="0" w:line="240" w:lineRule="auto"/>
        <w:ind w:left="1800" w:right="-54"/>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Patents (if applicable)</w:t>
      </w:r>
    </w:p>
    <w:p w:rsidR="00D947B6" w:rsidRPr="00D947B6" w:rsidRDefault="00D947B6" w:rsidP="00D947B6">
      <w:pPr>
        <w:numPr>
          <w:ilvl w:val="2"/>
          <w:numId w:val="9"/>
        </w:numPr>
        <w:tabs>
          <w:tab w:val="left" w:pos="1080"/>
          <w:tab w:val="left" w:pos="10800"/>
        </w:tabs>
        <w:spacing w:after="0" w:line="240" w:lineRule="auto"/>
        <w:ind w:left="1800" w:right="-54"/>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Copyrights (if applicable)</w:t>
      </w:r>
    </w:p>
    <w:p w:rsidR="00D947B6" w:rsidRPr="00D947B6" w:rsidRDefault="00D947B6" w:rsidP="00D947B6">
      <w:pPr>
        <w:numPr>
          <w:ilvl w:val="2"/>
          <w:numId w:val="9"/>
        </w:numPr>
        <w:tabs>
          <w:tab w:val="left" w:pos="1080"/>
          <w:tab w:val="left" w:pos="10800"/>
        </w:tabs>
        <w:spacing w:after="0" w:line="240" w:lineRule="auto"/>
        <w:ind w:left="1800" w:right="-54"/>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Data Rights (if applicable)</w:t>
      </w:r>
    </w:p>
    <w:p w:rsidR="00D947B6" w:rsidRPr="00D947B6" w:rsidRDefault="00D947B6" w:rsidP="00D947B6">
      <w:pPr>
        <w:numPr>
          <w:ilvl w:val="2"/>
          <w:numId w:val="9"/>
        </w:numPr>
        <w:tabs>
          <w:tab w:val="left" w:pos="1080"/>
          <w:tab w:val="left" w:pos="10800"/>
        </w:tabs>
        <w:spacing w:after="0" w:line="240" w:lineRule="auto"/>
        <w:ind w:left="1800" w:right="-54"/>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Audits</w:t>
      </w:r>
    </w:p>
    <w:p w:rsidR="00D947B6" w:rsidRPr="00D947B6" w:rsidRDefault="00D947B6" w:rsidP="00D947B6">
      <w:pPr>
        <w:numPr>
          <w:ilvl w:val="2"/>
          <w:numId w:val="9"/>
        </w:numPr>
        <w:tabs>
          <w:tab w:val="left" w:pos="1080"/>
          <w:tab w:val="left" w:pos="10800"/>
        </w:tabs>
        <w:spacing w:after="0" w:line="240" w:lineRule="auto"/>
        <w:ind w:left="1800" w:right="-54"/>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Invoicing and Payment</w:t>
      </w:r>
    </w:p>
    <w:p w:rsidR="00D947B6" w:rsidRPr="00D947B6" w:rsidRDefault="00D947B6" w:rsidP="00D947B6">
      <w:pPr>
        <w:tabs>
          <w:tab w:val="left" w:pos="1080"/>
          <w:tab w:val="left" w:pos="10800"/>
        </w:tabs>
        <w:spacing w:after="0" w:line="240" w:lineRule="auto"/>
        <w:ind w:left="1440" w:right="-54"/>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9)   Indemnification</w:t>
      </w:r>
    </w:p>
    <w:p w:rsidR="00D947B6" w:rsidRPr="00D947B6" w:rsidRDefault="00D947B6" w:rsidP="00D947B6">
      <w:pPr>
        <w:numPr>
          <w:ilvl w:val="0"/>
          <w:numId w:val="10"/>
        </w:numPr>
        <w:tabs>
          <w:tab w:val="left" w:pos="1080"/>
          <w:tab w:val="left" w:pos="10800"/>
        </w:tabs>
        <w:spacing w:after="0" w:line="240" w:lineRule="auto"/>
        <w:ind w:left="1800" w:right="-54"/>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Taxpayer Access to Publicly Funded Research Act (i.e., section 17.D. of Exhibit C)</w:t>
      </w:r>
    </w:p>
    <w:p w:rsidR="00D947B6" w:rsidRPr="00D947B6" w:rsidRDefault="00D947B6" w:rsidP="00D947B6">
      <w:pPr>
        <w:numPr>
          <w:ilvl w:val="0"/>
          <w:numId w:val="10"/>
        </w:numPr>
        <w:tabs>
          <w:tab w:val="left" w:pos="1080"/>
          <w:tab w:val="left" w:pos="10800"/>
        </w:tabs>
        <w:spacing w:after="0" w:line="240" w:lineRule="auto"/>
        <w:ind w:left="1800" w:right="-54"/>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 Exhibit G and any other Exhibits in this Agreement; and </w:t>
      </w:r>
    </w:p>
    <w:p w:rsidR="00D947B6" w:rsidRPr="00D947B6" w:rsidRDefault="00D947B6" w:rsidP="00D947B6">
      <w:pPr>
        <w:numPr>
          <w:ilvl w:val="0"/>
          <w:numId w:val="10"/>
        </w:numPr>
        <w:tabs>
          <w:tab w:val="left" w:pos="1080"/>
          <w:tab w:val="left" w:pos="10800"/>
        </w:tabs>
        <w:spacing w:after="0" w:line="240" w:lineRule="auto"/>
        <w:ind w:left="1800" w:right="-54"/>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Any other provisions required by statute, regulation or source of funds applicable to this Agreement. </w:t>
      </w:r>
    </w:p>
    <w:p w:rsidR="00D947B6" w:rsidRPr="00D947B6" w:rsidRDefault="00D947B6" w:rsidP="00D947B6">
      <w:pPr>
        <w:keepLines/>
        <w:widowControl w:val="0"/>
        <w:spacing w:after="0" w:line="240" w:lineRule="auto"/>
        <w:ind w:left="2160" w:hanging="2160"/>
        <w:jc w:val="both"/>
        <w:rPr>
          <w:rFonts w:ascii="Times New Roman" w:eastAsia="Times New Roman" w:hAnsi="Times New Roman" w:cs="Times New Roman"/>
          <w:color w:val="000000"/>
          <w:spacing w:val="-2"/>
          <w:sz w:val="24"/>
          <w:szCs w:val="24"/>
        </w:rPr>
      </w:pPr>
    </w:p>
    <w:p w:rsidR="00D947B6" w:rsidRPr="00D947B6" w:rsidRDefault="00D947B6" w:rsidP="00D947B6">
      <w:pPr>
        <w:keepLines/>
        <w:widowControl w:val="0"/>
        <w:numPr>
          <w:ilvl w:val="0"/>
          <w:numId w:val="13"/>
        </w:numPr>
        <w:spacing w:after="0" w:line="240" w:lineRule="auto"/>
        <w:ind w:left="360"/>
        <w:jc w:val="both"/>
        <w:rPr>
          <w:rFonts w:ascii="Times New Roman" w:eastAsia="Times New Roman" w:hAnsi="Times New Roman" w:cs="Times New Roman"/>
          <w:color w:val="000000"/>
          <w:spacing w:val="-2"/>
          <w:sz w:val="24"/>
          <w:szCs w:val="24"/>
        </w:rPr>
      </w:pPr>
      <w:bookmarkStart w:id="8" w:name="_Hlk14364627"/>
      <w:r w:rsidRPr="00D947B6">
        <w:rPr>
          <w:rFonts w:ascii="Times New Roman" w:eastAsia="Times New Roman" w:hAnsi="Times New Roman" w:cs="Times New Roman"/>
          <w:color w:val="000000"/>
          <w:spacing w:val="-3"/>
          <w:sz w:val="24"/>
          <w:szCs w:val="24"/>
        </w:rPr>
        <w:t xml:space="preserve">Notification of Important Occurrences </w:t>
      </w:r>
      <w:bookmarkEnd w:id="8"/>
    </w:p>
    <w:p w:rsidR="00D947B6" w:rsidRPr="00D947B6" w:rsidRDefault="00D947B6" w:rsidP="00D947B6">
      <w:pPr>
        <w:keepLines/>
        <w:widowControl w:val="0"/>
        <w:spacing w:after="0" w:line="240" w:lineRule="auto"/>
        <w:ind w:left="360"/>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The University shall promptly notify the Energy Commission of the occurrence of any of the following connected with or affecting the project:</w:t>
      </w:r>
    </w:p>
    <w:p w:rsidR="00D947B6" w:rsidRPr="00D947B6" w:rsidRDefault="00D947B6" w:rsidP="00D947B6">
      <w:pPr>
        <w:keepLines/>
        <w:widowControl w:val="0"/>
        <w:numPr>
          <w:ilvl w:val="0"/>
          <w:numId w:val="3"/>
        </w:numPr>
        <w:spacing w:after="0" w:line="240" w:lineRule="auto"/>
        <w:ind w:left="72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A requested change of project location.</w:t>
      </w:r>
    </w:p>
    <w:p w:rsidR="00D947B6" w:rsidRPr="00D947B6" w:rsidRDefault="00D947B6" w:rsidP="00D947B6">
      <w:pPr>
        <w:keepLines/>
        <w:widowControl w:val="0"/>
        <w:numPr>
          <w:ilvl w:val="0"/>
          <w:numId w:val="3"/>
        </w:numPr>
        <w:spacing w:after="0" w:line="240" w:lineRule="auto"/>
        <w:ind w:left="72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lastRenderedPageBreak/>
        <w:t xml:space="preserve">The existence of any litigation or other legal proceeding affecting the project.  </w:t>
      </w:r>
    </w:p>
    <w:p w:rsidR="00D947B6" w:rsidRPr="00D947B6" w:rsidRDefault="00D947B6" w:rsidP="00D947B6">
      <w:pPr>
        <w:keepLines/>
        <w:widowControl w:val="0"/>
        <w:numPr>
          <w:ilvl w:val="0"/>
          <w:numId w:val="3"/>
        </w:numPr>
        <w:spacing w:after="0" w:line="240" w:lineRule="auto"/>
        <w:ind w:left="72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The occurrence of any casualty or other loss to project personnel, Equipment or third parties.</w:t>
      </w:r>
    </w:p>
    <w:p w:rsidR="00D947B6" w:rsidRPr="00D947B6" w:rsidRDefault="00D947B6" w:rsidP="00D947B6">
      <w:pPr>
        <w:keepLines/>
        <w:widowControl w:val="0"/>
        <w:numPr>
          <w:ilvl w:val="0"/>
          <w:numId w:val="3"/>
        </w:numPr>
        <w:spacing w:after="0" w:line="240" w:lineRule="auto"/>
        <w:ind w:left="72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Receipt of notice of any claim or potential claim against University for patent, copyright, trademark, service mark and/or trade secret infringement that could affect the Energy Commission’s rights.</w:t>
      </w:r>
    </w:p>
    <w:p w:rsidR="00D947B6" w:rsidRPr="00D947B6" w:rsidRDefault="00D947B6" w:rsidP="00D947B6">
      <w:pPr>
        <w:keepLines/>
        <w:widowControl w:val="0"/>
        <w:spacing w:after="0" w:line="240" w:lineRule="auto"/>
        <w:ind w:left="720"/>
        <w:contextualSpacing/>
        <w:jc w:val="both"/>
        <w:rPr>
          <w:rFonts w:ascii="Times New Roman" w:eastAsia="Times New Roman" w:hAnsi="Times New Roman" w:cs="Times New Roman"/>
          <w:color w:val="000000"/>
          <w:spacing w:val="-2"/>
          <w:sz w:val="24"/>
          <w:szCs w:val="24"/>
        </w:rPr>
      </w:pPr>
    </w:p>
    <w:p w:rsidR="00D947B6" w:rsidRPr="00D947B6" w:rsidRDefault="00D947B6" w:rsidP="00D947B6">
      <w:pPr>
        <w:keepLines/>
        <w:widowControl w:val="0"/>
        <w:numPr>
          <w:ilvl w:val="0"/>
          <w:numId w:val="13"/>
        </w:numPr>
        <w:tabs>
          <w:tab w:val="left" w:pos="360"/>
        </w:tabs>
        <w:spacing w:after="0" w:line="240" w:lineRule="auto"/>
        <w:ind w:left="360"/>
        <w:jc w:val="both"/>
        <w:rPr>
          <w:rFonts w:ascii="Times New Roman" w:eastAsia="Times New Roman" w:hAnsi="Times New Roman" w:cs="Times New Roman"/>
          <w:color w:val="000000"/>
          <w:spacing w:val="-2"/>
          <w:sz w:val="24"/>
          <w:szCs w:val="24"/>
        </w:rPr>
      </w:pPr>
      <w:bookmarkStart w:id="9" w:name="_Hlk14364510"/>
      <w:r w:rsidRPr="00D947B6">
        <w:rPr>
          <w:rFonts w:ascii="Times New Roman" w:eastAsia="Times New Roman" w:hAnsi="Times New Roman" w:cs="Times New Roman"/>
          <w:color w:val="000000"/>
          <w:spacing w:val="-2"/>
          <w:sz w:val="24"/>
          <w:szCs w:val="24"/>
        </w:rPr>
        <w:t xml:space="preserve">Incorporation of Application and Solicitation </w:t>
      </w:r>
    </w:p>
    <w:bookmarkEnd w:id="9"/>
    <w:p w:rsidR="00D947B6" w:rsidRPr="00D947B6" w:rsidRDefault="00D947B6" w:rsidP="00D947B6">
      <w:pPr>
        <w:keepLines/>
        <w:widowControl w:val="0"/>
        <w:spacing w:after="0" w:line="240" w:lineRule="auto"/>
        <w:ind w:left="360"/>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If this Agreement resulted from an Energy Commission competitive solicitation, University’s submitted material in response to the solicitation (Application), and the solicitation itself are incorporated by reference into this Agreement.  In the event of a conflict between the University’s Application, the solicitation and this Agreement, all provisions in this Agreement, including this Exhibit G, shall take precedence.</w:t>
      </w:r>
    </w:p>
    <w:p w:rsidR="00D947B6" w:rsidRPr="00D947B6" w:rsidRDefault="00D947B6" w:rsidP="00D947B6">
      <w:pPr>
        <w:keepLines/>
        <w:widowControl w:val="0"/>
        <w:spacing w:after="0" w:line="240" w:lineRule="auto"/>
        <w:ind w:left="360"/>
        <w:jc w:val="both"/>
        <w:rPr>
          <w:rFonts w:ascii="Times New Roman" w:eastAsia="Times New Roman" w:hAnsi="Times New Roman" w:cs="Times New Roman"/>
          <w:color w:val="000000"/>
          <w:spacing w:val="-2"/>
          <w:sz w:val="24"/>
          <w:szCs w:val="24"/>
        </w:rPr>
      </w:pPr>
    </w:p>
    <w:p w:rsidR="00D947B6" w:rsidRPr="00D947B6" w:rsidRDefault="00D947B6" w:rsidP="00D947B6">
      <w:pPr>
        <w:keepLines/>
        <w:widowControl w:val="0"/>
        <w:numPr>
          <w:ilvl w:val="0"/>
          <w:numId w:val="13"/>
        </w:numPr>
        <w:spacing w:after="0" w:line="240" w:lineRule="auto"/>
        <w:ind w:left="360"/>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California Taxpayer Access to Publicly Funded Research Act.</w:t>
      </w:r>
    </w:p>
    <w:p w:rsidR="00D947B6" w:rsidRPr="00D947B6" w:rsidRDefault="00D947B6" w:rsidP="00D947B6">
      <w:pPr>
        <w:keepLines/>
        <w:widowControl w:val="0"/>
        <w:spacing w:after="0" w:line="240" w:lineRule="auto"/>
        <w:ind w:left="360"/>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The following is added to Exhibit C, section 17.D., Terms &amp; Conditions Required for State-Funded Research Grants:</w:t>
      </w:r>
    </w:p>
    <w:p w:rsidR="00D947B6" w:rsidRPr="00D947B6" w:rsidRDefault="00D947B6" w:rsidP="00D947B6">
      <w:pPr>
        <w:keepLines/>
        <w:widowControl w:val="0"/>
        <w:spacing w:after="0" w:line="240" w:lineRule="auto"/>
        <w:ind w:left="360"/>
        <w:jc w:val="both"/>
        <w:rPr>
          <w:rFonts w:ascii="Times New Roman" w:eastAsia="Times New Roman" w:hAnsi="Times New Roman" w:cs="Times New Roman"/>
          <w:color w:val="000000"/>
          <w:spacing w:val="-2"/>
          <w:sz w:val="24"/>
          <w:szCs w:val="24"/>
        </w:rPr>
      </w:pPr>
    </w:p>
    <w:p w:rsidR="00D947B6" w:rsidRPr="00D947B6" w:rsidRDefault="00D947B6" w:rsidP="00D947B6">
      <w:pPr>
        <w:numPr>
          <w:ilvl w:val="0"/>
          <w:numId w:val="17"/>
        </w:numPr>
        <w:spacing w:after="0" w:line="240" w:lineRule="auto"/>
        <w:ind w:left="1080"/>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The University shall ensure that any publishing or copyright agreements concerning Peer-Reviewed Manuscripts: </w:t>
      </w:r>
    </w:p>
    <w:p w:rsidR="00D947B6" w:rsidRPr="00D947B6" w:rsidRDefault="00D947B6" w:rsidP="00D947B6">
      <w:pPr>
        <w:ind w:left="2160" w:hanging="720"/>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a)</w:t>
      </w:r>
      <w:r w:rsidRPr="00D947B6">
        <w:rPr>
          <w:rFonts w:ascii="Times New Roman" w:eastAsia="Times New Roman" w:hAnsi="Times New Roman" w:cs="Times New Roman"/>
          <w:color w:val="000000"/>
          <w:sz w:val="24"/>
          <w:szCs w:val="24"/>
        </w:rPr>
        <w:tab/>
        <w:t>Do not conflict with the Energy Commission’s rights under this Agreement; and</w:t>
      </w:r>
    </w:p>
    <w:p w:rsidR="00D947B6" w:rsidRPr="00D947B6" w:rsidRDefault="00D947B6" w:rsidP="00D947B6">
      <w:pPr>
        <w:ind w:left="2160" w:hanging="720"/>
        <w:contextualSpacing/>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b)</w:t>
      </w:r>
      <w:r w:rsidRPr="00D947B6">
        <w:rPr>
          <w:rFonts w:ascii="Times New Roman" w:eastAsia="Times New Roman" w:hAnsi="Times New Roman" w:cs="Times New Roman"/>
          <w:color w:val="000000"/>
          <w:sz w:val="24"/>
          <w:szCs w:val="24"/>
        </w:rPr>
        <w:tab/>
        <w:t xml:space="preserve">Shall not alter any Energy Commission rights provided under this Agreement. </w:t>
      </w:r>
    </w:p>
    <w:p w:rsidR="00D947B6" w:rsidRPr="00D947B6" w:rsidRDefault="00D947B6" w:rsidP="00D947B6">
      <w:pPr>
        <w:spacing w:after="0" w:line="240" w:lineRule="auto"/>
        <w:rPr>
          <w:rFonts w:ascii="Times New Roman" w:eastAsia="Times New Roman" w:hAnsi="Times New Roman" w:cs="Times New Roman"/>
          <w:color w:val="000000"/>
          <w:sz w:val="24"/>
          <w:szCs w:val="24"/>
        </w:rPr>
      </w:pPr>
    </w:p>
    <w:p w:rsidR="00D947B6" w:rsidRPr="00D947B6" w:rsidRDefault="00D947B6" w:rsidP="00147C73">
      <w:pPr>
        <w:numPr>
          <w:ilvl w:val="0"/>
          <w:numId w:val="17"/>
        </w:numPr>
        <w:spacing w:line="240" w:lineRule="auto"/>
        <w:ind w:left="1080"/>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The Act states that “Grantees are authorized to use grant money for publication costs, including fees charged by a publisher for color and page charges, or fees for digital distribution.”  University agrees that for purposes of this Agreement, the University is only authorized to use funds under this Agreement, including Matching funds, for these purposes </w:t>
      </w:r>
      <w:r w:rsidRPr="00D947B6">
        <w:rPr>
          <w:rFonts w:ascii="Times New Roman" w:eastAsia="Times New Roman" w:hAnsi="Times New Roman" w:cs="Times New Roman"/>
          <w:b/>
          <w:color w:val="000000"/>
          <w:sz w:val="24"/>
          <w:szCs w:val="24"/>
          <w:u w:val="single"/>
        </w:rPr>
        <w:t>if the expenses are included in the Agreement’s Budget and meet the other Agreement requirements for payment, including that the Commission will only reimburse the University for expenditures incurred during the Agreement term.  If these expenses are not included in the Budget, both parties must agree and amend the Budget to include such expenditures before University is authorized to use Agreement funds, either reimbursable expenses or match, for these purposes.</w:t>
      </w:r>
    </w:p>
    <w:p w:rsidR="00D947B6" w:rsidRPr="00D947B6" w:rsidRDefault="00D947B6" w:rsidP="00D947B6">
      <w:pPr>
        <w:keepLines/>
        <w:widowControl w:val="0"/>
        <w:numPr>
          <w:ilvl w:val="0"/>
          <w:numId w:val="13"/>
        </w:numPr>
        <w:spacing w:after="0" w:line="240" w:lineRule="auto"/>
        <w:ind w:left="360"/>
        <w:jc w:val="both"/>
        <w:rPr>
          <w:rFonts w:ascii="Times New Roman" w:eastAsia="Times New Roman" w:hAnsi="Times New Roman" w:cs="Times New Roman"/>
          <w:color w:val="000000"/>
          <w:spacing w:val="-2"/>
          <w:sz w:val="24"/>
          <w:szCs w:val="24"/>
        </w:rPr>
      </w:pPr>
      <w:bookmarkStart w:id="10" w:name="Definitions"/>
      <w:bookmarkEnd w:id="10"/>
      <w:r w:rsidRPr="00D947B6">
        <w:rPr>
          <w:rFonts w:ascii="Times New Roman" w:eastAsia="Times New Roman" w:hAnsi="Times New Roman" w:cs="Times New Roman"/>
          <w:color w:val="000000"/>
          <w:spacing w:val="-2"/>
          <w:sz w:val="24"/>
          <w:szCs w:val="24"/>
        </w:rPr>
        <w:t>Definitions – the following additional definitions are added to Section 1 of Exhibit C.</w:t>
      </w:r>
    </w:p>
    <w:p w:rsidR="00D947B6" w:rsidRPr="00D947B6" w:rsidRDefault="00D947B6" w:rsidP="00D947B6">
      <w:pPr>
        <w:keepLines/>
        <w:widowControl w:val="0"/>
        <w:spacing w:after="0" w:line="240" w:lineRule="auto"/>
        <w:ind w:left="360"/>
        <w:jc w:val="both"/>
        <w:rPr>
          <w:rFonts w:ascii="Times New Roman" w:eastAsia="Times New Roman" w:hAnsi="Times New Roman" w:cs="Times New Roman"/>
          <w:color w:val="000000"/>
          <w:spacing w:val="-2"/>
          <w:sz w:val="24"/>
          <w:szCs w:val="24"/>
        </w:rPr>
      </w:pPr>
    </w:p>
    <w:p w:rsidR="00D947B6" w:rsidRPr="00D947B6" w:rsidRDefault="00D947B6" w:rsidP="00D947B6">
      <w:pPr>
        <w:keepLines/>
        <w:widowControl w:val="0"/>
        <w:numPr>
          <w:ilvl w:val="0"/>
          <w:numId w:val="6"/>
        </w:numPr>
        <w:spacing w:after="0" w:line="240" w:lineRule="auto"/>
        <w:ind w:left="72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b/>
          <w:color w:val="000000"/>
          <w:spacing w:val="-2"/>
          <w:sz w:val="24"/>
          <w:szCs w:val="24"/>
        </w:rPr>
        <w:t>California Based Entity (CBE)</w:t>
      </w:r>
      <w:r w:rsidRPr="00D947B6">
        <w:rPr>
          <w:rFonts w:ascii="Times New Roman" w:eastAsia="Times New Roman" w:hAnsi="Times New Roman" w:cs="Times New Roman"/>
          <w:color w:val="000000"/>
          <w:spacing w:val="-2"/>
          <w:sz w:val="24"/>
          <w:szCs w:val="24"/>
        </w:rPr>
        <w:t xml:space="preserve"> is a corporation or other business form organized for the transaction of business that either:</w:t>
      </w:r>
    </w:p>
    <w:p w:rsidR="00D947B6" w:rsidRPr="00D947B6" w:rsidRDefault="00D947B6" w:rsidP="00D947B6">
      <w:pPr>
        <w:keepLines/>
        <w:widowControl w:val="0"/>
        <w:numPr>
          <w:ilvl w:val="0"/>
          <w:numId w:val="8"/>
        </w:numPr>
        <w:spacing w:after="0" w:line="240" w:lineRule="auto"/>
        <w:ind w:left="108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Has its headquarters in California AND manufactures in California the product that is the subject of the award; OR</w:t>
      </w:r>
    </w:p>
    <w:p w:rsidR="00D947B6" w:rsidRDefault="00D947B6" w:rsidP="00147C73">
      <w:pPr>
        <w:keepLines/>
        <w:widowControl w:val="0"/>
        <w:numPr>
          <w:ilvl w:val="0"/>
          <w:numId w:val="8"/>
        </w:numPr>
        <w:spacing w:after="0" w:line="240" w:lineRule="auto"/>
        <w:ind w:left="108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t>Has an office for the transaction of business in California AND substantially manufactures the product or substantially performs the research within California that is the subject of the award.</w:t>
      </w:r>
    </w:p>
    <w:p w:rsidR="00147C73" w:rsidRPr="00D947B6" w:rsidRDefault="00147C73" w:rsidP="00147C73">
      <w:pPr>
        <w:keepLines/>
        <w:widowControl w:val="0"/>
        <w:spacing w:after="0" w:line="240" w:lineRule="auto"/>
        <w:ind w:left="1080"/>
        <w:contextualSpacing/>
        <w:jc w:val="both"/>
        <w:rPr>
          <w:rFonts w:ascii="Times New Roman" w:eastAsia="Times New Roman" w:hAnsi="Times New Roman" w:cs="Times New Roman"/>
          <w:color w:val="000000"/>
          <w:spacing w:val="-2"/>
          <w:sz w:val="24"/>
          <w:szCs w:val="24"/>
        </w:rPr>
      </w:pPr>
    </w:p>
    <w:p w:rsidR="00D947B6" w:rsidRPr="00D947B6" w:rsidRDefault="00D947B6" w:rsidP="00D947B6">
      <w:pPr>
        <w:keepLines/>
        <w:widowControl w:val="0"/>
        <w:numPr>
          <w:ilvl w:val="0"/>
          <w:numId w:val="6"/>
        </w:numPr>
        <w:spacing w:after="0" w:line="240" w:lineRule="auto"/>
        <w:ind w:left="72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b/>
          <w:color w:val="000000"/>
          <w:spacing w:val="-2"/>
          <w:sz w:val="24"/>
          <w:szCs w:val="24"/>
        </w:rPr>
        <w:lastRenderedPageBreak/>
        <w:t>California Energy Commission</w:t>
      </w:r>
      <w:r w:rsidRPr="00D947B6">
        <w:rPr>
          <w:rFonts w:ascii="Times New Roman" w:eastAsia="Times New Roman" w:hAnsi="Times New Roman" w:cs="Times New Roman"/>
          <w:color w:val="000000"/>
          <w:spacing w:val="-2"/>
          <w:sz w:val="24"/>
          <w:szCs w:val="24"/>
        </w:rPr>
        <w:t xml:space="preserve">, </w:t>
      </w:r>
      <w:r w:rsidRPr="00D947B6">
        <w:rPr>
          <w:rFonts w:ascii="Times New Roman" w:eastAsia="Times New Roman" w:hAnsi="Times New Roman" w:cs="Times New Roman"/>
          <w:b/>
          <w:color w:val="000000"/>
          <w:spacing w:val="-2"/>
          <w:sz w:val="24"/>
          <w:szCs w:val="24"/>
        </w:rPr>
        <w:t>Energy Commission</w:t>
      </w:r>
      <w:r w:rsidRPr="00D947B6">
        <w:rPr>
          <w:rFonts w:ascii="Times New Roman" w:eastAsia="Times New Roman" w:hAnsi="Times New Roman" w:cs="Times New Roman"/>
          <w:color w:val="000000"/>
          <w:spacing w:val="-2"/>
          <w:sz w:val="24"/>
          <w:szCs w:val="24"/>
        </w:rPr>
        <w:t xml:space="preserve">, or just </w:t>
      </w:r>
      <w:r w:rsidRPr="00D947B6">
        <w:rPr>
          <w:rFonts w:ascii="Times New Roman" w:eastAsia="Times New Roman" w:hAnsi="Times New Roman" w:cs="Times New Roman"/>
          <w:b/>
          <w:color w:val="000000"/>
          <w:spacing w:val="-2"/>
          <w:sz w:val="24"/>
          <w:szCs w:val="24"/>
        </w:rPr>
        <w:t>Commission</w:t>
      </w:r>
      <w:r w:rsidRPr="00D947B6">
        <w:rPr>
          <w:rFonts w:ascii="Times New Roman" w:eastAsia="Times New Roman" w:hAnsi="Times New Roman" w:cs="Times New Roman"/>
          <w:color w:val="000000"/>
          <w:spacing w:val="-2"/>
          <w:sz w:val="24"/>
          <w:szCs w:val="24"/>
        </w:rPr>
        <w:t xml:space="preserve"> means the State Energy Resources Conservation and Development Commission. </w:t>
      </w:r>
    </w:p>
    <w:p w:rsidR="00D947B6" w:rsidRPr="00D947B6" w:rsidRDefault="00D947B6" w:rsidP="00D947B6">
      <w:pPr>
        <w:keepLines/>
        <w:widowControl w:val="0"/>
        <w:spacing w:after="0" w:line="240" w:lineRule="auto"/>
        <w:ind w:left="720"/>
        <w:contextualSpacing/>
        <w:jc w:val="both"/>
        <w:rPr>
          <w:rFonts w:ascii="Times New Roman" w:eastAsia="Times New Roman" w:hAnsi="Times New Roman" w:cs="Times New Roman"/>
          <w:color w:val="000000"/>
          <w:spacing w:val="-2"/>
          <w:sz w:val="24"/>
          <w:szCs w:val="24"/>
        </w:rPr>
      </w:pPr>
    </w:p>
    <w:p w:rsidR="00D947B6" w:rsidRPr="00D947B6" w:rsidRDefault="00D947B6" w:rsidP="00D947B6">
      <w:pPr>
        <w:keepLines/>
        <w:widowControl w:val="0"/>
        <w:numPr>
          <w:ilvl w:val="0"/>
          <w:numId w:val="6"/>
        </w:numPr>
        <w:spacing w:after="0" w:line="240" w:lineRule="auto"/>
        <w:ind w:left="72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b/>
          <w:color w:val="000000"/>
          <w:spacing w:val="-2"/>
          <w:sz w:val="24"/>
          <w:szCs w:val="24"/>
        </w:rPr>
        <w:t>Funds Spent in California</w:t>
      </w:r>
      <w:r w:rsidRPr="00D947B6">
        <w:rPr>
          <w:rFonts w:ascii="Times New Roman" w:eastAsia="Times New Roman" w:hAnsi="Times New Roman" w:cs="Times New Roman"/>
          <w:color w:val="000000"/>
          <w:spacing w:val="-2"/>
          <w:sz w:val="24"/>
          <w:szCs w:val="24"/>
        </w:rPr>
        <w:t xml:space="preserve"> means: (1) Funds under the “Direct Labor” category and all categories calculated based on direct labor (Prime and Subcontractor Labor Rates) are paid to individuals who pay California state income taxes on wages received for work performed under the agreement; and (2) Business transactions (e.g., material and equipment purchases, leases, rentals, and contractual work) are entered into with a business located in California.   For funds not considered "spent in California," please refer to the definition stated in the associated solicitation under which this agreement was awarded.</w:t>
      </w:r>
    </w:p>
    <w:p w:rsidR="00D947B6" w:rsidRPr="00D947B6" w:rsidRDefault="00D947B6" w:rsidP="00D947B6">
      <w:pPr>
        <w:spacing w:after="0" w:line="240" w:lineRule="auto"/>
        <w:ind w:left="720"/>
        <w:contextualSpacing/>
        <w:rPr>
          <w:rFonts w:ascii="Times New Roman" w:eastAsia="Times New Roman" w:hAnsi="Times New Roman" w:cs="Times New Roman"/>
          <w:color w:val="000000"/>
          <w:spacing w:val="-2"/>
          <w:sz w:val="24"/>
          <w:szCs w:val="24"/>
        </w:rPr>
      </w:pPr>
    </w:p>
    <w:p w:rsidR="00D947B6" w:rsidRPr="00D947B6" w:rsidRDefault="00D947B6" w:rsidP="00D947B6">
      <w:pPr>
        <w:keepLines/>
        <w:widowControl w:val="0"/>
        <w:numPr>
          <w:ilvl w:val="0"/>
          <w:numId w:val="6"/>
        </w:numPr>
        <w:spacing w:after="0" w:line="240" w:lineRule="auto"/>
        <w:ind w:left="72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b/>
          <w:color w:val="000000"/>
          <w:spacing w:val="-2"/>
          <w:sz w:val="24"/>
          <w:szCs w:val="24"/>
        </w:rPr>
        <w:t xml:space="preserve">Licensed Product </w:t>
      </w:r>
      <w:r w:rsidRPr="00D947B6">
        <w:rPr>
          <w:rFonts w:ascii="Times New Roman" w:eastAsia="Times New Roman" w:hAnsi="Times New Roman" w:cs="Times New Roman"/>
          <w:color w:val="000000"/>
          <w:spacing w:val="-2"/>
          <w:sz w:val="24"/>
          <w:szCs w:val="24"/>
        </w:rPr>
        <w:t>means any product commercialized by a Licensee that embodies or utilizes Project Data, a Subject Invention, or copyrightable work.</w:t>
      </w:r>
    </w:p>
    <w:p w:rsidR="00D947B6" w:rsidRPr="00D947B6" w:rsidRDefault="00D947B6" w:rsidP="00D947B6">
      <w:pPr>
        <w:keepLines/>
        <w:widowControl w:val="0"/>
        <w:spacing w:after="0" w:line="240" w:lineRule="auto"/>
        <w:jc w:val="both"/>
        <w:rPr>
          <w:rFonts w:ascii="Times New Roman" w:eastAsia="Times New Roman" w:hAnsi="Times New Roman" w:cs="Times New Roman"/>
          <w:b/>
          <w:color w:val="000000"/>
          <w:spacing w:val="-2"/>
          <w:sz w:val="24"/>
          <w:szCs w:val="24"/>
        </w:rPr>
      </w:pPr>
    </w:p>
    <w:p w:rsidR="00D947B6" w:rsidRPr="00D947B6" w:rsidRDefault="00D947B6" w:rsidP="00D947B6">
      <w:pPr>
        <w:keepLines/>
        <w:widowControl w:val="0"/>
        <w:numPr>
          <w:ilvl w:val="0"/>
          <w:numId w:val="6"/>
        </w:numPr>
        <w:spacing w:after="0" w:line="240" w:lineRule="auto"/>
        <w:ind w:left="72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b/>
          <w:color w:val="000000"/>
          <w:spacing w:val="-2"/>
          <w:sz w:val="24"/>
          <w:szCs w:val="24"/>
        </w:rPr>
        <w:t xml:space="preserve">Licensee </w:t>
      </w:r>
      <w:r w:rsidRPr="00D947B6">
        <w:rPr>
          <w:rFonts w:ascii="Times New Roman" w:eastAsia="Times New Roman" w:hAnsi="Times New Roman" w:cs="Times New Roman"/>
          <w:color w:val="000000"/>
          <w:spacing w:val="-2"/>
          <w:sz w:val="24"/>
          <w:szCs w:val="24"/>
        </w:rPr>
        <w:t>means the organization (or its affiliates, joint venture or sublicensee) that is granted commercial rights to Project Data, a Subject Invention or copyrightable work to develop any of these into a commercial product that is made available to the public in the marketplace or otherwise Sold.</w:t>
      </w:r>
    </w:p>
    <w:p w:rsidR="00D947B6" w:rsidRPr="00D947B6" w:rsidRDefault="00D947B6" w:rsidP="00D947B6">
      <w:pPr>
        <w:keepLines/>
        <w:widowControl w:val="0"/>
        <w:spacing w:after="0" w:line="240" w:lineRule="auto"/>
        <w:ind w:left="720"/>
        <w:contextualSpacing/>
        <w:jc w:val="both"/>
        <w:rPr>
          <w:rFonts w:ascii="Times New Roman" w:eastAsia="Times New Roman" w:hAnsi="Times New Roman" w:cs="Times New Roman"/>
          <w:color w:val="000000"/>
          <w:spacing w:val="-2"/>
          <w:sz w:val="24"/>
          <w:szCs w:val="24"/>
        </w:rPr>
      </w:pPr>
    </w:p>
    <w:p w:rsidR="00D947B6" w:rsidRPr="00D947B6" w:rsidRDefault="00D947B6" w:rsidP="00D947B6">
      <w:pPr>
        <w:keepLines/>
        <w:widowControl w:val="0"/>
        <w:numPr>
          <w:ilvl w:val="0"/>
          <w:numId w:val="6"/>
        </w:numPr>
        <w:spacing w:after="0" w:line="240" w:lineRule="auto"/>
        <w:ind w:left="720"/>
        <w:contextualSpacing/>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b/>
          <w:color w:val="000000"/>
          <w:spacing w:val="-2"/>
          <w:sz w:val="24"/>
          <w:szCs w:val="24"/>
        </w:rPr>
        <w:t>Match Funds</w:t>
      </w:r>
      <w:r w:rsidRPr="00D947B6">
        <w:rPr>
          <w:rFonts w:ascii="Times New Roman" w:eastAsia="Times New Roman" w:hAnsi="Times New Roman" w:cs="Times New Roman"/>
          <w:color w:val="000000"/>
          <w:spacing w:val="-2"/>
          <w:sz w:val="24"/>
          <w:szCs w:val="24"/>
        </w:rPr>
        <w:t xml:space="preserve"> means cash or in-kind (non-cash) contributions shown in the approved budget, Exhibit B, and provided by University, Subawardee, or other parties that will be used in performance of this Agreement.</w:t>
      </w:r>
    </w:p>
    <w:p w:rsidR="00D947B6" w:rsidRPr="00D947B6" w:rsidRDefault="00D947B6" w:rsidP="00D947B6">
      <w:pPr>
        <w:keepLines/>
        <w:widowControl w:val="0"/>
        <w:spacing w:after="0" w:line="240" w:lineRule="auto"/>
        <w:ind w:left="720"/>
        <w:jc w:val="both"/>
        <w:rPr>
          <w:rFonts w:ascii="Times New Roman" w:eastAsia="Times New Roman" w:hAnsi="Times New Roman" w:cs="Times New Roman"/>
          <w:color w:val="000000"/>
          <w:spacing w:val="-2"/>
          <w:sz w:val="24"/>
          <w:szCs w:val="24"/>
        </w:rPr>
      </w:pPr>
    </w:p>
    <w:p w:rsidR="00D947B6" w:rsidRPr="00D947B6" w:rsidRDefault="00D947B6" w:rsidP="00D947B6">
      <w:pPr>
        <w:keepLines/>
        <w:widowControl w:val="0"/>
        <w:numPr>
          <w:ilvl w:val="0"/>
          <w:numId w:val="6"/>
        </w:numPr>
        <w:spacing w:after="0" w:line="240" w:lineRule="auto"/>
        <w:ind w:left="720"/>
        <w:contextualSpacing/>
        <w:jc w:val="both"/>
        <w:rPr>
          <w:rFonts w:ascii="Times New Roman" w:eastAsia="Times New Roman" w:hAnsi="Times New Roman" w:cs="Times New Roman"/>
          <w:b/>
          <w:color w:val="000000"/>
          <w:spacing w:val="-2"/>
          <w:sz w:val="24"/>
          <w:szCs w:val="24"/>
        </w:rPr>
      </w:pPr>
      <w:r w:rsidRPr="00D947B6">
        <w:rPr>
          <w:rFonts w:ascii="Times New Roman" w:eastAsia="Times New Roman" w:hAnsi="Times New Roman" w:cs="Times New Roman"/>
          <w:b/>
          <w:color w:val="000000"/>
          <w:spacing w:val="-2"/>
          <w:sz w:val="24"/>
          <w:szCs w:val="24"/>
        </w:rPr>
        <w:t>Match Fund Partner</w:t>
      </w:r>
      <w:r w:rsidRPr="00D947B6">
        <w:rPr>
          <w:rFonts w:ascii="Times New Roman" w:eastAsia="Times New Roman" w:hAnsi="Times New Roman" w:cs="Times New Roman"/>
          <w:color w:val="000000"/>
          <w:spacing w:val="-2"/>
          <w:sz w:val="24"/>
          <w:szCs w:val="24"/>
        </w:rPr>
        <w:t xml:space="preserve"> means an entity providing Match Funds that does not receive any Commission funds.</w:t>
      </w:r>
    </w:p>
    <w:p w:rsidR="00D947B6" w:rsidRPr="00D947B6" w:rsidRDefault="00D947B6" w:rsidP="00D947B6">
      <w:pPr>
        <w:spacing w:after="0" w:line="240" w:lineRule="auto"/>
        <w:ind w:left="720"/>
        <w:contextualSpacing/>
        <w:rPr>
          <w:rFonts w:ascii="Times New Roman" w:eastAsia="Times New Roman" w:hAnsi="Times New Roman" w:cs="Times New Roman"/>
          <w:b/>
          <w:color w:val="000000"/>
          <w:spacing w:val="-2"/>
          <w:sz w:val="24"/>
          <w:szCs w:val="24"/>
        </w:rPr>
      </w:pPr>
    </w:p>
    <w:p w:rsidR="00D947B6" w:rsidRPr="00D947B6" w:rsidRDefault="00D947B6" w:rsidP="00D947B6">
      <w:pPr>
        <w:keepLines/>
        <w:widowControl w:val="0"/>
        <w:numPr>
          <w:ilvl w:val="0"/>
          <w:numId w:val="6"/>
        </w:numPr>
        <w:spacing w:after="120" w:line="240" w:lineRule="auto"/>
        <w:ind w:left="720"/>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b/>
          <w:color w:val="000000"/>
          <w:spacing w:val="-2"/>
          <w:sz w:val="24"/>
          <w:szCs w:val="24"/>
        </w:rPr>
        <w:t>Net Revenues</w:t>
      </w:r>
      <w:r w:rsidRPr="00D947B6">
        <w:rPr>
          <w:rFonts w:ascii="Times New Roman" w:eastAsia="Times New Roman" w:hAnsi="Times New Roman" w:cs="Times New Roman"/>
          <w:color w:val="000000"/>
          <w:spacing w:val="-2"/>
          <w:sz w:val="24"/>
          <w:szCs w:val="24"/>
        </w:rPr>
        <w:t xml:space="preserve"> means the total of the gross invoice prices of Licensed Product Sold, less the sum of the following actual and customary deductions where applicable: cash; quantity discounts; sales, use, tariff, import/export duties or other excise taxes imposed upon particular Sales; transportation charges; and allowance or credits to customers because of rejections or returns.  </w:t>
      </w:r>
    </w:p>
    <w:p w:rsidR="00D947B6" w:rsidRPr="00D947B6" w:rsidRDefault="00D947B6" w:rsidP="00D947B6">
      <w:pPr>
        <w:keepLines/>
        <w:widowControl w:val="0"/>
        <w:numPr>
          <w:ilvl w:val="0"/>
          <w:numId w:val="6"/>
        </w:numPr>
        <w:spacing w:after="120" w:line="240" w:lineRule="auto"/>
        <w:ind w:left="720"/>
        <w:jc w:val="both"/>
        <w:rPr>
          <w:rFonts w:ascii="Times New Roman" w:eastAsia="Times New Roman" w:hAnsi="Times New Roman" w:cs="Times New Roman"/>
          <w:color w:val="000000"/>
          <w:sz w:val="24"/>
          <w:szCs w:val="24"/>
        </w:rPr>
      </w:pPr>
      <w:r w:rsidRPr="00D947B6">
        <w:rPr>
          <w:rFonts w:ascii="Times New Roman" w:eastAsia="Times New Roman" w:hAnsi="Times New Roman" w:cs="Times New Roman"/>
          <w:b/>
          <w:color w:val="000000"/>
          <w:spacing w:val="-2"/>
          <w:sz w:val="24"/>
          <w:szCs w:val="24"/>
        </w:rPr>
        <w:t>Net Royalties</w:t>
      </w:r>
      <w:r w:rsidRPr="00D947B6">
        <w:rPr>
          <w:rFonts w:ascii="Times New Roman" w:eastAsia="Times New Roman" w:hAnsi="Times New Roman" w:cs="Times New Roman"/>
          <w:color w:val="000000"/>
          <w:spacing w:val="-2"/>
          <w:sz w:val="24"/>
          <w:szCs w:val="24"/>
        </w:rPr>
        <w:t xml:space="preserve"> means gross licensing income, including royalties and fees, received by University from a Licensee as consideration for commercially licensing any Subject Invention, copyrightable work, or Project Data, less the following:</w:t>
      </w:r>
    </w:p>
    <w:p w:rsidR="00D947B6" w:rsidRPr="00D947B6" w:rsidRDefault="00D947B6" w:rsidP="00D947B6">
      <w:pPr>
        <w:numPr>
          <w:ilvl w:val="2"/>
          <w:numId w:val="14"/>
        </w:numPr>
        <w:tabs>
          <w:tab w:val="left" w:pos="10800"/>
        </w:tabs>
        <w:spacing w:after="120" w:line="240" w:lineRule="auto"/>
        <w:ind w:right="-58"/>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Legal or other direct expenses (that are not otherwise reimbursed under an option or license agreement from a third party) of patenting, protecting and preserving patent, copyright and related property rights, maintaining patents and other such costs, taxes, or reimbursements as may be necessary or required by law, except patent infringement expenses; </w:t>
      </w:r>
    </w:p>
    <w:p w:rsidR="00D947B6" w:rsidRPr="00D947B6" w:rsidRDefault="00D947B6" w:rsidP="00D947B6">
      <w:pPr>
        <w:numPr>
          <w:ilvl w:val="2"/>
          <w:numId w:val="14"/>
        </w:numPr>
        <w:tabs>
          <w:tab w:val="left" w:pos="10800"/>
        </w:tabs>
        <w:spacing w:after="120" w:line="240" w:lineRule="auto"/>
        <w:ind w:right="-58"/>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Inventor or author shares in accordance with University’s, patent or copyright policy; and</w:t>
      </w:r>
    </w:p>
    <w:p w:rsidR="00D947B6" w:rsidRPr="00D947B6" w:rsidRDefault="00D947B6" w:rsidP="00D947B6">
      <w:pPr>
        <w:numPr>
          <w:ilvl w:val="2"/>
          <w:numId w:val="14"/>
        </w:numPr>
        <w:tabs>
          <w:tab w:val="left" w:pos="10800"/>
        </w:tabs>
        <w:spacing w:after="120" w:line="240" w:lineRule="auto"/>
        <w:ind w:right="-58"/>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 xml:space="preserve">Direct expenses include operating expenses of University which are customarily reimbursed by royalty payments.  </w:t>
      </w:r>
    </w:p>
    <w:p w:rsidR="00D947B6" w:rsidRPr="00D947B6" w:rsidRDefault="00D947B6" w:rsidP="00D947B6">
      <w:pPr>
        <w:keepLines/>
        <w:widowControl w:val="0"/>
        <w:spacing w:after="120" w:line="240" w:lineRule="auto"/>
        <w:ind w:left="720"/>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color w:val="000000"/>
          <w:spacing w:val="-2"/>
          <w:sz w:val="24"/>
          <w:szCs w:val="24"/>
        </w:rPr>
        <w:lastRenderedPageBreak/>
        <w:t xml:space="preserve">Net Royalties do not include any payments to joint holders nor research funding accepted by </w:t>
      </w:r>
      <w:r w:rsidRPr="00D947B6">
        <w:rPr>
          <w:rFonts w:ascii="Times New Roman" w:eastAsia="Times New Roman" w:hAnsi="Times New Roman" w:cs="Times New Roman"/>
          <w:color w:val="000000"/>
          <w:sz w:val="24"/>
          <w:szCs w:val="24"/>
        </w:rPr>
        <w:t xml:space="preserve">University </w:t>
      </w:r>
      <w:r w:rsidRPr="00D947B6">
        <w:rPr>
          <w:rFonts w:ascii="Times New Roman" w:eastAsia="Times New Roman" w:hAnsi="Times New Roman" w:cs="Times New Roman"/>
          <w:color w:val="000000"/>
          <w:spacing w:val="-2"/>
          <w:sz w:val="24"/>
          <w:szCs w:val="24"/>
        </w:rPr>
        <w:t xml:space="preserve">or a Subcontractor in association with an option or licensing agreement.  Net Royalties shall be aggregated cumulatively, over time for each disclosed Subject Invention, copyrightable work, or Project Data.  </w:t>
      </w:r>
    </w:p>
    <w:p w:rsidR="00D947B6" w:rsidRPr="00D947B6" w:rsidRDefault="00D947B6" w:rsidP="00D947B6">
      <w:pPr>
        <w:keepLines/>
        <w:widowControl w:val="0"/>
        <w:numPr>
          <w:ilvl w:val="0"/>
          <w:numId w:val="6"/>
        </w:numPr>
        <w:tabs>
          <w:tab w:val="left" w:pos="2160"/>
          <w:tab w:val="left" w:pos="2880"/>
          <w:tab w:val="left" w:pos="3600"/>
          <w:tab w:val="left" w:pos="4320"/>
          <w:tab w:val="left" w:pos="5040"/>
        </w:tabs>
        <w:spacing w:before="240" w:after="0" w:line="240" w:lineRule="auto"/>
        <w:ind w:left="720"/>
        <w:jc w:val="both"/>
        <w:rPr>
          <w:rFonts w:ascii="Times New Roman" w:eastAsia="Times New Roman" w:hAnsi="Times New Roman" w:cs="Times New Roman"/>
          <w:color w:val="000000"/>
          <w:spacing w:val="-2"/>
          <w:sz w:val="24"/>
          <w:szCs w:val="24"/>
        </w:rPr>
      </w:pPr>
      <w:r w:rsidRPr="00D947B6">
        <w:rPr>
          <w:rFonts w:ascii="Times New Roman" w:eastAsia="Times New Roman" w:hAnsi="Times New Roman" w:cs="Times New Roman"/>
          <w:b/>
          <w:color w:val="000000"/>
          <w:spacing w:val="-2"/>
          <w:sz w:val="24"/>
          <w:szCs w:val="24"/>
        </w:rPr>
        <w:t>Ownership</w:t>
      </w:r>
      <w:r w:rsidRPr="00D947B6">
        <w:rPr>
          <w:rFonts w:ascii="Times New Roman" w:eastAsia="Times New Roman" w:hAnsi="Times New Roman" w:cs="Times New Roman"/>
          <w:b/>
          <w:i/>
          <w:color w:val="000000"/>
          <w:spacing w:val="-2"/>
          <w:sz w:val="24"/>
          <w:szCs w:val="24"/>
        </w:rPr>
        <w:t xml:space="preserve"> </w:t>
      </w:r>
      <w:r w:rsidRPr="00D947B6">
        <w:rPr>
          <w:rFonts w:ascii="Times New Roman" w:eastAsia="Times New Roman" w:hAnsi="Times New Roman" w:cs="Times New Roman"/>
          <w:color w:val="000000"/>
          <w:spacing w:val="-2"/>
          <w:sz w:val="24"/>
          <w:szCs w:val="24"/>
        </w:rPr>
        <w:t>means exclusive possession and control of all rights to property, including the right to use and transfer property.</w:t>
      </w:r>
    </w:p>
    <w:p w:rsidR="00D947B6" w:rsidRPr="00D947B6" w:rsidRDefault="00D947B6" w:rsidP="00D947B6">
      <w:pPr>
        <w:keepLines/>
        <w:widowControl w:val="0"/>
        <w:numPr>
          <w:ilvl w:val="0"/>
          <w:numId w:val="6"/>
        </w:numPr>
        <w:spacing w:before="240" w:after="0" w:line="240" w:lineRule="auto"/>
        <w:ind w:left="720"/>
        <w:jc w:val="both"/>
        <w:rPr>
          <w:rFonts w:ascii="Times New Roman" w:eastAsia="Times New Roman" w:hAnsi="Times New Roman" w:cs="Times New Roman"/>
          <w:b/>
          <w:color w:val="000000"/>
          <w:spacing w:val="-2"/>
          <w:sz w:val="24"/>
          <w:szCs w:val="24"/>
        </w:rPr>
      </w:pPr>
      <w:r w:rsidRPr="00D947B6">
        <w:rPr>
          <w:rFonts w:ascii="Times New Roman" w:eastAsia="Times New Roman" w:hAnsi="Times New Roman" w:cs="Times New Roman"/>
          <w:b/>
          <w:color w:val="000000"/>
          <w:spacing w:val="-2"/>
          <w:sz w:val="24"/>
          <w:szCs w:val="24"/>
        </w:rPr>
        <w:t xml:space="preserve">Sale </w:t>
      </w:r>
      <w:r w:rsidRPr="00D947B6">
        <w:rPr>
          <w:rFonts w:ascii="Times New Roman" w:eastAsia="Times New Roman" w:hAnsi="Times New Roman" w:cs="Times New Roman"/>
          <w:color w:val="000000"/>
          <w:spacing w:val="-2"/>
          <w:sz w:val="24"/>
          <w:szCs w:val="24"/>
        </w:rPr>
        <w:t xml:space="preserve">means </w:t>
      </w:r>
      <w:r w:rsidRPr="00D947B6">
        <w:rPr>
          <w:rFonts w:ascii="Times New Roman" w:eastAsia="Times New Roman" w:hAnsi="Times New Roman" w:cs="Times New Roman"/>
          <w:color w:val="000000"/>
          <w:sz w:val="24"/>
          <w:szCs w:val="24"/>
        </w:rPr>
        <w:t xml:space="preserve">the act of selling, leasing or otherwise transferring, providing, or furnishing for use for any consideration.  </w:t>
      </w:r>
    </w:p>
    <w:p w:rsidR="00D947B6" w:rsidRPr="00D947B6" w:rsidRDefault="00D947B6" w:rsidP="00D947B6">
      <w:pPr>
        <w:keepLines/>
        <w:widowControl w:val="0"/>
        <w:numPr>
          <w:ilvl w:val="0"/>
          <w:numId w:val="6"/>
        </w:numPr>
        <w:spacing w:before="240" w:after="0" w:line="240" w:lineRule="auto"/>
        <w:ind w:left="720"/>
        <w:jc w:val="both"/>
        <w:rPr>
          <w:rFonts w:ascii="Times New Roman" w:eastAsia="Times New Roman" w:hAnsi="Times New Roman" w:cs="Times New Roman"/>
          <w:b/>
          <w:color w:val="000000"/>
          <w:spacing w:val="-2"/>
          <w:sz w:val="24"/>
          <w:szCs w:val="24"/>
        </w:rPr>
      </w:pPr>
      <w:r w:rsidRPr="00D947B6">
        <w:rPr>
          <w:rFonts w:ascii="Times New Roman" w:eastAsia="Times New Roman" w:hAnsi="Times New Roman" w:cs="Times New Roman"/>
          <w:b/>
          <w:color w:val="000000"/>
          <w:sz w:val="24"/>
          <w:szCs w:val="24"/>
        </w:rPr>
        <w:t>Sell</w:t>
      </w:r>
      <w:r w:rsidRPr="00D947B6">
        <w:rPr>
          <w:rFonts w:ascii="Times New Roman" w:eastAsia="Times New Roman" w:hAnsi="Times New Roman" w:cs="Times New Roman"/>
          <w:color w:val="000000"/>
          <w:sz w:val="24"/>
          <w:szCs w:val="24"/>
        </w:rPr>
        <w:t xml:space="preserve"> means to make or cause to be made a Sale.</w:t>
      </w:r>
    </w:p>
    <w:p w:rsidR="00D947B6" w:rsidRPr="00D947B6" w:rsidRDefault="00D947B6" w:rsidP="00D947B6">
      <w:pPr>
        <w:keepLines/>
        <w:widowControl w:val="0"/>
        <w:numPr>
          <w:ilvl w:val="0"/>
          <w:numId w:val="6"/>
        </w:numPr>
        <w:spacing w:before="240" w:after="0" w:line="240" w:lineRule="auto"/>
        <w:ind w:left="720"/>
        <w:jc w:val="both"/>
        <w:rPr>
          <w:rFonts w:ascii="Times New Roman" w:eastAsia="Times New Roman" w:hAnsi="Times New Roman" w:cs="Times New Roman"/>
          <w:b/>
          <w:color w:val="000000"/>
          <w:spacing w:val="-2"/>
          <w:sz w:val="24"/>
          <w:szCs w:val="24"/>
        </w:rPr>
      </w:pPr>
      <w:r w:rsidRPr="00D947B6">
        <w:rPr>
          <w:rFonts w:ascii="Times New Roman" w:eastAsia="Times New Roman" w:hAnsi="Times New Roman" w:cs="Times New Roman"/>
          <w:b/>
          <w:color w:val="000000"/>
          <w:sz w:val="24"/>
          <w:szCs w:val="24"/>
        </w:rPr>
        <w:t>Sold</w:t>
      </w:r>
      <w:r w:rsidRPr="00D947B6">
        <w:rPr>
          <w:rFonts w:ascii="Times New Roman" w:eastAsia="Times New Roman" w:hAnsi="Times New Roman" w:cs="Times New Roman"/>
          <w:color w:val="000000"/>
          <w:sz w:val="24"/>
          <w:szCs w:val="24"/>
        </w:rPr>
        <w:t xml:space="preserve"> means to have made or caused to be made a Sale.</w:t>
      </w:r>
    </w:p>
    <w:p w:rsidR="00D947B6" w:rsidRPr="00D947B6" w:rsidRDefault="00D947B6" w:rsidP="00D947B6">
      <w:pPr>
        <w:keepLines/>
        <w:widowControl w:val="0"/>
        <w:numPr>
          <w:ilvl w:val="0"/>
          <w:numId w:val="6"/>
        </w:numPr>
        <w:spacing w:before="240" w:after="0" w:line="240" w:lineRule="auto"/>
        <w:ind w:left="720"/>
        <w:jc w:val="both"/>
        <w:rPr>
          <w:rFonts w:ascii="Times New Roman" w:eastAsia="Times New Roman" w:hAnsi="Times New Roman" w:cs="Times New Roman"/>
          <w:b/>
          <w:color w:val="000000"/>
          <w:spacing w:val="-2"/>
          <w:sz w:val="24"/>
          <w:szCs w:val="24"/>
        </w:rPr>
      </w:pPr>
      <w:r w:rsidRPr="00D947B6">
        <w:rPr>
          <w:rFonts w:ascii="Times New Roman" w:eastAsia="Times New Roman" w:hAnsi="Times New Roman" w:cs="Times New Roman"/>
          <w:b/>
          <w:color w:val="000000"/>
          <w:spacing w:val="-2"/>
          <w:sz w:val="24"/>
          <w:szCs w:val="24"/>
        </w:rPr>
        <w:t xml:space="preserve">Sales Price </w:t>
      </w:r>
      <w:r w:rsidRPr="00D947B6">
        <w:rPr>
          <w:rFonts w:ascii="Times New Roman" w:eastAsia="Times New Roman" w:hAnsi="Times New Roman" w:cs="Times New Roman"/>
          <w:color w:val="000000"/>
          <w:spacing w:val="-2"/>
          <w:sz w:val="24"/>
          <w:szCs w:val="24"/>
        </w:rPr>
        <w:t>means the price at which Licensed Product is sold, excluding sales tax.</w:t>
      </w:r>
    </w:p>
    <w:p w:rsidR="00D947B6" w:rsidRPr="00D947B6" w:rsidRDefault="00D947B6" w:rsidP="00D947B6">
      <w:pPr>
        <w:keepLines/>
        <w:widowControl w:val="0"/>
        <w:numPr>
          <w:ilvl w:val="0"/>
          <w:numId w:val="6"/>
        </w:numPr>
        <w:spacing w:before="240" w:after="120" w:line="240" w:lineRule="auto"/>
        <w:ind w:left="720"/>
        <w:jc w:val="both"/>
        <w:rPr>
          <w:rFonts w:ascii="Times New Roman" w:eastAsia="Times New Roman" w:hAnsi="Times New Roman" w:cs="Times New Roman"/>
          <w:b/>
          <w:i/>
          <w:color w:val="000000"/>
          <w:sz w:val="24"/>
          <w:szCs w:val="24"/>
        </w:rPr>
      </w:pPr>
      <w:r w:rsidRPr="00D947B6">
        <w:rPr>
          <w:rFonts w:ascii="Times New Roman" w:eastAsia="Times New Roman" w:hAnsi="Times New Roman" w:cs="Times New Roman"/>
          <w:b/>
          <w:color w:val="000000"/>
          <w:sz w:val="24"/>
          <w:szCs w:val="24"/>
        </w:rPr>
        <w:t xml:space="preserve">Subject Invention </w:t>
      </w:r>
      <w:r w:rsidRPr="00D947B6">
        <w:rPr>
          <w:rFonts w:ascii="Times New Roman" w:eastAsia="Times New Roman" w:hAnsi="Times New Roman" w:cs="Times New Roman"/>
          <w:color w:val="000000"/>
          <w:sz w:val="24"/>
          <w:szCs w:val="24"/>
        </w:rPr>
        <w:t>means any patentable invention or discovery that is either:</w:t>
      </w:r>
    </w:p>
    <w:p w:rsidR="00D947B6" w:rsidRPr="00D947B6" w:rsidRDefault="00D947B6" w:rsidP="00D947B6">
      <w:pPr>
        <w:numPr>
          <w:ilvl w:val="2"/>
          <w:numId w:val="15"/>
        </w:numPr>
        <w:tabs>
          <w:tab w:val="left" w:pos="10800"/>
        </w:tabs>
        <w:spacing w:after="120" w:line="240" w:lineRule="auto"/>
        <w:ind w:right="-58"/>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Conceived and first actually reduced to practice (actually reduced to practice or constructively reduced to practice by the filing of a patent application) in the performance of the Scope of Work;</w:t>
      </w:r>
    </w:p>
    <w:p w:rsidR="00D947B6" w:rsidRPr="00D947B6" w:rsidRDefault="00D947B6" w:rsidP="00D947B6">
      <w:pPr>
        <w:numPr>
          <w:ilvl w:val="2"/>
          <w:numId w:val="15"/>
        </w:numPr>
        <w:tabs>
          <w:tab w:val="left" w:pos="10800"/>
        </w:tabs>
        <w:spacing w:after="120" w:line="240" w:lineRule="auto"/>
        <w:ind w:right="-58"/>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Conceived in the performance of the Scope of Work and first reduced to practice in the performance of the Scope of Work conducted under this Agreement or within forty-two (42) months after the completion of the Scope of Work; or</w:t>
      </w:r>
    </w:p>
    <w:p w:rsidR="00D947B6" w:rsidRPr="00D947B6" w:rsidRDefault="00D947B6" w:rsidP="00D947B6">
      <w:pPr>
        <w:numPr>
          <w:ilvl w:val="2"/>
          <w:numId w:val="15"/>
        </w:numPr>
        <w:tabs>
          <w:tab w:val="left" w:pos="10800"/>
        </w:tabs>
        <w:spacing w:after="120" w:line="240" w:lineRule="auto"/>
        <w:ind w:right="-58"/>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t>Conceived prior to the effective date of this Agreement or conceived without Energy Commission funds and reduced to practice in the performance of the Scope of Work, provided that such conception is not encumbered by any obligations owed to a third party other than the U.S. Government.</w:t>
      </w:r>
    </w:p>
    <w:p w:rsidR="00D947B6" w:rsidRPr="00D947B6" w:rsidRDefault="00D947B6" w:rsidP="00D947B6">
      <w:pPr>
        <w:keepLines/>
        <w:widowControl w:val="0"/>
        <w:spacing w:after="0" w:line="240" w:lineRule="auto"/>
        <w:jc w:val="both"/>
        <w:rPr>
          <w:rFonts w:ascii="Times New Roman" w:eastAsia="Times New Roman" w:hAnsi="Times New Roman" w:cs="Times New Roman"/>
          <w:b/>
          <w:color w:val="000000"/>
          <w:spacing w:val="-2"/>
          <w:sz w:val="24"/>
          <w:szCs w:val="24"/>
        </w:rPr>
      </w:pPr>
    </w:p>
    <w:p w:rsidR="00D947B6" w:rsidRPr="00D947B6" w:rsidRDefault="00D947B6" w:rsidP="00D947B6">
      <w:pPr>
        <w:rPr>
          <w:rFonts w:ascii="Times New Roman" w:eastAsia="Times New Roman" w:hAnsi="Times New Roman" w:cs="Times New Roman"/>
          <w:color w:val="000000"/>
          <w:sz w:val="24"/>
          <w:szCs w:val="24"/>
        </w:rPr>
      </w:pPr>
      <w:r w:rsidRPr="00D947B6">
        <w:rPr>
          <w:rFonts w:ascii="Times New Roman" w:eastAsia="Times New Roman" w:hAnsi="Times New Roman" w:cs="Times New Roman"/>
          <w:color w:val="000000"/>
          <w:sz w:val="24"/>
          <w:szCs w:val="24"/>
        </w:rPr>
        <w:br w:type="page"/>
      </w:r>
    </w:p>
    <w:p w:rsidR="00D947B6" w:rsidRPr="00D947B6" w:rsidRDefault="00D947B6" w:rsidP="00D947B6">
      <w:pPr>
        <w:keepNext/>
        <w:spacing w:after="240" w:line="240" w:lineRule="auto"/>
        <w:jc w:val="center"/>
        <w:outlineLvl w:val="1"/>
        <w:rPr>
          <w:rFonts w:ascii="Calibri" w:eastAsia="Times New Roman" w:hAnsi="Calibri" w:cs="Calibri"/>
          <w:b/>
        </w:rPr>
      </w:pPr>
      <w:r w:rsidRPr="00D947B6">
        <w:rPr>
          <w:rFonts w:ascii="Calibri" w:eastAsia="Times New Roman" w:hAnsi="Calibri" w:cs="Calibri"/>
          <w:b/>
        </w:rPr>
        <w:lastRenderedPageBreak/>
        <w:t>License to the State of California Attachment</w:t>
      </w:r>
    </w:p>
    <w:p w:rsidR="00D947B6" w:rsidRPr="00D947B6" w:rsidRDefault="00D947B6" w:rsidP="00D947B6">
      <w:pPr>
        <w:spacing w:after="240" w:line="240" w:lineRule="auto"/>
        <w:rPr>
          <w:rFonts w:ascii="Calibri" w:eastAsia="Times New Roman" w:hAnsi="Calibri" w:cs="Times New Roman"/>
          <w:b/>
          <w:u w:val="single"/>
        </w:rPr>
      </w:pPr>
      <w:r w:rsidRPr="00D947B6">
        <w:rPr>
          <w:rFonts w:ascii="Calibri" w:eastAsia="Times New Roman" w:hAnsi="Calibri" w:cs="Times New Roman"/>
          <w:b/>
        </w:rPr>
        <w:t>Invention Title:</w:t>
      </w:r>
      <w:r w:rsidRPr="00D947B6">
        <w:rPr>
          <w:rFonts w:ascii="Calibri" w:eastAsia="Times New Roman" w:hAnsi="Calibri" w:cs="Times New Roman"/>
          <w:b/>
        </w:rPr>
        <w:fldChar w:fldCharType="begin">
          <w:ffData>
            <w:name w:val="Text7"/>
            <w:enabled/>
            <w:calcOnExit w:val="0"/>
            <w:textInput/>
          </w:ffData>
        </w:fldChar>
      </w:r>
      <w:bookmarkStart w:id="11" w:name="Text7"/>
      <w:r w:rsidRPr="00D947B6">
        <w:rPr>
          <w:rFonts w:ascii="Calibri" w:eastAsia="Times New Roman" w:hAnsi="Calibri" w:cs="Times New Roman"/>
          <w:b/>
        </w:rPr>
        <w:instrText xml:space="preserve"> FORMTEXT </w:instrText>
      </w:r>
      <w:r w:rsidRPr="00D947B6">
        <w:rPr>
          <w:rFonts w:ascii="Calibri" w:eastAsia="Times New Roman" w:hAnsi="Calibri" w:cs="Times New Roman"/>
          <w:b/>
        </w:rPr>
      </w:r>
      <w:r w:rsidRPr="00D947B6">
        <w:rPr>
          <w:rFonts w:ascii="Calibri" w:eastAsia="Times New Roman" w:hAnsi="Calibri" w:cs="Times New Roman"/>
          <w:b/>
        </w:rPr>
        <w:fldChar w:fldCharType="separate"/>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rPr>
        <w:fldChar w:fldCharType="end"/>
      </w:r>
      <w:bookmarkEnd w:id="11"/>
    </w:p>
    <w:p w:rsidR="00D947B6" w:rsidRPr="00D947B6" w:rsidRDefault="00D947B6" w:rsidP="00D947B6">
      <w:pPr>
        <w:spacing w:after="240" w:line="240" w:lineRule="auto"/>
        <w:rPr>
          <w:rFonts w:ascii="Calibri" w:eastAsia="Times New Roman" w:hAnsi="Calibri" w:cs="Times New Roman"/>
          <w:b/>
          <w:u w:val="single"/>
        </w:rPr>
      </w:pPr>
      <w:r w:rsidRPr="00D947B6">
        <w:rPr>
          <w:rFonts w:ascii="Calibri" w:eastAsia="Times New Roman" w:hAnsi="Calibri" w:cs="Times New Roman"/>
          <w:b/>
        </w:rPr>
        <w:t>Inventor(s):</w:t>
      </w:r>
      <w:r w:rsidRPr="00D947B6">
        <w:rPr>
          <w:rFonts w:ascii="Calibri" w:eastAsia="Times New Roman" w:hAnsi="Calibri" w:cs="Times New Roman"/>
          <w:b/>
        </w:rPr>
        <w:fldChar w:fldCharType="begin">
          <w:ffData>
            <w:name w:val="Text8"/>
            <w:enabled/>
            <w:calcOnExit w:val="0"/>
            <w:textInput/>
          </w:ffData>
        </w:fldChar>
      </w:r>
      <w:bookmarkStart w:id="12" w:name="Text8"/>
      <w:r w:rsidRPr="00D947B6">
        <w:rPr>
          <w:rFonts w:ascii="Calibri" w:eastAsia="Times New Roman" w:hAnsi="Calibri" w:cs="Times New Roman"/>
          <w:b/>
        </w:rPr>
        <w:instrText xml:space="preserve"> FORMTEXT </w:instrText>
      </w:r>
      <w:r w:rsidRPr="00D947B6">
        <w:rPr>
          <w:rFonts w:ascii="Calibri" w:eastAsia="Times New Roman" w:hAnsi="Calibri" w:cs="Times New Roman"/>
          <w:b/>
        </w:rPr>
      </w:r>
      <w:r w:rsidRPr="00D947B6">
        <w:rPr>
          <w:rFonts w:ascii="Calibri" w:eastAsia="Times New Roman" w:hAnsi="Calibri" w:cs="Times New Roman"/>
          <w:b/>
        </w:rPr>
        <w:fldChar w:fldCharType="separate"/>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rPr>
        <w:fldChar w:fldCharType="end"/>
      </w:r>
      <w:bookmarkEnd w:id="12"/>
    </w:p>
    <w:p w:rsidR="00D947B6" w:rsidRPr="00D947B6" w:rsidRDefault="00D947B6" w:rsidP="00D947B6">
      <w:pPr>
        <w:spacing w:after="240" w:line="240" w:lineRule="auto"/>
        <w:rPr>
          <w:rFonts w:ascii="Calibri" w:eastAsia="Times New Roman" w:hAnsi="Calibri" w:cs="Times New Roman"/>
          <w:b/>
          <w:u w:val="single"/>
        </w:rPr>
      </w:pPr>
      <w:r w:rsidRPr="00D947B6">
        <w:rPr>
          <w:rFonts w:ascii="Calibri" w:eastAsia="Times New Roman" w:hAnsi="Calibri" w:cs="Times New Roman"/>
          <w:b/>
        </w:rPr>
        <w:t>Patent or Application Serial No.:</w:t>
      </w:r>
      <w:r w:rsidRPr="00D947B6">
        <w:rPr>
          <w:rFonts w:ascii="Calibri" w:eastAsia="Times New Roman" w:hAnsi="Calibri" w:cs="Times New Roman"/>
          <w:b/>
        </w:rPr>
        <w:fldChar w:fldCharType="begin">
          <w:ffData>
            <w:name w:val="Text9"/>
            <w:enabled/>
            <w:calcOnExit w:val="0"/>
            <w:textInput/>
          </w:ffData>
        </w:fldChar>
      </w:r>
      <w:bookmarkStart w:id="13" w:name="Text9"/>
      <w:r w:rsidRPr="00D947B6">
        <w:rPr>
          <w:rFonts w:ascii="Calibri" w:eastAsia="Times New Roman" w:hAnsi="Calibri" w:cs="Times New Roman"/>
          <w:b/>
        </w:rPr>
        <w:instrText xml:space="preserve"> FORMTEXT </w:instrText>
      </w:r>
      <w:r w:rsidRPr="00D947B6">
        <w:rPr>
          <w:rFonts w:ascii="Calibri" w:eastAsia="Times New Roman" w:hAnsi="Calibri" w:cs="Times New Roman"/>
          <w:b/>
        </w:rPr>
      </w:r>
      <w:r w:rsidRPr="00D947B6">
        <w:rPr>
          <w:rFonts w:ascii="Calibri" w:eastAsia="Times New Roman" w:hAnsi="Calibri" w:cs="Times New Roman"/>
          <w:b/>
        </w:rPr>
        <w:fldChar w:fldCharType="separate"/>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rPr>
        <w:fldChar w:fldCharType="end"/>
      </w:r>
      <w:bookmarkEnd w:id="13"/>
    </w:p>
    <w:p w:rsidR="00D947B6" w:rsidRPr="00D947B6" w:rsidRDefault="00D947B6" w:rsidP="00D947B6">
      <w:pPr>
        <w:spacing w:after="240" w:line="240" w:lineRule="auto"/>
        <w:rPr>
          <w:rFonts w:ascii="Calibri" w:eastAsia="Times New Roman" w:hAnsi="Calibri" w:cs="Times New Roman"/>
          <w:b/>
          <w:u w:val="single"/>
        </w:rPr>
      </w:pPr>
      <w:r w:rsidRPr="00D947B6">
        <w:rPr>
          <w:rFonts w:ascii="Calibri" w:eastAsia="Times New Roman" w:hAnsi="Calibri" w:cs="Times New Roman"/>
          <w:b/>
        </w:rPr>
        <w:t>US Filing/Issue Date:</w:t>
      </w:r>
      <w:r w:rsidRPr="00D947B6">
        <w:rPr>
          <w:rFonts w:ascii="Calibri" w:eastAsia="Times New Roman" w:hAnsi="Calibri" w:cs="Times New Roman"/>
          <w:b/>
        </w:rPr>
        <w:fldChar w:fldCharType="begin">
          <w:ffData>
            <w:name w:val="Text10"/>
            <w:enabled/>
            <w:calcOnExit w:val="0"/>
            <w:textInput/>
          </w:ffData>
        </w:fldChar>
      </w:r>
      <w:bookmarkStart w:id="14" w:name="Text10"/>
      <w:r w:rsidRPr="00D947B6">
        <w:rPr>
          <w:rFonts w:ascii="Calibri" w:eastAsia="Times New Roman" w:hAnsi="Calibri" w:cs="Times New Roman"/>
          <w:b/>
        </w:rPr>
        <w:instrText xml:space="preserve"> FORMTEXT </w:instrText>
      </w:r>
      <w:r w:rsidRPr="00D947B6">
        <w:rPr>
          <w:rFonts w:ascii="Calibri" w:eastAsia="Times New Roman" w:hAnsi="Calibri" w:cs="Times New Roman"/>
          <w:b/>
        </w:rPr>
      </w:r>
      <w:r w:rsidRPr="00D947B6">
        <w:rPr>
          <w:rFonts w:ascii="Calibri" w:eastAsia="Times New Roman" w:hAnsi="Calibri" w:cs="Times New Roman"/>
          <w:b/>
        </w:rPr>
        <w:fldChar w:fldCharType="separate"/>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rPr>
        <w:fldChar w:fldCharType="end"/>
      </w:r>
      <w:bookmarkEnd w:id="14"/>
    </w:p>
    <w:p w:rsidR="00D947B6" w:rsidRPr="00D947B6" w:rsidRDefault="00D947B6" w:rsidP="00D947B6">
      <w:pPr>
        <w:spacing w:after="240" w:line="240" w:lineRule="auto"/>
        <w:rPr>
          <w:rFonts w:ascii="Calibri" w:eastAsia="Times New Roman" w:hAnsi="Calibri" w:cs="Times New Roman"/>
          <w:b/>
          <w:u w:val="single"/>
        </w:rPr>
      </w:pPr>
      <w:r w:rsidRPr="00D947B6">
        <w:rPr>
          <w:rFonts w:ascii="Calibri" w:eastAsia="Times New Roman" w:hAnsi="Calibri" w:cs="Times New Roman"/>
          <w:b/>
        </w:rPr>
        <w:t>Grant/Contract Identification Number(s):</w:t>
      </w:r>
      <w:r w:rsidRPr="00D947B6">
        <w:rPr>
          <w:rFonts w:ascii="Calibri" w:eastAsia="Times New Roman" w:hAnsi="Calibri" w:cs="Times New Roman"/>
          <w:b/>
        </w:rPr>
        <w:fldChar w:fldCharType="begin">
          <w:ffData>
            <w:name w:val="Text11"/>
            <w:enabled/>
            <w:calcOnExit w:val="0"/>
            <w:textInput/>
          </w:ffData>
        </w:fldChar>
      </w:r>
      <w:bookmarkStart w:id="15" w:name="Text11"/>
      <w:r w:rsidRPr="00D947B6">
        <w:rPr>
          <w:rFonts w:ascii="Calibri" w:eastAsia="Times New Roman" w:hAnsi="Calibri" w:cs="Times New Roman"/>
          <w:b/>
        </w:rPr>
        <w:instrText xml:space="preserve"> FORMTEXT </w:instrText>
      </w:r>
      <w:r w:rsidRPr="00D947B6">
        <w:rPr>
          <w:rFonts w:ascii="Calibri" w:eastAsia="Times New Roman" w:hAnsi="Calibri" w:cs="Times New Roman"/>
          <w:b/>
        </w:rPr>
      </w:r>
      <w:r w:rsidRPr="00D947B6">
        <w:rPr>
          <w:rFonts w:ascii="Calibri" w:eastAsia="Times New Roman" w:hAnsi="Calibri" w:cs="Times New Roman"/>
          <w:b/>
        </w:rPr>
        <w:fldChar w:fldCharType="separate"/>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rPr>
        <w:fldChar w:fldCharType="end"/>
      </w:r>
      <w:bookmarkEnd w:id="15"/>
    </w:p>
    <w:p w:rsidR="00D947B6" w:rsidRPr="00D947B6" w:rsidRDefault="00D947B6" w:rsidP="00D947B6">
      <w:pPr>
        <w:spacing w:after="240" w:line="240" w:lineRule="auto"/>
        <w:rPr>
          <w:rFonts w:ascii="Calibri" w:eastAsia="Times New Roman" w:hAnsi="Calibri" w:cs="Times New Roman"/>
          <w:b/>
          <w:u w:val="single"/>
        </w:rPr>
      </w:pPr>
      <w:r w:rsidRPr="00D947B6">
        <w:rPr>
          <w:rFonts w:ascii="Calibri" w:eastAsia="Times New Roman" w:hAnsi="Calibri" w:cs="Times New Roman"/>
          <w:b/>
        </w:rPr>
        <w:t>Foreign Application filed/intended in (countries):</w:t>
      </w:r>
      <w:r w:rsidRPr="00D947B6">
        <w:rPr>
          <w:rFonts w:ascii="Calibri" w:eastAsia="Times New Roman" w:hAnsi="Calibri" w:cs="Times New Roman"/>
          <w:b/>
        </w:rPr>
        <w:fldChar w:fldCharType="begin">
          <w:ffData>
            <w:name w:val="Text12"/>
            <w:enabled/>
            <w:calcOnExit w:val="0"/>
            <w:textInput/>
          </w:ffData>
        </w:fldChar>
      </w:r>
      <w:bookmarkStart w:id="16" w:name="Text12"/>
      <w:r w:rsidRPr="00D947B6">
        <w:rPr>
          <w:rFonts w:ascii="Calibri" w:eastAsia="Times New Roman" w:hAnsi="Calibri" w:cs="Times New Roman"/>
          <w:b/>
        </w:rPr>
        <w:instrText xml:space="preserve"> FORMTEXT </w:instrText>
      </w:r>
      <w:r w:rsidRPr="00D947B6">
        <w:rPr>
          <w:rFonts w:ascii="Calibri" w:eastAsia="Times New Roman" w:hAnsi="Calibri" w:cs="Times New Roman"/>
          <w:b/>
        </w:rPr>
      </w:r>
      <w:r w:rsidRPr="00D947B6">
        <w:rPr>
          <w:rFonts w:ascii="Calibri" w:eastAsia="Times New Roman" w:hAnsi="Calibri" w:cs="Times New Roman"/>
          <w:b/>
        </w:rPr>
        <w:fldChar w:fldCharType="separate"/>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noProof/>
        </w:rPr>
        <w:t> </w:t>
      </w:r>
      <w:r w:rsidRPr="00D947B6">
        <w:rPr>
          <w:rFonts w:ascii="Calibri" w:eastAsia="Times New Roman" w:hAnsi="Calibri" w:cs="Times New Roman"/>
          <w:b/>
        </w:rPr>
        <w:fldChar w:fldCharType="end"/>
      </w:r>
      <w:bookmarkEnd w:id="16"/>
    </w:p>
    <w:p w:rsidR="00D947B6" w:rsidRPr="00D947B6" w:rsidRDefault="00D947B6" w:rsidP="00D947B6">
      <w:pPr>
        <w:spacing w:after="240" w:line="240" w:lineRule="auto"/>
        <w:rPr>
          <w:rFonts w:ascii="Calibri" w:eastAsia="Times New Roman" w:hAnsi="Calibri" w:cs="Times New Roman"/>
        </w:rPr>
      </w:pPr>
      <w:r w:rsidRPr="00D947B6">
        <w:rPr>
          <w:rFonts w:ascii="Calibri" w:eastAsia="Times New Roman" w:hAnsi="Calibri" w:cs="Times New Roman"/>
        </w:rPr>
        <w:t>The invention identified above is a Subject Invention under the Patent Rights – University clause which is included among the terms of the above-identified grant/contract award from the State of California. Subject to the requirements of federal funds, if any, this document is confirmatory of:</w:t>
      </w:r>
    </w:p>
    <w:p w:rsidR="00D947B6" w:rsidRPr="00D947B6" w:rsidRDefault="00D947B6" w:rsidP="00D947B6">
      <w:pPr>
        <w:numPr>
          <w:ilvl w:val="0"/>
          <w:numId w:val="18"/>
        </w:numPr>
        <w:spacing w:after="0" w:line="240" w:lineRule="auto"/>
        <w:contextualSpacing/>
        <w:rPr>
          <w:rFonts w:ascii="Calibri" w:eastAsia="Times New Roman" w:hAnsi="Calibri" w:cs="Times New Roman"/>
          <w:sz w:val="24"/>
          <w:szCs w:val="24"/>
        </w:rPr>
      </w:pPr>
      <w:r w:rsidRPr="00D947B6">
        <w:rPr>
          <w:rFonts w:ascii="Calibri" w:eastAsia="Times New Roman" w:hAnsi="Calibri" w:cs="Times New Roman"/>
          <w:sz w:val="24"/>
          <w:szCs w:val="24"/>
        </w:rPr>
        <w:t>The nonexclusive, sublicensable, irrevocable, paid-up license to practice or have practiced for government purposes the invention described in any patent application and in any and all divisions and continuations, and in any and all patents and re-issues granted thereon throughout the world; and</w:t>
      </w:r>
    </w:p>
    <w:p w:rsidR="00D947B6" w:rsidRPr="00D947B6" w:rsidRDefault="00D947B6" w:rsidP="00D947B6">
      <w:pPr>
        <w:spacing w:after="0" w:line="240" w:lineRule="auto"/>
        <w:rPr>
          <w:rFonts w:ascii="Calibri" w:eastAsia="Times New Roman" w:hAnsi="Calibri" w:cs="Times New Roman"/>
          <w:sz w:val="24"/>
          <w:szCs w:val="24"/>
        </w:rPr>
      </w:pPr>
    </w:p>
    <w:p w:rsidR="00D947B6" w:rsidRPr="00D947B6" w:rsidRDefault="00D947B6" w:rsidP="00D947B6">
      <w:pPr>
        <w:numPr>
          <w:ilvl w:val="0"/>
          <w:numId w:val="18"/>
        </w:numPr>
        <w:spacing w:after="240" w:line="240" w:lineRule="auto"/>
        <w:contextualSpacing/>
        <w:rPr>
          <w:rFonts w:ascii="Calibri" w:eastAsia="Times New Roman" w:hAnsi="Calibri" w:cs="Times New Roman"/>
          <w:sz w:val="24"/>
          <w:szCs w:val="24"/>
        </w:rPr>
      </w:pPr>
      <w:r w:rsidRPr="00D947B6">
        <w:rPr>
          <w:rFonts w:ascii="Calibri" w:eastAsia="Times New Roman" w:hAnsi="Calibri" w:cs="Times New Roman"/>
          <w:sz w:val="24"/>
          <w:szCs w:val="24"/>
        </w:rPr>
        <w:t>All other rights acquired by the State by reason of the above identified grant/contract award and the laws and regulations which are applicable to the award.</w:t>
      </w:r>
    </w:p>
    <w:p w:rsidR="00D947B6" w:rsidRPr="00D947B6" w:rsidRDefault="00D947B6" w:rsidP="00D947B6">
      <w:pPr>
        <w:spacing w:after="240" w:line="240" w:lineRule="auto"/>
        <w:rPr>
          <w:rFonts w:ascii="Calibri" w:eastAsia="Times New Roman" w:hAnsi="Calibri" w:cs="Times New Roman"/>
        </w:rPr>
      </w:pPr>
      <w:r w:rsidRPr="00D947B6">
        <w:rPr>
          <w:rFonts w:ascii="Calibri" w:eastAsia="Times New Roman" w:hAnsi="Calibri" w:cs="Times New Roman"/>
        </w:rPr>
        <w:t>The State is hereby granted the power to inspect and make copies of the above-identified patent application.</w:t>
      </w:r>
    </w:p>
    <w:p w:rsidR="00D947B6" w:rsidRPr="00D947B6" w:rsidRDefault="00D947B6" w:rsidP="00D947B6">
      <w:pPr>
        <w:spacing w:after="240" w:line="240" w:lineRule="auto"/>
        <w:rPr>
          <w:rFonts w:ascii="Calibri" w:eastAsia="Times New Roman" w:hAnsi="Calibri" w:cs="Times New Roman"/>
        </w:rPr>
      </w:pPr>
      <w:r w:rsidRPr="00D947B6">
        <w:rPr>
          <w:rFonts w:ascii="Calibri" w:eastAsia="Times New Roman" w:hAnsi="Calibri" w:cs="Times New Roman"/>
        </w:rPr>
        <w:t xml:space="preserve">Signed this </w:t>
      </w:r>
      <w:r w:rsidRPr="00D947B6">
        <w:rPr>
          <w:rFonts w:ascii="Calibri" w:eastAsia="Times New Roman" w:hAnsi="Calibri" w:cs="Times New Roman"/>
        </w:rPr>
        <w:fldChar w:fldCharType="begin">
          <w:ffData>
            <w:name w:val="Text13"/>
            <w:enabled/>
            <w:calcOnExit w:val="0"/>
            <w:textInput/>
          </w:ffData>
        </w:fldChar>
      </w:r>
      <w:bookmarkStart w:id="17" w:name="Text13"/>
      <w:r w:rsidRPr="00D947B6">
        <w:rPr>
          <w:rFonts w:ascii="Calibri" w:eastAsia="Times New Roman" w:hAnsi="Calibri" w:cs="Times New Roman"/>
        </w:rPr>
        <w:instrText xml:space="preserve"> FORMTEXT </w:instrText>
      </w:r>
      <w:r w:rsidRPr="00D947B6">
        <w:rPr>
          <w:rFonts w:ascii="Calibri" w:eastAsia="Times New Roman" w:hAnsi="Calibri" w:cs="Times New Roman"/>
        </w:rPr>
      </w:r>
      <w:r w:rsidRPr="00D947B6">
        <w:rPr>
          <w:rFonts w:ascii="Calibri" w:eastAsia="Times New Roman" w:hAnsi="Calibri" w:cs="Times New Roman"/>
        </w:rPr>
        <w:fldChar w:fldCharType="separate"/>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rPr>
        <w:fldChar w:fldCharType="end"/>
      </w:r>
      <w:bookmarkEnd w:id="17"/>
      <w:r w:rsidRPr="00D947B6">
        <w:rPr>
          <w:rFonts w:ascii="Calibri" w:eastAsia="Times New Roman" w:hAnsi="Calibri" w:cs="Times New Roman"/>
        </w:rPr>
        <w:t xml:space="preserve"> day of </w:t>
      </w:r>
      <w:r w:rsidRPr="00D947B6">
        <w:rPr>
          <w:rFonts w:ascii="Calibri" w:eastAsia="Times New Roman" w:hAnsi="Calibri" w:cs="Times New Roman"/>
        </w:rPr>
        <w:fldChar w:fldCharType="begin">
          <w:ffData>
            <w:name w:val="Text14"/>
            <w:enabled/>
            <w:calcOnExit w:val="0"/>
            <w:textInput/>
          </w:ffData>
        </w:fldChar>
      </w:r>
      <w:bookmarkStart w:id="18" w:name="Text14"/>
      <w:r w:rsidRPr="00D947B6">
        <w:rPr>
          <w:rFonts w:ascii="Calibri" w:eastAsia="Times New Roman" w:hAnsi="Calibri" w:cs="Times New Roman"/>
        </w:rPr>
        <w:instrText xml:space="preserve"> FORMTEXT </w:instrText>
      </w:r>
      <w:r w:rsidRPr="00D947B6">
        <w:rPr>
          <w:rFonts w:ascii="Calibri" w:eastAsia="Times New Roman" w:hAnsi="Calibri" w:cs="Times New Roman"/>
        </w:rPr>
      </w:r>
      <w:r w:rsidRPr="00D947B6">
        <w:rPr>
          <w:rFonts w:ascii="Calibri" w:eastAsia="Times New Roman" w:hAnsi="Calibri" w:cs="Times New Roman"/>
        </w:rPr>
        <w:fldChar w:fldCharType="separate"/>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rPr>
        <w:fldChar w:fldCharType="end"/>
      </w:r>
      <w:bookmarkEnd w:id="18"/>
      <w:r w:rsidRPr="00D947B6">
        <w:rPr>
          <w:rFonts w:ascii="Calibri" w:eastAsia="Times New Roman" w:hAnsi="Calibri" w:cs="Times New Roman"/>
        </w:rPr>
        <w:t>, 20</w:t>
      </w:r>
      <w:r w:rsidRPr="00D947B6">
        <w:rPr>
          <w:rFonts w:ascii="Calibri" w:eastAsia="Times New Roman" w:hAnsi="Calibri" w:cs="Times New Roman"/>
        </w:rPr>
        <w:fldChar w:fldCharType="begin">
          <w:ffData>
            <w:name w:val="Text15"/>
            <w:enabled/>
            <w:calcOnExit w:val="0"/>
            <w:textInput/>
          </w:ffData>
        </w:fldChar>
      </w:r>
      <w:bookmarkStart w:id="19" w:name="Text15"/>
      <w:r w:rsidRPr="00D947B6">
        <w:rPr>
          <w:rFonts w:ascii="Calibri" w:eastAsia="Times New Roman" w:hAnsi="Calibri" w:cs="Times New Roman"/>
        </w:rPr>
        <w:instrText xml:space="preserve"> FORMTEXT </w:instrText>
      </w:r>
      <w:r w:rsidRPr="00D947B6">
        <w:rPr>
          <w:rFonts w:ascii="Calibri" w:eastAsia="Times New Roman" w:hAnsi="Calibri" w:cs="Times New Roman"/>
        </w:rPr>
      </w:r>
      <w:r w:rsidRPr="00D947B6">
        <w:rPr>
          <w:rFonts w:ascii="Calibri" w:eastAsia="Times New Roman" w:hAnsi="Calibri" w:cs="Times New Roman"/>
        </w:rPr>
        <w:fldChar w:fldCharType="separate"/>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rPr>
        <w:fldChar w:fldCharType="end"/>
      </w:r>
      <w:bookmarkEnd w:id="19"/>
    </w:p>
    <w:p w:rsidR="00D947B6" w:rsidRPr="00D947B6" w:rsidRDefault="00D947B6" w:rsidP="00D947B6">
      <w:pPr>
        <w:spacing w:after="0" w:line="240" w:lineRule="auto"/>
        <w:rPr>
          <w:rFonts w:ascii="Calibri" w:eastAsia="Times New Roman" w:hAnsi="Calibri" w:cs="Times New Roman"/>
        </w:rPr>
      </w:pPr>
      <w:r w:rsidRPr="00D947B6">
        <w:rPr>
          <w:rFonts w:ascii="Calibri" w:eastAsia="Times New Roman" w:hAnsi="Calibri" w:cs="Times New Roman"/>
        </w:rPr>
        <w:t xml:space="preserve">By </w:t>
      </w:r>
      <w:r w:rsidRPr="00D947B6">
        <w:rPr>
          <w:rFonts w:ascii="Calibri" w:eastAsia="Times New Roman" w:hAnsi="Calibri" w:cs="Times New Roman"/>
        </w:rPr>
        <w:fldChar w:fldCharType="begin">
          <w:ffData>
            <w:name w:val="Text16"/>
            <w:enabled/>
            <w:calcOnExit w:val="0"/>
            <w:textInput/>
          </w:ffData>
        </w:fldChar>
      </w:r>
      <w:bookmarkStart w:id="20" w:name="Text16"/>
      <w:r w:rsidRPr="00D947B6">
        <w:rPr>
          <w:rFonts w:ascii="Calibri" w:eastAsia="Times New Roman" w:hAnsi="Calibri" w:cs="Times New Roman"/>
        </w:rPr>
        <w:instrText xml:space="preserve"> FORMTEXT </w:instrText>
      </w:r>
      <w:r w:rsidRPr="00D947B6">
        <w:rPr>
          <w:rFonts w:ascii="Calibri" w:eastAsia="Times New Roman" w:hAnsi="Calibri" w:cs="Times New Roman"/>
        </w:rPr>
      </w:r>
      <w:r w:rsidRPr="00D947B6">
        <w:rPr>
          <w:rFonts w:ascii="Calibri" w:eastAsia="Times New Roman" w:hAnsi="Calibri" w:cs="Times New Roman"/>
        </w:rPr>
        <w:fldChar w:fldCharType="separate"/>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rPr>
        <w:fldChar w:fldCharType="end"/>
      </w:r>
      <w:bookmarkEnd w:id="20"/>
    </w:p>
    <w:p w:rsidR="00D947B6" w:rsidRPr="00D947B6" w:rsidRDefault="00D947B6" w:rsidP="00D947B6">
      <w:pPr>
        <w:spacing w:after="240" w:line="240" w:lineRule="auto"/>
        <w:rPr>
          <w:rFonts w:ascii="Calibri" w:eastAsia="Times New Roman" w:hAnsi="Calibri" w:cs="Times New Roman"/>
        </w:rPr>
      </w:pPr>
      <w:r w:rsidRPr="00D947B6">
        <w:rPr>
          <w:rFonts w:ascii="Calibri" w:eastAsia="Times New Roman" w:hAnsi="Calibri" w:cs="Times New Roman"/>
        </w:rPr>
        <w:t xml:space="preserve">Name and Title </w:t>
      </w:r>
      <w:r w:rsidRPr="00D947B6">
        <w:rPr>
          <w:rFonts w:ascii="Calibri" w:eastAsia="Times New Roman" w:hAnsi="Calibri" w:cs="Times New Roman"/>
        </w:rPr>
        <w:fldChar w:fldCharType="begin">
          <w:ffData>
            <w:name w:val="Text17"/>
            <w:enabled/>
            <w:calcOnExit w:val="0"/>
            <w:textInput/>
          </w:ffData>
        </w:fldChar>
      </w:r>
      <w:bookmarkStart w:id="21" w:name="Text17"/>
      <w:r w:rsidRPr="00D947B6">
        <w:rPr>
          <w:rFonts w:ascii="Calibri" w:eastAsia="Times New Roman" w:hAnsi="Calibri" w:cs="Times New Roman"/>
        </w:rPr>
        <w:instrText xml:space="preserve"> FORMTEXT </w:instrText>
      </w:r>
      <w:r w:rsidRPr="00D947B6">
        <w:rPr>
          <w:rFonts w:ascii="Calibri" w:eastAsia="Times New Roman" w:hAnsi="Calibri" w:cs="Times New Roman"/>
        </w:rPr>
      </w:r>
      <w:r w:rsidRPr="00D947B6">
        <w:rPr>
          <w:rFonts w:ascii="Calibri" w:eastAsia="Times New Roman" w:hAnsi="Calibri" w:cs="Times New Roman"/>
        </w:rPr>
        <w:fldChar w:fldCharType="separate"/>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rPr>
        <w:fldChar w:fldCharType="end"/>
      </w:r>
      <w:bookmarkEnd w:id="21"/>
    </w:p>
    <w:p w:rsidR="00D947B6" w:rsidRPr="00D947B6" w:rsidRDefault="00D947B6" w:rsidP="00D947B6">
      <w:pPr>
        <w:spacing w:after="240" w:line="240" w:lineRule="auto"/>
        <w:rPr>
          <w:rFonts w:ascii="Calibri" w:eastAsia="Times New Roman" w:hAnsi="Calibri" w:cs="Times New Roman"/>
        </w:rPr>
      </w:pPr>
      <w:r w:rsidRPr="00D947B6">
        <w:rPr>
          <w:rFonts w:ascii="Calibri" w:eastAsia="Times New Roman" w:hAnsi="Calibri" w:cs="Times New Roman"/>
        </w:rPr>
        <w:t xml:space="preserve">For (Organization) </w:t>
      </w:r>
      <w:r w:rsidRPr="00D947B6">
        <w:rPr>
          <w:rFonts w:ascii="Calibri" w:eastAsia="Times New Roman" w:hAnsi="Calibri" w:cs="Times New Roman"/>
        </w:rPr>
        <w:fldChar w:fldCharType="begin">
          <w:ffData>
            <w:name w:val="Text18"/>
            <w:enabled/>
            <w:calcOnExit w:val="0"/>
            <w:textInput/>
          </w:ffData>
        </w:fldChar>
      </w:r>
      <w:bookmarkStart w:id="22" w:name="Text18"/>
      <w:r w:rsidRPr="00D947B6">
        <w:rPr>
          <w:rFonts w:ascii="Calibri" w:eastAsia="Times New Roman" w:hAnsi="Calibri" w:cs="Times New Roman"/>
        </w:rPr>
        <w:instrText xml:space="preserve"> FORMTEXT </w:instrText>
      </w:r>
      <w:r w:rsidRPr="00D947B6">
        <w:rPr>
          <w:rFonts w:ascii="Calibri" w:eastAsia="Times New Roman" w:hAnsi="Calibri" w:cs="Times New Roman"/>
        </w:rPr>
      </w:r>
      <w:r w:rsidRPr="00D947B6">
        <w:rPr>
          <w:rFonts w:ascii="Calibri" w:eastAsia="Times New Roman" w:hAnsi="Calibri" w:cs="Times New Roman"/>
        </w:rPr>
        <w:fldChar w:fldCharType="separate"/>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rPr>
        <w:fldChar w:fldCharType="end"/>
      </w:r>
      <w:bookmarkEnd w:id="22"/>
    </w:p>
    <w:p w:rsidR="00D947B6" w:rsidRPr="00D947B6" w:rsidRDefault="00D947B6" w:rsidP="00D947B6">
      <w:pPr>
        <w:spacing w:after="240" w:line="240" w:lineRule="auto"/>
        <w:rPr>
          <w:rFonts w:ascii="Calibri" w:eastAsia="Times New Roman" w:hAnsi="Calibri" w:cs="Times New Roman"/>
        </w:rPr>
      </w:pPr>
      <w:r w:rsidRPr="00D947B6">
        <w:rPr>
          <w:rFonts w:ascii="Calibri" w:eastAsia="Times New Roman" w:hAnsi="Calibri" w:cs="Times New Roman"/>
        </w:rPr>
        <w:t xml:space="preserve">At (Business Address) </w:t>
      </w:r>
      <w:r w:rsidRPr="00D947B6">
        <w:rPr>
          <w:rFonts w:ascii="Calibri" w:eastAsia="Times New Roman" w:hAnsi="Calibri" w:cs="Times New Roman"/>
        </w:rPr>
        <w:fldChar w:fldCharType="begin">
          <w:ffData>
            <w:name w:val="Text19"/>
            <w:enabled/>
            <w:calcOnExit w:val="0"/>
            <w:textInput/>
          </w:ffData>
        </w:fldChar>
      </w:r>
      <w:bookmarkStart w:id="23" w:name="Text19"/>
      <w:r w:rsidRPr="00D947B6">
        <w:rPr>
          <w:rFonts w:ascii="Calibri" w:eastAsia="Times New Roman" w:hAnsi="Calibri" w:cs="Times New Roman"/>
        </w:rPr>
        <w:instrText xml:space="preserve"> FORMTEXT </w:instrText>
      </w:r>
      <w:r w:rsidRPr="00D947B6">
        <w:rPr>
          <w:rFonts w:ascii="Calibri" w:eastAsia="Times New Roman" w:hAnsi="Calibri" w:cs="Times New Roman"/>
        </w:rPr>
      </w:r>
      <w:r w:rsidRPr="00D947B6">
        <w:rPr>
          <w:rFonts w:ascii="Calibri" w:eastAsia="Times New Roman" w:hAnsi="Calibri" w:cs="Times New Roman"/>
        </w:rPr>
        <w:fldChar w:fldCharType="separate"/>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noProof/>
        </w:rPr>
        <w:t> </w:t>
      </w:r>
      <w:r w:rsidRPr="00D947B6">
        <w:rPr>
          <w:rFonts w:ascii="Calibri" w:eastAsia="Times New Roman" w:hAnsi="Calibri" w:cs="Times New Roman"/>
        </w:rPr>
        <w:fldChar w:fldCharType="end"/>
      </w:r>
      <w:bookmarkEnd w:id="23"/>
    </w:p>
    <w:sectPr w:rsidR="00D947B6" w:rsidRPr="00D947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C88" w:rsidRDefault="00530C88" w:rsidP="00530C88">
      <w:pPr>
        <w:spacing w:after="0" w:line="240" w:lineRule="auto"/>
      </w:pPr>
      <w:r>
        <w:separator/>
      </w:r>
    </w:p>
  </w:endnote>
  <w:endnote w:type="continuationSeparator" w:id="0">
    <w:p w:rsidR="00530C88" w:rsidRDefault="00530C88" w:rsidP="0053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88" w:rsidRPr="00530C88" w:rsidRDefault="00530C88" w:rsidP="00530C88">
    <w:pPr>
      <w:tabs>
        <w:tab w:val="center" w:pos="5400"/>
        <w:tab w:val="right" w:pos="10800"/>
      </w:tabs>
      <w:spacing w:after="0" w:line="240" w:lineRule="auto"/>
      <w:rPr>
        <w:rFonts w:ascii="Arial" w:eastAsia="Times New Roman" w:hAnsi="Arial" w:cs="Arial"/>
        <w:sz w:val="20"/>
        <w:szCs w:val="20"/>
      </w:rPr>
    </w:pPr>
    <w:r w:rsidRPr="00530C88">
      <w:rPr>
        <w:rFonts w:ascii="Arial" w:eastAsia="Times New Roman" w:hAnsi="Arial" w:cs="Arial"/>
        <w:sz w:val="20"/>
        <w:szCs w:val="20"/>
      </w:rPr>
      <w:t>UC-CEC PIER NG Terms</w:t>
    </w:r>
    <w:r w:rsidRPr="00530C88">
      <w:rPr>
        <w:rFonts w:ascii="Arial" w:eastAsia="Times New Roman" w:hAnsi="Arial" w:cs="Arial"/>
        <w:sz w:val="20"/>
        <w:szCs w:val="20"/>
      </w:rPr>
      <w:tab/>
      <w:t xml:space="preserve">Page </w:t>
    </w:r>
    <w:r w:rsidRPr="00530C88">
      <w:rPr>
        <w:rFonts w:ascii="Arial" w:eastAsia="Times New Roman" w:hAnsi="Arial" w:cs="Arial"/>
        <w:sz w:val="20"/>
        <w:szCs w:val="20"/>
      </w:rPr>
      <w:fldChar w:fldCharType="begin"/>
    </w:r>
    <w:r w:rsidRPr="00530C88">
      <w:rPr>
        <w:rFonts w:ascii="Arial" w:eastAsia="Times New Roman" w:hAnsi="Arial" w:cs="Arial"/>
        <w:sz w:val="20"/>
        <w:szCs w:val="20"/>
      </w:rPr>
      <w:instrText xml:space="preserve"> PAGE  \* Arabic  \* MERGEFORMAT </w:instrText>
    </w:r>
    <w:r w:rsidRPr="00530C88">
      <w:rPr>
        <w:rFonts w:ascii="Arial" w:eastAsia="Times New Roman" w:hAnsi="Arial" w:cs="Arial"/>
        <w:sz w:val="20"/>
        <w:szCs w:val="20"/>
      </w:rPr>
      <w:fldChar w:fldCharType="separate"/>
    </w:r>
    <w:r w:rsidR="000878F0">
      <w:rPr>
        <w:rFonts w:ascii="Arial" w:eastAsia="Times New Roman" w:hAnsi="Arial" w:cs="Arial"/>
        <w:noProof/>
        <w:sz w:val="20"/>
        <w:szCs w:val="20"/>
      </w:rPr>
      <w:t>1</w:t>
    </w:r>
    <w:r w:rsidRPr="00530C88">
      <w:rPr>
        <w:rFonts w:ascii="Arial" w:eastAsia="Times New Roman" w:hAnsi="Arial" w:cs="Arial"/>
        <w:sz w:val="20"/>
        <w:szCs w:val="20"/>
      </w:rPr>
      <w:fldChar w:fldCharType="end"/>
    </w:r>
    <w:r w:rsidRPr="00530C88">
      <w:rPr>
        <w:rFonts w:ascii="Arial" w:eastAsia="Times New Roman" w:hAnsi="Arial" w:cs="Arial"/>
        <w:sz w:val="20"/>
        <w:szCs w:val="20"/>
      </w:rPr>
      <w:t xml:space="preserve"> of </w:t>
    </w:r>
    <w:r w:rsidRPr="00530C88">
      <w:rPr>
        <w:rFonts w:ascii="Arial" w:eastAsia="Times New Roman" w:hAnsi="Arial" w:cs="Arial"/>
        <w:sz w:val="20"/>
        <w:szCs w:val="20"/>
      </w:rPr>
      <w:fldChar w:fldCharType="begin"/>
    </w:r>
    <w:r w:rsidRPr="00530C88">
      <w:rPr>
        <w:rFonts w:ascii="Arial" w:eastAsia="Times New Roman" w:hAnsi="Arial" w:cs="Arial"/>
        <w:sz w:val="20"/>
        <w:szCs w:val="20"/>
      </w:rPr>
      <w:instrText xml:space="preserve"> NUMPAGES  \* Arabic  \* MERGEFORMAT </w:instrText>
    </w:r>
    <w:r w:rsidRPr="00530C88">
      <w:rPr>
        <w:rFonts w:ascii="Arial" w:eastAsia="Times New Roman" w:hAnsi="Arial" w:cs="Arial"/>
        <w:sz w:val="20"/>
        <w:szCs w:val="20"/>
      </w:rPr>
      <w:fldChar w:fldCharType="separate"/>
    </w:r>
    <w:r w:rsidR="000878F0">
      <w:rPr>
        <w:rFonts w:ascii="Arial" w:eastAsia="Times New Roman" w:hAnsi="Arial" w:cs="Arial"/>
        <w:noProof/>
        <w:sz w:val="20"/>
        <w:szCs w:val="20"/>
      </w:rPr>
      <w:t>12</w:t>
    </w:r>
    <w:r w:rsidRPr="00530C88">
      <w:rPr>
        <w:rFonts w:ascii="Arial" w:eastAsia="Times New Roman" w:hAnsi="Arial" w:cs="Arial"/>
        <w:sz w:val="20"/>
        <w:szCs w:val="20"/>
      </w:rPr>
      <w:fldChar w:fldCharType="end"/>
    </w:r>
    <w:r w:rsidRPr="00530C88">
      <w:rPr>
        <w:rFonts w:ascii="Arial" w:eastAsia="Times New Roman" w:hAnsi="Arial" w:cs="Arial"/>
        <w:sz w:val="20"/>
        <w:szCs w:val="20"/>
      </w:rPr>
      <w:tab/>
      <w:t>XXX-XX-XXX</w:t>
    </w:r>
  </w:p>
  <w:p w:rsidR="00530C88" w:rsidRPr="00530C88" w:rsidRDefault="00530C88" w:rsidP="00530C88">
    <w:pPr>
      <w:tabs>
        <w:tab w:val="center" w:pos="5400"/>
        <w:tab w:val="right" w:pos="10800"/>
      </w:tabs>
      <w:spacing w:after="0" w:line="240" w:lineRule="auto"/>
      <w:rPr>
        <w:rFonts w:ascii="Arial" w:eastAsia="Times New Roman" w:hAnsi="Arial" w:cs="Arial"/>
        <w:sz w:val="20"/>
        <w:szCs w:val="20"/>
      </w:rPr>
    </w:pPr>
    <w:r w:rsidRPr="00530C88">
      <w:rPr>
        <w:rFonts w:ascii="Arial" w:eastAsia="Times New Roman" w:hAnsi="Arial" w:cs="Arial"/>
        <w:sz w:val="20"/>
        <w:szCs w:val="20"/>
      </w:rPr>
      <w:t xml:space="preserve">Last Modified 11/25/2019 </w:t>
    </w:r>
    <w:r w:rsidRPr="00530C88">
      <w:rPr>
        <w:rFonts w:ascii="Arial" w:eastAsia="Times New Roman" w:hAnsi="Arial" w:cs="Arial"/>
        <w:sz w:val="20"/>
        <w:szCs w:val="20"/>
      </w:rPr>
      <w:tab/>
    </w:r>
    <w:r w:rsidRPr="00530C88">
      <w:rPr>
        <w:rFonts w:ascii="Arial" w:eastAsia="Times New Roman" w:hAnsi="Arial" w:cs="Arial"/>
        <w:sz w:val="20"/>
        <w:szCs w:val="20"/>
      </w:rPr>
      <w:tab/>
      <w:t>UC CAMPUS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C88" w:rsidRDefault="00530C88" w:rsidP="00530C88">
      <w:pPr>
        <w:spacing w:after="0" w:line="240" w:lineRule="auto"/>
      </w:pPr>
      <w:r>
        <w:separator/>
      </w:r>
    </w:p>
  </w:footnote>
  <w:footnote w:type="continuationSeparator" w:id="0">
    <w:p w:rsidR="00530C88" w:rsidRDefault="00530C88" w:rsidP="00530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73A"/>
    <w:multiLevelType w:val="hybridMultilevel"/>
    <w:tmpl w:val="36C481C8"/>
    <w:lvl w:ilvl="0" w:tplc="04090011">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C2C4F"/>
    <w:multiLevelType w:val="multilevel"/>
    <w:tmpl w:val="70A6FBE4"/>
    <w:lvl w:ilvl="0">
      <w:start w:val="1"/>
      <w:numFmt w:val="decimal"/>
      <w:lvlText w:val="%1."/>
      <w:lvlJc w:val="left"/>
      <w:pPr>
        <w:ind w:left="360" w:hanging="360"/>
      </w:pPr>
      <w:rPr>
        <w:rFonts w:hint="default"/>
        <w:b w:val="0"/>
        <w:i w:val="0"/>
        <w:sz w:val="24"/>
        <w:szCs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i w:val="0"/>
        <w:sz w:val="24"/>
        <w:szCs w:val="24"/>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674F2"/>
    <w:multiLevelType w:val="hybridMultilevel"/>
    <w:tmpl w:val="684A6A1E"/>
    <w:lvl w:ilvl="0" w:tplc="789209B0">
      <w:start w:val="5"/>
      <w:numFmt w:val="decimal"/>
      <w:lvlText w:val="%1)"/>
      <w:lvlJc w:val="left"/>
      <w:pPr>
        <w:ind w:left="720" w:hanging="360"/>
      </w:pPr>
      <w:rPr>
        <w:rFonts w:hint="default"/>
        <w:b w:val="0"/>
        <w:i w:val="0"/>
        <w:cap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E4095"/>
    <w:multiLevelType w:val="hybridMultilevel"/>
    <w:tmpl w:val="8D9AE3EC"/>
    <w:lvl w:ilvl="0" w:tplc="677C9B5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34847"/>
    <w:multiLevelType w:val="multilevel"/>
    <w:tmpl w:val="00A2BD00"/>
    <w:lvl w:ilvl="0">
      <w:start w:val="1"/>
      <w:numFmt w:val="decimal"/>
      <w:lvlText w:val="%1."/>
      <w:lvlJc w:val="left"/>
      <w:pPr>
        <w:ind w:left="360" w:hanging="360"/>
      </w:pPr>
      <w:rPr>
        <w:rFonts w:hint="default"/>
      </w:rPr>
    </w:lvl>
    <w:lvl w:ilvl="1">
      <w:start w:val="3"/>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B8573D"/>
    <w:multiLevelType w:val="hybridMultilevel"/>
    <w:tmpl w:val="EA7A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C2D8E"/>
    <w:multiLevelType w:val="hybridMultilevel"/>
    <w:tmpl w:val="EFC6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A20F1"/>
    <w:multiLevelType w:val="multilevel"/>
    <w:tmpl w:val="4E1013DA"/>
    <w:lvl w:ilvl="0">
      <w:start w:val="1"/>
      <w:numFmt w:val="decimal"/>
      <w:lvlText w:val="%1."/>
      <w:lvlJc w:val="left"/>
      <w:pPr>
        <w:ind w:left="360" w:hanging="360"/>
      </w:pPr>
      <w:rPr>
        <w:rFonts w:hint="default"/>
      </w:rPr>
    </w:lvl>
    <w:lvl w:ilvl="1">
      <w:start w:val="3"/>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C43A50"/>
    <w:multiLevelType w:val="multilevel"/>
    <w:tmpl w:val="70A6FBE4"/>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7936CE9"/>
    <w:multiLevelType w:val="multilevel"/>
    <w:tmpl w:val="70A6FBE4"/>
    <w:lvl w:ilvl="0">
      <w:start w:val="1"/>
      <w:numFmt w:val="decimal"/>
      <w:lvlText w:val="%1."/>
      <w:lvlJc w:val="left"/>
      <w:pPr>
        <w:ind w:left="720" w:hanging="360"/>
      </w:pPr>
      <w:rPr>
        <w:rFonts w:hint="default"/>
        <w:u w:val="none"/>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86252EB"/>
    <w:multiLevelType w:val="multilevel"/>
    <w:tmpl w:val="4E1013DA"/>
    <w:lvl w:ilvl="0">
      <w:start w:val="1"/>
      <w:numFmt w:val="decimal"/>
      <w:lvlText w:val="%1."/>
      <w:lvlJc w:val="left"/>
      <w:pPr>
        <w:ind w:left="360" w:hanging="360"/>
      </w:pPr>
      <w:rPr>
        <w:rFonts w:hint="default"/>
      </w:rPr>
    </w:lvl>
    <w:lvl w:ilvl="1">
      <w:start w:val="3"/>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0D030F1"/>
    <w:multiLevelType w:val="hybridMultilevel"/>
    <w:tmpl w:val="906E3862"/>
    <w:lvl w:ilvl="0" w:tplc="B9EABBAA">
      <w:start w:val="1"/>
      <w:numFmt w:val="upperLetter"/>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3B555F"/>
    <w:multiLevelType w:val="multilevel"/>
    <w:tmpl w:val="4E1013DA"/>
    <w:lvl w:ilvl="0">
      <w:start w:val="1"/>
      <w:numFmt w:val="decimal"/>
      <w:lvlText w:val="%1."/>
      <w:lvlJc w:val="left"/>
      <w:pPr>
        <w:ind w:left="360" w:hanging="360"/>
      </w:pPr>
      <w:rPr>
        <w:rFonts w:hint="default"/>
      </w:rPr>
    </w:lvl>
    <w:lvl w:ilvl="1">
      <w:start w:val="3"/>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465036"/>
    <w:multiLevelType w:val="multilevel"/>
    <w:tmpl w:val="70A6FBE4"/>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2C66D91"/>
    <w:multiLevelType w:val="hybridMultilevel"/>
    <w:tmpl w:val="8102BFF8"/>
    <w:lvl w:ilvl="0" w:tplc="AD008486">
      <w:start w:val="4"/>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B5197"/>
    <w:multiLevelType w:val="hybridMultilevel"/>
    <w:tmpl w:val="0B587474"/>
    <w:lvl w:ilvl="0" w:tplc="B9EABBAA">
      <w:start w:val="1"/>
      <w:numFmt w:val="upperLetter"/>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A419EA"/>
    <w:multiLevelType w:val="multilevel"/>
    <w:tmpl w:val="4E1013DA"/>
    <w:lvl w:ilvl="0">
      <w:start w:val="1"/>
      <w:numFmt w:val="decimal"/>
      <w:lvlText w:val="%1."/>
      <w:lvlJc w:val="left"/>
      <w:pPr>
        <w:ind w:left="360" w:hanging="360"/>
      </w:pPr>
      <w:rPr>
        <w:rFonts w:hint="default"/>
      </w:rPr>
    </w:lvl>
    <w:lvl w:ilvl="1">
      <w:start w:val="3"/>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7"/>
  </w:num>
  <w:num w:numId="3">
    <w:abstractNumId w:val="16"/>
  </w:num>
  <w:num w:numId="4">
    <w:abstractNumId w:val="9"/>
  </w:num>
  <w:num w:numId="5">
    <w:abstractNumId w:val="8"/>
  </w:num>
  <w:num w:numId="6">
    <w:abstractNumId w:val="11"/>
  </w:num>
  <w:num w:numId="7">
    <w:abstractNumId w:val="4"/>
  </w:num>
  <w:num w:numId="8">
    <w:abstractNumId w:val="5"/>
  </w:num>
  <w:num w:numId="9">
    <w:abstractNumId w:val="10"/>
  </w:num>
  <w:num w:numId="10">
    <w:abstractNumId w:val="0"/>
  </w:num>
  <w:num w:numId="11">
    <w:abstractNumId w:val="1"/>
  </w:num>
  <w:num w:numId="12">
    <w:abstractNumId w:val="15"/>
  </w:num>
  <w:num w:numId="13">
    <w:abstractNumId w:val="3"/>
  </w:num>
  <w:num w:numId="14">
    <w:abstractNumId w:val="12"/>
  </w:num>
  <w:num w:numId="15">
    <w:abstractNumId w:val="7"/>
  </w:num>
  <w:num w:numId="16">
    <w:abstractNumId w:val="1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BF"/>
    <w:rsid w:val="000878F0"/>
    <w:rsid w:val="00147C73"/>
    <w:rsid w:val="001859B6"/>
    <w:rsid w:val="002778BF"/>
    <w:rsid w:val="00530C88"/>
    <w:rsid w:val="00927DD4"/>
    <w:rsid w:val="009E2886"/>
    <w:rsid w:val="00D947B6"/>
    <w:rsid w:val="00FD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D939719-F9A3-4845-9F84-BC92E68E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7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55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D55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8B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778BF"/>
    <w:rPr>
      <w:color w:val="0563C1" w:themeColor="hyperlink"/>
      <w:u w:val="single"/>
    </w:rPr>
  </w:style>
  <w:style w:type="paragraph" w:styleId="Header">
    <w:name w:val="header"/>
    <w:basedOn w:val="Normal"/>
    <w:link w:val="HeaderChar"/>
    <w:uiPriority w:val="99"/>
    <w:unhideWhenUsed/>
    <w:rsid w:val="00530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C88"/>
  </w:style>
  <w:style w:type="paragraph" w:styleId="Footer">
    <w:name w:val="footer"/>
    <w:basedOn w:val="Normal"/>
    <w:link w:val="FooterChar"/>
    <w:uiPriority w:val="99"/>
    <w:unhideWhenUsed/>
    <w:rsid w:val="00530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C88"/>
  </w:style>
  <w:style w:type="character" w:customStyle="1" w:styleId="Heading4Char">
    <w:name w:val="Heading 4 Char"/>
    <w:basedOn w:val="DefaultParagraphFont"/>
    <w:link w:val="Heading4"/>
    <w:uiPriority w:val="9"/>
    <w:semiHidden/>
    <w:rsid w:val="00FD55DA"/>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FD55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cop.edu/research-policy-analysis-coordination/research-sponsors-agreements/state-of-california/california-model-agree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3527</Words>
  <Characters>20107</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Worster, Brad@Energy</dc:creator>
  <cp:keywords/>
  <dc:description/>
  <cp:lastModifiedBy>Lundeen, Albert@Energy</cp:lastModifiedBy>
  <cp:revision>2</cp:revision>
  <dcterms:created xsi:type="dcterms:W3CDTF">2020-02-04T19:50:00Z</dcterms:created>
  <dcterms:modified xsi:type="dcterms:W3CDTF">2020-02-04T19:50:00Z</dcterms:modified>
</cp:coreProperties>
</file>