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10A0" w14:textId="77777777" w:rsidR="0094720B" w:rsidRPr="00EE7381" w:rsidRDefault="00BF3266" w:rsidP="0094720B">
      <w:pPr>
        <w:pStyle w:val="Heading1"/>
        <w:rPr>
          <w:rFonts w:ascii="Tahoma" w:hAnsi="Tahoma" w:cs="Tahoma"/>
          <w:smallCaps w:val="0"/>
          <w:sz w:val="28"/>
          <w:szCs w:val="28"/>
        </w:rPr>
      </w:pPr>
      <w:bookmarkStart w:id="0" w:name="_Toc182460373"/>
      <w:bookmarkStart w:id="1" w:name="_Toc182527886"/>
      <w:r w:rsidRPr="00EE7381">
        <w:rPr>
          <w:rFonts w:ascii="Tahoma" w:hAnsi="Tahoma" w:cs="Tahoma"/>
          <w:smallCaps w:val="0"/>
          <w:sz w:val="28"/>
          <w:szCs w:val="28"/>
        </w:rPr>
        <w:t>F</w:t>
      </w:r>
      <w:r w:rsidR="0094720B" w:rsidRPr="00EE7381">
        <w:rPr>
          <w:rFonts w:ascii="Tahoma" w:hAnsi="Tahoma" w:cs="Tahoma"/>
          <w:smallCaps w:val="0"/>
          <w:sz w:val="28"/>
          <w:szCs w:val="28"/>
        </w:rPr>
        <w:t xml:space="preserve">orm </w:t>
      </w:r>
      <w:smartTag w:uri="urn:schemas-microsoft-com:office:smarttags" w:element="stockticker">
        <w:r w:rsidR="0094720B" w:rsidRPr="00EE7381">
          <w:rPr>
            <w:rFonts w:ascii="Tahoma" w:hAnsi="Tahoma" w:cs="Tahoma"/>
            <w:smallCaps w:val="0"/>
            <w:sz w:val="28"/>
            <w:szCs w:val="28"/>
          </w:rPr>
          <w:t>CEC</w:t>
        </w:r>
      </w:smartTag>
      <w:r w:rsidR="00752222" w:rsidRPr="00EE7381">
        <w:rPr>
          <w:rFonts w:ascii="Tahoma" w:hAnsi="Tahoma" w:cs="Tahoma"/>
          <w:smallCaps w:val="0"/>
          <w:sz w:val="28"/>
          <w:szCs w:val="28"/>
        </w:rPr>
        <w:t xml:space="preserve">-1305 </w:t>
      </w:r>
      <w:r w:rsidR="0094720B" w:rsidRPr="00EE7381">
        <w:rPr>
          <w:rFonts w:ascii="Tahoma" w:hAnsi="Tahoma" w:cs="Tahoma"/>
          <w:smallCaps w:val="0"/>
          <w:sz w:val="28"/>
          <w:szCs w:val="28"/>
        </w:rPr>
        <w:t>Control Area Operator Reports</w:t>
      </w:r>
      <w:bookmarkEnd w:id="0"/>
      <w:bookmarkEnd w:id="1"/>
    </w:p>
    <w:p w14:paraId="6269BBDD" w14:textId="77777777" w:rsidR="0094720B" w:rsidRPr="00EE7381" w:rsidRDefault="0094720B" w:rsidP="0094720B">
      <w:pPr>
        <w:rPr>
          <w:rFonts w:ascii="Tahoma" w:hAnsi="Tahoma" w:cs="Tahoma"/>
          <w:sz w:val="24"/>
          <w:szCs w:val="24"/>
        </w:rPr>
      </w:pPr>
    </w:p>
    <w:p w14:paraId="0D59034D" w14:textId="77777777" w:rsidR="0094720B" w:rsidRPr="00EE7381" w:rsidRDefault="0094720B" w:rsidP="0094720B">
      <w:pPr>
        <w:rPr>
          <w:rFonts w:ascii="Tahoma" w:hAnsi="Tahoma" w:cs="Tahoma"/>
          <w:sz w:val="24"/>
          <w:szCs w:val="24"/>
        </w:rPr>
      </w:pPr>
      <w:r w:rsidRPr="00EE7381">
        <w:rPr>
          <w:rFonts w:ascii="Tahoma" w:hAnsi="Tahoma" w:cs="Tahoma"/>
          <w:b/>
          <w:sz w:val="24"/>
          <w:szCs w:val="24"/>
        </w:rPr>
        <w:t>Purpose:</w:t>
      </w:r>
      <w:r w:rsidRPr="00EE7381">
        <w:rPr>
          <w:rFonts w:ascii="Tahoma" w:hAnsi="Tahoma" w:cs="Tahoma"/>
          <w:sz w:val="24"/>
          <w:szCs w:val="24"/>
        </w:rPr>
        <w:t xml:space="preserve"> This form provides monthly system peak demand and hourly load in each </w:t>
      </w:r>
      <w:smartTag w:uri="urn:schemas-microsoft-com:office:smarttags" w:element="State">
        <w:smartTag w:uri="urn:schemas-microsoft-com:office:smarttags" w:element="place">
          <w:r w:rsidRPr="00EE7381">
            <w:rPr>
              <w:rFonts w:ascii="Tahoma" w:hAnsi="Tahoma" w:cs="Tahoma"/>
              <w:sz w:val="24"/>
              <w:szCs w:val="24"/>
            </w:rPr>
            <w:t>California</w:t>
          </w:r>
        </w:smartTag>
      </w:smartTag>
      <w:r w:rsidRPr="00EE7381">
        <w:rPr>
          <w:rFonts w:ascii="Tahoma" w:hAnsi="Tahoma" w:cs="Tahoma"/>
          <w:sz w:val="24"/>
          <w:szCs w:val="24"/>
        </w:rPr>
        <w:t xml:space="preserve"> control area. The report also lists utility distribution companies (UDCs) in each </w:t>
      </w:r>
      <w:smartTag w:uri="urn:schemas-microsoft-com:office:smarttags" w:element="State">
        <w:smartTag w:uri="urn:schemas-microsoft-com:office:smarttags" w:element="place">
          <w:r w:rsidRPr="00EE7381">
            <w:rPr>
              <w:rFonts w:ascii="Tahoma" w:hAnsi="Tahoma" w:cs="Tahoma"/>
              <w:sz w:val="24"/>
              <w:szCs w:val="24"/>
            </w:rPr>
            <w:t>California</w:t>
          </w:r>
        </w:smartTag>
      </w:smartTag>
      <w:r w:rsidRPr="00EE7381">
        <w:rPr>
          <w:rFonts w:ascii="Tahoma" w:hAnsi="Tahoma" w:cs="Tahoma"/>
          <w:sz w:val="24"/>
          <w:szCs w:val="24"/>
        </w:rPr>
        <w:t xml:space="preserve"> control area and the interconnections and interchanges with adjacent control areas. The report tracks changes that occur when UDCs join or leave a control area.  The data is used in analyzing electricity generation resources and imports and exports of electricity.</w:t>
      </w:r>
    </w:p>
    <w:p w14:paraId="2AE057AC" w14:textId="77777777" w:rsidR="0094720B" w:rsidRPr="00EE7381" w:rsidRDefault="0094720B" w:rsidP="0094720B">
      <w:pPr>
        <w:rPr>
          <w:rFonts w:ascii="Tahoma" w:hAnsi="Tahoma" w:cs="Tahoma"/>
          <w:sz w:val="24"/>
          <w:szCs w:val="24"/>
        </w:rPr>
      </w:pPr>
    </w:p>
    <w:p w14:paraId="7B902BE3" w14:textId="77777777" w:rsidR="0094720B" w:rsidRPr="00EE7381" w:rsidRDefault="0094720B" w:rsidP="0094720B">
      <w:pPr>
        <w:rPr>
          <w:rFonts w:ascii="Tahoma" w:hAnsi="Tahoma" w:cs="Tahoma"/>
          <w:sz w:val="24"/>
          <w:szCs w:val="24"/>
        </w:rPr>
      </w:pPr>
      <w:r w:rsidRPr="00EE7381">
        <w:rPr>
          <w:rFonts w:ascii="Tahoma" w:hAnsi="Tahoma" w:cs="Tahoma"/>
          <w:b/>
          <w:sz w:val="24"/>
          <w:szCs w:val="24"/>
        </w:rPr>
        <w:t>Authority:</w:t>
      </w:r>
      <w:r w:rsidRPr="00EE7381">
        <w:rPr>
          <w:rFonts w:ascii="Tahoma" w:hAnsi="Tahoma" w:cs="Tahoma"/>
          <w:sz w:val="24"/>
          <w:szCs w:val="24"/>
        </w:rPr>
        <w:t xml:space="preserve"> </w:t>
      </w:r>
      <w:smartTag w:uri="urn:schemas-microsoft-com:office:smarttags" w:element="State">
        <w:smartTag w:uri="urn:schemas-microsoft-com:office:smarttags" w:element="place">
          <w:r w:rsidRPr="00EE7381">
            <w:rPr>
              <w:rFonts w:ascii="Tahoma" w:hAnsi="Tahoma" w:cs="Tahoma"/>
              <w:sz w:val="24"/>
              <w:szCs w:val="24"/>
            </w:rPr>
            <w:t>California</w:t>
          </w:r>
        </w:smartTag>
      </w:smartTag>
      <w:r w:rsidRPr="00EE7381">
        <w:rPr>
          <w:rFonts w:ascii="Tahoma" w:hAnsi="Tahoma" w:cs="Tahoma"/>
          <w:sz w:val="24"/>
          <w:szCs w:val="24"/>
        </w:rPr>
        <w:t xml:space="preserve"> Code of Regulations, Title 20, Division 2, Chapter 3, Section 1305.</w:t>
      </w:r>
    </w:p>
    <w:p w14:paraId="64F08B77" w14:textId="77777777" w:rsidR="0094720B" w:rsidRPr="00EE7381" w:rsidRDefault="0094720B" w:rsidP="0094720B">
      <w:pPr>
        <w:rPr>
          <w:rFonts w:ascii="Tahoma" w:hAnsi="Tahoma" w:cs="Tahoma"/>
          <w:sz w:val="24"/>
          <w:szCs w:val="24"/>
        </w:rPr>
      </w:pPr>
    </w:p>
    <w:p w14:paraId="7B233290" w14:textId="77777777" w:rsidR="0094720B" w:rsidRPr="00EE7381" w:rsidRDefault="0094720B" w:rsidP="0094720B">
      <w:pPr>
        <w:rPr>
          <w:rFonts w:ascii="Tahoma" w:hAnsi="Tahoma" w:cs="Tahoma"/>
          <w:sz w:val="24"/>
          <w:szCs w:val="24"/>
        </w:rPr>
      </w:pPr>
      <w:r w:rsidRPr="00EE7381">
        <w:rPr>
          <w:rFonts w:ascii="Tahoma" w:hAnsi="Tahoma" w:cs="Tahoma"/>
          <w:b/>
          <w:sz w:val="24"/>
          <w:szCs w:val="24"/>
        </w:rPr>
        <w:t>Who must file:</w:t>
      </w:r>
      <w:r w:rsidRPr="00EE7381">
        <w:rPr>
          <w:rFonts w:ascii="Tahoma" w:hAnsi="Tahoma" w:cs="Tahoma"/>
          <w:sz w:val="24"/>
          <w:szCs w:val="24"/>
        </w:rPr>
        <w:t xml:space="preserve"> Each control area operator with </w:t>
      </w:r>
      <w:smartTag w:uri="urn:schemas-microsoft-com:office:smarttags" w:element="State">
        <w:smartTag w:uri="urn:schemas-microsoft-com:office:smarttags" w:element="place">
          <w:r w:rsidRPr="00EE7381">
            <w:rPr>
              <w:rFonts w:ascii="Tahoma" w:hAnsi="Tahoma" w:cs="Tahoma"/>
              <w:sz w:val="24"/>
              <w:szCs w:val="24"/>
            </w:rPr>
            <w:t>California</w:t>
          </w:r>
        </w:smartTag>
      </w:smartTag>
      <w:r w:rsidRPr="00EE7381">
        <w:rPr>
          <w:rFonts w:ascii="Tahoma" w:hAnsi="Tahoma" w:cs="Tahoma"/>
          <w:sz w:val="24"/>
          <w:szCs w:val="24"/>
        </w:rPr>
        <w:t xml:space="preserve"> end users in their control area.</w:t>
      </w:r>
    </w:p>
    <w:p w14:paraId="1057B274" w14:textId="77777777" w:rsidR="0094720B" w:rsidRPr="00EE7381" w:rsidRDefault="0094720B" w:rsidP="0094720B">
      <w:pPr>
        <w:rPr>
          <w:rFonts w:ascii="Tahoma" w:hAnsi="Tahoma" w:cs="Tahoma"/>
          <w:sz w:val="24"/>
          <w:szCs w:val="24"/>
        </w:rPr>
      </w:pPr>
    </w:p>
    <w:p w14:paraId="0F65D499" w14:textId="77777777" w:rsidR="0094720B" w:rsidRPr="00EE7381" w:rsidRDefault="0094720B" w:rsidP="0094720B">
      <w:pPr>
        <w:rPr>
          <w:rFonts w:ascii="Tahoma" w:hAnsi="Tahoma" w:cs="Tahoma"/>
          <w:sz w:val="24"/>
          <w:szCs w:val="24"/>
        </w:rPr>
      </w:pPr>
      <w:r w:rsidRPr="00EE7381">
        <w:rPr>
          <w:rFonts w:ascii="Tahoma" w:hAnsi="Tahoma" w:cs="Tahoma"/>
          <w:b/>
          <w:sz w:val="24"/>
          <w:szCs w:val="24"/>
        </w:rPr>
        <w:t>How to file</w:t>
      </w:r>
      <w:r w:rsidRPr="00EE7381">
        <w:rPr>
          <w:rFonts w:ascii="Tahoma" w:hAnsi="Tahoma" w:cs="Tahoma"/>
          <w:sz w:val="24"/>
          <w:szCs w:val="24"/>
        </w:rPr>
        <w:t>:</w:t>
      </w:r>
      <w:r w:rsidRPr="00EE7381">
        <w:rPr>
          <w:rFonts w:ascii="Tahoma" w:hAnsi="Tahoma" w:cs="Tahoma"/>
          <w:b/>
          <w:sz w:val="24"/>
          <w:szCs w:val="24"/>
        </w:rPr>
        <w:t xml:space="preserve">  </w:t>
      </w:r>
      <w:r w:rsidRPr="00EE7381">
        <w:rPr>
          <w:rFonts w:ascii="Tahoma" w:hAnsi="Tahoma" w:cs="Tahoma"/>
          <w:sz w:val="24"/>
          <w:szCs w:val="24"/>
        </w:rPr>
        <w:t>Reports in electronic file f</w:t>
      </w:r>
      <w:r w:rsidR="00524660" w:rsidRPr="00EE7381">
        <w:rPr>
          <w:rFonts w:ascii="Tahoma" w:hAnsi="Tahoma" w:cs="Tahoma"/>
          <w:sz w:val="24"/>
          <w:szCs w:val="24"/>
        </w:rPr>
        <w:t>ormat may be submitted by email or</w:t>
      </w:r>
      <w:r w:rsidRPr="00EE7381">
        <w:rPr>
          <w:rFonts w:ascii="Tahoma" w:hAnsi="Tahoma" w:cs="Tahoma"/>
          <w:sz w:val="24"/>
          <w:szCs w:val="24"/>
        </w:rPr>
        <w:t xml:space="preserve"> U.S. mail</w:t>
      </w:r>
      <w:r w:rsidR="00EE7381">
        <w:rPr>
          <w:rFonts w:ascii="Tahoma" w:hAnsi="Tahoma" w:cs="Tahoma"/>
          <w:sz w:val="24"/>
          <w:szCs w:val="24"/>
        </w:rPr>
        <w:t>.</w:t>
      </w:r>
      <w:r w:rsidRPr="00EE7381">
        <w:rPr>
          <w:rFonts w:ascii="Tahoma" w:hAnsi="Tahoma" w:cs="Tahoma"/>
          <w:sz w:val="24"/>
          <w:szCs w:val="24"/>
        </w:rPr>
        <w:t xml:space="preserve"> Each submittal must be accompanied with a declaration. A sample declaration statement is </w:t>
      </w:r>
      <w:r w:rsidR="003402C0" w:rsidRPr="00EE7381">
        <w:rPr>
          <w:rFonts w:ascii="Tahoma" w:hAnsi="Tahoma" w:cs="Tahoma"/>
          <w:sz w:val="24"/>
          <w:szCs w:val="24"/>
        </w:rPr>
        <w:t>included with the form</w:t>
      </w:r>
      <w:r w:rsidRPr="00EE7381">
        <w:rPr>
          <w:rFonts w:ascii="Tahoma" w:hAnsi="Tahoma" w:cs="Tahoma"/>
          <w:sz w:val="24"/>
          <w:szCs w:val="24"/>
        </w:rPr>
        <w:t>.</w:t>
      </w:r>
    </w:p>
    <w:p w14:paraId="5099BDDC" w14:textId="1AA62888" w:rsidR="00524660" w:rsidRDefault="00524660" w:rsidP="0094720B">
      <w:pPr>
        <w:rPr>
          <w:rFonts w:ascii="Tahoma" w:hAnsi="Tahoma" w:cs="Tahoma"/>
          <w:sz w:val="24"/>
          <w:szCs w:val="24"/>
        </w:rPr>
      </w:pPr>
    </w:p>
    <w:p w14:paraId="736DA7AB" w14:textId="77777777" w:rsidR="001865CD" w:rsidRPr="00EE7381" w:rsidRDefault="001865CD" w:rsidP="0094720B">
      <w:pPr>
        <w:rPr>
          <w:rFonts w:ascii="Tahoma" w:hAnsi="Tahoma" w:cs="Tahoma"/>
          <w:sz w:val="24"/>
          <w:szCs w:val="24"/>
        </w:rPr>
      </w:pPr>
    </w:p>
    <w:p w14:paraId="35157751" w14:textId="77777777" w:rsidR="00467187" w:rsidRPr="00EE7381" w:rsidRDefault="00467187" w:rsidP="00524660">
      <w:pPr>
        <w:pStyle w:val="Heading2"/>
        <w:rPr>
          <w:rFonts w:ascii="Tahoma" w:hAnsi="Tahoma" w:cs="Tahoma"/>
          <w:sz w:val="24"/>
          <w:szCs w:val="24"/>
        </w:rPr>
      </w:pPr>
      <w:smartTag w:uri="urn:schemas-microsoft-com:office:smarttags" w:element="stockticker">
        <w:r w:rsidRPr="00EE7381">
          <w:rPr>
            <w:rFonts w:ascii="Tahoma" w:hAnsi="Tahoma" w:cs="Tahoma"/>
            <w:sz w:val="24"/>
            <w:szCs w:val="24"/>
          </w:rPr>
          <w:t>CEC</w:t>
        </w:r>
      </w:smartTag>
      <w:r w:rsidRPr="00EE7381">
        <w:rPr>
          <w:rFonts w:ascii="Tahoma" w:hAnsi="Tahoma" w:cs="Tahoma"/>
          <w:sz w:val="24"/>
          <w:szCs w:val="24"/>
        </w:rPr>
        <w:t>-1305C Schedule 1 Instructions:</w:t>
      </w:r>
    </w:p>
    <w:p w14:paraId="138F2277" w14:textId="77777777" w:rsidR="00524660" w:rsidRPr="00EE7381" w:rsidRDefault="00524660" w:rsidP="00524660">
      <w:pPr>
        <w:rPr>
          <w:rFonts w:ascii="Tahoma" w:hAnsi="Tahoma" w:cs="Tahoma"/>
          <w:sz w:val="24"/>
          <w:szCs w:val="24"/>
        </w:rPr>
      </w:pPr>
    </w:p>
    <w:p w14:paraId="7529E002" w14:textId="77777777" w:rsidR="00EA11B5" w:rsidRPr="00EE7381" w:rsidRDefault="00524660" w:rsidP="00524BBC">
      <w:pPr>
        <w:pStyle w:val="ListParagraph"/>
        <w:numPr>
          <w:ilvl w:val="0"/>
          <w:numId w:val="1"/>
        </w:numPr>
        <w:spacing w:after="240"/>
        <w:ind w:left="547" w:hanging="547"/>
        <w:contextualSpacing w:val="0"/>
        <w:rPr>
          <w:rFonts w:ascii="Tahoma" w:hAnsi="Tahoma" w:cs="Tahoma"/>
          <w:b/>
          <w:sz w:val="24"/>
          <w:szCs w:val="24"/>
        </w:rPr>
      </w:pPr>
      <w:r w:rsidRPr="00EE7381">
        <w:rPr>
          <w:rFonts w:ascii="Tahoma" w:hAnsi="Tahoma" w:cs="Tahoma"/>
          <w:b/>
          <w:sz w:val="24"/>
          <w:szCs w:val="24"/>
        </w:rPr>
        <w:t>Control Area Operator</w:t>
      </w:r>
      <w:r w:rsidRPr="00EE7381">
        <w:rPr>
          <w:rFonts w:ascii="Tahoma" w:hAnsi="Tahoma" w:cs="Tahoma"/>
          <w:sz w:val="24"/>
          <w:szCs w:val="24"/>
        </w:rPr>
        <w:t>.  Name of the respondent control area.</w:t>
      </w:r>
    </w:p>
    <w:p w14:paraId="62839014" w14:textId="77777777" w:rsidR="00524660" w:rsidRPr="00EE7381" w:rsidRDefault="00524660" w:rsidP="00524BBC">
      <w:pPr>
        <w:pStyle w:val="ListParagraph"/>
        <w:numPr>
          <w:ilvl w:val="0"/>
          <w:numId w:val="1"/>
        </w:numPr>
        <w:spacing w:after="240"/>
        <w:ind w:left="547" w:hanging="547"/>
        <w:contextualSpacing w:val="0"/>
        <w:rPr>
          <w:rFonts w:ascii="Tahoma" w:hAnsi="Tahoma" w:cs="Tahoma"/>
          <w:sz w:val="24"/>
          <w:szCs w:val="24"/>
        </w:rPr>
      </w:pPr>
      <w:r w:rsidRPr="00EE7381">
        <w:rPr>
          <w:rFonts w:ascii="Tahoma" w:hAnsi="Tahoma" w:cs="Tahoma"/>
          <w:b/>
          <w:sz w:val="24"/>
          <w:szCs w:val="24"/>
        </w:rPr>
        <w:t>Original Submittal</w:t>
      </w:r>
      <w:r w:rsidRPr="00EE7381">
        <w:rPr>
          <w:rFonts w:ascii="Tahoma" w:hAnsi="Tahoma" w:cs="Tahoma"/>
          <w:sz w:val="24"/>
          <w:szCs w:val="24"/>
        </w:rPr>
        <w:t>.  Check if this is the original submittal.</w:t>
      </w:r>
    </w:p>
    <w:p w14:paraId="6C3B4A12" w14:textId="77777777" w:rsidR="00467187" w:rsidRPr="00EE7381" w:rsidRDefault="00467187" w:rsidP="00524BBC">
      <w:pPr>
        <w:pStyle w:val="ListParagraph"/>
        <w:numPr>
          <w:ilvl w:val="0"/>
          <w:numId w:val="1"/>
        </w:numPr>
        <w:spacing w:after="240"/>
        <w:ind w:left="547" w:hanging="547"/>
        <w:contextualSpacing w:val="0"/>
        <w:rPr>
          <w:rFonts w:ascii="Tahoma" w:hAnsi="Tahoma" w:cs="Tahoma"/>
          <w:sz w:val="24"/>
          <w:szCs w:val="24"/>
        </w:rPr>
      </w:pPr>
      <w:r w:rsidRPr="00EE7381">
        <w:rPr>
          <w:rFonts w:ascii="Tahoma" w:hAnsi="Tahoma" w:cs="Tahoma"/>
          <w:b/>
          <w:sz w:val="24"/>
          <w:szCs w:val="24"/>
        </w:rPr>
        <w:t>Revised Submittal</w:t>
      </w:r>
      <w:r w:rsidRPr="00EE7381">
        <w:rPr>
          <w:rFonts w:ascii="Tahoma" w:hAnsi="Tahoma" w:cs="Tahoma"/>
          <w:sz w:val="24"/>
          <w:szCs w:val="24"/>
        </w:rPr>
        <w:t>.  Check if this is a revised submittal and provide the date the revision is submitted.</w:t>
      </w:r>
    </w:p>
    <w:p w14:paraId="39958994" w14:textId="33EC4312" w:rsidR="00467187" w:rsidRPr="00EE7381" w:rsidRDefault="00467187" w:rsidP="00524BBC">
      <w:pPr>
        <w:pStyle w:val="ListParagraph"/>
        <w:numPr>
          <w:ilvl w:val="0"/>
          <w:numId w:val="1"/>
        </w:numPr>
        <w:spacing w:after="240"/>
        <w:ind w:left="547" w:hanging="547"/>
        <w:contextualSpacing w:val="0"/>
        <w:rPr>
          <w:rFonts w:ascii="Tahoma" w:hAnsi="Tahoma" w:cs="Tahoma"/>
          <w:sz w:val="24"/>
          <w:szCs w:val="24"/>
        </w:rPr>
      </w:pPr>
      <w:r w:rsidRPr="00EE7381">
        <w:rPr>
          <w:rFonts w:ascii="Tahoma" w:hAnsi="Tahoma" w:cs="Tahoma"/>
          <w:b/>
          <w:sz w:val="24"/>
          <w:szCs w:val="24"/>
        </w:rPr>
        <w:t>Year</w:t>
      </w:r>
      <w:r w:rsidRPr="00EE7381">
        <w:rPr>
          <w:rFonts w:ascii="Tahoma" w:hAnsi="Tahoma" w:cs="Tahoma"/>
          <w:sz w:val="24"/>
          <w:szCs w:val="24"/>
        </w:rPr>
        <w:t>.  The reporting year. For example, if this report is provided on February 15, 20</w:t>
      </w:r>
      <w:r w:rsidR="001865CD">
        <w:rPr>
          <w:rFonts w:ascii="Tahoma" w:hAnsi="Tahoma" w:cs="Tahoma"/>
          <w:sz w:val="24"/>
          <w:szCs w:val="24"/>
        </w:rPr>
        <w:t>20</w:t>
      </w:r>
      <w:r w:rsidRPr="00EE7381">
        <w:rPr>
          <w:rFonts w:ascii="Tahoma" w:hAnsi="Tahoma" w:cs="Tahoma"/>
          <w:sz w:val="24"/>
          <w:szCs w:val="24"/>
        </w:rPr>
        <w:t>, the reporting year would be the calendar year 20</w:t>
      </w:r>
      <w:r w:rsidR="001865CD">
        <w:rPr>
          <w:rFonts w:ascii="Tahoma" w:hAnsi="Tahoma" w:cs="Tahoma"/>
          <w:sz w:val="24"/>
          <w:szCs w:val="24"/>
        </w:rPr>
        <w:t>19</w:t>
      </w:r>
      <w:r w:rsidRPr="00EE7381">
        <w:rPr>
          <w:rFonts w:ascii="Tahoma" w:hAnsi="Tahoma" w:cs="Tahoma"/>
          <w:sz w:val="24"/>
          <w:szCs w:val="24"/>
        </w:rPr>
        <w:t>.</w:t>
      </w:r>
    </w:p>
    <w:p w14:paraId="38CBC21E" w14:textId="77777777" w:rsidR="00467187" w:rsidRPr="00EE7381" w:rsidRDefault="00467187" w:rsidP="00524BBC">
      <w:pPr>
        <w:pStyle w:val="ListParagraph"/>
        <w:numPr>
          <w:ilvl w:val="0"/>
          <w:numId w:val="1"/>
        </w:numPr>
        <w:spacing w:after="240"/>
        <w:ind w:left="547" w:hanging="547"/>
        <w:contextualSpacing w:val="0"/>
        <w:rPr>
          <w:rFonts w:ascii="Tahoma" w:hAnsi="Tahoma" w:cs="Tahoma"/>
          <w:sz w:val="24"/>
          <w:szCs w:val="24"/>
        </w:rPr>
      </w:pPr>
      <w:r w:rsidRPr="00EE7381">
        <w:rPr>
          <w:rFonts w:ascii="Tahoma" w:hAnsi="Tahoma" w:cs="Tahoma"/>
          <w:b/>
          <w:sz w:val="24"/>
          <w:szCs w:val="24"/>
        </w:rPr>
        <w:t>UDC Name</w:t>
      </w:r>
      <w:r w:rsidRPr="00EE7381">
        <w:rPr>
          <w:rFonts w:ascii="Tahoma" w:hAnsi="Tahoma" w:cs="Tahoma"/>
          <w:sz w:val="24"/>
          <w:szCs w:val="24"/>
        </w:rPr>
        <w:t>.  List all utility distribution companies (UDCs) providing distribution services within the control area as of December 31 of the reporting year. Include the name of a contact person at the UDC and their mailing and email address.</w:t>
      </w:r>
    </w:p>
    <w:p w14:paraId="7BE2BA15" w14:textId="77777777" w:rsidR="00467187" w:rsidRPr="00EE7381" w:rsidRDefault="00467187" w:rsidP="00524BBC">
      <w:pPr>
        <w:pStyle w:val="ListParagraph"/>
        <w:numPr>
          <w:ilvl w:val="0"/>
          <w:numId w:val="1"/>
        </w:numPr>
        <w:spacing w:after="240"/>
        <w:ind w:left="547" w:hanging="547"/>
        <w:contextualSpacing w:val="0"/>
        <w:rPr>
          <w:rFonts w:ascii="Tahoma" w:hAnsi="Tahoma" w:cs="Tahoma"/>
          <w:sz w:val="24"/>
          <w:szCs w:val="24"/>
        </w:rPr>
      </w:pPr>
      <w:r w:rsidRPr="00EE7381">
        <w:rPr>
          <w:rFonts w:ascii="Tahoma" w:hAnsi="Tahoma" w:cs="Tahoma"/>
          <w:b/>
          <w:sz w:val="24"/>
          <w:szCs w:val="24"/>
        </w:rPr>
        <w:t>Start Date</w:t>
      </w:r>
      <w:r w:rsidRPr="00EE7381">
        <w:rPr>
          <w:rFonts w:ascii="Tahoma" w:hAnsi="Tahoma" w:cs="Tahoma"/>
          <w:sz w:val="24"/>
          <w:szCs w:val="24"/>
        </w:rPr>
        <w:t>.</w:t>
      </w:r>
      <w:r w:rsidRPr="00EE7381">
        <w:rPr>
          <w:rFonts w:ascii="Tahoma" w:hAnsi="Tahoma" w:cs="Tahoma"/>
          <w:b/>
          <w:sz w:val="24"/>
          <w:szCs w:val="24"/>
        </w:rPr>
        <w:t xml:space="preserve">  </w:t>
      </w:r>
      <w:r w:rsidRPr="00EE7381">
        <w:rPr>
          <w:rFonts w:ascii="Tahoma" w:hAnsi="Tahoma" w:cs="Tahoma"/>
          <w:sz w:val="24"/>
          <w:szCs w:val="24"/>
        </w:rPr>
        <w:t>The date</w:t>
      </w:r>
      <w:r w:rsidRPr="00EE7381">
        <w:rPr>
          <w:rFonts w:ascii="Tahoma" w:hAnsi="Tahoma" w:cs="Tahoma"/>
          <w:b/>
          <w:sz w:val="24"/>
          <w:szCs w:val="24"/>
        </w:rPr>
        <w:t xml:space="preserve"> </w:t>
      </w:r>
      <w:r w:rsidRPr="00EE7381">
        <w:rPr>
          <w:rFonts w:ascii="Tahoma" w:hAnsi="Tahoma" w:cs="Tahoma"/>
          <w:sz w:val="24"/>
          <w:szCs w:val="24"/>
        </w:rPr>
        <w:t>the UDC began providing distribution services within the control area.</w:t>
      </w:r>
    </w:p>
    <w:p w14:paraId="4409B8E1" w14:textId="77777777" w:rsidR="00467187" w:rsidRPr="00EE7381" w:rsidRDefault="00467187" w:rsidP="00524BBC">
      <w:pPr>
        <w:pStyle w:val="ListParagraph"/>
        <w:numPr>
          <w:ilvl w:val="0"/>
          <w:numId w:val="1"/>
        </w:numPr>
        <w:spacing w:after="240"/>
        <w:ind w:left="547" w:hanging="547"/>
        <w:contextualSpacing w:val="0"/>
        <w:rPr>
          <w:rFonts w:ascii="Tahoma" w:hAnsi="Tahoma" w:cs="Tahoma"/>
          <w:sz w:val="24"/>
          <w:szCs w:val="24"/>
        </w:rPr>
      </w:pPr>
      <w:r w:rsidRPr="00EE7381">
        <w:rPr>
          <w:rFonts w:ascii="Tahoma" w:hAnsi="Tahoma" w:cs="Tahoma"/>
          <w:b/>
          <w:sz w:val="24"/>
          <w:szCs w:val="24"/>
        </w:rPr>
        <w:t>End Date</w:t>
      </w:r>
      <w:r w:rsidRPr="00EE7381">
        <w:rPr>
          <w:rFonts w:ascii="Tahoma" w:hAnsi="Tahoma" w:cs="Tahoma"/>
          <w:sz w:val="24"/>
          <w:szCs w:val="24"/>
        </w:rPr>
        <w:t>.  The date the UDC ceased providing distribution services within the control area. If the UDC continues to provide distribution services in the control area, enter “N/A.”</w:t>
      </w:r>
    </w:p>
    <w:p w14:paraId="44067651" w14:textId="4B364A1F" w:rsidR="001865CD" w:rsidRDefault="00467187" w:rsidP="00534981">
      <w:pPr>
        <w:pStyle w:val="ListParagraph"/>
        <w:numPr>
          <w:ilvl w:val="0"/>
          <w:numId w:val="1"/>
        </w:numPr>
        <w:tabs>
          <w:tab w:val="num" w:pos="630"/>
        </w:tabs>
        <w:spacing w:after="120"/>
        <w:ind w:left="540" w:hanging="540"/>
        <w:contextualSpacing w:val="0"/>
        <w:rPr>
          <w:rFonts w:ascii="Tahoma" w:hAnsi="Tahoma" w:cs="Tahoma"/>
          <w:sz w:val="24"/>
          <w:szCs w:val="24"/>
        </w:rPr>
      </w:pPr>
      <w:r w:rsidRPr="00EE7381">
        <w:rPr>
          <w:rFonts w:ascii="Tahoma" w:hAnsi="Tahoma" w:cs="Tahoma"/>
          <w:b/>
          <w:sz w:val="24"/>
          <w:szCs w:val="24"/>
        </w:rPr>
        <w:t>Control Area Changes</w:t>
      </w:r>
      <w:r w:rsidRPr="00EE7381">
        <w:rPr>
          <w:rFonts w:ascii="Tahoma" w:hAnsi="Tahoma" w:cs="Tahoma"/>
          <w:sz w:val="24"/>
          <w:szCs w:val="24"/>
        </w:rPr>
        <w:t>.  For each UDC start date and/or end date that occurred within the reporting year, report:</w:t>
      </w:r>
      <w:r w:rsidR="001865CD">
        <w:rPr>
          <w:rFonts w:ascii="Tahoma" w:hAnsi="Tahoma" w:cs="Tahoma"/>
          <w:sz w:val="24"/>
          <w:szCs w:val="24"/>
        </w:rPr>
        <w:br w:type="page"/>
      </w:r>
    </w:p>
    <w:p w14:paraId="46F5CE74" w14:textId="44B03DAF" w:rsidR="00467187" w:rsidRPr="00EE7381" w:rsidRDefault="00467187" w:rsidP="00524BBC">
      <w:pPr>
        <w:pStyle w:val="ListParagraph"/>
        <w:numPr>
          <w:ilvl w:val="0"/>
          <w:numId w:val="2"/>
        </w:numPr>
        <w:spacing w:after="120"/>
        <w:ind w:left="1080" w:hanging="540"/>
        <w:contextualSpacing w:val="0"/>
        <w:rPr>
          <w:rFonts w:ascii="Tahoma" w:hAnsi="Tahoma" w:cs="Tahoma"/>
          <w:sz w:val="24"/>
          <w:szCs w:val="24"/>
        </w:rPr>
      </w:pPr>
      <w:r w:rsidRPr="00EE7381">
        <w:rPr>
          <w:rFonts w:ascii="Tahoma" w:hAnsi="Tahoma" w:cs="Tahoma"/>
          <w:sz w:val="24"/>
          <w:szCs w:val="24"/>
        </w:rPr>
        <w:lastRenderedPageBreak/>
        <w:t xml:space="preserve">Updates to the </w:t>
      </w:r>
      <w:smartTag w:uri="urn:schemas-microsoft-com:office:smarttags" w:element="stockticker">
        <w:r w:rsidRPr="00EE7381">
          <w:rPr>
            <w:rFonts w:ascii="Tahoma" w:hAnsi="Tahoma" w:cs="Tahoma"/>
            <w:sz w:val="24"/>
            <w:szCs w:val="24"/>
          </w:rPr>
          <w:t>CEC</w:t>
        </w:r>
      </w:smartTag>
      <w:r w:rsidRPr="00EE7381">
        <w:rPr>
          <w:rFonts w:ascii="Tahoma" w:hAnsi="Tahoma" w:cs="Tahoma"/>
          <w:sz w:val="24"/>
          <w:szCs w:val="24"/>
        </w:rPr>
        <w:t xml:space="preserve">-1305 forms submitted by the control area operator to the </w:t>
      </w:r>
      <w:r w:rsidR="001865CD">
        <w:rPr>
          <w:rFonts w:ascii="Tahoma" w:hAnsi="Tahoma" w:cs="Tahoma"/>
          <w:sz w:val="24"/>
          <w:szCs w:val="24"/>
        </w:rPr>
        <w:t>CEC</w:t>
      </w:r>
      <w:r w:rsidRPr="00EE7381">
        <w:rPr>
          <w:rFonts w:ascii="Tahoma" w:hAnsi="Tahoma" w:cs="Tahoma"/>
          <w:sz w:val="24"/>
          <w:szCs w:val="24"/>
        </w:rPr>
        <w:t xml:space="preserve"> that are necessary to ensure that the </w:t>
      </w:r>
      <w:r w:rsidR="004C7BC2">
        <w:rPr>
          <w:rFonts w:ascii="Tahoma" w:hAnsi="Tahoma" w:cs="Tahoma"/>
          <w:sz w:val="24"/>
          <w:szCs w:val="24"/>
        </w:rPr>
        <w:t>CEC</w:t>
      </w:r>
      <w:bookmarkStart w:id="2" w:name="_GoBack"/>
      <w:bookmarkEnd w:id="2"/>
      <w:r w:rsidRPr="00EE7381">
        <w:rPr>
          <w:rFonts w:ascii="Tahoma" w:hAnsi="Tahoma" w:cs="Tahoma"/>
          <w:sz w:val="24"/>
          <w:szCs w:val="24"/>
        </w:rPr>
        <w:t xml:space="preserve"> possesses a continuous series for that data for the three previous calendar years for the control area as defined at the close of the reporting year.</w:t>
      </w:r>
    </w:p>
    <w:p w14:paraId="5EFE077D" w14:textId="77777777" w:rsidR="00467187" w:rsidRPr="00EE7381" w:rsidRDefault="00467187" w:rsidP="00524BBC">
      <w:pPr>
        <w:pStyle w:val="Default"/>
        <w:numPr>
          <w:ilvl w:val="0"/>
          <w:numId w:val="2"/>
        </w:numPr>
        <w:spacing w:after="240"/>
        <w:ind w:left="1094" w:hanging="547"/>
        <w:rPr>
          <w:rFonts w:ascii="Tahoma" w:hAnsi="Tahoma" w:cs="Tahoma"/>
          <w:color w:val="auto"/>
        </w:rPr>
      </w:pPr>
      <w:r w:rsidRPr="00EE7381">
        <w:rPr>
          <w:rFonts w:ascii="Tahoma" w:hAnsi="Tahoma" w:cs="Tahoma"/>
          <w:color w:val="auto"/>
        </w:rPr>
        <w:t xml:space="preserve">Copies of all data submitted by the control area operator to WECC as part of WECC’s Control Area Certification Procedure, adopted </w:t>
      </w:r>
      <w:smartTag w:uri="urn:schemas-microsoft-com:office:smarttags" w:element="date">
        <w:smartTagPr>
          <w:attr w:name="Year" w:val="2003"/>
          <w:attr w:name="Day" w:val="5"/>
          <w:attr w:name="Month" w:val="12"/>
        </w:smartTagPr>
        <w:r w:rsidRPr="00EE7381">
          <w:rPr>
            <w:rFonts w:ascii="Tahoma" w:hAnsi="Tahoma" w:cs="Tahoma"/>
            <w:color w:val="auto"/>
          </w:rPr>
          <w:t>December 5, 2003</w:t>
        </w:r>
      </w:smartTag>
      <w:r w:rsidRPr="00EE7381">
        <w:rPr>
          <w:rFonts w:ascii="Tahoma" w:hAnsi="Tahoma" w:cs="Tahoma"/>
          <w:color w:val="auto"/>
        </w:rPr>
        <w:t>.</w:t>
      </w:r>
    </w:p>
    <w:p w14:paraId="52722DF6" w14:textId="466E8AD6" w:rsidR="00467187" w:rsidRPr="00EE7381" w:rsidRDefault="00467187" w:rsidP="00524BBC">
      <w:pPr>
        <w:pStyle w:val="ListParagraph"/>
        <w:numPr>
          <w:ilvl w:val="0"/>
          <w:numId w:val="1"/>
        </w:numPr>
        <w:spacing w:after="240"/>
        <w:ind w:left="547" w:hanging="547"/>
        <w:contextualSpacing w:val="0"/>
        <w:rPr>
          <w:rFonts w:ascii="Tahoma" w:hAnsi="Tahoma" w:cs="Tahoma"/>
          <w:sz w:val="24"/>
          <w:szCs w:val="24"/>
        </w:rPr>
      </w:pPr>
      <w:r w:rsidRPr="00EE7381">
        <w:rPr>
          <w:rFonts w:ascii="Tahoma" w:hAnsi="Tahoma" w:cs="Tahoma"/>
          <w:b/>
          <w:sz w:val="24"/>
          <w:szCs w:val="24"/>
        </w:rPr>
        <w:t>When to file</w:t>
      </w:r>
      <w:r w:rsidRPr="00EE7381">
        <w:rPr>
          <w:rFonts w:ascii="Tahoma" w:hAnsi="Tahoma" w:cs="Tahoma"/>
          <w:sz w:val="24"/>
          <w:szCs w:val="24"/>
        </w:rPr>
        <w:t>:  Submit for the previous year on the 15</w:t>
      </w:r>
      <w:r w:rsidRPr="00EE7381">
        <w:rPr>
          <w:rFonts w:ascii="Tahoma" w:hAnsi="Tahoma" w:cs="Tahoma"/>
          <w:sz w:val="24"/>
          <w:szCs w:val="24"/>
          <w:vertAlign w:val="superscript"/>
        </w:rPr>
        <w:t>th</w:t>
      </w:r>
      <w:r w:rsidRPr="00EE7381">
        <w:rPr>
          <w:rFonts w:ascii="Tahoma" w:hAnsi="Tahoma" w:cs="Tahoma"/>
          <w:sz w:val="24"/>
          <w:szCs w:val="24"/>
        </w:rPr>
        <w:t xml:space="preserve"> day of February of the current year. For example, the 20</w:t>
      </w:r>
      <w:r w:rsidR="003914A8">
        <w:rPr>
          <w:rFonts w:ascii="Tahoma" w:hAnsi="Tahoma" w:cs="Tahoma"/>
          <w:sz w:val="24"/>
          <w:szCs w:val="24"/>
        </w:rPr>
        <w:t>19</w:t>
      </w:r>
      <w:r w:rsidRPr="00EE7381">
        <w:rPr>
          <w:rFonts w:ascii="Tahoma" w:hAnsi="Tahoma" w:cs="Tahoma"/>
          <w:sz w:val="24"/>
          <w:szCs w:val="24"/>
        </w:rPr>
        <w:t xml:space="preserve"> report is due February 15, 20</w:t>
      </w:r>
      <w:r w:rsidR="003914A8">
        <w:rPr>
          <w:rFonts w:ascii="Tahoma" w:hAnsi="Tahoma" w:cs="Tahoma"/>
          <w:sz w:val="24"/>
          <w:szCs w:val="24"/>
        </w:rPr>
        <w:t>20</w:t>
      </w:r>
      <w:r w:rsidRPr="00EE7381">
        <w:rPr>
          <w:rFonts w:ascii="Tahoma" w:hAnsi="Tahoma" w:cs="Tahoma"/>
          <w:sz w:val="24"/>
          <w:szCs w:val="24"/>
        </w:rPr>
        <w:t>.</w:t>
      </w:r>
    </w:p>
    <w:p w14:paraId="015A1142" w14:textId="70CD8914" w:rsidR="00EE7381" w:rsidRDefault="00467187" w:rsidP="003914A8">
      <w:pPr>
        <w:pStyle w:val="ListParagraph"/>
        <w:numPr>
          <w:ilvl w:val="0"/>
          <w:numId w:val="1"/>
        </w:numPr>
        <w:tabs>
          <w:tab w:val="left" w:pos="2430"/>
        </w:tabs>
        <w:ind w:left="540" w:hanging="540"/>
        <w:rPr>
          <w:rFonts w:ascii="Tahoma" w:hAnsi="Tahoma" w:cs="Tahoma"/>
          <w:sz w:val="24"/>
          <w:szCs w:val="24"/>
        </w:rPr>
      </w:pPr>
      <w:r w:rsidRPr="00EE7381">
        <w:rPr>
          <w:rFonts w:ascii="Tahoma" w:hAnsi="Tahoma" w:cs="Tahoma"/>
          <w:b/>
          <w:sz w:val="24"/>
          <w:szCs w:val="24"/>
        </w:rPr>
        <w:t>Where to file:</w:t>
      </w:r>
      <w:r w:rsidR="00EE7381">
        <w:rPr>
          <w:rFonts w:ascii="Tahoma" w:hAnsi="Tahoma" w:cs="Tahoma"/>
          <w:sz w:val="24"/>
          <w:szCs w:val="24"/>
        </w:rPr>
        <w:t xml:space="preserve">  </w:t>
      </w:r>
      <w:r w:rsidR="00EE7381" w:rsidRPr="00EE7381">
        <w:rPr>
          <w:rFonts w:ascii="Tahoma" w:hAnsi="Tahoma" w:cs="Tahoma"/>
          <w:sz w:val="24"/>
          <w:szCs w:val="24"/>
        </w:rPr>
        <w:t>California Energy Commission</w:t>
      </w:r>
    </w:p>
    <w:p w14:paraId="1810A620" w14:textId="7B55BC1E" w:rsidR="004C7BC2" w:rsidRPr="004C7BC2" w:rsidRDefault="004C7BC2" w:rsidP="004C7BC2">
      <w:pPr>
        <w:tabs>
          <w:tab w:val="left" w:pos="2430"/>
        </w:tabs>
        <w:ind w:left="2340"/>
        <w:rPr>
          <w:rFonts w:ascii="Tahoma" w:hAnsi="Tahoma" w:cs="Tahoma"/>
          <w:sz w:val="24"/>
          <w:szCs w:val="24"/>
        </w:rPr>
      </w:pPr>
      <w:r>
        <w:rPr>
          <w:rFonts w:ascii="Tahoma" w:hAnsi="Tahoma" w:cs="Tahoma"/>
          <w:sz w:val="24"/>
          <w:szCs w:val="24"/>
        </w:rPr>
        <w:t>Attn: Linda Schrupp</w:t>
      </w:r>
    </w:p>
    <w:p w14:paraId="0BE731F6" w14:textId="77777777" w:rsidR="00EE7381" w:rsidRPr="00EE7381" w:rsidRDefault="00EE7381" w:rsidP="003914A8">
      <w:pPr>
        <w:tabs>
          <w:tab w:val="left" w:pos="2430"/>
        </w:tabs>
        <w:ind w:left="2880" w:hanging="540"/>
        <w:rPr>
          <w:rFonts w:ascii="Tahoma" w:hAnsi="Tahoma" w:cs="Tahoma"/>
          <w:sz w:val="24"/>
          <w:szCs w:val="24"/>
        </w:rPr>
      </w:pPr>
      <w:r w:rsidRPr="00EE7381">
        <w:rPr>
          <w:rFonts w:ascii="Tahoma" w:hAnsi="Tahoma" w:cs="Tahoma"/>
          <w:sz w:val="24"/>
          <w:szCs w:val="24"/>
        </w:rPr>
        <w:t>1516 Ninth Street, MS-20</w:t>
      </w:r>
    </w:p>
    <w:p w14:paraId="3F746317" w14:textId="77777777" w:rsidR="00EE7381" w:rsidRPr="00EE7381" w:rsidRDefault="00EE7381" w:rsidP="003914A8">
      <w:pPr>
        <w:tabs>
          <w:tab w:val="left" w:pos="2430"/>
        </w:tabs>
        <w:ind w:left="2880" w:hanging="540"/>
        <w:rPr>
          <w:rFonts w:ascii="Tahoma" w:hAnsi="Tahoma" w:cs="Tahoma"/>
          <w:sz w:val="24"/>
          <w:szCs w:val="24"/>
        </w:rPr>
      </w:pPr>
      <w:r w:rsidRPr="00EE7381">
        <w:rPr>
          <w:rFonts w:ascii="Tahoma" w:hAnsi="Tahoma" w:cs="Tahoma"/>
          <w:sz w:val="24"/>
          <w:szCs w:val="24"/>
        </w:rPr>
        <w:t>Sacramento, CA 95814</w:t>
      </w:r>
    </w:p>
    <w:p w14:paraId="6F0A3016" w14:textId="45C29295" w:rsidR="00467187" w:rsidRPr="00EE7381" w:rsidRDefault="00EE7381" w:rsidP="003914A8">
      <w:pPr>
        <w:tabs>
          <w:tab w:val="left" w:pos="2430"/>
        </w:tabs>
        <w:ind w:left="2880" w:hanging="540"/>
        <w:rPr>
          <w:rFonts w:ascii="Tahoma" w:hAnsi="Tahoma" w:cs="Tahoma"/>
          <w:sz w:val="24"/>
          <w:szCs w:val="24"/>
        </w:rPr>
      </w:pPr>
      <w:r w:rsidRPr="00EE7381">
        <w:rPr>
          <w:rFonts w:ascii="Tahoma" w:hAnsi="Tahoma" w:cs="Tahoma"/>
          <w:sz w:val="24"/>
          <w:szCs w:val="24"/>
        </w:rPr>
        <w:t xml:space="preserve">or by email:  </w:t>
      </w:r>
      <w:hyperlink r:id="rId7" w:history="1">
        <w:r w:rsidR="00524BBC" w:rsidRPr="0093419D">
          <w:rPr>
            <w:rStyle w:val="Hyperlink"/>
            <w:rFonts w:ascii="Tahoma" w:hAnsi="Tahoma" w:cs="Tahoma"/>
            <w:sz w:val="24"/>
            <w:szCs w:val="24"/>
          </w:rPr>
          <w:t>QFERCOM@energy.ca.gov</w:t>
        </w:r>
      </w:hyperlink>
    </w:p>
    <w:p w14:paraId="74E3A7D0" w14:textId="50C64926" w:rsidR="00524660" w:rsidRDefault="00524660" w:rsidP="00524660">
      <w:pPr>
        <w:tabs>
          <w:tab w:val="left" w:pos="2430"/>
        </w:tabs>
        <w:rPr>
          <w:rFonts w:ascii="Tahoma" w:hAnsi="Tahoma" w:cs="Tahoma"/>
          <w:b/>
          <w:sz w:val="24"/>
          <w:szCs w:val="24"/>
        </w:rPr>
      </w:pPr>
    </w:p>
    <w:p w14:paraId="61F124B9" w14:textId="77777777" w:rsidR="001865CD" w:rsidRPr="00EE7381" w:rsidRDefault="001865CD" w:rsidP="00524660">
      <w:pPr>
        <w:tabs>
          <w:tab w:val="left" w:pos="2430"/>
        </w:tabs>
        <w:rPr>
          <w:rFonts w:ascii="Tahoma" w:hAnsi="Tahoma" w:cs="Tahoma"/>
          <w:b/>
          <w:sz w:val="24"/>
          <w:szCs w:val="24"/>
        </w:rPr>
      </w:pPr>
    </w:p>
    <w:p w14:paraId="5CA9BF16" w14:textId="77777777" w:rsidR="00467187" w:rsidRPr="00EE7381" w:rsidRDefault="00467187" w:rsidP="00524660">
      <w:pPr>
        <w:pStyle w:val="Heading2"/>
        <w:rPr>
          <w:rFonts w:ascii="Tahoma" w:hAnsi="Tahoma" w:cs="Tahoma"/>
          <w:sz w:val="24"/>
          <w:szCs w:val="24"/>
        </w:rPr>
      </w:pPr>
      <w:smartTag w:uri="urn:schemas-microsoft-com:office:smarttags" w:element="stockticker">
        <w:r w:rsidRPr="00EE7381">
          <w:rPr>
            <w:rFonts w:ascii="Tahoma" w:hAnsi="Tahoma" w:cs="Tahoma"/>
            <w:sz w:val="24"/>
            <w:szCs w:val="24"/>
          </w:rPr>
          <w:t>CEC</w:t>
        </w:r>
      </w:smartTag>
      <w:r w:rsidRPr="00EE7381">
        <w:rPr>
          <w:rFonts w:ascii="Tahoma" w:hAnsi="Tahoma" w:cs="Tahoma"/>
          <w:sz w:val="24"/>
          <w:szCs w:val="24"/>
        </w:rPr>
        <w:t>-1305C Schedule 2 Instructions</w:t>
      </w:r>
    </w:p>
    <w:p w14:paraId="771497D0" w14:textId="77777777" w:rsidR="00467187" w:rsidRPr="00EE7381" w:rsidRDefault="00467187" w:rsidP="00467187">
      <w:pPr>
        <w:ind w:left="2160" w:hanging="2160"/>
        <w:rPr>
          <w:rFonts w:ascii="Tahoma" w:hAnsi="Tahoma" w:cs="Tahoma"/>
          <w:b/>
          <w:sz w:val="24"/>
          <w:szCs w:val="24"/>
        </w:rPr>
      </w:pPr>
    </w:p>
    <w:p w14:paraId="6C110B2F" w14:textId="77777777" w:rsidR="00467187" w:rsidRPr="00EE7381" w:rsidRDefault="00467187" w:rsidP="00524BBC">
      <w:pPr>
        <w:pStyle w:val="ListParagraph"/>
        <w:numPr>
          <w:ilvl w:val="0"/>
          <w:numId w:val="3"/>
        </w:numPr>
        <w:tabs>
          <w:tab w:val="left" w:pos="540"/>
        </w:tabs>
        <w:spacing w:after="240"/>
        <w:ind w:left="547" w:hanging="547"/>
        <w:contextualSpacing w:val="0"/>
        <w:rPr>
          <w:rFonts w:ascii="Tahoma" w:hAnsi="Tahoma" w:cs="Tahoma"/>
          <w:sz w:val="24"/>
          <w:szCs w:val="24"/>
        </w:rPr>
      </w:pPr>
      <w:r w:rsidRPr="00EE7381">
        <w:rPr>
          <w:rFonts w:ascii="Tahoma" w:hAnsi="Tahoma" w:cs="Tahoma"/>
          <w:b/>
          <w:sz w:val="24"/>
          <w:szCs w:val="24"/>
        </w:rPr>
        <w:t>Control Area Operator</w:t>
      </w:r>
      <w:r w:rsidRPr="00EE7381">
        <w:rPr>
          <w:rFonts w:ascii="Tahoma" w:hAnsi="Tahoma" w:cs="Tahoma"/>
          <w:sz w:val="24"/>
          <w:szCs w:val="24"/>
        </w:rPr>
        <w:t>.  Name of the respondent control area.</w:t>
      </w:r>
    </w:p>
    <w:p w14:paraId="64E6F765" w14:textId="77777777" w:rsidR="00467187" w:rsidRPr="00EE7381" w:rsidRDefault="00467187" w:rsidP="00524BBC">
      <w:pPr>
        <w:pStyle w:val="ListParagraph"/>
        <w:numPr>
          <w:ilvl w:val="0"/>
          <w:numId w:val="3"/>
        </w:numPr>
        <w:tabs>
          <w:tab w:val="left" w:pos="540"/>
        </w:tabs>
        <w:spacing w:after="240"/>
        <w:ind w:left="547" w:hanging="547"/>
        <w:contextualSpacing w:val="0"/>
        <w:rPr>
          <w:rFonts w:ascii="Tahoma" w:hAnsi="Tahoma" w:cs="Tahoma"/>
          <w:sz w:val="24"/>
          <w:szCs w:val="24"/>
        </w:rPr>
      </w:pPr>
      <w:r w:rsidRPr="00EE7381">
        <w:rPr>
          <w:rFonts w:ascii="Tahoma" w:hAnsi="Tahoma" w:cs="Tahoma"/>
          <w:b/>
          <w:sz w:val="24"/>
          <w:szCs w:val="24"/>
        </w:rPr>
        <w:t>Original Submittal</w:t>
      </w:r>
      <w:r w:rsidRPr="00EE7381">
        <w:rPr>
          <w:rFonts w:ascii="Tahoma" w:hAnsi="Tahoma" w:cs="Tahoma"/>
          <w:sz w:val="24"/>
          <w:szCs w:val="24"/>
        </w:rPr>
        <w:t>.  Check if this is the original submittal.</w:t>
      </w:r>
    </w:p>
    <w:p w14:paraId="0BADB822" w14:textId="77777777" w:rsidR="00467187" w:rsidRPr="00EE7381" w:rsidRDefault="00467187" w:rsidP="00524BBC">
      <w:pPr>
        <w:pStyle w:val="ListParagraph"/>
        <w:numPr>
          <w:ilvl w:val="0"/>
          <w:numId w:val="3"/>
        </w:numPr>
        <w:tabs>
          <w:tab w:val="left" w:pos="540"/>
        </w:tabs>
        <w:spacing w:after="240"/>
        <w:ind w:left="547" w:hanging="547"/>
        <w:contextualSpacing w:val="0"/>
        <w:rPr>
          <w:rFonts w:ascii="Tahoma" w:hAnsi="Tahoma" w:cs="Tahoma"/>
          <w:sz w:val="24"/>
          <w:szCs w:val="24"/>
        </w:rPr>
      </w:pPr>
      <w:r w:rsidRPr="00EE7381">
        <w:rPr>
          <w:rFonts w:ascii="Tahoma" w:hAnsi="Tahoma" w:cs="Tahoma"/>
          <w:b/>
          <w:sz w:val="24"/>
          <w:szCs w:val="24"/>
        </w:rPr>
        <w:t>Revised Submittal</w:t>
      </w:r>
      <w:r w:rsidRPr="00EE7381">
        <w:rPr>
          <w:rFonts w:ascii="Tahoma" w:hAnsi="Tahoma" w:cs="Tahoma"/>
          <w:sz w:val="24"/>
          <w:szCs w:val="24"/>
        </w:rPr>
        <w:t>.  Check if this is a revised submittal and provide the date the revision is submitted.</w:t>
      </w:r>
    </w:p>
    <w:p w14:paraId="227DAD0C" w14:textId="7018E0FE" w:rsidR="00467187" w:rsidRPr="00EE7381" w:rsidRDefault="00467187" w:rsidP="008048A4">
      <w:pPr>
        <w:pStyle w:val="ListParagraph"/>
        <w:numPr>
          <w:ilvl w:val="0"/>
          <w:numId w:val="3"/>
        </w:numPr>
        <w:tabs>
          <w:tab w:val="left" w:pos="540"/>
        </w:tabs>
        <w:spacing w:after="240"/>
        <w:ind w:left="547" w:hanging="547"/>
        <w:contextualSpacing w:val="0"/>
        <w:rPr>
          <w:rFonts w:ascii="Tahoma" w:hAnsi="Tahoma" w:cs="Tahoma"/>
          <w:sz w:val="24"/>
          <w:szCs w:val="24"/>
        </w:rPr>
      </w:pPr>
      <w:r w:rsidRPr="00EE7381">
        <w:rPr>
          <w:rFonts w:ascii="Tahoma" w:hAnsi="Tahoma" w:cs="Tahoma"/>
          <w:b/>
          <w:sz w:val="24"/>
          <w:szCs w:val="24"/>
        </w:rPr>
        <w:t>Year</w:t>
      </w:r>
      <w:r w:rsidRPr="00EE7381">
        <w:rPr>
          <w:rFonts w:ascii="Tahoma" w:hAnsi="Tahoma" w:cs="Tahoma"/>
          <w:sz w:val="24"/>
          <w:szCs w:val="24"/>
        </w:rPr>
        <w:t>.  The reporting year. For example, if this report is provided on February 15, 20</w:t>
      </w:r>
      <w:r w:rsidR="00524BBC">
        <w:rPr>
          <w:rFonts w:ascii="Tahoma" w:hAnsi="Tahoma" w:cs="Tahoma"/>
          <w:sz w:val="24"/>
          <w:szCs w:val="24"/>
        </w:rPr>
        <w:t>20</w:t>
      </w:r>
      <w:r w:rsidRPr="00EE7381">
        <w:rPr>
          <w:rFonts w:ascii="Tahoma" w:hAnsi="Tahoma" w:cs="Tahoma"/>
          <w:sz w:val="24"/>
          <w:szCs w:val="24"/>
        </w:rPr>
        <w:t>, the reporting year would be calendar year 20</w:t>
      </w:r>
      <w:r w:rsidR="00524BBC">
        <w:rPr>
          <w:rFonts w:ascii="Tahoma" w:hAnsi="Tahoma" w:cs="Tahoma"/>
          <w:sz w:val="24"/>
          <w:szCs w:val="24"/>
        </w:rPr>
        <w:t>19</w:t>
      </w:r>
      <w:r w:rsidRPr="00EE7381">
        <w:rPr>
          <w:rFonts w:ascii="Tahoma" w:hAnsi="Tahoma" w:cs="Tahoma"/>
          <w:sz w:val="24"/>
          <w:szCs w:val="24"/>
        </w:rPr>
        <w:t>.</w:t>
      </w:r>
    </w:p>
    <w:p w14:paraId="4A645DC8" w14:textId="77777777" w:rsidR="00467187" w:rsidRPr="00EE7381" w:rsidRDefault="00467187" w:rsidP="00524BBC">
      <w:pPr>
        <w:pStyle w:val="ListParagraph"/>
        <w:numPr>
          <w:ilvl w:val="0"/>
          <w:numId w:val="3"/>
        </w:numPr>
        <w:tabs>
          <w:tab w:val="left" w:pos="540"/>
        </w:tabs>
        <w:spacing w:after="240"/>
        <w:ind w:left="547" w:hanging="547"/>
        <w:contextualSpacing w:val="0"/>
        <w:rPr>
          <w:rFonts w:ascii="Tahoma" w:hAnsi="Tahoma" w:cs="Tahoma"/>
          <w:sz w:val="24"/>
          <w:szCs w:val="24"/>
        </w:rPr>
      </w:pPr>
      <w:r w:rsidRPr="00EE7381">
        <w:rPr>
          <w:rFonts w:ascii="Tahoma" w:hAnsi="Tahoma" w:cs="Tahoma"/>
          <w:b/>
          <w:sz w:val="24"/>
          <w:szCs w:val="24"/>
        </w:rPr>
        <w:t>Hour Ending</w:t>
      </w:r>
      <w:r w:rsidRPr="00EE7381">
        <w:rPr>
          <w:rFonts w:ascii="Tahoma" w:hAnsi="Tahoma" w:cs="Tahoma"/>
          <w:sz w:val="24"/>
          <w:szCs w:val="24"/>
        </w:rPr>
        <w:t xml:space="preserve">.  List the date and hour of the hourly load. </w:t>
      </w:r>
    </w:p>
    <w:p w14:paraId="076E92E2" w14:textId="77777777" w:rsidR="00467187" w:rsidRPr="00EE7381" w:rsidRDefault="00467187" w:rsidP="00524BBC">
      <w:pPr>
        <w:pStyle w:val="ListParagraph"/>
        <w:numPr>
          <w:ilvl w:val="0"/>
          <w:numId w:val="3"/>
        </w:numPr>
        <w:tabs>
          <w:tab w:val="left" w:pos="540"/>
        </w:tabs>
        <w:spacing w:after="240"/>
        <w:ind w:left="547" w:hanging="547"/>
        <w:contextualSpacing w:val="0"/>
        <w:rPr>
          <w:rFonts w:ascii="Tahoma" w:hAnsi="Tahoma" w:cs="Tahoma"/>
          <w:sz w:val="24"/>
          <w:szCs w:val="24"/>
        </w:rPr>
      </w:pPr>
      <w:r w:rsidRPr="00EE7381">
        <w:rPr>
          <w:rFonts w:ascii="Tahoma" w:hAnsi="Tahoma" w:cs="Tahoma"/>
          <w:b/>
          <w:sz w:val="24"/>
          <w:szCs w:val="24"/>
        </w:rPr>
        <w:t>Control Area Load</w:t>
      </w:r>
      <w:r w:rsidRPr="00EE7381">
        <w:rPr>
          <w:rFonts w:ascii="Tahoma" w:hAnsi="Tahoma" w:cs="Tahoma"/>
          <w:sz w:val="24"/>
          <w:szCs w:val="24"/>
        </w:rPr>
        <w:t>.</w:t>
      </w:r>
      <w:r w:rsidRPr="00EE7381">
        <w:rPr>
          <w:rFonts w:ascii="Tahoma" w:hAnsi="Tahoma" w:cs="Tahoma"/>
          <w:b/>
          <w:sz w:val="24"/>
          <w:szCs w:val="24"/>
        </w:rPr>
        <w:t xml:space="preserve">  </w:t>
      </w:r>
      <w:r w:rsidRPr="00EE7381">
        <w:rPr>
          <w:rFonts w:ascii="Tahoma" w:hAnsi="Tahoma" w:cs="Tahoma"/>
          <w:sz w:val="24"/>
          <w:szCs w:val="24"/>
        </w:rPr>
        <w:t>Hourly loads (MW) for all electricity consumption and losses in the control area.</w:t>
      </w:r>
    </w:p>
    <w:p w14:paraId="380597AF" w14:textId="77777777" w:rsidR="00467187" w:rsidRPr="00EE7381" w:rsidRDefault="00467187" w:rsidP="00524BBC">
      <w:pPr>
        <w:pStyle w:val="ListParagraph"/>
        <w:numPr>
          <w:ilvl w:val="0"/>
          <w:numId w:val="3"/>
        </w:numPr>
        <w:tabs>
          <w:tab w:val="left" w:pos="540"/>
        </w:tabs>
        <w:spacing w:after="240"/>
        <w:ind w:left="547" w:hanging="547"/>
        <w:contextualSpacing w:val="0"/>
        <w:rPr>
          <w:rFonts w:ascii="Tahoma" w:hAnsi="Tahoma" w:cs="Tahoma"/>
          <w:sz w:val="24"/>
          <w:szCs w:val="24"/>
        </w:rPr>
      </w:pPr>
      <w:r w:rsidRPr="00EE7381">
        <w:rPr>
          <w:rFonts w:ascii="Tahoma" w:hAnsi="Tahoma" w:cs="Tahoma"/>
          <w:b/>
          <w:sz w:val="24"/>
          <w:szCs w:val="24"/>
        </w:rPr>
        <w:t>Control Area Changes</w:t>
      </w:r>
      <w:r w:rsidRPr="00EE7381">
        <w:rPr>
          <w:rFonts w:ascii="Tahoma" w:hAnsi="Tahoma" w:cs="Tahoma"/>
          <w:sz w:val="24"/>
          <w:szCs w:val="24"/>
        </w:rPr>
        <w:t>.  If the definition of the control area changed during the reporting year, provide the date of the change, describe the nature of the change, and explain how this change affected the identification of hourly loads in the control area’s CEC-1305</w:t>
      </w:r>
      <w:r w:rsidR="007308EA" w:rsidRPr="00EE7381">
        <w:rPr>
          <w:rFonts w:ascii="Tahoma" w:hAnsi="Tahoma" w:cs="Tahoma"/>
          <w:sz w:val="24"/>
          <w:szCs w:val="24"/>
        </w:rPr>
        <w:t>C</w:t>
      </w:r>
      <w:r w:rsidR="00A76F2F" w:rsidRPr="00EE7381">
        <w:rPr>
          <w:rFonts w:ascii="Tahoma" w:hAnsi="Tahoma" w:cs="Tahoma"/>
          <w:sz w:val="24"/>
          <w:szCs w:val="24"/>
        </w:rPr>
        <w:t xml:space="preserve"> Schedule 2</w:t>
      </w:r>
      <w:r w:rsidRPr="00EE7381">
        <w:rPr>
          <w:rFonts w:ascii="Tahoma" w:hAnsi="Tahoma" w:cs="Tahoma"/>
          <w:sz w:val="24"/>
          <w:szCs w:val="24"/>
        </w:rPr>
        <w:t xml:space="preserve"> Hourly Loads Annual Report.</w:t>
      </w:r>
    </w:p>
    <w:p w14:paraId="4998D52A" w14:textId="466777B9" w:rsidR="00467187" w:rsidRPr="00EE7381" w:rsidRDefault="00467187" w:rsidP="00524BBC">
      <w:pPr>
        <w:pStyle w:val="ListParagraph"/>
        <w:numPr>
          <w:ilvl w:val="0"/>
          <w:numId w:val="3"/>
        </w:numPr>
        <w:tabs>
          <w:tab w:val="left" w:pos="540"/>
        </w:tabs>
        <w:spacing w:after="240"/>
        <w:ind w:left="547" w:hanging="547"/>
        <w:contextualSpacing w:val="0"/>
        <w:rPr>
          <w:rFonts w:ascii="Tahoma" w:hAnsi="Tahoma" w:cs="Tahoma"/>
          <w:sz w:val="24"/>
          <w:szCs w:val="24"/>
        </w:rPr>
      </w:pPr>
      <w:r w:rsidRPr="00EE7381">
        <w:rPr>
          <w:rFonts w:ascii="Tahoma" w:hAnsi="Tahoma" w:cs="Tahoma"/>
          <w:b/>
          <w:sz w:val="24"/>
          <w:szCs w:val="24"/>
        </w:rPr>
        <w:t>When to file</w:t>
      </w:r>
      <w:r w:rsidRPr="00EE7381">
        <w:rPr>
          <w:rFonts w:ascii="Tahoma" w:hAnsi="Tahoma" w:cs="Tahoma"/>
          <w:sz w:val="24"/>
          <w:szCs w:val="24"/>
        </w:rPr>
        <w:t>:  Submit for the previous year on the 15</w:t>
      </w:r>
      <w:r w:rsidRPr="00EE7381">
        <w:rPr>
          <w:rFonts w:ascii="Tahoma" w:hAnsi="Tahoma" w:cs="Tahoma"/>
          <w:sz w:val="24"/>
          <w:szCs w:val="24"/>
          <w:vertAlign w:val="superscript"/>
        </w:rPr>
        <w:t>th</w:t>
      </w:r>
      <w:r w:rsidRPr="00EE7381">
        <w:rPr>
          <w:rFonts w:ascii="Tahoma" w:hAnsi="Tahoma" w:cs="Tahoma"/>
          <w:sz w:val="24"/>
          <w:szCs w:val="24"/>
        </w:rPr>
        <w:t xml:space="preserve"> day of February of the current year. For example, the 20</w:t>
      </w:r>
      <w:r w:rsidR="00524BBC">
        <w:rPr>
          <w:rFonts w:ascii="Tahoma" w:hAnsi="Tahoma" w:cs="Tahoma"/>
          <w:sz w:val="24"/>
          <w:szCs w:val="24"/>
        </w:rPr>
        <w:t>19</w:t>
      </w:r>
      <w:r w:rsidRPr="00EE7381">
        <w:rPr>
          <w:rFonts w:ascii="Tahoma" w:hAnsi="Tahoma" w:cs="Tahoma"/>
          <w:sz w:val="24"/>
          <w:szCs w:val="24"/>
        </w:rPr>
        <w:t xml:space="preserve"> report is due February 15, 20</w:t>
      </w:r>
      <w:r w:rsidR="00524BBC">
        <w:rPr>
          <w:rFonts w:ascii="Tahoma" w:hAnsi="Tahoma" w:cs="Tahoma"/>
          <w:sz w:val="24"/>
          <w:szCs w:val="24"/>
        </w:rPr>
        <w:t>20</w:t>
      </w:r>
      <w:r w:rsidRPr="00EE7381">
        <w:rPr>
          <w:rFonts w:ascii="Tahoma" w:hAnsi="Tahoma" w:cs="Tahoma"/>
          <w:sz w:val="24"/>
          <w:szCs w:val="24"/>
        </w:rPr>
        <w:t>.</w:t>
      </w:r>
    </w:p>
    <w:p w14:paraId="073675C4" w14:textId="0A22F8B5" w:rsidR="00EE7381" w:rsidRDefault="00467187" w:rsidP="00534981">
      <w:pPr>
        <w:pStyle w:val="ListParagraph"/>
        <w:numPr>
          <w:ilvl w:val="0"/>
          <w:numId w:val="3"/>
        </w:numPr>
        <w:tabs>
          <w:tab w:val="left" w:pos="540"/>
        </w:tabs>
        <w:ind w:hanging="720"/>
        <w:rPr>
          <w:rFonts w:ascii="Tahoma" w:hAnsi="Tahoma" w:cs="Tahoma"/>
          <w:sz w:val="24"/>
          <w:szCs w:val="24"/>
        </w:rPr>
      </w:pPr>
      <w:r w:rsidRPr="00EE7381">
        <w:rPr>
          <w:rFonts w:ascii="Tahoma" w:hAnsi="Tahoma" w:cs="Tahoma"/>
          <w:b/>
          <w:sz w:val="24"/>
          <w:szCs w:val="24"/>
        </w:rPr>
        <w:t>Where to file:</w:t>
      </w:r>
      <w:r w:rsidRPr="00EE7381">
        <w:rPr>
          <w:rFonts w:ascii="Tahoma" w:hAnsi="Tahoma" w:cs="Tahoma"/>
          <w:sz w:val="24"/>
          <w:szCs w:val="24"/>
        </w:rPr>
        <w:t xml:space="preserve"> </w:t>
      </w:r>
      <w:r w:rsidR="00EE7381">
        <w:rPr>
          <w:rFonts w:ascii="Tahoma" w:hAnsi="Tahoma" w:cs="Tahoma"/>
          <w:sz w:val="24"/>
          <w:szCs w:val="24"/>
        </w:rPr>
        <w:t xml:space="preserve"> </w:t>
      </w:r>
      <w:r w:rsidR="00EE7381" w:rsidRPr="00EE7381">
        <w:rPr>
          <w:rFonts w:ascii="Tahoma" w:hAnsi="Tahoma" w:cs="Tahoma"/>
          <w:sz w:val="24"/>
          <w:szCs w:val="24"/>
        </w:rPr>
        <w:t>California Energy Commission</w:t>
      </w:r>
    </w:p>
    <w:p w14:paraId="7AABF02C" w14:textId="0B3B1201" w:rsidR="004C7BC2" w:rsidRPr="004C7BC2" w:rsidRDefault="004C7BC2" w:rsidP="004C7BC2">
      <w:pPr>
        <w:tabs>
          <w:tab w:val="left" w:pos="540"/>
        </w:tabs>
        <w:ind w:left="2340"/>
        <w:rPr>
          <w:rFonts w:ascii="Tahoma" w:hAnsi="Tahoma" w:cs="Tahoma"/>
          <w:sz w:val="24"/>
          <w:szCs w:val="24"/>
        </w:rPr>
      </w:pPr>
      <w:r>
        <w:rPr>
          <w:rFonts w:ascii="Tahoma" w:hAnsi="Tahoma" w:cs="Tahoma"/>
          <w:sz w:val="24"/>
          <w:szCs w:val="24"/>
        </w:rPr>
        <w:t>Attn: Linda Schrupp</w:t>
      </w:r>
    </w:p>
    <w:p w14:paraId="62551F56" w14:textId="77777777" w:rsidR="00EE7381" w:rsidRPr="00EE7381" w:rsidRDefault="00EE7381" w:rsidP="00EE7381">
      <w:pPr>
        <w:tabs>
          <w:tab w:val="left" w:pos="540"/>
        </w:tabs>
        <w:ind w:left="2340"/>
        <w:rPr>
          <w:rFonts w:ascii="Tahoma" w:hAnsi="Tahoma" w:cs="Tahoma"/>
          <w:sz w:val="24"/>
          <w:szCs w:val="24"/>
        </w:rPr>
      </w:pPr>
      <w:r w:rsidRPr="00EE7381">
        <w:rPr>
          <w:rFonts w:ascii="Tahoma" w:hAnsi="Tahoma" w:cs="Tahoma"/>
          <w:sz w:val="24"/>
          <w:szCs w:val="24"/>
        </w:rPr>
        <w:t>1516 Ninth Street, MS-20</w:t>
      </w:r>
    </w:p>
    <w:p w14:paraId="76A015E2" w14:textId="77777777" w:rsidR="00EE7381" w:rsidRPr="00EE7381" w:rsidRDefault="00EE7381" w:rsidP="00EE7381">
      <w:pPr>
        <w:tabs>
          <w:tab w:val="left" w:pos="540"/>
        </w:tabs>
        <w:ind w:left="2340"/>
        <w:rPr>
          <w:rFonts w:ascii="Tahoma" w:hAnsi="Tahoma" w:cs="Tahoma"/>
          <w:sz w:val="24"/>
          <w:szCs w:val="24"/>
        </w:rPr>
      </w:pPr>
      <w:r w:rsidRPr="00EE7381">
        <w:rPr>
          <w:rFonts w:ascii="Tahoma" w:hAnsi="Tahoma" w:cs="Tahoma"/>
          <w:sz w:val="24"/>
          <w:szCs w:val="24"/>
        </w:rPr>
        <w:t>Sacramento, CA 95814</w:t>
      </w:r>
    </w:p>
    <w:p w14:paraId="767471AA" w14:textId="25A89CAC" w:rsidR="00467187" w:rsidRPr="00EE7381" w:rsidRDefault="00EE7381" w:rsidP="00EE7381">
      <w:pPr>
        <w:tabs>
          <w:tab w:val="left" w:pos="540"/>
        </w:tabs>
        <w:ind w:left="2340"/>
        <w:rPr>
          <w:rFonts w:ascii="Tahoma" w:hAnsi="Tahoma" w:cs="Tahoma"/>
          <w:sz w:val="24"/>
          <w:szCs w:val="24"/>
        </w:rPr>
      </w:pPr>
      <w:r w:rsidRPr="00EE7381">
        <w:rPr>
          <w:rFonts w:ascii="Tahoma" w:hAnsi="Tahoma" w:cs="Tahoma"/>
          <w:sz w:val="24"/>
          <w:szCs w:val="24"/>
        </w:rPr>
        <w:t xml:space="preserve">or by email:  </w:t>
      </w:r>
      <w:hyperlink r:id="rId8" w:history="1">
        <w:r w:rsidR="00524BBC" w:rsidRPr="0093419D">
          <w:rPr>
            <w:rStyle w:val="Hyperlink"/>
            <w:rFonts w:ascii="Tahoma" w:hAnsi="Tahoma" w:cs="Tahoma"/>
            <w:sz w:val="24"/>
            <w:szCs w:val="24"/>
          </w:rPr>
          <w:t>QFERCOM@energy.ca.gov</w:t>
        </w:r>
      </w:hyperlink>
      <w:r w:rsidR="00524BBC">
        <w:rPr>
          <w:rFonts w:ascii="Tahoma" w:hAnsi="Tahoma" w:cs="Tahoma"/>
          <w:sz w:val="24"/>
          <w:szCs w:val="24"/>
        </w:rPr>
        <w:t xml:space="preserve"> </w:t>
      </w:r>
      <w:r w:rsidR="00524BBC" w:rsidRPr="00EE7381">
        <w:rPr>
          <w:rFonts w:ascii="Tahoma" w:hAnsi="Tahoma" w:cs="Tahoma"/>
          <w:sz w:val="24"/>
          <w:szCs w:val="24"/>
        </w:rPr>
        <w:t xml:space="preserve"> </w:t>
      </w:r>
    </w:p>
    <w:sectPr w:rsidR="00467187" w:rsidRPr="00EE7381" w:rsidSect="007C3FC9">
      <w:footerReference w:type="default" r:id="rId9"/>
      <w:footnotePr>
        <w:numRestart w:val="eachPage"/>
      </w:footnotePr>
      <w:pgSz w:w="12240" w:h="15840" w:code="1"/>
      <w:pgMar w:top="1080" w:right="1440" w:bottom="1080" w:left="1440"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0BFC7" w14:textId="77777777" w:rsidR="00E039DF" w:rsidRDefault="00E039DF">
      <w:r>
        <w:separator/>
      </w:r>
    </w:p>
  </w:endnote>
  <w:endnote w:type="continuationSeparator" w:id="0">
    <w:p w14:paraId="3E1DA36F" w14:textId="77777777" w:rsidR="00E039DF" w:rsidRDefault="00E0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C4C3" w14:textId="7AEA21F0" w:rsidR="00C130DF" w:rsidRPr="00EE7381" w:rsidRDefault="00D07303" w:rsidP="00D07303">
    <w:pPr>
      <w:pStyle w:val="Footer"/>
      <w:tabs>
        <w:tab w:val="clear" w:pos="8640"/>
        <w:tab w:val="right" w:pos="9360"/>
      </w:tabs>
      <w:rPr>
        <w:rFonts w:ascii="Tahoma" w:hAnsi="Tahoma" w:cs="Tahoma"/>
        <w:sz w:val="24"/>
        <w:szCs w:val="24"/>
      </w:rPr>
    </w:pPr>
    <w:r w:rsidRPr="00EE7381">
      <w:rPr>
        <w:rStyle w:val="PageNumber"/>
        <w:rFonts w:ascii="Tahoma" w:hAnsi="Tahoma" w:cs="Tahoma"/>
        <w:sz w:val="24"/>
        <w:szCs w:val="24"/>
      </w:rPr>
      <w:t>CEC-1305</w:t>
    </w:r>
    <w:r w:rsidR="004C7BC2">
      <w:rPr>
        <w:rStyle w:val="PageNumber"/>
        <w:rFonts w:ascii="Tahoma" w:hAnsi="Tahoma" w:cs="Tahoma"/>
        <w:sz w:val="24"/>
        <w:szCs w:val="24"/>
      </w:rPr>
      <w:t>C</w:t>
    </w:r>
    <w:r w:rsidRPr="00EE7381">
      <w:rPr>
        <w:rStyle w:val="PageNumber"/>
        <w:rFonts w:ascii="Tahoma" w:hAnsi="Tahoma" w:cs="Tahoma"/>
        <w:sz w:val="24"/>
        <w:szCs w:val="24"/>
      </w:rPr>
      <w:tab/>
    </w:r>
    <w:r w:rsidRPr="00EE7381">
      <w:rPr>
        <w:rStyle w:val="PageNumber"/>
        <w:rFonts w:ascii="Tahoma" w:hAnsi="Tahoma" w:cs="Tahoma"/>
        <w:sz w:val="24"/>
        <w:szCs w:val="24"/>
      </w:rPr>
      <w:tab/>
      <w:t xml:space="preserve">page </w:t>
    </w:r>
    <w:r w:rsidR="00C130DF" w:rsidRPr="00EE7381">
      <w:rPr>
        <w:rStyle w:val="PageNumber"/>
        <w:rFonts w:ascii="Tahoma" w:hAnsi="Tahoma" w:cs="Tahoma"/>
        <w:sz w:val="24"/>
        <w:szCs w:val="24"/>
      </w:rPr>
      <w:fldChar w:fldCharType="begin"/>
    </w:r>
    <w:r w:rsidR="00C130DF" w:rsidRPr="00EE7381">
      <w:rPr>
        <w:rStyle w:val="PageNumber"/>
        <w:rFonts w:ascii="Tahoma" w:hAnsi="Tahoma" w:cs="Tahoma"/>
        <w:sz w:val="24"/>
        <w:szCs w:val="24"/>
      </w:rPr>
      <w:instrText xml:space="preserve"> PAGE </w:instrText>
    </w:r>
    <w:r w:rsidR="00C130DF" w:rsidRPr="00EE7381">
      <w:rPr>
        <w:rStyle w:val="PageNumber"/>
        <w:rFonts w:ascii="Tahoma" w:hAnsi="Tahoma" w:cs="Tahoma"/>
        <w:sz w:val="24"/>
        <w:szCs w:val="24"/>
      </w:rPr>
      <w:fldChar w:fldCharType="separate"/>
    </w:r>
    <w:r w:rsidR="00EE7381">
      <w:rPr>
        <w:rStyle w:val="PageNumber"/>
        <w:rFonts w:ascii="Tahoma" w:hAnsi="Tahoma" w:cs="Tahoma"/>
        <w:noProof/>
        <w:sz w:val="24"/>
        <w:szCs w:val="24"/>
      </w:rPr>
      <w:t>2</w:t>
    </w:r>
    <w:r w:rsidR="00C130DF" w:rsidRPr="00EE7381">
      <w:rPr>
        <w:rStyle w:val="PageNumber"/>
        <w:rFonts w:ascii="Tahoma" w:hAnsi="Tahoma" w:cs="Tahoma"/>
        <w:sz w:val="24"/>
        <w:szCs w:val="24"/>
      </w:rPr>
      <w:fldChar w:fldCharType="end"/>
    </w:r>
    <w:r w:rsidRPr="00EE7381">
      <w:rPr>
        <w:rStyle w:val="PageNumber"/>
        <w:rFonts w:ascii="Tahoma" w:hAnsi="Tahoma" w:cs="Tahoma"/>
        <w:sz w:val="24"/>
        <w:szCs w:val="24"/>
      </w:rPr>
      <w:t xml:space="preserve"> of </w:t>
    </w:r>
    <w:r w:rsidRPr="00EE7381">
      <w:rPr>
        <w:rStyle w:val="PageNumber"/>
        <w:rFonts w:ascii="Tahoma" w:hAnsi="Tahoma" w:cs="Tahoma"/>
        <w:sz w:val="24"/>
        <w:szCs w:val="24"/>
      </w:rPr>
      <w:fldChar w:fldCharType="begin"/>
    </w:r>
    <w:r w:rsidRPr="00EE7381">
      <w:rPr>
        <w:rStyle w:val="PageNumber"/>
        <w:rFonts w:ascii="Tahoma" w:hAnsi="Tahoma" w:cs="Tahoma"/>
        <w:sz w:val="24"/>
        <w:szCs w:val="24"/>
      </w:rPr>
      <w:instrText xml:space="preserve"> NUMPAGES </w:instrText>
    </w:r>
    <w:r w:rsidRPr="00EE7381">
      <w:rPr>
        <w:rStyle w:val="PageNumber"/>
        <w:rFonts w:ascii="Tahoma" w:hAnsi="Tahoma" w:cs="Tahoma"/>
        <w:sz w:val="24"/>
        <w:szCs w:val="24"/>
      </w:rPr>
      <w:fldChar w:fldCharType="separate"/>
    </w:r>
    <w:r w:rsidR="00EE7381">
      <w:rPr>
        <w:rStyle w:val="PageNumber"/>
        <w:rFonts w:ascii="Tahoma" w:hAnsi="Tahoma" w:cs="Tahoma"/>
        <w:noProof/>
        <w:sz w:val="24"/>
        <w:szCs w:val="24"/>
      </w:rPr>
      <w:t>2</w:t>
    </w:r>
    <w:r w:rsidRPr="00EE7381">
      <w:rPr>
        <w:rStyle w:val="PageNumber"/>
        <w:rFonts w:ascii="Tahoma" w:hAnsi="Tahoma" w:cs="Tahom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FFD4C" w14:textId="77777777" w:rsidR="00E039DF" w:rsidRDefault="00E039DF">
      <w:r>
        <w:separator/>
      </w:r>
    </w:p>
  </w:footnote>
  <w:footnote w:type="continuationSeparator" w:id="0">
    <w:p w14:paraId="747AA9BB" w14:textId="77777777" w:rsidR="00E039DF" w:rsidRDefault="00E03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60D61"/>
    <w:multiLevelType w:val="hybridMultilevel"/>
    <w:tmpl w:val="15F810A4"/>
    <w:lvl w:ilvl="0" w:tplc="AA5AC6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F2B79"/>
    <w:multiLevelType w:val="hybridMultilevel"/>
    <w:tmpl w:val="936AB2D4"/>
    <w:lvl w:ilvl="0" w:tplc="0D10738A">
      <w:start w:val="1"/>
      <w:numFmt w:val="decimal"/>
      <w:lvlText w:val="%1."/>
      <w:lvlJc w:val="left"/>
      <w:pPr>
        <w:ind w:left="720" w:hanging="360"/>
      </w:pPr>
      <w:rPr>
        <w:b w:val="0"/>
        <w:bCs/>
      </w:rPr>
    </w:lvl>
    <w:lvl w:ilvl="1" w:tplc="5FE2F0A2">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84089"/>
    <w:multiLevelType w:val="hybridMultilevel"/>
    <w:tmpl w:val="106EC06E"/>
    <w:lvl w:ilvl="0" w:tplc="5FE2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47"/>
    <w:rsid w:val="00001656"/>
    <w:rsid w:val="000100BA"/>
    <w:rsid w:val="00016E90"/>
    <w:rsid w:val="000208C0"/>
    <w:rsid w:val="0002492A"/>
    <w:rsid w:val="0003127B"/>
    <w:rsid w:val="00034C35"/>
    <w:rsid w:val="000366F8"/>
    <w:rsid w:val="00053AC9"/>
    <w:rsid w:val="000542FC"/>
    <w:rsid w:val="00054A59"/>
    <w:rsid w:val="00062890"/>
    <w:rsid w:val="00062CC6"/>
    <w:rsid w:val="00062F30"/>
    <w:rsid w:val="00065756"/>
    <w:rsid w:val="00067C0F"/>
    <w:rsid w:val="00071F5E"/>
    <w:rsid w:val="00073AE0"/>
    <w:rsid w:val="00075B13"/>
    <w:rsid w:val="00075C04"/>
    <w:rsid w:val="00076664"/>
    <w:rsid w:val="00077710"/>
    <w:rsid w:val="00080C76"/>
    <w:rsid w:val="00083534"/>
    <w:rsid w:val="00083D01"/>
    <w:rsid w:val="000864EF"/>
    <w:rsid w:val="0009225D"/>
    <w:rsid w:val="00093C9B"/>
    <w:rsid w:val="00096313"/>
    <w:rsid w:val="000A01EE"/>
    <w:rsid w:val="000A6966"/>
    <w:rsid w:val="000A71C2"/>
    <w:rsid w:val="000B0A90"/>
    <w:rsid w:val="000B1F02"/>
    <w:rsid w:val="000B2051"/>
    <w:rsid w:val="000B26CD"/>
    <w:rsid w:val="000B3787"/>
    <w:rsid w:val="000B53A4"/>
    <w:rsid w:val="000B5923"/>
    <w:rsid w:val="000B6444"/>
    <w:rsid w:val="000B6754"/>
    <w:rsid w:val="000C2F9C"/>
    <w:rsid w:val="000C5705"/>
    <w:rsid w:val="000C7A7C"/>
    <w:rsid w:val="000D1E9B"/>
    <w:rsid w:val="000D3BAF"/>
    <w:rsid w:val="000D5185"/>
    <w:rsid w:val="000D6335"/>
    <w:rsid w:val="000D6857"/>
    <w:rsid w:val="000E7331"/>
    <w:rsid w:val="000E74D9"/>
    <w:rsid w:val="000F227F"/>
    <w:rsid w:val="000F6FB6"/>
    <w:rsid w:val="000F719B"/>
    <w:rsid w:val="000F7E7E"/>
    <w:rsid w:val="001018F9"/>
    <w:rsid w:val="0010247C"/>
    <w:rsid w:val="00106804"/>
    <w:rsid w:val="00124180"/>
    <w:rsid w:val="0012426D"/>
    <w:rsid w:val="00130A11"/>
    <w:rsid w:val="00130B15"/>
    <w:rsid w:val="001316BC"/>
    <w:rsid w:val="00133ECB"/>
    <w:rsid w:val="00141C6A"/>
    <w:rsid w:val="00143075"/>
    <w:rsid w:val="0014396D"/>
    <w:rsid w:val="00145D84"/>
    <w:rsid w:val="00150188"/>
    <w:rsid w:val="00153FF4"/>
    <w:rsid w:val="0015439F"/>
    <w:rsid w:val="00163DF8"/>
    <w:rsid w:val="0016444A"/>
    <w:rsid w:val="001760E4"/>
    <w:rsid w:val="00183256"/>
    <w:rsid w:val="0018421D"/>
    <w:rsid w:val="001865CD"/>
    <w:rsid w:val="00186BB2"/>
    <w:rsid w:val="00192897"/>
    <w:rsid w:val="001934CD"/>
    <w:rsid w:val="001938C2"/>
    <w:rsid w:val="001A07A3"/>
    <w:rsid w:val="001A18DA"/>
    <w:rsid w:val="001A1E4C"/>
    <w:rsid w:val="001B0A61"/>
    <w:rsid w:val="001B0FC4"/>
    <w:rsid w:val="001B30EA"/>
    <w:rsid w:val="001B476F"/>
    <w:rsid w:val="001B74E9"/>
    <w:rsid w:val="001C4CA6"/>
    <w:rsid w:val="001C74DE"/>
    <w:rsid w:val="001C7634"/>
    <w:rsid w:val="001D0617"/>
    <w:rsid w:val="001D1F43"/>
    <w:rsid w:val="001E0CFC"/>
    <w:rsid w:val="001E34FD"/>
    <w:rsid w:val="001E75A7"/>
    <w:rsid w:val="001E77B2"/>
    <w:rsid w:val="001F34AF"/>
    <w:rsid w:val="001F59C4"/>
    <w:rsid w:val="001F59CF"/>
    <w:rsid w:val="00200D46"/>
    <w:rsid w:val="00202FAC"/>
    <w:rsid w:val="002045EC"/>
    <w:rsid w:val="00204D2B"/>
    <w:rsid w:val="0020539D"/>
    <w:rsid w:val="00212DF6"/>
    <w:rsid w:val="00214BB1"/>
    <w:rsid w:val="00216FB2"/>
    <w:rsid w:val="00217177"/>
    <w:rsid w:val="00221FA6"/>
    <w:rsid w:val="002220EA"/>
    <w:rsid w:val="00222D44"/>
    <w:rsid w:val="002328F1"/>
    <w:rsid w:val="00236738"/>
    <w:rsid w:val="00236A0F"/>
    <w:rsid w:val="00240738"/>
    <w:rsid w:val="00241487"/>
    <w:rsid w:val="00245E7B"/>
    <w:rsid w:val="00252540"/>
    <w:rsid w:val="00253179"/>
    <w:rsid w:val="00262BA5"/>
    <w:rsid w:val="00264306"/>
    <w:rsid w:val="0027358E"/>
    <w:rsid w:val="00280584"/>
    <w:rsid w:val="00285189"/>
    <w:rsid w:val="00292E5A"/>
    <w:rsid w:val="00293D11"/>
    <w:rsid w:val="00297E6C"/>
    <w:rsid w:val="002A05A5"/>
    <w:rsid w:val="002A74F4"/>
    <w:rsid w:val="002C3F15"/>
    <w:rsid w:val="002C6809"/>
    <w:rsid w:val="002D2D88"/>
    <w:rsid w:val="002D5D14"/>
    <w:rsid w:val="002D5EF8"/>
    <w:rsid w:val="002E1BB0"/>
    <w:rsid w:val="002E45E5"/>
    <w:rsid w:val="002E548F"/>
    <w:rsid w:val="002E6359"/>
    <w:rsid w:val="002F2D0E"/>
    <w:rsid w:val="002F3061"/>
    <w:rsid w:val="00306597"/>
    <w:rsid w:val="0032553B"/>
    <w:rsid w:val="00333D1C"/>
    <w:rsid w:val="003402C0"/>
    <w:rsid w:val="00341382"/>
    <w:rsid w:val="003420E0"/>
    <w:rsid w:val="00346811"/>
    <w:rsid w:val="00352557"/>
    <w:rsid w:val="00352D70"/>
    <w:rsid w:val="00361BEE"/>
    <w:rsid w:val="003628F0"/>
    <w:rsid w:val="0036392F"/>
    <w:rsid w:val="003644B2"/>
    <w:rsid w:val="00364AA3"/>
    <w:rsid w:val="0036692B"/>
    <w:rsid w:val="003671AD"/>
    <w:rsid w:val="0036726F"/>
    <w:rsid w:val="00367F9D"/>
    <w:rsid w:val="00376BB1"/>
    <w:rsid w:val="00382DE8"/>
    <w:rsid w:val="00385A08"/>
    <w:rsid w:val="00387444"/>
    <w:rsid w:val="003914A8"/>
    <w:rsid w:val="003935E7"/>
    <w:rsid w:val="00393AC4"/>
    <w:rsid w:val="00394601"/>
    <w:rsid w:val="0039575C"/>
    <w:rsid w:val="00395F1A"/>
    <w:rsid w:val="00397C57"/>
    <w:rsid w:val="003B09C5"/>
    <w:rsid w:val="003B12F4"/>
    <w:rsid w:val="003B471A"/>
    <w:rsid w:val="003B49AC"/>
    <w:rsid w:val="003C72C3"/>
    <w:rsid w:val="003C7D2D"/>
    <w:rsid w:val="003D156B"/>
    <w:rsid w:val="003D2744"/>
    <w:rsid w:val="003D7B21"/>
    <w:rsid w:val="003E4337"/>
    <w:rsid w:val="003E5957"/>
    <w:rsid w:val="003E59B9"/>
    <w:rsid w:val="0040072D"/>
    <w:rsid w:val="00412A92"/>
    <w:rsid w:val="00414067"/>
    <w:rsid w:val="00416CF6"/>
    <w:rsid w:val="004178BA"/>
    <w:rsid w:val="004210A3"/>
    <w:rsid w:val="004210D1"/>
    <w:rsid w:val="00421573"/>
    <w:rsid w:val="0042290D"/>
    <w:rsid w:val="00426BDB"/>
    <w:rsid w:val="00431ED8"/>
    <w:rsid w:val="00432DFF"/>
    <w:rsid w:val="00433CA1"/>
    <w:rsid w:val="004349A4"/>
    <w:rsid w:val="004356BF"/>
    <w:rsid w:val="00437D00"/>
    <w:rsid w:val="00440DB7"/>
    <w:rsid w:val="004432BD"/>
    <w:rsid w:val="004462B9"/>
    <w:rsid w:val="004479C8"/>
    <w:rsid w:val="004508D5"/>
    <w:rsid w:val="00453613"/>
    <w:rsid w:val="00455498"/>
    <w:rsid w:val="004568F9"/>
    <w:rsid w:val="00457134"/>
    <w:rsid w:val="004609AC"/>
    <w:rsid w:val="00465924"/>
    <w:rsid w:val="00465B5F"/>
    <w:rsid w:val="00467187"/>
    <w:rsid w:val="00472262"/>
    <w:rsid w:val="004776E1"/>
    <w:rsid w:val="004818BD"/>
    <w:rsid w:val="00482616"/>
    <w:rsid w:val="00484423"/>
    <w:rsid w:val="004849FB"/>
    <w:rsid w:val="0048508F"/>
    <w:rsid w:val="0049225A"/>
    <w:rsid w:val="004934CA"/>
    <w:rsid w:val="004A45FF"/>
    <w:rsid w:val="004B0B52"/>
    <w:rsid w:val="004B0D06"/>
    <w:rsid w:val="004B51E9"/>
    <w:rsid w:val="004B64F0"/>
    <w:rsid w:val="004B7D45"/>
    <w:rsid w:val="004C1F20"/>
    <w:rsid w:val="004C37ED"/>
    <w:rsid w:val="004C7BC2"/>
    <w:rsid w:val="004D00E8"/>
    <w:rsid w:val="004D0FFF"/>
    <w:rsid w:val="004D58DA"/>
    <w:rsid w:val="004D66E6"/>
    <w:rsid w:val="004D7E16"/>
    <w:rsid w:val="004E1EDF"/>
    <w:rsid w:val="004E2B63"/>
    <w:rsid w:val="004F0D65"/>
    <w:rsid w:val="004F18A2"/>
    <w:rsid w:val="004F1C81"/>
    <w:rsid w:val="004F28C3"/>
    <w:rsid w:val="004F50B1"/>
    <w:rsid w:val="00502583"/>
    <w:rsid w:val="00503335"/>
    <w:rsid w:val="005059AE"/>
    <w:rsid w:val="00510131"/>
    <w:rsid w:val="0051303D"/>
    <w:rsid w:val="00517343"/>
    <w:rsid w:val="00517AE5"/>
    <w:rsid w:val="00524660"/>
    <w:rsid w:val="00524713"/>
    <w:rsid w:val="00524860"/>
    <w:rsid w:val="00524BBC"/>
    <w:rsid w:val="005251BC"/>
    <w:rsid w:val="00525F75"/>
    <w:rsid w:val="00527747"/>
    <w:rsid w:val="00534981"/>
    <w:rsid w:val="00534B60"/>
    <w:rsid w:val="00536910"/>
    <w:rsid w:val="0055009B"/>
    <w:rsid w:val="0056106A"/>
    <w:rsid w:val="005623EF"/>
    <w:rsid w:val="00564C00"/>
    <w:rsid w:val="00567750"/>
    <w:rsid w:val="00567867"/>
    <w:rsid w:val="0057003E"/>
    <w:rsid w:val="0057482E"/>
    <w:rsid w:val="0058162A"/>
    <w:rsid w:val="00581B07"/>
    <w:rsid w:val="005825F3"/>
    <w:rsid w:val="0058539B"/>
    <w:rsid w:val="00587CD0"/>
    <w:rsid w:val="0059281C"/>
    <w:rsid w:val="00593B55"/>
    <w:rsid w:val="005A26DF"/>
    <w:rsid w:val="005A289F"/>
    <w:rsid w:val="005A5D69"/>
    <w:rsid w:val="005B3E73"/>
    <w:rsid w:val="005B431A"/>
    <w:rsid w:val="005B4681"/>
    <w:rsid w:val="005B66DB"/>
    <w:rsid w:val="005B68E0"/>
    <w:rsid w:val="005B7076"/>
    <w:rsid w:val="005B749F"/>
    <w:rsid w:val="005C0887"/>
    <w:rsid w:val="005C30AD"/>
    <w:rsid w:val="005C5728"/>
    <w:rsid w:val="005D1B05"/>
    <w:rsid w:val="005D1D82"/>
    <w:rsid w:val="005E0E38"/>
    <w:rsid w:val="005E1548"/>
    <w:rsid w:val="005E203C"/>
    <w:rsid w:val="005E4175"/>
    <w:rsid w:val="005F11AE"/>
    <w:rsid w:val="005F16AC"/>
    <w:rsid w:val="005F1D9C"/>
    <w:rsid w:val="005F2485"/>
    <w:rsid w:val="005F31E7"/>
    <w:rsid w:val="005F68F4"/>
    <w:rsid w:val="00601BB5"/>
    <w:rsid w:val="00610062"/>
    <w:rsid w:val="00610B79"/>
    <w:rsid w:val="0061192B"/>
    <w:rsid w:val="0062266D"/>
    <w:rsid w:val="0062447C"/>
    <w:rsid w:val="00626707"/>
    <w:rsid w:val="00627518"/>
    <w:rsid w:val="00633E1E"/>
    <w:rsid w:val="00635286"/>
    <w:rsid w:val="00637249"/>
    <w:rsid w:val="0063725B"/>
    <w:rsid w:val="006407DF"/>
    <w:rsid w:val="00641ACC"/>
    <w:rsid w:val="0064353A"/>
    <w:rsid w:val="006611CB"/>
    <w:rsid w:val="00663EC3"/>
    <w:rsid w:val="0066495B"/>
    <w:rsid w:val="00675656"/>
    <w:rsid w:val="00675735"/>
    <w:rsid w:val="00681655"/>
    <w:rsid w:val="00681DBB"/>
    <w:rsid w:val="0068267A"/>
    <w:rsid w:val="00683BE0"/>
    <w:rsid w:val="00687975"/>
    <w:rsid w:val="006A2680"/>
    <w:rsid w:val="006A2911"/>
    <w:rsid w:val="006B136C"/>
    <w:rsid w:val="006B6A16"/>
    <w:rsid w:val="006D0AD4"/>
    <w:rsid w:val="006D19AE"/>
    <w:rsid w:val="006E0230"/>
    <w:rsid w:val="006E1F67"/>
    <w:rsid w:val="006F117B"/>
    <w:rsid w:val="006F6A15"/>
    <w:rsid w:val="006F76C7"/>
    <w:rsid w:val="00700349"/>
    <w:rsid w:val="00706CF9"/>
    <w:rsid w:val="00710F77"/>
    <w:rsid w:val="007125FB"/>
    <w:rsid w:val="0071735B"/>
    <w:rsid w:val="007176BF"/>
    <w:rsid w:val="00717C26"/>
    <w:rsid w:val="007261D9"/>
    <w:rsid w:val="0072721C"/>
    <w:rsid w:val="007308EA"/>
    <w:rsid w:val="007342D5"/>
    <w:rsid w:val="0073775C"/>
    <w:rsid w:val="00741CFC"/>
    <w:rsid w:val="00744F7C"/>
    <w:rsid w:val="00745E4D"/>
    <w:rsid w:val="0075078B"/>
    <w:rsid w:val="00750F84"/>
    <w:rsid w:val="00750FE7"/>
    <w:rsid w:val="00752222"/>
    <w:rsid w:val="00755A78"/>
    <w:rsid w:val="0076041C"/>
    <w:rsid w:val="007612BF"/>
    <w:rsid w:val="007622C0"/>
    <w:rsid w:val="00763D75"/>
    <w:rsid w:val="00764D1C"/>
    <w:rsid w:val="007671CF"/>
    <w:rsid w:val="007746BF"/>
    <w:rsid w:val="00776A81"/>
    <w:rsid w:val="007811CF"/>
    <w:rsid w:val="00781B80"/>
    <w:rsid w:val="007877D9"/>
    <w:rsid w:val="007901C9"/>
    <w:rsid w:val="00795A35"/>
    <w:rsid w:val="00795D5D"/>
    <w:rsid w:val="00796751"/>
    <w:rsid w:val="007A07D8"/>
    <w:rsid w:val="007A22BF"/>
    <w:rsid w:val="007A4996"/>
    <w:rsid w:val="007A58C0"/>
    <w:rsid w:val="007A7ECC"/>
    <w:rsid w:val="007B14D7"/>
    <w:rsid w:val="007B254D"/>
    <w:rsid w:val="007B3DFB"/>
    <w:rsid w:val="007B4830"/>
    <w:rsid w:val="007B5BED"/>
    <w:rsid w:val="007C15C1"/>
    <w:rsid w:val="007C35F7"/>
    <w:rsid w:val="007C3FC9"/>
    <w:rsid w:val="007D299F"/>
    <w:rsid w:val="007D34E5"/>
    <w:rsid w:val="007D3B5F"/>
    <w:rsid w:val="007D4F2C"/>
    <w:rsid w:val="007D70BE"/>
    <w:rsid w:val="007E04FB"/>
    <w:rsid w:val="007E10C0"/>
    <w:rsid w:val="007E327A"/>
    <w:rsid w:val="007E6978"/>
    <w:rsid w:val="007E6FF2"/>
    <w:rsid w:val="007E76A7"/>
    <w:rsid w:val="0080304D"/>
    <w:rsid w:val="00803858"/>
    <w:rsid w:val="008048A4"/>
    <w:rsid w:val="00807F9B"/>
    <w:rsid w:val="0081160D"/>
    <w:rsid w:val="008143D2"/>
    <w:rsid w:val="008173E3"/>
    <w:rsid w:val="00821FE5"/>
    <w:rsid w:val="008279CE"/>
    <w:rsid w:val="0083037C"/>
    <w:rsid w:val="0083722C"/>
    <w:rsid w:val="00840BF7"/>
    <w:rsid w:val="008425A8"/>
    <w:rsid w:val="008450F5"/>
    <w:rsid w:val="00853624"/>
    <w:rsid w:val="00863881"/>
    <w:rsid w:val="008646D4"/>
    <w:rsid w:val="0086710F"/>
    <w:rsid w:val="00871A9E"/>
    <w:rsid w:val="00872D9D"/>
    <w:rsid w:val="00875EAB"/>
    <w:rsid w:val="00876327"/>
    <w:rsid w:val="00880DA6"/>
    <w:rsid w:val="0088706D"/>
    <w:rsid w:val="00887495"/>
    <w:rsid w:val="00892102"/>
    <w:rsid w:val="008927EB"/>
    <w:rsid w:val="00892B69"/>
    <w:rsid w:val="008A0411"/>
    <w:rsid w:val="008A274D"/>
    <w:rsid w:val="008A2C8A"/>
    <w:rsid w:val="008A40A5"/>
    <w:rsid w:val="008A521B"/>
    <w:rsid w:val="008A5401"/>
    <w:rsid w:val="008B52D3"/>
    <w:rsid w:val="008B52D8"/>
    <w:rsid w:val="008B6A7E"/>
    <w:rsid w:val="008C0238"/>
    <w:rsid w:val="008C04EB"/>
    <w:rsid w:val="008C1F58"/>
    <w:rsid w:val="008C46AF"/>
    <w:rsid w:val="008C4812"/>
    <w:rsid w:val="008C7805"/>
    <w:rsid w:val="008D2893"/>
    <w:rsid w:val="008D2AE6"/>
    <w:rsid w:val="008D512A"/>
    <w:rsid w:val="008D572A"/>
    <w:rsid w:val="008E23B1"/>
    <w:rsid w:val="008E359C"/>
    <w:rsid w:val="008E41A7"/>
    <w:rsid w:val="008E6358"/>
    <w:rsid w:val="008E646A"/>
    <w:rsid w:val="008F029C"/>
    <w:rsid w:val="008F0B1B"/>
    <w:rsid w:val="008F58B4"/>
    <w:rsid w:val="00901AB3"/>
    <w:rsid w:val="00906B1F"/>
    <w:rsid w:val="009070BF"/>
    <w:rsid w:val="009116F0"/>
    <w:rsid w:val="00922806"/>
    <w:rsid w:val="0092428D"/>
    <w:rsid w:val="00924BFA"/>
    <w:rsid w:val="009271F0"/>
    <w:rsid w:val="00930107"/>
    <w:rsid w:val="009325F8"/>
    <w:rsid w:val="00933459"/>
    <w:rsid w:val="009339E1"/>
    <w:rsid w:val="00935175"/>
    <w:rsid w:val="00940348"/>
    <w:rsid w:val="0094720B"/>
    <w:rsid w:val="0095197F"/>
    <w:rsid w:val="00956A3A"/>
    <w:rsid w:val="00956E8A"/>
    <w:rsid w:val="0095728E"/>
    <w:rsid w:val="009648A6"/>
    <w:rsid w:val="00966B5C"/>
    <w:rsid w:val="00971EBF"/>
    <w:rsid w:val="00974413"/>
    <w:rsid w:val="009745B3"/>
    <w:rsid w:val="009838A9"/>
    <w:rsid w:val="0098395F"/>
    <w:rsid w:val="009845D9"/>
    <w:rsid w:val="00985F1B"/>
    <w:rsid w:val="009861A6"/>
    <w:rsid w:val="00991C00"/>
    <w:rsid w:val="00996239"/>
    <w:rsid w:val="0099644E"/>
    <w:rsid w:val="00996633"/>
    <w:rsid w:val="009A0EE5"/>
    <w:rsid w:val="009A1795"/>
    <w:rsid w:val="009A2792"/>
    <w:rsid w:val="009A7F9C"/>
    <w:rsid w:val="009B4B7B"/>
    <w:rsid w:val="009B7497"/>
    <w:rsid w:val="009C08DF"/>
    <w:rsid w:val="009C2C14"/>
    <w:rsid w:val="009C7409"/>
    <w:rsid w:val="009D0579"/>
    <w:rsid w:val="009D06FA"/>
    <w:rsid w:val="009D1C3C"/>
    <w:rsid w:val="009D3360"/>
    <w:rsid w:val="009D3749"/>
    <w:rsid w:val="009D3DE3"/>
    <w:rsid w:val="009D58D8"/>
    <w:rsid w:val="009D5A1E"/>
    <w:rsid w:val="009D6049"/>
    <w:rsid w:val="009E1D47"/>
    <w:rsid w:val="009E3E15"/>
    <w:rsid w:val="009E56D1"/>
    <w:rsid w:val="009F52FD"/>
    <w:rsid w:val="009F6A82"/>
    <w:rsid w:val="00A02421"/>
    <w:rsid w:val="00A03AFE"/>
    <w:rsid w:val="00A079C7"/>
    <w:rsid w:val="00A16AAE"/>
    <w:rsid w:val="00A218B2"/>
    <w:rsid w:val="00A64E22"/>
    <w:rsid w:val="00A66234"/>
    <w:rsid w:val="00A76CA7"/>
    <w:rsid w:val="00A76F2F"/>
    <w:rsid w:val="00A80DFA"/>
    <w:rsid w:val="00A839FE"/>
    <w:rsid w:val="00A83AED"/>
    <w:rsid w:val="00A87710"/>
    <w:rsid w:val="00A91DE7"/>
    <w:rsid w:val="00A93302"/>
    <w:rsid w:val="00A938E1"/>
    <w:rsid w:val="00A97B2F"/>
    <w:rsid w:val="00AA118E"/>
    <w:rsid w:val="00AB5A69"/>
    <w:rsid w:val="00AB6E7F"/>
    <w:rsid w:val="00AB7161"/>
    <w:rsid w:val="00AC0FAB"/>
    <w:rsid w:val="00AC2371"/>
    <w:rsid w:val="00AC2B5B"/>
    <w:rsid w:val="00AD1168"/>
    <w:rsid w:val="00AD37FE"/>
    <w:rsid w:val="00AD6447"/>
    <w:rsid w:val="00AE3533"/>
    <w:rsid w:val="00AE779E"/>
    <w:rsid w:val="00AF5C8F"/>
    <w:rsid w:val="00AF5E43"/>
    <w:rsid w:val="00B003C0"/>
    <w:rsid w:val="00B00784"/>
    <w:rsid w:val="00B11704"/>
    <w:rsid w:val="00B11B59"/>
    <w:rsid w:val="00B11DE4"/>
    <w:rsid w:val="00B13562"/>
    <w:rsid w:val="00B13F8E"/>
    <w:rsid w:val="00B15FD2"/>
    <w:rsid w:val="00B1675C"/>
    <w:rsid w:val="00B20345"/>
    <w:rsid w:val="00B21B3C"/>
    <w:rsid w:val="00B22ABA"/>
    <w:rsid w:val="00B31F2F"/>
    <w:rsid w:val="00B32EA3"/>
    <w:rsid w:val="00B33602"/>
    <w:rsid w:val="00B34F31"/>
    <w:rsid w:val="00B4159E"/>
    <w:rsid w:val="00B43884"/>
    <w:rsid w:val="00B45230"/>
    <w:rsid w:val="00B45BB6"/>
    <w:rsid w:val="00B50A35"/>
    <w:rsid w:val="00B51F8B"/>
    <w:rsid w:val="00B5201E"/>
    <w:rsid w:val="00B61A56"/>
    <w:rsid w:val="00B61F6A"/>
    <w:rsid w:val="00B62500"/>
    <w:rsid w:val="00B63A7E"/>
    <w:rsid w:val="00B64DCA"/>
    <w:rsid w:val="00B72345"/>
    <w:rsid w:val="00B74CA3"/>
    <w:rsid w:val="00B76F02"/>
    <w:rsid w:val="00B81596"/>
    <w:rsid w:val="00B821D3"/>
    <w:rsid w:val="00B83A8A"/>
    <w:rsid w:val="00B901D3"/>
    <w:rsid w:val="00B93348"/>
    <w:rsid w:val="00BA6857"/>
    <w:rsid w:val="00BA7D69"/>
    <w:rsid w:val="00BB3C3A"/>
    <w:rsid w:val="00BB55DB"/>
    <w:rsid w:val="00BC2713"/>
    <w:rsid w:val="00BC4AD0"/>
    <w:rsid w:val="00BD0138"/>
    <w:rsid w:val="00BD02E6"/>
    <w:rsid w:val="00BD0D25"/>
    <w:rsid w:val="00BD1048"/>
    <w:rsid w:val="00BD5D17"/>
    <w:rsid w:val="00BD7A92"/>
    <w:rsid w:val="00BE1ACE"/>
    <w:rsid w:val="00BE6151"/>
    <w:rsid w:val="00BE6568"/>
    <w:rsid w:val="00BF0F61"/>
    <w:rsid w:val="00BF138C"/>
    <w:rsid w:val="00BF22A8"/>
    <w:rsid w:val="00BF3266"/>
    <w:rsid w:val="00BF5351"/>
    <w:rsid w:val="00C012B2"/>
    <w:rsid w:val="00C02176"/>
    <w:rsid w:val="00C04FA5"/>
    <w:rsid w:val="00C0546C"/>
    <w:rsid w:val="00C063DD"/>
    <w:rsid w:val="00C103FC"/>
    <w:rsid w:val="00C1086F"/>
    <w:rsid w:val="00C130DF"/>
    <w:rsid w:val="00C137FE"/>
    <w:rsid w:val="00C155AB"/>
    <w:rsid w:val="00C161A8"/>
    <w:rsid w:val="00C33314"/>
    <w:rsid w:val="00C40822"/>
    <w:rsid w:val="00C42B1B"/>
    <w:rsid w:val="00C42DC6"/>
    <w:rsid w:val="00C443C8"/>
    <w:rsid w:val="00C44B7B"/>
    <w:rsid w:val="00C51793"/>
    <w:rsid w:val="00C5401C"/>
    <w:rsid w:val="00C551B1"/>
    <w:rsid w:val="00C5666F"/>
    <w:rsid w:val="00C610D0"/>
    <w:rsid w:val="00C65623"/>
    <w:rsid w:val="00C74CF7"/>
    <w:rsid w:val="00C75E95"/>
    <w:rsid w:val="00C819AA"/>
    <w:rsid w:val="00C81F11"/>
    <w:rsid w:val="00C869E9"/>
    <w:rsid w:val="00C9015A"/>
    <w:rsid w:val="00C93C0F"/>
    <w:rsid w:val="00C95511"/>
    <w:rsid w:val="00CA21F2"/>
    <w:rsid w:val="00CA357A"/>
    <w:rsid w:val="00CA43DF"/>
    <w:rsid w:val="00CA6E42"/>
    <w:rsid w:val="00CC0640"/>
    <w:rsid w:val="00CC56F4"/>
    <w:rsid w:val="00CC5DDD"/>
    <w:rsid w:val="00CD59E3"/>
    <w:rsid w:val="00CD5DC8"/>
    <w:rsid w:val="00CD6749"/>
    <w:rsid w:val="00CE0DAE"/>
    <w:rsid w:val="00CE32D7"/>
    <w:rsid w:val="00CE3427"/>
    <w:rsid w:val="00CE58F7"/>
    <w:rsid w:val="00CF127F"/>
    <w:rsid w:val="00CF1E27"/>
    <w:rsid w:val="00D031FE"/>
    <w:rsid w:val="00D04194"/>
    <w:rsid w:val="00D04209"/>
    <w:rsid w:val="00D07303"/>
    <w:rsid w:val="00D07F94"/>
    <w:rsid w:val="00D125DF"/>
    <w:rsid w:val="00D14D95"/>
    <w:rsid w:val="00D25D49"/>
    <w:rsid w:val="00D30F7F"/>
    <w:rsid w:val="00D4445C"/>
    <w:rsid w:val="00D44E63"/>
    <w:rsid w:val="00D47D12"/>
    <w:rsid w:val="00D502DD"/>
    <w:rsid w:val="00D60029"/>
    <w:rsid w:val="00D62605"/>
    <w:rsid w:val="00D65186"/>
    <w:rsid w:val="00D65AF8"/>
    <w:rsid w:val="00D80160"/>
    <w:rsid w:val="00D828A6"/>
    <w:rsid w:val="00D828C1"/>
    <w:rsid w:val="00D84A5A"/>
    <w:rsid w:val="00D84CF0"/>
    <w:rsid w:val="00D913B8"/>
    <w:rsid w:val="00D93FF6"/>
    <w:rsid w:val="00D96B7D"/>
    <w:rsid w:val="00DA1C2C"/>
    <w:rsid w:val="00DA23F3"/>
    <w:rsid w:val="00DA3C31"/>
    <w:rsid w:val="00DA3CD1"/>
    <w:rsid w:val="00DA5064"/>
    <w:rsid w:val="00DB2700"/>
    <w:rsid w:val="00DB32C7"/>
    <w:rsid w:val="00DB5F6C"/>
    <w:rsid w:val="00DB6853"/>
    <w:rsid w:val="00DB6DCD"/>
    <w:rsid w:val="00DB761C"/>
    <w:rsid w:val="00DC1F14"/>
    <w:rsid w:val="00DC6120"/>
    <w:rsid w:val="00DD21FB"/>
    <w:rsid w:val="00DD6308"/>
    <w:rsid w:val="00DE729F"/>
    <w:rsid w:val="00DE7BAC"/>
    <w:rsid w:val="00DF1C07"/>
    <w:rsid w:val="00DF3602"/>
    <w:rsid w:val="00DF7098"/>
    <w:rsid w:val="00E000DA"/>
    <w:rsid w:val="00E01259"/>
    <w:rsid w:val="00E039DF"/>
    <w:rsid w:val="00E072FC"/>
    <w:rsid w:val="00E073C4"/>
    <w:rsid w:val="00E14882"/>
    <w:rsid w:val="00E158CF"/>
    <w:rsid w:val="00E23E02"/>
    <w:rsid w:val="00E2652B"/>
    <w:rsid w:val="00E26860"/>
    <w:rsid w:val="00E27203"/>
    <w:rsid w:val="00E30C6F"/>
    <w:rsid w:val="00E31895"/>
    <w:rsid w:val="00E31A78"/>
    <w:rsid w:val="00E335E7"/>
    <w:rsid w:val="00E34556"/>
    <w:rsid w:val="00E36465"/>
    <w:rsid w:val="00E3740A"/>
    <w:rsid w:val="00E37692"/>
    <w:rsid w:val="00E409DD"/>
    <w:rsid w:val="00E426AE"/>
    <w:rsid w:val="00E42928"/>
    <w:rsid w:val="00E451E4"/>
    <w:rsid w:val="00E4543E"/>
    <w:rsid w:val="00E45C71"/>
    <w:rsid w:val="00E534BE"/>
    <w:rsid w:val="00E574DF"/>
    <w:rsid w:val="00E62BA0"/>
    <w:rsid w:val="00E63DF4"/>
    <w:rsid w:val="00E6500F"/>
    <w:rsid w:val="00E66309"/>
    <w:rsid w:val="00E707C3"/>
    <w:rsid w:val="00E71A31"/>
    <w:rsid w:val="00E80837"/>
    <w:rsid w:val="00E8326F"/>
    <w:rsid w:val="00E83FDE"/>
    <w:rsid w:val="00E91AB8"/>
    <w:rsid w:val="00E930CD"/>
    <w:rsid w:val="00E93BA4"/>
    <w:rsid w:val="00EA11B5"/>
    <w:rsid w:val="00EA36FF"/>
    <w:rsid w:val="00EA48C7"/>
    <w:rsid w:val="00EA5217"/>
    <w:rsid w:val="00EB1050"/>
    <w:rsid w:val="00EB4B8B"/>
    <w:rsid w:val="00EB6C2B"/>
    <w:rsid w:val="00EC2306"/>
    <w:rsid w:val="00EC2473"/>
    <w:rsid w:val="00EC4355"/>
    <w:rsid w:val="00ED0792"/>
    <w:rsid w:val="00ED2460"/>
    <w:rsid w:val="00ED43CE"/>
    <w:rsid w:val="00EE0C1B"/>
    <w:rsid w:val="00EE61C0"/>
    <w:rsid w:val="00EE7381"/>
    <w:rsid w:val="00EF1A99"/>
    <w:rsid w:val="00EF1CC0"/>
    <w:rsid w:val="00EF3BE7"/>
    <w:rsid w:val="00EF3CD3"/>
    <w:rsid w:val="00EF437E"/>
    <w:rsid w:val="00F03B65"/>
    <w:rsid w:val="00F0506B"/>
    <w:rsid w:val="00F05B16"/>
    <w:rsid w:val="00F06A59"/>
    <w:rsid w:val="00F105F6"/>
    <w:rsid w:val="00F108C8"/>
    <w:rsid w:val="00F2690C"/>
    <w:rsid w:val="00F2702D"/>
    <w:rsid w:val="00F27BDF"/>
    <w:rsid w:val="00F326B5"/>
    <w:rsid w:val="00F33341"/>
    <w:rsid w:val="00F35257"/>
    <w:rsid w:val="00F41119"/>
    <w:rsid w:val="00F41880"/>
    <w:rsid w:val="00F41E39"/>
    <w:rsid w:val="00F43F9B"/>
    <w:rsid w:val="00F46C59"/>
    <w:rsid w:val="00F50307"/>
    <w:rsid w:val="00F510E2"/>
    <w:rsid w:val="00F601FD"/>
    <w:rsid w:val="00F60F75"/>
    <w:rsid w:val="00F62512"/>
    <w:rsid w:val="00F63DC7"/>
    <w:rsid w:val="00F6735B"/>
    <w:rsid w:val="00F71D27"/>
    <w:rsid w:val="00F757FA"/>
    <w:rsid w:val="00F8094A"/>
    <w:rsid w:val="00F81387"/>
    <w:rsid w:val="00F8290F"/>
    <w:rsid w:val="00F85106"/>
    <w:rsid w:val="00F903E7"/>
    <w:rsid w:val="00F911CB"/>
    <w:rsid w:val="00F91858"/>
    <w:rsid w:val="00F92E3F"/>
    <w:rsid w:val="00FA0BE3"/>
    <w:rsid w:val="00FA2A58"/>
    <w:rsid w:val="00FA4463"/>
    <w:rsid w:val="00FA470D"/>
    <w:rsid w:val="00FB02E2"/>
    <w:rsid w:val="00FB1BE7"/>
    <w:rsid w:val="00FB5405"/>
    <w:rsid w:val="00FB6AC5"/>
    <w:rsid w:val="00FB6D6D"/>
    <w:rsid w:val="00FC0B3B"/>
    <w:rsid w:val="00FC5695"/>
    <w:rsid w:val="00FC631F"/>
    <w:rsid w:val="00FD1698"/>
    <w:rsid w:val="00FD52EE"/>
    <w:rsid w:val="00FD6255"/>
    <w:rsid w:val="00FE027A"/>
    <w:rsid w:val="00FE0411"/>
    <w:rsid w:val="00FE110F"/>
    <w:rsid w:val="00FE2E6A"/>
    <w:rsid w:val="00FE3041"/>
    <w:rsid w:val="00FF3BE1"/>
    <w:rsid w:val="00FF4085"/>
    <w:rsid w:val="00FF77A2"/>
    <w:rsid w:val="00FF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1B184D9"/>
  <w15:chartTrackingRefBased/>
  <w15:docId w15:val="{5DA01173-B99B-4B08-8909-FCF88E29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08C0"/>
  </w:style>
  <w:style w:type="paragraph" w:styleId="Heading1">
    <w:name w:val="heading 1"/>
    <w:basedOn w:val="Normal"/>
    <w:next w:val="Normal"/>
    <w:qFormat/>
    <w:pPr>
      <w:keepNext/>
      <w:outlineLvl w:val="0"/>
    </w:pPr>
    <w:rPr>
      <w:rFonts w:ascii="Arial" w:hAnsi="Arial"/>
      <w:b/>
      <w:smallCaps/>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rsid w:val="008A0411"/>
    <w:pPr>
      <w:keepNext/>
      <w:spacing w:before="240" w:after="60"/>
      <w:outlineLvl w:val="2"/>
    </w:pPr>
    <w:rPr>
      <w:rFonts w:ascii="Arial" w:hAnsi="Arial" w:cs="Arial"/>
      <w:b/>
      <w:bCs/>
      <w:sz w:val="26"/>
      <w:szCs w:val="26"/>
    </w:rPr>
  </w:style>
  <w:style w:type="paragraph" w:styleId="Heading4">
    <w:name w:val="heading 4"/>
    <w:basedOn w:val="Normal"/>
    <w:next w:val="Normal"/>
    <w:qFormat/>
    <w:rsid w:val="008A0411"/>
    <w:pPr>
      <w:keepNext/>
      <w:spacing w:before="240" w:after="60"/>
      <w:outlineLvl w:val="3"/>
    </w:pPr>
    <w:rPr>
      <w:b/>
      <w:bCs/>
      <w:sz w:val="28"/>
      <w:szCs w:val="28"/>
    </w:rPr>
  </w:style>
  <w:style w:type="paragraph" w:styleId="Heading5">
    <w:name w:val="heading 5"/>
    <w:basedOn w:val="Normal"/>
    <w:next w:val="Normal"/>
    <w:qFormat/>
    <w:rsid w:val="008A041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Arial" w:hAnsi="Arial"/>
      <w:u w:val="single"/>
    </w:rPr>
  </w:style>
  <w:style w:type="paragraph" w:styleId="BodyTextIndent">
    <w:name w:val="Body Text Indent"/>
    <w:basedOn w:val="Normal"/>
    <w:pPr>
      <w:ind w:left="2160" w:hanging="720"/>
    </w:pPr>
    <w:rPr>
      <w:rFonts w:ascii="Arial" w:hAnsi="Arial"/>
      <w:sz w:val="24"/>
      <w:u w:val="single"/>
    </w:rPr>
  </w:style>
  <w:style w:type="paragraph" w:styleId="BodyText3">
    <w:name w:val="Body Text 3"/>
    <w:basedOn w:val="Normal"/>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NormalWeb">
    <w:name w:val="Normal (Web)"/>
    <w:basedOn w:val="Normal"/>
    <w:rsid w:val="006F6A15"/>
    <w:pPr>
      <w:spacing w:before="100" w:beforeAutospacing="1" w:after="100" w:afterAutospacing="1"/>
    </w:pPr>
    <w:rPr>
      <w:sz w:val="24"/>
      <w:szCs w:val="24"/>
    </w:rPr>
  </w:style>
  <w:style w:type="paragraph" w:styleId="PlainText">
    <w:name w:val="Plain Text"/>
    <w:basedOn w:val="Normal"/>
    <w:rsid w:val="00525F75"/>
    <w:rPr>
      <w:rFonts w:ascii="Courier New" w:hAnsi="Courier New" w:cs="Courier New"/>
    </w:rPr>
  </w:style>
  <w:style w:type="paragraph" w:styleId="FootnoteText">
    <w:name w:val="footnote text"/>
    <w:basedOn w:val="Normal"/>
    <w:semiHidden/>
    <w:rsid w:val="008A0411"/>
  </w:style>
  <w:style w:type="paragraph" w:customStyle="1" w:styleId="Default">
    <w:name w:val="Default"/>
    <w:rsid w:val="00C40822"/>
    <w:pPr>
      <w:autoSpaceDE w:val="0"/>
      <w:autoSpaceDN w:val="0"/>
      <w:adjustRightInd w:val="0"/>
    </w:pPr>
    <w:rPr>
      <w:color w:val="000000"/>
      <w:sz w:val="24"/>
      <w:szCs w:val="24"/>
    </w:rPr>
  </w:style>
  <w:style w:type="table" w:styleId="TableGrid">
    <w:name w:val="Table Grid"/>
    <w:basedOn w:val="TableNormal"/>
    <w:rsid w:val="00C4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236A0F"/>
    <w:pPr>
      <w:ind w:left="360" w:hanging="360"/>
    </w:pPr>
    <w:rPr>
      <w:sz w:val="24"/>
      <w:szCs w:val="24"/>
    </w:rPr>
  </w:style>
  <w:style w:type="paragraph" w:styleId="BalloonText">
    <w:name w:val="Balloon Text"/>
    <w:basedOn w:val="Normal"/>
    <w:semiHidden/>
    <w:rsid w:val="00352557"/>
    <w:rPr>
      <w:rFonts w:ascii="Tahoma" w:hAnsi="Tahoma" w:cs="Tahoma"/>
      <w:sz w:val="16"/>
      <w:szCs w:val="16"/>
    </w:rPr>
  </w:style>
  <w:style w:type="character" w:styleId="FootnoteReference">
    <w:name w:val="footnote reference"/>
    <w:basedOn w:val="DefaultParagraphFont"/>
    <w:semiHidden/>
    <w:rsid w:val="00FA2A58"/>
    <w:rPr>
      <w:vertAlign w:val="superscript"/>
    </w:rPr>
  </w:style>
  <w:style w:type="paragraph" w:styleId="TOC1">
    <w:name w:val="toc 1"/>
    <w:basedOn w:val="Normal"/>
    <w:next w:val="Normal"/>
    <w:autoRedefine/>
    <w:semiHidden/>
    <w:rsid w:val="00EC2473"/>
    <w:pPr>
      <w:tabs>
        <w:tab w:val="right" w:leader="dot" w:pos="9350"/>
      </w:tabs>
      <w:spacing w:line="360" w:lineRule="auto"/>
    </w:pPr>
  </w:style>
  <w:style w:type="paragraph" w:styleId="TOC3">
    <w:name w:val="toc 3"/>
    <w:basedOn w:val="Normal"/>
    <w:next w:val="Normal"/>
    <w:autoRedefine/>
    <w:semiHidden/>
    <w:rsid w:val="00B62500"/>
    <w:pPr>
      <w:ind w:left="400"/>
    </w:pPr>
  </w:style>
  <w:style w:type="paragraph" w:styleId="TOC2">
    <w:name w:val="toc 2"/>
    <w:basedOn w:val="Normal"/>
    <w:next w:val="Normal"/>
    <w:autoRedefine/>
    <w:semiHidden/>
    <w:rsid w:val="00204D2B"/>
    <w:pPr>
      <w:tabs>
        <w:tab w:val="right" w:leader="dot" w:pos="9350"/>
      </w:tabs>
      <w:spacing w:line="360" w:lineRule="auto"/>
      <w:ind w:left="200"/>
    </w:pPr>
    <w:rPr>
      <w:rFonts w:ascii="Arial" w:hAnsi="Arial" w:cs="Arial"/>
      <w:b/>
      <w:noProof/>
      <w:sz w:val="24"/>
      <w:szCs w:val="24"/>
    </w:rPr>
  </w:style>
  <w:style w:type="paragraph" w:styleId="BlockText">
    <w:name w:val="Block Text"/>
    <w:basedOn w:val="Normal"/>
    <w:rsid w:val="005623EF"/>
    <w:pPr>
      <w:framePr w:hSpace="180" w:wrap="around" w:vAnchor="page" w:hAnchor="page" w:x="985" w:y="865"/>
      <w:ind w:left="113" w:right="113"/>
      <w:jc w:val="center"/>
    </w:pPr>
    <w:rPr>
      <w:rFonts w:ascii="Arial" w:hAnsi="Arial"/>
      <w:b/>
      <w:smallCaps/>
      <w:sz w:val="36"/>
      <w:szCs w:val="24"/>
    </w:rPr>
  </w:style>
  <w:style w:type="character" w:customStyle="1" w:styleId="tabledata">
    <w:name w:val="tabledata"/>
    <w:basedOn w:val="DefaultParagraphFont"/>
    <w:rsid w:val="005F11AE"/>
    <w:rPr>
      <w:b w:val="0"/>
      <w:bCs w:val="0"/>
      <w:sz w:val="20"/>
      <w:szCs w:val="20"/>
    </w:rPr>
  </w:style>
  <w:style w:type="paragraph" w:styleId="ListParagraph">
    <w:name w:val="List Paragraph"/>
    <w:basedOn w:val="Normal"/>
    <w:uiPriority w:val="34"/>
    <w:qFormat/>
    <w:rsid w:val="00524660"/>
    <w:pPr>
      <w:ind w:left="720"/>
      <w:contextualSpacing/>
    </w:pPr>
  </w:style>
  <w:style w:type="character" w:styleId="UnresolvedMention">
    <w:name w:val="Unresolved Mention"/>
    <w:basedOn w:val="DefaultParagraphFont"/>
    <w:uiPriority w:val="99"/>
    <w:semiHidden/>
    <w:unhideWhenUsed/>
    <w:rsid w:val="00524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2244">
      <w:bodyDiv w:val="1"/>
      <w:marLeft w:val="0"/>
      <w:marRight w:val="0"/>
      <w:marTop w:val="0"/>
      <w:marBottom w:val="0"/>
      <w:divBdr>
        <w:top w:val="none" w:sz="0" w:space="0" w:color="auto"/>
        <w:left w:val="none" w:sz="0" w:space="0" w:color="auto"/>
        <w:bottom w:val="none" w:sz="0" w:space="0" w:color="auto"/>
        <w:right w:val="none" w:sz="0" w:space="0" w:color="auto"/>
      </w:divBdr>
    </w:div>
    <w:div w:id="68355526">
      <w:bodyDiv w:val="1"/>
      <w:marLeft w:val="0"/>
      <w:marRight w:val="0"/>
      <w:marTop w:val="0"/>
      <w:marBottom w:val="0"/>
      <w:divBdr>
        <w:top w:val="none" w:sz="0" w:space="0" w:color="auto"/>
        <w:left w:val="none" w:sz="0" w:space="0" w:color="auto"/>
        <w:bottom w:val="none" w:sz="0" w:space="0" w:color="auto"/>
        <w:right w:val="none" w:sz="0" w:space="0" w:color="auto"/>
      </w:divBdr>
    </w:div>
    <w:div w:id="107897376">
      <w:bodyDiv w:val="1"/>
      <w:marLeft w:val="0"/>
      <w:marRight w:val="0"/>
      <w:marTop w:val="0"/>
      <w:marBottom w:val="0"/>
      <w:divBdr>
        <w:top w:val="none" w:sz="0" w:space="0" w:color="auto"/>
        <w:left w:val="none" w:sz="0" w:space="0" w:color="auto"/>
        <w:bottom w:val="none" w:sz="0" w:space="0" w:color="auto"/>
        <w:right w:val="none" w:sz="0" w:space="0" w:color="auto"/>
      </w:divBdr>
    </w:div>
    <w:div w:id="156656875">
      <w:bodyDiv w:val="1"/>
      <w:marLeft w:val="0"/>
      <w:marRight w:val="0"/>
      <w:marTop w:val="0"/>
      <w:marBottom w:val="0"/>
      <w:divBdr>
        <w:top w:val="none" w:sz="0" w:space="0" w:color="auto"/>
        <w:left w:val="none" w:sz="0" w:space="0" w:color="auto"/>
        <w:bottom w:val="none" w:sz="0" w:space="0" w:color="auto"/>
        <w:right w:val="none" w:sz="0" w:space="0" w:color="auto"/>
      </w:divBdr>
    </w:div>
    <w:div w:id="275870931">
      <w:bodyDiv w:val="1"/>
      <w:marLeft w:val="0"/>
      <w:marRight w:val="0"/>
      <w:marTop w:val="0"/>
      <w:marBottom w:val="0"/>
      <w:divBdr>
        <w:top w:val="none" w:sz="0" w:space="0" w:color="auto"/>
        <w:left w:val="none" w:sz="0" w:space="0" w:color="auto"/>
        <w:bottom w:val="none" w:sz="0" w:space="0" w:color="auto"/>
        <w:right w:val="none" w:sz="0" w:space="0" w:color="auto"/>
      </w:divBdr>
    </w:div>
    <w:div w:id="429669153">
      <w:bodyDiv w:val="1"/>
      <w:marLeft w:val="0"/>
      <w:marRight w:val="0"/>
      <w:marTop w:val="0"/>
      <w:marBottom w:val="0"/>
      <w:divBdr>
        <w:top w:val="none" w:sz="0" w:space="0" w:color="auto"/>
        <w:left w:val="none" w:sz="0" w:space="0" w:color="auto"/>
        <w:bottom w:val="none" w:sz="0" w:space="0" w:color="auto"/>
        <w:right w:val="none" w:sz="0" w:space="0" w:color="auto"/>
      </w:divBdr>
      <w:divsChild>
        <w:div w:id="1632250987">
          <w:marLeft w:val="0"/>
          <w:marRight w:val="0"/>
          <w:marTop w:val="0"/>
          <w:marBottom w:val="0"/>
          <w:divBdr>
            <w:top w:val="none" w:sz="0" w:space="0" w:color="auto"/>
            <w:left w:val="none" w:sz="0" w:space="0" w:color="auto"/>
            <w:bottom w:val="none" w:sz="0" w:space="0" w:color="auto"/>
            <w:right w:val="none" w:sz="0" w:space="0" w:color="auto"/>
          </w:divBdr>
        </w:div>
      </w:divsChild>
    </w:div>
    <w:div w:id="459302975">
      <w:bodyDiv w:val="1"/>
      <w:marLeft w:val="0"/>
      <w:marRight w:val="0"/>
      <w:marTop w:val="0"/>
      <w:marBottom w:val="0"/>
      <w:divBdr>
        <w:top w:val="none" w:sz="0" w:space="0" w:color="auto"/>
        <w:left w:val="none" w:sz="0" w:space="0" w:color="auto"/>
        <w:bottom w:val="none" w:sz="0" w:space="0" w:color="auto"/>
        <w:right w:val="none" w:sz="0" w:space="0" w:color="auto"/>
      </w:divBdr>
    </w:div>
    <w:div w:id="695497442">
      <w:bodyDiv w:val="1"/>
      <w:marLeft w:val="0"/>
      <w:marRight w:val="0"/>
      <w:marTop w:val="0"/>
      <w:marBottom w:val="0"/>
      <w:divBdr>
        <w:top w:val="none" w:sz="0" w:space="0" w:color="auto"/>
        <w:left w:val="none" w:sz="0" w:space="0" w:color="auto"/>
        <w:bottom w:val="none" w:sz="0" w:space="0" w:color="auto"/>
        <w:right w:val="none" w:sz="0" w:space="0" w:color="auto"/>
      </w:divBdr>
    </w:div>
    <w:div w:id="698313178">
      <w:bodyDiv w:val="1"/>
      <w:marLeft w:val="0"/>
      <w:marRight w:val="0"/>
      <w:marTop w:val="0"/>
      <w:marBottom w:val="0"/>
      <w:divBdr>
        <w:top w:val="none" w:sz="0" w:space="0" w:color="auto"/>
        <w:left w:val="none" w:sz="0" w:space="0" w:color="auto"/>
        <w:bottom w:val="none" w:sz="0" w:space="0" w:color="auto"/>
        <w:right w:val="none" w:sz="0" w:space="0" w:color="auto"/>
      </w:divBdr>
    </w:div>
    <w:div w:id="749084824">
      <w:bodyDiv w:val="1"/>
      <w:marLeft w:val="0"/>
      <w:marRight w:val="0"/>
      <w:marTop w:val="0"/>
      <w:marBottom w:val="0"/>
      <w:divBdr>
        <w:top w:val="none" w:sz="0" w:space="0" w:color="auto"/>
        <w:left w:val="none" w:sz="0" w:space="0" w:color="auto"/>
        <w:bottom w:val="none" w:sz="0" w:space="0" w:color="auto"/>
        <w:right w:val="none" w:sz="0" w:space="0" w:color="auto"/>
      </w:divBdr>
    </w:div>
    <w:div w:id="903759753">
      <w:bodyDiv w:val="1"/>
      <w:marLeft w:val="0"/>
      <w:marRight w:val="0"/>
      <w:marTop w:val="0"/>
      <w:marBottom w:val="0"/>
      <w:divBdr>
        <w:top w:val="none" w:sz="0" w:space="0" w:color="auto"/>
        <w:left w:val="none" w:sz="0" w:space="0" w:color="auto"/>
        <w:bottom w:val="none" w:sz="0" w:space="0" w:color="auto"/>
        <w:right w:val="none" w:sz="0" w:space="0" w:color="auto"/>
      </w:divBdr>
    </w:div>
    <w:div w:id="906573014">
      <w:bodyDiv w:val="1"/>
      <w:marLeft w:val="0"/>
      <w:marRight w:val="0"/>
      <w:marTop w:val="0"/>
      <w:marBottom w:val="0"/>
      <w:divBdr>
        <w:top w:val="none" w:sz="0" w:space="0" w:color="auto"/>
        <w:left w:val="none" w:sz="0" w:space="0" w:color="auto"/>
        <w:bottom w:val="none" w:sz="0" w:space="0" w:color="auto"/>
        <w:right w:val="none" w:sz="0" w:space="0" w:color="auto"/>
      </w:divBdr>
    </w:div>
    <w:div w:id="907376013">
      <w:bodyDiv w:val="1"/>
      <w:marLeft w:val="0"/>
      <w:marRight w:val="0"/>
      <w:marTop w:val="0"/>
      <w:marBottom w:val="0"/>
      <w:divBdr>
        <w:top w:val="none" w:sz="0" w:space="0" w:color="auto"/>
        <w:left w:val="none" w:sz="0" w:space="0" w:color="auto"/>
        <w:bottom w:val="none" w:sz="0" w:space="0" w:color="auto"/>
        <w:right w:val="none" w:sz="0" w:space="0" w:color="auto"/>
      </w:divBdr>
    </w:div>
    <w:div w:id="979573107">
      <w:bodyDiv w:val="1"/>
      <w:marLeft w:val="0"/>
      <w:marRight w:val="0"/>
      <w:marTop w:val="0"/>
      <w:marBottom w:val="0"/>
      <w:divBdr>
        <w:top w:val="none" w:sz="0" w:space="0" w:color="auto"/>
        <w:left w:val="none" w:sz="0" w:space="0" w:color="auto"/>
        <w:bottom w:val="none" w:sz="0" w:space="0" w:color="auto"/>
        <w:right w:val="none" w:sz="0" w:space="0" w:color="auto"/>
      </w:divBdr>
    </w:div>
    <w:div w:id="1008092540">
      <w:bodyDiv w:val="1"/>
      <w:marLeft w:val="0"/>
      <w:marRight w:val="0"/>
      <w:marTop w:val="0"/>
      <w:marBottom w:val="0"/>
      <w:divBdr>
        <w:top w:val="none" w:sz="0" w:space="0" w:color="auto"/>
        <w:left w:val="none" w:sz="0" w:space="0" w:color="auto"/>
        <w:bottom w:val="none" w:sz="0" w:space="0" w:color="auto"/>
        <w:right w:val="none" w:sz="0" w:space="0" w:color="auto"/>
      </w:divBdr>
    </w:div>
    <w:div w:id="1204054541">
      <w:bodyDiv w:val="1"/>
      <w:marLeft w:val="0"/>
      <w:marRight w:val="0"/>
      <w:marTop w:val="0"/>
      <w:marBottom w:val="0"/>
      <w:divBdr>
        <w:top w:val="none" w:sz="0" w:space="0" w:color="auto"/>
        <w:left w:val="none" w:sz="0" w:space="0" w:color="auto"/>
        <w:bottom w:val="none" w:sz="0" w:space="0" w:color="auto"/>
        <w:right w:val="none" w:sz="0" w:space="0" w:color="auto"/>
      </w:divBdr>
    </w:div>
    <w:div w:id="1215656123">
      <w:bodyDiv w:val="1"/>
      <w:marLeft w:val="0"/>
      <w:marRight w:val="0"/>
      <w:marTop w:val="0"/>
      <w:marBottom w:val="0"/>
      <w:divBdr>
        <w:top w:val="none" w:sz="0" w:space="0" w:color="auto"/>
        <w:left w:val="none" w:sz="0" w:space="0" w:color="auto"/>
        <w:bottom w:val="none" w:sz="0" w:space="0" w:color="auto"/>
        <w:right w:val="none" w:sz="0" w:space="0" w:color="auto"/>
      </w:divBdr>
    </w:div>
    <w:div w:id="1353188470">
      <w:bodyDiv w:val="1"/>
      <w:marLeft w:val="0"/>
      <w:marRight w:val="0"/>
      <w:marTop w:val="0"/>
      <w:marBottom w:val="0"/>
      <w:divBdr>
        <w:top w:val="none" w:sz="0" w:space="0" w:color="auto"/>
        <w:left w:val="none" w:sz="0" w:space="0" w:color="auto"/>
        <w:bottom w:val="none" w:sz="0" w:space="0" w:color="auto"/>
        <w:right w:val="none" w:sz="0" w:space="0" w:color="auto"/>
      </w:divBdr>
    </w:div>
    <w:div w:id="1367288649">
      <w:bodyDiv w:val="1"/>
      <w:marLeft w:val="0"/>
      <w:marRight w:val="0"/>
      <w:marTop w:val="0"/>
      <w:marBottom w:val="0"/>
      <w:divBdr>
        <w:top w:val="none" w:sz="0" w:space="0" w:color="auto"/>
        <w:left w:val="none" w:sz="0" w:space="0" w:color="auto"/>
        <w:bottom w:val="none" w:sz="0" w:space="0" w:color="auto"/>
        <w:right w:val="none" w:sz="0" w:space="0" w:color="auto"/>
      </w:divBdr>
    </w:div>
    <w:div w:id="1381662201">
      <w:bodyDiv w:val="1"/>
      <w:marLeft w:val="0"/>
      <w:marRight w:val="0"/>
      <w:marTop w:val="0"/>
      <w:marBottom w:val="0"/>
      <w:divBdr>
        <w:top w:val="none" w:sz="0" w:space="0" w:color="auto"/>
        <w:left w:val="none" w:sz="0" w:space="0" w:color="auto"/>
        <w:bottom w:val="none" w:sz="0" w:space="0" w:color="auto"/>
        <w:right w:val="none" w:sz="0" w:space="0" w:color="auto"/>
      </w:divBdr>
    </w:div>
    <w:div w:id="1632436905">
      <w:bodyDiv w:val="1"/>
      <w:marLeft w:val="0"/>
      <w:marRight w:val="0"/>
      <w:marTop w:val="0"/>
      <w:marBottom w:val="0"/>
      <w:divBdr>
        <w:top w:val="none" w:sz="0" w:space="0" w:color="auto"/>
        <w:left w:val="none" w:sz="0" w:space="0" w:color="auto"/>
        <w:bottom w:val="none" w:sz="0" w:space="0" w:color="auto"/>
        <w:right w:val="none" w:sz="0" w:space="0" w:color="auto"/>
      </w:divBdr>
    </w:div>
    <w:div w:id="1714381175">
      <w:bodyDiv w:val="1"/>
      <w:marLeft w:val="0"/>
      <w:marRight w:val="0"/>
      <w:marTop w:val="0"/>
      <w:marBottom w:val="0"/>
      <w:divBdr>
        <w:top w:val="none" w:sz="0" w:space="0" w:color="auto"/>
        <w:left w:val="none" w:sz="0" w:space="0" w:color="auto"/>
        <w:bottom w:val="none" w:sz="0" w:space="0" w:color="auto"/>
        <w:right w:val="none" w:sz="0" w:space="0" w:color="auto"/>
      </w:divBdr>
    </w:div>
    <w:div w:id="1727994790">
      <w:bodyDiv w:val="1"/>
      <w:marLeft w:val="0"/>
      <w:marRight w:val="0"/>
      <w:marTop w:val="0"/>
      <w:marBottom w:val="0"/>
      <w:divBdr>
        <w:top w:val="none" w:sz="0" w:space="0" w:color="auto"/>
        <w:left w:val="none" w:sz="0" w:space="0" w:color="auto"/>
        <w:bottom w:val="none" w:sz="0" w:space="0" w:color="auto"/>
        <w:right w:val="none" w:sz="0" w:space="0" w:color="auto"/>
      </w:divBdr>
    </w:div>
    <w:div w:id="1777094849">
      <w:bodyDiv w:val="1"/>
      <w:marLeft w:val="0"/>
      <w:marRight w:val="0"/>
      <w:marTop w:val="0"/>
      <w:marBottom w:val="0"/>
      <w:divBdr>
        <w:top w:val="none" w:sz="0" w:space="0" w:color="auto"/>
        <w:left w:val="none" w:sz="0" w:space="0" w:color="auto"/>
        <w:bottom w:val="none" w:sz="0" w:space="0" w:color="auto"/>
        <w:right w:val="none" w:sz="0" w:space="0" w:color="auto"/>
      </w:divBdr>
    </w:div>
    <w:div w:id="1887986932">
      <w:bodyDiv w:val="1"/>
      <w:marLeft w:val="0"/>
      <w:marRight w:val="0"/>
      <w:marTop w:val="0"/>
      <w:marBottom w:val="0"/>
      <w:divBdr>
        <w:top w:val="none" w:sz="0" w:space="0" w:color="auto"/>
        <w:left w:val="none" w:sz="0" w:space="0" w:color="auto"/>
        <w:bottom w:val="none" w:sz="0" w:space="0" w:color="auto"/>
        <w:right w:val="none" w:sz="0" w:space="0" w:color="auto"/>
      </w:divBdr>
    </w:div>
    <w:div w:id="1996030953">
      <w:bodyDiv w:val="1"/>
      <w:marLeft w:val="0"/>
      <w:marRight w:val="0"/>
      <w:marTop w:val="0"/>
      <w:marBottom w:val="0"/>
      <w:divBdr>
        <w:top w:val="none" w:sz="0" w:space="0" w:color="auto"/>
        <w:left w:val="none" w:sz="0" w:space="0" w:color="auto"/>
        <w:bottom w:val="none" w:sz="0" w:space="0" w:color="auto"/>
        <w:right w:val="none" w:sz="0" w:space="0" w:color="auto"/>
      </w:divBdr>
    </w:div>
    <w:div w:id="2046102828">
      <w:bodyDiv w:val="1"/>
      <w:marLeft w:val="0"/>
      <w:marRight w:val="0"/>
      <w:marTop w:val="0"/>
      <w:marBottom w:val="0"/>
      <w:divBdr>
        <w:top w:val="none" w:sz="0" w:space="0" w:color="auto"/>
        <w:left w:val="none" w:sz="0" w:space="0" w:color="auto"/>
        <w:bottom w:val="none" w:sz="0" w:space="0" w:color="auto"/>
        <w:right w:val="none" w:sz="0" w:space="0" w:color="auto"/>
      </w:divBdr>
    </w:div>
    <w:div w:id="21317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FERCOM@energy.c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QFERCOM@energy.c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5" ma:contentTypeDescription="Create a new document." ma:contentTypeScope="" ma:versionID="c08c1c6942360c150212877ffb47226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c04a8012dd7e28fff094a8afc5e920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7_sp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7_sp8" ma:index="12" nillable="true" ma:displayName="Person or Group" ma:list="UserInfo" ma:internalName="_x0067_sp8">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7_sp8 xmlns="785685f2-c2e1-4352-89aa-3faca8eaba52">
      <UserInfo>
        <DisplayName/>
        <AccountId xsi:nil="true"/>
        <AccountType/>
      </UserInfo>
    </_x0067_sp8>
  </documentManagement>
</p:properties>
</file>

<file path=customXml/itemProps1.xml><?xml version="1.0" encoding="utf-8"?>
<ds:datastoreItem xmlns:ds="http://schemas.openxmlformats.org/officeDocument/2006/customXml" ds:itemID="{1CA84886-F753-4289-80BD-AD9CAAB228E3}"/>
</file>

<file path=customXml/itemProps2.xml><?xml version="1.0" encoding="utf-8"?>
<ds:datastoreItem xmlns:ds="http://schemas.openxmlformats.org/officeDocument/2006/customXml" ds:itemID="{9E6C0A44-DA3E-4646-9AD1-BF441FD4F2E4}"/>
</file>

<file path=customXml/itemProps3.xml><?xml version="1.0" encoding="utf-8"?>
<ds:datastoreItem xmlns:ds="http://schemas.openxmlformats.org/officeDocument/2006/customXml" ds:itemID="{AE94FD07-7CE9-48AB-98F3-054E14C4E4AF}"/>
</file>

<file path=docProps/app.xml><?xml version="1.0" encoding="utf-8"?>
<Properties xmlns="http://schemas.openxmlformats.org/officeDocument/2006/extended-properties" xmlns:vt="http://schemas.openxmlformats.org/officeDocument/2006/docPropsVTypes">
  <Template>Normal</Template>
  <TotalTime>76</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1305C Instructions</vt:lpstr>
    </vt:vector>
  </TitlesOfParts>
  <Company>CA Energy Commission</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1305C Instructions</dc:title>
  <dc:subject/>
  <dc:creator>CEC</dc:creator>
  <cp:keywords/>
  <dc:description/>
  <cp:lastModifiedBy>Jann Mitchell</cp:lastModifiedBy>
  <cp:revision>8</cp:revision>
  <cp:lastPrinted>2008-01-05T00:48:00Z</cp:lastPrinted>
  <dcterms:created xsi:type="dcterms:W3CDTF">2020-03-19T00:15:00Z</dcterms:created>
  <dcterms:modified xsi:type="dcterms:W3CDTF">2020-03-30T20:03:00Z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160700</vt:r8>
  </property>
  <property fmtid="{D5CDD505-2E9C-101B-9397-08002B2CF9AE}" pid="3" name="ContentTypeId">
    <vt:lpwstr>0x01010061DC9A153AAEEE45BACE06E01F8272AC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