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C54C" w14:textId="77777777" w:rsidR="00DC7FE5" w:rsidRPr="00DC7FE5" w:rsidRDefault="00DC7FE5" w:rsidP="00DC7FE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C7FE5">
        <w:rPr>
          <w:rFonts w:ascii="Tahoma" w:hAnsi="Tahoma" w:cs="Tahoma"/>
          <w:b/>
          <w:bCs/>
          <w:sz w:val="28"/>
          <w:szCs w:val="28"/>
        </w:rPr>
        <w:t>NOTICE OF PROPOSED AWARD (NOPA)</w:t>
      </w:r>
    </w:p>
    <w:p w14:paraId="2CD0D6D8" w14:textId="77777777" w:rsidR="00DC7FE5" w:rsidRPr="00DC7FE5" w:rsidRDefault="00DC7FE5" w:rsidP="00DC7FE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62CED4F6" w14:textId="3872BCB5" w:rsidR="00DC7FE5" w:rsidRPr="00DC7FE5" w:rsidRDefault="001907EB" w:rsidP="00DC7FE5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Climate Scenarios and Analytics to Support Electricity Sector Vulnerability Assessment and Resilient Planning</w:t>
      </w:r>
      <w:r w:rsidR="00DC7FE5" w:rsidRPr="00DC7FE5">
        <w:rPr>
          <w:rFonts w:ascii="Tahoma" w:eastAsia="Tahoma" w:hAnsi="Tahoma" w:cs="Tahoma"/>
          <w:b/>
          <w:bCs/>
        </w:rPr>
        <w:t xml:space="preserve"> </w:t>
      </w:r>
    </w:p>
    <w:p w14:paraId="55B7328E" w14:textId="0C6F1E01" w:rsidR="00DC7FE5" w:rsidRPr="00DC7FE5" w:rsidRDefault="00DC7FE5" w:rsidP="00DC7FE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C7FE5">
        <w:rPr>
          <w:rFonts w:ascii="Tahoma" w:hAnsi="Tahoma" w:cs="Tahoma"/>
          <w:b/>
          <w:bCs/>
        </w:rPr>
        <w:t>GFO-19-3</w:t>
      </w:r>
      <w:r w:rsidR="001907EB">
        <w:rPr>
          <w:rFonts w:ascii="Tahoma" w:hAnsi="Tahoma" w:cs="Tahoma"/>
          <w:b/>
          <w:bCs/>
        </w:rPr>
        <w:t>11</w:t>
      </w:r>
    </w:p>
    <w:p w14:paraId="701B58E9" w14:textId="75871E04" w:rsidR="00DC7FE5" w:rsidRPr="00DC7FE5" w:rsidRDefault="00C31D25" w:rsidP="00DC7FE5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November</w:t>
      </w:r>
      <w:r w:rsidR="00DC7FE5">
        <w:rPr>
          <w:rFonts w:ascii="Tahoma" w:eastAsia="Times New Roman" w:hAnsi="Tahoma" w:cs="Tahoma"/>
          <w:b/>
          <w:bCs/>
        </w:rPr>
        <w:t xml:space="preserve"> </w:t>
      </w:r>
      <w:r w:rsidR="004903DE">
        <w:rPr>
          <w:rFonts w:ascii="Tahoma" w:eastAsia="Times New Roman" w:hAnsi="Tahoma" w:cs="Tahoma"/>
          <w:b/>
          <w:bCs/>
        </w:rPr>
        <w:t>3</w:t>
      </w:r>
      <w:r w:rsidR="00DC7FE5" w:rsidRPr="00DC7FE5">
        <w:rPr>
          <w:rFonts w:ascii="Tahoma" w:eastAsia="Times New Roman" w:hAnsi="Tahoma" w:cs="Tahoma"/>
          <w:b/>
          <w:bCs/>
        </w:rPr>
        <w:t>, 2020</w:t>
      </w:r>
    </w:p>
    <w:p w14:paraId="642ECEFD" w14:textId="77777777" w:rsidR="00DC7FE5" w:rsidRPr="001907EB" w:rsidRDefault="00DC7FE5" w:rsidP="00DC7FE5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</w:rPr>
      </w:pPr>
    </w:p>
    <w:p w14:paraId="72C7B2EC" w14:textId="6709A66E" w:rsidR="00DC7FE5" w:rsidRDefault="00DC7FE5" w:rsidP="00DC7FE5">
      <w:pPr>
        <w:rPr>
          <w:rFonts w:ascii="Tahoma" w:hAnsi="Tahoma" w:cs="Tahoma"/>
        </w:rPr>
      </w:pPr>
      <w:r w:rsidRPr="001907EB">
        <w:rPr>
          <w:rFonts w:ascii="Tahoma" w:hAnsi="Tahoma" w:cs="Tahoma"/>
        </w:rPr>
        <w:t>On J</w:t>
      </w:r>
      <w:r w:rsidR="001907EB" w:rsidRPr="001907EB">
        <w:rPr>
          <w:rFonts w:ascii="Tahoma" w:hAnsi="Tahoma" w:cs="Tahoma"/>
        </w:rPr>
        <w:t>une</w:t>
      </w:r>
      <w:r w:rsidRPr="001907EB">
        <w:rPr>
          <w:rFonts w:ascii="Tahoma" w:hAnsi="Tahoma" w:cs="Tahoma"/>
        </w:rPr>
        <w:t xml:space="preserve"> 1, 2020, the California Energy Commission (CEC) released a competitive solicitation to fund </w:t>
      </w:r>
      <w:r w:rsidR="001907EB">
        <w:rPr>
          <w:rFonts w:ascii="Tahoma" w:hAnsi="Tahoma" w:cs="Tahoma"/>
        </w:rPr>
        <w:t>applied research and development</w:t>
      </w:r>
      <w:r w:rsidRPr="001907EB">
        <w:rPr>
          <w:rFonts w:ascii="Tahoma" w:hAnsi="Tahoma" w:cs="Tahoma"/>
        </w:rPr>
        <w:t xml:space="preserve"> projects that wil</w:t>
      </w:r>
      <w:r w:rsidR="001907EB" w:rsidRPr="001907EB">
        <w:rPr>
          <w:rFonts w:ascii="Tahoma" w:hAnsi="Tahoma" w:cs="Tahoma"/>
        </w:rPr>
        <w:t xml:space="preserve">l </w:t>
      </w:r>
      <w:r w:rsidR="001907EB" w:rsidRPr="001907EB">
        <w:rPr>
          <w:rFonts w:ascii="Tahoma" w:eastAsia="Times New Roman" w:hAnsi="Tahoma" w:cs="Times New Roman"/>
        </w:rPr>
        <w:t>support the development of next-generation climate projections to support electricity sector resilience and delivery of data in a manner that informs energy sector planning and research through stakeholder engagement, development of rigorous analytics, and development of a data platform.</w:t>
      </w:r>
      <w:r w:rsidR="001907EB">
        <w:rPr>
          <w:rFonts w:ascii="Tahoma" w:eastAsia="Times New Roman" w:hAnsi="Tahoma" w:cs="Times New Roman"/>
        </w:rPr>
        <w:t xml:space="preserve"> </w:t>
      </w:r>
      <w:r w:rsidRPr="001907EB">
        <w:rPr>
          <w:rFonts w:ascii="Tahoma" w:hAnsi="Tahoma" w:cs="Tahoma"/>
        </w:rPr>
        <w:t>Up to $</w:t>
      </w:r>
      <w:r w:rsidR="001907EB">
        <w:rPr>
          <w:rFonts w:ascii="Tahoma" w:hAnsi="Tahoma" w:cs="Tahoma"/>
        </w:rPr>
        <w:t>5</w:t>
      </w:r>
      <w:r w:rsidRPr="001907EB">
        <w:rPr>
          <w:rFonts w:ascii="Tahoma" w:hAnsi="Tahoma" w:cs="Tahoma"/>
        </w:rPr>
        <w:t xml:space="preserve">,000,000 in Electric Program Investment Charge funding is available to fund </w:t>
      </w:r>
      <w:r w:rsidR="001907EB">
        <w:rPr>
          <w:rFonts w:ascii="Tahoma" w:hAnsi="Tahoma" w:cs="Tahoma"/>
        </w:rPr>
        <w:t>applications in two Groups</w:t>
      </w:r>
      <w:r w:rsidRPr="001907EB">
        <w:rPr>
          <w:rFonts w:ascii="Tahoma" w:hAnsi="Tahoma" w:cs="Tahoma"/>
        </w:rPr>
        <w:t>.</w:t>
      </w:r>
    </w:p>
    <w:p w14:paraId="7842A78B" w14:textId="30227AAE" w:rsidR="001907EB" w:rsidRDefault="001907EB" w:rsidP="00BB0428">
      <w:pPr>
        <w:spacing w:line="276" w:lineRule="auto"/>
        <w:rPr>
          <w:rFonts w:ascii="Tahoma" w:hAnsi="Tahoma" w:cs="Tahoma"/>
        </w:rPr>
      </w:pPr>
    </w:p>
    <w:p w14:paraId="35C9305D" w14:textId="08A59A49" w:rsidR="001907EB" w:rsidRDefault="001907EB" w:rsidP="00BB0428">
      <w:pPr>
        <w:pStyle w:val="ListParagraph"/>
        <w:numPr>
          <w:ilvl w:val="0"/>
          <w:numId w:val="4"/>
        </w:numPr>
        <w:spacing w:line="276" w:lineRule="auto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Group 1: Development of Climate Projections for California and Identification of Priority Projections</w:t>
      </w:r>
    </w:p>
    <w:p w14:paraId="541C8B21" w14:textId="3DE3433F" w:rsidR="001907EB" w:rsidRPr="001907EB" w:rsidRDefault="001907EB" w:rsidP="00BB0428">
      <w:pPr>
        <w:pStyle w:val="ListParagraph"/>
        <w:numPr>
          <w:ilvl w:val="0"/>
          <w:numId w:val="4"/>
        </w:numPr>
        <w:spacing w:line="276" w:lineRule="auto"/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>Group 2: Analytics and Data Platform to Facilitate Electricity Sector Adaptation</w:t>
      </w:r>
    </w:p>
    <w:p w14:paraId="722800F7" w14:textId="77777777" w:rsidR="00DC7FE5" w:rsidRPr="00DC7FE5" w:rsidRDefault="00DC7FE5" w:rsidP="00DC7FE5">
      <w:pPr>
        <w:ind w:left="720"/>
        <w:rPr>
          <w:rFonts w:ascii="Tahoma" w:hAnsi="Tahoma" w:cs="Tahoma"/>
        </w:rPr>
      </w:pPr>
    </w:p>
    <w:p w14:paraId="03BA000A" w14:textId="4964B52F" w:rsidR="00DC7FE5" w:rsidRPr="00DC7FE5" w:rsidRDefault="00DC7FE5" w:rsidP="00DC7FE5">
      <w:pPr>
        <w:rPr>
          <w:rFonts w:ascii="Tahoma" w:hAnsi="Tahoma" w:cs="Tahoma"/>
        </w:rPr>
      </w:pPr>
      <w:r w:rsidRPr="00DC7FE5">
        <w:rPr>
          <w:rFonts w:ascii="Tahoma" w:hAnsi="Tahoma" w:cs="Tahoma"/>
        </w:rPr>
        <w:t xml:space="preserve">The CEC received </w:t>
      </w:r>
      <w:r w:rsidR="001907EB">
        <w:rPr>
          <w:rFonts w:ascii="Tahoma" w:hAnsi="Tahoma" w:cs="Tahoma"/>
        </w:rPr>
        <w:t>six</w:t>
      </w:r>
      <w:r w:rsidRPr="00DC7FE5">
        <w:rPr>
          <w:rFonts w:ascii="Tahoma" w:hAnsi="Tahoma" w:cs="Tahoma"/>
        </w:rPr>
        <w:t xml:space="preserve"> </w:t>
      </w:r>
      <w:r w:rsidR="00F201D7">
        <w:rPr>
          <w:rFonts w:ascii="Tahoma" w:hAnsi="Tahoma" w:cs="Tahoma"/>
        </w:rPr>
        <w:t>applications</w:t>
      </w:r>
      <w:r w:rsidRPr="00DC7FE5">
        <w:rPr>
          <w:rFonts w:ascii="Tahoma" w:hAnsi="Tahoma" w:cs="Tahoma"/>
        </w:rPr>
        <w:t xml:space="preserve"> by the </w:t>
      </w:r>
      <w:r w:rsidR="001907EB">
        <w:rPr>
          <w:rFonts w:ascii="Tahoma" w:hAnsi="Tahoma" w:cs="Tahoma"/>
        </w:rPr>
        <w:t>submission deadline</w:t>
      </w:r>
      <w:r w:rsidRPr="00DC7FE5">
        <w:rPr>
          <w:rFonts w:ascii="Tahoma" w:hAnsi="Tahoma" w:cs="Tahoma"/>
        </w:rPr>
        <w:t xml:space="preserve">, </w:t>
      </w:r>
      <w:r w:rsidR="001907EB">
        <w:rPr>
          <w:rFonts w:ascii="Tahoma" w:hAnsi="Tahoma" w:cs="Tahoma"/>
        </w:rPr>
        <w:t>August</w:t>
      </w:r>
      <w:r w:rsidRPr="00DC7FE5">
        <w:rPr>
          <w:rFonts w:ascii="Tahoma" w:hAnsi="Tahoma" w:cs="Tahoma"/>
        </w:rPr>
        <w:t xml:space="preserve"> </w:t>
      </w:r>
      <w:r w:rsidR="001907EB">
        <w:rPr>
          <w:rFonts w:ascii="Tahoma" w:hAnsi="Tahoma" w:cs="Tahoma"/>
        </w:rPr>
        <w:t>31</w:t>
      </w:r>
      <w:r w:rsidRPr="00DC7FE5">
        <w:rPr>
          <w:rFonts w:ascii="Tahoma" w:hAnsi="Tahoma" w:cs="Tahoma"/>
        </w:rPr>
        <w:t xml:space="preserve">, 2020. Each </w:t>
      </w:r>
      <w:r w:rsidR="00F201D7">
        <w:rPr>
          <w:rFonts w:ascii="Tahoma" w:hAnsi="Tahoma" w:cs="Tahoma"/>
        </w:rPr>
        <w:t>application</w:t>
      </w:r>
      <w:r w:rsidRPr="00DC7FE5">
        <w:rPr>
          <w:rFonts w:ascii="Tahoma" w:hAnsi="Tahoma" w:cs="Tahoma"/>
        </w:rPr>
        <w:t xml:space="preserve"> was screened, reviewed, evaluated, and scored using the solicitation criteria. </w:t>
      </w:r>
      <w:r w:rsidR="00F201D7">
        <w:rPr>
          <w:rFonts w:ascii="Tahoma" w:hAnsi="Tahoma" w:cs="Tahoma"/>
        </w:rPr>
        <w:t>Five</w:t>
      </w:r>
      <w:r w:rsidRPr="00DC7FE5">
        <w:rPr>
          <w:rFonts w:ascii="Tahoma" w:hAnsi="Tahoma" w:cs="Tahoma"/>
        </w:rPr>
        <w:t xml:space="preserve"> </w:t>
      </w:r>
      <w:r w:rsidR="00F201D7">
        <w:rPr>
          <w:rFonts w:ascii="Tahoma" w:hAnsi="Tahoma" w:cs="Tahoma"/>
        </w:rPr>
        <w:t>applications</w:t>
      </w:r>
      <w:r w:rsidRPr="00DC7FE5">
        <w:rPr>
          <w:rFonts w:ascii="Tahoma" w:hAnsi="Tahoma" w:cs="Tahoma"/>
        </w:rPr>
        <w:t xml:space="preserve"> passed the stage one application screening.</w:t>
      </w:r>
      <w:r w:rsidR="00F201D7">
        <w:rPr>
          <w:rFonts w:ascii="Tahoma" w:hAnsi="Tahoma" w:cs="Tahoma"/>
        </w:rPr>
        <w:t xml:space="preserve"> One application was disqualified. </w:t>
      </w:r>
    </w:p>
    <w:p w14:paraId="11A0404D" w14:textId="77777777" w:rsidR="00DC7FE5" w:rsidRPr="00DC7FE5" w:rsidRDefault="00DC7FE5" w:rsidP="00DC7FE5">
      <w:pPr>
        <w:rPr>
          <w:rFonts w:ascii="Tahoma" w:hAnsi="Tahoma" w:cs="Tahoma"/>
        </w:rPr>
      </w:pPr>
    </w:p>
    <w:p w14:paraId="4BCF7415" w14:textId="1BDC7FA2" w:rsidR="00DC7FE5" w:rsidRPr="00DC7FE5" w:rsidRDefault="00DC7FE5" w:rsidP="00DC7FE5">
      <w:pPr>
        <w:autoSpaceDE w:val="0"/>
        <w:autoSpaceDN w:val="0"/>
        <w:adjustRightInd w:val="0"/>
        <w:rPr>
          <w:rFonts w:ascii="Tahoma" w:hAnsi="Tahoma" w:cs="Tahoma"/>
        </w:rPr>
      </w:pPr>
      <w:r w:rsidRPr="00DC7FE5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 The total amount recommended is $</w:t>
      </w:r>
      <w:r w:rsidR="00F201D7">
        <w:rPr>
          <w:rFonts w:ascii="Tahoma" w:hAnsi="Tahoma" w:cs="Tahoma"/>
          <w:color w:val="000000" w:themeColor="text1"/>
        </w:rPr>
        <w:t>5</w:t>
      </w:r>
      <w:r w:rsidRPr="00DC7FE5">
        <w:rPr>
          <w:rFonts w:ascii="Tahoma" w:hAnsi="Tahoma" w:cs="Tahoma"/>
          <w:color w:val="000000" w:themeColor="text1"/>
        </w:rPr>
        <w:t>,</w:t>
      </w:r>
      <w:r w:rsidR="00F201D7">
        <w:rPr>
          <w:rFonts w:ascii="Tahoma" w:hAnsi="Tahoma" w:cs="Tahoma"/>
          <w:color w:val="000000" w:themeColor="text1"/>
        </w:rPr>
        <w:t>000</w:t>
      </w:r>
      <w:r w:rsidRPr="00DC7FE5">
        <w:rPr>
          <w:rFonts w:ascii="Tahoma" w:hAnsi="Tahoma" w:cs="Tahoma"/>
          <w:color w:val="000000" w:themeColor="text1"/>
        </w:rPr>
        <w:t>,</w:t>
      </w:r>
      <w:r w:rsidR="00F201D7">
        <w:rPr>
          <w:rFonts w:ascii="Tahoma" w:hAnsi="Tahoma" w:cs="Tahoma"/>
          <w:color w:val="000000" w:themeColor="text1"/>
        </w:rPr>
        <w:t>000</w:t>
      </w:r>
      <w:r w:rsidRPr="00DC7FE5">
        <w:rPr>
          <w:rFonts w:ascii="Tahoma" w:hAnsi="Tahoma" w:cs="Tahoma"/>
        </w:rPr>
        <w:t>.</w:t>
      </w:r>
    </w:p>
    <w:p w14:paraId="70A5269D" w14:textId="77777777" w:rsidR="00DC7FE5" w:rsidRPr="00DC7FE5" w:rsidRDefault="00DC7FE5" w:rsidP="00DC7FE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0AC73ED6" w14:textId="77777777" w:rsidR="00DC7FE5" w:rsidRPr="00DC7FE5" w:rsidRDefault="00DC7FE5" w:rsidP="00DC7FE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C7FE5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C7FE5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18C25D81" w14:textId="77777777" w:rsidR="00DC7FE5" w:rsidRPr="00DC7FE5" w:rsidRDefault="00DC7FE5" w:rsidP="00DC7FE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389D575" w14:textId="77777777" w:rsidR="00DC7FE5" w:rsidRPr="00DC7FE5" w:rsidRDefault="00DC7FE5" w:rsidP="00DC7FE5">
      <w:pPr>
        <w:autoSpaceDE w:val="0"/>
        <w:autoSpaceDN w:val="0"/>
        <w:adjustRightInd w:val="0"/>
        <w:rPr>
          <w:rFonts w:ascii="Tahoma" w:hAnsi="Tahoma" w:cs="Tahoma"/>
        </w:rPr>
      </w:pPr>
      <w:r w:rsidRPr="00DC7FE5">
        <w:rPr>
          <w:rFonts w:ascii="Tahoma" w:hAnsi="Tahoma" w:cs="Tahoma"/>
        </w:rPr>
        <w:lastRenderedPageBreak/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09CEE12B" w14:textId="77777777" w:rsidR="00DC7FE5" w:rsidRPr="00DC7FE5" w:rsidRDefault="00DC7FE5" w:rsidP="00DC7FE5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60A0E53E" w14:textId="77777777" w:rsidR="00DC7FE5" w:rsidRPr="00DC7FE5" w:rsidRDefault="00DC7FE5" w:rsidP="00DC7FE5">
      <w:pPr>
        <w:autoSpaceDE w:val="0"/>
        <w:autoSpaceDN w:val="0"/>
        <w:adjustRightInd w:val="0"/>
        <w:rPr>
          <w:rFonts w:ascii="Tahoma" w:hAnsi="Tahoma" w:cs="Tahoma"/>
        </w:rPr>
      </w:pPr>
      <w:r w:rsidRPr="00DC7FE5">
        <w:rPr>
          <w:rFonts w:ascii="Tahoma" w:hAnsi="Tahoma" w:cs="Tahoma"/>
          <w:color w:val="000000"/>
        </w:rPr>
        <w:t xml:space="preserve">This notice is posted on the </w:t>
      </w:r>
      <w:hyperlink r:id="rId8" w:history="1">
        <w:r w:rsidRPr="00DC7FE5">
          <w:rPr>
            <w:rFonts w:ascii="Tahoma" w:hAnsi="Tahoma" w:cs="Tahoma"/>
            <w:color w:val="0000FF" w:themeColor="hyperlink"/>
            <w:u w:val="single"/>
          </w:rPr>
          <w:t>CEC’s website</w:t>
        </w:r>
      </w:hyperlink>
      <w:r w:rsidRPr="00DC7FE5">
        <w:rPr>
          <w:rFonts w:ascii="Tahoma" w:hAnsi="Tahoma" w:cs="Tahoma"/>
          <w:color w:val="000000"/>
        </w:rPr>
        <w:t xml:space="preserve"> at </w:t>
      </w:r>
      <w:r w:rsidRPr="00DC7FE5">
        <w:rPr>
          <w:rFonts w:ascii="Tahoma" w:hAnsi="Tahoma" w:cs="Tahoma"/>
        </w:rPr>
        <w:t>www.energy.ca.gov/contracts/.</w:t>
      </w:r>
    </w:p>
    <w:p w14:paraId="17876553" w14:textId="083D8130" w:rsidR="00DC7FE5" w:rsidRPr="00DC7FE5" w:rsidRDefault="00DC7FE5" w:rsidP="00DC7FE5">
      <w:pPr>
        <w:rPr>
          <w:rFonts w:ascii="Tahoma" w:hAnsi="Tahoma" w:cs="Tahoma"/>
        </w:rPr>
      </w:pPr>
      <w:r w:rsidRPr="1EB786C6">
        <w:rPr>
          <w:rFonts w:ascii="Tahoma" w:hAnsi="Tahoma" w:cs="Tahoma"/>
        </w:rPr>
        <w:t xml:space="preserve">For information, please contact </w:t>
      </w:r>
      <w:r w:rsidR="00F201D7" w:rsidRPr="1EB786C6">
        <w:rPr>
          <w:rFonts w:ascii="Tahoma" w:hAnsi="Tahoma" w:cs="Tahoma"/>
        </w:rPr>
        <w:t>Brad Worster</w:t>
      </w:r>
      <w:r w:rsidRPr="1EB786C6">
        <w:rPr>
          <w:rFonts w:ascii="Tahoma" w:hAnsi="Tahoma" w:cs="Tahoma"/>
        </w:rPr>
        <w:t xml:space="preserve">, </w:t>
      </w:r>
      <w:r w:rsidR="6777A83A" w:rsidRPr="1EB786C6">
        <w:rPr>
          <w:rFonts w:ascii="Tahoma" w:hAnsi="Tahoma" w:cs="Tahoma"/>
        </w:rPr>
        <w:t>c</w:t>
      </w:r>
      <w:r w:rsidRPr="1EB786C6">
        <w:rPr>
          <w:rFonts w:ascii="Tahoma" w:hAnsi="Tahoma" w:cs="Tahoma"/>
        </w:rPr>
        <w:t xml:space="preserve">ommission </w:t>
      </w:r>
      <w:r w:rsidR="3433D5C4" w:rsidRPr="1EB786C6">
        <w:rPr>
          <w:rFonts w:ascii="Tahoma" w:hAnsi="Tahoma" w:cs="Tahoma"/>
        </w:rPr>
        <w:t>a</w:t>
      </w:r>
      <w:r w:rsidRPr="1EB786C6">
        <w:rPr>
          <w:rFonts w:ascii="Tahoma" w:hAnsi="Tahoma" w:cs="Tahoma"/>
        </w:rPr>
        <w:t xml:space="preserve">greement </w:t>
      </w:r>
      <w:r w:rsidR="1B9C8750" w:rsidRPr="1EB786C6">
        <w:rPr>
          <w:rFonts w:ascii="Tahoma" w:hAnsi="Tahoma" w:cs="Tahoma"/>
        </w:rPr>
        <w:t>o</w:t>
      </w:r>
      <w:r w:rsidRPr="1EB786C6">
        <w:rPr>
          <w:rFonts w:ascii="Tahoma" w:hAnsi="Tahoma" w:cs="Tahoma"/>
        </w:rPr>
        <w:t xml:space="preserve">fficer, at </w:t>
      </w:r>
      <w:hyperlink r:id="rId9">
        <w:r w:rsidR="00F201D7" w:rsidRPr="1EB786C6">
          <w:rPr>
            <w:rStyle w:val="Hyperlink"/>
            <w:rFonts w:ascii="Tahoma" w:hAnsi="Tahoma"/>
          </w:rPr>
          <w:t>brad.worster@energy.ca.gov</w:t>
        </w:r>
      </w:hyperlink>
      <w:r w:rsidR="00F201D7" w:rsidRPr="1EB786C6">
        <w:rPr>
          <w:rFonts w:ascii="Tahoma" w:hAnsi="Tahoma"/>
        </w:rPr>
        <w:t>.</w:t>
      </w:r>
    </w:p>
    <w:p w14:paraId="4046E6E9" w14:textId="7DEAD807" w:rsidR="00DC7FE5" w:rsidRDefault="00DC7FE5" w:rsidP="00DC7FE5">
      <w:pPr>
        <w:rPr>
          <w:rFonts w:ascii="Tahoma" w:hAnsi="Tahoma" w:cs="Tahoma"/>
        </w:rPr>
      </w:pPr>
    </w:p>
    <w:p w14:paraId="356E91DC" w14:textId="77777777" w:rsidR="00DC7FE5" w:rsidRPr="00DC7FE5" w:rsidRDefault="00DC7FE5" w:rsidP="00DC7FE5">
      <w:pPr>
        <w:rPr>
          <w:rFonts w:ascii="Tahoma" w:hAnsi="Tahoma" w:cs="Tahoma"/>
        </w:rPr>
      </w:pPr>
    </w:p>
    <w:p w14:paraId="7B15569A" w14:textId="77777777" w:rsidR="00DC7FE5" w:rsidRPr="00DC7FE5" w:rsidRDefault="00DC7FE5" w:rsidP="00DC7FE5">
      <w:pPr>
        <w:rPr>
          <w:rFonts w:ascii="Tahoma" w:hAnsi="Tahoma" w:cs="Tahoma"/>
        </w:rPr>
      </w:pPr>
      <w:r w:rsidRPr="00DC7FE5">
        <w:rPr>
          <w:rFonts w:ascii="Tahoma" w:hAnsi="Tahoma" w:cs="Tahoma"/>
        </w:rPr>
        <w:t>Attachment:</w:t>
      </w:r>
    </w:p>
    <w:p w14:paraId="7CA8499A" w14:textId="7C1DDAEC" w:rsidR="00DC7FE5" w:rsidRDefault="00DC7FE5" w:rsidP="00DC7FE5">
      <w:pPr>
        <w:rPr>
          <w:rFonts w:ascii="Tahoma" w:hAnsi="Tahoma" w:cs="Tahoma"/>
        </w:rPr>
      </w:pPr>
      <w:r w:rsidRPr="00DC7FE5">
        <w:rPr>
          <w:rFonts w:ascii="Tahoma" w:hAnsi="Tahoma" w:cs="Tahoma"/>
        </w:rPr>
        <w:t>To access the embedded attachment double click on the Excel icon to view the GFO-19-3</w:t>
      </w:r>
      <w:r w:rsidR="00B679BD">
        <w:rPr>
          <w:rFonts w:ascii="Tahoma" w:hAnsi="Tahoma" w:cs="Tahoma"/>
        </w:rPr>
        <w:t>11</w:t>
      </w:r>
      <w:r w:rsidRPr="00DC7FE5">
        <w:rPr>
          <w:rFonts w:ascii="Tahoma" w:hAnsi="Tahoma" w:cs="Tahoma"/>
        </w:rPr>
        <w:t xml:space="preserve"> NOPA results table.</w:t>
      </w:r>
    </w:p>
    <w:p w14:paraId="2FA30B20" w14:textId="50EB0363" w:rsidR="0030410B" w:rsidRDefault="0030410B" w:rsidP="00DC7FE5">
      <w:pPr>
        <w:rPr>
          <w:rFonts w:ascii="Tahoma" w:hAnsi="Tahoma" w:cs="Tahoma"/>
        </w:rPr>
      </w:pPr>
    </w:p>
    <w:bookmarkStart w:id="0" w:name="_MON_1665831709"/>
    <w:bookmarkEnd w:id="0"/>
    <w:p w14:paraId="4F8126A4" w14:textId="7DF98508" w:rsidR="009E6C35" w:rsidRPr="00CE7258" w:rsidRDefault="004903DE" w:rsidP="5788ADDF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376" w:dyaOrig="893" w14:anchorId="3D7C8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 access the embedded attachment double click on the Excel icon to view the GFO-19-311 NOPA results table." style="width:69pt;height:45pt" o:ole="" o:bordertopcolor="this" o:borderleftcolor="this" o:borderbottomcolor="this" o:borderrightcolor="this">
            <v:imagedata r:id="rId10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xcel.Sheet.12" ShapeID="_x0000_i1025" DrawAspect="Icon" ObjectID="_1665907061" r:id="rId11"/>
        </w:object>
      </w:r>
      <w:bookmarkStart w:id="1" w:name="_GoBack"/>
      <w:bookmarkEnd w:id="1"/>
    </w:p>
    <w:sectPr w:rsidR="009E6C35" w:rsidRPr="00CE725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9F4E" w14:textId="77777777" w:rsidR="00BA1AB1" w:rsidRDefault="00BA1AB1" w:rsidP="00F86D2B">
      <w:r>
        <w:separator/>
      </w:r>
    </w:p>
  </w:endnote>
  <w:endnote w:type="continuationSeparator" w:id="0">
    <w:p w14:paraId="3635966A" w14:textId="77777777" w:rsidR="00BA1AB1" w:rsidRDefault="00BA1AB1" w:rsidP="00F86D2B">
      <w:r>
        <w:continuationSeparator/>
      </w:r>
    </w:p>
  </w:endnote>
  <w:endnote w:type="continuationNotice" w:id="1">
    <w:p w14:paraId="4082CE2E" w14:textId="77777777" w:rsidR="00BA1AB1" w:rsidRDefault="00BA1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8CA5" w14:textId="74362FB8" w:rsidR="002D11A5" w:rsidRDefault="1EB786C6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1B9C8750">
          <wp:extent cx="7775998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9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768C1" w14:textId="77777777" w:rsidR="00BA1AB1" w:rsidRDefault="00BA1AB1" w:rsidP="00F86D2B">
      <w:r>
        <w:separator/>
      </w:r>
    </w:p>
  </w:footnote>
  <w:footnote w:type="continuationSeparator" w:id="0">
    <w:p w14:paraId="06CE6559" w14:textId="77777777" w:rsidR="00BA1AB1" w:rsidRDefault="00BA1AB1" w:rsidP="00F86D2B">
      <w:r>
        <w:continuationSeparator/>
      </w:r>
    </w:p>
  </w:footnote>
  <w:footnote w:type="continuationNotice" w:id="1">
    <w:p w14:paraId="6402CF77" w14:textId="77777777" w:rsidR="00BA1AB1" w:rsidRDefault="00BA1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9A77" w14:textId="0A4518F0" w:rsidR="00E210F6" w:rsidRDefault="1EB786C6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777A83A">
          <wp:extent cx="7801020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2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BE"/>
    <w:multiLevelType w:val="hybridMultilevel"/>
    <w:tmpl w:val="4E0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1022D"/>
    <w:multiLevelType w:val="hybridMultilevel"/>
    <w:tmpl w:val="534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1BB0"/>
    <w:multiLevelType w:val="hybridMultilevel"/>
    <w:tmpl w:val="B1301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027125"/>
    <w:rsid w:val="000368AC"/>
    <w:rsid w:val="000557AC"/>
    <w:rsid w:val="001404C9"/>
    <w:rsid w:val="0014731B"/>
    <w:rsid w:val="001676FD"/>
    <w:rsid w:val="001907EB"/>
    <w:rsid w:val="001951D3"/>
    <w:rsid w:val="001F5D14"/>
    <w:rsid w:val="001F62F3"/>
    <w:rsid w:val="00285A7F"/>
    <w:rsid w:val="002A5F7A"/>
    <w:rsid w:val="002D11A5"/>
    <w:rsid w:val="00300FB1"/>
    <w:rsid w:val="0030410B"/>
    <w:rsid w:val="003A55D0"/>
    <w:rsid w:val="003E0D2D"/>
    <w:rsid w:val="00415DE9"/>
    <w:rsid w:val="00430859"/>
    <w:rsid w:val="00437D5F"/>
    <w:rsid w:val="004504D5"/>
    <w:rsid w:val="00467402"/>
    <w:rsid w:val="0047019B"/>
    <w:rsid w:val="0048209A"/>
    <w:rsid w:val="004903DE"/>
    <w:rsid w:val="004A4C18"/>
    <w:rsid w:val="004D5C2F"/>
    <w:rsid w:val="00524EA9"/>
    <w:rsid w:val="00527817"/>
    <w:rsid w:val="005568CA"/>
    <w:rsid w:val="0056696F"/>
    <w:rsid w:val="00577D95"/>
    <w:rsid w:val="0063659F"/>
    <w:rsid w:val="006511D6"/>
    <w:rsid w:val="006A57AF"/>
    <w:rsid w:val="006D3827"/>
    <w:rsid w:val="006E146A"/>
    <w:rsid w:val="007134AE"/>
    <w:rsid w:val="007211FC"/>
    <w:rsid w:val="00751C0F"/>
    <w:rsid w:val="00762046"/>
    <w:rsid w:val="0077265A"/>
    <w:rsid w:val="007769DB"/>
    <w:rsid w:val="00777798"/>
    <w:rsid w:val="0078154A"/>
    <w:rsid w:val="00783717"/>
    <w:rsid w:val="007F14AF"/>
    <w:rsid w:val="0081533B"/>
    <w:rsid w:val="00824A9B"/>
    <w:rsid w:val="00847BA8"/>
    <w:rsid w:val="00851C78"/>
    <w:rsid w:val="00853D6C"/>
    <w:rsid w:val="00883414"/>
    <w:rsid w:val="00891290"/>
    <w:rsid w:val="008E1433"/>
    <w:rsid w:val="008E3926"/>
    <w:rsid w:val="008E7852"/>
    <w:rsid w:val="008F0CAB"/>
    <w:rsid w:val="00910710"/>
    <w:rsid w:val="009407F5"/>
    <w:rsid w:val="00954D3D"/>
    <w:rsid w:val="0095643F"/>
    <w:rsid w:val="00971C7E"/>
    <w:rsid w:val="009D0A13"/>
    <w:rsid w:val="009E6C35"/>
    <w:rsid w:val="009E754B"/>
    <w:rsid w:val="00A0342A"/>
    <w:rsid w:val="00A15FA8"/>
    <w:rsid w:val="00A17202"/>
    <w:rsid w:val="00A3384C"/>
    <w:rsid w:val="00A36CF5"/>
    <w:rsid w:val="00A73089"/>
    <w:rsid w:val="00A92BAA"/>
    <w:rsid w:val="00AD21FC"/>
    <w:rsid w:val="00AE05B9"/>
    <w:rsid w:val="00AE366D"/>
    <w:rsid w:val="00AF6891"/>
    <w:rsid w:val="00B230F1"/>
    <w:rsid w:val="00B364A8"/>
    <w:rsid w:val="00B62616"/>
    <w:rsid w:val="00B679BD"/>
    <w:rsid w:val="00B75CD6"/>
    <w:rsid w:val="00B80E72"/>
    <w:rsid w:val="00B84D31"/>
    <w:rsid w:val="00B87213"/>
    <w:rsid w:val="00B94054"/>
    <w:rsid w:val="00BA1317"/>
    <w:rsid w:val="00BA1AB1"/>
    <w:rsid w:val="00BB0428"/>
    <w:rsid w:val="00BB5DCD"/>
    <w:rsid w:val="00BC5BC9"/>
    <w:rsid w:val="00C03527"/>
    <w:rsid w:val="00C11E6E"/>
    <w:rsid w:val="00C31D25"/>
    <w:rsid w:val="00C34A04"/>
    <w:rsid w:val="00C67037"/>
    <w:rsid w:val="00C9619C"/>
    <w:rsid w:val="00C96BDD"/>
    <w:rsid w:val="00CE6248"/>
    <w:rsid w:val="00CE7258"/>
    <w:rsid w:val="00D32C3D"/>
    <w:rsid w:val="00D431C2"/>
    <w:rsid w:val="00D43B83"/>
    <w:rsid w:val="00D57920"/>
    <w:rsid w:val="00D667FF"/>
    <w:rsid w:val="00D8459B"/>
    <w:rsid w:val="00DC7FE5"/>
    <w:rsid w:val="00E02209"/>
    <w:rsid w:val="00E11109"/>
    <w:rsid w:val="00E12092"/>
    <w:rsid w:val="00E210F6"/>
    <w:rsid w:val="00E47653"/>
    <w:rsid w:val="00E95631"/>
    <w:rsid w:val="00EA6D1C"/>
    <w:rsid w:val="00EA7BDE"/>
    <w:rsid w:val="00EB2D8C"/>
    <w:rsid w:val="00EC0855"/>
    <w:rsid w:val="00EC0F41"/>
    <w:rsid w:val="00F10DFF"/>
    <w:rsid w:val="00F201D7"/>
    <w:rsid w:val="00F31036"/>
    <w:rsid w:val="00F60F72"/>
    <w:rsid w:val="00F66793"/>
    <w:rsid w:val="00F82871"/>
    <w:rsid w:val="00F86D2B"/>
    <w:rsid w:val="00F90F6B"/>
    <w:rsid w:val="00F947AC"/>
    <w:rsid w:val="00F95D8D"/>
    <w:rsid w:val="00F967DF"/>
    <w:rsid w:val="00FC57C7"/>
    <w:rsid w:val="00FE4A26"/>
    <w:rsid w:val="097F0256"/>
    <w:rsid w:val="0FE28D22"/>
    <w:rsid w:val="1116BBB6"/>
    <w:rsid w:val="1203951B"/>
    <w:rsid w:val="1A76538A"/>
    <w:rsid w:val="1B9C8750"/>
    <w:rsid w:val="1EB786C6"/>
    <w:rsid w:val="2271CE4B"/>
    <w:rsid w:val="28559EA1"/>
    <w:rsid w:val="2B71B1C9"/>
    <w:rsid w:val="2EA38BD5"/>
    <w:rsid w:val="3374DE76"/>
    <w:rsid w:val="3400F1B6"/>
    <w:rsid w:val="3433D5C4"/>
    <w:rsid w:val="40DBBD18"/>
    <w:rsid w:val="418E8EC6"/>
    <w:rsid w:val="5656B222"/>
    <w:rsid w:val="56CC0F4E"/>
    <w:rsid w:val="573679BC"/>
    <w:rsid w:val="5788ADDF"/>
    <w:rsid w:val="5B60025E"/>
    <w:rsid w:val="5D9688CA"/>
    <w:rsid w:val="5DB43D8F"/>
    <w:rsid w:val="6777A83A"/>
    <w:rsid w:val="68276D76"/>
    <w:rsid w:val="6C8C8633"/>
    <w:rsid w:val="7573B925"/>
    <w:rsid w:val="7637EDE5"/>
    <w:rsid w:val="7D9A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E3339A52-4687-40EA-9F2A-BB1F00DE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1C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9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765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ca.gov/contract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brad.worster@energy.ca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92D4-08D0-4D49-907B-19AC8BEF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2138</Characters>
  <Application>Microsoft Office Word</Application>
  <DocSecurity>0</DocSecurity>
  <Lines>17</Lines>
  <Paragraphs>5</Paragraphs>
  <ScaleCrop>false</ScaleCrop>
  <Company>Wobschall Design</Company>
  <LinksUpToDate>false</LinksUpToDate>
  <CharactersWithSpaces>2507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mailto:brad.worster@energy.ca.gov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http://www.energy.ca.gov/contracts/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 Wobschall</dc:creator>
  <cp:lastModifiedBy>Kidd, Kevin@Energy</cp:lastModifiedBy>
  <cp:revision>4</cp:revision>
  <cp:lastPrinted>2019-04-08T16:38:00Z</cp:lastPrinted>
  <dcterms:created xsi:type="dcterms:W3CDTF">2020-11-02T19:46:00Z</dcterms:created>
  <dcterms:modified xsi:type="dcterms:W3CDTF">2020-11-03T19:11:00Z</dcterms:modified>
</cp:coreProperties>
</file>