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070" w14:textId="77777777" w:rsidR="00EA6D1C" w:rsidRPr="008F5691" w:rsidRDefault="00EA6D1C" w:rsidP="00EA6D1C">
      <w:pPr>
        <w:autoSpaceDE w:val="0"/>
        <w:autoSpaceDN w:val="0"/>
        <w:adjustRightInd w:val="0"/>
        <w:jc w:val="center"/>
        <w:rPr>
          <w:rFonts w:ascii="Tahoma" w:hAnsi="Tahoma" w:cs="Tahoma"/>
          <w:b/>
          <w:bCs/>
          <w:sz w:val="28"/>
          <w:szCs w:val="28"/>
        </w:rPr>
      </w:pPr>
      <w:r w:rsidRPr="008F5691">
        <w:rPr>
          <w:rFonts w:ascii="Tahoma" w:hAnsi="Tahoma" w:cs="Tahoma"/>
          <w:b/>
          <w:bCs/>
          <w:sz w:val="28"/>
          <w:szCs w:val="28"/>
        </w:rPr>
        <w:t>NOTICE OF PROPOSED AWARD</w:t>
      </w:r>
      <w:r>
        <w:rPr>
          <w:rFonts w:ascii="Tahoma" w:hAnsi="Tahoma" w:cs="Tahoma"/>
          <w:b/>
          <w:bCs/>
          <w:sz w:val="28"/>
          <w:szCs w:val="28"/>
        </w:rPr>
        <w:t xml:space="preserve"> (NOPA)</w:t>
      </w:r>
    </w:p>
    <w:p w14:paraId="4197CFA4" w14:textId="77777777" w:rsidR="00EA6D1C" w:rsidRPr="00D72329" w:rsidRDefault="00EA6D1C" w:rsidP="00EA6D1C">
      <w:pPr>
        <w:autoSpaceDE w:val="0"/>
        <w:autoSpaceDN w:val="0"/>
        <w:adjustRightInd w:val="0"/>
        <w:jc w:val="center"/>
        <w:rPr>
          <w:rFonts w:ascii="Tahoma" w:hAnsi="Tahoma" w:cs="Tahoma"/>
          <w:b/>
          <w:color w:val="000000"/>
        </w:rPr>
      </w:pPr>
    </w:p>
    <w:p w14:paraId="78059014" w14:textId="170376B4" w:rsidR="00EA6D1C" w:rsidRPr="003C1767" w:rsidRDefault="003C1767" w:rsidP="00EA6D1C">
      <w:pPr>
        <w:autoSpaceDE w:val="0"/>
        <w:autoSpaceDN w:val="0"/>
        <w:adjustRightInd w:val="0"/>
        <w:jc w:val="center"/>
        <w:rPr>
          <w:rFonts w:ascii="Tahoma" w:hAnsi="Tahoma" w:cs="Tahoma"/>
          <w:b/>
          <w:bCs/>
        </w:rPr>
      </w:pPr>
      <w:r w:rsidRPr="003C1767">
        <w:rPr>
          <w:rFonts w:ascii="Tahoma" w:hAnsi="Tahoma" w:cs="Tahoma"/>
          <w:b/>
          <w:bCs/>
        </w:rPr>
        <w:t>Evaluating Bi-Directional Energy Transfers and Distributed Energy Resource Integration for Medium- and Heavy-Duty Fleet Electrification</w:t>
      </w:r>
    </w:p>
    <w:p w14:paraId="087556BD" w14:textId="28513C67" w:rsidR="00EA6D1C" w:rsidRPr="003C1767" w:rsidRDefault="00EA6D1C" w:rsidP="00EA6D1C">
      <w:pPr>
        <w:autoSpaceDE w:val="0"/>
        <w:autoSpaceDN w:val="0"/>
        <w:adjustRightInd w:val="0"/>
        <w:jc w:val="center"/>
        <w:rPr>
          <w:rFonts w:ascii="Tahoma" w:hAnsi="Tahoma" w:cs="Tahoma"/>
          <w:b/>
          <w:bCs/>
        </w:rPr>
      </w:pPr>
      <w:r w:rsidRPr="003C1767">
        <w:rPr>
          <w:rFonts w:ascii="Tahoma" w:hAnsi="Tahoma" w:cs="Tahoma"/>
          <w:b/>
          <w:bCs/>
        </w:rPr>
        <w:t xml:space="preserve"> </w:t>
      </w:r>
      <w:r w:rsidR="003C1767" w:rsidRPr="003C1767">
        <w:rPr>
          <w:rFonts w:ascii="Tahoma" w:hAnsi="Tahoma" w:cs="Tahoma"/>
          <w:b/>
          <w:bCs/>
        </w:rPr>
        <w:t>GFO-20-304</w:t>
      </w:r>
    </w:p>
    <w:p w14:paraId="188D53B9" w14:textId="5B5E0AC6" w:rsidR="00EA6D1C" w:rsidRPr="003C1767" w:rsidRDefault="003C1767" w:rsidP="00EA6D1C">
      <w:pPr>
        <w:pStyle w:val="Default"/>
        <w:jc w:val="center"/>
        <w:rPr>
          <w:rFonts w:ascii="Tahoma" w:hAnsi="Tahoma" w:cs="Tahoma"/>
          <w:b/>
          <w:bCs/>
          <w:color w:val="auto"/>
        </w:rPr>
      </w:pPr>
      <w:r w:rsidRPr="003C1767">
        <w:rPr>
          <w:rFonts w:ascii="Tahoma" w:hAnsi="Tahoma" w:cs="Tahoma"/>
          <w:b/>
          <w:bCs/>
          <w:color w:val="auto"/>
        </w:rPr>
        <w:t>March 2</w:t>
      </w:r>
      <w:r w:rsidR="00464DF5">
        <w:rPr>
          <w:rFonts w:ascii="Tahoma" w:hAnsi="Tahoma" w:cs="Tahoma"/>
          <w:b/>
          <w:bCs/>
          <w:color w:val="auto"/>
        </w:rPr>
        <w:t>4</w:t>
      </w:r>
      <w:r w:rsidRPr="003C1767">
        <w:rPr>
          <w:rFonts w:ascii="Tahoma" w:hAnsi="Tahoma" w:cs="Tahoma"/>
          <w:b/>
          <w:bCs/>
          <w:color w:val="auto"/>
        </w:rPr>
        <w:t>, 2021</w:t>
      </w:r>
    </w:p>
    <w:p w14:paraId="00D1A97E" w14:textId="77777777" w:rsidR="00EA6D1C" w:rsidRPr="003C1767" w:rsidRDefault="00EA6D1C" w:rsidP="00EA6D1C">
      <w:pPr>
        <w:pStyle w:val="Default"/>
        <w:rPr>
          <w:rFonts w:ascii="Tahoma" w:hAnsi="Tahoma" w:cs="Tahoma"/>
          <w:color w:val="auto"/>
        </w:rPr>
      </w:pPr>
    </w:p>
    <w:p w14:paraId="1691328E" w14:textId="048BCCDE" w:rsidR="003C1767" w:rsidRPr="003C1767" w:rsidRDefault="003C1767" w:rsidP="003C1767">
      <w:pPr>
        <w:pStyle w:val="paragraph"/>
        <w:spacing w:before="0" w:beforeAutospacing="0" w:after="0" w:afterAutospacing="0"/>
        <w:textAlignment w:val="baseline"/>
        <w:rPr>
          <w:rFonts w:ascii="Segoe UI" w:hAnsi="Segoe UI" w:cs="Segoe UI"/>
          <w:sz w:val="18"/>
          <w:szCs w:val="18"/>
        </w:rPr>
      </w:pPr>
      <w:r w:rsidRPr="003C1767">
        <w:rPr>
          <w:rStyle w:val="normaltextrun"/>
          <w:rFonts w:ascii="Tahoma" w:hAnsi="Tahoma" w:cs="Tahoma"/>
        </w:rPr>
        <w:t>On September 23, 2020, the California Energy Commission (CEC) released a competitive solicitation to fund technology demonstration and deployment research projects that enable and evaluate resilience, renewable integration, and cost management use cases for medium- and heavy-duty (MDHD) plug-in electric vehicles. Up to $22,000,000 in EPIC funding is available to fund applications in Groups 1, 2, and 3: </w:t>
      </w:r>
      <w:r w:rsidRPr="003C1767">
        <w:rPr>
          <w:rStyle w:val="eop"/>
          <w:rFonts w:ascii="Tahoma" w:hAnsi="Tahoma" w:cs="Tahoma"/>
        </w:rPr>
        <w:t> </w:t>
      </w:r>
    </w:p>
    <w:p w14:paraId="29051276" w14:textId="77777777" w:rsidR="00EA6D1C" w:rsidRPr="003C1767" w:rsidRDefault="00EA6D1C" w:rsidP="00EA6D1C">
      <w:pPr>
        <w:rPr>
          <w:rFonts w:ascii="Tahoma" w:hAnsi="Tahoma" w:cs="Tahoma"/>
        </w:rPr>
      </w:pPr>
    </w:p>
    <w:p w14:paraId="42A20C85" w14:textId="77366164" w:rsidR="00EA6D1C" w:rsidRPr="003C1767" w:rsidRDefault="00EA6D1C" w:rsidP="00EA6D1C">
      <w:pPr>
        <w:numPr>
          <w:ilvl w:val="0"/>
          <w:numId w:val="2"/>
        </w:numPr>
        <w:rPr>
          <w:rFonts w:ascii="Tahoma" w:hAnsi="Tahoma" w:cs="Tahoma"/>
        </w:rPr>
      </w:pPr>
      <w:r w:rsidRPr="003C1767">
        <w:rPr>
          <w:rFonts w:ascii="Tahoma" w:hAnsi="Tahoma" w:cs="Tahoma"/>
        </w:rPr>
        <w:t xml:space="preserve">Group </w:t>
      </w:r>
      <w:r w:rsidR="003C1767" w:rsidRPr="003C1767">
        <w:rPr>
          <w:rFonts w:ascii="Tahoma" w:hAnsi="Tahoma" w:cs="Tahoma"/>
        </w:rPr>
        <w:t>1</w:t>
      </w:r>
      <w:r w:rsidRPr="003C1767">
        <w:rPr>
          <w:rFonts w:ascii="Tahoma" w:hAnsi="Tahoma" w:cs="Tahoma"/>
        </w:rPr>
        <w:t xml:space="preserve">: </w:t>
      </w:r>
      <w:r w:rsidR="003C1767" w:rsidRPr="003C1767">
        <w:rPr>
          <w:rFonts w:ascii="Tahoma" w:hAnsi="Tahoma" w:cs="Tahoma"/>
        </w:rPr>
        <w:t>Bi-Directional Energy Transfers from Electric School Buses</w:t>
      </w:r>
    </w:p>
    <w:p w14:paraId="7C433B40" w14:textId="6D8FC9B5" w:rsidR="003C1767" w:rsidRPr="003C1767" w:rsidRDefault="003C1767" w:rsidP="003C1767">
      <w:pPr>
        <w:numPr>
          <w:ilvl w:val="2"/>
          <w:numId w:val="2"/>
        </w:numPr>
        <w:rPr>
          <w:rFonts w:ascii="Tahoma" w:hAnsi="Tahoma" w:cs="Tahoma"/>
        </w:rPr>
      </w:pPr>
      <w:r w:rsidRPr="003C1767">
        <w:rPr>
          <w:rFonts w:ascii="Tahoma" w:hAnsi="Tahoma" w:cs="Tahoma"/>
        </w:rPr>
        <w:t>$6,000,000</w:t>
      </w:r>
    </w:p>
    <w:p w14:paraId="5DC72816" w14:textId="023F0764" w:rsidR="00EA6D1C" w:rsidRPr="003C1767" w:rsidRDefault="00EA6D1C" w:rsidP="00EA6D1C">
      <w:pPr>
        <w:numPr>
          <w:ilvl w:val="0"/>
          <w:numId w:val="2"/>
        </w:numPr>
        <w:rPr>
          <w:rFonts w:ascii="Tahoma" w:hAnsi="Tahoma" w:cs="Tahoma"/>
        </w:rPr>
      </w:pPr>
      <w:r w:rsidRPr="003C1767">
        <w:rPr>
          <w:rFonts w:ascii="Tahoma" w:hAnsi="Tahoma" w:cs="Tahoma"/>
        </w:rPr>
        <w:t xml:space="preserve">Group </w:t>
      </w:r>
      <w:r w:rsidR="003C1767" w:rsidRPr="003C1767">
        <w:rPr>
          <w:rFonts w:ascii="Tahoma" w:hAnsi="Tahoma" w:cs="Tahoma"/>
        </w:rPr>
        <w:t>2</w:t>
      </w:r>
      <w:r w:rsidRPr="003C1767">
        <w:rPr>
          <w:rFonts w:ascii="Tahoma" w:hAnsi="Tahoma" w:cs="Tahoma"/>
        </w:rPr>
        <w:t xml:space="preserve">: </w:t>
      </w:r>
      <w:r w:rsidR="003C1767" w:rsidRPr="003C1767">
        <w:rPr>
          <w:rFonts w:ascii="Tahoma" w:hAnsi="Tahoma" w:cs="Tahoma"/>
        </w:rPr>
        <w:t>Integrated DER Packages for Charging MDHD Fleets</w:t>
      </w:r>
    </w:p>
    <w:p w14:paraId="470B3748" w14:textId="4A1E77A9" w:rsidR="003C1767" w:rsidRPr="003C1767" w:rsidRDefault="003C1767" w:rsidP="003C1767">
      <w:pPr>
        <w:numPr>
          <w:ilvl w:val="2"/>
          <w:numId w:val="2"/>
        </w:numPr>
        <w:rPr>
          <w:rFonts w:ascii="Tahoma" w:hAnsi="Tahoma" w:cs="Tahoma"/>
        </w:rPr>
      </w:pPr>
      <w:r w:rsidRPr="003C1767">
        <w:rPr>
          <w:rFonts w:ascii="Tahoma" w:hAnsi="Tahoma" w:cs="Tahoma"/>
        </w:rPr>
        <w:t>$12,000,000</w:t>
      </w:r>
    </w:p>
    <w:p w14:paraId="3C59CD60" w14:textId="61265687" w:rsidR="00EA6D1C" w:rsidRPr="003C1767" w:rsidRDefault="00EA6D1C" w:rsidP="00EA6D1C">
      <w:pPr>
        <w:numPr>
          <w:ilvl w:val="0"/>
          <w:numId w:val="2"/>
        </w:numPr>
        <w:rPr>
          <w:rFonts w:ascii="Tahoma" w:hAnsi="Tahoma" w:cs="Tahoma"/>
        </w:rPr>
      </w:pPr>
      <w:r w:rsidRPr="003C1767">
        <w:rPr>
          <w:rFonts w:ascii="Tahoma" w:hAnsi="Tahoma" w:cs="Tahoma"/>
        </w:rPr>
        <w:t xml:space="preserve">Group </w:t>
      </w:r>
      <w:r w:rsidR="003C1767" w:rsidRPr="003C1767">
        <w:rPr>
          <w:rFonts w:ascii="Tahoma" w:hAnsi="Tahoma" w:cs="Tahoma"/>
        </w:rPr>
        <w:t>3</w:t>
      </w:r>
      <w:r w:rsidRPr="003C1767">
        <w:rPr>
          <w:rFonts w:ascii="Tahoma" w:hAnsi="Tahoma" w:cs="Tahoma"/>
        </w:rPr>
        <w:t xml:space="preserve">: </w:t>
      </w:r>
      <w:r w:rsidR="003C1767" w:rsidRPr="003C1767">
        <w:rPr>
          <w:rFonts w:ascii="Tahoma" w:hAnsi="Tahoma" w:cs="Tahoma"/>
        </w:rPr>
        <w:t>Integrated DER Packages for Charging Electric School Bus Fleets</w:t>
      </w:r>
    </w:p>
    <w:p w14:paraId="16D2671E" w14:textId="00692B8E" w:rsidR="003C1767" w:rsidRPr="003C1767" w:rsidRDefault="003C1767" w:rsidP="003C1767">
      <w:pPr>
        <w:numPr>
          <w:ilvl w:val="2"/>
          <w:numId w:val="2"/>
        </w:numPr>
        <w:rPr>
          <w:rFonts w:ascii="Tahoma" w:hAnsi="Tahoma" w:cs="Tahoma"/>
        </w:rPr>
      </w:pPr>
      <w:r w:rsidRPr="003C1767">
        <w:rPr>
          <w:rFonts w:ascii="Tahoma" w:hAnsi="Tahoma" w:cs="Tahoma"/>
        </w:rPr>
        <w:t>$4,000,000</w:t>
      </w:r>
    </w:p>
    <w:p w14:paraId="5C28BF9A" w14:textId="77777777" w:rsidR="00EA6D1C" w:rsidRPr="00D72329" w:rsidRDefault="00EA6D1C" w:rsidP="00EA6D1C">
      <w:pPr>
        <w:ind w:left="720"/>
        <w:rPr>
          <w:rFonts w:ascii="Tahoma" w:hAnsi="Tahoma" w:cs="Tahoma"/>
        </w:rPr>
      </w:pPr>
    </w:p>
    <w:p w14:paraId="1B67F768" w14:textId="77777777" w:rsidR="003C1767" w:rsidRDefault="003C1767" w:rsidP="003C176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The CEC received thirteen proposals by the due date, January 8, 2021. Each proposal was screened, reviewed, evaluated, and scored using the solicitation criteria. Twelve proposals passed the stage one application screening.</w:t>
      </w:r>
      <w:r>
        <w:rPr>
          <w:rStyle w:val="eop"/>
          <w:rFonts w:ascii="Tahoma" w:hAnsi="Tahoma" w:cs="Tahoma"/>
        </w:rPr>
        <w:t> </w:t>
      </w:r>
    </w:p>
    <w:p w14:paraId="7E8AFF29" w14:textId="77777777" w:rsidR="003C1767" w:rsidRDefault="003C1767" w:rsidP="003C1767">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356BB272" w14:textId="77777777" w:rsidR="003C1767" w:rsidRDefault="003C1767" w:rsidP="003C1767">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000000"/>
        </w:rPr>
        <w:t>The attached NOPA identifies each applicant selected and recommended for funding by CEC staff and includes the recommended funding amount and score. The total amount recommended is $21,511,562</w:t>
      </w:r>
      <w:r>
        <w:rPr>
          <w:rStyle w:val="normaltextrun"/>
          <w:rFonts w:ascii="Tahoma" w:hAnsi="Tahoma" w:cs="Tahoma"/>
        </w:rPr>
        <w:t>. </w:t>
      </w:r>
      <w:r>
        <w:rPr>
          <w:rStyle w:val="eop"/>
          <w:rFonts w:ascii="Tahoma" w:hAnsi="Tahoma" w:cs="Tahoma"/>
        </w:rPr>
        <w:t> </w:t>
      </w:r>
    </w:p>
    <w:p w14:paraId="7FA97E46" w14:textId="77777777" w:rsidR="003C1767" w:rsidRDefault="003C1767" w:rsidP="003C1767">
      <w:pPr>
        <w:pStyle w:val="paragraph"/>
        <w:spacing w:before="0" w:beforeAutospacing="0" w:after="0" w:afterAutospacing="0"/>
        <w:textAlignment w:val="baseline"/>
        <w:rPr>
          <w:rFonts w:ascii="Segoe UI" w:hAnsi="Segoe UI" w:cs="Segoe UI"/>
          <w:sz w:val="18"/>
          <w:szCs w:val="18"/>
        </w:rPr>
      </w:pPr>
      <w:r w:rsidRPr="6423E148">
        <w:rPr>
          <w:rStyle w:val="eop"/>
          <w:rFonts w:ascii="Tahoma" w:hAnsi="Tahoma" w:cs="Tahoma"/>
        </w:rPr>
        <w:t> </w:t>
      </w:r>
    </w:p>
    <w:p w14:paraId="245E52D8" w14:textId="77777777" w:rsidR="003C1767" w:rsidRDefault="003C1767" w:rsidP="003C1767">
      <w:pPr>
        <w:pStyle w:val="paragraph"/>
        <w:spacing w:before="0" w:beforeAutospacing="0" w:after="0" w:afterAutospacing="0"/>
        <w:textAlignment w:val="baseline"/>
        <w:rPr>
          <w:rFonts w:ascii="Segoe UI" w:hAnsi="Segoe UI" w:cs="Segoe UI"/>
          <w:sz w:val="18"/>
          <w:szCs w:val="18"/>
        </w:rPr>
      </w:pPr>
      <w:r w:rsidRPr="2F6C4C2E">
        <w:rPr>
          <w:rStyle w:val="normaltextrun"/>
          <w:rFonts w:ascii="Tahoma" w:hAnsi="Tahoma" w:cs="Tahoma"/>
          <w:color w:val="000000" w:themeColor="text1"/>
        </w:rPr>
        <w:t>Funding of proposed projects from this solicitation is contingent upon the approval of these projects at a publicly noticed CEC business meeting and execution of a grant agreement. </w:t>
      </w:r>
      <w:r w:rsidRPr="2F6C4C2E">
        <w:rPr>
          <w:rStyle w:val="normaltextrun"/>
          <w:rFonts w:ascii="Tahoma" w:hAnsi="Tahoma" w:cs="Tahoma"/>
        </w:rPr>
        <w:t>If the CEC is unable to negotiate and execute a funding agreement with an applicant in a timely manner, the CEC, at its sole discretion, reserves the right to cancel or otherwise modify the pending award, and award the funds to another applicant.</w:t>
      </w:r>
      <w:r w:rsidRPr="2F6C4C2E">
        <w:rPr>
          <w:rStyle w:val="eop"/>
          <w:rFonts w:ascii="Tahoma" w:hAnsi="Tahoma" w:cs="Tahoma"/>
        </w:rPr>
        <w:t> </w:t>
      </w:r>
    </w:p>
    <w:p w14:paraId="723A6B5F" w14:textId="77777777" w:rsidR="00EA6D1C" w:rsidRPr="00D72329" w:rsidRDefault="00EA6D1C" w:rsidP="00EA6D1C">
      <w:pPr>
        <w:autoSpaceDE w:val="0"/>
        <w:autoSpaceDN w:val="0"/>
        <w:adjustRightInd w:val="0"/>
        <w:rPr>
          <w:rFonts w:ascii="Tahoma" w:hAnsi="Tahoma" w:cs="Tahoma"/>
          <w:color w:val="000000"/>
        </w:rPr>
      </w:pPr>
    </w:p>
    <w:p w14:paraId="46362228" w14:textId="77777777" w:rsidR="00EA6D1C" w:rsidRPr="00D72329" w:rsidRDefault="00EA6D1C" w:rsidP="00EA6D1C">
      <w:pPr>
        <w:autoSpaceDE w:val="0"/>
        <w:autoSpaceDN w:val="0"/>
        <w:adjustRightInd w:val="0"/>
        <w:rPr>
          <w:rFonts w:ascii="Tahoma" w:hAnsi="Tahoma" w:cs="Tahoma"/>
        </w:rPr>
      </w:pPr>
      <w:r w:rsidRPr="00D72329">
        <w:rPr>
          <w:rFonts w:ascii="Tahoma" w:hAnsi="Tahoma" w:cs="Tahoma"/>
        </w:rPr>
        <w:t xml:space="preserve">In addition, the CEC reserves the right to: 1) add to, remove, or shift funding between the different groups if there are insufficient passing proposals in one </w:t>
      </w:r>
      <w:r w:rsidRPr="00D72329">
        <w:rPr>
          <w:rFonts w:ascii="Tahoma" w:hAnsi="Tahoma" w:cs="Tahoma"/>
        </w:rPr>
        <w:lastRenderedPageBreak/>
        <w:t>group; and 2) negotiate with successful applicants to modify the project scope, schedule, or level of funding.</w:t>
      </w:r>
    </w:p>
    <w:p w14:paraId="25C9421B" w14:textId="77777777" w:rsidR="00EA6D1C" w:rsidRPr="00D72329" w:rsidRDefault="00EA6D1C" w:rsidP="00EA6D1C">
      <w:pPr>
        <w:autoSpaceDE w:val="0"/>
        <w:autoSpaceDN w:val="0"/>
        <w:adjustRightInd w:val="0"/>
        <w:rPr>
          <w:rFonts w:ascii="Tahoma" w:hAnsi="Tahoma" w:cs="Tahoma"/>
          <w:color w:val="000000"/>
        </w:rPr>
      </w:pPr>
    </w:p>
    <w:p w14:paraId="34F9DD07" w14:textId="77777777" w:rsidR="00EA6D1C" w:rsidRPr="00DC6FF2" w:rsidRDefault="00EA6D1C" w:rsidP="00EA6D1C">
      <w:pPr>
        <w:autoSpaceDE w:val="0"/>
        <w:autoSpaceDN w:val="0"/>
        <w:adjustRightInd w:val="0"/>
        <w:rPr>
          <w:rFonts w:ascii="Tahoma" w:hAnsi="Tahoma" w:cs="Tahoma"/>
        </w:rPr>
      </w:pPr>
      <w:r w:rsidRPr="00D72329">
        <w:rPr>
          <w:rFonts w:ascii="Tahoma" w:hAnsi="Tahoma" w:cs="Tahoma"/>
          <w:color w:val="000000"/>
        </w:rPr>
        <w:t xml:space="preserve">This notice is posted on the </w:t>
      </w:r>
      <w:hyperlink r:id="rId8" w:history="1">
        <w:r w:rsidRPr="00D72329">
          <w:rPr>
            <w:rStyle w:val="Hyperlink"/>
            <w:rFonts w:ascii="Tahoma" w:hAnsi="Tahoma" w:cs="Tahoma"/>
          </w:rPr>
          <w:t>CEC’s website</w:t>
        </w:r>
      </w:hyperlink>
      <w:r w:rsidRPr="00D72329">
        <w:rPr>
          <w:rFonts w:ascii="Tahoma" w:hAnsi="Tahoma" w:cs="Tahoma"/>
          <w:color w:val="000000"/>
        </w:rPr>
        <w:t xml:space="preserve"> at </w:t>
      </w:r>
      <w:r w:rsidRPr="00D72329">
        <w:rPr>
          <w:rFonts w:ascii="Tahoma" w:hAnsi="Tahoma" w:cs="Tahoma"/>
        </w:rPr>
        <w:t>www.energy.ca.gov/contracts/</w:t>
      </w:r>
      <w:r w:rsidRPr="00DC6FF2">
        <w:rPr>
          <w:rFonts w:ascii="Tahoma" w:hAnsi="Tahoma" w:cs="Tahoma"/>
        </w:rPr>
        <w:t>.</w:t>
      </w:r>
    </w:p>
    <w:p w14:paraId="70A11980" w14:textId="62D6570B" w:rsidR="00EA6D1C" w:rsidRPr="00D72329" w:rsidRDefault="00EA6D1C" w:rsidP="00EA6D1C">
      <w:pPr>
        <w:rPr>
          <w:rFonts w:ascii="Tahoma" w:hAnsi="Tahoma" w:cs="Tahoma"/>
        </w:rPr>
      </w:pPr>
      <w:r w:rsidRPr="00D72329">
        <w:rPr>
          <w:rFonts w:ascii="Tahoma" w:hAnsi="Tahoma" w:cs="Tahoma"/>
          <w:color w:val="000000"/>
        </w:rPr>
        <w:t>For information, please contact</w:t>
      </w:r>
      <w:r w:rsidR="003C1767">
        <w:rPr>
          <w:rFonts w:ascii="Tahoma" w:hAnsi="Tahoma" w:cs="Tahoma"/>
          <w:color w:val="548DD4"/>
        </w:rPr>
        <w:t xml:space="preserve"> </w:t>
      </w:r>
      <w:r w:rsidR="003C1767" w:rsidRPr="003C1767">
        <w:rPr>
          <w:rFonts w:ascii="Tahoma" w:hAnsi="Tahoma" w:cs="Tahoma"/>
        </w:rPr>
        <w:t>Brad Worster,</w:t>
      </w:r>
      <w:r w:rsidRPr="003C1767">
        <w:rPr>
          <w:rFonts w:ascii="Tahoma" w:hAnsi="Tahoma" w:cs="Tahoma"/>
        </w:rPr>
        <w:t xml:space="preserve"> Commission </w:t>
      </w:r>
      <w:r w:rsidRPr="00D72329">
        <w:rPr>
          <w:rFonts w:ascii="Tahoma" w:hAnsi="Tahoma" w:cs="Tahoma"/>
        </w:rPr>
        <w:t xml:space="preserve">Agreement Officer, at </w:t>
      </w:r>
      <w:hyperlink r:id="rId9" w:history="1">
        <w:r w:rsidR="003C1767" w:rsidRPr="008C31D3">
          <w:rPr>
            <w:rStyle w:val="Hyperlink"/>
            <w:rFonts w:ascii="Tahoma" w:hAnsi="Tahoma" w:cs="Tahoma"/>
          </w:rPr>
          <w:t>brad.worster@energy.ca.gov</w:t>
        </w:r>
      </w:hyperlink>
      <w:r w:rsidRPr="00D72329">
        <w:rPr>
          <w:rFonts w:ascii="Tahoma" w:hAnsi="Tahoma" w:cs="Tahoma"/>
          <w:color w:val="548DD4"/>
        </w:rPr>
        <w:t>.</w:t>
      </w:r>
      <w:r w:rsidR="003C1767">
        <w:rPr>
          <w:rFonts w:ascii="Tahoma" w:hAnsi="Tahoma" w:cs="Tahoma"/>
          <w:color w:val="548DD4"/>
        </w:rPr>
        <w:t xml:space="preserve"> </w:t>
      </w:r>
    </w:p>
    <w:p w14:paraId="6F5C3A09" w14:textId="77777777" w:rsidR="00EA6D1C" w:rsidRDefault="00EA6D1C" w:rsidP="00EA6D1C">
      <w:pPr>
        <w:rPr>
          <w:rFonts w:ascii="Tahoma" w:hAnsi="Tahoma" w:cs="Tahoma"/>
        </w:rPr>
      </w:pPr>
    </w:p>
    <w:p w14:paraId="402B52E5" w14:textId="77777777" w:rsidR="00EA6D1C" w:rsidRPr="00AF686D" w:rsidRDefault="00EA6D1C" w:rsidP="00EA6D1C">
      <w:pPr>
        <w:rPr>
          <w:rFonts w:ascii="Tahoma" w:hAnsi="Tahoma" w:cs="Tahoma"/>
        </w:rPr>
      </w:pPr>
      <w:r w:rsidRPr="00AF686D">
        <w:rPr>
          <w:rFonts w:ascii="Tahoma" w:hAnsi="Tahoma" w:cs="Tahoma"/>
        </w:rPr>
        <w:t>Attachment:</w:t>
      </w:r>
    </w:p>
    <w:p w14:paraId="5917FD1F" w14:textId="48A37E68" w:rsidR="00EA6D1C" w:rsidRDefault="00EA6D1C" w:rsidP="00EA6D1C">
      <w:pPr>
        <w:rPr>
          <w:rFonts w:ascii="Tahoma" w:hAnsi="Tahoma" w:cs="Tahoma"/>
        </w:rPr>
      </w:pPr>
      <w:r w:rsidRPr="003C1767">
        <w:rPr>
          <w:rFonts w:ascii="Tahoma" w:hAnsi="Tahoma" w:cs="Tahoma"/>
        </w:rPr>
        <w:t xml:space="preserve">To access the embedded attachment double click on the Excel icon to view the </w:t>
      </w:r>
      <w:r w:rsidR="003C1767" w:rsidRPr="003C1767">
        <w:rPr>
          <w:rFonts w:ascii="Tahoma" w:hAnsi="Tahoma" w:cs="Tahoma"/>
        </w:rPr>
        <w:t>GFO-20-304</w:t>
      </w:r>
      <w:r w:rsidRPr="003C1767">
        <w:rPr>
          <w:rFonts w:ascii="Tahoma" w:hAnsi="Tahoma" w:cs="Tahoma"/>
        </w:rPr>
        <w:t xml:space="preserve"> NOPA results tables</w:t>
      </w:r>
      <w:r w:rsidRPr="00AF686D">
        <w:rPr>
          <w:rFonts w:ascii="Tahoma" w:hAnsi="Tahoma" w:cs="Tahoma"/>
        </w:rPr>
        <w:t>.</w:t>
      </w:r>
    </w:p>
    <w:p w14:paraId="43353D30" w14:textId="6C79395F" w:rsidR="003C1767" w:rsidRDefault="003C1767" w:rsidP="00EA6D1C">
      <w:pPr>
        <w:rPr>
          <w:rFonts w:ascii="Tahoma" w:hAnsi="Tahoma" w:cs="Tahoma"/>
        </w:rPr>
      </w:pPr>
    </w:p>
    <w:bookmarkStart w:id="0" w:name="_MON_1678019616"/>
    <w:bookmarkEnd w:id="0"/>
    <w:p w14:paraId="019AD0AD" w14:textId="305DD4B3" w:rsidR="003C1767" w:rsidRDefault="00B07C3C" w:rsidP="00EA6D1C">
      <w:pPr>
        <w:rPr>
          <w:rFonts w:ascii="Tahoma" w:hAnsi="Tahoma" w:cs="Tahoma"/>
        </w:rPr>
      </w:pPr>
      <w:r>
        <w:rPr>
          <w:rFonts w:ascii="Tahoma" w:hAnsi="Tahoma" w:cs="Tahoma"/>
        </w:rPr>
        <w:object w:dxaOrig="1376" w:dyaOrig="899" w14:anchorId="06092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o access the embedded attachment double click on the Excel icon to view the GFO-20-304 NOPA results tables." style="width:69pt;height:45pt" o:ole="">
            <v:imagedata r:id="rId10" o:title=""/>
            <w10:bordertop type="single" width="12"/>
            <w10:borderleft type="single" width="12"/>
            <w10:borderbottom type="single" width="12"/>
            <w10:borderright type="single" width="12"/>
          </v:shape>
          <o:OLEObject Type="Embed" ProgID="Excel.Sheet.12" ShapeID="_x0000_i1028" DrawAspect="Icon" ObjectID="_1678020037" r:id="rId11"/>
        </w:object>
      </w:r>
    </w:p>
    <w:p w14:paraId="0856779D" w14:textId="77777777" w:rsidR="00EA6D1C" w:rsidRDefault="00EA6D1C" w:rsidP="00EA6D1C">
      <w:pPr>
        <w:rPr>
          <w:rFonts w:ascii="Tahoma" w:hAnsi="Tahoma" w:cs="Tahoma"/>
        </w:rPr>
      </w:pPr>
    </w:p>
    <w:p w14:paraId="4F8126A4" w14:textId="784D27FE" w:rsidR="009E6C35" w:rsidRPr="00EA6D1C" w:rsidRDefault="009E6C35" w:rsidP="00EA6D1C"/>
    <w:sectPr w:rsidR="009E6C35" w:rsidRPr="00EA6D1C" w:rsidSect="002D11A5">
      <w:head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CCB47" w14:textId="77777777" w:rsidR="00BE5264" w:rsidRDefault="00BE5264" w:rsidP="00F86D2B">
      <w:r>
        <w:separator/>
      </w:r>
    </w:p>
  </w:endnote>
  <w:endnote w:type="continuationSeparator" w:id="0">
    <w:p w14:paraId="0B75C992" w14:textId="77777777" w:rsidR="00BE5264" w:rsidRDefault="00BE5264" w:rsidP="00F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2D11A5" w:rsidRDefault="002D11A5" w:rsidP="002D11A5">
    <w:pPr>
      <w:pStyle w:val="Footer"/>
      <w:ind w:hanging="1800"/>
    </w:pPr>
    <w:r>
      <w:rPr>
        <w:noProof/>
      </w:rPr>
      <w:drawing>
        <wp:inline distT="0" distB="0" distL="0" distR="0" wp14:anchorId="5DD1AA04" wp14:editId="7CF60054">
          <wp:extent cx="7776000"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m_word.gif"/>
                  <pic:cNvPicPr/>
                </pic:nvPicPr>
                <pic:blipFill>
                  <a:blip r:embed="rId1"/>
                  <a:stretch>
                    <a:fillRect/>
                  </a:stretch>
                </pic:blipFill>
                <pic:spPr>
                  <a:xfrm>
                    <a:off x="0" y="0"/>
                    <a:ext cx="7804444" cy="12618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09E7B" w14:textId="77777777" w:rsidR="00BE5264" w:rsidRDefault="00BE5264" w:rsidP="00F86D2B">
      <w:r>
        <w:separator/>
      </w:r>
    </w:p>
  </w:footnote>
  <w:footnote w:type="continuationSeparator" w:id="0">
    <w:p w14:paraId="626E8C42" w14:textId="77777777" w:rsidR="00BE5264" w:rsidRDefault="00BE5264" w:rsidP="00F8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3FEFF3ED" w14:textId="77777777" w:rsidR="00751C0F" w:rsidRDefault="00751C0F">
    <w:pPr>
      <w:pStyle w:val="Heade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1BB0"/>
    <w:multiLevelType w:val="hybridMultilevel"/>
    <w:tmpl w:val="B130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27125"/>
    <w:rsid w:val="000557AC"/>
    <w:rsid w:val="001328CF"/>
    <w:rsid w:val="0014731B"/>
    <w:rsid w:val="001F62F3"/>
    <w:rsid w:val="002A5F7A"/>
    <w:rsid w:val="002D11A5"/>
    <w:rsid w:val="00300FB1"/>
    <w:rsid w:val="003C1767"/>
    <w:rsid w:val="003E0D2D"/>
    <w:rsid w:val="003F3166"/>
    <w:rsid w:val="00415DE9"/>
    <w:rsid w:val="00430859"/>
    <w:rsid w:val="00437D5F"/>
    <w:rsid w:val="004504D5"/>
    <w:rsid w:val="00464DF5"/>
    <w:rsid w:val="004A4C18"/>
    <w:rsid w:val="00524EA9"/>
    <w:rsid w:val="00527817"/>
    <w:rsid w:val="005568CA"/>
    <w:rsid w:val="00577D95"/>
    <w:rsid w:val="006511D6"/>
    <w:rsid w:val="006A57AF"/>
    <w:rsid w:val="006D3827"/>
    <w:rsid w:val="006E146A"/>
    <w:rsid w:val="007134AE"/>
    <w:rsid w:val="007211FC"/>
    <w:rsid w:val="00751C0F"/>
    <w:rsid w:val="0077265A"/>
    <w:rsid w:val="00777798"/>
    <w:rsid w:val="0078154A"/>
    <w:rsid w:val="00783717"/>
    <w:rsid w:val="0081533B"/>
    <w:rsid w:val="00847BA8"/>
    <w:rsid w:val="00891290"/>
    <w:rsid w:val="008E1433"/>
    <w:rsid w:val="008E3926"/>
    <w:rsid w:val="008E7852"/>
    <w:rsid w:val="00910710"/>
    <w:rsid w:val="009407F5"/>
    <w:rsid w:val="009E6C35"/>
    <w:rsid w:val="009E754B"/>
    <w:rsid w:val="00A15FA8"/>
    <w:rsid w:val="00A17202"/>
    <w:rsid w:val="00A3384C"/>
    <w:rsid w:val="00A36CF5"/>
    <w:rsid w:val="00A73089"/>
    <w:rsid w:val="00AD21FC"/>
    <w:rsid w:val="00AE05B9"/>
    <w:rsid w:val="00B07C3C"/>
    <w:rsid w:val="00B80E72"/>
    <w:rsid w:val="00B84D31"/>
    <w:rsid w:val="00BA1317"/>
    <w:rsid w:val="00BB5DCD"/>
    <w:rsid w:val="00BE5264"/>
    <w:rsid w:val="00C03527"/>
    <w:rsid w:val="00C67037"/>
    <w:rsid w:val="00C96BDD"/>
    <w:rsid w:val="00CE3E10"/>
    <w:rsid w:val="00D32C3D"/>
    <w:rsid w:val="00D431C2"/>
    <w:rsid w:val="00D43B83"/>
    <w:rsid w:val="00E210F6"/>
    <w:rsid w:val="00EA6D1C"/>
    <w:rsid w:val="00EA7BDE"/>
    <w:rsid w:val="00F10DFF"/>
    <w:rsid w:val="00F86D2B"/>
    <w:rsid w:val="00F90F6B"/>
    <w:rsid w:val="00F947AC"/>
    <w:rsid w:val="00F95D8D"/>
    <w:rsid w:val="00F9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3A769B70-D77B-4F71-BF72-2C04479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EA6D1C"/>
    <w:rPr>
      <w:sz w:val="16"/>
      <w:szCs w:val="16"/>
    </w:rPr>
  </w:style>
  <w:style w:type="paragraph" w:styleId="CommentText">
    <w:name w:val="annotation text"/>
    <w:basedOn w:val="Normal"/>
    <w:link w:val="CommentTextChar"/>
    <w:uiPriority w:val="99"/>
    <w:semiHidden/>
    <w:unhideWhenUsed/>
    <w:rsid w:val="00EA6D1C"/>
    <w:rPr>
      <w:sz w:val="20"/>
      <w:szCs w:val="20"/>
    </w:rPr>
  </w:style>
  <w:style w:type="character" w:customStyle="1" w:styleId="CommentTextChar">
    <w:name w:val="Comment Text Char"/>
    <w:basedOn w:val="DefaultParagraphFont"/>
    <w:link w:val="CommentText"/>
    <w:uiPriority w:val="99"/>
    <w:semiHidden/>
    <w:rsid w:val="00EA6D1C"/>
    <w:rPr>
      <w:sz w:val="20"/>
      <w:szCs w:val="20"/>
    </w:rPr>
  </w:style>
  <w:style w:type="paragraph" w:customStyle="1" w:styleId="paragraph">
    <w:name w:val="paragraph"/>
    <w:basedOn w:val="Normal"/>
    <w:rsid w:val="003C17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C1767"/>
  </w:style>
  <w:style w:type="character" w:customStyle="1" w:styleId="eop">
    <w:name w:val="eop"/>
    <w:basedOn w:val="DefaultParagraphFont"/>
    <w:rsid w:val="003C1767"/>
  </w:style>
  <w:style w:type="character" w:styleId="UnresolvedMention">
    <w:name w:val="Unresolved Mention"/>
    <w:basedOn w:val="DefaultParagraphFont"/>
    <w:uiPriority w:val="99"/>
    <w:semiHidden/>
    <w:unhideWhenUsed/>
    <w:rsid w:val="003C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rad.worster@energy.c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240D-D9D5-4723-B18D-0DF945D2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Worster, Brad@Energy</cp:lastModifiedBy>
  <cp:revision>6</cp:revision>
  <cp:lastPrinted>2019-04-08T16:38:00Z</cp:lastPrinted>
  <dcterms:created xsi:type="dcterms:W3CDTF">2021-03-23T18:58:00Z</dcterms:created>
  <dcterms:modified xsi:type="dcterms:W3CDTF">2021-03-23T22:54:00Z</dcterms:modified>
</cp:coreProperties>
</file>