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2"/>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64FDE5CF"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3</w:t>
      </w:r>
      <w:r w:rsidR="000908DF" w:rsidRPr="00932308">
        <w:rPr>
          <w:rFonts w:ascii="Arial" w:hAnsi="Arial"/>
          <w:noProof/>
          <w:sz w:val="24"/>
          <w:szCs w:val="24"/>
        </w:rPr>
        <w:fldChar w:fldCharType="end"/>
      </w:r>
    </w:p>
    <w:p w14:paraId="544DB0CE" w14:textId="1A7B88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w:t>
      </w:r>
      <w:r w:rsidRPr="00932308">
        <w:rPr>
          <w:rFonts w:ascii="Arial" w:hAnsi="Arial"/>
          <w:noProof/>
          <w:sz w:val="24"/>
          <w:szCs w:val="24"/>
        </w:rPr>
        <w:fldChar w:fldCharType="end"/>
      </w:r>
    </w:p>
    <w:p w14:paraId="4384B710" w14:textId="6103057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w:t>
      </w:r>
      <w:r w:rsidRPr="00932308">
        <w:rPr>
          <w:rFonts w:ascii="Arial" w:hAnsi="Arial"/>
          <w:noProof/>
          <w:sz w:val="24"/>
          <w:szCs w:val="24"/>
        </w:rPr>
        <w:fldChar w:fldCharType="end"/>
      </w:r>
    </w:p>
    <w:p w14:paraId="556FADB0" w14:textId="4BAE3E0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6</w:t>
      </w:r>
      <w:r w:rsidRPr="00932308">
        <w:rPr>
          <w:rFonts w:ascii="Arial" w:hAnsi="Arial"/>
          <w:noProof/>
          <w:sz w:val="24"/>
          <w:szCs w:val="24"/>
        </w:rPr>
        <w:fldChar w:fldCharType="end"/>
      </w:r>
    </w:p>
    <w:p w14:paraId="386720B7" w14:textId="43C91411"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E80507">
        <w:rPr>
          <w:rFonts w:ascii="Arial" w:hAnsi="Arial"/>
          <w:noProof/>
          <w:sz w:val="24"/>
          <w:szCs w:val="24"/>
        </w:rPr>
        <w:t>7</w:t>
      </w:r>
      <w:r w:rsidR="000908DF" w:rsidRPr="00932308">
        <w:rPr>
          <w:rFonts w:ascii="Arial" w:hAnsi="Arial"/>
          <w:noProof/>
          <w:sz w:val="24"/>
          <w:szCs w:val="24"/>
        </w:rPr>
        <w:fldChar w:fldCharType="end"/>
      </w:r>
    </w:p>
    <w:p w14:paraId="675ED5E8" w14:textId="52D29D16"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15</w:t>
      </w:r>
      <w:r w:rsidRPr="00932308">
        <w:rPr>
          <w:rFonts w:ascii="Arial" w:hAnsi="Arial"/>
          <w:noProof/>
          <w:sz w:val="24"/>
          <w:szCs w:val="24"/>
        </w:rPr>
        <w:fldChar w:fldCharType="end"/>
      </w:r>
    </w:p>
    <w:p w14:paraId="3C4125C9" w14:textId="01A586D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17</w:t>
      </w:r>
      <w:r w:rsidRPr="00932308">
        <w:rPr>
          <w:rFonts w:ascii="Arial" w:hAnsi="Arial"/>
          <w:noProof/>
          <w:sz w:val="24"/>
          <w:szCs w:val="24"/>
        </w:rPr>
        <w:fldChar w:fldCharType="end"/>
      </w:r>
    </w:p>
    <w:p w14:paraId="2A535734" w14:textId="08ABB31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18</w:t>
      </w:r>
      <w:r w:rsidRPr="00932308">
        <w:rPr>
          <w:rFonts w:ascii="Arial" w:hAnsi="Arial"/>
          <w:noProof/>
          <w:sz w:val="24"/>
          <w:szCs w:val="24"/>
        </w:rPr>
        <w:fldChar w:fldCharType="end"/>
      </w:r>
    </w:p>
    <w:p w14:paraId="5A452ECB" w14:textId="1453EA6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19</w:t>
      </w:r>
      <w:r w:rsidRPr="00932308">
        <w:rPr>
          <w:rFonts w:ascii="Arial" w:hAnsi="Arial"/>
          <w:noProof/>
          <w:sz w:val="24"/>
          <w:szCs w:val="24"/>
        </w:rPr>
        <w:fldChar w:fldCharType="end"/>
      </w:r>
    </w:p>
    <w:p w14:paraId="2B2117D6" w14:textId="34E9B29B"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2F9C2A69" w14:textId="308BB1D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30</w:t>
      </w:r>
      <w:r w:rsidRPr="00932308">
        <w:rPr>
          <w:rFonts w:ascii="Arial" w:hAnsi="Arial"/>
          <w:noProof/>
          <w:sz w:val="24"/>
          <w:szCs w:val="24"/>
        </w:rPr>
        <w:fldChar w:fldCharType="end"/>
      </w:r>
    </w:p>
    <w:p w14:paraId="1513C46E" w14:textId="6557E3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31</w:t>
      </w:r>
      <w:r w:rsidRPr="00932308">
        <w:rPr>
          <w:rFonts w:ascii="Arial" w:hAnsi="Arial"/>
          <w:noProof/>
          <w:sz w:val="24"/>
          <w:szCs w:val="24"/>
        </w:rPr>
        <w:fldChar w:fldCharType="end"/>
      </w:r>
    </w:p>
    <w:p w14:paraId="326371F9" w14:textId="1D335B61"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2C183846" w14:textId="3B31804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34</w:t>
      </w:r>
      <w:r w:rsidRPr="00932308">
        <w:rPr>
          <w:rFonts w:ascii="Arial" w:hAnsi="Arial"/>
          <w:noProof/>
          <w:sz w:val="24"/>
          <w:szCs w:val="24"/>
        </w:rPr>
        <w:fldChar w:fldCharType="end"/>
      </w:r>
    </w:p>
    <w:p w14:paraId="38338E9A" w14:textId="555C294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2CF27420" w14:textId="42E92BA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36</w:t>
      </w:r>
      <w:r w:rsidRPr="00932308">
        <w:rPr>
          <w:rFonts w:ascii="Arial" w:hAnsi="Arial"/>
          <w:noProof/>
          <w:sz w:val="24"/>
          <w:szCs w:val="24"/>
        </w:rPr>
        <w:fldChar w:fldCharType="end"/>
      </w:r>
    </w:p>
    <w:p w14:paraId="6C5DC2B8" w14:textId="7104A64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37</w:t>
      </w:r>
      <w:r w:rsidRPr="00932308">
        <w:rPr>
          <w:rFonts w:ascii="Arial" w:hAnsi="Arial"/>
          <w:noProof/>
          <w:sz w:val="24"/>
          <w:szCs w:val="24"/>
        </w:rPr>
        <w:fldChar w:fldCharType="end"/>
      </w:r>
    </w:p>
    <w:p w14:paraId="6403F78A" w14:textId="5F6AC9B2"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073C5C27" w14:textId="1020B4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44</w:t>
      </w:r>
      <w:r w:rsidRPr="00932308">
        <w:rPr>
          <w:rFonts w:ascii="Arial" w:hAnsi="Arial"/>
          <w:noProof/>
          <w:sz w:val="24"/>
          <w:szCs w:val="24"/>
        </w:rPr>
        <w:fldChar w:fldCharType="end"/>
      </w:r>
    </w:p>
    <w:p w14:paraId="31A7F0AD" w14:textId="61A6087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45</w:t>
      </w:r>
      <w:r w:rsidRPr="00932308">
        <w:rPr>
          <w:rFonts w:ascii="Arial" w:hAnsi="Arial"/>
          <w:noProof/>
          <w:sz w:val="24"/>
          <w:szCs w:val="24"/>
        </w:rPr>
        <w:fldChar w:fldCharType="end"/>
      </w:r>
    </w:p>
    <w:p w14:paraId="12C8F2A5" w14:textId="64131FC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46</w:t>
      </w:r>
      <w:r w:rsidRPr="00932308">
        <w:rPr>
          <w:rFonts w:ascii="Arial" w:hAnsi="Arial"/>
          <w:noProof/>
          <w:sz w:val="24"/>
          <w:szCs w:val="24"/>
        </w:rPr>
        <w:fldChar w:fldCharType="end"/>
      </w:r>
    </w:p>
    <w:p w14:paraId="42115698" w14:textId="42349E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47</w:t>
      </w:r>
      <w:r w:rsidRPr="00932308">
        <w:rPr>
          <w:rFonts w:ascii="Arial" w:hAnsi="Arial"/>
          <w:noProof/>
          <w:sz w:val="24"/>
          <w:szCs w:val="24"/>
        </w:rPr>
        <w:fldChar w:fldCharType="end"/>
      </w:r>
    </w:p>
    <w:p w14:paraId="2E33D6F8" w14:textId="0A12DED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48</w:t>
      </w:r>
      <w:r w:rsidRPr="00932308">
        <w:rPr>
          <w:rFonts w:ascii="Arial" w:hAnsi="Arial"/>
          <w:noProof/>
          <w:sz w:val="24"/>
          <w:szCs w:val="24"/>
        </w:rPr>
        <w:fldChar w:fldCharType="end"/>
      </w:r>
    </w:p>
    <w:p w14:paraId="15CAA217" w14:textId="2AA601B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49</w:t>
      </w:r>
      <w:r w:rsidRPr="00932308">
        <w:rPr>
          <w:rFonts w:ascii="Arial" w:hAnsi="Arial"/>
          <w:noProof/>
          <w:sz w:val="24"/>
          <w:szCs w:val="24"/>
        </w:rPr>
        <w:fldChar w:fldCharType="end"/>
      </w:r>
    </w:p>
    <w:p w14:paraId="19B91676" w14:textId="2319FF0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50</w:t>
      </w:r>
      <w:r w:rsidRPr="00932308">
        <w:rPr>
          <w:rFonts w:ascii="Arial" w:hAnsi="Arial"/>
          <w:noProof/>
          <w:sz w:val="24"/>
          <w:szCs w:val="24"/>
        </w:rPr>
        <w:fldChar w:fldCharType="end"/>
      </w:r>
    </w:p>
    <w:p w14:paraId="6C9F78FE" w14:textId="6DA264F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E80507">
        <w:rPr>
          <w:rFonts w:ascii="Arial" w:hAnsi="Arial"/>
          <w:noProof/>
          <w:sz w:val="24"/>
          <w:szCs w:val="24"/>
        </w:rPr>
        <w:t>59</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DA334D"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7EF94002"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iii</w:t>
        </w:r>
        <w:r w:rsidR="000908DF" w:rsidRPr="00932308">
          <w:rPr>
            <w:smallCaps/>
            <w:noProof/>
            <w:webHidden/>
            <w:sz w:val="24"/>
            <w:szCs w:val="24"/>
          </w:rPr>
          <w:fldChar w:fldCharType="end"/>
        </w:r>
      </w:hyperlink>
    </w:p>
    <w:p w14:paraId="0ABC2F09" w14:textId="382EF1E2" w:rsidR="000908DF" w:rsidRPr="00932308" w:rsidRDefault="00DA334D">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06527E9" w14:textId="5E10A6C0" w:rsidR="000908DF" w:rsidRPr="00932308" w:rsidRDefault="00DA334D">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w:t>
        </w:r>
        <w:r w:rsidR="000908DF" w:rsidRPr="00932308">
          <w:rPr>
            <w:smallCaps/>
            <w:noProof/>
            <w:webHidden/>
            <w:sz w:val="24"/>
            <w:szCs w:val="24"/>
          </w:rPr>
          <w:fldChar w:fldCharType="end"/>
        </w:r>
      </w:hyperlink>
    </w:p>
    <w:p w14:paraId="73B905F6" w14:textId="0534E290" w:rsidR="000908DF" w:rsidRPr="00932308" w:rsidRDefault="00DA334D">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8</w:t>
        </w:r>
        <w:r w:rsidR="000908DF" w:rsidRPr="00932308">
          <w:rPr>
            <w:smallCaps/>
            <w:noProof/>
            <w:webHidden/>
            <w:sz w:val="24"/>
            <w:szCs w:val="24"/>
          </w:rPr>
          <w:fldChar w:fldCharType="end"/>
        </w:r>
      </w:hyperlink>
    </w:p>
    <w:p w14:paraId="1C269300" w14:textId="1B6BE50D" w:rsidR="000908DF" w:rsidRPr="00932308" w:rsidRDefault="00DA334D">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12</w:t>
        </w:r>
        <w:r w:rsidR="000908DF" w:rsidRPr="00932308">
          <w:rPr>
            <w:smallCaps/>
            <w:noProof/>
            <w:webHidden/>
            <w:sz w:val="24"/>
            <w:szCs w:val="24"/>
          </w:rPr>
          <w:fldChar w:fldCharType="end"/>
        </w:r>
      </w:hyperlink>
    </w:p>
    <w:p w14:paraId="0EE21862" w14:textId="1BF6C6C6" w:rsidR="000908DF" w:rsidRPr="00932308" w:rsidRDefault="00DA334D">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14</w:t>
        </w:r>
        <w:r w:rsidR="000908DF" w:rsidRPr="00932308">
          <w:rPr>
            <w:smallCaps/>
            <w:noProof/>
            <w:webHidden/>
            <w:sz w:val="24"/>
            <w:szCs w:val="24"/>
          </w:rPr>
          <w:fldChar w:fldCharType="end"/>
        </w:r>
      </w:hyperlink>
    </w:p>
    <w:p w14:paraId="12CE0F9E" w14:textId="0BAD79B7" w:rsidR="000908DF" w:rsidRPr="00932308" w:rsidRDefault="00DA334D">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15</w:t>
        </w:r>
        <w:r w:rsidR="000908DF" w:rsidRPr="00932308">
          <w:rPr>
            <w:smallCaps/>
            <w:noProof/>
            <w:webHidden/>
            <w:sz w:val="24"/>
            <w:szCs w:val="24"/>
          </w:rPr>
          <w:fldChar w:fldCharType="end"/>
        </w:r>
      </w:hyperlink>
    </w:p>
    <w:p w14:paraId="0639D3BA" w14:textId="488E0C0F" w:rsidR="000908DF" w:rsidRPr="00932308" w:rsidRDefault="00DA334D">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16</w:t>
        </w:r>
        <w:r w:rsidR="000908DF" w:rsidRPr="00932308">
          <w:rPr>
            <w:smallCaps/>
            <w:noProof/>
            <w:webHidden/>
            <w:sz w:val="24"/>
            <w:szCs w:val="24"/>
          </w:rPr>
          <w:fldChar w:fldCharType="end"/>
        </w:r>
      </w:hyperlink>
    </w:p>
    <w:p w14:paraId="737C4A4D" w14:textId="5646D3E3" w:rsidR="000908DF" w:rsidRPr="00932308" w:rsidRDefault="00DA334D">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17</w:t>
        </w:r>
        <w:r w:rsidR="000908DF" w:rsidRPr="00932308">
          <w:rPr>
            <w:smallCaps/>
            <w:noProof/>
            <w:webHidden/>
            <w:sz w:val="24"/>
            <w:szCs w:val="24"/>
          </w:rPr>
          <w:fldChar w:fldCharType="end"/>
        </w:r>
      </w:hyperlink>
    </w:p>
    <w:p w14:paraId="023B73F9" w14:textId="45CB17A7" w:rsidR="000908DF" w:rsidRPr="00932308" w:rsidRDefault="00DA334D">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34</w:t>
        </w:r>
        <w:r w:rsidR="000908DF" w:rsidRPr="00932308">
          <w:rPr>
            <w:smallCaps/>
            <w:noProof/>
            <w:webHidden/>
            <w:sz w:val="24"/>
            <w:szCs w:val="24"/>
          </w:rPr>
          <w:fldChar w:fldCharType="end"/>
        </w:r>
      </w:hyperlink>
    </w:p>
    <w:p w14:paraId="3DDCBEA5" w14:textId="41622E70" w:rsidR="000908DF" w:rsidRPr="00932308" w:rsidRDefault="00DA334D">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35</w:t>
        </w:r>
        <w:r w:rsidR="000908DF" w:rsidRPr="00932308">
          <w:rPr>
            <w:smallCaps/>
            <w:noProof/>
            <w:webHidden/>
            <w:sz w:val="24"/>
            <w:szCs w:val="24"/>
          </w:rPr>
          <w:fldChar w:fldCharType="end"/>
        </w:r>
      </w:hyperlink>
    </w:p>
    <w:p w14:paraId="588A99B5" w14:textId="7F0FB563" w:rsidR="000908DF" w:rsidRPr="00932308" w:rsidRDefault="00DA334D">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48</w:t>
        </w:r>
        <w:r w:rsidR="000908DF" w:rsidRPr="00932308">
          <w:rPr>
            <w:smallCaps/>
            <w:noProof/>
            <w:webHidden/>
            <w:sz w:val="24"/>
            <w:szCs w:val="24"/>
          </w:rPr>
          <w:fldChar w:fldCharType="end"/>
        </w:r>
      </w:hyperlink>
    </w:p>
    <w:p w14:paraId="58379676" w14:textId="1335C9E3" w:rsidR="000908DF" w:rsidRPr="00932308" w:rsidRDefault="00DA334D">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49</w:t>
        </w:r>
        <w:r w:rsidR="000908DF" w:rsidRPr="00932308">
          <w:rPr>
            <w:smallCaps/>
            <w:noProof/>
            <w:webHidden/>
            <w:sz w:val="24"/>
            <w:szCs w:val="24"/>
          </w:rPr>
          <w:fldChar w:fldCharType="end"/>
        </w:r>
      </w:hyperlink>
    </w:p>
    <w:p w14:paraId="6794014F" w14:textId="44FF6CB8" w:rsidR="000908DF" w:rsidRPr="00932308" w:rsidRDefault="00DA334D">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50</w:t>
        </w:r>
        <w:r w:rsidR="000908DF" w:rsidRPr="00932308">
          <w:rPr>
            <w:smallCaps/>
            <w:noProof/>
            <w:webHidden/>
            <w:sz w:val="24"/>
            <w:szCs w:val="24"/>
          </w:rPr>
          <w:fldChar w:fldCharType="end"/>
        </w:r>
      </w:hyperlink>
    </w:p>
    <w:p w14:paraId="340328BD" w14:textId="2AE8DC5A" w:rsidR="000908DF" w:rsidRPr="00932308" w:rsidRDefault="00DA334D">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783EA9DB" w14:textId="6714F1C8" w:rsidR="000908DF" w:rsidRPr="00932308" w:rsidRDefault="00DA334D">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52</w:t>
        </w:r>
        <w:r w:rsidR="000908DF" w:rsidRPr="00932308">
          <w:rPr>
            <w:smallCaps/>
            <w:noProof/>
            <w:webHidden/>
            <w:sz w:val="24"/>
            <w:szCs w:val="24"/>
          </w:rPr>
          <w:fldChar w:fldCharType="end"/>
        </w:r>
      </w:hyperlink>
    </w:p>
    <w:p w14:paraId="1707368A" w14:textId="2EBB0144" w:rsidR="000908DF" w:rsidRPr="00932308" w:rsidRDefault="00DA334D">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60</w:t>
        </w:r>
        <w:r w:rsidR="000908DF" w:rsidRPr="00932308">
          <w:rPr>
            <w:smallCaps/>
            <w:noProof/>
            <w:webHidden/>
            <w:sz w:val="24"/>
            <w:szCs w:val="24"/>
          </w:rPr>
          <w:fldChar w:fldCharType="end"/>
        </w:r>
      </w:hyperlink>
    </w:p>
    <w:p w14:paraId="0AC408E7" w14:textId="04872450" w:rsidR="000908DF" w:rsidRPr="00932308" w:rsidRDefault="00DA334D">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61</w:t>
        </w:r>
        <w:r w:rsidR="000908DF" w:rsidRPr="00932308">
          <w:rPr>
            <w:smallCaps/>
            <w:noProof/>
            <w:webHidden/>
            <w:sz w:val="24"/>
            <w:szCs w:val="24"/>
          </w:rPr>
          <w:fldChar w:fldCharType="end"/>
        </w:r>
      </w:hyperlink>
    </w:p>
    <w:p w14:paraId="1D96454F" w14:textId="745D1FBF" w:rsidR="000908DF" w:rsidRPr="00932308" w:rsidRDefault="00DA334D">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62</w:t>
        </w:r>
        <w:r w:rsidR="000908DF" w:rsidRPr="00932308">
          <w:rPr>
            <w:smallCaps/>
            <w:noProof/>
            <w:webHidden/>
            <w:sz w:val="24"/>
            <w:szCs w:val="24"/>
          </w:rPr>
          <w:fldChar w:fldCharType="end"/>
        </w:r>
      </w:hyperlink>
    </w:p>
    <w:p w14:paraId="28EDB4CD" w14:textId="743105D5" w:rsidR="000908DF" w:rsidRPr="00932308" w:rsidRDefault="00DA334D">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423DF2CA" w14:textId="160DAD5A" w:rsidR="000908DF" w:rsidRPr="00932308" w:rsidRDefault="00DA334D">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5D9812D0" w14:textId="13DAA084" w:rsidR="000908DF" w:rsidRPr="00932308" w:rsidRDefault="00DA334D">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63</w:t>
        </w:r>
        <w:r w:rsidR="000908DF" w:rsidRPr="00932308">
          <w:rPr>
            <w:smallCaps/>
            <w:noProof/>
            <w:webHidden/>
            <w:sz w:val="24"/>
            <w:szCs w:val="24"/>
          </w:rPr>
          <w:fldChar w:fldCharType="end"/>
        </w:r>
      </w:hyperlink>
    </w:p>
    <w:p w14:paraId="2E1690D4" w14:textId="51396BA9" w:rsidR="000908DF" w:rsidRPr="00932308" w:rsidRDefault="00DA334D">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8190E">
          <w:rPr>
            <w:smallCaps/>
            <w:noProof/>
            <w:webHidden/>
            <w:sz w:val="24"/>
            <w:szCs w:val="24"/>
          </w:rPr>
          <w:t>64</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4"/>
          <w:footerReference w:type="default" r:id="rId15"/>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6"/>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7"/>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8"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A number of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housing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w:t>
      </w:r>
      <w:proofErr w:type="gramStart"/>
      <w:r w:rsidRPr="00932308">
        <w:rPr>
          <w:sz w:val="24"/>
          <w:szCs w:val="22"/>
        </w:rPr>
        <w:t>free;</w:t>
      </w:r>
      <w:proofErr w:type="gramEnd"/>
      <w:r w:rsidRPr="00932308">
        <w:rPr>
          <w:sz w:val="24"/>
          <w:szCs w:val="22"/>
        </w:rPr>
        <w:t xml:space="preserv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a number of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9">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The entity that submits an application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 xml:space="preserve">official mission and vision statements that expressly identifies serving disadvantaged and/or low-income </w:t>
            </w:r>
            <w:proofErr w:type="gramStart"/>
            <w:r w:rsidR="003F6147" w:rsidRPr="00932308">
              <w:rPr>
                <w:sz w:val="24"/>
                <w:szCs w:val="24"/>
              </w:rPr>
              <w:t>communities.</w:t>
            </w:r>
            <w:proofErr w:type="gramEnd"/>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20"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r w:rsidR="000E497A" w:rsidRPr="00036E72">
        <w:rPr>
          <w:color w:val="000000"/>
          <w:sz w:val="24"/>
          <w:szCs w:val="24"/>
          <w:shd w:val="clear" w:color="auto" w:fill="FFFFFF"/>
        </w:rPr>
        <w:t>For the purpose of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lastRenderedPageBreak/>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awarded.</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lastRenderedPageBreak/>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may be taken into account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294801">
      <w:pPr>
        <w:pStyle w:val="BodyTextIndent"/>
        <w:numPr>
          <w:ilvl w:val="0"/>
          <w:numId w:val="0"/>
        </w:numPr>
        <w:jc w:val="left"/>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94801">
      <w:pPr>
        <w:pStyle w:val="BodyTextIndent"/>
        <w:numPr>
          <w:ilvl w:val="0"/>
          <w:numId w:val="0"/>
        </w:numPr>
        <w:jc w:val="left"/>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294801">
      <w:pPr>
        <w:pStyle w:val="BodyTextIndent"/>
        <w:jc w:val="lef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294801">
      <w:pPr>
        <w:pStyle w:val="BodyTextIndent"/>
        <w:jc w:val="lef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294801">
      <w:pPr>
        <w:pStyle w:val="BodyTextIndent"/>
        <w:jc w:val="lef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294801">
      <w:pPr>
        <w:pStyle w:val="BodyTextIndent"/>
        <w:jc w:val="lef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294801">
      <w:pPr>
        <w:pStyle w:val="BodyTextIndent"/>
        <w:jc w:val="lef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294801">
      <w:pPr>
        <w:pStyle w:val="BodyTextIndent"/>
        <w:jc w:val="left"/>
        <w:rPr>
          <w:rFonts w:eastAsia="Tahoma" w:cs="Arial"/>
          <w:szCs w:val="24"/>
        </w:rPr>
      </w:pPr>
      <w:r w:rsidRPr="00932308">
        <w:rPr>
          <w:rFonts w:eastAsia="Tahoma" w:cs="Arial"/>
          <w:szCs w:val="24"/>
        </w:rPr>
        <w:t>A community engagement plan to solicit input from the community throughout the design process.</w:t>
      </w:r>
    </w:p>
    <w:p w14:paraId="0E650322" w14:textId="25B83F2D" w:rsidR="003301A7" w:rsidRDefault="003301A7" w:rsidP="00294801">
      <w:pPr>
        <w:pStyle w:val="BodyTextIndent"/>
        <w:jc w:val="lef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97F70B3" w14:textId="2AA4C0A3"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Administrative costs to manage the grant</w:t>
      </w:r>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outreach and engagement to solicit input on the proposed development and its design</w:t>
      </w:r>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lastRenderedPageBreak/>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294801">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all of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294801">
      <w:pPr>
        <w:pStyle w:val="BodyTextIndent"/>
        <w:numPr>
          <w:ilvl w:val="0"/>
          <w:numId w:val="0"/>
        </w:numPr>
        <w:jc w:val="left"/>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294801">
      <w:pPr>
        <w:pStyle w:val="BodyTextIndent"/>
        <w:numPr>
          <w:ilvl w:val="0"/>
          <w:numId w:val="0"/>
        </w:numPr>
        <w:jc w:val="left"/>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294801">
      <w:pPr>
        <w:pStyle w:val="BodyTextIndent"/>
        <w:numPr>
          <w:ilvl w:val="0"/>
          <w:numId w:val="171"/>
        </w:numPr>
        <w:ind w:left="720"/>
        <w:jc w:val="left"/>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294801">
      <w:pPr>
        <w:pStyle w:val="BodyTextIndent"/>
        <w:numPr>
          <w:ilvl w:val="0"/>
          <w:numId w:val="171"/>
        </w:numPr>
        <w:ind w:left="720"/>
        <w:jc w:val="left"/>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294801">
      <w:pPr>
        <w:pStyle w:val="BodyTextIndent"/>
        <w:numPr>
          <w:ilvl w:val="0"/>
          <w:numId w:val="171"/>
        </w:numPr>
        <w:ind w:left="720"/>
        <w:jc w:val="left"/>
        <w:rPr>
          <w:rFonts w:cs="Arial"/>
          <w:szCs w:val="24"/>
        </w:rPr>
      </w:pPr>
      <w:r w:rsidRPr="00932308">
        <w:rPr>
          <w:rFonts w:cs="Arial"/>
          <w:szCs w:val="24"/>
        </w:rPr>
        <w:t>Description of the emerging technologies proposed to be used </w:t>
      </w:r>
    </w:p>
    <w:p w14:paraId="1A6745F5" w14:textId="3BA27C80" w:rsidR="008931A4" w:rsidRPr="00932308" w:rsidRDefault="00D82E36" w:rsidP="00294801">
      <w:pPr>
        <w:pStyle w:val="BodyTextIndent"/>
        <w:numPr>
          <w:ilvl w:val="0"/>
          <w:numId w:val="171"/>
        </w:numPr>
        <w:ind w:left="720"/>
        <w:jc w:val="left"/>
        <w:rPr>
          <w:rFonts w:cs="Arial"/>
          <w:szCs w:val="24"/>
        </w:rPr>
      </w:pPr>
      <w:r w:rsidRPr="00932308">
        <w:rPr>
          <w:rFonts w:cs="Arial"/>
          <w:szCs w:val="24"/>
        </w:rPr>
        <w:t>Cost Analysis</w:t>
      </w:r>
    </w:p>
    <w:p w14:paraId="06F37A36" w14:textId="62979522" w:rsidR="008931A4" w:rsidRPr="00932308" w:rsidRDefault="004F5E94" w:rsidP="00294801">
      <w:pPr>
        <w:pStyle w:val="BodyTextIndent"/>
        <w:numPr>
          <w:ilvl w:val="0"/>
          <w:numId w:val="171"/>
        </w:numPr>
        <w:ind w:left="720"/>
        <w:jc w:val="left"/>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294801">
      <w:pPr>
        <w:pStyle w:val="BodyTextIndent"/>
        <w:numPr>
          <w:ilvl w:val="0"/>
          <w:numId w:val="171"/>
        </w:numPr>
        <w:ind w:left="720"/>
        <w:jc w:val="left"/>
        <w:rPr>
          <w:rFonts w:cs="Arial"/>
          <w:szCs w:val="24"/>
        </w:rPr>
      </w:pPr>
      <w:r w:rsidRPr="00932308">
        <w:rPr>
          <w:rFonts w:cs="Arial"/>
          <w:szCs w:val="24"/>
        </w:rPr>
        <w:t>Project video</w:t>
      </w:r>
    </w:p>
    <w:p w14:paraId="56E81D69" w14:textId="5D7411F4" w:rsidR="00F71D42" w:rsidRDefault="00F71D42" w:rsidP="00294801">
      <w:pPr>
        <w:pStyle w:val="BodyTextIndent"/>
        <w:numPr>
          <w:ilvl w:val="0"/>
          <w:numId w:val="171"/>
        </w:numPr>
        <w:ind w:left="720"/>
        <w:jc w:val="left"/>
        <w:rPr>
          <w:rFonts w:cs="Arial"/>
          <w:szCs w:val="24"/>
        </w:rPr>
      </w:pPr>
      <w:r>
        <w:rPr>
          <w:rFonts w:cs="Arial"/>
          <w:szCs w:val="24"/>
        </w:rPr>
        <w:t>The following proposal attachments:</w:t>
      </w:r>
    </w:p>
    <w:p w14:paraId="1EF31DE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7 – Project Team Form</w:t>
      </w:r>
    </w:p>
    <w:p w14:paraId="113347F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8 – Scope of Work</w:t>
      </w:r>
    </w:p>
    <w:p w14:paraId="775D3E0C"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9 – Project Schedule</w:t>
      </w:r>
    </w:p>
    <w:p w14:paraId="4F2258B5"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10 – Budget</w:t>
      </w:r>
    </w:p>
    <w:p w14:paraId="73B1E574" w14:textId="77777777" w:rsidR="00F71D42" w:rsidRPr="004B389E" w:rsidRDefault="00F71D42" w:rsidP="00294801">
      <w:pPr>
        <w:pStyle w:val="ListParagraph"/>
        <w:numPr>
          <w:ilvl w:val="1"/>
          <w:numId w:val="171"/>
        </w:numPr>
        <w:tabs>
          <w:tab w:val="left" w:pos="1440"/>
        </w:tabs>
        <w:spacing w:after="0"/>
        <w:ind w:left="1440"/>
        <w:contextualSpacing/>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lastRenderedPageBreak/>
        <w:t>Attachment 12 – References and Work Product Form</w:t>
      </w:r>
    </w:p>
    <w:p w14:paraId="7BC172ED"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 xml:space="preserve">Attachment 13 – Commitment and Support Letters </w:t>
      </w:r>
    </w:p>
    <w:p w14:paraId="4762F2B8"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14 – Project Performance Metrics</w:t>
      </w:r>
    </w:p>
    <w:p w14:paraId="3A066A2A" w14:textId="77777777" w:rsidR="00F71D42" w:rsidRPr="004B389E" w:rsidRDefault="00F71D42" w:rsidP="00294801">
      <w:pPr>
        <w:pStyle w:val="ListParagraph"/>
        <w:keepNext/>
        <w:numPr>
          <w:ilvl w:val="1"/>
          <w:numId w:val="171"/>
        </w:numPr>
        <w:tabs>
          <w:tab w:val="left" w:pos="1440"/>
        </w:tabs>
        <w:spacing w:after="0"/>
        <w:ind w:left="1440"/>
        <w:contextualSpacing/>
        <w:rPr>
          <w:sz w:val="24"/>
          <w:szCs w:val="24"/>
        </w:rPr>
      </w:pPr>
      <w:r w:rsidRPr="004B389E">
        <w:rPr>
          <w:sz w:val="24"/>
          <w:szCs w:val="24"/>
        </w:rPr>
        <w:t>Attachment 15 -- Applicant Declaration (must be filled out again)</w:t>
      </w:r>
    </w:p>
    <w:p w14:paraId="38F4FB15" w14:textId="00C01024" w:rsidR="008931A4" w:rsidRPr="00932308" w:rsidRDefault="00F71D42" w:rsidP="00294801">
      <w:pPr>
        <w:pStyle w:val="BodyTextIndent"/>
        <w:numPr>
          <w:ilvl w:val="0"/>
          <w:numId w:val="171"/>
        </w:numPr>
        <w:ind w:left="720"/>
        <w:jc w:val="left"/>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294801">
      <w:pPr>
        <w:pStyle w:val="BodyTextIndent"/>
        <w:numPr>
          <w:ilvl w:val="0"/>
          <w:numId w:val="0"/>
        </w:numPr>
        <w:jc w:val="left"/>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5BBA25F" w14:textId="525E9088" w:rsidR="0046307E" w:rsidRPr="00932308" w:rsidRDefault="00EF735A" w:rsidP="00294801">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lastRenderedPageBreak/>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6795C2E0" w14:textId="10DB91D8" w:rsidR="00C67736" w:rsidRPr="00932308" w:rsidRDefault="00C67736" w:rsidP="00294801">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932308" w:rsidRDefault="000F2E35" w:rsidP="00294801">
      <w:pPr>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932308" w:rsidRDefault="000F2E35" w:rsidP="00294801">
      <w:pPr>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P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lastRenderedPageBreak/>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F33DDF">
            <w:pPr>
              <w:spacing w:after="0"/>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lastRenderedPageBreak/>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lastRenderedPageBreak/>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5B1745DC"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w:t>
      </w:r>
      <w:r w:rsidR="000C1594" w:rsidRPr="00036E72">
        <w:rPr>
          <w:rFonts w:eastAsia="Tahoma"/>
          <w:sz w:val="24"/>
          <w:szCs w:val="24"/>
        </w:rPr>
        <w:t>bedrooms</w:t>
      </w:r>
      <w:r w:rsidRPr="00932308">
        <w:rPr>
          <w:rFonts w:eastAsia="Tahoma"/>
          <w:sz w:val="24"/>
          <w:szCs w:val="24"/>
        </w:rPr>
        <w:t xml:space="preserve"> in the development and whether projects are</w:t>
      </w:r>
      <w:r w:rsidRPr="00932308" w:rsidDel="00356261">
        <w:rPr>
          <w:rFonts w:eastAsia="Tahoma"/>
          <w:sz w:val="24"/>
          <w:szCs w:val="24"/>
        </w:rPr>
        <w:t xml:space="preserve"> located in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91148A">
      <w:pPr>
        <w:pStyle w:val="TableTitles"/>
        <w:rPr>
          <w:color w:val="auto"/>
          <w:szCs w:val="24"/>
        </w:rPr>
      </w:pPr>
      <w:bookmarkStart w:id="44" w:name="_Toc52291010"/>
      <w:r w:rsidRPr="00932308">
        <w:rPr>
          <w:color w:val="auto"/>
          <w:szCs w:val="24"/>
        </w:rPr>
        <w:t xml:space="preserve">Table 9: Maximum Funding Amounts by Number of </w:t>
      </w:r>
      <w:r w:rsidR="0035024F" w:rsidRPr="00036E72">
        <w:rPr>
          <w:color w:val="auto"/>
          <w:szCs w:val="24"/>
        </w:rPr>
        <w:t>Bedrooms</w:t>
      </w:r>
      <w:r w:rsidR="00EA4ADD">
        <w:rPr>
          <w:color w:val="auto"/>
          <w:szCs w:val="24"/>
        </w:rPr>
        <w:t xml:space="preserve"> </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25DF7019" w:rsidR="003172B3" w:rsidRPr="00932308" w:rsidRDefault="003172B3" w:rsidP="00FA6C3F">
            <w:pPr>
              <w:rPr>
                <w:rFonts w:eastAsia="Tahoma"/>
                <w:b/>
                <w:sz w:val="24"/>
                <w:szCs w:val="24"/>
              </w:rPr>
            </w:pPr>
            <w:r w:rsidRPr="00932308">
              <w:rPr>
                <w:rFonts w:eastAsia="Tahoma"/>
                <w:b/>
                <w:sz w:val="24"/>
                <w:szCs w:val="24"/>
              </w:rPr>
              <w:t xml:space="preserve">Number </w:t>
            </w:r>
            <w:proofErr w:type="gramStart"/>
            <w:r w:rsidRPr="00932308">
              <w:rPr>
                <w:rFonts w:eastAsia="Tahoma"/>
                <w:b/>
                <w:sz w:val="24"/>
                <w:szCs w:val="24"/>
              </w:rPr>
              <w:t xml:space="preserve">of </w:t>
            </w:r>
            <w:r w:rsidRPr="008337C9">
              <w:rPr>
                <w:rFonts w:eastAsia="Tahoma"/>
                <w:b/>
                <w:sz w:val="24"/>
                <w:szCs w:val="24"/>
              </w:rPr>
              <w:t xml:space="preserve"> </w:t>
            </w:r>
            <w:r w:rsidR="0035024F" w:rsidRPr="008337C9">
              <w:rPr>
                <w:rFonts w:eastAsia="Tahoma"/>
                <w:b/>
                <w:sz w:val="24"/>
                <w:szCs w:val="24"/>
              </w:rPr>
              <w:t>Bedrooms</w:t>
            </w:r>
            <w:proofErr w:type="gramEnd"/>
            <w:r w:rsidR="0035024F">
              <w:rPr>
                <w:rFonts w:eastAsia="Tahoma"/>
                <w:b/>
                <w:sz w:val="24"/>
                <w:szCs w:val="24"/>
              </w:rPr>
              <w:t xml:space="preserve"> </w:t>
            </w:r>
            <w:r w:rsidRPr="00932308">
              <w:rPr>
                <w:rFonts w:eastAsia="Tahoma"/>
                <w:b/>
                <w:sz w:val="24"/>
                <w:szCs w:val="24"/>
              </w:rPr>
              <w:t>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603CD834" w:rsidR="003172B3" w:rsidRPr="00932308" w:rsidRDefault="003172B3" w:rsidP="00932308">
            <w:pPr>
              <w:rPr>
                <w:rFonts w:eastAsia="Tahoma"/>
                <w:sz w:val="24"/>
                <w:szCs w:val="24"/>
              </w:rPr>
            </w:pPr>
            <w:r w:rsidRPr="00932308">
              <w:rPr>
                <w:rFonts w:eastAsia="Tahoma"/>
                <w:sz w:val="24"/>
                <w:szCs w:val="24"/>
              </w:rPr>
              <w:t xml:space="preserve">100 </w:t>
            </w:r>
            <w:r w:rsidR="00F33DDF">
              <w:rPr>
                <w:rFonts w:eastAsia="Tahoma"/>
                <w:sz w:val="24"/>
                <w:szCs w:val="24"/>
              </w:rPr>
              <w:t>–</w:t>
            </w:r>
            <w:r w:rsidRPr="00932308">
              <w:rPr>
                <w:rFonts w:eastAsia="Tahoma"/>
                <w:sz w:val="24"/>
                <w:szCs w:val="24"/>
              </w:rPr>
              <w:t xml:space="preserve">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w:t>
      </w:r>
      <w:r w:rsidRPr="00932308">
        <w:rPr>
          <w:sz w:val="24"/>
          <w:szCs w:val="24"/>
        </w:rPr>
        <w:lastRenderedPageBreak/>
        <w:t xml:space="preserve">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5" w:name="_Toc458602325"/>
      <w:bookmarkStart w:id="46" w:name="_Toc52290797"/>
      <w:r w:rsidRPr="00756BAC">
        <w:t>Key Activities Schedule</w:t>
      </w:r>
      <w:bookmarkEnd w:id="45"/>
      <w:bookmarkEnd w:id="46"/>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932308" w:rsidRDefault="00036E72" w:rsidP="00294801">
      <w:pPr>
        <w:spacing w:after="0"/>
        <w:rPr>
          <w:b/>
          <w:sz w:val="24"/>
          <w:szCs w:val="24"/>
        </w:rPr>
      </w:pPr>
      <w:bookmarkStart w:id="47" w:name="_Hlk65231730"/>
      <w:r w:rsidRPr="00FC6E6C">
        <w:rPr>
          <w:rFonts w:eastAsia="Tahoma"/>
          <w:b/>
          <w:bCs/>
          <w:sz w:val="24"/>
          <w:szCs w:val="24"/>
          <w:u w:val="single"/>
        </w:rPr>
        <w:t xml:space="preserve">Note: </w:t>
      </w:r>
      <w:r>
        <w:rPr>
          <w:rFonts w:eastAsia="Tahoma"/>
          <w:b/>
          <w:bCs/>
          <w:sz w:val="24"/>
          <w:szCs w:val="24"/>
          <w:u w:val="single"/>
        </w:rPr>
        <w:t xml:space="preserve">Added language appears in bold underline, and </w:t>
      </w:r>
      <w:r w:rsidRPr="00FC6E6C">
        <w:rPr>
          <w:rFonts w:eastAsia="Tahoma"/>
          <w:b/>
          <w:bCs/>
          <w:sz w:val="24"/>
          <w:szCs w:val="24"/>
          <w:u w:val="single"/>
        </w:rPr>
        <w:t xml:space="preserve">deleted language appears in </w:t>
      </w:r>
      <w:r w:rsidRPr="00FC6E6C">
        <w:rPr>
          <w:rFonts w:eastAsia="Tahoma"/>
          <w:b/>
          <w:bCs/>
          <w:strike/>
          <w:sz w:val="24"/>
          <w:szCs w:val="24"/>
          <w:u w:val="single"/>
        </w:rPr>
        <w:t>strikethrough</w:t>
      </w:r>
      <w:r w:rsidRPr="00FC6E6C">
        <w:rPr>
          <w:rFonts w:eastAsia="Tahoma"/>
          <w:b/>
          <w:bCs/>
          <w:sz w:val="24"/>
          <w:szCs w:val="24"/>
          <w:u w:val="single"/>
        </w:rPr>
        <w:t xml:space="preserve"> and within square brackets.</w:t>
      </w:r>
      <w:bookmarkEnd w:id="47"/>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8" w:name="_Toc52291011"/>
      <w:r w:rsidRPr="00932308">
        <w:rPr>
          <w:color w:val="auto"/>
          <w:szCs w:val="24"/>
        </w:rPr>
        <w:t>Table 10: Key Activities Schedule</w:t>
      </w:r>
      <w:bookmarkEnd w:id="48"/>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56EED" w:rsidRPr="00932308" w14:paraId="1249C6E9" w14:textId="77777777" w:rsidTr="7436E661">
        <w:trPr>
          <w:trHeight w:val="523"/>
        </w:trPr>
        <w:tc>
          <w:tcPr>
            <w:tcW w:w="5305" w:type="dxa"/>
            <w:shd w:val="clear" w:color="auto" w:fill="BFBFBF" w:themeFill="background1" w:themeFillShade="BF"/>
            <w:hideMark/>
          </w:tcPr>
          <w:p w14:paraId="57FFB2DE" w14:textId="77777777" w:rsidR="00956EED" w:rsidRPr="00932308" w:rsidRDefault="00956EED" w:rsidP="008B5021">
            <w:pPr>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077DE4AA" w14:textId="77777777" w:rsidR="00956EED" w:rsidRPr="00932308" w:rsidRDefault="00956EED" w:rsidP="008B5021">
            <w:pPr>
              <w:rPr>
                <w:rFonts w:eastAsia="Tahoma"/>
                <w:b/>
                <w:sz w:val="24"/>
                <w:szCs w:val="24"/>
              </w:rPr>
            </w:pPr>
            <w:r w:rsidRPr="00932308">
              <w:rPr>
                <w:b/>
                <w:sz w:val="24"/>
                <w:szCs w:val="24"/>
              </w:rPr>
              <w:t>DATE</w:t>
            </w:r>
          </w:p>
        </w:tc>
        <w:tc>
          <w:tcPr>
            <w:tcW w:w="1255" w:type="dxa"/>
            <w:shd w:val="clear" w:color="auto" w:fill="BFBFBF" w:themeFill="background1" w:themeFillShade="BF"/>
          </w:tcPr>
          <w:p w14:paraId="03BA0476" w14:textId="77777777" w:rsidR="00956EED" w:rsidRPr="00932308" w:rsidRDefault="00956EED" w:rsidP="008B5021">
            <w:pPr>
              <w:rPr>
                <w:rFonts w:eastAsia="Tahoma"/>
                <w:b/>
                <w:sz w:val="24"/>
                <w:szCs w:val="24"/>
              </w:rPr>
            </w:pPr>
            <w:r w:rsidRPr="682791BC">
              <w:rPr>
                <w:b/>
                <w:bCs/>
                <w:sz w:val="24"/>
                <w:szCs w:val="24"/>
              </w:rPr>
              <w:t>TIME</w:t>
            </w:r>
            <w:r w:rsidRPr="682791BC">
              <w:rPr>
                <w:b/>
                <w:bCs/>
                <w:sz w:val="24"/>
                <w:szCs w:val="24"/>
                <w:vertAlign w:val="superscript"/>
              </w:rPr>
              <w:footnoteReference w:id="9"/>
            </w:r>
            <w:r w:rsidRPr="682791BC">
              <w:rPr>
                <w:b/>
                <w:bCs/>
                <w:sz w:val="24"/>
                <w:szCs w:val="24"/>
              </w:rPr>
              <w:t xml:space="preserve"> </w:t>
            </w:r>
          </w:p>
        </w:tc>
      </w:tr>
      <w:tr w:rsidR="00956EED" w:rsidRPr="00932308" w14:paraId="256C6688" w14:textId="77777777" w:rsidTr="7436E661">
        <w:trPr>
          <w:trHeight w:val="523"/>
        </w:trPr>
        <w:tc>
          <w:tcPr>
            <w:tcW w:w="5305" w:type="dxa"/>
            <w:hideMark/>
          </w:tcPr>
          <w:p w14:paraId="33609A48" w14:textId="77777777" w:rsidR="00956EED" w:rsidRPr="006F538A" w:rsidRDefault="00956EED" w:rsidP="008B5021">
            <w:pPr>
              <w:rPr>
                <w:rFonts w:eastAsia="Tahoma"/>
                <w:b/>
                <w:sz w:val="24"/>
                <w:szCs w:val="24"/>
              </w:rPr>
            </w:pPr>
            <w:r w:rsidRPr="006F538A">
              <w:rPr>
                <w:rFonts w:eastAsia="Tahoma"/>
                <w:b/>
                <w:sz w:val="24"/>
                <w:szCs w:val="24"/>
              </w:rPr>
              <w:t>Solicitation Release</w:t>
            </w:r>
          </w:p>
        </w:tc>
        <w:tc>
          <w:tcPr>
            <w:tcW w:w="2790" w:type="dxa"/>
            <w:hideMark/>
          </w:tcPr>
          <w:p w14:paraId="1C0B9A7E" w14:textId="77777777" w:rsidR="00956EED" w:rsidRPr="006F538A" w:rsidRDefault="00956EED" w:rsidP="008B5021">
            <w:pPr>
              <w:rPr>
                <w:rFonts w:eastAsia="Tahoma"/>
                <w:sz w:val="24"/>
                <w:szCs w:val="24"/>
              </w:rPr>
            </w:pPr>
            <w:r w:rsidRPr="006F538A">
              <w:rPr>
                <w:rFonts w:eastAsia="Tahoma"/>
                <w:sz w:val="24"/>
                <w:szCs w:val="24"/>
              </w:rPr>
              <w:t>December 15, 2020</w:t>
            </w:r>
          </w:p>
        </w:tc>
        <w:tc>
          <w:tcPr>
            <w:tcW w:w="1255" w:type="dxa"/>
          </w:tcPr>
          <w:p w14:paraId="0432A18E" w14:textId="77777777" w:rsidR="00956EED" w:rsidRPr="006F538A" w:rsidRDefault="00956EED" w:rsidP="008B5021">
            <w:pPr>
              <w:rPr>
                <w:rFonts w:eastAsia="Tahoma"/>
                <w:sz w:val="24"/>
                <w:szCs w:val="24"/>
              </w:rPr>
            </w:pPr>
          </w:p>
        </w:tc>
      </w:tr>
      <w:tr w:rsidR="00956EED" w:rsidRPr="00932308" w14:paraId="4D2BE76A" w14:textId="77777777" w:rsidTr="7436E661">
        <w:trPr>
          <w:trHeight w:val="523"/>
        </w:trPr>
        <w:tc>
          <w:tcPr>
            <w:tcW w:w="5305" w:type="dxa"/>
          </w:tcPr>
          <w:p w14:paraId="4AA62DBF" w14:textId="77777777" w:rsidR="00956EED" w:rsidRPr="006F538A" w:rsidRDefault="00956EED" w:rsidP="008B5021">
            <w:pPr>
              <w:rPr>
                <w:rFonts w:eastAsia="Tahoma"/>
                <w:b/>
                <w:sz w:val="24"/>
                <w:szCs w:val="24"/>
              </w:rPr>
            </w:pPr>
            <w:r w:rsidRPr="006F538A">
              <w:rPr>
                <w:rFonts w:eastAsia="Tahoma"/>
                <w:b/>
                <w:sz w:val="24"/>
                <w:szCs w:val="24"/>
              </w:rPr>
              <w:t>Pre-Application Workshop</w:t>
            </w:r>
          </w:p>
        </w:tc>
        <w:tc>
          <w:tcPr>
            <w:tcW w:w="2790" w:type="dxa"/>
          </w:tcPr>
          <w:p w14:paraId="6435D705" w14:textId="77777777" w:rsidR="00956EED" w:rsidRPr="006F538A" w:rsidDel="003E668A" w:rsidRDefault="00956EED" w:rsidP="008B5021">
            <w:pPr>
              <w:rPr>
                <w:rFonts w:eastAsia="Tahoma"/>
                <w:sz w:val="24"/>
                <w:szCs w:val="24"/>
              </w:rPr>
            </w:pPr>
            <w:r w:rsidRPr="006F538A">
              <w:rPr>
                <w:rStyle w:val="normaltextrun"/>
                <w:sz w:val="24"/>
                <w:szCs w:val="24"/>
              </w:rPr>
              <w:t>January 21, 2021</w:t>
            </w:r>
          </w:p>
        </w:tc>
        <w:tc>
          <w:tcPr>
            <w:tcW w:w="1255" w:type="dxa"/>
          </w:tcPr>
          <w:p w14:paraId="0086C478" w14:textId="77777777" w:rsidR="00956EED" w:rsidRPr="006F538A" w:rsidRDefault="00956EED" w:rsidP="008B5021">
            <w:pPr>
              <w:rPr>
                <w:rFonts w:eastAsia="Tahoma"/>
                <w:sz w:val="24"/>
                <w:szCs w:val="24"/>
              </w:rPr>
            </w:pPr>
          </w:p>
        </w:tc>
      </w:tr>
      <w:tr w:rsidR="00956EED" w:rsidRPr="00932308" w14:paraId="4D4B0311" w14:textId="77777777" w:rsidTr="7436E661">
        <w:trPr>
          <w:trHeight w:val="523"/>
        </w:trPr>
        <w:tc>
          <w:tcPr>
            <w:tcW w:w="5305" w:type="dxa"/>
          </w:tcPr>
          <w:p w14:paraId="2859B3B7" w14:textId="77777777" w:rsidR="00956EED" w:rsidRPr="006F538A" w:rsidRDefault="00956EED" w:rsidP="008B5021">
            <w:pPr>
              <w:rPr>
                <w:rFonts w:eastAsia="Tahoma"/>
                <w:b/>
                <w:sz w:val="24"/>
                <w:szCs w:val="24"/>
              </w:rPr>
            </w:pPr>
            <w:r w:rsidRPr="006F538A">
              <w:rPr>
                <w:rFonts w:eastAsia="Tahoma"/>
                <w:b/>
                <w:bCs/>
                <w:sz w:val="24"/>
                <w:szCs w:val="24"/>
              </w:rPr>
              <w:t>Deadline for Written Question</w:t>
            </w:r>
            <w:r w:rsidRPr="006F538A">
              <w:rPr>
                <w:b/>
                <w:bCs/>
                <w:sz w:val="24"/>
                <w:szCs w:val="24"/>
              </w:rPr>
              <w:t>s</w:t>
            </w:r>
            <w:r w:rsidRPr="006F538A">
              <w:rPr>
                <w:sz w:val="24"/>
                <w:szCs w:val="24"/>
                <w:u w:val="single"/>
                <w:vertAlign w:val="superscript"/>
              </w:rPr>
              <w:footnoteReference w:id="10"/>
            </w:r>
            <w:r w:rsidRPr="006F538A">
              <w:rPr>
                <w:b/>
                <w:bCs/>
                <w:sz w:val="24"/>
                <w:szCs w:val="24"/>
              </w:rPr>
              <w:t xml:space="preserve"> </w:t>
            </w:r>
          </w:p>
        </w:tc>
        <w:tc>
          <w:tcPr>
            <w:tcW w:w="2790" w:type="dxa"/>
          </w:tcPr>
          <w:p w14:paraId="14502922" w14:textId="77777777" w:rsidR="00956EED" w:rsidRPr="006F538A" w:rsidRDefault="00956EED" w:rsidP="008B5021">
            <w:pPr>
              <w:rPr>
                <w:rFonts w:eastAsia="Tahoma"/>
                <w:b/>
                <w:bCs/>
                <w:sz w:val="24"/>
                <w:szCs w:val="24"/>
              </w:rPr>
            </w:pPr>
            <w:r w:rsidRPr="006F538A">
              <w:rPr>
                <w:rStyle w:val="normaltextrun"/>
                <w:b/>
                <w:bCs/>
                <w:sz w:val="24"/>
                <w:szCs w:val="24"/>
              </w:rPr>
              <w:t>January 22, 2021</w:t>
            </w:r>
          </w:p>
        </w:tc>
        <w:tc>
          <w:tcPr>
            <w:tcW w:w="1255" w:type="dxa"/>
          </w:tcPr>
          <w:p w14:paraId="6246B2EC"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78CF916C" w14:textId="77777777" w:rsidTr="7436E661">
        <w:trPr>
          <w:trHeight w:val="523"/>
        </w:trPr>
        <w:tc>
          <w:tcPr>
            <w:tcW w:w="5305" w:type="dxa"/>
          </w:tcPr>
          <w:p w14:paraId="51C17C44" w14:textId="77777777" w:rsidR="00956EED" w:rsidRPr="006F538A" w:rsidRDefault="00956EED" w:rsidP="008B5021">
            <w:pPr>
              <w:keepNext/>
              <w:rPr>
                <w:rFonts w:eastAsia="Tahoma"/>
                <w:b/>
                <w:bCs/>
                <w:sz w:val="24"/>
                <w:szCs w:val="24"/>
              </w:rPr>
            </w:pPr>
            <w:r w:rsidRPr="006F538A">
              <w:rPr>
                <w:rFonts w:eastAsia="Tahoma"/>
                <w:b/>
                <w:bCs/>
                <w:sz w:val="24"/>
                <w:szCs w:val="24"/>
              </w:rPr>
              <w:lastRenderedPageBreak/>
              <w:t>Empower Innovation Event</w:t>
            </w:r>
          </w:p>
          <w:p w14:paraId="06C9156C" w14:textId="77777777" w:rsidR="00956EED" w:rsidRPr="006F538A" w:rsidRDefault="00956EED" w:rsidP="008B5021">
            <w:pPr>
              <w:keepNext/>
              <w:rPr>
                <w:rFonts w:eastAsia="Tahoma"/>
                <w:b/>
                <w:bCs/>
                <w:sz w:val="24"/>
                <w:szCs w:val="24"/>
              </w:rPr>
            </w:pPr>
            <w:r w:rsidRPr="006F538A">
              <w:rPr>
                <w:rFonts w:eastAsia="Tahoma"/>
                <w:b/>
                <w:bCs/>
                <w:sz w:val="24"/>
                <w:szCs w:val="24"/>
              </w:rPr>
              <w:t>https://www.empowerinnovation.net/en/page/empower-innovation-event-en</w:t>
            </w:r>
          </w:p>
        </w:tc>
        <w:tc>
          <w:tcPr>
            <w:tcW w:w="2790" w:type="dxa"/>
          </w:tcPr>
          <w:p w14:paraId="6B47861B" w14:textId="77777777" w:rsidR="00956EED" w:rsidRPr="006F538A" w:rsidRDefault="00956EED" w:rsidP="008B5021">
            <w:pPr>
              <w:keepNext/>
              <w:rPr>
                <w:rFonts w:eastAsia="Tahoma"/>
                <w:b/>
                <w:bCs/>
                <w:sz w:val="24"/>
                <w:szCs w:val="24"/>
              </w:rPr>
            </w:pPr>
            <w:r w:rsidRPr="006F538A">
              <w:rPr>
                <w:rFonts w:eastAsia="Tahoma"/>
                <w:b/>
                <w:bCs/>
                <w:sz w:val="24"/>
                <w:szCs w:val="24"/>
              </w:rPr>
              <w:t>January 28, 2021</w:t>
            </w:r>
          </w:p>
        </w:tc>
        <w:tc>
          <w:tcPr>
            <w:tcW w:w="1255" w:type="dxa"/>
          </w:tcPr>
          <w:p w14:paraId="31F0AAA7" w14:textId="77777777" w:rsidR="00956EED" w:rsidRPr="006F538A" w:rsidRDefault="00956EED" w:rsidP="008B5021">
            <w:pPr>
              <w:keepNext/>
              <w:rPr>
                <w:rFonts w:eastAsia="Tahoma"/>
                <w:b/>
                <w:bCs/>
                <w:sz w:val="24"/>
                <w:szCs w:val="24"/>
              </w:rPr>
            </w:pPr>
            <w:r w:rsidRPr="006F538A">
              <w:rPr>
                <w:rFonts w:eastAsia="Tahoma"/>
                <w:b/>
                <w:bCs/>
                <w:sz w:val="24"/>
                <w:szCs w:val="24"/>
              </w:rPr>
              <w:t xml:space="preserve">8:30 </w:t>
            </w:r>
            <w:proofErr w:type="spellStart"/>
            <w:r w:rsidRPr="006F538A">
              <w:rPr>
                <w:rFonts w:eastAsia="Tahoma"/>
                <w:b/>
                <w:bCs/>
                <w:sz w:val="24"/>
                <w:szCs w:val="24"/>
              </w:rPr>
              <w:t>a.m</w:t>
            </w:r>
            <w:proofErr w:type="spellEnd"/>
            <w:r w:rsidRPr="006F538A">
              <w:rPr>
                <w:rFonts w:eastAsia="Tahoma"/>
                <w:b/>
                <w:bCs/>
                <w:sz w:val="24"/>
                <w:szCs w:val="24"/>
              </w:rPr>
              <w:t xml:space="preserve"> </w:t>
            </w:r>
          </w:p>
        </w:tc>
      </w:tr>
      <w:tr w:rsidR="00956EED" w:rsidRPr="00932308" w14:paraId="02C74C7C" w14:textId="77777777" w:rsidTr="7436E661">
        <w:trPr>
          <w:trHeight w:val="523"/>
        </w:trPr>
        <w:tc>
          <w:tcPr>
            <w:tcW w:w="5305" w:type="dxa"/>
          </w:tcPr>
          <w:p w14:paraId="4E0AC462" w14:textId="77777777" w:rsidR="00956EED" w:rsidRPr="006F538A" w:rsidRDefault="00956EED" w:rsidP="008B5021">
            <w:pPr>
              <w:rPr>
                <w:rFonts w:eastAsia="Tahoma"/>
                <w:sz w:val="24"/>
                <w:szCs w:val="24"/>
              </w:rPr>
            </w:pPr>
            <w:r w:rsidRPr="006F538A">
              <w:rPr>
                <w:rFonts w:eastAsia="Tahoma"/>
                <w:sz w:val="24"/>
                <w:szCs w:val="24"/>
              </w:rPr>
              <w:t>Anticipated Distribution of Questions and Answers</w:t>
            </w:r>
          </w:p>
        </w:tc>
        <w:tc>
          <w:tcPr>
            <w:tcW w:w="2790" w:type="dxa"/>
          </w:tcPr>
          <w:p w14:paraId="0E1CD007" w14:textId="77777777" w:rsidR="00956EED" w:rsidRPr="001B7D57" w:rsidRDefault="00956EED" w:rsidP="008B5021">
            <w:pPr>
              <w:rPr>
                <w:rFonts w:eastAsia="Tahoma"/>
                <w:sz w:val="24"/>
                <w:szCs w:val="24"/>
              </w:rPr>
            </w:pPr>
            <w:r w:rsidRPr="001B7D57">
              <w:rPr>
                <w:rFonts w:eastAsia="Tahoma"/>
                <w:sz w:val="24"/>
                <w:szCs w:val="24"/>
              </w:rPr>
              <w:t>Week of March 29,2021</w:t>
            </w:r>
          </w:p>
        </w:tc>
        <w:tc>
          <w:tcPr>
            <w:tcW w:w="1255" w:type="dxa"/>
          </w:tcPr>
          <w:p w14:paraId="026549A7" w14:textId="77777777" w:rsidR="00956EED" w:rsidRPr="006F538A" w:rsidRDefault="00956EED" w:rsidP="008B5021">
            <w:pPr>
              <w:rPr>
                <w:rFonts w:eastAsia="Tahoma"/>
                <w:b/>
                <w:sz w:val="24"/>
                <w:szCs w:val="24"/>
              </w:rPr>
            </w:pPr>
          </w:p>
        </w:tc>
      </w:tr>
      <w:tr w:rsidR="00956EED" w:rsidRPr="00932308" w14:paraId="51E88A6D" w14:textId="77777777" w:rsidTr="7436E661">
        <w:trPr>
          <w:trHeight w:val="523"/>
        </w:trPr>
        <w:tc>
          <w:tcPr>
            <w:tcW w:w="5305" w:type="dxa"/>
            <w:hideMark/>
          </w:tcPr>
          <w:p w14:paraId="32CDE919" w14:textId="77777777" w:rsidR="00956EED" w:rsidRPr="006F538A" w:rsidRDefault="00956EED" w:rsidP="008B5021">
            <w:pPr>
              <w:rPr>
                <w:rFonts w:eastAsia="Tahoma"/>
                <w:b/>
                <w:sz w:val="24"/>
                <w:szCs w:val="24"/>
              </w:rPr>
            </w:pPr>
            <w:r w:rsidRPr="006F538A">
              <w:rPr>
                <w:rFonts w:eastAsia="Tahoma"/>
                <w:b/>
                <w:sz w:val="24"/>
                <w:szCs w:val="24"/>
              </w:rPr>
              <w:t>Deadline to Submit Concept Application Abstracts</w:t>
            </w:r>
          </w:p>
        </w:tc>
        <w:tc>
          <w:tcPr>
            <w:tcW w:w="2790" w:type="dxa"/>
            <w:hideMark/>
          </w:tcPr>
          <w:p w14:paraId="20742977" w14:textId="77777777" w:rsidR="00956EED" w:rsidRPr="001B7D57" w:rsidRDefault="00956EED" w:rsidP="008B5021">
            <w:pPr>
              <w:rPr>
                <w:rFonts w:eastAsia="Tahoma"/>
                <w:sz w:val="24"/>
                <w:szCs w:val="24"/>
              </w:rPr>
            </w:pPr>
            <w:r w:rsidRPr="001B7D57">
              <w:rPr>
                <w:rFonts w:eastAsia="Tahoma"/>
                <w:sz w:val="24"/>
                <w:szCs w:val="24"/>
              </w:rPr>
              <w:t>May 7, 2021</w:t>
            </w:r>
          </w:p>
        </w:tc>
        <w:tc>
          <w:tcPr>
            <w:tcW w:w="1255" w:type="dxa"/>
          </w:tcPr>
          <w:p w14:paraId="23676DB5"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1EB37193" w14:textId="77777777" w:rsidTr="7436E661">
        <w:trPr>
          <w:trHeight w:val="523"/>
        </w:trPr>
        <w:tc>
          <w:tcPr>
            <w:tcW w:w="5305" w:type="dxa"/>
            <w:hideMark/>
          </w:tcPr>
          <w:p w14:paraId="611350FC" w14:textId="77777777" w:rsidR="00956EED" w:rsidRPr="006F538A" w:rsidRDefault="00956EED" w:rsidP="008B5021">
            <w:pPr>
              <w:rPr>
                <w:rFonts w:eastAsia="Tahoma"/>
                <w:sz w:val="24"/>
                <w:szCs w:val="24"/>
              </w:rPr>
            </w:pPr>
            <w:r w:rsidRPr="006F538A">
              <w:rPr>
                <w:rFonts w:eastAsia="Tahoma"/>
                <w:sz w:val="24"/>
                <w:szCs w:val="24"/>
              </w:rPr>
              <w:t>Anticipated Posting of Concept Application Abstract Results</w:t>
            </w:r>
          </w:p>
        </w:tc>
        <w:tc>
          <w:tcPr>
            <w:tcW w:w="2790" w:type="dxa"/>
            <w:hideMark/>
          </w:tcPr>
          <w:p w14:paraId="3D16C823" w14:textId="77777777" w:rsidR="00956EED" w:rsidRPr="001B7D57" w:rsidRDefault="00956EED" w:rsidP="008B5021">
            <w:pPr>
              <w:rPr>
                <w:rFonts w:eastAsia="Tahoma"/>
                <w:sz w:val="24"/>
                <w:szCs w:val="24"/>
              </w:rPr>
            </w:pPr>
            <w:r w:rsidRPr="00866FC4">
              <w:rPr>
                <w:rFonts w:eastAsia="Tahoma"/>
                <w:sz w:val="24"/>
                <w:szCs w:val="24"/>
              </w:rPr>
              <w:t>Week of June 7,</w:t>
            </w:r>
            <w:r w:rsidRPr="093887C3">
              <w:rPr>
                <w:rFonts w:eastAsia="Tahoma"/>
                <w:sz w:val="24"/>
                <w:szCs w:val="24"/>
              </w:rPr>
              <w:t xml:space="preserve"> 2021</w:t>
            </w:r>
          </w:p>
        </w:tc>
        <w:tc>
          <w:tcPr>
            <w:tcW w:w="1255" w:type="dxa"/>
          </w:tcPr>
          <w:p w14:paraId="2E08B278" w14:textId="77777777" w:rsidR="00956EED" w:rsidRPr="006F538A" w:rsidRDefault="00956EED" w:rsidP="008B5021">
            <w:pPr>
              <w:rPr>
                <w:rFonts w:eastAsia="Tahoma"/>
                <w:sz w:val="24"/>
                <w:szCs w:val="24"/>
              </w:rPr>
            </w:pPr>
          </w:p>
        </w:tc>
      </w:tr>
      <w:tr w:rsidR="00956EED" w:rsidRPr="00932308" w14:paraId="2C495E0E" w14:textId="77777777" w:rsidTr="7436E661">
        <w:trPr>
          <w:trHeight w:val="523"/>
        </w:trPr>
        <w:tc>
          <w:tcPr>
            <w:tcW w:w="5305" w:type="dxa"/>
            <w:hideMark/>
          </w:tcPr>
          <w:p w14:paraId="6518CEEB" w14:textId="77777777" w:rsidR="00956EED" w:rsidRPr="006F538A" w:rsidRDefault="00956EED" w:rsidP="008B5021">
            <w:pPr>
              <w:rPr>
                <w:rFonts w:eastAsia="Tahoma"/>
                <w:b/>
                <w:sz w:val="24"/>
                <w:szCs w:val="24"/>
              </w:rPr>
            </w:pPr>
            <w:r w:rsidRPr="006F538A">
              <w:rPr>
                <w:rFonts w:eastAsia="Tahoma"/>
                <w:b/>
                <w:sz w:val="24"/>
                <w:szCs w:val="24"/>
              </w:rPr>
              <w:t>Deadline to Submit Full Applications for the Design Phase</w:t>
            </w:r>
          </w:p>
        </w:tc>
        <w:tc>
          <w:tcPr>
            <w:tcW w:w="2790" w:type="dxa"/>
            <w:hideMark/>
          </w:tcPr>
          <w:p w14:paraId="03C70842" w14:textId="0D296BFB" w:rsidR="00956EED" w:rsidRPr="001B7D57" w:rsidRDefault="00956EED" w:rsidP="008B5021">
            <w:pPr>
              <w:rPr>
                <w:rFonts w:eastAsia="Tahoma"/>
                <w:sz w:val="24"/>
                <w:szCs w:val="24"/>
              </w:rPr>
            </w:pPr>
            <w:r w:rsidRPr="001F0CA3">
              <w:rPr>
                <w:rFonts w:eastAsia="Tahoma"/>
                <w:sz w:val="24"/>
                <w:szCs w:val="24"/>
              </w:rPr>
              <w:t>September 10,</w:t>
            </w:r>
            <w:r w:rsidRPr="0021150D">
              <w:rPr>
                <w:rFonts w:eastAsia="Tahoma"/>
                <w:sz w:val="24"/>
                <w:szCs w:val="24"/>
              </w:rPr>
              <w:t xml:space="preserve"> </w:t>
            </w:r>
            <w:r w:rsidRPr="001B7D57">
              <w:rPr>
                <w:rFonts w:eastAsia="Tahoma"/>
                <w:sz w:val="24"/>
                <w:szCs w:val="24"/>
              </w:rPr>
              <w:t>2021</w:t>
            </w:r>
          </w:p>
        </w:tc>
        <w:tc>
          <w:tcPr>
            <w:tcW w:w="1255" w:type="dxa"/>
          </w:tcPr>
          <w:p w14:paraId="05947B43"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53E880A2" w14:textId="77777777" w:rsidTr="7436E661">
        <w:trPr>
          <w:trHeight w:val="523"/>
        </w:trPr>
        <w:tc>
          <w:tcPr>
            <w:tcW w:w="5305" w:type="dxa"/>
            <w:hideMark/>
          </w:tcPr>
          <w:p w14:paraId="15AA1914" w14:textId="77777777" w:rsidR="00956EED" w:rsidRPr="006F538A" w:rsidRDefault="00956EED" w:rsidP="008B5021">
            <w:pPr>
              <w:rPr>
                <w:rFonts w:eastAsia="Tahoma"/>
                <w:sz w:val="24"/>
                <w:szCs w:val="24"/>
              </w:rPr>
            </w:pPr>
            <w:r w:rsidRPr="006F538A">
              <w:rPr>
                <w:rFonts w:eastAsia="Tahoma"/>
                <w:sz w:val="24"/>
                <w:szCs w:val="24"/>
              </w:rPr>
              <w:t xml:space="preserve">Notice of Proposed Award Posting Date </w:t>
            </w:r>
          </w:p>
        </w:tc>
        <w:tc>
          <w:tcPr>
            <w:tcW w:w="2790" w:type="dxa"/>
            <w:hideMark/>
          </w:tcPr>
          <w:p w14:paraId="3990CD83" w14:textId="1230B347" w:rsidR="00956EED" w:rsidRPr="001B7D57" w:rsidRDefault="00956EED" w:rsidP="008B5021">
            <w:pPr>
              <w:rPr>
                <w:rFonts w:eastAsia="Tahoma"/>
                <w:sz w:val="24"/>
                <w:szCs w:val="24"/>
              </w:rPr>
            </w:pPr>
            <w:r w:rsidRPr="001B7D57">
              <w:rPr>
                <w:rFonts w:eastAsia="Tahoma"/>
                <w:sz w:val="24"/>
                <w:szCs w:val="24"/>
              </w:rPr>
              <w:t xml:space="preserve">Week of </w:t>
            </w:r>
            <w:r w:rsidRPr="001F0CA3">
              <w:rPr>
                <w:rFonts w:eastAsia="Tahoma"/>
                <w:sz w:val="24"/>
                <w:szCs w:val="24"/>
              </w:rPr>
              <w:t>October 11</w:t>
            </w:r>
            <w:r w:rsidR="00CF0857">
              <w:rPr>
                <w:rFonts w:eastAsia="Tahoma"/>
                <w:sz w:val="24"/>
                <w:szCs w:val="24"/>
              </w:rPr>
              <w:t>,</w:t>
            </w:r>
            <w:r w:rsidRPr="001F0CA3">
              <w:rPr>
                <w:rFonts w:eastAsia="Tahoma"/>
                <w:sz w:val="24"/>
                <w:szCs w:val="24"/>
              </w:rPr>
              <w:t xml:space="preserve"> </w:t>
            </w:r>
            <w:r w:rsidRPr="001B7D57">
              <w:rPr>
                <w:rFonts w:eastAsia="Tahoma"/>
                <w:sz w:val="24"/>
                <w:szCs w:val="24"/>
              </w:rPr>
              <w:t>2021</w:t>
            </w:r>
          </w:p>
        </w:tc>
        <w:tc>
          <w:tcPr>
            <w:tcW w:w="1255" w:type="dxa"/>
          </w:tcPr>
          <w:p w14:paraId="0328EBBE" w14:textId="77777777" w:rsidR="00956EED" w:rsidRPr="006F538A" w:rsidRDefault="00956EED" w:rsidP="008B5021">
            <w:pPr>
              <w:rPr>
                <w:rFonts w:eastAsia="Tahoma"/>
                <w:sz w:val="24"/>
                <w:szCs w:val="24"/>
              </w:rPr>
            </w:pPr>
          </w:p>
        </w:tc>
      </w:tr>
      <w:tr w:rsidR="00956EED" w:rsidRPr="00932308" w14:paraId="5EA5B220" w14:textId="77777777" w:rsidTr="7436E661">
        <w:trPr>
          <w:trHeight w:val="523"/>
        </w:trPr>
        <w:tc>
          <w:tcPr>
            <w:tcW w:w="5305" w:type="dxa"/>
            <w:hideMark/>
          </w:tcPr>
          <w:p w14:paraId="199BB1EE" w14:textId="77777777" w:rsidR="00956EED" w:rsidRPr="006F538A" w:rsidRDefault="00956EED" w:rsidP="008B5021">
            <w:pPr>
              <w:rPr>
                <w:rFonts w:eastAsia="Tahoma"/>
                <w:sz w:val="24"/>
                <w:szCs w:val="24"/>
              </w:rPr>
            </w:pPr>
            <w:r w:rsidRPr="006F538A">
              <w:rPr>
                <w:rFonts w:eastAsia="Tahoma"/>
                <w:sz w:val="24"/>
                <w:szCs w:val="24"/>
              </w:rPr>
              <w:t>Anticipated CEC Business Meeting</w:t>
            </w:r>
          </w:p>
        </w:tc>
        <w:tc>
          <w:tcPr>
            <w:tcW w:w="2790" w:type="dxa"/>
            <w:hideMark/>
          </w:tcPr>
          <w:p w14:paraId="0505B13C" w14:textId="11931685" w:rsidR="00956EED" w:rsidRPr="001B7D57" w:rsidRDefault="00956EED" w:rsidP="008B5021">
            <w:pPr>
              <w:rPr>
                <w:rFonts w:eastAsia="Tahoma"/>
                <w:sz w:val="24"/>
                <w:szCs w:val="24"/>
              </w:rPr>
            </w:pPr>
            <w:proofErr w:type="gramStart"/>
            <w:r w:rsidRPr="7436E661">
              <w:rPr>
                <w:rFonts w:eastAsia="Tahoma"/>
                <w:sz w:val="24"/>
                <w:szCs w:val="24"/>
              </w:rPr>
              <w:t>Januar</w:t>
            </w:r>
            <w:r w:rsidRPr="00E96920">
              <w:rPr>
                <w:rFonts w:eastAsia="Tahoma"/>
                <w:sz w:val="24"/>
                <w:szCs w:val="24"/>
              </w:rPr>
              <w:t>y</w:t>
            </w:r>
            <w:r w:rsidR="00E96920">
              <w:rPr>
                <w:rFonts w:eastAsia="Tahoma"/>
                <w:sz w:val="24"/>
                <w:szCs w:val="24"/>
              </w:rPr>
              <w:t>,</w:t>
            </w:r>
            <w:proofErr w:type="gramEnd"/>
            <w:r w:rsidR="00E96920">
              <w:rPr>
                <w:rFonts w:eastAsia="Tahoma"/>
                <w:sz w:val="24"/>
                <w:szCs w:val="24"/>
              </w:rPr>
              <w:t xml:space="preserve"> </w:t>
            </w:r>
            <w:r w:rsidR="00E96920">
              <w:rPr>
                <w:rFonts w:eastAsia="Tahoma"/>
                <w:b/>
                <w:bCs/>
                <w:sz w:val="24"/>
                <w:szCs w:val="24"/>
                <w:u w:val="single"/>
              </w:rPr>
              <w:t>2022</w:t>
            </w:r>
            <w:r w:rsidRPr="00E96920">
              <w:rPr>
                <w:rFonts w:eastAsia="Tahoma"/>
                <w:sz w:val="24"/>
                <w:szCs w:val="24"/>
              </w:rPr>
              <w:t xml:space="preserve"> </w:t>
            </w:r>
            <w:r w:rsidR="00E96920">
              <w:rPr>
                <w:rFonts w:eastAsia="Tahoma"/>
                <w:sz w:val="24"/>
                <w:szCs w:val="24"/>
              </w:rPr>
              <w:t>[</w:t>
            </w:r>
            <w:r w:rsidRPr="00E96920">
              <w:rPr>
                <w:rFonts w:eastAsia="Tahoma"/>
                <w:strike/>
                <w:sz w:val="24"/>
                <w:szCs w:val="24"/>
              </w:rPr>
              <w:t>2021</w:t>
            </w:r>
            <w:r w:rsidR="00E96920">
              <w:rPr>
                <w:rFonts w:eastAsia="Tahoma"/>
                <w:strike/>
                <w:sz w:val="24"/>
                <w:szCs w:val="24"/>
              </w:rPr>
              <w:t>]</w:t>
            </w:r>
          </w:p>
        </w:tc>
        <w:tc>
          <w:tcPr>
            <w:tcW w:w="1255" w:type="dxa"/>
          </w:tcPr>
          <w:p w14:paraId="466CFFFF" w14:textId="77777777" w:rsidR="00956EED" w:rsidRPr="006F538A" w:rsidRDefault="00956EED" w:rsidP="008B5021">
            <w:pPr>
              <w:rPr>
                <w:rFonts w:eastAsia="Tahoma"/>
                <w:sz w:val="24"/>
                <w:szCs w:val="24"/>
              </w:rPr>
            </w:pPr>
          </w:p>
        </w:tc>
      </w:tr>
      <w:tr w:rsidR="00956EED" w:rsidRPr="00932308" w14:paraId="0C4C00A3" w14:textId="77777777" w:rsidTr="7436E661">
        <w:trPr>
          <w:trHeight w:val="523"/>
        </w:trPr>
        <w:tc>
          <w:tcPr>
            <w:tcW w:w="5305" w:type="dxa"/>
            <w:hideMark/>
          </w:tcPr>
          <w:p w14:paraId="15AF6353" w14:textId="77777777" w:rsidR="00956EED" w:rsidRPr="006F538A" w:rsidRDefault="00956EED" w:rsidP="008B5021">
            <w:pPr>
              <w:rPr>
                <w:rFonts w:eastAsia="Tahoma"/>
                <w:sz w:val="24"/>
                <w:szCs w:val="24"/>
              </w:rPr>
            </w:pPr>
            <w:r w:rsidRPr="006F538A">
              <w:rPr>
                <w:rFonts w:eastAsia="Tahoma"/>
                <w:sz w:val="24"/>
                <w:szCs w:val="24"/>
              </w:rPr>
              <w:t>Anticipated Agreement Start Date – Design Phase Begins</w:t>
            </w:r>
          </w:p>
        </w:tc>
        <w:tc>
          <w:tcPr>
            <w:tcW w:w="2790" w:type="dxa"/>
            <w:hideMark/>
          </w:tcPr>
          <w:p w14:paraId="048217A3" w14:textId="50D3AF56" w:rsidR="00956EED" w:rsidRPr="00E96920" w:rsidRDefault="00956EED" w:rsidP="008B5021">
            <w:pPr>
              <w:rPr>
                <w:rFonts w:eastAsia="Tahoma"/>
                <w:sz w:val="24"/>
                <w:szCs w:val="24"/>
              </w:rPr>
            </w:pPr>
            <w:proofErr w:type="gramStart"/>
            <w:r w:rsidRPr="00E96920">
              <w:rPr>
                <w:rFonts w:eastAsia="Tahoma"/>
                <w:sz w:val="24"/>
                <w:szCs w:val="24"/>
              </w:rPr>
              <w:t>January</w:t>
            </w:r>
            <w:r w:rsidR="00E96920">
              <w:rPr>
                <w:rFonts w:eastAsia="Tahoma"/>
                <w:sz w:val="24"/>
                <w:szCs w:val="24"/>
              </w:rPr>
              <w:t>,</w:t>
            </w:r>
            <w:proofErr w:type="gramEnd"/>
            <w:r w:rsidR="00E96920">
              <w:rPr>
                <w:rFonts w:eastAsia="Tahoma"/>
                <w:sz w:val="24"/>
                <w:szCs w:val="24"/>
              </w:rPr>
              <w:t xml:space="preserve"> </w:t>
            </w:r>
            <w:r w:rsidR="00E96920" w:rsidRPr="00E96920">
              <w:rPr>
                <w:rFonts w:eastAsia="Tahoma"/>
                <w:b/>
                <w:bCs/>
                <w:sz w:val="24"/>
                <w:szCs w:val="24"/>
                <w:u w:val="single"/>
              </w:rPr>
              <w:t>2022</w:t>
            </w:r>
          </w:p>
          <w:p w14:paraId="0DD16956" w14:textId="5598215C" w:rsidR="00956EED" w:rsidRPr="001F0CA3" w:rsidRDefault="001F0CA3" w:rsidP="008B5021">
            <w:pPr>
              <w:rPr>
                <w:rFonts w:eastAsia="Tahoma"/>
                <w:strike/>
                <w:sz w:val="24"/>
                <w:szCs w:val="24"/>
              </w:rPr>
            </w:pPr>
            <w:r>
              <w:rPr>
                <w:rFonts w:eastAsia="Tahoma"/>
                <w:strike/>
                <w:sz w:val="24"/>
                <w:szCs w:val="24"/>
              </w:rPr>
              <w:t>[</w:t>
            </w:r>
            <w:r w:rsidR="00956EED" w:rsidRPr="001F0CA3">
              <w:rPr>
                <w:rFonts w:eastAsia="Tahoma"/>
                <w:strike/>
                <w:sz w:val="24"/>
                <w:szCs w:val="24"/>
              </w:rPr>
              <w:t>2021</w:t>
            </w:r>
            <w:r>
              <w:rPr>
                <w:rFonts w:eastAsia="Tahoma"/>
                <w:strike/>
                <w:sz w:val="24"/>
                <w:szCs w:val="24"/>
              </w:rPr>
              <w:t>]</w:t>
            </w:r>
          </w:p>
        </w:tc>
        <w:tc>
          <w:tcPr>
            <w:tcW w:w="1255" w:type="dxa"/>
          </w:tcPr>
          <w:p w14:paraId="35C2C6A9" w14:textId="77777777" w:rsidR="00956EED" w:rsidRPr="006F538A" w:rsidRDefault="00956EED" w:rsidP="008B5021">
            <w:pPr>
              <w:rPr>
                <w:rFonts w:eastAsia="Tahoma"/>
                <w:sz w:val="24"/>
                <w:szCs w:val="24"/>
              </w:rPr>
            </w:pPr>
          </w:p>
        </w:tc>
      </w:tr>
      <w:tr w:rsidR="00956EED" w:rsidRPr="00932308" w14:paraId="3DE106B0" w14:textId="77777777" w:rsidTr="7436E661">
        <w:trPr>
          <w:trHeight w:val="523"/>
        </w:trPr>
        <w:tc>
          <w:tcPr>
            <w:tcW w:w="5305" w:type="dxa"/>
            <w:hideMark/>
          </w:tcPr>
          <w:p w14:paraId="5AC12C61" w14:textId="77777777" w:rsidR="00956EED" w:rsidRPr="006F538A" w:rsidRDefault="00956EED" w:rsidP="008B5021">
            <w:pPr>
              <w:rPr>
                <w:rFonts w:eastAsia="Tahoma"/>
                <w:b/>
                <w:sz w:val="24"/>
                <w:szCs w:val="24"/>
              </w:rPr>
            </w:pPr>
            <w:r w:rsidRPr="006F538A">
              <w:rPr>
                <w:rFonts w:eastAsia="Tahoma"/>
                <w:b/>
                <w:sz w:val="24"/>
                <w:szCs w:val="24"/>
              </w:rPr>
              <w:t xml:space="preserve">Deadline to Submit Application Materials for the Build Phase </w:t>
            </w:r>
          </w:p>
        </w:tc>
        <w:tc>
          <w:tcPr>
            <w:tcW w:w="2790" w:type="dxa"/>
            <w:hideMark/>
          </w:tcPr>
          <w:p w14:paraId="3FD063CC" w14:textId="77777777" w:rsidR="00956EED" w:rsidRPr="006F538A" w:rsidRDefault="00956EED" w:rsidP="008B5021">
            <w:pPr>
              <w:rPr>
                <w:rFonts w:eastAsia="Tahoma"/>
                <w:b/>
                <w:sz w:val="24"/>
                <w:szCs w:val="24"/>
              </w:rPr>
            </w:pPr>
            <w:r w:rsidRPr="006F538A">
              <w:rPr>
                <w:rFonts w:eastAsia="Tahoma"/>
                <w:b/>
                <w:sz w:val="24"/>
                <w:szCs w:val="24"/>
              </w:rPr>
              <w:t>June 23, 2023</w:t>
            </w:r>
          </w:p>
        </w:tc>
        <w:tc>
          <w:tcPr>
            <w:tcW w:w="1255" w:type="dxa"/>
          </w:tcPr>
          <w:p w14:paraId="38916BCA" w14:textId="77777777" w:rsidR="00956EED" w:rsidRPr="006F538A" w:rsidRDefault="00956EED" w:rsidP="008B5021">
            <w:pPr>
              <w:rPr>
                <w:rFonts w:eastAsia="Tahoma"/>
                <w:b/>
                <w:sz w:val="24"/>
                <w:szCs w:val="24"/>
              </w:rPr>
            </w:pPr>
            <w:r w:rsidRPr="006F538A">
              <w:rPr>
                <w:rFonts w:eastAsia="Tahoma"/>
                <w:b/>
                <w:sz w:val="24"/>
                <w:szCs w:val="24"/>
              </w:rPr>
              <w:t>5:00 p.m.</w:t>
            </w:r>
          </w:p>
        </w:tc>
      </w:tr>
      <w:tr w:rsidR="00956EED" w:rsidRPr="00932308" w14:paraId="53F19ABF" w14:textId="77777777" w:rsidTr="7436E661">
        <w:trPr>
          <w:trHeight w:val="627"/>
        </w:trPr>
        <w:tc>
          <w:tcPr>
            <w:tcW w:w="5305" w:type="dxa"/>
          </w:tcPr>
          <w:p w14:paraId="7CCA73C3" w14:textId="77777777" w:rsidR="00956EED" w:rsidRPr="006F538A" w:rsidRDefault="00956EED" w:rsidP="008B5021">
            <w:pPr>
              <w:rPr>
                <w:rFonts w:eastAsia="Tahoma"/>
                <w:sz w:val="24"/>
                <w:szCs w:val="24"/>
              </w:rPr>
            </w:pPr>
            <w:r w:rsidRPr="006F538A">
              <w:rPr>
                <w:rFonts w:eastAsia="Tahoma"/>
                <w:sz w:val="24"/>
                <w:szCs w:val="24"/>
              </w:rPr>
              <w:t>Notice of Proposed Award (Build Phase)</w:t>
            </w:r>
          </w:p>
        </w:tc>
        <w:tc>
          <w:tcPr>
            <w:tcW w:w="2790" w:type="dxa"/>
          </w:tcPr>
          <w:p w14:paraId="7DC7FA45" w14:textId="77777777" w:rsidR="00956EED" w:rsidRPr="006F538A" w:rsidRDefault="00956EED" w:rsidP="008B5021">
            <w:pPr>
              <w:rPr>
                <w:rFonts w:eastAsia="Tahoma"/>
                <w:sz w:val="24"/>
                <w:szCs w:val="24"/>
              </w:rPr>
            </w:pPr>
            <w:r w:rsidRPr="006F538A">
              <w:rPr>
                <w:rFonts w:eastAsia="Tahoma"/>
                <w:sz w:val="24"/>
                <w:szCs w:val="24"/>
              </w:rPr>
              <w:t>Week of July 17, 2023</w:t>
            </w:r>
          </w:p>
        </w:tc>
        <w:tc>
          <w:tcPr>
            <w:tcW w:w="1255" w:type="dxa"/>
          </w:tcPr>
          <w:p w14:paraId="7BD921C6" w14:textId="77777777" w:rsidR="00956EED" w:rsidRPr="006F538A" w:rsidRDefault="00956EED" w:rsidP="008B5021">
            <w:pPr>
              <w:rPr>
                <w:rFonts w:eastAsia="Tahoma"/>
                <w:sz w:val="24"/>
                <w:szCs w:val="24"/>
              </w:rPr>
            </w:pPr>
          </w:p>
        </w:tc>
      </w:tr>
      <w:tr w:rsidR="00956EED" w:rsidRPr="00932308" w14:paraId="539C9A8D" w14:textId="77777777" w:rsidTr="7436E661">
        <w:trPr>
          <w:trHeight w:val="627"/>
        </w:trPr>
        <w:tc>
          <w:tcPr>
            <w:tcW w:w="5305" w:type="dxa"/>
          </w:tcPr>
          <w:p w14:paraId="76CA67ED" w14:textId="77777777" w:rsidR="00956EED" w:rsidRPr="006F538A" w:rsidRDefault="00956EED" w:rsidP="008B5021">
            <w:pPr>
              <w:rPr>
                <w:rFonts w:eastAsia="Tahoma"/>
                <w:sz w:val="24"/>
                <w:szCs w:val="24"/>
              </w:rPr>
            </w:pPr>
            <w:r w:rsidRPr="006F538A">
              <w:rPr>
                <w:rFonts w:eastAsia="Tahoma"/>
                <w:sz w:val="24"/>
                <w:szCs w:val="24"/>
              </w:rPr>
              <w:t>Anticipated CEC Business Meeting (Build Phase Amendment)</w:t>
            </w:r>
          </w:p>
        </w:tc>
        <w:tc>
          <w:tcPr>
            <w:tcW w:w="2790" w:type="dxa"/>
          </w:tcPr>
          <w:p w14:paraId="4E01E76F" w14:textId="77777777" w:rsidR="00956EED" w:rsidRPr="006F538A" w:rsidRDefault="00956EED" w:rsidP="008B5021">
            <w:pPr>
              <w:rPr>
                <w:rFonts w:eastAsia="Tahoma"/>
                <w:sz w:val="24"/>
                <w:szCs w:val="24"/>
              </w:rPr>
            </w:pPr>
            <w:r w:rsidRPr="006F538A">
              <w:rPr>
                <w:rFonts w:eastAsia="Tahoma"/>
                <w:sz w:val="24"/>
                <w:szCs w:val="24"/>
              </w:rPr>
              <w:t>August 2023</w:t>
            </w:r>
          </w:p>
        </w:tc>
        <w:tc>
          <w:tcPr>
            <w:tcW w:w="1255" w:type="dxa"/>
          </w:tcPr>
          <w:p w14:paraId="3A185C60" w14:textId="77777777" w:rsidR="00956EED" w:rsidRPr="006F538A" w:rsidRDefault="00956EED" w:rsidP="008B5021">
            <w:pPr>
              <w:rPr>
                <w:rFonts w:eastAsia="Tahoma"/>
                <w:sz w:val="24"/>
                <w:szCs w:val="24"/>
              </w:rPr>
            </w:pPr>
          </w:p>
        </w:tc>
      </w:tr>
      <w:tr w:rsidR="00956EED" w:rsidRPr="00932308" w14:paraId="20BCAC5D" w14:textId="77777777" w:rsidTr="7436E661">
        <w:trPr>
          <w:trHeight w:val="627"/>
        </w:trPr>
        <w:tc>
          <w:tcPr>
            <w:tcW w:w="5305" w:type="dxa"/>
            <w:hideMark/>
          </w:tcPr>
          <w:p w14:paraId="39E1FE98" w14:textId="77777777" w:rsidR="00956EED" w:rsidRPr="006F538A" w:rsidRDefault="00956EED" w:rsidP="008B5021">
            <w:pPr>
              <w:rPr>
                <w:rFonts w:eastAsia="Tahoma"/>
                <w:sz w:val="24"/>
                <w:szCs w:val="24"/>
              </w:rPr>
            </w:pPr>
            <w:r w:rsidRPr="006F538A">
              <w:rPr>
                <w:rFonts w:eastAsia="Tahoma"/>
                <w:sz w:val="24"/>
                <w:szCs w:val="24"/>
              </w:rPr>
              <w:t>Design Showcase Event</w:t>
            </w:r>
          </w:p>
        </w:tc>
        <w:tc>
          <w:tcPr>
            <w:tcW w:w="2790" w:type="dxa"/>
            <w:hideMark/>
          </w:tcPr>
          <w:p w14:paraId="2DF0F239" w14:textId="77777777" w:rsidR="00956EED" w:rsidRPr="006F538A" w:rsidRDefault="00956EED" w:rsidP="008B5021">
            <w:pPr>
              <w:rPr>
                <w:rFonts w:eastAsia="Tahoma"/>
                <w:sz w:val="24"/>
                <w:szCs w:val="24"/>
              </w:rPr>
            </w:pPr>
            <w:r w:rsidRPr="006F538A">
              <w:rPr>
                <w:rFonts w:eastAsia="Tahoma"/>
                <w:sz w:val="24"/>
                <w:szCs w:val="24"/>
              </w:rPr>
              <w:t>September 2023</w:t>
            </w:r>
          </w:p>
        </w:tc>
        <w:tc>
          <w:tcPr>
            <w:tcW w:w="1255" w:type="dxa"/>
          </w:tcPr>
          <w:p w14:paraId="0F8948DB" w14:textId="77777777" w:rsidR="00956EED" w:rsidRPr="006F538A" w:rsidRDefault="00956EED" w:rsidP="008B5021">
            <w:pPr>
              <w:rPr>
                <w:rFonts w:eastAsia="Tahoma"/>
                <w:sz w:val="24"/>
                <w:szCs w:val="24"/>
              </w:rPr>
            </w:pPr>
          </w:p>
        </w:tc>
      </w:tr>
      <w:tr w:rsidR="00956EED" w:rsidRPr="00932308" w14:paraId="05F4AB31" w14:textId="77777777" w:rsidTr="7436E661">
        <w:trPr>
          <w:trHeight w:val="523"/>
        </w:trPr>
        <w:tc>
          <w:tcPr>
            <w:tcW w:w="5305" w:type="dxa"/>
            <w:hideMark/>
          </w:tcPr>
          <w:p w14:paraId="012D251C" w14:textId="77777777" w:rsidR="00956EED" w:rsidRPr="006F538A" w:rsidRDefault="00956EED" w:rsidP="008B5021">
            <w:pPr>
              <w:rPr>
                <w:rFonts w:eastAsia="Tahoma"/>
                <w:sz w:val="24"/>
                <w:szCs w:val="24"/>
              </w:rPr>
            </w:pPr>
            <w:r w:rsidRPr="006F538A">
              <w:rPr>
                <w:rFonts w:eastAsia="Tahoma"/>
                <w:sz w:val="24"/>
                <w:szCs w:val="24"/>
              </w:rPr>
              <w:t xml:space="preserve">Build Phase Begins </w:t>
            </w:r>
          </w:p>
        </w:tc>
        <w:tc>
          <w:tcPr>
            <w:tcW w:w="2790" w:type="dxa"/>
            <w:hideMark/>
          </w:tcPr>
          <w:p w14:paraId="3BF554ED" w14:textId="77777777" w:rsidR="00956EED" w:rsidRPr="006F538A" w:rsidRDefault="00956EED" w:rsidP="008B5021">
            <w:pPr>
              <w:rPr>
                <w:rFonts w:eastAsia="Tahoma"/>
                <w:sz w:val="24"/>
                <w:szCs w:val="24"/>
              </w:rPr>
            </w:pPr>
            <w:r w:rsidRPr="006F538A">
              <w:rPr>
                <w:rFonts w:eastAsia="Tahoma"/>
                <w:sz w:val="24"/>
                <w:szCs w:val="24"/>
              </w:rPr>
              <w:t>September 2023</w:t>
            </w:r>
          </w:p>
        </w:tc>
        <w:tc>
          <w:tcPr>
            <w:tcW w:w="1255" w:type="dxa"/>
          </w:tcPr>
          <w:p w14:paraId="4DC7D2F4" w14:textId="77777777" w:rsidR="00956EED" w:rsidRPr="006F538A" w:rsidRDefault="00956EED" w:rsidP="008B5021">
            <w:pPr>
              <w:rPr>
                <w:rFonts w:eastAsia="Tahoma"/>
                <w:sz w:val="24"/>
                <w:szCs w:val="24"/>
              </w:rPr>
            </w:pPr>
          </w:p>
        </w:tc>
      </w:tr>
      <w:tr w:rsidR="00956EED" w:rsidRPr="00932308" w14:paraId="10B0D25D" w14:textId="77777777" w:rsidTr="7436E661">
        <w:trPr>
          <w:trHeight w:val="523"/>
        </w:trPr>
        <w:tc>
          <w:tcPr>
            <w:tcW w:w="5305" w:type="dxa"/>
            <w:hideMark/>
          </w:tcPr>
          <w:p w14:paraId="16583465" w14:textId="77777777" w:rsidR="00956EED" w:rsidRPr="006F538A" w:rsidRDefault="00956EED" w:rsidP="008B5021">
            <w:pPr>
              <w:rPr>
                <w:rFonts w:eastAsia="Tahoma"/>
                <w:sz w:val="24"/>
                <w:szCs w:val="24"/>
              </w:rPr>
            </w:pPr>
            <w:r w:rsidRPr="006F538A">
              <w:rPr>
                <w:rFonts w:eastAsia="Tahoma"/>
                <w:sz w:val="24"/>
                <w:szCs w:val="24"/>
              </w:rPr>
              <w:t>Anticipated Agreement End Date </w:t>
            </w:r>
          </w:p>
        </w:tc>
        <w:tc>
          <w:tcPr>
            <w:tcW w:w="2790" w:type="dxa"/>
            <w:hideMark/>
          </w:tcPr>
          <w:p w14:paraId="50DEC601" w14:textId="77777777" w:rsidR="00956EED" w:rsidRPr="006F538A" w:rsidRDefault="00956EED" w:rsidP="008B5021">
            <w:pPr>
              <w:rPr>
                <w:rFonts w:eastAsia="Tahoma"/>
                <w:sz w:val="24"/>
                <w:szCs w:val="24"/>
              </w:rPr>
            </w:pPr>
            <w:r w:rsidRPr="006F538A">
              <w:rPr>
                <w:rFonts w:eastAsia="Tahoma"/>
                <w:sz w:val="24"/>
                <w:szCs w:val="24"/>
              </w:rPr>
              <w:t>October 2025</w:t>
            </w:r>
          </w:p>
        </w:tc>
        <w:tc>
          <w:tcPr>
            <w:tcW w:w="1255" w:type="dxa"/>
          </w:tcPr>
          <w:p w14:paraId="0D5F00DD" w14:textId="77777777" w:rsidR="00956EED" w:rsidRPr="006F538A" w:rsidRDefault="00956EED" w:rsidP="008B5021">
            <w:pPr>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9" w:name="_Toc458602326"/>
      <w:bookmarkStart w:id="50" w:name="_Toc52290798"/>
      <w:r w:rsidRPr="00756BAC">
        <w:t>Notice of Pre-Application Workshop</w:t>
      </w:r>
      <w:bookmarkEnd w:id="49"/>
      <w:bookmarkEnd w:id="50"/>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 xml:space="preserve">The Pre-Application Workshop will be held remotely, consistent with Executive Orders N-25-20 and N-29-20 and the recommendations from the California Department of Public Health to encourage physical distancing to slow the spread of COVID-19.  Applicants may only attend the </w:t>
      </w:r>
      <w:r w:rsidRPr="00932308">
        <w:rPr>
          <w:rStyle w:val="normaltextrun"/>
          <w:rFonts w:ascii="Arial" w:hAnsi="Arial" w:cs="Arial"/>
        </w:rPr>
        <w:lastRenderedPageBreak/>
        <w:t>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1"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2">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3"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4"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5"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6"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7"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DA334D" w:rsidP="00932308">
      <w:pPr>
        <w:pStyle w:val="paragraph"/>
        <w:spacing w:before="0" w:beforeAutospacing="0" w:after="0" w:afterAutospacing="0"/>
        <w:ind w:left="810" w:hanging="90"/>
        <w:textAlignment w:val="baseline"/>
        <w:rPr>
          <w:rFonts w:ascii="Arial" w:hAnsi="Arial" w:cs="Arial"/>
        </w:rPr>
      </w:pPr>
      <w:hyperlink r:id="rId28"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lastRenderedPageBreak/>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9"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submitting an application.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30"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lastRenderedPageBreak/>
        <w:t>A</w:t>
      </w:r>
      <w:r w:rsidR="00BA3BBD" w:rsidRPr="00BA3BBD">
        <w:rPr>
          <w:rFonts w:cs="Times New Roman"/>
          <w:b/>
          <w:smallCaps/>
          <w:sz w:val="28"/>
        </w:rPr>
        <w:t>dditional requirements</w:t>
      </w:r>
      <w:bookmarkEnd w:id="62"/>
      <w:bookmarkEnd w:id="63"/>
    </w:p>
    <w:bookmarkEnd w:id="64"/>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w:t>
      </w:r>
      <w:r w:rsidRPr="00932308">
        <w:rPr>
          <w:sz w:val="24"/>
          <w:szCs w:val="24"/>
        </w:rPr>
        <w:lastRenderedPageBreak/>
        <w:t>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w:t>
      </w:r>
      <w:proofErr w:type="gramStart"/>
      <w:r w:rsidRPr="00932308">
        <w:rPr>
          <w:sz w:val="24"/>
          <w:szCs w:val="24"/>
        </w:rPr>
        <w:t>exemption, or</w:t>
      </w:r>
      <w:proofErr w:type="gramEnd"/>
      <w:r w:rsidRPr="00932308">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1"/>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Applicants should take this into account in proposing schedules, in order to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lastRenderedPageBreak/>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2"/>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3"/>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4"/>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 xml:space="preserve">Applied research and </w:t>
      </w:r>
      <w:proofErr w:type="gramStart"/>
      <w:r w:rsidRPr="00932308">
        <w:rPr>
          <w:sz w:val="24"/>
          <w:szCs w:val="24"/>
        </w:rPr>
        <w:t>development;</w:t>
      </w:r>
      <w:proofErr w:type="gramEnd"/>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5"/>
      </w:r>
      <w:r w:rsidRPr="00932308">
        <w:rPr>
          <w:sz w:val="24"/>
          <w:szCs w:val="24"/>
        </w:rPr>
        <w:t xml:space="preserve"> </w:t>
      </w:r>
      <w:r w:rsidRPr="00932308">
        <w:rPr>
          <w:sz w:val="24"/>
          <w:szCs w:val="24"/>
          <w:vertAlign w:val="superscript"/>
        </w:rPr>
        <w:footnoteReference w:id="16"/>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lastRenderedPageBreak/>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1"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xml:space="preserve">. The Code ensures that new and existing buildings achieve energy efficiency and preserve </w:t>
      </w:r>
      <w:r w:rsidRPr="00932308">
        <w:rPr>
          <w:sz w:val="24"/>
          <w:szCs w:val="24"/>
        </w:rPr>
        <w:lastRenderedPageBreak/>
        <w:t>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2"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lastRenderedPageBreak/>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DA334D" w:rsidP="00932308">
      <w:pPr>
        <w:keepLines/>
        <w:widowControl w:val="0"/>
        <w:numPr>
          <w:ilvl w:val="0"/>
          <w:numId w:val="29"/>
        </w:numPr>
        <w:spacing w:after="0"/>
        <w:ind w:hanging="270"/>
        <w:rPr>
          <w:sz w:val="24"/>
          <w:szCs w:val="24"/>
        </w:rPr>
      </w:pPr>
      <w:hyperlink r:id="rId33"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w:t>
      </w:r>
      <w:r w:rsidRPr="00932308">
        <w:rPr>
          <w:rFonts w:ascii="Arial" w:eastAsia="Times New Roman" w:hAnsi="Arial" w:cs="Arial"/>
        </w:rPr>
        <w:lastRenderedPageBreak/>
        <w:t xml:space="preserve">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w:t>
      </w:r>
      <w:proofErr w:type="gramStart"/>
      <w:r w:rsidRPr="00932308">
        <w:rPr>
          <w:sz w:val="24"/>
          <w:szCs w:val="24"/>
        </w:rPr>
        <w:t>include:</w:t>
      </w:r>
      <w:proofErr w:type="gramEnd"/>
      <w:r w:rsidRPr="00932308">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7777777"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w:t>
      </w:r>
      <w:r w:rsidRPr="00932308">
        <w:rPr>
          <w:sz w:val="24"/>
          <w:szCs w:val="24"/>
        </w:rPr>
        <w:lastRenderedPageBreak/>
        <w:t xml:space="preserve">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lastRenderedPageBreak/>
        <w:t>Funds Spent in California</w:t>
      </w:r>
      <w:bookmarkEnd w:id="82"/>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Airline ticket purchases for out-of-state travel and payments made to out-of-state workers are not considered funds “spent in California.” However, funds spent by out-of-state workers in California (</w:t>
      </w:r>
      <w:proofErr w:type="gramStart"/>
      <w:r w:rsidRPr="00932308">
        <w:rPr>
          <w:sz w:val="24"/>
          <w:szCs w:val="24"/>
        </w:rPr>
        <w:t>e.g.</w:t>
      </w:r>
      <w:proofErr w:type="gramEnd"/>
      <w:r w:rsidRPr="00932308">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lastRenderedPageBreak/>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with the exception of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7"/>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8"/>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19"/>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0"/>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DA334D" w:rsidP="00932308">
      <w:pPr>
        <w:spacing w:after="0"/>
        <w:rPr>
          <w:rFonts w:cs="Times New Roman"/>
          <w:bCs/>
          <w:sz w:val="24"/>
          <w:szCs w:val="22"/>
        </w:rPr>
      </w:pPr>
      <w:hyperlink r:id="rId34"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5"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w:t>
      </w:r>
      <w:r w:rsidRPr="00932308">
        <w:rPr>
          <w:sz w:val="24"/>
          <w:szCs w:val="22"/>
        </w:rPr>
        <w:lastRenderedPageBreak/>
        <w:t xml:space="preserve">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1"/>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2"/>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3"/>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4"/>
      </w:r>
      <w:bookmarkEnd w:id="127"/>
      <w:bookmarkEnd w:id="128"/>
    </w:p>
    <w:p w14:paraId="23A24E1B" w14:textId="6BA82152" w:rsidR="00D157D1" w:rsidRPr="00932308" w:rsidRDefault="00E719CB" w:rsidP="00F33DDF">
      <w:pPr>
        <w:spacing w:after="0"/>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lastRenderedPageBreak/>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6"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758B6A49" w14:textId="1F3A3BDB"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lastRenderedPageBreak/>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xml:space="preserve">.  Completeness in submitting </w:t>
      </w:r>
      <w:proofErr w:type="gramStart"/>
      <w:r w:rsidR="00686D5C" w:rsidRPr="00932308">
        <w:rPr>
          <w:sz w:val="24"/>
          <w:szCs w:val="24"/>
        </w:rPr>
        <w:t>are</w:t>
      </w:r>
      <w:proofErr w:type="gramEnd"/>
      <w:r w:rsidR="00686D5C" w:rsidRPr="00932308">
        <w:rPr>
          <w:sz w:val="24"/>
          <w:szCs w:val="24"/>
        </w:rPr>
        <w:t xml:space="preserv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w:t>
      </w:r>
      <w:r w:rsidR="00FF097B" w:rsidRPr="00932308">
        <w:rPr>
          <w:rFonts w:eastAsia="Tahoma"/>
          <w:sz w:val="24"/>
          <w:szCs w:val="24"/>
        </w:rPr>
        <w:lastRenderedPageBreak/>
        <w:t xml:space="preserve">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is able to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the majority of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whether or not the permitting has been completed. If complete, provide appropriate documentation. If local jurisdiction CEQA review </w:t>
      </w:r>
      <w:r w:rsidRPr="00932308">
        <w:rPr>
          <w:rFonts w:eastAsia="MS Mincho"/>
          <w:sz w:val="24"/>
          <w:szCs w:val="24"/>
        </w:rPr>
        <w:lastRenderedPageBreak/>
        <w:t>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5"/>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Clearly describe their individual areas of responsibility. Include the information required for each individual,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lastRenderedPageBreak/>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with the exception of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lastRenderedPageBreak/>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w:t>
      </w:r>
      <w:proofErr w:type="gramStart"/>
      <w:r w:rsidRPr="00932308">
        <w:rPr>
          <w:rFonts w:eastAsia="Calibri"/>
          <w:sz w:val="24"/>
          <w:szCs w:val="24"/>
        </w:rPr>
        <w:t>obligations;</w:t>
      </w:r>
      <w:proofErr w:type="gramEnd"/>
      <w:r w:rsidRPr="00932308">
        <w:rPr>
          <w:rFonts w:eastAsia="Calibri"/>
          <w:sz w:val="24"/>
          <w:szCs w:val="24"/>
        </w:rPr>
        <w:t xml:space="preserve">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 xml:space="preserve">Because CEQA considers “the whole of the project,” if any activities require environmental review, </w:t>
      </w:r>
      <w:r w:rsidR="005A771A">
        <w:rPr>
          <w:iCs/>
          <w:sz w:val="24"/>
          <w:szCs w:val="24"/>
          <w:u w:val="single"/>
        </w:rPr>
        <w:lastRenderedPageBreak/>
        <w:t>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claimed; (3) make an unqualified (</w:t>
      </w:r>
      <w:proofErr w:type="gramStart"/>
      <w:r w:rsidR="009B35B0" w:rsidRPr="00932308">
        <w:rPr>
          <w:sz w:val="24"/>
          <w:szCs w:val="24"/>
        </w:rPr>
        <w:t>i.e.</w:t>
      </w:r>
      <w:proofErr w:type="gramEnd"/>
      <w:r w:rsidR="009B35B0" w:rsidRPr="00932308">
        <w:rPr>
          <w:sz w:val="24"/>
          <w:szCs w:val="24"/>
        </w:rPr>
        <w:t xml:space="preserv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lastRenderedPageBreak/>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9"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Cancel this </w:t>
      </w:r>
      <w:proofErr w:type="gramStart"/>
      <w:r w:rsidRPr="00932308">
        <w:rPr>
          <w:sz w:val="24"/>
          <w:szCs w:val="24"/>
        </w:rPr>
        <w:t>solicitation;</w:t>
      </w:r>
      <w:proofErr w:type="gramEnd"/>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Revise the amount of funds available under this </w:t>
      </w:r>
      <w:proofErr w:type="gramStart"/>
      <w:r w:rsidRPr="00932308">
        <w:rPr>
          <w:sz w:val="24"/>
          <w:szCs w:val="24"/>
        </w:rPr>
        <w:t>solicitation;</w:t>
      </w:r>
      <w:proofErr w:type="gramEnd"/>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lastRenderedPageBreak/>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w:t>
            </w:r>
            <w:proofErr w:type="gramStart"/>
            <w:r w:rsidR="000B71E5" w:rsidRPr="001610BA">
              <w:rPr>
                <w:sz w:val="24"/>
                <w:szCs w:val="24"/>
              </w:rPr>
              <w:t xml:space="preserve">owner </w:t>
            </w:r>
            <w:r w:rsidR="00E73CEF" w:rsidRPr="001610BA">
              <w:rPr>
                <w:sz w:val="24"/>
                <w:szCs w:val="24"/>
              </w:rPr>
              <w:t xml:space="preserve"> </w:t>
            </w:r>
            <w:r w:rsidR="00196E93" w:rsidRPr="001610BA">
              <w:rPr>
                <w:sz w:val="24"/>
                <w:szCs w:val="24"/>
              </w:rPr>
              <w:t>(</w:t>
            </w:r>
            <w:proofErr w:type="gramEnd"/>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All demonstration/ deployment sites are located in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DA334D">
              <w:rPr>
                <w:sz w:val="24"/>
                <w:szCs w:val="24"/>
              </w:rPr>
            </w:r>
            <w:r w:rsidR="00DA334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4"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4"/>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proofErr w:type="gramStart"/>
      <w:r w:rsidR="0014502C" w:rsidRPr="00932308">
        <w:rPr>
          <w:sz w:val="24"/>
          <w:szCs w:val="22"/>
        </w:rPr>
        <w:t>and</w:t>
      </w:r>
      <w:r w:rsidR="0027659D" w:rsidRPr="00932308">
        <w:rPr>
          <w:sz w:val="24"/>
          <w:szCs w:val="22"/>
        </w:rPr>
        <w:t xml:space="preserve">  </w:t>
      </w:r>
      <w:r w:rsidR="00FA5F4F" w:rsidRPr="00932308">
        <w:rPr>
          <w:sz w:val="24"/>
          <w:szCs w:val="22"/>
        </w:rPr>
        <w:t>Design</w:t>
      </w:r>
      <w:proofErr w:type="gramEnd"/>
      <w:r w:rsidR="00FA5F4F" w:rsidRPr="00932308">
        <w:rPr>
          <w:sz w:val="24"/>
          <w:szCs w:val="22"/>
        </w:rPr>
        <w:t xml:space="preserve">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5"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lastRenderedPageBreak/>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6" w:name="_Toc52291017"/>
      <w:bookmarkEnd w:id="190"/>
      <w:bookmarkEnd w:id="191"/>
      <w:bookmarkEnd w:id="192"/>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6"/>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Significant deviation from agreement </w:t>
            </w:r>
            <w:proofErr w:type="gramStart"/>
            <w:r w:rsidRPr="00932308">
              <w:rPr>
                <w:sz w:val="24"/>
                <w:szCs w:val="24"/>
              </w:rPr>
              <w:t>requirements</w:t>
            </w:r>
            <w:r w:rsidR="003A2FCD" w:rsidRPr="00932308">
              <w:rPr>
                <w:sz w:val="24"/>
                <w:szCs w:val="24"/>
              </w:rPr>
              <w:t>;</w:t>
            </w:r>
            <w:proofErr w:type="gramEnd"/>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Termination with </w:t>
            </w:r>
            <w:proofErr w:type="gramStart"/>
            <w:r w:rsidRPr="00932308">
              <w:rPr>
                <w:sz w:val="24"/>
                <w:szCs w:val="24"/>
              </w:rPr>
              <w:t>cause</w:t>
            </w:r>
            <w:r w:rsidR="003A2FCD" w:rsidRPr="00932308">
              <w:rPr>
                <w:sz w:val="24"/>
                <w:szCs w:val="24"/>
              </w:rPr>
              <w:t>;</w:t>
            </w:r>
            <w:proofErr w:type="gramEnd"/>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 xml:space="preserve">inability, due to circumstances within its control, from materially completing the </w:t>
            </w:r>
            <w:proofErr w:type="gramStart"/>
            <w:r w:rsidRPr="00932308">
              <w:rPr>
                <w:sz w:val="24"/>
                <w:szCs w:val="24"/>
              </w:rPr>
              <w:t>project</w:t>
            </w:r>
            <w:r w:rsidR="003A2FCD" w:rsidRPr="00932308">
              <w:rPr>
                <w:sz w:val="24"/>
                <w:szCs w:val="24"/>
              </w:rPr>
              <w:t>;</w:t>
            </w:r>
            <w:proofErr w:type="gramEnd"/>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7"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7"/>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w:t>
            </w:r>
            <w:r w:rsidRPr="00932308">
              <w:rPr>
                <w:sz w:val="24"/>
                <w:szCs w:val="24"/>
              </w:rPr>
              <w:lastRenderedPageBreak/>
              <w:t>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w:t>
            </w:r>
            <w:r w:rsidRPr="00932308">
              <w:rPr>
                <w:i/>
                <w:sz w:val="24"/>
                <w:szCs w:val="24"/>
              </w:rPr>
              <w:lastRenderedPageBreak/>
              <w:t>information in the Project Team Form), including Community 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DA334D">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DA334D">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DA334D">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DA334D">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DA334D">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DA334D">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DA334D">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DA334D">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DA334D">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DA334D">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DA334D">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DA334D">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lastRenderedPageBreak/>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48" w:name="_Toc52289991"/>
      <w:bookmarkStart w:id="249" w:name="_Toc52290394"/>
      <w:bookmarkStart w:id="250" w:name="_Toc52290605"/>
      <w:bookmarkStart w:id="251" w:name="_Toc52290816"/>
      <w:bookmarkStart w:id="252" w:name="_Toc52289996"/>
      <w:bookmarkStart w:id="253" w:name="_Toc52290399"/>
      <w:bookmarkStart w:id="254" w:name="_Toc52290610"/>
      <w:bookmarkStart w:id="255" w:name="_Toc52290821"/>
      <w:bookmarkStart w:id="256" w:name="_Toc52290175"/>
      <w:bookmarkStart w:id="257" w:name="_Toc52290578"/>
      <w:bookmarkStart w:id="258" w:name="_Toc52290789"/>
      <w:bookmarkStart w:id="259" w:name="_Toc52291000"/>
      <w:bookmarkStart w:id="260" w:name="_Toc52291001"/>
      <w:bookmarkEnd w:id="248"/>
      <w:bookmarkEnd w:id="249"/>
      <w:bookmarkEnd w:id="250"/>
      <w:bookmarkEnd w:id="251"/>
      <w:bookmarkEnd w:id="252"/>
      <w:bookmarkEnd w:id="253"/>
      <w:bookmarkEnd w:id="254"/>
      <w:bookmarkEnd w:id="255"/>
      <w:bookmarkEnd w:id="256"/>
      <w:bookmarkEnd w:id="257"/>
      <w:bookmarkEnd w:id="258"/>
      <w:bookmarkEnd w:id="259"/>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0"/>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DC2F6F">
          <w:type w:val="continuous"/>
          <w:pgSz w:w="12240" w:h="15840" w:code="1"/>
          <w:pgMar w:top="1440" w:right="1440" w:bottom="1440" w:left="1440" w:header="720" w:footer="720"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1"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2"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2"/>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3"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4"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5"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6"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7"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7"/>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E80507">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w:t>
            </w:r>
            <w:proofErr w:type="gramStart"/>
            <w:r w:rsidRPr="00932308">
              <w:rPr>
                <w:rFonts w:eastAsia="Tahoma"/>
                <w:bCs/>
                <w:sz w:val="24"/>
                <w:szCs w:val="24"/>
              </w:rPr>
              <w:t>i.e.</w:t>
            </w:r>
            <w:proofErr w:type="gramEnd"/>
            <w:r w:rsidRPr="00932308">
              <w:rPr>
                <w:rFonts w:eastAsia="Tahoma"/>
                <w:bCs/>
                <w:sz w:val="24"/>
                <w:szCs w:val="24"/>
              </w:rPr>
              <w:t>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w:t>
            </w:r>
            <w:proofErr w:type="gramStart"/>
            <w:r w:rsidRPr="00932308">
              <w:rPr>
                <w:rFonts w:eastAsia="Tahoma"/>
                <w:bCs/>
                <w:sz w:val="24"/>
                <w:szCs w:val="24"/>
              </w:rPr>
              <w:t>i.e.</w:t>
            </w:r>
            <w:proofErr w:type="gramEnd"/>
            <w:r w:rsidRPr="00932308">
              <w:rPr>
                <w:rFonts w:eastAsia="Tahoma"/>
                <w:bCs/>
                <w:sz w:val="24"/>
                <w:szCs w:val="24"/>
              </w:rPr>
              <w:t>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E80507">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multiple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55826B5" w14:textId="6EE11261"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utilizes some advanced planning, design and construction methods (</w:t>
            </w:r>
            <w:proofErr w:type="gramStart"/>
            <w:r w:rsidRPr="00932308">
              <w:rPr>
                <w:rFonts w:eastAsia="Tahoma"/>
                <w:bCs/>
                <w:sz w:val="24"/>
                <w:szCs w:val="24"/>
              </w:rPr>
              <w:t>e.g.</w:t>
            </w:r>
            <w:proofErr w:type="gramEnd"/>
            <w:r w:rsidRPr="00932308">
              <w:rPr>
                <w:rFonts w:eastAsia="Tahoma"/>
                <w:bCs/>
                <w:sz w:val="24"/>
                <w:szCs w:val="24"/>
              </w:rPr>
              <w:t xml:space="preserve"> building information modeling, modular construction, offsite manufacturing, prefabrication). </w:t>
            </w:r>
          </w:p>
          <w:p w14:paraId="34C6A7B7"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Planning, design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w:t>
            </w:r>
            <w:proofErr w:type="gramStart"/>
            <w:r w:rsidRPr="00932308">
              <w:rPr>
                <w:rFonts w:eastAsia="Tahoma"/>
                <w:bCs/>
                <w:sz w:val="24"/>
                <w:szCs w:val="24"/>
              </w:rPr>
              <w:t>e.g.</w:t>
            </w:r>
            <w:proofErr w:type="gramEnd"/>
            <w:r w:rsidRPr="00932308">
              <w:rPr>
                <w:rFonts w:eastAsia="Tahoma"/>
                <w:bCs/>
                <w:sz w:val="24"/>
                <w:szCs w:val="24"/>
              </w:rPr>
              <w:t xml:space="preserve">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86B472A" w:rsidR="00CE5562" w:rsidRPr="00E60D0D" w:rsidRDefault="00D70CF3" w:rsidP="00D90F84">
      <w:pPr>
        <w:tabs>
          <w:tab w:val="left" w:pos="5565"/>
          <w:tab w:val="left" w:pos="7935"/>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p>
    <w:sectPr w:rsidR="00CE5562" w:rsidRPr="00E60D0D" w:rsidSect="00DC2F6F">
      <w:footerReference w:type="default" r:id="rId4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3788" w14:textId="77777777" w:rsidR="00280014" w:rsidRDefault="00280014">
      <w:r>
        <w:separator/>
      </w:r>
    </w:p>
  </w:endnote>
  <w:endnote w:type="continuationSeparator" w:id="0">
    <w:p w14:paraId="37D5C9AF" w14:textId="77777777" w:rsidR="00280014" w:rsidRDefault="00280014">
      <w:r>
        <w:continuationSeparator/>
      </w:r>
    </w:p>
  </w:endnote>
  <w:endnote w:type="continuationNotice" w:id="1">
    <w:p w14:paraId="693AE259" w14:textId="77777777" w:rsidR="00280014" w:rsidRDefault="002800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20AE" w14:textId="67E6FA4A"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560BA9">
      <w:rPr>
        <w:b/>
        <w:bCs/>
        <w:sz w:val="20"/>
        <w:u w:val="single"/>
      </w:rPr>
      <w:t>06</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6184" w14:textId="68232B56"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w:t>
    </w:r>
    <w:r w:rsidR="00560BA9">
      <w:rPr>
        <w:b/>
        <w:bCs/>
        <w:sz w:val="20"/>
        <w:u w:val="single"/>
      </w:rPr>
      <w:t>6</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88CE" w14:textId="1A2BA5BF"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560BA9">
      <w:rPr>
        <w:b/>
        <w:bCs/>
        <w:sz w:val="20"/>
        <w:u w:val="single"/>
      </w:rPr>
      <w:t>6</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752D" w14:textId="317D07E6" w:rsidR="00431FB2" w:rsidRPr="00036E72" w:rsidRDefault="00431FB2" w:rsidP="00FA6C3F">
    <w:pPr>
      <w:pStyle w:val="Footer"/>
      <w:tabs>
        <w:tab w:val="clear" w:pos="4320"/>
        <w:tab w:val="clear" w:pos="8640"/>
        <w:tab w:val="center" w:pos="6750"/>
        <w:tab w:val="right" w:pos="12960"/>
      </w:tabs>
      <w:spacing w:after="0"/>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036E72">
      <w:rPr>
        <w:b/>
        <w:bCs/>
        <w:sz w:val="20"/>
        <w:u w:val="single"/>
      </w:rPr>
      <w:t>-0</w:t>
    </w:r>
    <w:r w:rsidR="00956EED">
      <w:rPr>
        <w:b/>
        <w:bCs/>
        <w:sz w:val="20"/>
        <w:u w:val="single"/>
      </w:rPr>
      <w:t>5</w:t>
    </w:r>
  </w:p>
  <w:p w14:paraId="31C61118" w14:textId="77777777"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D332D" w14:textId="77777777" w:rsidR="00280014" w:rsidRDefault="00280014">
      <w:r>
        <w:separator/>
      </w:r>
    </w:p>
  </w:footnote>
  <w:footnote w:type="continuationSeparator" w:id="0">
    <w:p w14:paraId="5A9D992D" w14:textId="77777777" w:rsidR="00280014" w:rsidRDefault="00280014">
      <w:r>
        <w:continuationSeparator/>
      </w:r>
    </w:p>
  </w:footnote>
  <w:footnote w:type="continuationNotice" w:id="1">
    <w:p w14:paraId="03AA7720" w14:textId="77777777" w:rsidR="00280014" w:rsidRDefault="00280014">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t>
      </w:r>
      <w:r w:rsidRPr="00F437E6">
        <w:t>Woetzel, Jonathan, Jan Mischke, Shannon Peloquin, and Daniel Weisfield.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w:t>
      </w:r>
      <w:r w:rsidRPr="00F437E6">
        <w:t>Fuelish."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DA334D"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6A82F67A" w14:textId="77777777" w:rsidR="00956EED" w:rsidRDefault="00956EED" w:rsidP="00956EED">
      <w:pPr>
        <w:pStyle w:val="FootnoteText"/>
      </w:pPr>
      <w:r>
        <w:rPr>
          <w:rStyle w:val="FootnoteReference"/>
        </w:rPr>
        <w:footnoteRef/>
      </w:r>
      <w:r>
        <w:t xml:space="preserve"> Pacific Standard Time or Pacific Daylight Time, whichever is being observed.</w:t>
      </w:r>
    </w:p>
  </w:footnote>
  <w:footnote w:id="10">
    <w:p w14:paraId="3D36851B" w14:textId="77777777" w:rsidR="00956EED" w:rsidRDefault="00956EED" w:rsidP="00956EED">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2">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3">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4">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5">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6">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7">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w:t>
      </w:r>
      <w:r w:rsidRPr="00A72FDA">
        <w:rPr>
          <w:lang w:val="fr-FR"/>
        </w:rPr>
        <w:t xml:space="preserve">Resources Code § 25711.6.  </w:t>
      </w:r>
    </w:p>
  </w:footnote>
  <w:footnote w:id="19">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w:t>
      </w:r>
      <w:r w:rsidRPr="00A72FDA">
        <w:rPr>
          <w:lang w:val="fr-FR"/>
        </w:rPr>
        <w:t xml:space="preserve">Resources Code § 25711.5. </w:t>
      </w:r>
    </w:p>
  </w:footnote>
  <w:footnote w:id="20">
    <w:p w14:paraId="734C5CC6" w14:textId="77777777" w:rsidR="00431FB2" w:rsidRDefault="00431FB2">
      <w:pPr>
        <w:pStyle w:val="FootnoteText"/>
      </w:pPr>
      <w:r>
        <w:rPr>
          <w:rStyle w:val="FootnoteReference"/>
        </w:rPr>
        <w:footnoteRef/>
      </w:r>
      <w:r>
        <w:t xml:space="preserve"> Public Resources Code § 25711.6.  </w:t>
      </w:r>
    </w:p>
  </w:footnote>
  <w:footnote w:id="21">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2">
    <w:p w14:paraId="5A681AD2" w14:textId="649D8777" w:rsidR="00431FB2" w:rsidRDefault="00431FB2" w:rsidP="00ED5203">
      <w:pPr>
        <w:pStyle w:val="FootnoteText"/>
      </w:pPr>
    </w:p>
  </w:footnote>
  <w:footnote w:id="23">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4">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5">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556374E" w14:paraId="33B77BFC" w14:textId="77777777" w:rsidTr="3556374E">
      <w:tc>
        <w:tcPr>
          <w:tcW w:w="3120" w:type="dxa"/>
        </w:tcPr>
        <w:p w14:paraId="36B5A799" w14:textId="39C5157A" w:rsidR="3556374E" w:rsidRDefault="3556374E" w:rsidP="3556374E">
          <w:pPr>
            <w:pStyle w:val="Header"/>
            <w:ind w:left="-115"/>
          </w:pPr>
        </w:p>
      </w:tc>
      <w:tc>
        <w:tcPr>
          <w:tcW w:w="3120" w:type="dxa"/>
        </w:tcPr>
        <w:p w14:paraId="7AAC0CB2" w14:textId="74318929" w:rsidR="3556374E" w:rsidRDefault="3556374E" w:rsidP="3556374E">
          <w:pPr>
            <w:pStyle w:val="Header"/>
            <w:jc w:val="center"/>
          </w:pPr>
        </w:p>
      </w:tc>
      <w:tc>
        <w:tcPr>
          <w:tcW w:w="3120" w:type="dxa"/>
        </w:tcPr>
        <w:p w14:paraId="04133FE6" w14:textId="0F1FAA14" w:rsidR="3556374E" w:rsidRDefault="3556374E" w:rsidP="3556374E">
          <w:pPr>
            <w:pStyle w:val="Header"/>
            <w:ind w:right="-115"/>
            <w:jc w:val="right"/>
          </w:pPr>
        </w:p>
      </w:tc>
    </w:tr>
  </w:tbl>
  <w:p w14:paraId="679D1528" w14:textId="0D04F12D" w:rsidR="3556374E" w:rsidRDefault="3556374E" w:rsidP="35563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1C2910D8"/>
    <w:multiLevelType w:val="hybridMultilevel"/>
    <w:tmpl w:val="0409001D"/>
    <w:numStyleLink w:val="Bullets"/>
  </w:abstractNum>
  <w:abstractNum w:abstractNumId="47"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9"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3"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8"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9"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2"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0"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5"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0"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2"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4"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1"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4"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6"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7"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2"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6"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2517D2"/>
    <w:multiLevelType w:val="hybridMultilevel"/>
    <w:tmpl w:val="0409001D"/>
    <w:numStyleLink w:val="Bullets"/>
  </w:abstractNum>
  <w:abstractNum w:abstractNumId="140"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1"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2"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3"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1"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56"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2"/>
  </w:num>
  <w:num w:numId="4">
    <w:abstractNumId w:val="126"/>
  </w:num>
  <w:num w:numId="5">
    <w:abstractNumId w:val="74"/>
  </w:num>
  <w:num w:numId="6">
    <w:abstractNumId w:val="75"/>
  </w:num>
  <w:num w:numId="7">
    <w:abstractNumId w:val="153"/>
  </w:num>
  <w:num w:numId="8">
    <w:abstractNumId w:val="27"/>
  </w:num>
  <w:num w:numId="9">
    <w:abstractNumId w:val="61"/>
  </w:num>
  <w:num w:numId="10">
    <w:abstractNumId w:val="118"/>
  </w:num>
  <w:num w:numId="11">
    <w:abstractNumId w:val="24"/>
  </w:num>
  <w:num w:numId="12">
    <w:abstractNumId w:val="62"/>
  </w:num>
  <w:num w:numId="13">
    <w:abstractNumId w:val="157"/>
  </w:num>
  <w:num w:numId="14">
    <w:abstractNumId w:val="114"/>
  </w:num>
  <w:num w:numId="15">
    <w:abstractNumId w:val="99"/>
  </w:num>
  <w:num w:numId="16">
    <w:abstractNumId w:val="144"/>
  </w:num>
  <w:num w:numId="17">
    <w:abstractNumId w:val="161"/>
  </w:num>
  <w:num w:numId="18">
    <w:abstractNumId w:val="163"/>
  </w:num>
  <w:num w:numId="19">
    <w:abstractNumId w:val="149"/>
  </w:num>
  <w:num w:numId="20">
    <w:abstractNumId w:val="134"/>
  </w:num>
  <w:num w:numId="21">
    <w:abstractNumId w:val="165"/>
  </w:num>
  <w:num w:numId="22">
    <w:abstractNumId w:val="95"/>
  </w:num>
  <w:num w:numId="23">
    <w:abstractNumId w:val="116"/>
  </w:num>
  <w:num w:numId="24">
    <w:abstractNumId w:val="104"/>
  </w:num>
  <w:num w:numId="25">
    <w:abstractNumId w:val="65"/>
  </w:num>
  <w:num w:numId="26">
    <w:abstractNumId w:val="146"/>
  </w:num>
  <w:num w:numId="27">
    <w:abstractNumId w:val="148"/>
  </w:num>
  <w:num w:numId="28">
    <w:abstractNumId w:val="34"/>
  </w:num>
  <w:num w:numId="29">
    <w:abstractNumId w:val="41"/>
  </w:num>
  <w:num w:numId="30">
    <w:abstractNumId w:val="150"/>
  </w:num>
  <w:num w:numId="3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42"/>
  </w:num>
  <w:num w:numId="35">
    <w:abstractNumId w:val="21"/>
  </w:num>
  <w:num w:numId="36">
    <w:abstractNumId w:val="96"/>
  </w:num>
  <w:num w:numId="37">
    <w:abstractNumId w:val="138"/>
  </w:num>
  <w:num w:numId="38">
    <w:abstractNumId w:val="146"/>
    <w:lvlOverride w:ilvl="0">
      <w:startOverride w:val="1"/>
    </w:lvlOverride>
  </w:num>
  <w:num w:numId="39">
    <w:abstractNumId w:val="12"/>
  </w:num>
  <w:num w:numId="40">
    <w:abstractNumId w:val="136"/>
  </w:num>
  <w:num w:numId="41">
    <w:abstractNumId w:val="44"/>
  </w:num>
  <w:num w:numId="42">
    <w:abstractNumId w:val="67"/>
  </w:num>
  <w:num w:numId="43">
    <w:abstractNumId w:val="36"/>
  </w:num>
  <w:num w:numId="44">
    <w:abstractNumId w:val="112"/>
  </w:num>
  <w:num w:numId="45">
    <w:abstractNumId w:val="145"/>
  </w:num>
  <w:num w:numId="46">
    <w:abstractNumId w:val="58"/>
  </w:num>
  <w:num w:numId="47">
    <w:abstractNumId w:val="111"/>
  </w:num>
  <w:num w:numId="48">
    <w:abstractNumId w:val="17"/>
  </w:num>
  <w:num w:numId="49">
    <w:abstractNumId w:val="10"/>
  </w:num>
  <w:num w:numId="50">
    <w:abstractNumId w:val="110"/>
  </w:num>
  <w:num w:numId="51">
    <w:abstractNumId w:val="47"/>
  </w:num>
  <w:num w:numId="52">
    <w:abstractNumId w:val="79"/>
  </w:num>
  <w:num w:numId="53">
    <w:abstractNumId w:val="121"/>
  </w:num>
  <w:num w:numId="54">
    <w:abstractNumId w:val="117"/>
  </w:num>
  <w:num w:numId="55">
    <w:abstractNumId w:val="35"/>
  </w:num>
  <w:num w:numId="56">
    <w:abstractNumId w:val="101"/>
  </w:num>
  <w:num w:numId="57">
    <w:abstractNumId w:val="147"/>
  </w:num>
  <w:num w:numId="58">
    <w:abstractNumId w:val="86"/>
  </w:num>
  <w:num w:numId="59">
    <w:abstractNumId w:val="85"/>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98"/>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5"/>
  </w:num>
  <w:num w:numId="68">
    <w:abstractNumId w:val="71"/>
  </w:num>
  <w:num w:numId="69">
    <w:abstractNumId w:val="78"/>
  </w:num>
  <w:num w:numId="70">
    <w:abstractNumId w:val="139"/>
  </w:num>
  <w:num w:numId="71">
    <w:abstractNumId w:val="108"/>
  </w:num>
  <w:num w:numId="72">
    <w:abstractNumId w:val="87"/>
  </w:num>
  <w:num w:numId="73">
    <w:abstractNumId w:val="72"/>
  </w:num>
  <w:num w:numId="74">
    <w:abstractNumId w:val="92"/>
  </w:num>
  <w:num w:numId="75">
    <w:abstractNumId w:val="122"/>
  </w:num>
  <w:num w:numId="76">
    <w:abstractNumId w:val="88"/>
  </w:num>
  <w:num w:numId="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8"/>
  </w:num>
  <w:num w:numId="79">
    <w:abstractNumId w:val="120"/>
  </w:num>
  <w:num w:numId="80">
    <w:abstractNumId w:val="45"/>
  </w:num>
  <w:num w:numId="81">
    <w:abstractNumId w:val="156"/>
  </w:num>
  <w:num w:numId="82">
    <w:abstractNumId w:val="143"/>
  </w:num>
  <w:num w:numId="83">
    <w:abstractNumId w:val="26"/>
  </w:num>
  <w:num w:numId="84">
    <w:abstractNumId w:val="124"/>
  </w:num>
  <w:num w:numId="85">
    <w:abstractNumId w:val="15"/>
  </w:num>
  <w:num w:numId="86">
    <w:abstractNumId w:val="19"/>
  </w:num>
  <w:num w:numId="87">
    <w:abstractNumId w:val="129"/>
  </w:num>
  <w:num w:numId="88">
    <w:abstractNumId w:val="57"/>
  </w:num>
  <w:num w:numId="89">
    <w:abstractNumId w:val="103"/>
  </w:num>
  <w:num w:numId="90">
    <w:abstractNumId w:val="46"/>
    <w:lvlOverride w:ilvl="0">
      <w:lvl w:ilvl="0" w:tplc="8C08978C">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6"/>
  </w:num>
  <w:num w:numId="93">
    <w:abstractNumId w:val="31"/>
  </w:num>
  <w:num w:numId="94">
    <w:abstractNumId w:val="80"/>
  </w:num>
  <w:num w:numId="95">
    <w:abstractNumId w:val="66"/>
  </w:num>
  <w:num w:numId="96">
    <w:abstractNumId w:val="25"/>
  </w:num>
  <w:num w:numId="97">
    <w:abstractNumId w:val="137"/>
  </w:num>
  <w:num w:numId="98">
    <w:abstractNumId w:val="113"/>
  </w:num>
  <w:num w:numId="99">
    <w:abstractNumId w:val="130"/>
  </w:num>
  <w:num w:numId="100">
    <w:abstractNumId w:val="60"/>
  </w:num>
  <w:num w:numId="101">
    <w:abstractNumId w:val="53"/>
  </w:num>
  <w:num w:numId="102">
    <w:abstractNumId w:val="132"/>
  </w:num>
  <w:num w:numId="103">
    <w:abstractNumId w:val="140"/>
  </w:num>
  <w:num w:numId="104">
    <w:abstractNumId w:val="159"/>
  </w:num>
  <w:num w:numId="105">
    <w:abstractNumId w:val="7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num>
  <w:num w:numId="109">
    <w:abstractNumId w:val="160"/>
  </w:num>
  <w:num w:numId="110">
    <w:abstractNumId w:val="43"/>
  </w:num>
  <w:num w:numId="111">
    <w:abstractNumId w:val="125"/>
  </w:num>
  <w:num w:numId="112">
    <w:abstractNumId w:val="84"/>
  </w:num>
  <w:num w:numId="113">
    <w:abstractNumId w:val="90"/>
  </w:num>
  <w:num w:numId="114">
    <w:abstractNumId w:val="91"/>
  </w:num>
  <w:num w:numId="115">
    <w:abstractNumId w:val="123"/>
  </w:num>
  <w:num w:numId="116">
    <w:abstractNumId w:val="40"/>
  </w:num>
  <w:num w:numId="117">
    <w:abstractNumId w:val="32"/>
  </w:num>
  <w:num w:numId="118">
    <w:abstractNumId w:val="64"/>
  </w:num>
  <w:num w:numId="119">
    <w:abstractNumId w:val="131"/>
  </w:num>
  <w:num w:numId="120">
    <w:abstractNumId w:val="73"/>
  </w:num>
  <w:num w:numId="121">
    <w:abstractNumId w:val="164"/>
  </w:num>
  <w:num w:numId="122">
    <w:abstractNumId w:val="51"/>
  </w:num>
  <w:num w:numId="123">
    <w:abstractNumId w:val="162"/>
  </w:num>
  <w:num w:numId="124">
    <w:abstractNumId w:val="23"/>
  </w:num>
  <w:num w:numId="125">
    <w:abstractNumId w:val="89"/>
  </w:num>
  <w:num w:numId="126">
    <w:abstractNumId w:val="18"/>
  </w:num>
  <w:num w:numId="127">
    <w:abstractNumId w:val="94"/>
  </w:num>
  <w:num w:numId="128">
    <w:abstractNumId w:val="102"/>
  </w:num>
  <w:num w:numId="129">
    <w:abstractNumId w:val="128"/>
  </w:num>
  <w:num w:numId="130">
    <w:abstractNumId w:val="59"/>
  </w:num>
  <w:num w:numId="131">
    <w:abstractNumId w:val="63"/>
  </w:num>
  <w:num w:numId="132">
    <w:abstractNumId w:val="109"/>
  </w:num>
  <w:num w:numId="133">
    <w:abstractNumId w:val="68"/>
  </w:num>
  <w:num w:numId="134">
    <w:abstractNumId w:val="115"/>
  </w:num>
  <w:num w:numId="135">
    <w:abstractNumId w:val="9"/>
  </w:num>
  <w:num w:numId="136">
    <w:abstractNumId w:val="46"/>
  </w:num>
  <w:num w:numId="137">
    <w:abstractNumId w:val="106"/>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9"/>
  </w:num>
  <w:num w:numId="148">
    <w:abstractNumId w:val="127"/>
  </w:num>
  <w:num w:numId="149">
    <w:abstractNumId w:val="135"/>
  </w:num>
  <w:num w:numId="150">
    <w:abstractNumId w:val="20"/>
  </w:num>
  <w:num w:numId="151">
    <w:abstractNumId w:val="33"/>
  </w:num>
  <w:num w:numId="152">
    <w:abstractNumId w:val="105"/>
  </w:num>
  <w:num w:numId="153">
    <w:abstractNumId w:val="38"/>
  </w:num>
  <w:num w:numId="154">
    <w:abstractNumId w:val="82"/>
  </w:num>
  <w:num w:numId="155">
    <w:abstractNumId w:val="48"/>
  </w:num>
  <w:num w:numId="156">
    <w:abstractNumId w:val="100"/>
  </w:num>
  <w:num w:numId="157">
    <w:abstractNumId w:val="93"/>
  </w:num>
  <w:num w:numId="158">
    <w:abstractNumId w:val="152"/>
  </w:num>
  <w:num w:numId="159">
    <w:abstractNumId w:val="81"/>
  </w:num>
  <w:num w:numId="1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
  </w:num>
  <w:num w:numId="163">
    <w:abstractNumId w:val="83"/>
  </w:num>
  <w:num w:numId="164">
    <w:abstractNumId w:val="97"/>
  </w:num>
  <w:num w:numId="165">
    <w:abstractNumId w:val="11"/>
  </w:num>
  <w:num w:numId="166">
    <w:abstractNumId w:val="39"/>
  </w:num>
  <w:num w:numId="167">
    <w:abstractNumId w:val="77"/>
  </w:num>
  <w:num w:numId="168">
    <w:abstractNumId w:val="78"/>
  </w:num>
  <w:num w:numId="169">
    <w:abstractNumId w:val="28"/>
  </w:num>
  <w:num w:numId="170">
    <w:abstractNumId w:val="154"/>
  </w:num>
  <w:num w:numId="171">
    <w:abstractNumId w:val="50"/>
  </w:num>
  <w:num w:numId="172">
    <w:abstractNumId w:val="22"/>
  </w:num>
  <w:num w:numId="173">
    <w:abstractNumId w:val="151"/>
  </w:num>
  <w:num w:numId="174">
    <w:abstractNumId w:val="52"/>
  </w:num>
  <w:num w:numId="175">
    <w:abstractNumId w:val="107"/>
  </w:num>
  <w:num w:numId="176">
    <w:abstractNumId w:val="37"/>
  </w:num>
  <w:num w:numId="177">
    <w:abstractNumId w:val="1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A0C"/>
    <w:rsid w:val="00134CFF"/>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6CE8"/>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AB0"/>
    <w:rsid w:val="00323DE8"/>
    <w:rsid w:val="003240C2"/>
    <w:rsid w:val="0032493E"/>
    <w:rsid w:val="003249F6"/>
    <w:rsid w:val="00324D33"/>
    <w:rsid w:val="00324D8D"/>
    <w:rsid w:val="0032507C"/>
    <w:rsid w:val="0032513A"/>
    <w:rsid w:val="00325386"/>
    <w:rsid w:val="00325520"/>
    <w:rsid w:val="003258C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36E"/>
    <w:rsid w:val="00400451"/>
    <w:rsid w:val="00400698"/>
    <w:rsid w:val="004006AA"/>
    <w:rsid w:val="004008DA"/>
    <w:rsid w:val="00400953"/>
    <w:rsid w:val="00400A21"/>
    <w:rsid w:val="00400AA0"/>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DC3"/>
    <w:rsid w:val="00415115"/>
    <w:rsid w:val="0041540F"/>
    <w:rsid w:val="004154ED"/>
    <w:rsid w:val="004156DA"/>
    <w:rsid w:val="004161AF"/>
    <w:rsid w:val="00416A4E"/>
    <w:rsid w:val="00416ABA"/>
    <w:rsid w:val="00416ADF"/>
    <w:rsid w:val="00416DB3"/>
    <w:rsid w:val="00416DEE"/>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CA6"/>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9EF"/>
    <w:rsid w:val="00463A8E"/>
    <w:rsid w:val="00463B01"/>
    <w:rsid w:val="00463DD7"/>
    <w:rsid w:val="00463DE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A8"/>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540"/>
    <w:rsid w:val="004C1553"/>
    <w:rsid w:val="004C184E"/>
    <w:rsid w:val="004C1F10"/>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FAD"/>
    <w:rsid w:val="004E514D"/>
    <w:rsid w:val="004E51B4"/>
    <w:rsid w:val="004E5267"/>
    <w:rsid w:val="004E54F4"/>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428E"/>
    <w:rsid w:val="004F439A"/>
    <w:rsid w:val="004F4494"/>
    <w:rsid w:val="004F44F4"/>
    <w:rsid w:val="004F4641"/>
    <w:rsid w:val="004F4698"/>
    <w:rsid w:val="004F47AB"/>
    <w:rsid w:val="004F492E"/>
    <w:rsid w:val="004F4B7D"/>
    <w:rsid w:val="004F51E8"/>
    <w:rsid w:val="004F562A"/>
    <w:rsid w:val="004F5ADA"/>
    <w:rsid w:val="004F5D22"/>
    <w:rsid w:val="004F5E94"/>
    <w:rsid w:val="004F5F63"/>
    <w:rsid w:val="004F633B"/>
    <w:rsid w:val="004F6469"/>
    <w:rsid w:val="004F652D"/>
    <w:rsid w:val="004F6587"/>
    <w:rsid w:val="004F682B"/>
    <w:rsid w:val="004F6C8C"/>
    <w:rsid w:val="004F6D8E"/>
    <w:rsid w:val="004F72F7"/>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1"/>
    <w:rsid w:val="005520F8"/>
    <w:rsid w:val="005522EA"/>
    <w:rsid w:val="0055242D"/>
    <w:rsid w:val="00552C6C"/>
    <w:rsid w:val="00552CF2"/>
    <w:rsid w:val="0055323B"/>
    <w:rsid w:val="005534D3"/>
    <w:rsid w:val="00553EF3"/>
    <w:rsid w:val="00554092"/>
    <w:rsid w:val="00554129"/>
    <w:rsid w:val="005546C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BE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0DC"/>
    <w:rsid w:val="005D7677"/>
    <w:rsid w:val="005D78BF"/>
    <w:rsid w:val="005D7E20"/>
    <w:rsid w:val="005D7E23"/>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322"/>
    <w:rsid w:val="007674E5"/>
    <w:rsid w:val="0076781F"/>
    <w:rsid w:val="00767B19"/>
    <w:rsid w:val="00767BD5"/>
    <w:rsid w:val="00767CBE"/>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753"/>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92B"/>
    <w:rsid w:val="007D4E3F"/>
    <w:rsid w:val="007D4F31"/>
    <w:rsid w:val="007D54FB"/>
    <w:rsid w:val="007D5994"/>
    <w:rsid w:val="007D59A3"/>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EAC"/>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75A6"/>
    <w:rsid w:val="0084766A"/>
    <w:rsid w:val="0084771A"/>
    <w:rsid w:val="00847985"/>
    <w:rsid w:val="008479D3"/>
    <w:rsid w:val="00847A38"/>
    <w:rsid w:val="00847C6C"/>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086"/>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F5C"/>
    <w:rsid w:val="00874FA2"/>
    <w:rsid w:val="00874FDB"/>
    <w:rsid w:val="00875508"/>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5F67"/>
    <w:rsid w:val="008F6514"/>
    <w:rsid w:val="008F67A6"/>
    <w:rsid w:val="008F6D85"/>
    <w:rsid w:val="008F6E63"/>
    <w:rsid w:val="008F70E1"/>
    <w:rsid w:val="008F72F0"/>
    <w:rsid w:val="008F739D"/>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D30"/>
    <w:rsid w:val="0096156B"/>
    <w:rsid w:val="00961991"/>
    <w:rsid w:val="00961FD0"/>
    <w:rsid w:val="00962059"/>
    <w:rsid w:val="00962238"/>
    <w:rsid w:val="00962E15"/>
    <w:rsid w:val="00963216"/>
    <w:rsid w:val="00964135"/>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AF7"/>
    <w:rsid w:val="00A34FE0"/>
    <w:rsid w:val="00A34FFF"/>
    <w:rsid w:val="00A35005"/>
    <w:rsid w:val="00A35066"/>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4D3"/>
    <w:rsid w:val="00A615B9"/>
    <w:rsid w:val="00A622C3"/>
    <w:rsid w:val="00A6230B"/>
    <w:rsid w:val="00A6257B"/>
    <w:rsid w:val="00A630A7"/>
    <w:rsid w:val="00A63493"/>
    <w:rsid w:val="00A63559"/>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C8"/>
    <w:rsid w:val="00A76B0E"/>
    <w:rsid w:val="00A76F65"/>
    <w:rsid w:val="00A770E4"/>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A70"/>
    <w:rsid w:val="00A8604B"/>
    <w:rsid w:val="00A8616C"/>
    <w:rsid w:val="00A86451"/>
    <w:rsid w:val="00A865DF"/>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67"/>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3A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6B34"/>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F46"/>
    <w:rsid w:val="00D213C2"/>
    <w:rsid w:val="00D21A16"/>
    <w:rsid w:val="00D21B5C"/>
    <w:rsid w:val="00D21D39"/>
    <w:rsid w:val="00D21FEE"/>
    <w:rsid w:val="00D224E5"/>
    <w:rsid w:val="00D22680"/>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31FF"/>
    <w:rsid w:val="00DA334D"/>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C3A0E3"/>
    <w:rsid w:val="0CD116C3"/>
    <w:rsid w:val="0CDC1C20"/>
    <w:rsid w:val="0CF8C8F3"/>
    <w:rsid w:val="0D08D27B"/>
    <w:rsid w:val="0D28F89B"/>
    <w:rsid w:val="0E28F628"/>
    <w:rsid w:val="0E3CD482"/>
    <w:rsid w:val="0EE57349"/>
    <w:rsid w:val="0F54F5F4"/>
    <w:rsid w:val="0F5C5B9F"/>
    <w:rsid w:val="0F873831"/>
    <w:rsid w:val="0FB8CBDE"/>
    <w:rsid w:val="103341C2"/>
    <w:rsid w:val="10E7DCC9"/>
    <w:rsid w:val="1104FC79"/>
    <w:rsid w:val="1148C478"/>
    <w:rsid w:val="1177BDF4"/>
    <w:rsid w:val="118F48ED"/>
    <w:rsid w:val="1190595E"/>
    <w:rsid w:val="12417F5E"/>
    <w:rsid w:val="1258BCBF"/>
    <w:rsid w:val="1351C133"/>
    <w:rsid w:val="13799E50"/>
    <w:rsid w:val="138D31BE"/>
    <w:rsid w:val="138DC82B"/>
    <w:rsid w:val="139F3FDB"/>
    <w:rsid w:val="15466F7E"/>
    <w:rsid w:val="16051277"/>
    <w:rsid w:val="176EC3CB"/>
    <w:rsid w:val="177970ED"/>
    <w:rsid w:val="17A3FDAF"/>
    <w:rsid w:val="1898B91E"/>
    <w:rsid w:val="18A4A000"/>
    <w:rsid w:val="1965265C"/>
    <w:rsid w:val="19F0B87E"/>
    <w:rsid w:val="1A8E8BA1"/>
    <w:rsid w:val="1A99EF3E"/>
    <w:rsid w:val="1AA5391C"/>
    <w:rsid w:val="1ABFA2E7"/>
    <w:rsid w:val="1BB3F192"/>
    <w:rsid w:val="1BD09194"/>
    <w:rsid w:val="1BFD8E5C"/>
    <w:rsid w:val="1C3FF0CE"/>
    <w:rsid w:val="1C56CC37"/>
    <w:rsid w:val="1D4DA26C"/>
    <w:rsid w:val="1D774C8C"/>
    <w:rsid w:val="1DDC51D6"/>
    <w:rsid w:val="1E1FB653"/>
    <w:rsid w:val="1E424DBE"/>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B51DDD"/>
    <w:rsid w:val="24053EF3"/>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D4D479"/>
    <w:rsid w:val="3E130F49"/>
    <w:rsid w:val="3EE6CAB2"/>
    <w:rsid w:val="3F36D6EF"/>
    <w:rsid w:val="3FAD41A5"/>
    <w:rsid w:val="401676AC"/>
    <w:rsid w:val="405A00D5"/>
    <w:rsid w:val="4127ED15"/>
    <w:rsid w:val="41399F2C"/>
    <w:rsid w:val="414BCE7D"/>
    <w:rsid w:val="415041F8"/>
    <w:rsid w:val="4153854F"/>
    <w:rsid w:val="42ED2D9D"/>
    <w:rsid w:val="434EE4D9"/>
    <w:rsid w:val="43C71B4C"/>
    <w:rsid w:val="43D7706C"/>
    <w:rsid w:val="444CC388"/>
    <w:rsid w:val="44E14500"/>
    <w:rsid w:val="453E481E"/>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F1BF960"/>
    <w:rsid w:val="4F5FB778"/>
    <w:rsid w:val="4F7F0F97"/>
    <w:rsid w:val="4FEF2D16"/>
    <w:rsid w:val="508D55A5"/>
    <w:rsid w:val="50DC5370"/>
    <w:rsid w:val="50F8B3AE"/>
    <w:rsid w:val="50FCEAFA"/>
    <w:rsid w:val="5136C4A8"/>
    <w:rsid w:val="5156A622"/>
    <w:rsid w:val="51A732E7"/>
    <w:rsid w:val="51BA2DEE"/>
    <w:rsid w:val="521A7698"/>
    <w:rsid w:val="522DB5F6"/>
    <w:rsid w:val="52EDC941"/>
    <w:rsid w:val="53069855"/>
    <w:rsid w:val="5355A7EA"/>
    <w:rsid w:val="5363B797"/>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5FA8AED6"/>
    <w:rsid w:val="5FD790FB"/>
    <w:rsid w:val="603E687F"/>
    <w:rsid w:val="608F1FB7"/>
    <w:rsid w:val="60CA9CD6"/>
    <w:rsid w:val="60EAB4E6"/>
    <w:rsid w:val="61EA806B"/>
    <w:rsid w:val="628B25C4"/>
    <w:rsid w:val="62951C6A"/>
    <w:rsid w:val="62A07E75"/>
    <w:rsid w:val="637FED53"/>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C2D9B37"/>
    <w:rsid w:val="6CE59CA5"/>
    <w:rsid w:val="6CEB72FD"/>
    <w:rsid w:val="6D02DA91"/>
    <w:rsid w:val="6D35DA94"/>
    <w:rsid w:val="6D3924D3"/>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E7876"/>
    <w:rsid w:val="76A3CACB"/>
    <w:rsid w:val="76C3F441"/>
    <w:rsid w:val="76CADA6F"/>
    <w:rsid w:val="771F052B"/>
    <w:rsid w:val="7823A2C8"/>
    <w:rsid w:val="7855BB66"/>
    <w:rsid w:val="789A95F7"/>
    <w:rsid w:val="78EC704B"/>
    <w:rsid w:val="79253CE8"/>
    <w:rsid w:val="79630E4A"/>
    <w:rsid w:val="79901318"/>
    <w:rsid w:val="7996407D"/>
    <w:rsid w:val="79C25BF8"/>
    <w:rsid w:val="79C51892"/>
    <w:rsid w:val="7A0B83AA"/>
    <w:rsid w:val="7A36AB7C"/>
    <w:rsid w:val="7A6A1259"/>
    <w:rsid w:val="7AADE753"/>
    <w:rsid w:val="7B41F0D8"/>
    <w:rsid w:val="7C43878B"/>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962FB8"/>
  <w15:docId w15:val="{957EFF2B-4F86-4AFD-B4A5-4DCC4D7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support.zoom.us/hc/" TargetMode="External"/><Relationship Id="rId39" Type="http://schemas.openxmlformats.org/officeDocument/2006/relationships/hyperlink" Target="https://www.energy.ca.gov/funding-opportunities/solicitations" TargetMode="External"/><Relationship Id="rId21" Type="http://schemas.openxmlformats.org/officeDocument/2006/relationships/hyperlink" Target="https://join.zoom.us/" TargetMode="External"/><Relationship Id="rId34" Type="http://schemas.openxmlformats.org/officeDocument/2006/relationships/hyperlink" Target="https://oehha.ca.gov/calenviroscreen/report/calenviroscreen-3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lbl.gov/dir/assets/docs/TRL%20guide.pdf" TargetMode="External"/><Relationship Id="rId29" Type="http://schemas.openxmlformats.org/officeDocument/2006/relationships/hyperlink" Target="file:///C:/Users/pdyer/AppData/Local/Temp/Temp2_OneDrive_2020-10-08.zip/GFO%20Package/Phil.Dyer@energy.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s://www.energy.ca.gov/rules-and-regulations/energy-suppliers-reporting/clean-energy-and-pollution-reduction-act-sb-350/sb" TargetMode="External"/><Relationship Id="rId37" Type="http://schemas.openxmlformats.org/officeDocument/2006/relationships/hyperlink" Target="https://www.energy.ca.gov/funding-opportunities/solicitation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oom.us/download" TargetMode="External"/><Relationship Id="rId28" Type="http://schemas.openxmlformats.org/officeDocument/2006/relationships/hyperlink" Target="https://support.zoom.us/hc/en-us/categories/200101697-Getting-Started" TargetMode="External"/><Relationship Id="rId36" Type="http://schemas.openxmlformats.org/officeDocument/2006/relationships/hyperlink" Target="https://ww2.energy.ca.gov/2020publications/CEC-180-2020-001/CEC-180-2020-001.pdf" TargetMode="External"/><Relationship Id="rId10" Type="http://schemas.openxmlformats.org/officeDocument/2006/relationships/endnotes" Target="endnotes.xml"/><Relationship Id="rId19" Type="http://schemas.openxmlformats.org/officeDocument/2006/relationships/hyperlink" Target="http://www.empowerinnovation.net" TargetMode="External"/><Relationship Id="rId31" Type="http://schemas.openxmlformats.org/officeDocument/2006/relationships/hyperlink" Target="https://leginfo.legislature.ca.gov/faces/billNavClient.xhtml?bill_id=201720180AB5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zoom.us.download/" TargetMode="External"/><Relationship Id="rId27" Type="http://schemas.openxmlformats.org/officeDocument/2006/relationships/hyperlink" Target="mailto:publicadvisor@energy.ca.gov" TargetMode="External"/><Relationship Id="rId30" Type="http://schemas.openxmlformats.org/officeDocument/2006/relationships/hyperlink" Target="http://www.energy.ca.gov/research/contractors.html" TargetMode="External"/><Relationship Id="rId35" Type="http://schemas.openxmlformats.org/officeDocument/2006/relationships/hyperlink" Target="https://healthyplacesindex.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energy.zoom.us/u/aibCHsX0j" TargetMode="External"/><Relationship Id="rId33" Type="http://schemas.openxmlformats.org/officeDocument/2006/relationships/hyperlink" Target="http://www.energy.ca.gov/research/"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ivisionApproved xmlns="785685f2-c2e1-4352-89aa-3faca8eaba52">false</DivisionApproved>
    <DivisionReviewed xmlns="785685f2-c2e1-4352-89aa-3faca8eaba52">false</DivisionReviewed>
    <OMComments xmlns="785685f2-c2e1-4352-89aa-3faca8eaba52">true</OMComments>
    <Recipient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C9126-ECA3-4384-B1DA-6032FE913339}">
  <ds:schemaRefs>
    <ds:schemaRef ds:uri="785685f2-c2e1-4352-89aa-3faca8eaba52"/>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067c814-4b34-462c-a21d-c185ff6548d2"/>
    <ds:schemaRef ds:uri="http://purl.org/dc/dcmitype/"/>
  </ds:schemaRefs>
</ds:datastoreItem>
</file>

<file path=customXml/itemProps2.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customXml/itemProps3.xml><?xml version="1.0" encoding="utf-8"?>
<ds:datastoreItem xmlns:ds="http://schemas.openxmlformats.org/officeDocument/2006/customXml" ds:itemID="{EF67B755-6B91-4A84-9907-1A3C9986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22901</Words>
  <Characters>130538</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2</cp:revision>
  <cp:lastPrinted>2020-12-09T21:38:00Z</cp:lastPrinted>
  <dcterms:created xsi:type="dcterms:W3CDTF">2021-07-30T18:54:00Z</dcterms:created>
  <dcterms:modified xsi:type="dcterms:W3CDTF">2021-07-30T18:54:00Z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