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5F55A" w14:textId="0124B562" w:rsidR="000A0679" w:rsidRPr="00020F05" w:rsidRDefault="000A0679" w:rsidP="000F6B43">
      <w:pPr>
        <w:spacing w:after="0" w:line="240" w:lineRule="auto"/>
        <w:ind w:left="720" w:hanging="720"/>
        <w:contextualSpacing/>
        <w:jc w:val="center"/>
        <w:rPr>
          <w:rFonts w:ascii="Tahoma" w:hAnsi="Tahoma" w:cs="Tahoma"/>
          <w:b/>
          <w:sz w:val="24"/>
          <w:szCs w:val="24"/>
        </w:rPr>
      </w:pPr>
      <w:r w:rsidRPr="00020F05">
        <w:rPr>
          <w:rFonts w:ascii="Tahoma" w:hAnsi="Tahoma" w:cs="Tahoma"/>
          <w:b/>
          <w:sz w:val="24"/>
          <w:szCs w:val="24"/>
        </w:rPr>
        <w:t>Questions and Answers</w:t>
      </w:r>
      <w:r w:rsidR="007F26C6">
        <w:rPr>
          <w:rFonts w:ascii="Tahoma" w:hAnsi="Tahoma" w:cs="Tahoma"/>
          <w:b/>
          <w:sz w:val="24"/>
          <w:szCs w:val="24"/>
        </w:rPr>
        <w:t xml:space="preserve"> II</w:t>
      </w:r>
    </w:p>
    <w:p w14:paraId="00A2C2D0" w14:textId="51F6D702" w:rsidR="00454338" w:rsidRPr="00020F05" w:rsidRDefault="00FC4397" w:rsidP="000F6B43">
      <w:pPr>
        <w:spacing w:after="0" w:line="240" w:lineRule="auto"/>
        <w:ind w:left="720" w:hanging="720"/>
        <w:contextualSpacing/>
        <w:jc w:val="center"/>
        <w:rPr>
          <w:rFonts w:ascii="Tahoma" w:hAnsi="Tahoma" w:cs="Tahoma"/>
          <w:b/>
          <w:bCs/>
          <w:sz w:val="24"/>
          <w:szCs w:val="24"/>
        </w:rPr>
      </w:pPr>
      <w:r>
        <w:rPr>
          <w:rFonts w:ascii="Tahoma" w:hAnsi="Tahoma" w:cs="Tahoma"/>
          <w:b/>
          <w:bCs/>
          <w:sz w:val="24"/>
          <w:szCs w:val="24"/>
        </w:rPr>
        <w:t>Renewable Hydrogen Transportation Fuel Production</w:t>
      </w:r>
      <w:r w:rsidR="00454338" w:rsidRPr="00020F05">
        <w:rPr>
          <w:rFonts w:ascii="Tahoma" w:hAnsi="Tahoma" w:cs="Tahoma"/>
          <w:b/>
          <w:bCs/>
          <w:sz w:val="24"/>
          <w:szCs w:val="24"/>
        </w:rPr>
        <w:t xml:space="preserve"> </w:t>
      </w:r>
    </w:p>
    <w:p w14:paraId="1F416CAF" w14:textId="7A452286" w:rsidR="000A0679" w:rsidRPr="00020F05" w:rsidRDefault="000A0679" w:rsidP="000F6B43">
      <w:pPr>
        <w:spacing w:after="0" w:line="240" w:lineRule="auto"/>
        <w:ind w:left="720" w:hanging="720"/>
        <w:contextualSpacing/>
        <w:jc w:val="center"/>
        <w:rPr>
          <w:rFonts w:ascii="Tahoma" w:hAnsi="Tahoma" w:cs="Tahoma"/>
          <w:b/>
          <w:sz w:val="24"/>
          <w:szCs w:val="24"/>
        </w:rPr>
      </w:pPr>
      <w:r w:rsidRPr="00020F05">
        <w:rPr>
          <w:rFonts w:ascii="Tahoma" w:hAnsi="Tahoma" w:cs="Tahoma"/>
          <w:b/>
          <w:sz w:val="24"/>
          <w:szCs w:val="24"/>
        </w:rPr>
        <w:t>GFO-</w:t>
      </w:r>
      <w:r w:rsidR="00B00803" w:rsidRPr="00020F05">
        <w:rPr>
          <w:rFonts w:ascii="Tahoma" w:hAnsi="Tahoma" w:cs="Tahoma"/>
          <w:b/>
          <w:sz w:val="24"/>
          <w:szCs w:val="24"/>
        </w:rPr>
        <w:t>20</w:t>
      </w:r>
      <w:r w:rsidRPr="00020F05">
        <w:rPr>
          <w:rFonts w:ascii="Tahoma" w:hAnsi="Tahoma" w:cs="Tahoma"/>
          <w:b/>
          <w:sz w:val="24"/>
          <w:szCs w:val="24"/>
        </w:rPr>
        <w:t>-60</w:t>
      </w:r>
      <w:r w:rsidR="00FC4397">
        <w:rPr>
          <w:rFonts w:ascii="Tahoma" w:hAnsi="Tahoma" w:cs="Tahoma"/>
          <w:b/>
          <w:sz w:val="24"/>
          <w:szCs w:val="24"/>
        </w:rPr>
        <w:t>9</w:t>
      </w:r>
    </w:p>
    <w:p w14:paraId="2BF33DE2" w14:textId="31993E3C" w:rsidR="000A0679" w:rsidRPr="00020F05" w:rsidRDefault="007F26C6" w:rsidP="000F6B43">
      <w:pPr>
        <w:spacing w:after="0" w:line="240" w:lineRule="auto"/>
        <w:ind w:left="720" w:hanging="720"/>
        <w:contextualSpacing/>
        <w:jc w:val="center"/>
        <w:rPr>
          <w:rFonts w:ascii="Tahoma" w:hAnsi="Tahoma" w:cs="Tahoma"/>
          <w:b/>
          <w:sz w:val="24"/>
          <w:szCs w:val="24"/>
        </w:rPr>
      </w:pPr>
      <w:r>
        <w:rPr>
          <w:rFonts w:ascii="Tahoma" w:hAnsi="Tahoma" w:cs="Tahoma"/>
          <w:b/>
          <w:sz w:val="24"/>
          <w:szCs w:val="24"/>
        </w:rPr>
        <w:t>August</w:t>
      </w:r>
      <w:r w:rsidRPr="00020F05">
        <w:rPr>
          <w:rFonts w:ascii="Tahoma" w:hAnsi="Tahoma" w:cs="Tahoma"/>
          <w:b/>
          <w:sz w:val="24"/>
          <w:szCs w:val="24"/>
        </w:rPr>
        <w:t xml:space="preserve"> 2</w:t>
      </w:r>
      <w:r w:rsidR="00D1728C">
        <w:rPr>
          <w:rFonts w:ascii="Tahoma" w:hAnsi="Tahoma" w:cs="Tahoma"/>
          <w:b/>
          <w:sz w:val="24"/>
          <w:szCs w:val="24"/>
        </w:rPr>
        <w:t>5</w:t>
      </w:r>
      <w:r w:rsidR="000A0679" w:rsidRPr="00020F05">
        <w:rPr>
          <w:rFonts w:ascii="Tahoma" w:hAnsi="Tahoma" w:cs="Tahoma"/>
          <w:b/>
          <w:sz w:val="24"/>
          <w:szCs w:val="24"/>
        </w:rPr>
        <w:t>, 20</w:t>
      </w:r>
      <w:r w:rsidR="00B00803" w:rsidRPr="00020F05">
        <w:rPr>
          <w:rFonts w:ascii="Tahoma" w:hAnsi="Tahoma" w:cs="Tahoma"/>
          <w:b/>
          <w:sz w:val="24"/>
          <w:szCs w:val="24"/>
        </w:rPr>
        <w:t>2</w:t>
      </w:r>
      <w:r w:rsidR="000A0679" w:rsidRPr="00020F05">
        <w:rPr>
          <w:rFonts w:ascii="Tahoma" w:hAnsi="Tahoma" w:cs="Tahoma"/>
          <w:b/>
          <w:sz w:val="24"/>
          <w:szCs w:val="24"/>
        </w:rPr>
        <w:t>1</w:t>
      </w:r>
    </w:p>
    <w:p w14:paraId="2D99C571" w14:textId="77777777" w:rsidR="003364F7" w:rsidRPr="00020F05" w:rsidRDefault="003364F7" w:rsidP="000F6B43">
      <w:pPr>
        <w:spacing w:after="0" w:line="240" w:lineRule="auto"/>
        <w:ind w:left="720" w:hanging="720"/>
        <w:contextualSpacing/>
        <w:jc w:val="center"/>
        <w:rPr>
          <w:rFonts w:ascii="Tahoma" w:hAnsi="Tahoma" w:cs="Tahoma"/>
          <w:b/>
          <w:sz w:val="24"/>
          <w:szCs w:val="24"/>
        </w:rPr>
      </w:pPr>
    </w:p>
    <w:p w14:paraId="7F385EAF" w14:textId="3DE0018B" w:rsidR="000A0679" w:rsidRPr="00020F05" w:rsidRDefault="000A0679" w:rsidP="00763777">
      <w:pPr>
        <w:pStyle w:val="Header"/>
        <w:contextualSpacing/>
        <w:rPr>
          <w:rFonts w:ascii="Tahoma" w:eastAsia="Times New Roman" w:hAnsi="Tahoma" w:cs="Tahoma"/>
          <w:sz w:val="24"/>
          <w:szCs w:val="24"/>
        </w:rPr>
      </w:pPr>
      <w:r w:rsidRPr="00020F05">
        <w:rPr>
          <w:rFonts w:ascii="Tahoma" w:eastAsia="Times New Roman" w:hAnsi="Tahoma" w:cs="Tahoma"/>
          <w:sz w:val="24"/>
          <w:szCs w:val="24"/>
        </w:rPr>
        <w:t xml:space="preserve">The following answers are based on the </w:t>
      </w:r>
      <w:r w:rsidR="00B25CD0" w:rsidRPr="00020F05">
        <w:rPr>
          <w:rFonts w:ascii="Tahoma" w:eastAsia="Times New Roman" w:hAnsi="Tahoma" w:cs="Tahoma"/>
          <w:sz w:val="24"/>
          <w:szCs w:val="24"/>
        </w:rPr>
        <w:t xml:space="preserve">California </w:t>
      </w:r>
      <w:r w:rsidRPr="00020F05">
        <w:rPr>
          <w:rFonts w:ascii="Tahoma" w:eastAsia="Times New Roman" w:hAnsi="Tahoma" w:cs="Tahoma"/>
          <w:sz w:val="24"/>
          <w:szCs w:val="24"/>
        </w:rPr>
        <w:t xml:space="preserve">Energy Commission’s </w:t>
      </w:r>
      <w:r w:rsidR="00B25CD0" w:rsidRPr="00020F05">
        <w:rPr>
          <w:rFonts w:ascii="Tahoma" w:eastAsia="Times New Roman" w:hAnsi="Tahoma" w:cs="Tahoma"/>
          <w:sz w:val="24"/>
          <w:szCs w:val="24"/>
        </w:rPr>
        <w:t xml:space="preserve">(CEC’s) </w:t>
      </w:r>
      <w:r w:rsidRPr="00020F05">
        <w:rPr>
          <w:rFonts w:ascii="Tahoma" w:eastAsia="Times New Roman" w:hAnsi="Tahoma" w:cs="Tahoma"/>
          <w:sz w:val="24"/>
          <w:szCs w:val="24"/>
        </w:rPr>
        <w:t xml:space="preserve">interpretation of the questions received. It is the applicant’s responsibility to </w:t>
      </w:r>
      <w:r w:rsidR="000C0671" w:rsidRPr="00020F05">
        <w:rPr>
          <w:rFonts w:ascii="Tahoma" w:eastAsia="Times New Roman" w:hAnsi="Tahoma" w:cs="Tahoma"/>
          <w:sz w:val="24"/>
          <w:szCs w:val="24"/>
        </w:rPr>
        <w:t xml:space="preserve">review </w:t>
      </w:r>
      <w:r w:rsidRPr="00020F05">
        <w:rPr>
          <w:rFonts w:ascii="Tahoma" w:eastAsia="Times New Roman" w:hAnsi="Tahoma" w:cs="Tahoma"/>
          <w:sz w:val="24"/>
          <w:szCs w:val="24"/>
        </w:rPr>
        <w:t xml:space="preserve">the </w:t>
      </w:r>
      <w:r w:rsidR="00710D52" w:rsidRPr="00020F05">
        <w:rPr>
          <w:rFonts w:ascii="Tahoma" w:eastAsia="Times New Roman" w:hAnsi="Tahoma" w:cs="Tahoma"/>
          <w:sz w:val="24"/>
          <w:szCs w:val="24"/>
        </w:rPr>
        <w:t>p</w:t>
      </w:r>
      <w:r w:rsidRPr="00020F05">
        <w:rPr>
          <w:rFonts w:ascii="Tahoma" w:eastAsia="Times New Roman" w:hAnsi="Tahoma" w:cs="Tahoma"/>
          <w:sz w:val="24"/>
          <w:szCs w:val="24"/>
        </w:rPr>
        <w:t xml:space="preserve">urpose of the solicitation. The </w:t>
      </w:r>
      <w:r w:rsidR="00B25CD0" w:rsidRPr="00020F05">
        <w:rPr>
          <w:rFonts w:ascii="Tahoma" w:eastAsia="Times New Roman" w:hAnsi="Tahoma" w:cs="Tahoma"/>
          <w:sz w:val="24"/>
          <w:szCs w:val="24"/>
        </w:rPr>
        <w:t>CEC</w:t>
      </w:r>
      <w:r w:rsidRPr="00020F05">
        <w:rPr>
          <w:rFonts w:ascii="Tahoma" w:eastAsia="Times New Roman" w:hAnsi="Tahoma" w:cs="Tahoma"/>
          <w:sz w:val="24"/>
          <w:szCs w:val="24"/>
        </w:rPr>
        <w:t xml:space="preserve"> cannot give advice as to whether or not your particular project is eligible for funding, because all proposal details are not known.</w:t>
      </w:r>
    </w:p>
    <w:p w14:paraId="30954939" w14:textId="77777777" w:rsidR="000A0679" w:rsidRPr="00020F05" w:rsidRDefault="000A0679" w:rsidP="000F6B43">
      <w:pPr>
        <w:spacing w:after="0" w:line="240" w:lineRule="auto"/>
        <w:ind w:left="720" w:hanging="720"/>
        <w:contextualSpacing/>
        <w:rPr>
          <w:rFonts w:ascii="Tahoma" w:hAnsi="Tahoma" w:cs="Tahoma"/>
          <w:b/>
          <w:sz w:val="24"/>
          <w:szCs w:val="24"/>
        </w:rPr>
      </w:pPr>
    </w:p>
    <w:p w14:paraId="6A26EE0A" w14:textId="77777777" w:rsidR="002A1DCC" w:rsidRPr="00213A9D" w:rsidRDefault="00421838" w:rsidP="000F6B43">
      <w:pPr>
        <w:spacing w:after="0" w:line="240" w:lineRule="auto"/>
        <w:ind w:left="720" w:hanging="720"/>
        <w:contextualSpacing/>
        <w:rPr>
          <w:rFonts w:ascii="Tahoma" w:hAnsi="Tahoma" w:cs="Tahoma"/>
          <w:b/>
          <w:iCs/>
          <w:sz w:val="24"/>
          <w:szCs w:val="24"/>
          <w:u w:val="single"/>
        </w:rPr>
      </w:pPr>
      <w:r w:rsidRPr="00213A9D">
        <w:rPr>
          <w:rFonts w:ascii="Tahoma" w:hAnsi="Tahoma" w:cs="Tahoma"/>
          <w:b/>
          <w:iCs/>
          <w:sz w:val="24"/>
          <w:szCs w:val="24"/>
          <w:u w:val="single"/>
        </w:rPr>
        <w:t>ADMINISTRATION/PROCESS</w:t>
      </w:r>
    </w:p>
    <w:p w14:paraId="7286E9C5" w14:textId="77777777" w:rsidR="00137D61" w:rsidRPr="00020F05" w:rsidRDefault="00137D61" w:rsidP="000F6B43">
      <w:pPr>
        <w:spacing w:after="0" w:line="240" w:lineRule="auto"/>
        <w:ind w:left="720" w:hanging="720"/>
        <w:contextualSpacing/>
        <w:rPr>
          <w:rFonts w:ascii="Tahoma" w:hAnsi="Tahoma" w:cs="Tahoma"/>
          <w:b/>
          <w:sz w:val="24"/>
          <w:szCs w:val="24"/>
        </w:rPr>
      </w:pPr>
    </w:p>
    <w:p w14:paraId="351D36EF" w14:textId="0BD50454" w:rsidR="00793C30" w:rsidRDefault="7B291104" w:rsidP="00793C30">
      <w:pPr>
        <w:spacing w:after="0" w:line="240" w:lineRule="auto"/>
        <w:ind w:left="720" w:hanging="720"/>
        <w:contextualSpacing/>
        <w:rPr>
          <w:rFonts w:ascii="Tahoma" w:hAnsi="Tahoma" w:cs="Tahoma"/>
          <w:b/>
          <w:bCs/>
          <w:sz w:val="24"/>
          <w:szCs w:val="24"/>
        </w:rPr>
      </w:pPr>
      <w:r w:rsidRPr="00020F05">
        <w:rPr>
          <w:rFonts w:ascii="Tahoma" w:hAnsi="Tahoma" w:cs="Tahoma"/>
          <w:b/>
          <w:bCs/>
          <w:sz w:val="24"/>
          <w:szCs w:val="24"/>
        </w:rPr>
        <w:t>Q.</w:t>
      </w:r>
      <w:r w:rsidR="2CA430ED" w:rsidRPr="00020F05">
        <w:rPr>
          <w:rFonts w:ascii="Tahoma" w:hAnsi="Tahoma" w:cs="Tahoma"/>
          <w:b/>
          <w:bCs/>
          <w:sz w:val="24"/>
          <w:szCs w:val="24"/>
        </w:rPr>
        <w:t>1</w:t>
      </w:r>
      <w:r w:rsidRPr="00020F05">
        <w:rPr>
          <w:rFonts w:ascii="Tahoma" w:hAnsi="Tahoma" w:cs="Tahoma"/>
          <w:b/>
          <w:bCs/>
          <w:sz w:val="24"/>
          <w:szCs w:val="24"/>
        </w:rPr>
        <w:t>:</w:t>
      </w:r>
      <w:r w:rsidR="00793C30" w:rsidRPr="00020F05">
        <w:rPr>
          <w:rFonts w:ascii="Tahoma" w:hAnsi="Tahoma" w:cs="Tahoma"/>
          <w:sz w:val="24"/>
          <w:szCs w:val="24"/>
        </w:rPr>
        <w:tab/>
      </w:r>
      <w:r w:rsidR="00213A9D" w:rsidRPr="00213A9D">
        <w:rPr>
          <w:rFonts w:ascii="Tahoma" w:hAnsi="Tahoma" w:cs="Tahoma"/>
          <w:b/>
          <w:bCs/>
          <w:sz w:val="24"/>
          <w:szCs w:val="24"/>
        </w:rPr>
        <w:t>Is it possible for applicants to receive their scores by review category on the Pre-Application Phase?</w:t>
      </w:r>
    </w:p>
    <w:p w14:paraId="0613D30D" w14:textId="77777777" w:rsidR="00213A9D" w:rsidRPr="00020F05" w:rsidRDefault="00213A9D" w:rsidP="00793C30">
      <w:pPr>
        <w:spacing w:after="0" w:line="240" w:lineRule="auto"/>
        <w:ind w:left="720" w:hanging="720"/>
        <w:contextualSpacing/>
        <w:rPr>
          <w:rFonts w:ascii="Tahoma" w:hAnsi="Tahoma" w:cs="Tahoma"/>
          <w:sz w:val="24"/>
          <w:szCs w:val="24"/>
        </w:rPr>
      </w:pPr>
    </w:p>
    <w:p w14:paraId="7CBBE99F" w14:textId="4F6FFD53" w:rsidR="00587DDB" w:rsidRDefault="7B291104" w:rsidP="00793C30">
      <w:pPr>
        <w:spacing w:after="0" w:line="240" w:lineRule="auto"/>
        <w:ind w:left="720" w:hanging="720"/>
        <w:contextualSpacing/>
        <w:rPr>
          <w:rFonts w:ascii="Tahoma" w:hAnsi="Tahoma" w:cs="Tahoma"/>
          <w:sz w:val="24"/>
          <w:szCs w:val="24"/>
        </w:rPr>
      </w:pPr>
      <w:r w:rsidRPr="00020F05">
        <w:rPr>
          <w:rFonts w:ascii="Tahoma" w:hAnsi="Tahoma" w:cs="Tahoma"/>
          <w:sz w:val="24"/>
          <w:szCs w:val="24"/>
        </w:rPr>
        <w:t>A.</w:t>
      </w:r>
      <w:r w:rsidR="5E2AD9A9" w:rsidRPr="00020F05">
        <w:rPr>
          <w:rFonts w:ascii="Tahoma" w:hAnsi="Tahoma" w:cs="Tahoma"/>
          <w:sz w:val="24"/>
          <w:szCs w:val="24"/>
        </w:rPr>
        <w:t>1</w:t>
      </w:r>
      <w:r w:rsidRPr="00020F05">
        <w:rPr>
          <w:rFonts w:ascii="Tahoma" w:hAnsi="Tahoma" w:cs="Tahoma"/>
          <w:sz w:val="24"/>
          <w:szCs w:val="24"/>
        </w:rPr>
        <w:t>:</w:t>
      </w:r>
      <w:r w:rsidR="00793C30" w:rsidRPr="00020F05">
        <w:rPr>
          <w:rFonts w:ascii="Tahoma" w:hAnsi="Tahoma" w:cs="Tahoma"/>
          <w:sz w:val="24"/>
          <w:szCs w:val="24"/>
        </w:rPr>
        <w:tab/>
      </w:r>
      <w:r w:rsidR="00213A9D" w:rsidRPr="00213A9D">
        <w:rPr>
          <w:rFonts w:ascii="Tahoma" w:hAnsi="Tahoma" w:cs="Tahoma"/>
          <w:sz w:val="24"/>
          <w:szCs w:val="24"/>
        </w:rPr>
        <w:t>All applicants were given their pre-application scores by review category including feedback to the contact person listed in the pre-application form.</w:t>
      </w:r>
    </w:p>
    <w:p w14:paraId="165638FD" w14:textId="04D5019A" w:rsidR="00213A9D" w:rsidRDefault="00213A9D" w:rsidP="00793C30">
      <w:pPr>
        <w:spacing w:after="0" w:line="240" w:lineRule="auto"/>
        <w:ind w:left="720" w:hanging="720"/>
        <w:contextualSpacing/>
        <w:rPr>
          <w:rFonts w:ascii="Tahoma" w:hAnsi="Tahoma" w:cs="Tahoma"/>
          <w:sz w:val="24"/>
          <w:szCs w:val="24"/>
        </w:rPr>
      </w:pPr>
    </w:p>
    <w:p w14:paraId="5E6B628F" w14:textId="401E6F68" w:rsidR="00D900DF" w:rsidRPr="00020F05" w:rsidRDefault="53D57624" w:rsidP="40E95431">
      <w:pPr>
        <w:spacing w:after="0" w:line="240" w:lineRule="auto"/>
        <w:ind w:left="720" w:hanging="720"/>
        <w:contextualSpacing/>
        <w:rPr>
          <w:rFonts w:ascii="Tahoma" w:hAnsi="Tahoma" w:cs="Tahoma"/>
          <w:b/>
          <w:bCs/>
          <w:sz w:val="24"/>
          <w:szCs w:val="24"/>
        </w:rPr>
      </w:pPr>
      <w:r w:rsidRPr="00020F05">
        <w:rPr>
          <w:rFonts w:ascii="Tahoma" w:hAnsi="Tahoma" w:cs="Tahoma"/>
          <w:b/>
          <w:bCs/>
          <w:sz w:val="24"/>
          <w:szCs w:val="24"/>
        </w:rPr>
        <w:t>Q.</w:t>
      </w:r>
      <w:r w:rsidR="007F26C6">
        <w:rPr>
          <w:rFonts w:ascii="Tahoma" w:hAnsi="Tahoma" w:cs="Tahoma"/>
          <w:b/>
          <w:bCs/>
          <w:sz w:val="24"/>
          <w:szCs w:val="24"/>
        </w:rPr>
        <w:t>2</w:t>
      </w:r>
      <w:r w:rsidRPr="00020F05">
        <w:rPr>
          <w:rFonts w:ascii="Tahoma" w:hAnsi="Tahoma" w:cs="Tahoma"/>
          <w:b/>
          <w:bCs/>
          <w:sz w:val="24"/>
          <w:szCs w:val="24"/>
        </w:rPr>
        <w:t>:</w:t>
      </w:r>
      <w:r w:rsidR="00D900DF" w:rsidRPr="00020F05">
        <w:rPr>
          <w:rFonts w:ascii="Tahoma" w:hAnsi="Tahoma" w:cs="Tahoma"/>
          <w:sz w:val="24"/>
          <w:szCs w:val="24"/>
        </w:rPr>
        <w:tab/>
      </w:r>
      <w:r w:rsidR="00213A9D" w:rsidRPr="00213A9D">
        <w:rPr>
          <w:rFonts w:ascii="Tahoma" w:hAnsi="Tahoma" w:cs="Tahoma"/>
          <w:b/>
          <w:bCs/>
          <w:sz w:val="24"/>
          <w:szCs w:val="24"/>
        </w:rPr>
        <w:t>The anticipated CEC Business Meeting is scheduled for February 2022. Is this equivalent to the “kick-off meeting” referenced in attachment 2? When should we set the kick-off meeting in our schedule?</w:t>
      </w:r>
    </w:p>
    <w:p w14:paraId="58B0EE9A" w14:textId="77777777" w:rsidR="00D900DF" w:rsidRPr="00020F05" w:rsidRDefault="00D900DF" w:rsidP="00D900DF">
      <w:pPr>
        <w:spacing w:after="0" w:line="240" w:lineRule="auto"/>
        <w:ind w:left="720" w:hanging="720"/>
        <w:contextualSpacing/>
        <w:rPr>
          <w:rFonts w:ascii="Tahoma" w:hAnsi="Tahoma" w:cs="Tahoma"/>
          <w:sz w:val="24"/>
          <w:szCs w:val="24"/>
        </w:rPr>
      </w:pPr>
    </w:p>
    <w:p w14:paraId="266BFF24" w14:textId="6A629584" w:rsidR="003B0C10" w:rsidRDefault="53D57624" w:rsidP="00213A9D">
      <w:pPr>
        <w:spacing w:after="0" w:line="240" w:lineRule="auto"/>
        <w:ind w:left="720" w:hanging="720"/>
        <w:contextualSpacing/>
        <w:rPr>
          <w:rFonts w:ascii="Tahoma" w:hAnsi="Tahoma" w:cs="Tahoma"/>
          <w:sz w:val="24"/>
          <w:szCs w:val="24"/>
        </w:rPr>
      </w:pPr>
      <w:r w:rsidRPr="00020F05">
        <w:rPr>
          <w:rFonts w:ascii="Tahoma" w:hAnsi="Tahoma" w:cs="Tahoma"/>
          <w:sz w:val="24"/>
          <w:szCs w:val="24"/>
        </w:rPr>
        <w:t>A.</w:t>
      </w:r>
      <w:r w:rsidR="007F26C6">
        <w:rPr>
          <w:rFonts w:ascii="Tahoma" w:hAnsi="Tahoma" w:cs="Tahoma"/>
          <w:sz w:val="24"/>
          <w:szCs w:val="24"/>
        </w:rPr>
        <w:t>2</w:t>
      </w:r>
      <w:r w:rsidRPr="00020F05">
        <w:rPr>
          <w:rFonts w:ascii="Tahoma" w:hAnsi="Tahoma" w:cs="Tahoma"/>
          <w:sz w:val="24"/>
          <w:szCs w:val="24"/>
        </w:rPr>
        <w:t>:</w:t>
      </w:r>
      <w:r w:rsidR="00D900DF" w:rsidRPr="00020F05">
        <w:rPr>
          <w:rFonts w:ascii="Tahoma" w:hAnsi="Tahoma" w:cs="Tahoma"/>
          <w:sz w:val="24"/>
          <w:szCs w:val="24"/>
        </w:rPr>
        <w:tab/>
      </w:r>
      <w:r w:rsidR="00213A9D" w:rsidRPr="00213A9D">
        <w:rPr>
          <w:rFonts w:ascii="Tahoma" w:hAnsi="Tahoma" w:cs="Tahoma"/>
          <w:sz w:val="24"/>
          <w:szCs w:val="24"/>
        </w:rPr>
        <w:t>The CEC Business Meeting and kick-off meeting are two separate meetings. The kick-off meeting typically occurs a few weeks to a month after the CEC Business Meeting.</w:t>
      </w:r>
    </w:p>
    <w:p w14:paraId="630EDA51" w14:textId="77777777" w:rsidR="00213A9D" w:rsidRPr="00020F05" w:rsidRDefault="00213A9D" w:rsidP="00213A9D">
      <w:pPr>
        <w:spacing w:after="0" w:line="240" w:lineRule="auto"/>
        <w:ind w:left="720" w:hanging="720"/>
        <w:contextualSpacing/>
        <w:rPr>
          <w:rFonts w:ascii="Tahoma" w:hAnsi="Tahoma" w:cs="Tahoma"/>
          <w:sz w:val="24"/>
          <w:szCs w:val="24"/>
        </w:rPr>
      </w:pPr>
    </w:p>
    <w:p w14:paraId="4CF8F2B5" w14:textId="277B6F90" w:rsidR="003B0C10" w:rsidRDefault="4C19B692" w:rsidP="003B0C10">
      <w:pPr>
        <w:spacing w:after="0" w:line="240" w:lineRule="auto"/>
        <w:ind w:left="720" w:hanging="720"/>
        <w:contextualSpacing/>
        <w:rPr>
          <w:rFonts w:ascii="Tahoma" w:hAnsi="Tahoma" w:cs="Tahoma"/>
          <w:b/>
          <w:bCs/>
          <w:color w:val="000000"/>
          <w:sz w:val="24"/>
          <w:szCs w:val="24"/>
        </w:rPr>
      </w:pPr>
      <w:r w:rsidRPr="00020F05">
        <w:rPr>
          <w:rFonts w:ascii="Tahoma" w:hAnsi="Tahoma" w:cs="Tahoma"/>
          <w:b/>
          <w:bCs/>
          <w:sz w:val="24"/>
          <w:szCs w:val="24"/>
        </w:rPr>
        <w:t>Q.</w:t>
      </w:r>
      <w:r w:rsidR="007F26C6">
        <w:rPr>
          <w:rFonts w:ascii="Tahoma" w:hAnsi="Tahoma" w:cs="Tahoma"/>
          <w:b/>
          <w:bCs/>
          <w:sz w:val="24"/>
          <w:szCs w:val="24"/>
        </w:rPr>
        <w:t>3</w:t>
      </w:r>
      <w:r w:rsidRPr="00020F05">
        <w:rPr>
          <w:rFonts w:ascii="Tahoma" w:hAnsi="Tahoma" w:cs="Tahoma"/>
          <w:b/>
          <w:bCs/>
          <w:sz w:val="24"/>
          <w:szCs w:val="24"/>
        </w:rPr>
        <w:t>:</w:t>
      </w:r>
      <w:r w:rsidR="003B0C10" w:rsidRPr="00020F05">
        <w:rPr>
          <w:rFonts w:ascii="Tahoma" w:hAnsi="Tahoma" w:cs="Tahoma"/>
          <w:sz w:val="24"/>
          <w:szCs w:val="24"/>
        </w:rPr>
        <w:tab/>
      </w:r>
      <w:r w:rsidR="00213A9D" w:rsidRPr="00213A9D">
        <w:rPr>
          <w:rFonts w:ascii="Tahoma" w:hAnsi="Tahoma" w:cs="Tahoma"/>
          <w:b/>
          <w:bCs/>
          <w:color w:val="000000"/>
          <w:sz w:val="24"/>
          <w:szCs w:val="24"/>
        </w:rPr>
        <w:t>Should the Table of Contents be included within the Narrative document or uploaded as a separate document?</w:t>
      </w:r>
    </w:p>
    <w:p w14:paraId="4573AE92" w14:textId="77777777" w:rsidR="00213A9D" w:rsidRPr="00020F05" w:rsidRDefault="00213A9D" w:rsidP="003B0C10">
      <w:pPr>
        <w:spacing w:after="0" w:line="240" w:lineRule="auto"/>
        <w:ind w:left="720" w:hanging="720"/>
        <w:contextualSpacing/>
        <w:rPr>
          <w:rFonts w:ascii="Tahoma" w:hAnsi="Tahoma" w:cs="Tahoma"/>
          <w:sz w:val="24"/>
          <w:szCs w:val="24"/>
        </w:rPr>
      </w:pPr>
    </w:p>
    <w:p w14:paraId="204BFCD6" w14:textId="3F36A0F8" w:rsidR="007F26C6" w:rsidRDefault="4C19B692" w:rsidP="003B0C10">
      <w:pPr>
        <w:spacing w:after="0" w:line="240" w:lineRule="auto"/>
        <w:ind w:left="720" w:hanging="720"/>
        <w:contextualSpacing/>
        <w:rPr>
          <w:rFonts w:ascii="Tahoma" w:hAnsi="Tahoma" w:cs="Tahoma"/>
          <w:sz w:val="24"/>
          <w:szCs w:val="24"/>
        </w:rPr>
      </w:pPr>
      <w:r w:rsidRPr="00020F05">
        <w:rPr>
          <w:rFonts w:ascii="Tahoma" w:hAnsi="Tahoma" w:cs="Tahoma"/>
          <w:sz w:val="24"/>
          <w:szCs w:val="24"/>
        </w:rPr>
        <w:t>A.</w:t>
      </w:r>
      <w:r w:rsidR="007F26C6">
        <w:rPr>
          <w:rFonts w:ascii="Tahoma" w:hAnsi="Tahoma" w:cs="Tahoma"/>
          <w:sz w:val="24"/>
          <w:szCs w:val="24"/>
        </w:rPr>
        <w:t>3</w:t>
      </w:r>
      <w:r w:rsidRPr="00020F05">
        <w:rPr>
          <w:rFonts w:ascii="Tahoma" w:hAnsi="Tahoma" w:cs="Tahoma"/>
          <w:sz w:val="24"/>
          <w:szCs w:val="24"/>
        </w:rPr>
        <w:t>:</w:t>
      </w:r>
      <w:r w:rsidR="003B0C10" w:rsidRPr="00020F05">
        <w:rPr>
          <w:rFonts w:ascii="Tahoma" w:hAnsi="Tahoma" w:cs="Tahoma"/>
          <w:sz w:val="24"/>
          <w:szCs w:val="24"/>
        </w:rPr>
        <w:tab/>
      </w:r>
      <w:r w:rsidR="00213A9D" w:rsidRPr="00213A9D">
        <w:rPr>
          <w:rFonts w:ascii="Tahoma" w:hAnsi="Tahoma" w:cs="Tahoma"/>
          <w:sz w:val="24"/>
          <w:szCs w:val="24"/>
        </w:rPr>
        <w:t xml:space="preserve">The Table of Contents should be included within the </w:t>
      </w:r>
      <w:r w:rsidR="00213A9D">
        <w:rPr>
          <w:rFonts w:ascii="Tahoma" w:hAnsi="Tahoma" w:cs="Tahoma"/>
          <w:sz w:val="24"/>
          <w:szCs w:val="24"/>
        </w:rPr>
        <w:t xml:space="preserve">Project </w:t>
      </w:r>
      <w:r w:rsidR="00213A9D" w:rsidRPr="00213A9D">
        <w:rPr>
          <w:rFonts w:ascii="Tahoma" w:hAnsi="Tahoma" w:cs="Tahoma"/>
          <w:sz w:val="24"/>
          <w:szCs w:val="24"/>
        </w:rPr>
        <w:t>Narrative document to allow for page navigation.</w:t>
      </w:r>
      <w:r w:rsidR="003E335E">
        <w:rPr>
          <w:rFonts w:ascii="Tahoma" w:hAnsi="Tahoma" w:cs="Tahoma"/>
          <w:sz w:val="24"/>
          <w:szCs w:val="24"/>
        </w:rPr>
        <w:t xml:space="preserve"> The number of pages for each Full Application is limited to 30 pages; however, the Table of Contents will not count towards this page limitation. Please see Section V</w:t>
      </w:r>
      <w:r w:rsidR="0006605A">
        <w:rPr>
          <w:rFonts w:ascii="Tahoma" w:hAnsi="Tahoma" w:cs="Tahoma"/>
          <w:sz w:val="24"/>
          <w:szCs w:val="24"/>
        </w:rPr>
        <w:t>I</w:t>
      </w:r>
      <w:r w:rsidR="003E335E">
        <w:rPr>
          <w:rFonts w:ascii="Tahoma" w:hAnsi="Tahoma" w:cs="Tahoma"/>
          <w:sz w:val="24"/>
          <w:szCs w:val="24"/>
        </w:rPr>
        <w:t xml:space="preserve">I.C. for information on page limitations.  </w:t>
      </w:r>
    </w:p>
    <w:p w14:paraId="70B02AEC" w14:textId="4DCC5076" w:rsidR="00213A9D" w:rsidRDefault="00213A9D" w:rsidP="003B0C10">
      <w:pPr>
        <w:spacing w:after="0" w:line="240" w:lineRule="auto"/>
        <w:ind w:left="720" w:hanging="720"/>
        <w:contextualSpacing/>
        <w:rPr>
          <w:rFonts w:ascii="Tahoma" w:hAnsi="Tahoma" w:cs="Tahoma"/>
          <w:sz w:val="24"/>
          <w:szCs w:val="24"/>
          <w:highlight w:val="yellow"/>
        </w:rPr>
      </w:pPr>
    </w:p>
    <w:p w14:paraId="3237AD63" w14:textId="6F49846A" w:rsidR="00213A9D" w:rsidRPr="00213A9D" w:rsidRDefault="00213A9D" w:rsidP="003B0C10">
      <w:pPr>
        <w:spacing w:after="0" w:line="240" w:lineRule="auto"/>
        <w:ind w:left="720" w:hanging="720"/>
        <w:contextualSpacing/>
        <w:rPr>
          <w:rFonts w:ascii="Tahoma" w:hAnsi="Tahoma" w:cs="Tahoma"/>
          <w:iCs/>
          <w:sz w:val="24"/>
          <w:szCs w:val="24"/>
          <w:highlight w:val="yellow"/>
          <w:u w:val="single"/>
        </w:rPr>
      </w:pPr>
      <w:r w:rsidRPr="00213A9D">
        <w:rPr>
          <w:rFonts w:ascii="Tahoma" w:hAnsi="Tahoma" w:cs="Tahoma"/>
          <w:b/>
          <w:iCs/>
          <w:sz w:val="24"/>
          <w:szCs w:val="24"/>
          <w:u w:val="single"/>
        </w:rPr>
        <w:t>ELIGIBILITY</w:t>
      </w:r>
    </w:p>
    <w:p w14:paraId="31D3BE86" w14:textId="77777777" w:rsidR="00213A9D" w:rsidRDefault="00213A9D" w:rsidP="003B0C10">
      <w:pPr>
        <w:spacing w:after="0" w:line="240" w:lineRule="auto"/>
        <w:ind w:left="720" w:hanging="720"/>
        <w:contextualSpacing/>
        <w:rPr>
          <w:rFonts w:ascii="Tahoma" w:hAnsi="Tahoma" w:cs="Tahoma"/>
          <w:sz w:val="24"/>
          <w:szCs w:val="24"/>
          <w:highlight w:val="yellow"/>
        </w:rPr>
      </w:pPr>
    </w:p>
    <w:p w14:paraId="1C64D3D0" w14:textId="22E8B4ED" w:rsidR="007F26C6" w:rsidRPr="007F26C6" w:rsidRDefault="007F26C6" w:rsidP="003B0C10">
      <w:pPr>
        <w:spacing w:after="0" w:line="240" w:lineRule="auto"/>
        <w:ind w:left="720" w:hanging="720"/>
        <w:contextualSpacing/>
        <w:rPr>
          <w:rFonts w:ascii="Tahoma" w:hAnsi="Tahoma" w:cs="Tahoma"/>
          <w:sz w:val="24"/>
          <w:szCs w:val="24"/>
          <w:highlight w:val="yellow"/>
        </w:rPr>
      </w:pPr>
      <w:r w:rsidRPr="007F26C6">
        <w:rPr>
          <w:rFonts w:ascii="Tahoma" w:hAnsi="Tahoma" w:cs="Tahoma"/>
          <w:sz w:val="24"/>
          <w:szCs w:val="24"/>
        </w:rPr>
        <w:t>Q.</w:t>
      </w:r>
      <w:r>
        <w:rPr>
          <w:rFonts w:ascii="Tahoma" w:hAnsi="Tahoma" w:cs="Tahoma"/>
          <w:sz w:val="24"/>
          <w:szCs w:val="24"/>
        </w:rPr>
        <w:t>4</w:t>
      </w:r>
      <w:r w:rsidRPr="007F26C6">
        <w:rPr>
          <w:rFonts w:ascii="Tahoma" w:hAnsi="Tahoma" w:cs="Tahoma"/>
          <w:sz w:val="24"/>
          <w:szCs w:val="24"/>
        </w:rPr>
        <w:t>:</w:t>
      </w:r>
      <w:r w:rsidRPr="007F26C6">
        <w:rPr>
          <w:rFonts w:ascii="Tahoma" w:hAnsi="Tahoma" w:cs="Tahoma"/>
          <w:sz w:val="24"/>
          <w:szCs w:val="24"/>
        </w:rPr>
        <w:tab/>
      </w:r>
      <w:r w:rsidR="00213A9D" w:rsidRPr="00213A9D">
        <w:rPr>
          <w:rFonts w:ascii="Tahoma" w:hAnsi="Tahoma" w:cs="Tahoma"/>
          <w:b/>
          <w:bCs/>
          <w:color w:val="000000"/>
          <w:sz w:val="24"/>
          <w:szCs w:val="24"/>
        </w:rPr>
        <w:t>Is it acceptable for a plant to use the same core technology as a project submitted under GFO-20-608 as long as the project is owned separately, is in a separate geographical location, and meets the required minimum hydrogen production (with renewable natural gas as a co-product)?</w:t>
      </w:r>
    </w:p>
    <w:p w14:paraId="1B1D6941" w14:textId="525B9364" w:rsidR="007F26C6" w:rsidRDefault="007F26C6" w:rsidP="003B0C10">
      <w:pPr>
        <w:spacing w:after="0" w:line="240" w:lineRule="auto"/>
        <w:ind w:left="720" w:hanging="720"/>
        <w:contextualSpacing/>
        <w:rPr>
          <w:rFonts w:ascii="Tahoma" w:hAnsi="Tahoma" w:cs="Tahoma"/>
          <w:sz w:val="24"/>
          <w:szCs w:val="24"/>
          <w:highlight w:val="yellow"/>
        </w:rPr>
      </w:pPr>
    </w:p>
    <w:p w14:paraId="1E3246AF" w14:textId="52C9DD07" w:rsidR="007F26C6" w:rsidRPr="00020F05" w:rsidRDefault="007F26C6" w:rsidP="003B0C10">
      <w:pPr>
        <w:spacing w:after="0" w:line="240" w:lineRule="auto"/>
        <w:ind w:left="720" w:hanging="720"/>
        <w:contextualSpacing/>
        <w:rPr>
          <w:rFonts w:ascii="Tahoma" w:hAnsi="Tahoma" w:cs="Tahoma"/>
          <w:sz w:val="24"/>
          <w:szCs w:val="24"/>
          <w:highlight w:val="yellow"/>
        </w:rPr>
      </w:pPr>
      <w:r w:rsidRPr="007F26C6">
        <w:rPr>
          <w:rFonts w:ascii="Tahoma" w:hAnsi="Tahoma" w:cs="Tahoma"/>
          <w:sz w:val="24"/>
          <w:szCs w:val="24"/>
        </w:rPr>
        <w:lastRenderedPageBreak/>
        <w:t>A.</w:t>
      </w:r>
      <w:r>
        <w:rPr>
          <w:rFonts w:ascii="Tahoma" w:hAnsi="Tahoma" w:cs="Tahoma"/>
          <w:sz w:val="24"/>
          <w:szCs w:val="24"/>
        </w:rPr>
        <w:t>4</w:t>
      </w:r>
      <w:r w:rsidRPr="007F26C6">
        <w:rPr>
          <w:rFonts w:ascii="Tahoma" w:hAnsi="Tahoma" w:cs="Tahoma"/>
          <w:sz w:val="24"/>
          <w:szCs w:val="24"/>
        </w:rPr>
        <w:t>:</w:t>
      </w:r>
      <w:r w:rsidRPr="007F26C6">
        <w:rPr>
          <w:rFonts w:ascii="Tahoma" w:hAnsi="Tahoma" w:cs="Tahoma"/>
          <w:sz w:val="24"/>
          <w:szCs w:val="24"/>
        </w:rPr>
        <w:tab/>
      </w:r>
      <w:r w:rsidR="00213A9D" w:rsidRPr="00213A9D">
        <w:rPr>
          <w:rFonts w:ascii="Tahoma" w:hAnsi="Tahoma" w:cs="Tahoma"/>
          <w:sz w:val="24"/>
          <w:szCs w:val="24"/>
        </w:rPr>
        <w:t>If the example is true that there is clear separation in ownership, location, and fuel production, th</w:t>
      </w:r>
      <w:r w:rsidR="00932AEC">
        <w:rPr>
          <w:rFonts w:ascii="Tahoma" w:hAnsi="Tahoma" w:cs="Tahoma"/>
          <w:sz w:val="24"/>
          <w:szCs w:val="24"/>
        </w:rPr>
        <w:t>e</w:t>
      </w:r>
      <w:r w:rsidR="00213A9D" w:rsidRPr="00213A9D">
        <w:rPr>
          <w:rFonts w:ascii="Tahoma" w:hAnsi="Tahoma" w:cs="Tahoma"/>
          <w:sz w:val="24"/>
          <w:szCs w:val="24"/>
        </w:rPr>
        <w:t>n it is acceptable to utilize the same fuel production technology in two separate and distinct applications.</w:t>
      </w:r>
    </w:p>
    <w:p w14:paraId="2026B1C8" w14:textId="77777777" w:rsidR="00D900DF" w:rsidRPr="00020F05" w:rsidRDefault="00D900DF" w:rsidP="00D900DF">
      <w:pPr>
        <w:spacing w:after="0" w:line="240" w:lineRule="auto"/>
        <w:ind w:left="720" w:hanging="720"/>
        <w:contextualSpacing/>
        <w:rPr>
          <w:rFonts w:ascii="Tahoma" w:hAnsi="Tahoma" w:cs="Tahoma"/>
          <w:sz w:val="24"/>
          <w:szCs w:val="24"/>
        </w:rPr>
      </w:pPr>
    </w:p>
    <w:p w14:paraId="2C287803" w14:textId="47F9C2F4" w:rsidR="0060273C" w:rsidRDefault="3B388030" w:rsidP="000F6B43">
      <w:pPr>
        <w:spacing w:after="0" w:line="240" w:lineRule="auto"/>
        <w:ind w:left="720" w:hanging="720"/>
        <w:contextualSpacing/>
        <w:rPr>
          <w:rFonts w:ascii="Tahoma" w:hAnsi="Tahoma" w:cs="Tahoma"/>
          <w:b/>
          <w:bCs/>
          <w:sz w:val="24"/>
          <w:szCs w:val="24"/>
        </w:rPr>
      </w:pPr>
      <w:r w:rsidRPr="00020F05">
        <w:rPr>
          <w:rFonts w:ascii="Tahoma" w:hAnsi="Tahoma" w:cs="Tahoma"/>
          <w:b/>
          <w:bCs/>
          <w:sz w:val="24"/>
          <w:szCs w:val="24"/>
        </w:rPr>
        <w:t>Q.</w:t>
      </w:r>
      <w:r w:rsidR="007F26C6">
        <w:rPr>
          <w:rFonts w:ascii="Tahoma" w:hAnsi="Tahoma" w:cs="Tahoma"/>
          <w:b/>
          <w:bCs/>
          <w:sz w:val="24"/>
          <w:szCs w:val="24"/>
        </w:rPr>
        <w:t>5</w:t>
      </w:r>
      <w:r w:rsidRPr="00020F05">
        <w:rPr>
          <w:rFonts w:ascii="Tahoma" w:hAnsi="Tahoma" w:cs="Tahoma"/>
          <w:b/>
          <w:bCs/>
          <w:sz w:val="24"/>
          <w:szCs w:val="24"/>
        </w:rPr>
        <w:t>:</w:t>
      </w:r>
      <w:r w:rsidR="0060273C" w:rsidRPr="00020F05">
        <w:rPr>
          <w:rFonts w:ascii="Tahoma" w:hAnsi="Tahoma" w:cs="Tahoma"/>
          <w:sz w:val="24"/>
          <w:szCs w:val="24"/>
        </w:rPr>
        <w:tab/>
      </w:r>
      <w:r w:rsidR="00213A9D" w:rsidRPr="00213A9D">
        <w:rPr>
          <w:rFonts w:ascii="Tahoma" w:hAnsi="Tahoma" w:cs="Tahoma"/>
          <w:b/>
          <w:bCs/>
          <w:sz w:val="24"/>
          <w:szCs w:val="24"/>
        </w:rPr>
        <w:t>Will the CEC allow Applicants to propose in their Full Applications a higher daily hydrogen production capacity than what was proposed in the Abstract?</w:t>
      </w:r>
    </w:p>
    <w:p w14:paraId="53B8F4D0" w14:textId="77777777" w:rsidR="00213A9D" w:rsidRPr="00020F05" w:rsidRDefault="00213A9D" w:rsidP="000F6B43">
      <w:pPr>
        <w:spacing w:after="0" w:line="240" w:lineRule="auto"/>
        <w:ind w:left="720" w:hanging="720"/>
        <w:contextualSpacing/>
        <w:rPr>
          <w:rFonts w:ascii="Tahoma" w:hAnsi="Tahoma" w:cs="Tahoma"/>
          <w:sz w:val="24"/>
          <w:szCs w:val="24"/>
        </w:rPr>
      </w:pPr>
    </w:p>
    <w:p w14:paraId="19FCA3DE" w14:textId="760BFAE2" w:rsidR="007B75DA" w:rsidRDefault="3B388030" w:rsidP="00213A9D">
      <w:pPr>
        <w:ind w:left="720" w:hanging="720"/>
        <w:contextualSpacing/>
        <w:rPr>
          <w:rFonts w:ascii="Tahoma" w:hAnsi="Tahoma" w:cs="Tahoma"/>
          <w:b/>
          <w:sz w:val="24"/>
          <w:szCs w:val="24"/>
        </w:rPr>
      </w:pPr>
      <w:r w:rsidRPr="00020F05">
        <w:rPr>
          <w:rFonts w:ascii="Tahoma" w:hAnsi="Tahoma" w:cs="Tahoma"/>
          <w:sz w:val="24"/>
          <w:szCs w:val="24"/>
        </w:rPr>
        <w:t>A.</w:t>
      </w:r>
      <w:r w:rsidR="007F26C6">
        <w:rPr>
          <w:rFonts w:ascii="Tahoma" w:hAnsi="Tahoma" w:cs="Tahoma"/>
          <w:sz w:val="24"/>
          <w:szCs w:val="24"/>
        </w:rPr>
        <w:t>5</w:t>
      </w:r>
      <w:r w:rsidRPr="00020F05">
        <w:rPr>
          <w:rFonts w:ascii="Tahoma" w:hAnsi="Tahoma" w:cs="Tahoma"/>
          <w:sz w:val="24"/>
          <w:szCs w:val="24"/>
        </w:rPr>
        <w:t>:</w:t>
      </w:r>
      <w:r w:rsidR="0060273C" w:rsidRPr="00020F05">
        <w:rPr>
          <w:rFonts w:ascii="Tahoma" w:hAnsi="Tahoma" w:cs="Tahoma"/>
          <w:sz w:val="24"/>
          <w:szCs w:val="24"/>
        </w:rPr>
        <w:tab/>
      </w:r>
      <w:r w:rsidR="00F10AEC">
        <w:rPr>
          <w:rFonts w:ascii="Tahoma" w:hAnsi="Tahoma" w:cs="Tahoma"/>
          <w:sz w:val="24"/>
          <w:szCs w:val="24"/>
        </w:rPr>
        <w:t>Yes, a</w:t>
      </w:r>
      <w:r w:rsidR="00213A9D" w:rsidRPr="00213A9D">
        <w:rPr>
          <w:rFonts w:ascii="Tahoma" w:hAnsi="Tahoma" w:cs="Tahoma"/>
          <w:sz w:val="24"/>
          <w:szCs w:val="24"/>
        </w:rPr>
        <w:t xml:space="preserve"> higher production capacity is allowable</w:t>
      </w:r>
      <w:r w:rsidR="00B83E51">
        <w:rPr>
          <w:rFonts w:ascii="Tahoma" w:hAnsi="Tahoma" w:cs="Tahoma"/>
          <w:sz w:val="24"/>
          <w:szCs w:val="24"/>
        </w:rPr>
        <w:t xml:space="preserve">. </w:t>
      </w:r>
      <w:r w:rsidR="004435C0">
        <w:rPr>
          <w:rFonts w:ascii="Tahoma" w:hAnsi="Tahoma" w:cs="Tahoma"/>
          <w:sz w:val="24"/>
          <w:szCs w:val="24"/>
        </w:rPr>
        <w:t>Additional</w:t>
      </w:r>
      <w:r w:rsidR="00A335BF">
        <w:rPr>
          <w:rFonts w:ascii="Tahoma" w:hAnsi="Tahoma" w:cs="Tahoma"/>
          <w:sz w:val="24"/>
          <w:szCs w:val="24"/>
        </w:rPr>
        <w:t xml:space="preserve"> </w:t>
      </w:r>
      <w:r w:rsidR="00213A9D" w:rsidRPr="00213A9D">
        <w:rPr>
          <w:rFonts w:ascii="Tahoma" w:hAnsi="Tahoma" w:cs="Tahoma"/>
          <w:sz w:val="24"/>
          <w:szCs w:val="24"/>
        </w:rPr>
        <w:t xml:space="preserve">changes </w:t>
      </w:r>
      <w:r w:rsidR="000706E7">
        <w:rPr>
          <w:rFonts w:ascii="Tahoma" w:hAnsi="Tahoma" w:cs="Tahoma"/>
          <w:sz w:val="24"/>
          <w:szCs w:val="24"/>
        </w:rPr>
        <w:t xml:space="preserve">to the </w:t>
      </w:r>
      <w:r w:rsidR="00213A9D" w:rsidRPr="00213A9D">
        <w:rPr>
          <w:rFonts w:ascii="Tahoma" w:hAnsi="Tahoma" w:cs="Tahoma"/>
          <w:sz w:val="24"/>
          <w:szCs w:val="24"/>
        </w:rPr>
        <w:t xml:space="preserve">proposed </w:t>
      </w:r>
      <w:r w:rsidR="000706E7">
        <w:rPr>
          <w:rFonts w:ascii="Tahoma" w:hAnsi="Tahoma" w:cs="Tahoma"/>
          <w:sz w:val="24"/>
          <w:szCs w:val="24"/>
        </w:rPr>
        <w:t xml:space="preserve">project </w:t>
      </w:r>
      <w:r w:rsidR="0014662D">
        <w:rPr>
          <w:rFonts w:ascii="Tahoma" w:hAnsi="Tahoma" w:cs="Tahoma"/>
          <w:sz w:val="24"/>
          <w:szCs w:val="24"/>
        </w:rPr>
        <w:t>should</w:t>
      </w:r>
      <w:r w:rsidR="00381968">
        <w:rPr>
          <w:rFonts w:ascii="Tahoma" w:hAnsi="Tahoma" w:cs="Tahoma"/>
          <w:sz w:val="24"/>
          <w:szCs w:val="24"/>
        </w:rPr>
        <w:t xml:space="preserve"> be</w:t>
      </w:r>
      <w:r w:rsidR="00213A9D" w:rsidRPr="00213A9D">
        <w:rPr>
          <w:rFonts w:ascii="Tahoma" w:hAnsi="Tahoma" w:cs="Tahoma"/>
          <w:sz w:val="24"/>
          <w:szCs w:val="24"/>
        </w:rPr>
        <w:t xml:space="preserve"> consistent with </w:t>
      </w:r>
      <w:r w:rsidR="00910ADF">
        <w:rPr>
          <w:rFonts w:ascii="Tahoma" w:hAnsi="Tahoma" w:cs="Tahoma"/>
          <w:sz w:val="24"/>
          <w:szCs w:val="24"/>
        </w:rPr>
        <w:t>the</w:t>
      </w:r>
      <w:r w:rsidR="00213A9D" w:rsidRPr="00213A9D">
        <w:rPr>
          <w:rFonts w:ascii="Tahoma" w:hAnsi="Tahoma" w:cs="Tahoma"/>
          <w:sz w:val="24"/>
          <w:szCs w:val="24"/>
        </w:rPr>
        <w:t xml:space="preserve"> passing approved pre-application abstract.</w:t>
      </w:r>
    </w:p>
    <w:p w14:paraId="0EFB8913" w14:textId="77777777" w:rsidR="00735EA9" w:rsidRPr="00020F05" w:rsidRDefault="00735EA9" w:rsidP="00B456A5">
      <w:pPr>
        <w:spacing w:after="0" w:line="240" w:lineRule="auto"/>
        <w:contextualSpacing/>
        <w:rPr>
          <w:rFonts w:ascii="Tahoma" w:hAnsi="Tahoma" w:cs="Tahoma"/>
          <w:b/>
          <w:sz w:val="24"/>
          <w:szCs w:val="24"/>
        </w:rPr>
      </w:pPr>
    </w:p>
    <w:p w14:paraId="0C273652" w14:textId="77777777" w:rsidR="008477E5" w:rsidRPr="00020F05" w:rsidRDefault="00421838" w:rsidP="000F6B43">
      <w:pPr>
        <w:spacing w:after="0" w:line="240" w:lineRule="auto"/>
        <w:ind w:left="720" w:hanging="720"/>
        <w:contextualSpacing/>
        <w:rPr>
          <w:rFonts w:ascii="Tahoma" w:hAnsi="Tahoma" w:cs="Tahoma"/>
          <w:b/>
          <w:sz w:val="24"/>
          <w:szCs w:val="24"/>
          <w:u w:val="single"/>
        </w:rPr>
      </w:pPr>
      <w:r w:rsidRPr="00020F05">
        <w:rPr>
          <w:rFonts w:ascii="Tahoma" w:hAnsi="Tahoma" w:cs="Tahoma"/>
          <w:b/>
          <w:sz w:val="24"/>
          <w:szCs w:val="24"/>
          <w:u w:val="single"/>
        </w:rPr>
        <w:t>MATCH &amp; ELIGIBLE PROJECT COSTS</w:t>
      </w:r>
    </w:p>
    <w:p w14:paraId="575BA3E1" w14:textId="77777777" w:rsidR="007B75DA" w:rsidRPr="00020F05" w:rsidRDefault="007B75DA" w:rsidP="000F6B43">
      <w:pPr>
        <w:spacing w:after="0" w:line="240" w:lineRule="auto"/>
        <w:ind w:left="720" w:hanging="720"/>
        <w:contextualSpacing/>
        <w:rPr>
          <w:rFonts w:ascii="Tahoma" w:hAnsi="Tahoma" w:cs="Tahoma"/>
          <w:sz w:val="24"/>
          <w:szCs w:val="24"/>
        </w:rPr>
      </w:pPr>
    </w:p>
    <w:p w14:paraId="70DE44DF" w14:textId="01DBF168" w:rsidR="00735EA9" w:rsidRDefault="00735EA9" w:rsidP="00735EA9">
      <w:pPr>
        <w:spacing w:line="240" w:lineRule="auto"/>
        <w:ind w:left="720" w:hanging="720"/>
        <w:contextualSpacing/>
        <w:rPr>
          <w:rFonts w:ascii="Tahoma" w:eastAsia="Times New Roman" w:hAnsi="Tahoma" w:cs="Tahoma"/>
          <w:b/>
          <w:bCs/>
          <w:sz w:val="24"/>
          <w:szCs w:val="24"/>
        </w:rPr>
      </w:pPr>
      <w:r w:rsidRPr="00020F05">
        <w:rPr>
          <w:rFonts w:ascii="Tahoma" w:hAnsi="Tahoma" w:cs="Tahoma"/>
          <w:b/>
          <w:bCs/>
          <w:sz w:val="24"/>
          <w:szCs w:val="24"/>
        </w:rPr>
        <w:t>Q.</w:t>
      </w:r>
      <w:r w:rsidR="00883A10">
        <w:rPr>
          <w:rFonts w:ascii="Tahoma" w:hAnsi="Tahoma" w:cs="Tahoma"/>
          <w:b/>
          <w:bCs/>
          <w:sz w:val="24"/>
          <w:szCs w:val="24"/>
        </w:rPr>
        <w:t>6</w:t>
      </w:r>
      <w:r w:rsidRPr="00020F05">
        <w:rPr>
          <w:rFonts w:ascii="Tahoma" w:hAnsi="Tahoma" w:cs="Tahoma"/>
          <w:b/>
          <w:bCs/>
          <w:sz w:val="24"/>
          <w:szCs w:val="24"/>
        </w:rPr>
        <w:t>:</w:t>
      </w:r>
      <w:r w:rsidRPr="00020F05">
        <w:rPr>
          <w:rFonts w:ascii="Tahoma" w:hAnsi="Tahoma" w:cs="Tahoma"/>
          <w:sz w:val="24"/>
          <w:szCs w:val="24"/>
        </w:rPr>
        <w:tab/>
      </w:r>
      <w:r w:rsidR="00883A10" w:rsidRPr="00883A10">
        <w:rPr>
          <w:rFonts w:ascii="Tahoma" w:eastAsia="Times New Roman" w:hAnsi="Tahoma" w:cs="Tahoma"/>
          <w:b/>
          <w:bCs/>
          <w:sz w:val="24"/>
          <w:szCs w:val="24"/>
        </w:rPr>
        <w:t>Can subcontractors or other parties' match funding be used to meet the Applicant's minimum cash contribution requirement equal to at least 50% of the CEC funding?</w:t>
      </w:r>
    </w:p>
    <w:p w14:paraId="6C7A2166" w14:textId="77777777" w:rsidR="00883A10" w:rsidRPr="00020F05" w:rsidRDefault="00883A10" w:rsidP="00735EA9">
      <w:pPr>
        <w:spacing w:line="240" w:lineRule="auto"/>
        <w:ind w:left="720" w:hanging="720"/>
        <w:contextualSpacing/>
        <w:rPr>
          <w:rFonts w:ascii="Tahoma" w:hAnsi="Tahoma" w:cs="Tahoma"/>
          <w:sz w:val="24"/>
          <w:szCs w:val="24"/>
        </w:rPr>
      </w:pPr>
    </w:p>
    <w:p w14:paraId="1A0512C7" w14:textId="6AED2295" w:rsidR="00735EA9" w:rsidRDefault="00735EA9" w:rsidP="00735EA9">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sidR="00883A10">
        <w:rPr>
          <w:rFonts w:ascii="Tahoma" w:hAnsi="Tahoma" w:cs="Tahoma"/>
          <w:sz w:val="24"/>
          <w:szCs w:val="24"/>
        </w:rPr>
        <w:t>6</w:t>
      </w:r>
      <w:r w:rsidRPr="00020F05">
        <w:rPr>
          <w:rFonts w:ascii="Tahoma" w:hAnsi="Tahoma" w:cs="Tahoma"/>
          <w:sz w:val="24"/>
          <w:szCs w:val="24"/>
        </w:rPr>
        <w:t>:</w:t>
      </w:r>
      <w:r w:rsidRPr="00020F05">
        <w:rPr>
          <w:rFonts w:ascii="Tahoma" w:hAnsi="Tahoma" w:cs="Tahoma"/>
          <w:sz w:val="24"/>
          <w:szCs w:val="24"/>
        </w:rPr>
        <w:tab/>
      </w:r>
      <w:r w:rsidR="00883A10" w:rsidRPr="00883A10">
        <w:rPr>
          <w:rFonts w:ascii="Tahoma" w:hAnsi="Tahoma" w:cs="Tahoma"/>
          <w:sz w:val="24"/>
          <w:szCs w:val="24"/>
        </w:rPr>
        <w:t>No, cash from a third party is considered to be in-kind match. Please see Section II.F.3, In-Kind Match Share of the Solicitation Manual for more details.</w:t>
      </w:r>
    </w:p>
    <w:p w14:paraId="43C6A7AC" w14:textId="77777777" w:rsidR="009433E5" w:rsidRPr="00020F05" w:rsidRDefault="009433E5" w:rsidP="000F6B43">
      <w:pPr>
        <w:spacing w:after="0" w:line="240" w:lineRule="auto"/>
        <w:ind w:left="720" w:hanging="720"/>
        <w:contextualSpacing/>
        <w:rPr>
          <w:rFonts w:ascii="Tahoma" w:hAnsi="Tahoma" w:cs="Tahoma"/>
          <w:sz w:val="24"/>
          <w:szCs w:val="24"/>
        </w:rPr>
      </w:pPr>
    </w:p>
    <w:p w14:paraId="6D330089" w14:textId="44A4B1A7" w:rsidR="00C11130" w:rsidRPr="007F26C6" w:rsidRDefault="71DB9C74" w:rsidP="007F26C6">
      <w:pPr>
        <w:spacing w:after="0" w:line="240" w:lineRule="auto"/>
        <w:ind w:left="720" w:hanging="720"/>
        <w:contextualSpacing/>
        <w:rPr>
          <w:rFonts w:ascii="Tahoma" w:hAnsi="Tahoma" w:cs="Tahoma"/>
          <w:b/>
          <w:sz w:val="24"/>
          <w:szCs w:val="24"/>
        </w:rPr>
      </w:pPr>
      <w:r w:rsidRPr="00020F05">
        <w:rPr>
          <w:rFonts w:ascii="Tahoma" w:hAnsi="Tahoma" w:cs="Tahoma"/>
          <w:b/>
          <w:bCs/>
          <w:sz w:val="24"/>
          <w:szCs w:val="24"/>
        </w:rPr>
        <w:t>Q.</w:t>
      </w:r>
      <w:r w:rsidR="00883A10">
        <w:rPr>
          <w:rFonts w:ascii="Tahoma" w:hAnsi="Tahoma" w:cs="Tahoma"/>
          <w:b/>
          <w:bCs/>
          <w:sz w:val="24"/>
          <w:szCs w:val="24"/>
        </w:rPr>
        <w:t>7</w:t>
      </w:r>
      <w:r w:rsidR="338CC829" w:rsidRPr="00020F05">
        <w:rPr>
          <w:rFonts w:ascii="Tahoma" w:hAnsi="Tahoma" w:cs="Tahoma"/>
          <w:b/>
          <w:bCs/>
          <w:sz w:val="24"/>
          <w:szCs w:val="24"/>
        </w:rPr>
        <w:t>:</w:t>
      </w:r>
      <w:r w:rsidR="00CE70E8">
        <w:tab/>
      </w:r>
      <w:r w:rsidR="00883A10" w:rsidRPr="47212B30">
        <w:rPr>
          <w:rFonts w:ascii="Tahoma" w:hAnsi="Tahoma" w:cs="Tahoma"/>
          <w:b/>
          <w:color w:val="000000" w:themeColor="text1"/>
          <w:sz w:val="24"/>
          <w:szCs w:val="24"/>
        </w:rPr>
        <w:t>Should an application allocate CEC funds to a single subcontractor if expected costs are to exceed the total funds requested or spread the CEC funds to multiple subcontractors</w:t>
      </w:r>
      <w:r w:rsidR="1D792195" w:rsidRPr="47212B30">
        <w:rPr>
          <w:rFonts w:ascii="Tahoma" w:hAnsi="Tahoma" w:cs="Tahoma"/>
          <w:b/>
          <w:bCs/>
          <w:color w:val="000000" w:themeColor="text1"/>
          <w:sz w:val="24"/>
          <w:szCs w:val="24"/>
        </w:rPr>
        <w:t>?</w:t>
      </w:r>
    </w:p>
    <w:p w14:paraId="55933E85" w14:textId="790FAAA9" w:rsidR="007F26C6" w:rsidRDefault="43B5EF01" w:rsidP="007F26C6">
      <w:pPr>
        <w:spacing w:before="100" w:beforeAutospacing="1" w:after="0"/>
        <w:ind w:left="720" w:hanging="720"/>
        <w:rPr>
          <w:color w:val="FF0000"/>
        </w:rPr>
      </w:pPr>
      <w:r w:rsidRPr="00020F05">
        <w:rPr>
          <w:rFonts w:ascii="Tahoma" w:hAnsi="Tahoma" w:cs="Tahoma"/>
          <w:sz w:val="24"/>
          <w:szCs w:val="24"/>
        </w:rPr>
        <w:t>A.</w:t>
      </w:r>
      <w:r w:rsidR="00883A10">
        <w:rPr>
          <w:rFonts w:ascii="Tahoma" w:hAnsi="Tahoma" w:cs="Tahoma"/>
          <w:sz w:val="24"/>
          <w:szCs w:val="24"/>
        </w:rPr>
        <w:t>7</w:t>
      </w:r>
      <w:r w:rsidR="338CC829" w:rsidRPr="00020F05">
        <w:rPr>
          <w:rFonts w:ascii="Tahoma" w:hAnsi="Tahoma" w:cs="Tahoma"/>
          <w:sz w:val="24"/>
          <w:szCs w:val="24"/>
        </w:rPr>
        <w:t>:</w:t>
      </w:r>
      <w:r w:rsidR="00E41A5D" w:rsidRPr="00020F05">
        <w:rPr>
          <w:rFonts w:ascii="Tahoma" w:hAnsi="Tahoma" w:cs="Tahoma"/>
          <w:sz w:val="24"/>
          <w:szCs w:val="24"/>
        </w:rPr>
        <w:tab/>
      </w:r>
      <w:r w:rsidR="00883A10" w:rsidRPr="00883A10">
        <w:rPr>
          <w:rFonts w:ascii="Tahoma" w:hAnsi="Tahoma" w:cs="Tahoma"/>
          <w:sz w:val="24"/>
          <w:szCs w:val="24"/>
        </w:rPr>
        <w:t>Applicants are encouraged to fill out the budget based on the project's needs.</w:t>
      </w:r>
      <w:r w:rsidR="00DD0D3C">
        <w:rPr>
          <w:rFonts w:ascii="Tahoma" w:hAnsi="Tahoma" w:cs="Tahoma"/>
          <w:sz w:val="24"/>
          <w:szCs w:val="24"/>
        </w:rPr>
        <w:t xml:space="preserve"> However, Applicants should be aware that match funds should be expended ahead of, or concurrently with, CEC funds. Otherwise, t</w:t>
      </w:r>
      <w:r w:rsidR="00883A10" w:rsidRPr="00883A10">
        <w:rPr>
          <w:rFonts w:ascii="Tahoma" w:hAnsi="Tahoma" w:cs="Tahoma"/>
          <w:sz w:val="24"/>
          <w:szCs w:val="24"/>
        </w:rPr>
        <w:t>here is no preference on the allocation as long as the costs are reasonable and justified.</w:t>
      </w:r>
    </w:p>
    <w:p w14:paraId="531C3CB9" w14:textId="2FF153F2" w:rsidR="00F61E37" w:rsidRDefault="00F61E37" w:rsidP="000F6B43">
      <w:pPr>
        <w:spacing w:after="0" w:line="240" w:lineRule="auto"/>
        <w:ind w:left="720" w:hanging="720"/>
        <w:contextualSpacing/>
        <w:rPr>
          <w:rFonts w:ascii="Tahoma" w:hAnsi="Tahoma" w:cs="Tahoma"/>
          <w:sz w:val="24"/>
          <w:szCs w:val="24"/>
        </w:rPr>
      </w:pPr>
    </w:p>
    <w:p w14:paraId="582E3CF6" w14:textId="0E2DBCEA" w:rsidR="00883A10" w:rsidRDefault="00883A10" w:rsidP="000F6B43">
      <w:pPr>
        <w:spacing w:after="0" w:line="240" w:lineRule="auto"/>
        <w:ind w:left="720" w:hanging="720"/>
        <w:contextualSpacing/>
        <w:rPr>
          <w:rFonts w:ascii="Tahoma" w:hAnsi="Tahoma" w:cs="Tahoma"/>
          <w:b/>
          <w:sz w:val="24"/>
          <w:szCs w:val="24"/>
          <w:u w:val="single"/>
        </w:rPr>
      </w:pPr>
      <w:r>
        <w:rPr>
          <w:rFonts w:ascii="Tahoma" w:hAnsi="Tahoma" w:cs="Tahoma"/>
          <w:b/>
          <w:sz w:val="24"/>
          <w:szCs w:val="24"/>
          <w:u w:val="single"/>
        </w:rPr>
        <w:t>EVALUATION CRITERIA</w:t>
      </w:r>
    </w:p>
    <w:p w14:paraId="14DDC649" w14:textId="77777777" w:rsidR="00883A10" w:rsidRPr="00020F05" w:rsidRDefault="00883A10" w:rsidP="000F6B43">
      <w:pPr>
        <w:spacing w:after="0" w:line="240" w:lineRule="auto"/>
        <w:ind w:left="720" w:hanging="720"/>
        <w:contextualSpacing/>
        <w:rPr>
          <w:rFonts w:ascii="Tahoma" w:hAnsi="Tahoma" w:cs="Tahoma"/>
          <w:sz w:val="24"/>
          <w:szCs w:val="24"/>
        </w:rPr>
      </w:pPr>
    </w:p>
    <w:p w14:paraId="5C6E3D05" w14:textId="767BCF33" w:rsidR="00F61E37" w:rsidRDefault="0BDE3F9C" w:rsidP="007F26C6">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sidR="00883A10">
        <w:rPr>
          <w:rFonts w:ascii="Tahoma" w:hAnsi="Tahoma" w:cs="Tahoma"/>
          <w:b/>
          <w:bCs/>
          <w:sz w:val="24"/>
          <w:szCs w:val="24"/>
        </w:rPr>
        <w:t>8</w:t>
      </w:r>
      <w:r w:rsidR="2FEC854D" w:rsidRPr="00020F05">
        <w:rPr>
          <w:rFonts w:ascii="Tahoma" w:hAnsi="Tahoma" w:cs="Tahoma"/>
          <w:b/>
          <w:bCs/>
          <w:sz w:val="24"/>
          <w:szCs w:val="24"/>
        </w:rPr>
        <w:t>:</w:t>
      </w:r>
      <w:r w:rsidR="00F61E37" w:rsidRPr="00020F05">
        <w:rPr>
          <w:rFonts w:ascii="Tahoma" w:hAnsi="Tahoma" w:cs="Tahoma"/>
          <w:sz w:val="24"/>
          <w:szCs w:val="24"/>
        </w:rPr>
        <w:tab/>
      </w:r>
      <w:r w:rsidR="00883A10" w:rsidRPr="00883A10">
        <w:rPr>
          <w:rFonts w:ascii="Tahoma" w:eastAsia="Times New Roman" w:hAnsi="Tahoma" w:cs="Tahoma"/>
          <w:b/>
          <w:bCs/>
          <w:sz w:val="24"/>
          <w:szCs w:val="24"/>
        </w:rPr>
        <w:t>How should applicants address the Energy Economy Ratio (EER) needed to account for the additional energy conversion efficiency provided by fuel cells versus conventional internal combustion engines if not included in Attachment 11, Calculation Tables?</w:t>
      </w:r>
    </w:p>
    <w:p w14:paraId="73141A1A" w14:textId="77777777" w:rsidR="007F26C6" w:rsidRPr="00020F05" w:rsidRDefault="007F26C6" w:rsidP="007F26C6">
      <w:pPr>
        <w:spacing w:line="240" w:lineRule="auto"/>
        <w:ind w:left="720" w:hanging="720"/>
        <w:contextualSpacing/>
        <w:rPr>
          <w:rFonts w:ascii="Tahoma" w:hAnsi="Tahoma" w:cs="Tahoma"/>
          <w:sz w:val="24"/>
          <w:szCs w:val="24"/>
        </w:rPr>
      </w:pPr>
    </w:p>
    <w:p w14:paraId="4ACB1049" w14:textId="63FCCDEE" w:rsidR="00454338" w:rsidRDefault="0BDE3F9C" w:rsidP="007F26C6">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sidR="11C38888" w:rsidRPr="00020F05">
        <w:rPr>
          <w:rFonts w:ascii="Tahoma" w:hAnsi="Tahoma" w:cs="Tahoma"/>
          <w:sz w:val="24"/>
          <w:szCs w:val="24"/>
        </w:rPr>
        <w:t>.</w:t>
      </w:r>
      <w:r w:rsidR="00883A10">
        <w:rPr>
          <w:rFonts w:ascii="Tahoma" w:hAnsi="Tahoma" w:cs="Tahoma"/>
          <w:sz w:val="24"/>
          <w:szCs w:val="24"/>
        </w:rPr>
        <w:t>8</w:t>
      </w:r>
      <w:r w:rsidRPr="00020F05">
        <w:rPr>
          <w:rFonts w:ascii="Tahoma" w:hAnsi="Tahoma" w:cs="Tahoma"/>
          <w:sz w:val="24"/>
          <w:szCs w:val="24"/>
        </w:rPr>
        <w:t>:</w:t>
      </w:r>
      <w:r w:rsidR="00F61E37" w:rsidRPr="00020F05">
        <w:rPr>
          <w:rFonts w:ascii="Tahoma" w:hAnsi="Tahoma" w:cs="Tahoma"/>
          <w:sz w:val="24"/>
          <w:szCs w:val="24"/>
        </w:rPr>
        <w:tab/>
      </w:r>
      <w:bookmarkStart w:id="0" w:name="_Hlk78457531"/>
      <w:r w:rsidR="00883A10" w:rsidRPr="00883A10">
        <w:rPr>
          <w:rFonts w:ascii="Tahoma" w:hAnsi="Tahoma" w:cs="Tahoma"/>
          <w:sz w:val="24"/>
          <w:szCs w:val="24"/>
        </w:rPr>
        <w:t xml:space="preserve">Applicants may include the EER appropriate </w:t>
      </w:r>
      <w:r w:rsidR="00793235">
        <w:rPr>
          <w:rFonts w:ascii="Tahoma" w:hAnsi="Tahoma" w:cs="Tahoma"/>
          <w:sz w:val="24"/>
          <w:szCs w:val="24"/>
        </w:rPr>
        <w:t>for</w:t>
      </w:r>
      <w:r w:rsidR="00883A10" w:rsidRPr="00883A10">
        <w:rPr>
          <w:rFonts w:ascii="Tahoma" w:hAnsi="Tahoma" w:cs="Tahoma"/>
          <w:sz w:val="24"/>
          <w:szCs w:val="24"/>
        </w:rPr>
        <w:t xml:space="preserve"> the fuel being displaced and the vehicle type (light/medium/heavy-duty) when making calculations. Applicants are encouraged to include any assumptions used so that these calculations may be verified.</w:t>
      </w:r>
      <w:r w:rsidR="007F26C6">
        <w:rPr>
          <w:rFonts w:ascii="Tahoma" w:hAnsi="Tahoma" w:cs="Tahoma"/>
          <w:sz w:val="24"/>
          <w:szCs w:val="24"/>
        </w:rPr>
        <w:t xml:space="preserve"> </w:t>
      </w:r>
      <w:bookmarkEnd w:id="0"/>
    </w:p>
    <w:p w14:paraId="372EC088" w14:textId="77777777" w:rsidR="007F26C6" w:rsidRDefault="007F26C6" w:rsidP="007F26C6">
      <w:pPr>
        <w:spacing w:before="240" w:after="0" w:line="240" w:lineRule="auto"/>
        <w:ind w:left="720" w:hanging="720"/>
        <w:contextualSpacing/>
        <w:rPr>
          <w:rFonts w:ascii="Tahoma" w:hAnsi="Tahoma" w:cs="Tahoma"/>
          <w:sz w:val="24"/>
          <w:szCs w:val="24"/>
        </w:rPr>
      </w:pPr>
    </w:p>
    <w:p w14:paraId="784D6F45" w14:textId="58EA23DD" w:rsidR="007F26C6" w:rsidRPr="007F26C6" w:rsidRDefault="007F26C6" w:rsidP="007F26C6">
      <w:pPr>
        <w:ind w:left="720" w:hanging="720"/>
        <w:contextualSpacing/>
        <w:rPr>
          <w:rFonts w:eastAsia="Times New Roman"/>
        </w:rPr>
      </w:pPr>
      <w:r w:rsidRPr="00020F05">
        <w:rPr>
          <w:rFonts w:ascii="Tahoma" w:hAnsi="Tahoma" w:cs="Tahoma"/>
          <w:b/>
          <w:bCs/>
          <w:sz w:val="24"/>
          <w:szCs w:val="24"/>
        </w:rPr>
        <w:lastRenderedPageBreak/>
        <w:t>Q.</w:t>
      </w:r>
      <w:r w:rsidR="00883A10">
        <w:rPr>
          <w:rFonts w:ascii="Tahoma" w:hAnsi="Tahoma" w:cs="Tahoma"/>
          <w:b/>
          <w:bCs/>
          <w:sz w:val="24"/>
          <w:szCs w:val="24"/>
        </w:rPr>
        <w:t>9</w:t>
      </w:r>
      <w:r w:rsidRPr="00020F05">
        <w:rPr>
          <w:rFonts w:ascii="Tahoma" w:hAnsi="Tahoma" w:cs="Tahoma"/>
          <w:b/>
          <w:bCs/>
          <w:sz w:val="24"/>
          <w:szCs w:val="24"/>
        </w:rPr>
        <w:t>:</w:t>
      </w:r>
      <w:r w:rsidRPr="00020F05">
        <w:rPr>
          <w:rFonts w:ascii="Tahoma" w:hAnsi="Tahoma" w:cs="Tahoma"/>
          <w:sz w:val="24"/>
          <w:szCs w:val="24"/>
        </w:rPr>
        <w:tab/>
      </w:r>
      <w:r w:rsidR="00883A10" w:rsidRPr="00883A10">
        <w:rPr>
          <w:rFonts w:ascii="Tahoma" w:eastAsia="Times New Roman" w:hAnsi="Tahoma" w:cs="Tahoma"/>
          <w:b/>
          <w:bCs/>
          <w:sz w:val="24"/>
          <w:szCs w:val="24"/>
        </w:rPr>
        <w:t>Can we include reference installations that use one or more of our technologies even if an integrated process design has not been commercialized?</w:t>
      </w:r>
    </w:p>
    <w:p w14:paraId="2FFE66E2" w14:textId="4DB29178" w:rsidR="007F26C6" w:rsidRPr="00020F05" w:rsidRDefault="007F26C6" w:rsidP="007F26C6">
      <w:pPr>
        <w:spacing w:line="240" w:lineRule="auto"/>
        <w:ind w:left="720" w:hanging="720"/>
        <w:contextualSpacing/>
        <w:rPr>
          <w:rFonts w:ascii="Tahoma" w:hAnsi="Tahoma" w:cs="Tahoma"/>
          <w:sz w:val="24"/>
          <w:szCs w:val="24"/>
        </w:rPr>
      </w:pPr>
    </w:p>
    <w:p w14:paraId="59951951" w14:textId="57DBEA86" w:rsidR="00474984" w:rsidRPr="00474984" w:rsidRDefault="007F26C6" w:rsidP="00474984">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sidR="00883A10">
        <w:rPr>
          <w:rFonts w:ascii="Tahoma" w:hAnsi="Tahoma" w:cs="Tahoma"/>
          <w:sz w:val="24"/>
          <w:szCs w:val="24"/>
        </w:rPr>
        <w:t>9</w:t>
      </w:r>
      <w:r w:rsidRPr="00020F05">
        <w:rPr>
          <w:rFonts w:ascii="Tahoma" w:hAnsi="Tahoma" w:cs="Tahoma"/>
          <w:sz w:val="24"/>
          <w:szCs w:val="24"/>
        </w:rPr>
        <w:t>:</w:t>
      </w:r>
      <w:r w:rsidRPr="00020F05">
        <w:rPr>
          <w:rFonts w:ascii="Tahoma" w:hAnsi="Tahoma" w:cs="Tahoma"/>
          <w:sz w:val="24"/>
          <w:szCs w:val="24"/>
        </w:rPr>
        <w:tab/>
      </w:r>
      <w:r w:rsidR="00474984" w:rsidRPr="00474984">
        <w:rPr>
          <w:rFonts w:ascii="Tahoma" w:hAnsi="Tahoma" w:cs="Tahoma"/>
          <w:sz w:val="24"/>
          <w:szCs w:val="24"/>
        </w:rPr>
        <w:t>Applicants are encouraged to list references for the production technology(ies) of the proposed project. Applicants may provide references for technologies independently if there are no examples of those technologies being integrated.</w:t>
      </w:r>
    </w:p>
    <w:p w14:paraId="2EEDB841" w14:textId="306BDF05" w:rsidR="007F26C6" w:rsidRPr="00020F05" w:rsidRDefault="007F26C6" w:rsidP="00474984">
      <w:pPr>
        <w:spacing w:before="240" w:after="0" w:line="240" w:lineRule="auto"/>
        <w:ind w:left="720" w:hanging="720"/>
        <w:contextualSpacing/>
        <w:rPr>
          <w:rFonts w:ascii="Tahoma" w:hAnsi="Tahoma" w:cs="Tahoma"/>
          <w:sz w:val="24"/>
          <w:szCs w:val="24"/>
        </w:rPr>
      </w:pPr>
    </w:p>
    <w:p w14:paraId="2F1F86AD" w14:textId="217D0962" w:rsidR="007F26C6" w:rsidRDefault="007F26C6" w:rsidP="007F26C6">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sidR="00883A10">
        <w:rPr>
          <w:rFonts w:ascii="Tahoma" w:hAnsi="Tahoma" w:cs="Tahoma"/>
          <w:b/>
          <w:bCs/>
          <w:sz w:val="24"/>
          <w:szCs w:val="24"/>
        </w:rPr>
        <w:t>10</w:t>
      </w:r>
      <w:r w:rsidRPr="00020F05">
        <w:rPr>
          <w:rFonts w:ascii="Tahoma" w:hAnsi="Tahoma" w:cs="Tahoma"/>
          <w:b/>
          <w:bCs/>
          <w:sz w:val="24"/>
          <w:szCs w:val="24"/>
        </w:rPr>
        <w:t>:</w:t>
      </w:r>
      <w:r w:rsidRPr="00020F05">
        <w:rPr>
          <w:rFonts w:ascii="Tahoma" w:hAnsi="Tahoma" w:cs="Tahoma"/>
          <w:sz w:val="24"/>
          <w:szCs w:val="24"/>
        </w:rPr>
        <w:tab/>
      </w:r>
      <w:r w:rsidR="00883A10" w:rsidRPr="00883A10">
        <w:rPr>
          <w:rFonts w:ascii="Tahoma" w:eastAsia="Times New Roman" w:hAnsi="Tahoma" w:cs="Tahoma"/>
          <w:b/>
          <w:bCs/>
          <w:sz w:val="24"/>
          <w:szCs w:val="24"/>
        </w:rPr>
        <w:t>Will the CEC issue an updated “Attachment 11 Calculation Tables” to allow projects to more accurately depict the environmental benefits of hydrogen produced for use across light-, medium-, and heavy-duty applications?</w:t>
      </w:r>
    </w:p>
    <w:p w14:paraId="677E5C08" w14:textId="77777777" w:rsidR="007F26C6" w:rsidRPr="00020F05" w:rsidRDefault="007F26C6" w:rsidP="007F26C6">
      <w:pPr>
        <w:spacing w:line="240" w:lineRule="auto"/>
        <w:ind w:left="720" w:hanging="720"/>
        <w:contextualSpacing/>
        <w:rPr>
          <w:rFonts w:ascii="Tahoma" w:hAnsi="Tahoma" w:cs="Tahoma"/>
          <w:sz w:val="24"/>
          <w:szCs w:val="24"/>
        </w:rPr>
      </w:pPr>
    </w:p>
    <w:p w14:paraId="759DA028" w14:textId="67165091" w:rsidR="007F26C6" w:rsidRDefault="007F26C6" w:rsidP="007F26C6">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sidR="00883A10">
        <w:rPr>
          <w:rFonts w:ascii="Tahoma" w:hAnsi="Tahoma" w:cs="Tahoma"/>
          <w:sz w:val="24"/>
          <w:szCs w:val="24"/>
        </w:rPr>
        <w:t>10</w:t>
      </w:r>
      <w:r w:rsidRPr="00020F05">
        <w:rPr>
          <w:rFonts w:ascii="Tahoma" w:hAnsi="Tahoma" w:cs="Tahoma"/>
          <w:sz w:val="24"/>
          <w:szCs w:val="24"/>
        </w:rPr>
        <w:t>:</w:t>
      </w:r>
      <w:r w:rsidRPr="00020F05">
        <w:rPr>
          <w:rFonts w:ascii="Tahoma" w:hAnsi="Tahoma" w:cs="Tahoma"/>
          <w:sz w:val="24"/>
          <w:szCs w:val="24"/>
        </w:rPr>
        <w:tab/>
      </w:r>
      <w:r w:rsidR="00883A10" w:rsidRPr="00883A10">
        <w:rPr>
          <w:rFonts w:ascii="Tahoma" w:hAnsi="Tahoma" w:cs="Tahoma"/>
          <w:sz w:val="24"/>
          <w:szCs w:val="24"/>
        </w:rPr>
        <w:t>No, the CEC will not issue an updated Attachment 11 Calculations Tables. Attachment 11 should be used to calculate fuel displacement and GHG reductions</w:t>
      </w:r>
      <w:r w:rsidR="00EB72D8">
        <w:rPr>
          <w:rFonts w:ascii="Tahoma" w:hAnsi="Tahoma" w:cs="Tahoma"/>
          <w:sz w:val="24"/>
          <w:szCs w:val="24"/>
        </w:rPr>
        <w:t xml:space="preserve"> on the proposed projects</w:t>
      </w:r>
      <w:r w:rsidR="00883A10" w:rsidRPr="00883A10">
        <w:rPr>
          <w:rFonts w:ascii="Tahoma" w:hAnsi="Tahoma" w:cs="Tahoma"/>
          <w:sz w:val="24"/>
          <w:szCs w:val="24"/>
        </w:rPr>
        <w:t xml:space="preserve">. Applicants are encouraged to provide additional details on </w:t>
      </w:r>
      <w:r w:rsidR="00EB72D8">
        <w:rPr>
          <w:rFonts w:ascii="Tahoma" w:hAnsi="Tahoma" w:cs="Tahoma"/>
          <w:sz w:val="24"/>
          <w:szCs w:val="24"/>
        </w:rPr>
        <w:t xml:space="preserve">project </w:t>
      </w:r>
      <w:r w:rsidR="00883A10" w:rsidRPr="00883A10">
        <w:rPr>
          <w:rFonts w:ascii="Tahoma" w:hAnsi="Tahoma" w:cs="Tahoma"/>
          <w:sz w:val="24"/>
          <w:szCs w:val="24"/>
        </w:rPr>
        <w:t>benefits within the Project Narrative. Please see Section VII.E.4, Project Narrative of the Solicitation Manual for more information.</w:t>
      </w:r>
      <w:r>
        <w:rPr>
          <w:rFonts w:ascii="Tahoma" w:hAnsi="Tahoma" w:cs="Tahoma"/>
          <w:sz w:val="24"/>
          <w:szCs w:val="24"/>
        </w:rPr>
        <w:t xml:space="preserve"> </w:t>
      </w:r>
    </w:p>
    <w:p w14:paraId="37C07A9E" w14:textId="77777777" w:rsidR="007F26C6" w:rsidRDefault="007F26C6" w:rsidP="007F26C6">
      <w:pPr>
        <w:spacing w:before="240" w:after="0" w:line="240" w:lineRule="auto"/>
        <w:ind w:left="720" w:hanging="720"/>
        <w:contextualSpacing/>
        <w:rPr>
          <w:rFonts w:ascii="Tahoma" w:hAnsi="Tahoma" w:cs="Tahoma"/>
          <w:sz w:val="24"/>
          <w:szCs w:val="24"/>
        </w:rPr>
      </w:pPr>
    </w:p>
    <w:p w14:paraId="3B160509" w14:textId="0DEFDA3F" w:rsidR="007F26C6" w:rsidRDefault="007F26C6" w:rsidP="007F26C6">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w:t>
      </w:r>
      <w:r w:rsidR="00883A10">
        <w:rPr>
          <w:rFonts w:ascii="Tahoma" w:hAnsi="Tahoma" w:cs="Tahoma"/>
          <w:b/>
          <w:bCs/>
          <w:sz w:val="24"/>
          <w:szCs w:val="24"/>
        </w:rPr>
        <w:t>1</w:t>
      </w:r>
      <w:r w:rsidRPr="00020F05">
        <w:rPr>
          <w:rFonts w:ascii="Tahoma" w:hAnsi="Tahoma" w:cs="Tahoma"/>
          <w:b/>
          <w:bCs/>
          <w:sz w:val="24"/>
          <w:szCs w:val="24"/>
        </w:rPr>
        <w:t>:</w:t>
      </w:r>
      <w:r w:rsidRPr="00020F05">
        <w:rPr>
          <w:rFonts w:ascii="Tahoma" w:hAnsi="Tahoma" w:cs="Tahoma"/>
          <w:sz w:val="24"/>
          <w:szCs w:val="24"/>
        </w:rPr>
        <w:tab/>
      </w:r>
      <w:r w:rsidR="00883A10" w:rsidRPr="00883A10">
        <w:rPr>
          <w:rFonts w:ascii="Tahoma" w:eastAsia="Times New Roman" w:hAnsi="Tahoma" w:cs="Tahoma"/>
          <w:b/>
          <w:bCs/>
          <w:sz w:val="24"/>
          <w:szCs w:val="24"/>
        </w:rPr>
        <w:t>Are High Pollution Low Population Census Tracts eligible for the 10 points under subparagraph (a) of the Evaluation Criteria’s section for Benefits to Priority Populations? It is unclear whether these High Pollution Low Population tracts qualify under HSC § 39711(a)(1) “Areas disproportionately affected by environmental pollution and other hazards that can lead to negative public health effects, exposure, or environmental degradation.”</w:t>
      </w:r>
    </w:p>
    <w:p w14:paraId="56CBF054" w14:textId="77777777" w:rsidR="007F26C6" w:rsidRPr="00020F05" w:rsidRDefault="007F26C6" w:rsidP="007F26C6">
      <w:pPr>
        <w:spacing w:line="240" w:lineRule="auto"/>
        <w:ind w:left="720" w:hanging="720"/>
        <w:contextualSpacing/>
        <w:rPr>
          <w:rFonts w:ascii="Tahoma" w:hAnsi="Tahoma" w:cs="Tahoma"/>
          <w:sz w:val="24"/>
          <w:szCs w:val="24"/>
        </w:rPr>
      </w:pPr>
    </w:p>
    <w:p w14:paraId="68CF99FC" w14:textId="007512F9" w:rsidR="007F26C6" w:rsidRDefault="007F26C6" w:rsidP="007F26C6">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1</w:t>
      </w:r>
      <w:r w:rsidR="00883A10">
        <w:rPr>
          <w:rFonts w:ascii="Tahoma" w:hAnsi="Tahoma" w:cs="Tahoma"/>
          <w:sz w:val="24"/>
          <w:szCs w:val="24"/>
        </w:rPr>
        <w:t>1</w:t>
      </w:r>
      <w:r w:rsidRPr="00020F05">
        <w:rPr>
          <w:rFonts w:ascii="Tahoma" w:hAnsi="Tahoma" w:cs="Tahoma"/>
          <w:sz w:val="24"/>
          <w:szCs w:val="24"/>
        </w:rPr>
        <w:t>:</w:t>
      </w:r>
      <w:r w:rsidRPr="00020F05">
        <w:rPr>
          <w:rFonts w:ascii="Tahoma" w:hAnsi="Tahoma" w:cs="Tahoma"/>
          <w:sz w:val="24"/>
          <w:szCs w:val="24"/>
        </w:rPr>
        <w:tab/>
      </w:r>
      <w:r w:rsidR="00883A10" w:rsidRPr="00883A10">
        <w:rPr>
          <w:rFonts w:ascii="Tahoma" w:hAnsi="Tahoma" w:cs="Tahoma"/>
          <w:sz w:val="24"/>
          <w:szCs w:val="24"/>
        </w:rPr>
        <w:t>CalEnviroScreen 3.0 designate</w:t>
      </w:r>
      <w:r w:rsidR="00883A10">
        <w:rPr>
          <w:rFonts w:ascii="Tahoma" w:hAnsi="Tahoma" w:cs="Tahoma"/>
          <w:sz w:val="24"/>
          <w:szCs w:val="24"/>
        </w:rPr>
        <w:t>s</w:t>
      </w:r>
      <w:r w:rsidR="00883A10" w:rsidRPr="00883A10">
        <w:rPr>
          <w:rFonts w:ascii="Tahoma" w:hAnsi="Tahoma" w:cs="Tahoma"/>
          <w:sz w:val="24"/>
          <w:szCs w:val="24"/>
        </w:rPr>
        <w:t xml:space="preserve"> the top 25% scoring areas along with other areas with high amounts of pollution and low populations as Disadvantaged Communities. Please refer to the California Office of Environmental Health Hazard Assessment's website on SB 535 Disadvantaged Communities for more information located at: https://oehha.ca.gov/calenviroscreen/sb535</w:t>
      </w:r>
      <w:r w:rsidR="00EC651E">
        <w:rPr>
          <w:rFonts w:ascii="Tahoma" w:hAnsi="Tahoma" w:cs="Tahoma"/>
          <w:sz w:val="24"/>
          <w:szCs w:val="24"/>
        </w:rPr>
        <w:t>.</w:t>
      </w:r>
      <w:r w:rsidR="00883A10" w:rsidRPr="00883A10">
        <w:rPr>
          <w:rFonts w:ascii="Tahoma" w:hAnsi="Tahoma" w:cs="Tahoma"/>
          <w:sz w:val="24"/>
          <w:szCs w:val="24"/>
        </w:rPr>
        <w:t xml:space="preserve">  </w:t>
      </w:r>
      <w:r>
        <w:rPr>
          <w:rFonts w:ascii="Tahoma" w:hAnsi="Tahoma" w:cs="Tahoma"/>
          <w:sz w:val="24"/>
          <w:szCs w:val="24"/>
        </w:rPr>
        <w:t xml:space="preserve"> </w:t>
      </w:r>
    </w:p>
    <w:p w14:paraId="0C27DBFC" w14:textId="2CF42605" w:rsidR="00BA0034" w:rsidRDefault="00BA0034" w:rsidP="00B456A5">
      <w:pPr>
        <w:spacing w:after="0" w:line="240" w:lineRule="auto"/>
        <w:contextualSpacing/>
        <w:rPr>
          <w:rFonts w:ascii="Tahoma" w:hAnsi="Tahoma" w:cs="Tahoma"/>
          <w:sz w:val="24"/>
          <w:szCs w:val="24"/>
        </w:rPr>
      </w:pPr>
    </w:p>
    <w:p w14:paraId="5A2A8297" w14:textId="632F6EC4" w:rsidR="007F26C6" w:rsidRDefault="007F26C6" w:rsidP="007F26C6">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w:t>
      </w:r>
      <w:r w:rsidR="00883A10">
        <w:rPr>
          <w:rFonts w:ascii="Tahoma" w:hAnsi="Tahoma" w:cs="Tahoma"/>
          <w:b/>
          <w:bCs/>
          <w:sz w:val="24"/>
          <w:szCs w:val="24"/>
        </w:rPr>
        <w:t>2</w:t>
      </w:r>
      <w:r w:rsidRPr="00020F05">
        <w:rPr>
          <w:rFonts w:ascii="Tahoma" w:hAnsi="Tahoma" w:cs="Tahoma"/>
          <w:b/>
          <w:bCs/>
          <w:sz w:val="24"/>
          <w:szCs w:val="24"/>
        </w:rPr>
        <w:t>:</w:t>
      </w:r>
      <w:r w:rsidRPr="001553FE">
        <w:rPr>
          <w:rFonts w:ascii="Tahoma" w:hAnsi="Tahoma" w:cs="Tahoma"/>
          <w:b/>
          <w:bCs/>
          <w:sz w:val="24"/>
          <w:szCs w:val="24"/>
        </w:rPr>
        <w:tab/>
      </w:r>
      <w:r w:rsidR="00883A10" w:rsidRPr="00883A10">
        <w:rPr>
          <w:rFonts w:ascii="Tahoma" w:eastAsia="Times New Roman" w:hAnsi="Tahoma" w:cs="Tahoma"/>
          <w:b/>
          <w:bCs/>
          <w:sz w:val="24"/>
          <w:szCs w:val="24"/>
        </w:rPr>
        <w:t>For projects proposing to deploy a renewable hydrogen production facility in a High Pollution Low Population Census Tract surrounded by disadvantaged and low-income communities, are those projects automatically precluded from receiving more than ten (10) points under the Evaluation Criteria for Benefits to Priority Populations?</w:t>
      </w:r>
      <w:r>
        <w:rPr>
          <w:rFonts w:ascii="Tahoma" w:eastAsia="Times New Roman" w:hAnsi="Tahoma" w:cs="Tahoma"/>
          <w:sz w:val="24"/>
          <w:szCs w:val="24"/>
        </w:rPr>
        <w:t xml:space="preserve"> </w:t>
      </w:r>
    </w:p>
    <w:p w14:paraId="2BE0B7C5" w14:textId="77777777" w:rsidR="007F26C6" w:rsidRPr="00020F05" w:rsidRDefault="007F26C6" w:rsidP="007F26C6">
      <w:pPr>
        <w:spacing w:line="240" w:lineRule="auto"/>
        <w:ind w:left="720" w:hanging="720"/>
        <w:contextualSpacing/>
        <w:rPr>
          <w:rFonts w:ascii="Tahoma" w:hAnsi="Tahoma" w:cs="Tahoma"/>
          <w:sz w:val="24"/>
          <w:szCs w:val="24"/>
        </w:rPr>
      </w:pPr>
    </w:p>
    <w:p w14:paraId="66F6BD08" w14:textId="1799346B" w:rsidR="007F26C6" w:rsidRDefault="007F26C6" w:rsidP="007F26C6">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1</w:t>
      </w:r>
      <w:r w:rsidR="00883A10">
        <w:rPr>
          <w:rFonts w:ascii="Tahoma" w:hAnsi="Tahoma" w:cs="Tahoma"/>
          <w:sz w:val="24"/>
          <w:szCs w:val="24"/>
        </w:rPr>
        <w:t>2</w:t>
      </w:r>
      <w:r w:rsidRPr="00020F05">
        <w:rPr>
          <w:rFonts w:ascii="Tahoma" w:hAnsi="Tahoma" w:cs="Tahoma"/>
          <w:sz w:val="24"/>
          <w:szCs w:val="24"/>
        </w:rPr>
        <w:t>:</w:t>
      </w:r>
      <w:r w:rsidRPr="00020F05">
        <w:rPr>
          <w:rFonts w:ascii="Tahoma" w:hAnsi="Tahoma" w:cs="Tahoma"/>
          <w:sz w:val="24"/>
          <w:szCs w:val="24"/>
        </w:rPr>
        <w:tab/>
      </w:r>
      <w:r w:rsidR="00883A10" w:rsidRPr="00883A10">
        <w:rPr>
          <w:rFonts w:ascii="Tahoma" w:hAnsi="Tahoma" w:cs="Tahoma"/>
          <w:sz w:val="24"/>
          <w:szCs w:val="24"/>
        </w:rPr>
        <w:t xml:space="preserve">Projects that are located in a High Pollution Low Population Census Tract and designated as a Disadvantaged Community would be eligible for the maximum 15 points provided it met all the other requirements for </w:t>
      </w:r>
      <w:r w:rsidR="00932AEC" w:rsidRPr="00883A10">
        <w:rPr>
          <w:rFonts w:ascii="Tahoma" w:hAnsi="Tahoma" w:cs="Tahoma"/>
          <w:sz w:val="24"/>
          <w:szCs w:val="24"/>
        </w:rPr>
        <w:t>that criterion</w:t>
      </w:r>
      <w:r w:rsidR="00883A10" w:rsidRPr="00883A10">
        <w:rPr>
          <w:rFonts w:ascii="Tahoma" w:hAnsi="Tahoma" w:cs="Tahoma"/>
          <w:sz w:val="24"/>
          <w:szCs w:val="24"/>
        </w:rPr>
        <w:t>. Please refer to Section VIII.E, Full Application Evaluation Criteria of the Solicitation Manual for more information.</w:t>
      </w:r>
    </w:p>
    <w:p w14:paraId="2D636BC7" w14:textId="77777777" w:rsidR="007F26C6" w:rsidRPr="00020F05" w:rsidRDefault="007F26C6" w:rsidP="00B456A5">
      <w:pPr>
        <w:spacing w:after="0" w:line="240" w:lineRule="auto"/>
        <w:contextualSpacing/>
        <w:rPr>
          <w:rFonts w:ascii="Tahoma" w:hAnsi="Tahoma" w:cs="Tahoma"/>
          <w:sz w:val="24"/>
          <w:szCs w:val="24"/>
        </w:rPr>
      </w:pPr>
    </w:p>
    <w:p w14:paraId="337CE8AA" w14:textId="2A0B31F2" w:rsidR="007F26C6" w:rsidRDefault="007F26C6" w:rsidP="007F26C6">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w:t>
      </w:r>
      <w:r w:rsidR="00883A10">
        <w:rPr>
          <w:rFonts w:ascii="Tahoma" w:hAnsi="Tahoma" w:cs="Tahoma"/>
          <w:b/>
          <w:bCs/>
          <w:sz w:val="24"/>
          <w:szCs w:val="24"/>
        </w:rPr>
        <w:t>3</w:t>
      </w:r>
      <w:r w:rsidRPr="00020F05">
        <w:rPr>
          <w:rFonts w:ascii="Tahoma" w:hAnsi="Tahoma" w:cs="Tahoma"/>
          <w:b/>
          <w:bCs/>
          <w:sz w:val="24"/>
          <w:szCs w:val="24"/>
        </w:rPr>
        <w:t>:</w:t>
      </w:r>
      <w:r w:rsidRPr="00020F05">
        <w:rPr>
          <w:rFonts w:ascii="Tahoma" w:hAnsi="Tahoma" w:cs="Tahoma"/>
          <w:sz w:val="24"/>
          <w:szCs w:val="24"/>
        </w:rPr>
        <w:tab/>
      </w:r>
      <w:r w:rsidR="00883A10" w:rsidRPr="00883A10">
        <w:rPr>
          <w:rFonts w:ascii="Tahoma" w:eastAsia="Times New Roman" w:hAnsi="Tahoma" w:cs="Tahoma"/>
          <w:b/>
          <w:bCs/>
          <w:sz w:val="24"/>
          <w:szCs w:val="24"/>
        </w:rPr>
        <w:t>As we are finalizing project site location, would CEC have any issue if we were to change the project site location if we deemed it more advantageous to the expedient completion of the plant?</w:t>
      </w:r>
    </w:p>
    <w:p w14:paraId="59F69621" w14:textId="77777777" w:rsidR="007F26C6" w:rsidRPr="00020F05" w:rsidRDefault="007F26C6" w:rsidP="007F26C6">
      <w:pPr>
        <w:spacing w:line="240" w:lineRule="auto"/>
        <w:ind w:left="720" w:hanging="720"/>
        <w:contextualSpacing/>
        <w:rPr>
          <w:rFonts w:ascii="Tahoma" w:hAnsi="Tahoma" w:cs="Tahoma"/>
          <w:sz w:val="24"/>
          <w:szCs w:val="24"/>
        </w:rPr>
      </w:pPr>
    </w:p>
    <w:p w14:paraId="63EA4EB2" w14:textId="4F2C96AD" w:rsidR="007F26C6" w:rsidRDefault="007F26C6" w:rsidP="007F26C6">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1</w:t>
      </w:r>
      <w:r w:rsidR="00883A10">
        <w:rPr>
          <w:rFonts w:ascii="Tahoma" w:hAnsi="Tahoma" w:cs="Tahoma"/>
          <w:sz w:val="24"/>
          <w:szCs w:val="24"/>
        </w:rPr>
        <w:t>3</w:t>
      </w:r>
      <w:r w:rsidRPr="00020F05">
        <w:rPr>
          <w:rFonts w:ascii="Tahoma" w:hAnsi="Tahoma" w:cs="Tahoma"/>
          <w:sz w:val="24"/>
          <w:szCs w:val="24"/>
        </w:rPr>
        <w:t>:</w:t>
      </w:r>
      <w:r w:rsidRPr="00020F05">
        <w:rPr>
          <w:rFonts w:ascii="Tahoma" w:hAnsi="Tahoma" w:cs="Tahoma"/>
          <w:sz w:val="24"/>
          <w:szCs w:val="24"/>
        </w:rPr>
        <w:tab/>
      </w:r>
      <w:bookmarkStart w:id="1" w:name="_Hlk78894548"/>
      <w:r w:rsidR="00883A10" w:rsidRPr="00883A10">
        <w:rPr>
          <w:rFonts w:ascii="Tahoma" w:hAnsi="Tahoma" w:cs="Tahoma"/>
          <w:sz w:val="24"/>
          <w:szCs w:val="24"/>
        </w:rPr>
        <w:t xml:space="preserve">The applicant is encouraged to provide a </w:t>
      </w:r>
      <w:r w:rsidR="0081605E">
        <w:rPr>
          <w:rFonts w:ascii="Tahoma" w:hAnsi="Tahoma" w:cs="Tahoma"/>
          <w:sz w:val="24"/>
          <w:szCs w:val="24"/>
        </w:rPr>
        <w:t>F</w:t>
      </w:r>
      <w:r w:rsidR="0081605E" w:rsidRPr="00883A10">
        <w:rPr>
          <w:rFonts w:ascii="Tahoma" w:hAnsi="Tahoma" w:cs="Tahoma"/>
          <w:sz w:val="24"/>
          <w:szCs w:val="24"/>
        </w:rPr>
        <w:t xml:space="preserve">ull </w:t>
      </w:r>
      <w:r w:rsidR="0081605E">
        <w:rPr>
          <w:rFonts w:ascii="Tahoma" w:hAnsi="Tahoma" w:cs="Tahoma"/>
          <w:sz w:val="24"/>
          <w:szCs w:val="24"/>
        </w:rPr>
        <w:t>A</w:t>
      </w:r>
      <w:r w:rsidR="0081605E" w:rsidRPr="00883A10">
        <w:rPr>
          <w:rFonts w:ascii="Tahoma" w:hAnsi="Tahoma" w:cs="Tahoma"/>
          <w:sz w:val="24"/>
          <w:szCs w:val="24"/>
        </w:rPr>
        <w:t xml:space="preserve">pplication </w:t>
      </w:r>
      <w:r w:rsidR="00883A10" w:rsidRPr="00883A10">
        <w:rPr>
          <w:rFonts w:ascii="Tahoma" w:hAnsi="Tahoma" w:cs="Tahoma"/>
          <w:sz w:val="24"/>
          <w:szCs w:val="24"/>
        </w:rPr>
        <w:t xml:space="preserve">that is consistent with the passing </w:t>
      </w:r>
      <w:r w:rsidR="0081605E">
        <w:rPr>
          <w:rFonts w:ascii="Tahoma" w:hAnsi="Tahoma" w:cs="Tahoma"/>
          <w:sz w:val="24"/>
          <w:szCs w:val="24"/>
        </w:rPr>
        <w:t>P</w:t>
      </w:r>
      <w:r w:rsidR="0081605E" w:rsidRPr="00883A10">
        <w:rPr>
          <w:rFonts w:ascii="Tahoma" w:hAnsi="Tahoma" w:cs="Tahoma"/>
          <w:sz w:val="24"/>
          <w:szCs w:val="24"/>
        </w:rPr>
        <w:t>re</w:t>
      </w:r>
      <w:r w:rsidR="00883A10" w:rsidRPr="00883A10">
        <w:rPr>
          <w:rFonts w:ascii="Tahoma" w:hAnsi="Tahoma" w:cs="Tahoma"/>
          <w:sz w:val="24"/>
          <w:szCs w:val="24"/>
        </w:rPr>
        <w:t>-</w:t>
      </w:r>
      <w:r w:rsidR="0081605E">
        <w:rPr>
          <w:rFonts w:ascii="Tahoma" w:hAnsi="Tahoma" w:cs="Tahoma"/>
          <w:sz w:val="24"/>
          <w:szCs w:val="24"/>
        </w:rPr>
        <w:t>A</w:t>
      </w:r>
      <w:r w:rsidR="0081605E" w:rsidRPr="00883A10">
        <w:rPr>
          <w:rFonts w:ascii="Tahoma" w:hAnsi="Tahoma" w:cs="Tahoma"/>
          <w:sz w:val="24"/>
          <w:szCs w:val="24"/>
        </w:rPr>
        <w:t xml:space="preserve">pplication </w:t>
      </w:r>
      <w:r w:rsidR="0081605E">
        <w:rPr>
          <w:rFonts w:ascii="Tahoma" w:hAnsi="Tahoma" w:cs="Tahoma"/>
          <w:sz w:val="24"/>
          <w:szCs w:val="24"/>
        </w:rPr>
        <w:t>A</w:t>
      </w:r>
      <w:r w:rsidR="0081605E" w:rsidRPr="00883A10">
        <w:rPr>
          <w:rFonts w:ascii="Tahoma" w:hAnsi="Tahoma" w:cs="Tahoma"/>
          <w:sz w:val="24"/>
          <w:szCs w:val="24"/>
        </w:rPr>
        <w:t>bstract</w:t>
      </w:r>
      <w:r w:rsidR="00883A10" w:rsidRPr="00883A10">
        <w:rPr>
          <w:rFonts w:ascii="Tahoma" w:hAnsi="Tahoma" w:cs="Tahoma"/>
          <w:sz w:val="24"/>
          <w:szCs w:val="24"/>
        </w:rPr>
        <w:t xml:space="preserve">. If there are major changes being proposed in the </w:t>
      </w:r>
      <w:r w:rsidR="0081605E">
        <w:rPr>
          <w:rFonts w:ascii="Tahoma" w:hAnsi="Tahoma" w:cs="Tahoma"/>
          <w:sz w:val="24"/>
          <w:szCs w:val="24"/>
        </w:rPr>
        <w:t>F</w:t>
      </w:r>
      <w:r w:rsidR="0081605E" w:rsidRPr="00883A10">
        <w:rPr>
          <w:rFonts w:ascii="Tahoma" w:hAnsi="Tahoma" w:cs="Tahoma"/>
          <w:sz w:val="24"/>
          <w:szCs w:val="24"/>
        </w:rPr>
        <w:t xml:space="preserve">ull </w:t>
      </w:r>
      <w:r w:rsidR="0081605E">
        <w:rPr>
          <w:rFonts w:ascii="Tahoma" w:hAnsi="Tahoma" w:cs="Tahoma"/>
          <w:sz w:val="24"/>
          <w:szCs w:val="24"/>
        </w:rPr>
        <w:t>A</w:t>
      </w:r>
      <w:r w:rsidR="0081605E" w:rsidRPr="00883A10">
        <w:rPr>
          <w:rFonts w:ascii="Tahoma" w:hAnsi="Tahoma" w:cs="Tahoma"/>
          <w:sz w:val="24"/>
          <w:szCs w:val="24"/>
        </w:rPr>
        <w:t>pplication</w:t>
      </w:r>
      <w:r w:rsidR="00883A10" w:rsidRPr="00883A10">
        <w:rPr>
          <w:rFonts w:ascii="Tahoma" w:hAnsi="Tahoma" w:cs="Tahoma"/>
          <w:sz w:val="24"/>
          <w:szCs w:val="24"/>
        </w:rPr>
        <w:t xml:space="preserve">, such as a </w:t>
      </w:r>
      <w:r w:rsidR="00883A10">
        <w:rPr>
          <w:rFonts w:ascii="Tahoma" w:hAnsi="Tahoma" w:cs="Tahoma"/>
          <w:sz w:val="24"/>
          <w:szCs w:val="24"/>
        </w:rPr>
        <w:t xml:space="preserve">project </w:t>
      </w:r>
      <w:r w:rsidR="00883A10" w:rsidRPr="00883A10">
        <w:rPr>
          <w:rFonts w:ascii="Tahoma" w:hAnsi="Tahoma" w:cs="Tahoma"/>
          <w:sz w:val="24"/>
          <w:szCs w:val="24"/>
        </w:rPr>
        <w:t xml:space="preserve">site change, the applicant must provide an explanation on why this change was made and how this change is an improvement from the previous project site. </w:t>
      </w:r>
      <w:r w:rsidR="00D25E53">
        <w:rPr>
          <w:rFonts w:ascii="Tahoma" w:hAnsi="Tahoma" w:cs="Tahoma"/>
          <w:sz w:val="24"/>
          <w:szCs w:val="24"/>
        </w:rPr>
        <w:t xml:space="preserve">Major changes are subject to CEC review and approval and approval is not guaranteed. </w:t>
      </w:r>
      <w:r w:rsidR="00883A10" w:rsidRPr="00883A10">
        <w:rPr>
          <w:rFonts w:ascii="Tahoma" w:hAnsi="Tahoma" w:cs="Tahoma"/>
          <w:sz w:val="24"/>
          <w:szCs w:val="24"/>
        </w:rPr>
        <w:t>Applicants are encouraged to secure site location and satisfy all concerns with CEQA compliance in a timely manner.</w:t>
      </w:r>
      <w:r w:rsidR="006D00B4">
        <w:rPr>
          <w:rFonts w:ascii="Tahoma" w:hAnsi="Tahoma" w:cs="Tahoma"/>
          <w:sz w:val="24"/>
          <w:szCs w:val="24"/>
        </w:rPr>
        <w:t xml:space="preserve"> Please see Section II.K. </w:t>
      </w:r>
      <w:r w:rsidR="00435F7E">
        <w:rPr>
          <w:rFonts w:ascii="Tahoma" w:hAnsi="Tahoma" w:cs="Tahoma"/>
          <w:sz w:val="24"/>
          <w:szCs w:val="24"/>
        </w:rPr>
        <w:t>of the Solicitation Manual for more information.</w:t>
      </w:r>
    </w:p>
    <w:bookmarkEnd w:id="1"/>
    <w:p w14:paraId="32CF3B5A" w14:textId="2ED9F348" w:rsidR="004B05FB" w:rsidRDefault="004B05FB" w:rsidP="00F61E37">
      <w:pPr>
        <w:spacing w:after="0" w:line="240" w:lineRule="auto"/>
        <w:ind w:left="720" w:hanging="720"/>
        <w:contextualSpacing/>
        <w:rPr>
          <w:rFonts w:ascii="Tahoma" w:hAnsi="Tahoma" w:cs="Tahoma"/>
          <w:sz w:val="24"/>
          <w:szCs w:val="24"/>
        </w:rPr>
      </w:pPr>
    </w:p>
    <w:p w14:paraId="738AA9EB" w14:textId="74CC1278" w:rsidR="007F26C6" w:rsidRDefault="007F26C6" w:rsidP="007F26C6">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w:t>
      </w:r>
      <w:r w:rsidR="00883A10">
        <w:rPr>
          <w:rFonts w:ascii="Tahoma" w:hAnsi="Tahoma" w:cs="Tahoma"/>
          <w:b/>
          <w:bCs/>
          <w:sz w:val="24"/>
          <w:szCs w:val="24"/>
        </w:rPr>
        <w:t>4</w:t>
      </w:r>
      <w:r w:rsidRPr="00020F05">
        <w:rPr>
          <w:rFonts w:ascii="Tahoma" w:hAnsi="Tahoma" w:cs="Tahoma"/>
          <w:b/>
          <w:bCs/>
          <w:sz w:val="24"/>
          <w:szCs w:val="24"/>
        </w:rPr>
        <w:t>:</w:t>
      </w:r>
      <w:r w:rsidRPr="00020F05">
        <w:rPr>
          <w:rFonts w:ascii="Tahoma" w:hAnsi="Tahoma" w:cs="Tahoma"/>
          <w:sz w:val="24"/>
          <w:szCs w:val="24"/>
        </w:rPr>
        <w:tab/>
      </w:r>
      <w:r w:rsidR="00883A10" w:rsidRPr="00883A10">
        <w:rPr>
          <w:rFonts w:ascii="Tahoma" w:eastAsia="Times New Roman" w:hAnsi="Tahoma" w:cs="Tahoma"/>
          <w:b/>
          <w:bCs/>
          <w:sz w:val="24"/>
          <w:szCs w:val="24"/>
        </w:rPr>
        <w:t>If the Applicant is a new legal entity and not able to provide 3 years-worth of financial statements, what alternative documentation can the Applicant provide to demonstrate economic viability.</w:t>
      </w:r>
    </w:p>
    <w:p w14:paraId="29A58FD6" w14:textId="77777777" w:rsidR="007F26C6" w:rsidRPr="00020F05" w:rsidRDefault="007F26C6" w:rsidP="007F26C6">
      <w:pPr>
        <w:spacing w:line="240" w:lineRule="auto"/>
        <w:ind w:left="720" w:hanging="720"/>
        <w:contextualSpacing/>
        <w:rPr>
          <w:rFonts w:ascii="Tahoma" w:hAnsi="Tahoma" w:cs="Tahoma"/>
          <w:sz w:val="24"/>
          <w:szCs w:val="24"/>
        </w:rPr>
      </w:pPr>
    </w:p>
    <w:p w14:paraId="4F8BDB22" w14:textId="19817A4D" w:rsidR="007F26C6" w:rsidRDefault="007F26C6" w:rsidP="007F26C6">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1</w:t>
      </w:r>
      <w:r w:rsidR="00883A10">
        <w:rPr>
          <w:rFonts w:ascii="Tahoma" w:hAnsi="Tahoma" w:cs="Tahoma"/>
          <w:sz w:val="24"/>
          <w:szCs w:val="24"/>
        </w:rPr>
        <w:t>4</w:t>
      </w:r>
      <w:r w:rsidRPr="00020F05">
        <w:rPr>
          <w:rFonts w:ascii="Tahoma" w:hAnsi="Tahoma" w:cs="Tahoma"/>
          <w:sz w:val="24"/>
          <w:szCs w:val="24"/>
        </w:rPr>
        <w:t>:</w:t>
      </w:r>
      <w:r w:rsidRPr="00020F05">
        <w:rPr>
          <w:rFonts w:ascii="Tahoma" w:hAnsi="Tahoma" w:cs="Tahoma"/>
          <w:sz w:val="24"/>
          <w:szCs w:val="24"/>
        </w:rPr>
        <w:tab/>
      </w:r>
      <w:bookmarkStart w:id="2" w:name="_Hlk78894576"/>
      <w:r w:rsidR="00883A10" w:rsidRPr="00883A10">
        <w:rPr>
          <w:rFonts w:ascii="Tahoma" w:hAnsi="Tahoma" w:cs="Tahoma"/>
          <w:sz w:val="24"/>
          <w:szCs w:val="24"/>
        </w:rPr>
        <w:t xml:space="preserve">Applicants are encouraged to provide any documentation that is available along with discussion within the </w:t>
      </w:r>
      <w:r w:rsidR="00BE6E67">
        <w:rPr>
          <w:rFonts w:ascii="Tahoma" w:hAnsi="Tahoma" w:cs="Tahoma"/>
          <w:sz w:val="24"/>
          <w:szCs w:val="24"/>
        </w:rPr>
        <w:t>P</w:t>
      </w:r>
      <w:r w:rsidR="00BE6E67" w:rsidRPr="00883A10">
        <w:rPr>
          <w:rFonts w:ascii="Tahoma" w:hAnsi="Tahoma" w:cs="Tahoma"/>
          <w:sz w:val="24"/>
          <w:szCs w:val="24"/>
        </w:rPr>
        <w:t>roject</w:t>
      </w:r>
      <w:r w:rsidR="00883A10" w:rsidRPr="00883A10" w:rsidDel="00BE6E67">
        <w:rPr>
          <w:rFonts w:ascii="Tahoma" w:hAnsi="Tahoma" w:cs="Tahoma"/>
          <w:sz w:val="24"/>
          <w:szCs w:val="24"/>
        </w:rPr>
        <w:t xml:space="preserve"> </w:t>
      </w:r>
      <w:r w:rsidR="00BE6E67">
        <w:rPr>
          <w:rFonts w:ascii="Tahoma" w:hAnsi="Tahoma" w:cs="Tahoma"/>
          <w:sz w:val="24"/>
          <w:szCs w:val="24"/>
        </w:rPr>
        <w:t>N</w:t>
      </w:r>
      <w:r w:rsidR="00BE6E67" w:rsidRPr="00883A10">
        <w:rPr>
          <w:rFonts w:ascii="Tahoma" w:hAnsi="Tahoma" w:cs="Tahoma"/>
          <w:sz w:val="24"/>
          <w:szCs w:val="24"/>
        </w:rPr>
        <w:t xml:space="preserve">arrative </w:t>
      </w:r>
      <w:r w:rsidR="00883A10" w:rsidRPr="00883A10">
        <w:rPr>
          <w:rFonts w:ascii="Tahoma" w:hAnsi="Tahoma" w:cs="Tahoma"/>
          <w:sz w:val="24"/>
          <w:szCs w:val="24"/>
        </w:rPr>
        <w:t xml:space="preserve">to help demonstrate the economic viability of the </w:t>
      </w:r>
      <w:r w:rsidR="00883A10">
        <w:rPr>
          <w:rFonts w:ascii="Tahoma" w:hAnsi="Tahoma" w:cs="Tahoma"/>
          <w:sz w:val="24"/>
          <w:szCs w:val="24"/>
        </w:rPr>
        <w:t>a</w:t>
      </w:r>
      <w:r w:rsidR="00883A10" w:rsidRPr="00883A10">
        <w:rPr>
          <w:rFonts w:ascii="Tahoma" w:hAnsi="Tahoma" w:cs="Tahoma"/>
          <w:sz w:val="24"/>
          <w:szCs w:val="24"/>
        </w:rPr>
        <w:t xml:space="preserve">pplicant and </w:t>
      </w:r>
      <w:r w:rsidR="00883A10">
        <w:rPr>
          <w:rFonts w:ascii="Tahoma" w:hAnsi="Tahoma" w:cs="Tahoma"/>
          <w:sz w:val="24"/>
          <w:szCs w:val="24"/>
        </w:rPr>
        <w:t>p</w:t>
      </w:r>
      <w:r w:rsidR="00883A10" w:rsidRPr="00883A10">
        <w:rPr>
          <w:rFonts w:ascii="Tahoma" w:hAnsi="Tahoma" w:cs="Tahoma"/>
          <w:sz w:val="24"/>
          <w:szCs w:val="24"/>
        </w:rPr>
        <w:t>roject.</w:t>
      </w:r>
      <w:r>
        <w:rPr>
          <w:rFonts w:ascii="Tahoma" w:hAnsi="Tahoma" w:cs="Tahoma"/>
          <w:sz w:val="24"/>
          <w:szCs w:val="24"/>
        </w:rPr>
        <w:t xml:space="preserve">  </w:t>
      </w:r>
    </w:p>
    <w:bookmarkEnd w:id="2"/>
    <w:p w14:paraId="7A56EB38" w14:textId="3C0BF225" w:rsidR="007F26C6" w:rsidRDefault="007F26C6" w:rsidP="00F61E37">
      <w:pPr>
        <w:spacing w:after="0" w:line="240" w:lineRule="auto"/>
        <w:ind w:left="720" w:hanging="720"/>
        <w:contextualSpacing/>
        <w:rPr>
          <w:rFonts w:ascii="Tahoma" w:hAnsi="Tahoma" w:cs="Tahoma"/>
          <w:sz w:val="24"/>
          <w:szCs w:val="24"/>
        </w:rPr>
      </w:pPr>
    </w:p>
    <w:p w14:paraId="328CDAC9" w14:textId="3B4133F3" w:rsidR="007F26C6" w:rsidRDefault="007F26C6" w:rsidP="007F26C6">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w:t>
      </w:r>
      <w:r w:rsidR="00883A10">
        <w:rPr>
          <w:rFonts w:ascii="Tahoma" w:hAnsi="Tahoma" w:cs="Tahoma"/>
          <w:b/>
          <w:bCs/>
          <w:sz w:val="24"/>
          <w:szCs w:val="24"/>
        </w:rPr>
        <w:t>5</w:t>
      </w:r>
      <w:r w:rsidRPr="00020F05">
        <w:rPr>
          <w:rFonts w:ascii="Tahoma" w:hAnsi="Tahoma" w:cs="Tahoma"/>
          <w:b/>
          <w:bCs/>
          <w:sz w:val="24"/>
          <w:szCs w:val="24"/>
        </w:rPr>
        <w:t>:</w:t>
      </w:r>
      <w:r w:rsidRPr="00020F05">
        <w:rPr>
          <w:rFonts w:ascii="Tahoma" w:hAnsi="Tahoma" w:cs="Tahoma"/>
          <w:sz w:val="24"/>
          <w:szCs w:val="24"/>
        </w:rPr>
        <w:tab/>
      </w:r>
      <w:r w:rsidR="00883A10" w:rsidRPr="00883A10">
        <w:rPr>
          <w:rFonts w:ascii="Tahoma" w:eastAsia="Times New Roman" w:hAnsi="Tahoma" w:cs="Tahoma"/>
          <w:b/>
          <w:bCs/>
          <w:sz w:val="24"/>
          <w:szCs w:val="24"/>
        </w:rPr>
        <w:t>Page 45 of the manual requests for Applicants to “Describe how the proposed project preserves and/or enhances natural resources etc.” within the context of sustainability. Please advise if there's a particular methodology that CEC recommends to account for this.</w:t>
      </w:r>
    </w:p>
    <w:p w14:paraId="60B21175" w14:textId="77777777" w:rsidR="007F26C6" w:rsidRPr="00020F05" w:rsidRDefault="007F26C6" w:rsidP="007F26C6">
      <w:pPr>
        <w:spacing w:line="240" w:lineRule="auto"/>
        <w:ind w:left="720" w:hanging="720"/>
        <w:contextualSpacing/>
        <w:rPr>
          <w:rFonts w:ascii="Tahoma" w:hAnsi="Tahoma" w:cs="Tahoma"/>
          <w:sz w:val="24"/>
          <w:szCs w:val="24"/>
        </w:rPr>
      </w:pPr>
    </w:p>
    <w:p w14:paraId="2A549770" w14:textId="3133ED6F" w:rsidR="007F26C6" w:rsidRDefault="007F26C6" w:rsidP="007F26C6">
      <w:pPr>
        <w:spacing w:before="240"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1</w:t>
      </w:r>
      <w:r w:rsidR="00883A10">
        <w:rPr>
          <w:rFonts w:ascii="Tahoma" w:hAnsi="Tahoma" w:cs="Tahoma"/>
          <w:sz w:val="24"/>
          <w:szCs w:val="24"/>
        </w:rPr>
        <w:t>5</w:t>
      </w:r>
      <w:r w:rsidRPr="00020F05">
        <w:rPr>
          <w:rFonts w:ascii="Tahoma" w:hAnsi="Tahoma" w:cs="Tahoma"/>
          <w:sz w:val="24"/>
          <w:szCs w:val="24"/>
        </w:rPr>
        <w:t>:</w:t>
      </w:r>
      <w:r w:rsidRPr="00020F05">
        <w:rPr>
          <w:rFonts w:ascii="Tahoma" w:hAnsi="Tahoma" w:cs="Tahoma"/>
          <w:sz w:val="24"/>
          <w:szCs w:val="24"/>
        </w:rPr>
        <w:tab/>
      </w:r>
      <w:bookmarkStart w:id="3" w:name="_Hlk78894598"/>
      <w:r w:rsidR="00883A10" w:rsidRPr="00883A10">
        <w:rPr>
          <w:rFonts w:ascii="Tahoma" w:hAnsi="Tahoma" w:cs="Tahoma"/>
          <w:sz w:val="24"/>
          <w:szCs w:val="24"/>
        </w:rPr>
        <w:t>There is no preferred methodology for this description, but Applicants are encouraged to provide this discussion if applicable.</w:t>
      </w:r>
    </w:p>
    <w:bookmarkEnd w:id="3"/>
    <w:p w14:paraId="31555AE5" w14:textId="0A4266AD" w:rsidR="007F26C6" w:rsidRDefault="007F26C6" w:rsidP="00F61E37">
      <w:pPr>
        <w:spacing w:after="0" w:line="240" w:lineRule="auto"/>
        <w:ind w:left="720" w:hanging="720"/>
        <w:contextualSpacing/>
        <w:rPr>
          <w:rFonts w:ascii="Tahoma" w:hAnsi="Tahoma" w:cs="Tahoma"/>
          <w:sz w:val="24"/>
          <w:szCs w:val="24"/>
        </w:rPr>
      </w:pPr>
    </w:p>
    <w:p w14:paraId="202FE390" w14:textId="698D384F" w:rsidR="00883A10" w:rsidRDefault="00883A10" w:rsidP="00883A10">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16</w:t>
      </w:r>
      <w:r w:rsidRPr="00020F05">
        <w:rPr>
          <w:rFonts w:ascii="Tahoma" w:hAnsi="Tahoma" w:cs="Tahoma"/>
          <w:b/>
          <w:bCs/>
          <w:sz w:val="24"/>
          <w:szCs w:val="24"/>
        </w:rPr>
        <w:t>:</w:t>
      </w:r>
      <w:r w:rsidRPr="00020F05">
        <w:rPr>
          <w:rFonts w:ascii="Tahoma" w:hAnsi="Tahoma" w:cs="Tahoma"/>
          <w:sz w:val="24"/>
          <w:szCs w:val="24"/>
        </w:rPr>
        <w:tab/>
      </w:r>
      <w:r w:rsidR="005A56EA" w:rsidRPr="005A56EA">
        <w:rPr>
          <w:rFonts w:ascii="Tahoma" w:eastAsia="Times New Roman" w:hAnsi="Tahoma" w:cs="Tahoma"/>
          <w:b/>
          <w:bCs/>
          <w:sz w:val="24"/>
          <w:szCs w:val="24"/>
        </w:rPr>
        <w:t>Page 45 of the manual requests for Applicants to “Describe how the project will result in a reduction of short-lived climate pollutants.” Please advise if there's a particular methodology that CEC recommends to account for this.</w:t>
      </w:r>
    </w:p>
    <w:p w14:paraId="6839C202" w14:textId="77777777" w:rsidR="00883A10" w:rsidRPr="00020F05" w:rsidRDefault="00883A10" w:rsidP="00883A10">
      <w:pPr>
        <w:spacing w:line="240" w:lineRule="auto"/>
        <w:ind w:left="720" w:hanging="720"/>
        <w:contextualSpacing/>
        <w:rPr>
          <w:rFonts w:ascii="Tahoma" w:hAnsi="Tahoma" w:cs="Tahoma"/>
          <w:sz w:val="24"/>
          <w:szCs w:val="24"/>
        </w:rPr>
      </w:pPr>
    </w:p>
    <w:p w14:paraId="3069BD29" w14:textId="1DF928EF" w:rsidR="007F26C6" w:rsidRDefault="00883A10" w:rsidP="00883A10">
      <w:pPr>
        <w:spacing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16</w:t>
      </w:r>
      <w:r w:rsidRPr="00020F05">
        <w:rPr>
          <w:rFonts w:ascii="Tahoma" w:hAnsi="Tahoma" w:cs="Tahoma"/>
          <w:sz w:val="24"/>
          <w:szCs w:val="24"/>
        </w:rPr>
        <w:t>:</w:t>
      </w:r>
      <w:r w:rsidRPr="00020F05">
        <w:rPr>
          <w:rFonts w:ascii="Tahoma" w:hAnsi="Tahoma" w:cs="Tahoma"/>
          <w:sz w:val="24"/>
          <w:szCs w:val="24"/>
        </w:rPr>
        <w:tab/>
      </w:r>
      <w:r w:rsidRPr="00883A10">
        <w:rPr>
          <w:rFonts w:ascii="Tahoma" w:hAnsi="Tahoma" w:cs="Tahoma"/>
          <w:sz w:val="24"/>
          <w:szCs w:val="24"/>
        </w:rPr>
        <w:t>There is no preferred methodology for this description, but Applicants are encouraged to provide this discussion if applicable.</w:t>
      </w:r>
    </w:p>
    <w:p w14:paraId="42AB3E44" w14:textId="3E80847B" w:rsidR="00883A10" w:rsidRDefault="00883A10" w:rsidP="00883A10">
      <w:pPr>
        <w:spacing w:after="0" w:line="240" w:lineRule="auto"/>
        <w:ind w:left="720" w:hanging="720"/>
        <w:contextualSpacing/>
        <w:rPr>
          <w:rFonts w:ascii="Tahoma" w:hAnsi="Tahoma" w:cs="Tahoma"/>
          <w:sz w:val="24"/>
          <w:szCs w:val="24"/>
        </w:rPr>
      </w:pPr>
    </w:p>
    <w:p w14:paraId="07E9109E" w14:textId="4201000C" w:rsidR="00883A10" w:rsidRDefault="00883A10" w:rsidP="00883A10">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17</w:t>
      </w:r>
      <w:r w:rsidRPr="00020F05">
        <w:rPr>
          <w:rFonts w:ascii="Tahoma" w:hAnsi="Tahoma" w:cs="Tahoma"/>
          <w:b/>
          <w:bCs/>
          <w:sz w:val="24"/>
          <w:szCs w:val="24"/>
        </w:rPr>
        <w:t>:</w:t>
      </w:r>
      <w:r w:rsidRPr="00020F05">
        <w:rPr>
          <w:rFonts w:ascii="Tahoma" w:hAnsi="Tahoma" w:cs="Tahoma"/>
          <w:sz w:val="24"/>
          <w:szCs w:val="24"/>
        </w:rPr>
        <w:tab/>
      </w:r>
      <w:r w:rsidR="005A56EA" w:rsidRPr="005A56EA">
        <w:rPr>
          <w:rFonts w:ascii="Tahoma" w:eastAsia="Times New Roman" w:hAnsi="Tahoma" w:cs="Tahoma"/>
          <w:b/>
          <w:bCs/>
          <w:sz w:val="24"/>
          <w:szCs w:val="24"/>
        </w:rPr>
        <w:t>Is the cost effectiveness calculation for GHG reduction for the fuel produced compared to diesel or does any emissions from the plant during production need to be accounted for?</w:t>
      </w:r>
    </w:p>
    <w:p w14:paraId="132F35AC" w14:textId="77777777" w:rsidR="00883A10" w:rsidRPr="00020F05" w:rsidRDefault="00883A10" w:rsidP="00883A10">
      <w:pPr>
        <w:spacing w:line="240" w:lineRule="auto"/>
        <w:ind w:left="720" w:hanging="720"/>
        <w:contextualSpacing/>
        <w:rPr>
          <w:rFonts w:ascii="Tahoma" w:hAnsi="Tahoma" w:cs="Tahoma"/>
          <w:sz w:val="24"/>
          <w:szCs w:val="24"/>
        </w:rPr>
      </w:pPr>
    </w:p>
    <w:p w14:paraId="63672AFD" w14:textId="4B6B6AE8" w:rsidR="00883A10" w:rsidRDefault="00883A10" w:rsidP="00883A10">
      <w:pPr>
        <w:spacing w:after="0" w:line="240" w:lineRule="auto"/>
        <w:ind w:left="720" w:hanging="720"/>
        <w:contextualSpacing/>
        <w:rPr>
          <w:rFonts w:ascii="Tahoma" w:hAnsi="Tahoma" w:cs="Tahoma"/>
          <w:sz w:val="24"/>
          <w:szCs w:val="24"/>
        </w:rPr>
      </w:pPr>
      <w:r w:rsidRPr="00020F05">
        <w:rPr>
          <w:rFonts w:ascii="Tahoma" w:hAnsi="Tahoma" w:cs="Tahoma"/>
          <w:sz w:val="24"/>
          <w:szCs w:val="24"/>
        </w:rPr>
        <w:lastRenderedPageBreak/>
        <w:t>A.</w:t>
      </w:r>
      <w:r>
        <w:rPr>
          <w:rFonts w:ascii="Tahoma" w:hAnsi="Tahoma" w:cs="Tahoma"/>
          <w:sz w:val="24"/>
          <w:szCs w:val="24"/>
        </w:rPr>
        <w:t>17</w:t>
      </w:r>
      <w:r w:rsidRPr="00020F05">
        <w:rPr>
          <w:rFonts w:ascii="Tahoma" w:hAnsi="Tahoma" w:cs="Tahoma"/>
          <w:sz w:val="24"/>
          <w:szCs w:val="24"/>
        </w:rPr>
        <w:t>:</w:t>
      </w:r>
      <w:r w:rsidRPr="00020F05">
        <w:rPr>
          <w:rFonts w:ascii="Tahoma" w:hAnsi="Tahoma" w:cs="Tahoma"/>
          <w:sz w:val="24"/>
          <w:szCs w:val="24"/>
        </w:rPr>
        <w:tab/>
      </w:r>
      <w:r w:rsidR="005A56EA" w:rsidRPr="005A56EA">
        <w:rPr>
          <w:rFonts w:ascii="Tahoma" w:hAnsi="Tahoma" w:cs="Tahoma"/>
          <w:sz w:val="24"/>
          <w:szCs w:val="24"/>
        </w:rPr>
        <w:t>Emissions from the production facility should be accounted for in the carbon intensity of the fuel when calculating the annual and 5-year project life GHG reductions.</w:t>
      </w:r>
    </w:p>
    <w:p w14:paraId="72F12357" w14:textId="715C6CCB" w:rsidR="005A56EA" w:rsidRDefault="005A56EA" w:rsidP="00883A10">
      <w:pPr>
        <w:spacing w:after="0" w:line="240" w:lineRule="auto"/>
        <w:ind w:left="720" w:hanging="720"/>
        <w:contextualSpacing/>
        <w:rPr>
          <w:rFonts w:ascii="Tahoma" w:hAnsi="Tahoma" w:cs="Tahoma"/>
          <w:sz w:val="24"/>
          <w:szCs w:val="24"/>
        </w:rPr>
      </w:pPr>
    </w:p>
    <w:p w14:paraId="01C697C5" w14:textId="73C9BC2C" w:rsidR="005A56EA" w:rsidRDefault="005A56EA" w:rsidP="00883A10">
      <w:pPr>
        <w:spacing w:after="0" w:line="240" w:lineRule="auto"/>
        <w:ind w:left="720" w:hanging="720"/>
        <w:contextualSpacing/>
        <w:rPr>
          <w:rFonts w:ascii="Tahoma" w:hAnsi="Tahoma" w:cs="Tahoma"/>
          <w:sz w:val="24"/>
          <w:szCs w:val="24"/>
        </w:rPr>
      </w:pPr>
      <w:r>
        <w:rPr>
          <w:rFonts w:ascii="Tahoma" w:hAnsi="Tahoma" w:cs="Tahoma"/>
          <w:b/>
          <w:sz w:val="24"/>
          <w:szCs w:val="24"/>
          <w:u w:val="single"/>
        </w:rPr>
        <w:t>MISCELLANEOUS</w:t>
      </w:r>
    </w:p>
    <w:p w14:paraId="2FFC3CF4" w14:textId="7ABB2D2F" w:rsidR="00883A10" w:rsidRDefault="00883A10" w:rsidP="00883A10">
      <w:pPr>
        <w:spacing w:after="0" w:line="240" w:lineRule="auto"/>
        <w:ind w:left="720" w:hanging="720"/>
        <w:contextualSpacing/>
        <w:rPr>
          <w:rFonts w:ascii="Tahoma" w:hAnsi="Tahoma" w:cs="Tahoma"/>
          <w:sz w:val="24"/>
          <w:szCs w:val="24"/>
        </w:rPr>
      </w:pPr>
    </w:p>
    <w:p w14:paraId="0CB4D829" w14:textId="45574CFB" w:rsidR="00883A10" w:rsidRDefault="00883A10" w:rsidP="00883A10">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18</w:t>
      </w:r>
      <w:r w:rsidRPr="00020F05">
        <w:rPr>
          <w:rFonts w:ascii="Tahoma" w:hAnsi="Tahoma" w:cs="Tahoma"/>
          <w:b/>
          <w:bCs/>
          <w:sz w:val="24"/>
          <w:szCs w:val="24"/>
        </w:rPr>
        <w:t>:</w:t>
      </w:r>
      <w:r w:rsidRPr="00020F05">
        <w:rPr>
          <w:rFonts w:ascii="Tahoma" w:hAnsi="Tahoma" w:cs="Tahoma"/>
          <w:sz w:val="24"/>
          <w:szCs w:val="24"/>
        </w:rPr>
        <w:tab/>
      </w:r>
      <w:r w:rsidR="005A56EA" w:rsidRPr="005A56EA">
        <w:rPr>
          <w:rFonts w:ascii="Tahoma" w:eastAsia="Times New Roman" w:hAnsi="Tahoma" w:cs="Tahoma"/>
          <w:b/>
          <w:bCs/>
          <w:sz w:val="24"/>
          <w:szCs w:val="24"/>
        </w:rPr>
        <w:t>What is the difference between the “production start date” and the “end date”? How much time should we give while the plant is operational before we provide the end date?</w:t>
      </w:r>
    </w:p>
    <w:p w14:paraId="10D54AAE" w14:textId="77777777" w:rsidR="00883A10" w:rsidRPr="00020F05" w:rsidRDefault="00883A10" w:rsidP="00883A10">
      <w:pPr>
        <w:spacing w:line="240" w:lineRule="auto"/>
        <w:ind w:left="720" w:hanging="720"/>
        <w:contextualSpacing/>
        <w:rPr>
          <w:rFonts w:ascii="Tahoma" w:hAnsi="Tahoma" w:cs="Tahoma"/>
          <w:sz w:val="24"/>
          <w:szCs w:val="24"/>
        </w:rPr>
      </w:pPr>
    </w:p>
    <w:p w14:paraId="79C16E63" w14:textId="595B3DEC" w:rsidR="00883A10" w:rsidRDefault="00883A10" w:rsidP="00883A10">
      <w:pPr>
        <w:spacing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18</w:t>
      </w:r>
      <w:r w:rsidRPr="00020F05">
        <w:rPr>
          <w:rFonts w:ascii="Tahoma" w:hAnsi="Tahoma" w:cs="Tahoma"/>
          <w:sz w:val="24"/>
          <w:szCs w:val="24"/>
        </w:rPr>
        <w:t>:</w:t>
      </w:r>
      <w:r w:rsidRPr="00020F05">
        <w:rPr>
          <w:rFonts w:ascii="Tahoma" w:hAnsi="Tahoma" w:cs="Tahoma"/>
          <w:sz w:val="24"/>
          <w:szCs w:val="24"/>
        </w:rPr>
        <w:tab/>
      </w:r>
      <w:r w:rsidR="006C283A">
        <w:rPr>
          <w:rFonts w:ascii="Tahoma" w:hAnsi="Tahoma" w:cs="Tahoma"/>
          <w:sz w:val="24"/>
          <w:szCs w:val="24"/>
        </w:rPr>
        <w:t xml:space="preserve">The production start date is the date when the facility starts to produce a fuel, while the end date is the formal end of the CEC grant agreement. </w:t>
      </w:r>
      <w:r w:rsidR="005A56EA" w:rsidRPr="005A56EA">
        <w:rPr>
          <w:rFonts w:ascii="Tahoma" w:hAnsi="Tahoma" w:cs="Tahoma"/>
          <w:sz w:val="24"/>
          <w:szCs w:val="24"/>
        </w:rPr>
        <w:t>This solicitation includes a minimum requirement to submit at least 6 months of operational production data in all agreements resulting from this solicitation. Please see Section II.I. of the Solicitation Manual and the Scope of Work Template attachment for more information.</w:t>
      </w:r>
    </w:p>
    <w:p w14:paraId="08C7360D" w14:textId="5D713536" w:rsidR="00883A10" w:rsidRDefault="00883A10" w:rsidP="00883A10">
      <w:pPr>
        <w:spacing w:after="0" w:line="240" w:lineRule="auto"/>
        <w:ind w:left="720" w:hanging="720"/>
        <w:contextualSpacing/>
        <w:rPr>
          <w:rFonts w:ascii="Tahoma" w:hAnsi="Tahoma" w:cs="Tahoma"/>
          <w:sz w:val="24"/>
          <w:szCs w:val="24"/>
        </w:rPr>
      </w:pPr>
    </w:p>
    <w:p w14:paraId="0D2705CA" w14:textId="5F8F254A" w:rsidR="00883A10" w:rsidRDefault="00883A10" w:rsidP="00883A10">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19</w:t>
      </w:r>
      <w:r w:rsidRPr="00020F05">
        <w:rPr>
          <w:rFonts w:ascii="Tahoma" w:hAnsi="Tahoma" w:cs="Tahoma"/>
          <w:b/>
          <w:bCs/>
          <w:sz w:val="24"/>
          <w:szCs w:val="24"/>
        </w:rPr>
        <w:t>:</w:t>
      </w:r>
      <w:r w:rsidRPr="00020F05">
        <w:rPr>
          <w:rFonts w:ascii="Tahoma" w:hAnsi="Tahoma" w:cs="Tahoma"/>
          <w:sz w:val="24"/>
          <w:szCs w:val="24"/>
        </w:rPr>
        <w:tab/>
      </w:r>
      <w:r w:rsidR="009233AB">
        <w:rPr>
          <w:rFonts w:ascii="Tahoma" w:hAnsi="Tahoma" w:cs="Tahoma"/>
          <w:b/>
          <w:bCs/>
          <w:sz w:val="24"/>
          <w:szCs w:val="24"/>
        </w:rPr>
        <w:t xml:space="preserve">On the Full Application Form, </w:t>
      </w:r>
      <w:r w:rsidR="009233AB">
        <w:rPr>
          <w:rFonts w:ascii="Tahoma" w:eastAsia="Times New Roman" w:hAnsi="Tahoma" w:cs="Tahoma"/>
          <w:b/>
          <w:bCs/>
          <w:sz w:val="24"/>
          <w:szCs w:val="24"/>
        </w:rPr>
        <w:t>d</w:t>
      </w:r>
      <w:r w:rsidR="005A56EA" w:rsidRPr="005A56EA">
        <w:rPr>
          <w:rFonts w:ascii="Tahoma" w:eastAsia="Times New Roman" w:hAnsi="Tahoma" w:cs="Tahoma"/>
          <w:b/>
          <w:bCs/>
          <w:sz w:val="24"/>
          <w:szCs w:val="24"/>
        </w:rPr>
        <w:t>o we include subcontractors we are still in negotiations with or do not yet have binding agreements with?</w:t>
      </w:r>
    </w:p>
    <w:p w14:paraId="2D15C00B" w14:textId="77777777" w:rsidR="00883A10" w:rsidRPr="00020F05" w:rsidRDefault="00883A10" w:rsidP="00883A10">
      <w:pPr>
        <w:spacing w:line="240" w:lineRule="auto"/>
        <w:ind w:left="720" w:hanging="720"/>
        <w:contextualSpacing/>
        <w:rPr>
          <w:rFonts w:ascii="Tahoma" w:hAnsi="Tahoma" w:cs="Tahoma"/>
          <w:sz w:val="24"/>
          <w:szCs w:val="24"/>
        </w:rPr>
      </w:pPr>
    </w:p>
    <w:p w14:paraId="5B134410" w14:textId="3E1E393A" w:rsidR="00883A10" w:rsidRDefault="00883A10" w:rsidP="00883A10">
      <w:pPr>
        <w:spacing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1</w:t>
      </w:r>
      <w:r w:rsidR="005A56EA">
        <w:rPr>
          <w:rFonts w:ascii="Tahoma" w:hAnsi="Tahoma" w:cs="Tahoma"/>
          <w:sz w:val="24"/>
          <w:szCs w:val="24"/>
        </w:rPr>
        <w:t>9</w:t>
      </w:r>
      <w:r w:rsidRPr="00020F05">
        <w:rPr>
          <w:rFonts w:ascii="Tahoma" w:hAnsi="Tahoma" w:cs="Tahoma"/>
          <w:sz w:val="24"/>
          <w:szCs w:val="24"/>
        </w:rPr>
        <w:t>:</w:t>
      </w:r>
      <w:r w:rsidRPr="00020F05">
        <w:rPr>
          <w:rFonts w:ascii="Tahoma" w:hAnsi="Tahoma" w:cs="Tahoma"/>
          <w:sz w:val="24"/>
          <w:szCs w:val="24"/>
        </w:rPr>
        <w:tab/>
      </w:r>
      <w:r w:rsidR="009233AB">
        <w:rPr>
          <w:rFonts w:ascii="Tahoma" w:hAnsi="Tahoma" w:cs="Tahoma"/>
          <w:sz w:val="24"/>
          <w:szCs w:val="24"/>
        </w:rPr>
        <w:t>Yes. Applicants should include subcontractors on the Full Application Form and, to the extent possible,</w:t>
      </w:r>
      <w:r w:rsidR="009233AB" w:rsidRPr="69212B4D">
        <w:rPr>
          <w:rFonts w:ascii="Tahoma" w:hAnsi="Tahoma" w:cs="Tahoma"/>
          <w:sz w:val="24"/>
          <w:szCs w:val="24"/>
        </w:rPr>
        <w:t xml:space="preserve"> include verification and documentation for all anticipated subcontractors that will directly support this project regardless of contractual status.</w:t>
      </w:r>
    </w:p>
    <w:p w14:paraId="4600E7E6" w14:textId="2BCD4AA2" w:rsidR="005A56EA" w:rsidRDefault="005A56EA" w:rsidP="00883A10">
      <w:pPr>
        <w:spacing w:after="0" w:line="240" w:lineRule="auto"/>
        <w:ind w:left="720" w:hanging="720"/>
        <w:contextualSpacing/>
        <w:rPr>
          <w:rFonts w:ascii="Tahoma" w:hAnsi="Tahoma" w:cs="Tahoma"/>
          <w:sz w:val="24"/>
          <w:szCs w:val="24"/>
        </w:rPr>
      </w:pPr>
    </w:p>
    <w:p w14:paraId="202D2067" w14:textId="6F2FFE2C" w:rsidR="005A56EA" w:rsidRDefault="005A56EA" w:rsidP="005A56EA">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20</w:t>
      </w:r>
      <w:r w:rsidRPr="00020F05">
        <w:rPr>
          <w:rFonts w:ascii="Tahoma" w:hAnsi="Tahoma" w:cs="Tahoma"/>
          <w:b/>
          <w:bCs/>
          <w:sz w:val="24"/>
          <w:szCs w:val="24"/>
        </w:rPr>
        <w:t>:</w:t>
      </w:r>
      <w:r w:rsidRPr="00020F05">
        <w:rPr>
          <w:rFonts w:ascii="Tahoma" w:hAnsi="Tahoma" w:cs="Tahoma"/>
          <w:sz w:val="24"/>
          <w:szCs w:val="24"/>
        </w:rPr>
        <w:tab/>
      </w:r>
      <w:r w:rsidRPr="005A56EA">
        <w:rPr>
          <w:rFonts w:ascii="Tahoma" w:eastAsia="Times New Roman" w:hAnsi="Tahoma" w:cs="Tahoma"/>
          <w:b/>
          <w:bCs/>
          <w:sz w:val="24"/>
          <w:szCs w:val="24"/>
        </w:rPr>
        <w:t>If we have more than 2 feedstock suppliers, should we insert more lines in the feedstock supplier section?</w:t>
      </w:r>
    </w:p>
    <w:p w14:paraId="7E40D82B" w14:textId="77777777" w:rsidR="005A56EA" w:rsidRPr="00020F05" w:rsidRDefault="005A56EA" w:rsidP="005A56EA">
      <w:pPr>
        <w:spacing w:line="240" w:lineRule="auto"/>
        <w:ind w:left="720" w:hanging="720"/>
        <w:contextualSpacing/>
        <w:rPr>
          <w:rFonts w:ascii="Tahoma" w:hAnsi="Tahoma" w:cs="Tahoma"/>
          <w:sz w:val="24"/>
          <w:szCs w:val="24"/>
        </w:rPr>
      </w:pPr>
    </w:p>
    <w:p w14:paraId="7DB4E7CA" w14:textId="1468AC45" w:rsidR="005A56EA" w:rsidRDefault="005A56EA" w:rsidP="005A56EA">
      <w:pPr>
        <w:spacing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20</w:t>
      </w:r>
      <w:r w:rsidRPr="00020F05">
        <w:rPr>
          <w:rFonts w:ascii="Tahoma" w:hAnsi="Tahoma" w:cs="Tahoma"/>
          <w:sz w:val="24"/>
          <w:szCs w:val="24"/>
        </w:rPr>
        <w:t>:</w:t>
      </w:r>
      <w:r w:rsidRPr="00020F05">
        <w:rPr>
          <w:rFonts w:ascii="Tahoma" w:hAnsi="Tahoma" w:cs="Tahoma"/>
          <w:sz w:val="24"/>
          <w:szCs w:val="24"/>
        </w:rPr>
        <w:tab/>
      </w:r>
      <w:r w:rsidR="00222672">
        <w:rPr>
          <w:rFonts w:ascii="Tahoma" w:hAnsi="Tahoma" w:cs="Tahoma"/>
          <w:sz w:val="24"/>
          <w:szCs w:val="24"/>
        </w:rPr>
        <w:t xml:space="preserve">Yes. </w:t>
      </w:r>
      <w:r w:rsidRPr="005A56EA">
        <w:rPr>
          <w:rFonts w:ascii="Tahoma" w:hAnsi="Tahoma" w:cs="Tahoma"/>
          <w:sz w:val="24"/>
          <w:szCs w:val="24"/>
        </w:rPr>
        <w:t>Applicants may expand the "Applicant's Feedstock Supplier" section of the Full Application Form to add additional feedstock suppliers for the proposed project.</w:t>
      </w:r>
    </w:p>
    <w:p w14:paraId="6D21AB66" w14:textId="3FB94F62" w:rsidR="005A56EA" w:rsidRDefault="005A56EA" w:rsidP="005A56EA">
      <w:pPr>
        <w:spacing w:after="0" w:line="240" w:lineRule="auto"/>
        <w:ind w:left="720" w:hanging="720"/>
        <w:contextualSpacing/>
        <w:rPr>
          <w:rFonts w:ascii="Tahoma" w:hAnsi="Tahoma" w:cs="Tahoma"/>
          <w:sz w:val="24"/>
          <w:szCs w:val="24"/>
        </w:rPr>
      </w:pPr>
    </w:p>
    <w:p w14:paraId="504FAEDD" w14:textId="1188B6EB" w:rsidR="005A56EA" w:rsidRDefault="005A56EA" w:rsidP="005A56EA">
      <w:pPr>
        <w:spacing w:line="240" w:lineRule="auto"/>
        <w:ind w:left="720" w:hanging="720"/>
        <w:contextualSpacing/>
        <w:rPr>
          <w:rFonts w:ascii="Tahoma" w:eastAsia="Times New Roman" w:hAnsi="Tahoma" w:cs="Tahoma"/>
          <w:sz w:val="24"/>
          <w:szCs w:val="24"/>
        </w:rPr>
      </w:pPr>
      <w:r w:rsidRPr="00020F05">
        <w:rPr>
          <w:rFonts w:ascii="Tahoma" w:hAnsi="Tahoma" w:cs="Tahoma"/>
          <w:b/>
          <w:bCs/>
          <w:sz w:val="24"/>
          <w:szCs w:val="24"/>
        </w:rPr>
        <w:t>Q.</w:t>
      </w:r>
      <w:r>
        <w:rPr>
          <w:rFonts w:ascii="Tahoma" w:hAnsi="Tahoma" w:cs="Tahoma"/>
          <w:b/>
          <w:bCs/>
          <w:sz w:val="24"/>
          <w:szCs w:val="24"/>
        </w:rPr>
        <w:t>21</w:t>
      </w:r>
      <w:r w:rsidRPr="00020F05">
        <w:rPr>
          <w:rFonts w:ascii="Tahoma" w:hAnsi="Tahoma" w:cs="Tahoma"/>
          <w:b/>
          <w:bCs/>
          <w:sz w:val="24"/>
          <w:szCs w:val="24"/>
        </w:rPr>
        <w:t>:</w:t>
      </w:r>
      <w:r w:rsidRPr="00020F05">
        <w:rPr>
          <w:rFonts w:ascii="Tahoma" w:hAnsi="Tahoma" w:cs="Tahoma"/>
          <w:sz w:val="24"/>
          <w:szCs w:val="24"/>
        </w:rPr>
        <w:tab/>
      </w:r>
      <w:r w:rsidRPr="005A56EA">
        <w:rPr>
          <w:rFonts w:ascii="Tahoma" w:eastAsia="Times New Roman" w:hAnsi="Tahoma" w:cs="Tahoma"/>
          <w:b/>
          <w:bCs/>
          <w:sz w:val="24"/>
          <w:szCs w:val="24"/>
        </w:rPr>
        <w:t>Should an applicant use CalEnviroScreen 3.0 or CalEnviroScreen 4.0?</w:t>
      </w:r>
    </w:p>
    <w:p w14:paraId="1BF43B77" w14:textId="77777777" w:rsidR="005A56EA" w:rsidRPr="00020F05" w:rsidRDefault="005A56EA" w:rsidP="005A56EA">
      <w:pPr>
        <w:spacing w:line="240" w:lineRule="auto"/>
        <w:ind w:left="720" w:hanging="720"/>
        <w:contextualSpacing/>
        <w:rPr>
          <w:rFonts w:ascii="Tahoma" w:hAnsi="Tahoma" w:cs="Tahoma"/>
          <w:sz w:val="24"/>
          <w:szCs w:val="24"/>
        </w:rPr>
      </w:pPr>
    </w:p>
    <w:p w14:paraId="432728A9" w14:textId="5FA5517D" w:rsidR="005A56EA" w:rsidRPr="00020F05" w:rsidRDefault="005A56EA" w:rsidP="005A56EA">
      <w:pPr>
        <w:spacing w:after="0" w:line="240" w:lineRule="auto"/>
        <w:ind w:left="720" w:hanging="720"/>
        <w:contextualSpacing/>
        <w:rPr>
          <w:rFonts w:ascii="Tahoma" w:hAnsi="Tahoma" w:cs="Tahoma"/>
          <w:sz w:val="24"/>
          <w:szCs w:val="24"/>
        </w:rPr>
      </w:pPr>
      <w:r w:rsidRPr="00020F05">
        <w:rPr>
          <w:rFonts w:ascii="Tahoma" w:hAnsi="Tahoma" w:cs="Tahoma"/>
          <w:sz w:val="24"/>
          <w:szCs w:val="24"/>
        </w:rPr>
        <w:t>A.</w:t>
      </w:r>
      <w:r>
        <w:rPr>
          <w:rFonts w:ascii="Tahoma" w:hAnsi="Tahoma" w:cs="Tahoma"/>
          <w:sz w:val="24"/>
          <w:szCs w:val="24"/>
        </w:rPr>
        <w:t>21</w:t>
      </w:r>
      <w:r w:rsidRPr="00020F05">
        <w:rPr>
          <w:rFonts w:ascii="Tahoma" w:hAnsi="Tahoma" w:cs="Tahoma"/>
          <w:sz w:val="24"/>
          <w:szCs w:val="24"/>
        </w:rPr>
        <w:t>:</w:t>
      </w:r>
      <w:r w:rsidRPr="00020F05">
        <w:rPr>
          <w:rFonts w:ascii="Tahoma" w:hAnsi="Tahoma" w:cs="Tahoma"/>
          <w:sz w:val="24"/>
          <w:szCs w:val="24"/>
        </w:rPr>
        <w:tab/>
      </w:r>
      <w:r w:rsidRPr="005A56EA">
        <w:rPr>
          <w:rFonts w:ascii="Tahoma" w:hAnsi="Tahoma" w:cs="Tahoma"/>
          <w:sz w:val="24"/>
          <w:szCs w:val="24"/>
        </w:rPr>
        <w:t>Applicants should use CalEnviroScreen 3.0 only. CalEnviroScreen 4.0 is currently in draft form and has not yet been finalized. In the event that CalEnviroScreen 4.0 is finalized prior to the full application submission deadline, applicants should still only utilize CalEnviroScreen 3.0.</w:t>
      </w:r>
    </w:p>
    <w:sectPr w:rsidR="005A56EA" w:rsidRPr="00020F05" w:rsidSect="0067557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CA55C" w14:textId="77777777" w:rsidR="002C46BE" w:rsidRDefault="002C46BE" w:rsidP="00A86639">
      <w:pPr>
        <w:spacing w:after="0" w:line="240" w:lineRule="auto"/>
      </w:pPr>
      <w:r>
        <w:separator/>
      </w:r>
    </w:p>
  </w:endnote>
  <w:endnote w:type="continuationSeparator" w:id="0">
    <w:p w14:paraId="77EDA732" w14:textId="77777777" w:rsidR="002C46BE" w:rsidRDefault="002C46BE" w:rsidP="00A86639">
      <w:pPr>
        <w:spacing w:after="0" w:line="240" w:lineRule="auto"/>
      </w:pPr>
      <w:r>
        <w:continuationSeparator/>
      </w:r>
    </w:p>
  </w:endnote>
  <w:endnote w:type="continuationNotice" w:id="1">
    <w:p w14:paraId="307A8B9F" w14:textId="77777777" w:rsidR="002C46BE" w:rsidRDefault="002C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549952"/>
      <w:docPartObj>
        <w:docPartGallery w:val="Page Numbers (Bottom of Page)"/>
        <w:docPartUnique/>
      </w:docPartObj>
    </w:sdtPr>
    <w:sdtEndPr/>
    <w:sdtContent>
      <w:sdt>
        <w:sdtPr>
          <w:id w:val="1728636285"/>
          <w:docPartObj>
            <w:docPartGallery w:val="Page Numbers (Top of Page)"/>
            <w:docPartUnique/>
          </w:docPartObj>
        </w:sdtPr>
        <w:sdtEndPr/>
        <w:sdtContent>
          <w:p w14:paraId="5E43BC7C" w14:textId="697821AB" w:rsidR="00932AEC" w:rsidRDefault="00932A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90E12E" w14:textId="77777777" w:rsidR="00932AEC" w:rsidRDefault="009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4345E" w14:textId="77777777" w:rsidR="002C46BE" w:rsidRDefault="002C46BE" w:rsidP="00A86639">
      <w:pPr>
        <w:spacing w:after="0" w:line="240" w:lineRule="auto"/>
      </w:pPr>
      <w:r>
        <w:separator/>
      </w:r>
    </w:p>
  </w:footnote>
  <w:footnote w:type="continuationSeparator" w:id="0">
    <w:p w14:paraId="7ABF69C4" w14:textId="77777777" w:rsidR="002C46BE" w:rsidRDefault="002C46BE" w:rsidP="00A86639">
      <w:pPr>
        <w:spacing w:after="0" w:line="240" w:lineRule="auto"/>
      </w:pPr>
      <w:r>
        <w:continuationSeparator/>
      </w:r>
    </w:p>
  </w:footnote>
  <w:footnote w:type="continuationNotice" w:id="1">
    <w:p w14:paraId="48C01A41" w14:textId="77777777" w:rsidR="002C46BE" w:rsidRDefault="002C46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0B54"/>
    <w:multiLevelType w:val="hybridMultilevel"/>
    <w:tmpl w:val="6C2437AE"/>
    <w:lvl w:ilvl="0" w:tplc="98DCB02E">
      <w:start w:val="1"/>
      <w:numFmt w:val="bullet"/>
      <w:lvlText w:val=""/>
      <w:lvlJc w:val="left"/>
      <w:pPr>
        <w:ind w:left="720" w:hanging="360"/>
      </w:pPr>
      <w:rPr>
        <w:rFonts w:ascii="Symbol" w:hAnsi="Symbol" w:hint="default"/>
        <w:color w:val="0000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2371823"/>
    <w:multiLevelType w:val="hybridMultilevel"/>
    <w:tmpl w:val="74DCB9BC"/>
    <w:lvl w:ilvl="0" w:tplc="B4966AE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5CB8"/>
    <w:multiLevelType w:val="hybridMultilevel"/>
    <w:tmpl w:val="A6A0F530"/>
    <w:lvl w:ilvl="0" w:tplc="6F72F5BE">
      <w:start w:val="1"/>
      <w:numFmt w:val="decimal"/>
      <w:lvlText w:val="%1."/>
      <w:lvlJc w:val="left"/>
      <w:pPr>
        <w:tabs>
          <w:tab w:val="num" w:pos="720"/>
        </w:tabs>
        <w:ind w:left="720" w:hanging="360"/>
      </w:pPr>
    </w:lvl>
    <w:lvl w:ilvl="1" w:tplc="15FAA112">
      <w:start w:val="1"/>
      <w:numFmt w:val="decimal"/>
      <w:lvlText w:val="%2."/>
      <w:lvlJc w:val="left"/>
      <w:pPr>
        <w:tabs>
          <w:tab w:val="num" w:pos="1440"/>
        </w:tabs>
        <w:ind w:left="1440" w:hanging="360"/>
      </w:pPr>
    </w:lvl>
    <w:lvl w:ilvl="2" w:tplc="B77EDFD8">
      <w:start w:val="1"/>
      <w:numFmt w:val="decimal"/>
      <w:lvlText w:val="%3."/>
      <w:lvlJc w:val="left"/>
      <w:pPr>
        <w:tabs>
          <w:tab w:val="num" w:pos="2160"/>
        </w:tabs>
        <w:ind w:left="2160" w:hanging="360"/>
      </w:pPr>
    </w:lvl>
    <w:lvl w:ilvl="3" w:tplc="F7B805E8">
      <w:start w:val="1"/>
      <w:numFmt w:val="decimal"/>
      <w:lvlText w:val="%4."/>
      <w:lvlJc w:val="left"/>
      <w:pPr>
        <w:tabs>
          <w:tab w:val="num" w:pos="2880"/>
        </w:tabs>
        <w:ind w:left="2880" w:hanging="360"/>
      </w:pPr>
    </w:lvl>
    <w:lvl w:ilvl="4" w:tplc="DDC8FF50">
      <w:start w:val="1"/>
      <w:numFmt w:val="decimal"/>
      <w:lvlText w:val="%5."/>
      <w:lvlJc w:val="left"/>
      <w:pPr>
        <w:tabs>
          <w:tab w:val="num" w:pos="3600"/>
        </w:tabs>
        <w:ind w:left="3600" w:hanging="360"/>
      </w:pPr>
    </w:lvl>
    <w:lvl w:ilvl="5" w:tplc="63AAC58E">
      <w:start w:val="1"/>
      <w:numFmt w:val="decimal"/>
      <w:lvlText w:val="%6."/>
      <w:lvlJc w:val="left"/>
      <w:pPr>
        <w:tabs>
          <w:tab w:val="num" w:pos="4320"/>
        </w:tabs>
        <w:ind w:left="4320" w:hanging="360"/>
      </w:pPr>
    </w:lvl>
    <w:lvl w:ilvl="6" w:tplc="57364C20">
      <w:start w:val="1"/>
      <w:numFmt w:val="decimal"/>
      <w:lvlText w:val="%7."/>
      <w:lvlJc w:val="left"/>
      <w:pPr>
        <w:tabs>
          <w:tab w:val="num" w:pos="5040"/>
        </w:tabs>
        <w:ind w:left="5040" w:hanging="360"/>
      </w:pPr>
    </w:lvl>
    <w:lvl w:ilvl="7" w:tplc="B79675C0">
      <w:start w:val="1"/>
      <w:numFmt w:val="decimal"/>
      <w:lvlText w:val="%8."/>
      <w:lvlJc w:val="left"/>
      <w:pPr>
        <w:tabs>
          <w:tab w:val="num" w:pos="5760"/>
        </w:tabs>
        <w:ind w:left="5760" w:hanging="360"/>
      </w:pPr>
    </w:lvl>
    <w:lvl w:ilvl="8" w:tplc="CB7E1F76">
      <w:start w:val="1"/>
      <w:numFmt w:val="decimal"/>
      <w:lvlText w:val="%9."/>
      <w:lvlJc w:val="left"/>
      <w:pPr>
        <w:tabs>
          <w:tab w:val="num" w:pos="6480"/>
        </w:tabs>
        <w:ind w:left="6480" w:hanging="360"/>
      </w:pPr>
    </w:lvl>
  </w:abstractNum>
  <w:abstractNum w:abstractNumId="3" w15:restartNumberingAfterBreak="0">
    <w:nsid w:val="06FC1CCE"/>
    <w:multiLevelType w:val="hybridMultilevel"/>
    <w:tmpl w:val="C81C53D6"/>
    <w:lvl w:ilvl="0" w:tplc="9F4A899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F5B2E"/>
    <w:multiLevelType w:val="hybridMultilevel"/>
    <w:tmpl w:val="D63EC282"/>
    <w:lvl w:ilvl="0" w:tplc="BE7ADAB4">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C640A"/>
    <w:multiLevelType w:val="hybridMultilevel"/>
    <w:tmpl w:val="4F2CA2E4"/>
    <w:lvl w:ilvl="0" w:tplc="C1B48D46">
      <w:start w:val="1"/>
      <w:numFmt w:val="upperLetter"/>
      <w:lvlText w:val="%1."/>
      <w:lvlJc w:val="left"/>
      <w:pPr>
        <w:ind w:left="915" w:hanging="555"/>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8615D"/>
    <w:multiLevelType w:val="hybridMultilevel"/>
    <w:tmpl w:val="22C8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5271C7"/>
    <w:multiLevelType w:val="hybridMultilevel"/>
    <w:tmpl w:val="B546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1478AC"/>
    <w:multiLevelType w:val="hybridMultilevel"/>
    <w:tmpl w:val="5F908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7221A8"/>
    <w:multiLevelType w:val="hybridMultilevel"/>
    <w:tmpl w:val="A8A42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3A6F12"/>
    <w:multiLevelType w:val="hybridMultilevel"/>
    <w:tmpl w:val="3070A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982336D"/>
    <w:multiLevelType w:val="hybridMultilevel"/>
    <w:tmpl w:val="D85A8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A2128B6"/>
    <w:multiLevelType w:val="hybridMultilevel"/>
    <w:tmpl w:val="FF5859BE"/>
    <w:lvl w:ilvl="0" w:tplc="A1640C1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83DD2"/>
    <w:multiLevelType w:val="hybridMultilevel"/>
    <w:tmpl w:val="3BE2D422"/>
    <w:lvl w:ilvl="0" w:tplc="412CAD9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A2306"/>
    <w:multiLevelType w:val="hybridMultilevel"/>
    <w:tmpl w:val="8D30F7C8"/>
    <w:lvl w:ilvl="0" w:tplc="1862E9F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26322"/>
    <w:multiLevelType w:val="hybridMultilevel"/>
    <w:tmpl w:val="FFFC240C"/>
    <w:lvl w:ilvl="0" w:tplc="E62E0BC2">
      <w:start w:val="1"/>
      <w:numFmt w:val="decimal"/>
      <w:lvlText w:val="%1."/>
      <w:lvlJc w:val="left"/>
      <w:pPr>
        <w:tabs>
          <w:tab w:val="num" w:pos="720"/>
        </w:tabs>
        <w:ind w:left="720" w:hanging="720"/>
      </w:pPr>
    </w:lvl>
    <w:lvl w:ilvl="1" w:tplc="802696B0">
      <w:start w:val="1"/>
      <w:numFmt w:val="decimal"/>
      <w:lvlText w:val="%2."/>
      <w:lvlJc w:val="left"/>
      <w:pPr>
        <w:tabs>
          <w:tab w:val="num" w:pos="1440"/>
        </w:tabs>
        <w:ind w:left="1440" w:hanging="720"/>
      </w:pPr>
    </w:lvl>
    <w:lvl w:ilvl="2" w:tplc="6A9AF4BE">
      <w:start w:val="1"/>
      <w:numFmt w:val="decimal"/>
      <w:lvlText w:val="%3."/>
      <w:lvlJc w:val="left"/>
      <w:pPr>
        <w:tabs>
          <w:tab w:val="num" w:pos="2160"/>
        </w:tabs>
        <w:ind w:left="2160" w:hanging="720"/>
      </w:pPr>
    </w:lvl>
    <w:lvl w:ilvl="3" w:tplc="E65AB148">
      <w:start w:val="1"/>
      <w:numFmt w:val="decimal"/>
      <w:lvlText w:val="%4."/>
      <w:lvlJc w:val="left"/>
      <w:pPr>
        <w:tabs>
          <w:tab w:val="num" w:pos="2880"/>
        </w:tabs>
        <w:ind w:left="2880" w:hanging="720"/>
      </w:pPr>
    </w:lvl>
    <w:lvl w:ilvl="4" w:tplc="83084E7A">
      <w:start w:val="1"/>
      <w:numFmt w:val="decimal"/>
      <w:lvlText w:val="%5."/>
      <w:lvlJc w:val="left"/>
      <w:pPr>
        <w:tabs>
          <w:tab w:val="num" w:pos="3600"/>
        </w:tabs>
        <w:ind w:left="3600" w:hanging="720"/>
      </w:pPr>
    </w:lvl>
    <w:lvl w:ilvl="5" w:tplc="13785F78">
      <w:start w:val="1"/>
      <w:numFmt w:val="decimal"/>
      <w:lvlText w:val="%6."/>
      <w:lvlJc w:val="left"/>
      <w:pPr>
        <w:tabs>
          <w:tab w:val="num" w:pos="4320"/>
        </w:tabs>
        <w:ind w:left="4320" w:hanging="720"/>
      </w:pPr>
    </w:lvl>
    <w:lvl w:ilvl="6" w:tplc="0088BD1E">
      <w:start w:val="1"/>
      <w:numFmt w:val="decimal"/>
      <w:lvlText w:val="%7."/>
      <w:lvlJc w:val="left"/>
      <w:pPr>
        <w:tabs>
          <w:tab w:val="num" w:pos="5040"/>
        </w:tabs>
        <w:ind w:left="5040" w:hanging="720"/>
      </w:pPr>
    </w:lvl>
    <w:lvl w:ilvl="7" w:tplc="AD089024">
      <w:start w:val="1"/>
      <w:numFmt w:val="decimal"/>
      <w:lvlText w:val="%8."/>
      <w:lvlJc w:val="left"/>
      <w:pPr>
        <w:tabs>
          <w:tab w:val="num" w:pos="5760"/>
        </w:tabs>
        <w:ind w:left="5760" w:hanging="720"/>
      </w:pPr>
    </w:lvl>
    <w:lvl w:ilvl="8" w:tplc="37566862">
      <w:start w:val="1"/>
      <w:numFmt w:val="decimal"/>
      <w:lvlText w:val="%9."/>
      <w:lvlJc w:val="left"/>
      <w:pPr>
        <w:tabs>
          <w:tab w:val="num" w:pos="6480"/>
        </w:tabs>
        <w:ind w:left="6480" w:hanging="720"/>
      </w:pPr>
    </w:lvl>
  </w:abstractNum>
  <w:abstractNum w:abstractNumId="16"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D20AA"/>
    <w:multiLevelType w:val="hybridMultilevel"/>
    <w:tmpl w:val="4586962C"/>
    <w:lvl w:ilvl="0" w:tplc="620CCECE">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37637"/>
    <w:multiLevelType w:val="hybridMultilevel"/>
    <w:tmpl w:val="CA9685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FF6744"/>
    <w:multiLevelType w:val="hybridMultilevel"/>
    <w:tmpl w:val="63401018"/>
    <w:lvl w:ilvl="0" w:tplc="34F647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B3DB8"/>
    <w:multiLevelType w:val="hybridMultilevel"/>
    <w:tmpl w:val="CA9685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CE5330"/>
    <w:multiLevelType w:val="hybridMultilevel"/>
    <w:tmpl w:val="9942021C"/>
    <w:lvl w:ilvl="0" w:tplc="F414421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B37E2"/>
    <w:multiLevelType w:val="hybridMultilevel"/>
    <w:tmpl w:val="63203548"/>
    <w:lvl w:ilvl="0" w:tplc="785A842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10D"/>
    <w:multiLevelType w:val="hybridMultilevel"/>
    <w:tmpl w:val="B464F6E8"/>
    <w:lvl w:ilvl="0" w:tplc="47CEFF5A">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E3F9B"/>
    <w:multiLevelType w:val="hybridMultilevel"/>
    <w:tmpl w:val="A6A0F530"/>
    <w:lvl w:ilvl="0" w:tplc="2982E4CE">
      <w:start w:val="1"/>
      <w:numFmt w:val="decimal"/>
      <w:lvlText w:val="%1."/>
      <w:lvlJc w:val="left"/>
      <w:pPr>
        <w:tabs>
          <w:tab w:val="num" w:pos="720"/>
        </w:tabs>
        <w:ind w:left="720" w:hanging="360"/>
      </w:pPr>
    </w:lvl>
    <w:lvl w:ilvl="1" w:tplc="6212AA24">
      <w:start w:val="1"/>
      <w:numFmt w:val="decimal"/>
      <w:lvlText w:val="%2."/>
      <w:lvlJc w:val="left"/>
      <w:pPr>
        <w:tabs>
          <w:tab w:val="num" w:pos="1440"/>
        </w:tabs>
        <w:ind w:left="1440" w:hanging="360"/>
      </w:pPr>
    </w:lvl>
    <w:lvl w:ilvl="2" w:tplc="AD1A4F44">
      <w:start w:val="1"/>
      <w:numFmt w:val="decimal"/>
      <w:lvlText w:val="%3."/>
      <w:lvlJc w:val="left"/>
      <w:pPr>
        <w:tabs>
          <w:tab w:val="num" w:pos="2160"/>
        </w:tabs>
        <w:ind w:left="2160" w:hanging="360"/>
      </w:pPr>
    </w:lvl>
    <w:lvl w:ilvl="3" w:tplc="7AD82D52">
      <w:start w:val="1"/>
      <w:numFmt w:val="decimal"/>
      <w:lvlText w:val="%4."/>
      <w:lvlJc w:val="left"/>
      <w:pPr>
        <w:tabs>
          <w:tab w:val="num" w:pos="2880"/>
        </w:tabs>
        <w:ind w:left="2880" w:hanging="360"/>
      </w:pPr>
    </w:lvl>
    <w:lvl w:ilvl="4" w:tplc="16EA4D16">
      <w:start w:val="1"/>
      <w:numFmt w:val="decimal"/>
      <w:lvlText w:val="%5."/>
      <w:lvlJc w:val="left"/>
      <w:pPr>
        <w:tabs>
          <w:tab w:val="num" w:pos="3600"/>
        </w:tabs>
        <w:ind w:left="3600" w:hanging="360"/>
      </w:pPr>
    </w:lvl>
    <w:lvl w:ilvl="5" w:tplc="BEB8235C">
      <w:start w:val="1"/>
      <w:numFmt w:val="decimal"/>
      <w:lvlText w:val="%6."/>
      <w:lvlJc w:val="left"/>
      <w:pPr>
        <w:tabs>
          <w:tab w:val="num" w:pos="4320"/>
        </w:tabs>
        <w:ind w:left="4320" w:hanging="360"/>
      </w:pPr>
    </w:lvl>
    <w:lvl w:ilvl="6" w:tplc="D32AA244">
      <w:start w:val="1"/>
      <w:numFmt w:val="decimal"/>
      <w:lvlText w:val="%7."/>
      <w:lvlJc w:val="left"/>
      <w:pPr>
        <w:tabs>
          <w:tab w:val="num" w:pos="5040"/>
        </w:tabs>
        <w:ind w:left="5040" w:hanging="360"/>
      </w:pPr>
    </w:lvl>
    <w:lvl w:ilvl="7" w:tplc="8D42B00E">
      <w:start w:val="1"/>
      <w:numFmt w:val="decimal"/>
      <w:lvlText w:val="%8."/>
      <w:lvlJc w:val="left"/>
      <w:pPr>
        <w:tabs>
          <w:tab w:val="num" w:pos="5760"/>
        </w:tabs>
        <w:ind w:left="5760" w:hanging="360"/>
      </w:pPr>
    </w:lvl>
    <w:lvl w:ilvl="8" w:tplc="A3625934">
      <w:start w:val="1"/>
      <w:numFmt w:val="decimal"/>
      <w:lvlText w:val="%9."/>
      <w:lvlJc w:val="left"/>
      <w:pPr>
        <w:tabs>
          <w:tab w:val="num" w:pos="6480"/>
        </w:tabs>
        <w:ind w:left="6480" w:hanging="360"/>
      </w:pPr>
    </w:lvl>
  </w:abstractNum>
  <w:abstractNum w:abstractNumId="25" w15:restartNumberingAfterBreak="0">
    <w:nsid w:val="495B59B4"/>
    <w:multiLevelType w:val="hybridMultilevel"/>
    <w:tmpl w:val="465A58CE"/>
    <w:lvl w:ilvl="0" w:tplc="99420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404D7A"/>
    <w:multiLevelType w:val="hybridMultilevel"/>
    <w:tmpl w:val="CC7C24E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607CA"/>
    <w:multiLevelType w:val="hybridMultilevel"/>
    <w:tmpl w:val="8DB00E46"/>
    <w:lvl w:ilvl="0" w:tplc="E8F4561A">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C26A4"/>
    <w:multiLevelType w:val="hybridMultilevel"/>
    <w:tmpl w:val="3756573A"/>
    <w:lvl w:ilvl="0" w:tplc="215E805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63AB4"/>
    <w:multiLevelType w:val="hybridMultilevel"/>
    <w:tmpl w:val="C6AE983E"/>
    <w:lvl w:ilvl="0" w:tplc="374229F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491E2D"/>
    <w:multiLevelType w:val="hybridMultilevel"/>
    <w:tmpl w:val="15F22280"/>
    <w:lvl w:ilvl="0" w:tplc="D8F25D4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2118E"/>
    <w:multiLevelType w:val="hybridMultilevel"/>
    <w:tmpl w:val="A6A0F530"/>
    <w:lvl w:ilvl="0" w:tplc="0450E388">
      <w:start w:val="1"/>
      <w:numFmt w:val="decimal"/>
      <w:lvlText w:val="%1."/>
      <w:lvlJc w:val="left"/>
      <w:pPr>
        <w:tabs>
          <w:tab w:val="num" w:pos="720"/>
        </w:tabs>
        <w:ind w:left="720" w:hanging="360"/>
      </w:pPr>
    </w:lvl>
    <w:lvl w:ilvl="1" w:tplc="8E64F616">
      <w:start w:val="1"/>
      <w:numFmt w:val="decimal"/>
      <w:lvlText w:val="%2."/>
      <w:lvlJc w:val="left"/>
      <w:pPr>
        <w:tabs>
          <w:tab w:val="num" w:pos="1440"/>
        </w:tabs>
        <w:ind w:left="1440" w:hanging="360"/>
      </w:pPr>
    </w:lvl>
    <w:lvl w:ilvl="2" w:tplc="5B7896AC">
      <w:start w:val="1"/>
      <w:numFmt w:val="decimal"/>
      <w:lvlText w:val="%3."/>
      <w:lvlJc w:val="left"/>
      <w:pPr>
        <w:tabs>
          <w:tab w:val="num" w:pos="2160"/>
        </w:tabs>
        <w:ind w:left="2160" w:hanging="360"/>
      </w:pPr>
    </w:lvl>
    <w:lvl w:ilvl="3" w:tplc="E4EE0C2E">
      <w:start w:val="1"/>
      <w:numFmt w:val="decimal"/>
      <w:lvlText w:val="%4."/>
      <w:lvlJc w:val="left"/>
      <w:pPr>
        <w:tabs>
          <w:tab w:val="num" w:pos="2880"/>
        </w:tabs>
        <w:ind w:left="2880" w:hanging="360"/>
      </w:pPr>
    </w:lvl>
    <w:lvl w:ilvl="4" w:tplc="9E98AAB8">
      <w:start w:val="1"/>
      <w:numFmt w:val="decimal"/>
      <w:lvlText w:val="%5."/>
      <w:lvlJc w:val="left"/>
      <w:pPr>
        <w:tabs>
          <w:tab w:val="num" w:pos="3600"/>
        </w:tabs>
        <w:ind w:left="3600" w:hanging="360"/>
      </w:pPr>
    </w:lvl>
    <w:lvl w:ilvl="5" w:tplc="D6C60C44">
      <w:start w:val="1"/>
      <w:numFmt w:val="decimal"/>
      <w:lvlText w:val="%6."/>
      <w:lvlJc w:val="left"/>
      <w:pPr>
        <w:tabs>
          <w:tab w:val="num" w:pos="4320"/>
        </w:tabs>
        <w:ind w:left="4320" w:hanging="360"/>
      </w:pPr>
    </w:lvl>
    <w:lvl w:ilvl="6" w:tplc="CFA6BD44">
      <w:start w:val="1"/>
      <w:numFmt w:val="decimal"/>
      <w:lvlText w:val="%7."/>
      <w:lvlJc w:val="left"/>
      <w:pPr>
        <w:tabs>
          <w:tab w:val="num" w:pos="5040"/>
        </w:tabs>
        <w:ind w:left="5040" w:hanging="360"/>
      </w:pPr>
    </w:lvl>
    <w:lvl w:ilvl="7" w:tplc="80968BE6">
      <w:start w:val="1"/>
      <w:numFmt w:val="decimal"/>
      <w:lvlText w:val="%8."/>
      <w:lvlJc w:val="left"/>
      <w:pPr>
        <w:tabs>
          <w:tab w:val="num" w:pos="5760"/>
        </w:tabs>
        <w:ind w:left="5760" w:hanging="360"/>
      </w:pPr>
    </w:lvl>
    <w:lvl w:ilvl="8" w:tplc="6D222722">
      <w:start w:val="1"/>
      <w:numFmt w:val="decimal"/>
      <w:lvlText w:val="%9."/>
      <w:lvlJc w:val="left"/>
      <w:pPr>
        <w:tabs>
          <w:tab w:val="num" w:pos="6480"/>
        </w:tabs>
        <w:ind w:left="6480" w:hanging="360"/>
      </w:pPr>
    </w:lvl>
  </w:abstractNum>
  <w:abstractNum w:abstractNumId="32" w15:restartNumberingAfterBreak="0">
    <w:nsid w:val="5AEF4A5F"/>
    <w:multiLevelType w:val="hybridMultilevel"/>
    <w:tmpl w:val="7074AA24"/>
    <w:lvl w:ilvl="0" w:tplc="8988C2B0">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03850"/>
    <w:multiLevelType w:val="hybridMultilevel"/>
    <w:tmpl w:val="01A2F974"/>
    <w:lvl w:ilvl="0" w:tplc="AC4ED7C4">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310A09"/>
    <w:multiLevelType w:val="hybridMultilevel"/>
    <w:tmpl w:val="14E26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09E52B2"/>
    <w:multiLevelType w:val="hybridMultilevel"/>
    <w:tmpl w:val="1C182370"/>
    <w:lvl w:ilvl="0" w:tplc="182A4A5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D0137"/>
    <w:multiLevelType w:val="hybridMultilevel"/>
    <w:tmpl w:val="0D84E1C0"/>
    <w:lvl w:ilvl="0" w:tplc="3DF89DC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B2AFB"/>
    <w:multiLevelType w:val="hybridMultilevel"/>
    <w:tmpl w:val="67BE483A"/>
    <w:lvl w:ilvl="0" w:tplc="4308FB9E">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C66B9"/>
    <w:multiLevelType w:val="hybridMultilevel"/>
    <w:tmpl w:val="C7FE1276"/>
    <w:lvl w:ilvl="0" w:tplc="583C50E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20389A"/>
    <w:multiLevelType w:val="hybridMultilevel"/>
    <w:tmpl w:val="894EE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8727E"/>
    <w:multiLevelType w:val="hybridMultilevel"/>
    <w:tmpl w:val="58622C7C"/>
    <w:lvl w:ilvl="0" w:tplc="B2784E9E">
      <w:start w:val="1"/>
      <w:numFmt w:val="upperLetter"/>
      <w:lvlText w:val="%1."/>
      <w:lvlJc w:val="left"/>
      <w:pPr>
        <w:ind w:left="915" w:hanging="55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63CA9"/>
    <w:multiLevelType w:val="hybridMultilevel"/>
    <w:tmpl w:val="61B4A344"/>
    <w:lvl w:ilvl="0" w:tplc="6FA2F68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A82D8E"/>
    <w:multiLevelType w:val="hybridMultilevel"/>
    <w:tmpl w:val="A6A0F530"/>
    <w:lvl w:ilvl="0" w:tplc="4F8C45BC">
      <w:start w:val="1"/>
      <w:numFmt w:val="decimal"/>
      <w:lvlText w:val="%1."/>
      <w:lvlJc w:val="left"/>
      <w:pPr>
        <w:tabs>
          <w:tab w:val="num" w:pos="720"/>
        </w:tabs>
        <w:ind w:left="720" w:hanging="360"/>
      </w:pPr>
    </w:lvl>
    <w:lvl w:ilvl="1" w:tplc="966E85DC">
      <w:start w:val="1"/>
      <w:numFmt w:val="decimal"/>
      <w:lvlText w:val="%2."/>
      <w:lvlJc w:val="left"/>
      <w:pPr>
        <w:tabs>
          <w:tab w:val="num" w:pos="1440"/>
        </w:tabs>
        <w:ind w:left="1440" w:hanging="360"/>
      </w:pPr>
    </w:lvl>
    <w:lvl w:ilvl="2" w:tplc="AABA5444">
      <w:start w:val="1"/>
      <w:numFmt w:val="decimal"/>
      <w:lvlText w:val="%3."/>
      <w:lvlJc w:val="left"/>
      <w:pPr>
        <w:tabs>
          <w:tab w:val="num" w:pos="2160"/>
        </w:tabs>
        <w:ind w:left="2160" w:hanging="360"/>
      </w:pPr>
    </w:lvl>
    <w:lvl w:ilvl="3" w:tplc="183C3BE0">
      <w:start w:val="1"/>
      <w:numFmt w:val="decimal"/>
      <w:lvlText w:val="%4."/>
      <w:lvlJc w:val="left"/>
      <w:pPr>
        <w:tabs>
          <w:tab w:val="num" w:pos="2880"/>
        </w:tabs>
        <w:ind w:left="2880" w:hanging="360"/>
      </w:pPr>
    </w:lvl>
    <w:lvl w:ilvl="4" w:tplc="7B96CC74">
      <w:start w:val="1"/>
      <w:numFmt w:val="decimal"/>
      <w:lvlText w:val="%5."/>
      <w:lvlJc w:val="left"/>
      <w:pPr>
        <w:tabs>
          <w:tab w:val="num" w:pos="3600"/>
        </w:tabs>
        <w:ind w:left="3600" w:hanging="360"/>
      </w:pPr>
    </w:lvl>
    <w:lvl w:ilvl="5" w:tplc="2808467E">
      <w:start w:val="1"/>
      <w:numFmt w:val="decimal"/>
      <w:lvlText w:val="%6."/>
      <w:lvlJc w:val="left"/>
      <w:pPr>
        <w:tabs>
          <w:tab w:val="num" w:pos="4320"/>
        </w:tabs>
        <w:ind w:left="4320" w:hanging="360"/>
      </w:pPr>
    </w:lvl>
    <w:lvl w:ilvl="6" w:tplc="CFC413DC">
      <w:start w:val="1"/>
      <w:numFmt w:val="decimal"/>
      <w:lvlText w:val="%7."/>
      <w:lvlJc w:val="left"/>
      <w:pPr>
        <w:tabs>
          <w:tab w:val="num" w:pos="5040"/>
        </w:tabs>
        <w:ind w:left="5040" w:hanging="360"/>
      </w:pPr>
    </w:lvl>
    <w:lvl w:ilvl="7" w:tplc="3782C80C">
      <w:start w:val="1"/>
      <w:numFmt w:val="decimal"/>
      <w:lvlText w:val="%8."/>
      <w:lvlJc w:val="left"/>
      <w:pPr>
        <w:tabs>
          <w:tab w:val="num" w:pos="5760"/>
        </w:tabs>
        <w:ind w:left="5760" w:hanging="360"/>
      </w:pPr>
    </w:lvl>
    <w:lvl w:ilvl="8" w:tplc="063682D0">
      <w:start w:val="1"/>
      <w:numFmt w:val="decimal"/>
      <w:lvlText w:val="%9."/>
      <w:lvlJc w:val="left"/>
      <w:pPr>
        <w:tabs>
          <w:tab w:val="num" w:pos="6480"/>
        </w:tabs>
        <w:ind w:left="6480" w:hanging="360"/>
      </w:pPr>
    </w:lvl>
  </w:abstractNum>
  <w:abstractNum w:abstractNumId="43" w15:restartNumberingAfterBreak="0">
    <w:nsid w:val="7B966F7B"/>
    <w:multiLevelType w:val="hybridMultilevel"/>
    <w:tmpl w:val="FFE0D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F41AE3"/>
    <w:multiLevelType w:val="hybridMultilevel"/>
    <w:tmpl w:val="376A2FDE"/>
    <w:lvl w:ilvl="0" w:tplc="E85A69D2">
      <w:start w:val="1"/>
      <w:numFmt w:val="decimal"/>
      <w:lvlText w:val="%1."/>
      <w:lvlJc w:val="left"/>
      <w:pPr>
        <w:ind w:left="720" w:hanging="360"/>
      </w:pPr>
      <w:rPr>
        <w:rFonts w:hint="default"/>
        <w:i/>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A29D4"/>
    <w:multiLevelType w:val="hybridMultilevel"/>
    <w:tmpl w:val="AB021D0C"/>
    <w:lvl w:ilvl="0" w:tplc="070007CE">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31"/>
  </w:num>
  <w:num w:numId="9">
    <w:abstractNumId w:val="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4"/>
  </w:num>
  <w:num w:numId="17">
    <w:abstractNumId w:val="4"/>
  </w:num>
  <w:num w:numId="18">
    <w:abstractNumId w:val="19"/>
  </w:num>
  <w:num w:numId="19">
    <w:abstractNumId w:val="29"/>
  </w:num>
  <w:num w:numId="20">
    <w:abstractNumId w:val="45"/>
  </w:num>
  <w:num w:numId="21">
    <w:abstractNumId w:val="14"/>
  </w:num>
  <w:num w:numId="22">
    <w:abstractNumId w:val="36"/>
  </w:num>
  <w:num w:numId="23">
    <w:abstractNumId w:val="35"/>
  </w:num>
  <w:num w:numId="24">
    <w:abstractNumId w:val="3"/>
  </w:num>
  <w:num w:numId="25">
    <w:abstractNumId w:val="32"/>
  </w:num>
  <w:num w:numId="26">
    <w:abstractNumId w:val="37"/>
  </w:num>
  <w:num w:numId="27">
    <w:abstractNumId w:val="33"/>
  </w:num>
  <w:num w:numId="28">
    <w:abstractNumId w:val="23"/>
  </w:num>
  <w:num w:numId="29">
    <w:abstractNumId w:val="30"/>
  </w:num>
  <w:num w:numId="30">
    <w:abstractNumId w:val="38"/>
  </w:num>
  <w:num w:numId="31">
    <w:abstractNumId w:val="1"/>
  </w:num>
  <w:num w:numId="32">
    <w:abstractNumId w:val="17"/>
  </w:num>
  <w:num w:numId="33">
    <w:abstractNumId w:val="13"/>
  </w:num>
  <w:num w:numId="34">
    <w:abstractNumId w:val="27"/>
  </w:num>
  <w:num w:numId="35">
    <w:abstractNumId w:val="40"/>
  </w:num>
  <w:num w:numId="36">
    <w:abstractNumId w:val="22"/>
  </w:num>
  <w:num w:numId="37">
    <w:abstractNumId w:val="28"/>
  </w:num>
  <w:num w:numId="38">
    <w:abstractNumId w:val="12"/>
  </w:num>
  <w:num w:numId="39">
    <w:abstractNumId w:val="41"/>
  </w:num>
  <w:num w:numId="40">
    <w:abstractNumId w:val="21"/>
  </w:num>
  <w:num w:numId="41">
    <w:abstractNumId w:val="5"/>
  </w:num>
  <w:num w:numId="42">
    <w:abstractNumId w:val="2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59"/>
    <w:rsid w:val="0000092B"/>
    <w:rsid w:val="00002A2F"/>
    <w:rsid w:val="00004A5C"/>
    <w:rsid w:val="00006B10"/>
    <w:rsid w:val="00016F89"/>
    <w:rsid w:val="000177D2"/>
    <w:rsid w:val="000179E4"/>
    <w:rsid w:val="00020F05"/>
    <w:rsid w:val="00022211"/>
    <w:rsid w:val="00022B52"/>
    <w:rsid w:val="00025F13"/>
    <w:rsid w:val="00026F30"/>
    <w:rsid w:val="00027B29"/>
    <w:rsid w:val="00031D24"/>
    <w:rsid w:val="00034B88"/>
    <w:rsid w:val="00044073"/>
    <w:rsid w:val="000467CB"/>
    <w:rsid w:val="00053812"/>
    <w:rsid w:val="00054523"/>
    <w:rsid w:val="00056C57"/>
    <w:rsid w:val="00063BBB"/>
    <w:rsid w:val="0006605A"/>
    <w:rsid w:val="000706E7"/>
    <w:rsid w:val="00071BD5"/>
    <w:rsid w:val="0007356E"/>
    <w:rsid w:val="0007695A"/>
    <w:rsid w:val="00077905"/>
    <w:rsid w:val="00080B2B"/>
    <w:rsid w:val="00082B7A"/>
    <w:rsid w:val="000867DD"/>
    <w:rsid w:val="00086CD4"/>
    <w:rsid w:val="00093840"/>
    <w:rsid w:val="000A0679"/>
    <w:rsid w:val="000A261E"/>
    <w:rsid w:val="000A2CB8"/>
    <w:rsid w:val="000B5124"/>
    <w:rsid w:val="000C0671"/>
    <w:rsid w:val="000C3349"/>
    <w:rsid w:val="000C581A"/>
    <w:rsid w:val="000D3908"/>
    <w:rsid w:val="000D3CA7"/>
    <w:rsid w:val="000D4492"/>
    <w:rsid w:val="000D6A59"/>
    <w:rsid w:val="000D7605"/>
    <w:rsid w:val="000E18EF"/>
    <w:rsid w:val="000E3376"/>
    <w:rsid w:val="000E63AA"/>
    <w:rsid w:val="000E7293"/>
    <w:rsid w:val="000F006C"/>
    <w:rsid w:val="000F443D"/>
    <w:rsid w:val="000F54F2"/>
    <w:rsid w:val="000F6476"/>
    <w:rsid w:val="000F6AE4"/>
    <w:rsid w:val="000F6B43"/>
    <w:rsid w:val="00100E4B"/>
    <w:rsid w:val="0010155F"/>
    <w:rsid w:val="00101ED1"/>
    <w:rsid w:val="00103CB4"/>
    <w:rsid w:val="0011245E"/>
    <w:rsid w:val="00115911"/>
    <w:rsid w:val="001160FF"/>
    <w:rsid w:val="001230E6"/>
    <w:rsid w:val="0012414F"/>
    <w:rsid w:val="00124C0A"/>
    <w:rsid w:val="001324F0"/>
    <w:rsid w:val="00132C17"/>
    <w:rsid w:val="00137D61"/>
    <w:rsid w:val="0014154C"/>
    <w:rsid w:val="00141DDB"/>
    <w:rsid w:val="00142ADC"/>
    <w:rsid w:val="00143E37"/>
    <w:rsid w:val="00144F5C"/>
    <w:rsid w:val="001462F5"/>
    <w:rsid w:val="0014662D"/>
    <w:rsid w:val="00152110"/>
    <w:rsid w:val="00152943"/>
    <w:rsid w:val="0015521D"/>
    <w:rsid w:val="001553FE"/>
    <w:rsid w:val="0015744D"/>
    <w:rsid w:val="00166159"/>
    <w:rsid w:val="001663AF"/>
    <w:rsid w:val="00171C26"/>
    <w:rsid w:val="00174D2D"/>
    <w:rsid w:val="00176D53"/>
    <w:rsid w:val="00180E7E"/>
    <w:rsid w:val="00180E96"/>
    <w:rsid w:val="001820D2"/>
    <w:rsid w:val="001826AA"/>
    <w:rsid w:val="00184138"/>
    <w:rsid w:val="0018687A"/>
    <w:rsid w:val="00190055"/>
    <w:rsid w:val="00191A31"/>
    <w:rsid w:val="00194E85"/>
    <w:rsid w:val="00195588"/>
    <w:rsid w:val="001A16FC"/>
    <w:rsid w:val="001A1F1E"/>
    <w:rsid w:val="001A5A0B"/>
    <w:rsid w:val="001A6F70"/>
    <w:rsid w:val="001B4B8D"/>
    <w:rsid w:val="001B66DA"/>
    <w:rsid w:val="001B68BE"/>
    <w:rsid w:val="001B73C8"/>
    <w:rsid w:val="001C490D"/>
    <w:rsid w:val="001C53A2"/>
    <w:rsid w:val="001D4D86"/>
    <w:rsid w:val="001D7F12"/>
    <w:rsid w:val="001E49D8"/>
    <w:rsid w:val="001E768E"/>
    <w:rsid w:val="001F07AC"/>
    <w:rsid w:val="001F0F12"/>
    <w:rsid w:val="001F3BF0"/>
    <w:rsid w:val="001F4E8F"/>
    <w:rsid w:val="001F7021"/>
    <w:rsid w:val="002034B5"/>
    <w:rsid w:val="00204C49"/>
    <w:rsid w:val="00205D6B"/>
    <w:rsid w:val="0021189B"/>
    <w:rsid w:val="00213A9D"/>
    <w:rsid w:val="00222672"/>
    <w:rsid w:val="00223875"/>
    <w:rsid w:val="0022756F"/>
    <w:rsid w:val="00227AAC"/>
    <w:rsid w:val="00227E14"/>
    <w:rsid w:val="00235D2F"/>
    <w:rsid w:val="00240601"/>
    <w:rsid w:val="0024339D"/>
    <w:rsid w:val="00244923"/>
    <w:rsid w:val="00251702"/>
    <w:rsid w:val="00253C3C"/>
    <w:rsid w:val="00255040"/>
    <w:rsid w:val="00263D4D"/>
    <w:rsid w:val="00266758"/>
    <w:rsid w:val="00267CA7"/>
    <w:rsid w:val="002735AC"/>
    <w:rsid w:val="00275C34"/>
    <w:rsid w:val="00280553"/>
    <w:rsid w:val="00281596"/>
    <w:rsid w:val="00283D66"/>
    <w:rsid w:val="002851C2"/>
    <w:rsid w:val="00285CD5"/>
    <w:rsid w:val="00286CC7"/>
    <w:rsid w:val="00291707"/>
    <w:rsid w:val="002919A5"/>
    <w:rsid w:val="00295B46"/>
    <w:rsid w:val="00296412"/>
    <w:rsid w:val="002A1DCC"/>
    <w:rsid w:val="002A5455"/>
    <w:rsid w:val="002B076C"/>
    <w:rsid w:val="002B12F2"/>
    <w:rsid w:val="002B4208"/>
    <w:rsid w:val="002B458E"/>
    <w:rsid w:val="002B4C92"/>
    <w:rsid w:val="002B65DA"/>
    <w:rsid w:val="002C46BE"/>
    <w:rsid w:val="002C79D6"/>
    <w:rsid w:val="002D0446"/>
    <w:rsid w:val="002D08FF"/>
    <w:rsid w:val="002D0A10"/>
    <w:rsid w:val="002D7D21"/>
    <w:rsid w:val="002E04B6"/>
    <w:rsid w:val="002E3998"/>
    <w:rsid w:val="002E3C8C"/>
    <w:rsid w:val="002E5E76"/>
    <w:rsid w:val="002E7FEA"/>
    <w:rsid w:val="002F40D9"/>
    <w:rsid w:val="002F5EAE"/>
    <w:rsid w:val="003042C3"/>
    <w:rsid w:val="003074A0"/>
    <w:rsid w:val="00307A7A"/>
    <w:rsid w:val="0031119C"/>
    <w:rsid w:val="00312B86"/>
    <w:rsid w:val="003141EF"/>
    <w:rsid w:val="00314B70"/>
    <w:rsid w:val="00317828"/>
    <w:rsid w:val="00322175"/>
    <w:rsid w:val="00323252"/>
    <w:rsid w:val="003321A2"/>
    <w:rsid w:val="00332752"/>
    <w:rsid w:val="00333D2C"/>
    <w:rsid w:val="003364F7"/>
    <w:rsid w:val="00336F3D"/>
    <w:rsid w:val="00340849"/>
    <w:rsid w:val="003457F4"/>
    <w:rsid w:val="0035424B"/>
    <w:rsid w:val="00355DCA"/>
    <w:rsid w:val="00356A8D"/>
    <w:rsid w:val="00362456"/>
    <w:rsid w:val="0036406A"/>
    <w:rsid w:val="003653A9"/>
    <w:rsid w:val="003728EA"/>
    <w:rsid w:val="0037454B"/>
    <w:rsid w:val="003803A5"/>
    <w:rsid w:val="00381968"/>
    <w:rsid w:val="00381E96"/>
    <w:rsid w:val="0038490F"/>
    <w:rsid w:val="0038505D"/>
    <w:rsid w:val="00387E1C"/>
    <w:rsid w:val="00393ED6"/>
    <w:rsid w:val="00394CE9"/>
    <w:rsid w:val="00394D1D"/>
    <w:rsid w:val="003A35D5"/>
    <w:rsid w:val="003A7440"/>
    <w:rsid w:val="003A7B21"/>
    <w:rsid w:val="003A7E3A"/>
    <w:rsid w:val="003A7F09"/>
    <w:rsid w:val="003B0C10"/>
    <w:rsid w:val="003B2168"/>
    <w:rsid w:val="003B5DA8"/>
    <w:rsid w:val="003B6CCD"/>
    <w:rsid w:val="003C1CEB"/>
    <w:rsid w:val="003C2865"/>
    <w:rsid w:val="003C355F"/>
    <w:rsid w:val="003C4EA2"/>
    <w:rsid w:val="003E1621"/>
    <w:rsid w:val="003E335E"/>
    <w:rsid w:val="003E60D2"/>
    <w:rsid w:val="003F3DAE"/>
    <w:rsid w:val="003F72A9"/>
    <w:rsid w:val="003F7582"/>
    <w:rsid w:val="003F7D50"/>
    <w:rsid w:val="004009BB"/>
    <w:rsid w:val="004026E1"/>
    <w:rsid w:val="004052C5"/>
    <w:rsid w:val="0041001B"/>
    <w:rsid w:val="00413E07"/>
    <w:rsid w:val="00421838"/>
    <w:rsid w:val="00425488"/>
    <w:rsid w:val="00426E34"/>
    <w:rsid w:val="00426FF9"/>
    <w:rsid w:val="0042754E"/>
    <w:rsid w:val="00427686"/>
    <w:rsid w:val="00430169"/>
    <w:rsid w:val="0043043A"/>
    <w:rsid w:val="0043075E"/>
    <w:rsid w:val="00434F52"/>
    <w:rsid w:val="004356E6"/>
    <w:rsid w:val="00435F7E"/>
    <w:rsid w:val="004424CD"/>
    <w:rsid w:val="004435C0"/>
    <w:rsid w:val="00444467"/>
    <w:rsid w:val="004446EB"/>
    <w:rsid w:val="00450B30"/>
    <w:rsid w:val="00454303"/>
    <w:rsid w:val="00454338"/>
    <w:rsid w:val="00460F65"/>
    <w:rsid w:val="00461AF9"/>
    <w:rsid w:val="00462E9D"/>
    <w:rsid w:val="004639C8"/>
    <w:rsid w:val="00465BD4"/>
    <w:rsid w:val="00471929"/>
    <w:rsid w:val="00471A65"/>
    <w:rsid w:val="00473AAA"/>
    <w:rsid w:val="00474984"/>
    <w:rsid w:val="00483AC7"/>
    <w:rsid w:val="004840A6"/>
    <w:rsid w:val="0048484D"/>
    <w:rsid w:val="004860ED"/>
    <w:rsid w:val="00486589"/>
    <w:rsid w:val="00490475"/>
    <w:rsid w:val="00490F89"/>
    <w:rsid w:val="00491F49"/>
    <w:rsid w:val="004971F9"/>
    <w:rsid w:val="004A1313"/>
    <w:rsid w:val="004A21F9"/>
    <w:rsid w:val="004A2776"/>
    <w:rsid w:val="004A414D"/>
    <w:rsid w:val="004A5CB4"/>
    <w:rsid w:val="004A63C4"/>
    <w:rsid w:val="004A7640"/>
    <w:rsid w:val="004B05FB"/>
    <w:rsid w:val="004B2A3D"/>
    <w:rsid w:val="004B52E9"/>
    <w:rsid w:val="004C615E"/>
    <w:rsid w:val="004C69C6"/>
    <w:rsid w:val="004D0247"/>
    <w:rsid w:val="004D1D18"/>
    <w:rsid w:val="004D336D"/>
    <w:rsid w:val="004D33F1"/>
    <w:rsid w:val="004D400D"/>
    <w:rsid w:val="004D580B"/>
    <w:rsid w:val="004F2DE3"/>
    <w:rsid w:val="004F387A"/>
    <w:rsid w:val="004F65BA"/>
    <w:rsid w:val="004F6A22"/>
    <w:rsid w:val="004F7C6B"/>
    <w:rsid w:val="00500C59"/>
    <w:rsid w:val="00501FDB"/>
    <w:rsid w:val="00502FD7"/>
    <w:rsid w:val="00505136"/>
    <w:rsid w:val="00506504"/>
    <w:rsid w:val="00506B3F"/>
    <w:rsid w:val="00506C28"/>
    <w:rsid w:val="00507A39"/>
    <w:rsid w:val="00511B2F"/>
    <w:rsid w:val="00511DE1"/>
    <w:rsid w:val="005258FD"/>
    <w:rsid w:val="00531DC5"/>
    <w:rsid w:val="005360C1"/>
    <w:rsid w:val="0054036B"/>
    <w:rsid w:val="00541749"/>
    <w:rsid w:val="0054238D"/>
    <w:rsid w:val="00546F39"/>
    <w:rsid w:val="005511D4"/>
    <w:rsid w:val="00551EF3"/>
    <w:rsid w:val="0055486C"/>
    <w:rsid w:val="0056114B"/>
    <w:rsid w:val="00563645"/>
    <w:rsid w:val="00563F2E"/>
    <w:rsid w:val="005707C6"/>
    <w:rsid w:val="00572864"/>
    <w:rsid w:val="00573BA3"/>
    <w:rsid w:val="005744D3"/>
    <w:rsid w:val="00584CD3"/>
    <w:rsid w:val="00586B04"/>
    <w:rsid w:val="00586C35"/>
    <w:rsid w:val="00586D42"/>
    <w:rsid w:val="00587DDB"/>
    <w:rsid w:val="00592D45"/>
    <w:rsid w:val="005952B6"/>
    <w:rsid w:val="00596CC2"/>
    <w:rsid w:val="005A29EA"/>
    <w:rsid w:val="005A35F0"/>
    <w:rsid w:val="005A4796"/>
    <w:rsid w:val="005A56EA"/>
    <w:rsid w:val="005A6CD1"/>
    <w:rsid w:val="005B0F1D"/>
    <w:rsid w:val="005B2E98"/>
    <w:rsid w:val="005B31AF"/>
    <w:rsid w:val="005B3555"/>
    <w:rsid w:val="005C16E7"/>
    <w:rsid w:val="005C2595"/>
    <w:rsid w:val="005C25CF"/>
    <w:rsid w:val="005C5291"/>
    <w:rsid w:val="005C5369"/>
    <w:rsid w:val="005D2440"/>
    <w:rsid w:val="005F60AF"/>
    <w:rsid w:val="005F7DE0"/>
    <w:rsid w:val="006016AE"/>
    <w:rsid w:val="0060273C"/>
    <w:rsid w:val="00606BCD"/>
    <w:rsid w:val="00607240"/>
    <w:rsid w:val="00610FD1"/>
    <w:rsid w:val="00610FDF"/>
    <w:rsid w:val="00620D9B"/>
    <w:rsid w:val="00621572"/>
    <w:rsid w:val="00622011"/>
    <w:rsid w:val="006239D9"/>
    <w:rsid w:val="00627431"/>
    <w:rsid w:val="00627D81"/>
    <w:rsid w:val="006310FA"/>
    <w:rsid w:val="006323CB"/>
    <w:rsid w:val="00633413"/>
    <w:rsid w:val="00633C34"/>
    <w:rsid w:val="006345EE"/>
    <w:rsid w:val="00637358"/>
    <w:rsid w:val="00642272"/>
    <w:rsid w:val="00644366"/>
    <w:rsid w:val="0064519A"/>
    <w:rsid w:val="00646829"/>
    <w:rsid w:val="00647C61"/>
    <w:rsid w:val="00647DE7"/>
    <w:rsid w:val="0066477D"/>
    <w:rsid w:val="00664931"/>
    <w:rsid w:val="00667B03"/>
    <w:rsid w:val="0067301F"/>
    <w:rsid w:val="0067557D"/>
    <w:rsid w:val="006767D4"/>
    <w:rsid w:val="00682373"/>
    <w:rsid w:val="00687E65"/>
    <w:rsid w:val="00692B16"/>
    <w:rsid w:val="00696166"/>
    <w:rsid w:val="00697000"/>
    <w:rsid w:val="006A4D50"/>
    <w:rsid w:val="006A6818"/>
    <w:rsid w:val="006B172D"/>
    <w:rsid w:val="006C26D0"/>
    <w:rsid w:val="006C283A"/>
    <w:rsid w:val="006C7492"/>
    <w:rsid w:val="006D00B4"/>
    <w:rsid w:val="006D0DAB"/>
    <w:rsid w:val="006D29DC"/>
    <w:rsid w:val="006E7AA6"/>
    <w:rsid w:val="006F0BCE"/>
    <w:rsid w:val="006F128D"/>
    <w:rsid w:val="006F1EF3"/>
    <w:rsid w:val="006F41C4"/>
    <w:rsid w:val="006F4852"/>
    <w:rsid w:val="0071073C"/>
    <w:rsid w:val="00710D52"/>
    <w:rsid w:val="00714128"/>
    <w:rsid w:val="0072740A"/>
    <w:rsid w:val="007322A3"/>
    <w:rsid w:val="00735EA9"/>
    <w:rsid w:val="00736CC9"/>
    <w:rsid w:val="00744A57"/>
    <w:rsid w:val="007475F3"/>
    <w:rsid w:val="00750291"/>
    <w:rsid w:val="00750931"/>
    <w:rsid w:val="00750AFB"/>
    <w:rsid w:val="007521E3"/>
    <w:rsid w:val="00755CA0"/>
    <w:rsid w:val="007619B7"/>
    <w:rsid w:val="00761E50"/>
    <w:rsid w:val="00763777"/>
    <w:rsid w:val="00764A91"/>
    <w:rsid w:val="00767930"/>
    <w:rsid w:val="00770789"/>
    <w:rsid w:val="007771BD"/>
    <w:rsid w:val="00781DE5"/>
    <w:rsid w:val="00783170"/>
    <w:rsid w:val="00784A01"/>
    <w:rsid w:val="007874EF"/>
    <w:rsid w:val="0079116E"/>
    <w:rsid w:val="00791413"/>
    <w:rsid w:val="00793235"/>
    <w:rsid w:val="00793C30"/>
    <w:rsid w:val="00794043"/>
    <w:rsid w:val="00795D13"/>
    <w:rsid w:val="00796878"/>
    <w:rsid w:val="007A295D"/>
    <w:rsid w:val="007A7933"/>
    <w:rsid w:val="007B0076"/>
    <w:rsid w:val="007B01BC"/>
    <w:rsid w:val="007B1A75"/>
    <w:rsid w:val="007B619A"/>
    <w:rsid w:val="007B75DA"/>
    <w:rsid w:val="007C09BB"/>
    <w:rsid w:val="007C1213"/>
    <w:rsid w:val="007D254C"/>
    <w:rsid w:val="007D2A6A"/>
    <w:rsid w:val="007D6A96"/>
    <w:rsid w:val="007D6E58"/>
    <w:rsid w:val="007E0739"/>
    <w:rsid w:val="007E1127"/>
    <w:rsid w:val="007E12DB"/>
    <w:rsid w:val="007F08E3"/>
    <w:rsid w:val="007F26C6"/>
    <w:rsid w:val="007F3966"/>
    <w:rsid w:val="007F5D18"/>
    <w:rsid w:val="008135A8"/>
    <w:rsid w:val="0081605E"/>
    <w:rsid w:val="00826B00"/>
    <w:rsid w:val="00827E38"/>
    <w:rsid w:val="00834B89"/>
    <w:rsid w:val="008371E9"/>
    <w:rsid w:val="00845037"/>
    <w:rsid w:val="008458BC"/>
    <w:rsid w:val="00845A95"/>
    <w:rsid w:val="008477E5"/>
    <w:rsid w:val="00852F8E"/>
    <w:rsid w:val="00854BCB"/>
    <w:rsid w:val="008556B0"/>
    <w:rsid w:val="00856F79"/>
    <w:rsid w:val="00865BA8"/>
    <w:rsid w:val="00867321"/>
    <w:rsid w:val="0087094A"/>
    <w:rsid w:val="008731F7"/>
    <w:rsid w:val="00876DE0"/>
    <w:rsid w:val="00876E1E"/>
    <w:rsid w:val="00877803"/>
    <w:rsid w:val="00883A10"/>
    <w:rsid w:val="00883C53"/>
    <w:rsid w:val="00884260"/>
    <w:rsid w:val="00895F00"/>
    <w:rsid w:val="008A1567"/>
    <w:rsid w:val="008A176C"/>
    <w:rsid w:val="008A3DBD"/>
    <w:rsid w:val="008A4DA2"/>
    <w:rsid w:val="008B4EAF"/>
    <w:rsid w:val="008B5B0E"/>
    <w:rsid w:val="008C02EC"/>
    <w:rsid w:val="008C3DCC"/>
    <w:rsid w:val="008D4924"/>
    <w:rsid w:val="008D6C5A"/>
    <w:rsid w:val="008E2521"/>
    <w:rsid w:val="008E3F8F"/>
    <w:rsid w:val="008F0772"/>
    <w:rsid w:val="008F3788"/>
    <w:rsid w:val="008F4011"/>
    <w:rsid w:val="008F6753"/>
    <w:rsid w:val="008F7EA8"/>
    <w:rsid w:val="00904214"/>
    <w:rsid w:val="00906B4A"/>
    <w:rsid w:val="00910ADF"/>
    <w:rsid w:val="00914751"/>
    <w:rsid w:val="00915926"/>
    <w:rsid w:val="00920CEC"/>
    <w:rsid w:val="00923218"/>
    <w:rsid w:val="009233AB"/>
    <w:rsid w:val="0093107A"/>
    <w:rsid w:val="00932431"/>
    <w:rsid w:val="00932AEC"/>
    <w:rsid w:val="009353B3"/>
    <w:rsid w:val="009410FB"/>
    <w:rsid w:val="00941C5E"/>
    <w:rsid w:val="009433E5"/>
    <w:rsid w:val="00944233"/>
    <w:rsid w:val="00945E5C"/>
    <w:rsid w:val="00951637"/>
    <w:rsid w:val="009527F2"/>
    <w:rsid w:val="00954744"/>
    <w:rsid w:val="00955A66"/>
    <w:rsid w:val="00957128"/>
    <w:rsid w:val="00957511"/>
    <w:rsid w:val="00961144"/>
    <w:rsid w:val="00962EDA"/>
    <w:rsid w:val="00963B55"/>
    <w:rsid w:val="00964219"/>
    <w:rsid w:val="0096528D"/>
    <w:rsid w:val="009652BD"/>
    <w:rsid w:val="0097769F"/>
    <w:rsid w:val="00981A58"/>
    <w:rsid w:val="00986E91"/>
    <w:rsid w:val="00993484"/>
    <w:rsid w:val="009956BE"/>
    <w:rsid w:val="009A0FF0"/>
    <w:rsid w:val="009A28D1"/>
    <w:rsid w:val="009A44E9"/>
    <w:rsid w:val="009A710D"/>
    <w:rsid w:val="009B69DF"/>
    <w:rsid w:val="009C33D7"/>
    <w:rsid w:val="009C548E"/>
    <w:rsid w:val="009C6FE8"/>
    <w:rsid w:val="009D02AB"/>
    <w:rsid w:val="009D0A76"/>
    <w:rsid w:val="009D75F0"/>
    <w:rsid w:val="009E4024"/>
    <w:rsid w:val="009E7725"/>
    <w:rsid w:val="009F1C91"/>
    <w:rsid w:val="009F3D30"/>
    <w:rsid w:val="009F556D"/>
    <w:rsid w:val="00A05861"/>
    <w:rsid w:val="00A108A3"/>
    <w:rsid w:val="00A12E77"/>
    <w:rsid w:val="00A163F1"/>
    <w:rsid w:val="00A17BC8"/>
    <w:rsid w:val="00A24637"/>
    <w:rsid w:val="00A302B8"/>
    <w:rsid w:val="00A31579"/>
    <w:rsid w:val="00A33314"/>
    <w:rsid w:val="00A33589"/>
    <w:rsid w:val="00A335BF"/>
    <w:rsid w:val="00A3431D"/>
    <w:rsid w:val="00A37E36"/>
    <w:rsid w:val="00A4251D"/>
    <w:rsid w:val="00A433F9"/>
    <w:rsid w:val="00A51923"/>
    <w:rsid w:val="00A52BB2"/>
    <w:rsid w:val="00A55241"/>
    <w:rsid w:val="00A558B5"/>
    <w:rsid w:val="00A55F06"/>
    <w:rsid w:val="00A6228A"/>
    <w:rsid w:val="00A70EEE"/>
    <w:rsid w:val="00A7227C"/>
    <w:rsid w:val="00A7336B"/>
    <w:rsid w:val="00A76287"/>
    <w:rsid w:val="00A7716B"/>
    <w:rsid w:val="00A86639"/>
    <w:rsid w:val="00A906DD"/>
    <w:rsid w:val="00A907B6"/>
    <w:rsid w:val="00A90CEC"/>
    <w:rsid w:val="00A95A12"/>
    <w:rsid w:val="00A96337"/>
    <w:rsid w:val="00AA1961"/>
    <w:rsid w:val="00AA324B"/>
    <w:rsid w:val="00AA5052"/>
    <w:rsid w:val="00AA5564"/>
    <w:rsid w:val="00AA67A7"/>
    <w:rsid w:val="00AB0009"/>
    <w:rsid w:val="00AB3E4D"/>
    <w:rsid w:val="00AB52DE"/>
    <w:rsid w:val="00AB64B4"/>
    <w:rsid w:val="00AB6D86"/>
    <w:rsid w:val="00AC0D2D"/>
    <w:rsid w:val="00AC3A29"/>
    <w:rsid w:val="00AC49C3"/>
    <w:rsid w:val="00AC56AF"/>
    <w:rsid w:val="00AC7268"/>
    <w:rsid w:val="00AD464E"/>
    <w:rsid w:val="00AD6DFB"/>
    <w:rsid w:val="00AF1025"/>
    <w:rsid w:val="00AF290A"/>
    <w:rsid w:val="00B003E5"/>
    <w:rsid w:val="00B0060C"/>
    <w:rsid w:val="00B00803"/>
    <w:rsid w:val="00B00D74"/>
    <w:rsid w:val="00B02989"/>
    <w:rsid w:val="00B0586B"/>
    <w:rsid w:val="00B06D44"/>
    <w:rsid w:val="00B102B5"/>
    <w:rsid w:val="00B218A6"/>
    <w:rsid w:val="00B21BDF"/>
    <w:rsid w:val="00B23184"/>
    <w:rsid w:val="00B241C8"/>
    <w:rsid w:val="00B2448C"/>
    <w:rsid w:val="00B25CD0"/>
    <w:rsid w:val="00B3110C"/>
    <w:rsid w:val="00B319D8"/>
    <w:rsid w:val="00B36F3E"/>
    <w:rsid w:val="00B37B04"/>
    <w:rsid w:val="00B40077"/>
    <w:rsid w:val="00B424BB"/>
    <w:rsid w:val="00B456A5"/>
    <w:rsid w:val="00B46CE9"/>
    <w:rsid w:val="00B47674"/>
    <w:rsid w:val="00B52DCF"/>
    <w:rsid w:val="00B53F94"/>
    <w:rsid w:val="00B5535A"/>
    <w:rsid w:val="00B562E9"/>
    <w:rsid w:val="00B5674B"/>
    <w:rsid w:val="00B60575"/>
    <w:rsid w:val="00B60A72"/>
    <w:rsid w:val="00B678BD"/>
    <w:rsid w:val="00B836CF"/>
    <w:rsid w:val="00B837E4"/>
    <w:rsid w:val="00B83C39"/>
    <w:rsid w:val="00B83E51"/>
    <w:rsid w:val="00B925F8"/>
    <w:rsid w:val="00B93962"/>
    <w:rsid w:val="00B93CF5"/>
    <w:rsid w:val="00B9602E"/>
    <w:rsid w:val="00BA0034"/>
    <w:rsid w:val="00BA3670"/>
    <w:rsid w:val="00BA4F6A"/>
    <w:rsid w:val="00BA6651"/>
    <w:rsid w:val="00BA7C50"/>
    <w:rsid w:val="00BA7E3D"/>
    <w:rsid w:val="00BB0C79"/>
    <w:rsid w:val="00BB7A3A"/>
    <w:rsid w:val="00BC021A"/>
    <w:rsid w:val="00BC56C7"/>
    <w:rsid w:val="00BC6FEB"/>
    <w:rsid w:val="00BD2A43"/>
    <w:rsid w:val="00BD2D98"/>
    <w:rsid w:val="00BD45CC"/>
    <w:rsid w:val="00BE1AD6"/>
    <w:rsid w:val="00BE3AC9"/>
    <w:rsid w:val="00BE5A63"/>
    <w:rsid w:val="00BE6E67"/>
    <w:rsid w:val="00BF00B6"/>
    <w:rsid w:val="00BF7FB3"/>
    <w:rsid w:val="00C11130"/>
    <w:rsid w:val="00C119FB"/>
    <w:rsid w:val="00C137A6"/>
    <w:rsid w:val="00C21B6F"/>
    <w:rsid w:val="00C22A24"/>
    <w:rsid w:val="00C239CC"/>
    <w:rsid w:val="00C273A1"/>
    <w:rsid w:val="00C2768D"/>
    <w:rsid w:val="00C309AE"/>
    <w:rsid w:val="00C30E70"/>
    <w:rsid w:val="00C315A3"/>
    <w:rsid w:val="00C31DD1"/>
    <w:rsid w:val="00C35A4E"/>
    <w:rsid w:val="00C40682"/>
    <w:rsid w:val="00C450A3"/>
    <w:rsid w:val="00C4576D"/>
    <w:rsid w:val="00C51292"/>
    <w:rsid w:val="00C61B06"/>
    <w:rsid w:val="00C624F9"/>
    <w:rsid w:val="00C67B48"/>
    <w:rsid w:val="00C71B11"/>
    <w:rsid w:val="00C7359E"/>
    <w:rsid w:val="00C759B7"/>
    <w:rsid w:val="00C855A8"/>
    <w:rsid w:val="00C91514"/>
    <w:rsid w:val="00C92BFD"/>
    <w:rsid w:val="00C959A6"/>
    <w:rsid w:val="00CA1554"/>
    <w:rsid w:val="00CA1B58"/>
    <w:rsid w:val="00CA27C6"/>
    <w:rsid w:val="00CB2E73"/>
    <w:rsid w:val="00CC0007"/>
    <w:rsid w:val="00CC0D5B"/>
    <w:rsid w:val="00CC150A"/>
    <w:rsid w:val="00CC1C62"/>
    <w:rsid w:val="00CD0944"/>
    <w:rsid w:val="00CD1B5D"/>
    <w:rsid w:val="00CD38C2"/>
    <w:rsid w:val="00CD54A6"/>
    <w:rsid w:val="00CD5AD1"/>
    <w:rsid w:val="00CE0A14"/>
    <w:rsid w:val="00CE3701"/>
    <w:rsid w:val="00CE568A"/>
    <w:rsid w:val="00CE66DF"/>
    <w:rsid w:val="00CE70E8"/>
    <w:rsid w:val="00CF1F0D"/>
    <w:rsid w:val="00CF29F0"/>
    <w:rsid w:val="00CF3A42"/>
    <w:rsid w:val="00CF4C8C"/>
    <w:rsid w:val="00D0431B"/>
    <w:rsid w:val="00D1728C"/>
    <w:rsid w:val="00D25E53"/>
    <w:rsid w:val="00D33B05"/>
    <w:rsid w:val="00D36BD6"/>
    <w:rsid w:val="00D3766C"/>
    <w:rsid w:val="00D3798B"/>
    <w:rsid w:val="00D43347"/>
    <w:rsid w:val="00D457EE"/>
    <w:rsid w:val="00D45920"/>
    <w:rsid w:val="00D53513"/>
    <w:rsid w:val="00D57179"/>
    <w:rsid w:val="00D61DD9"/>
    <w:rsid w:val="00D64C38"/>
    <w:rsid w:val="00D65489"/>
    <w:rsid w:val="00D6647F"/>
    <w:rsid w:val="00D668B6"/>
    <w:rsid w:val="00D6738D"/>
    <w:rsid w:val="00D70F21"/>
    <w:rsid w:val="00D740AA"/>
    <w:rsid w:val="00D74354"/>
    <w:rsid w:val="00D806E2"/>
    <w:rsid w:val="00D83371"/>
    <w:rsid w:val="00D84F57"/>
    <w:rsid w:val="00D85927"/>
    <w:rsid w:val="00D900DF"/>
    <w:rsid w:val="00D9214D"/>
    <w:rsid w:val="00D92A28"/>
    <w:rsid w:val="00D93E16"/>
    <w:rsid w:val="00D93ED6"/>
    <w:rsid w:val="00D9597A"/>
    <w:rsid w:val="00D961FC"/>
    <w:rsid w:val="00D96BC2"/>
    <w:rsid w:val="00DA2BF6"/>
    <w:rsid w:val="00DA389C"/>
    <w:rsid w:val="00DA6E7A"/>
    <w:rsid w:val="00DA7DFE"/>
    <w:rsid w:val="00DB2F14"/>
    <w:rsid w:val="00DB666D"/>
    <w:rsid w:val="00DC34E5"/>
    <w:rsid w:val="00DC350F"/>
    <w:rsid w:val="00DC4D25"/>
    <w:rsid w:val="00DC72A9"/>
    <w:rsid w:val="00DD0C54"/>
    <w:rsid w:val="00DD0D3C"/>
    <w:rsid w:val="00DE0F03"/>
    <w:rsid w:val="00DE333F"/>
    <w:rsid w:val="00DE3B2F"/>
    <w:rsid w:val="00DF1864"/>
    <w:rsid w:val="00DF3A2E"/>
    <w:rsid w:val="00E02DC2"/>
    <w:rsid w:val="00E03487"/>
    <w:rsid w:val="00E07FC6"/>
    <w:rsid w:val="00E11D5D"/>
    <w:rsid w:val="00E14659"/>
    <w:rsid w:val="00E169B4"/>
    <w:rsid w:val="00E211C4"/>
    <w:rsid w:val="00E3324C"/>
    <w:rsid w:val="00E332D7"/>
    <w:rsid w:val="00E3774B"/>
    <w:rsid w:val="00E41A5D"/>
    <w:rsid w:val="00E517BC"/>
    <w:rsid w:val="00E51CB7"/>
    <w:rsid w:val="00E52F55"/>
    <w:rsid w:val="00E536F1"/>
    <w:rsid w:val="00E5519E"/>
    <w:rsid w:val="00E567B1"/>
    <w:rsid w:val="00E61F15"/>
    <w:rsid w:val="00E66D4E"/>
    <w:rsid w:val="00E700DB"/>
    <w:rsid w:val="00E72CA7"/>
    <w:rsid w:val="00E73A29"/>
    <w:rsid w:val="00E76BAD"/>
    <w:rsid w:val="00E826F5"/>
    <w:rsid w:val="00E82C8D"/>
    <w:rsid w:val="00E84D2D"/>
    <w:rsid w:val="00E90AAA"/>
    <w:rsid w:val="00E90B02"/>
    <w:rsid w:val="00E9120F"/>
    <w:rsid w:val="00E92F2B"/>
    <w:rsid w:val="00E95A3F"/>
    <w:rsid w:val="00E977AA"/>
    <w:rsid w:val="00EA3FBC"/>
    <w:rsid w:val="00EB2C54"/>
    <w:rsid w:val="00EB3C95"/>
    <w:rsid w:val="00EB72D8"/>
    <w:rsid w:val="00EB76AC"/>
    <w:rsid w:val="00EC0AD4"/>
    <w:rsid w:val="00EC274A"/>
    <w:rsid w:val="00EC4EEE"/>
    <w:rsid w:val="00EC651E"/>
    <w:rsid w:val="00EC73A7"/>
    <w:rsid w:val="00ED63F0"/>
    <w:rsid w:val="00ED66A9"/>
    <w:rsid w:val="00ED7427"/>
    <w:rsid w:val="00ED75B1"/>
    <w:rsid w:val="00EE1AC5"/>
    <w:rsid w:val="00EE2AEF"/>
    <w:rsid w:val="00EF044D"/>
    <w:rsid w:val="00EF49D5"/>
    <w:rsid w:val="00EF5BB6"/>
    <w:rsid w:val="00F10AEC"/>
    <w:rsid w:val="00F12F77"/>
    <w:rsid w:val="00F132C5"/>
    <w:rsid w:val="00F23743"/>
    <w:rsid w:val="00F23EC6"/>
    <w:rsid w:val="00F26E52"/>
    <w:rsid w:val="00F312B8"/>
    <w:rsid w:val="00F40C59"/>
    <w:rsid w:val="00F4482D"/>
    <w:rsid w:val="00F45503"/>
    <w:rsid w:val="00F502BB"/>
    <w:rsid w:val="00F50B3C"/>
    <w:rsid w:val="00F50E62"/>
    <w:rsid w:val="00F51F00"/>
    <w:rsid w:val="00F55AC0"/>
    <w:rsid w:val="00F56169"/>
    <w:rsid w:val="00F61E37"/>
    <w:rsid w:val="00F625F9"/>
    <w:rsid w:val="00F634A5"/>
    <w:rsid w:val="00F63934"/>
    <w:rsid w:val="00F66BE6"/>
    <w:rsid w:val="00F723DC"/>
    <w:rsid w:val="00F72536"/>
    <w:rsid w:val="00F7357C"/>
    <w:rsid w:val="00F764B3"/>
    <w:rsid w:val="00F77F84"/>
    <w:rsid w:val="00F9283C"/>
    <w:rsid w:val="00F929FE"/>
    <w:rsid w:val="00F93C51"/>
    <w:rsid w:val="00FA1635"/>
    <w:rsid w:val="00FB1264"/>
    <w:rsid w:val="00FB3494"/>
    <w:rsid w:val="00FB7A56"/>
    <w:rsid w:val="00FC0451"/>
    <w:rsid w:val="00FC2ABE"/>
    <w:rsid w:val="00FC355E"/>
    <w:rsid w:val="00FC426B"/>
    <w:rsid w:val="00FC4397"/>
    <w:rsid w:val="00FD3116"/>
    <w:rsid w:val="00FE4E01"/>
    <w:rsid w:val="00FE504B"/>
    <w:rsid w:val="00FE5FAA"/>
    <w:rsid w:val="00FF0938"/>
    <w:rsid w:val="00FF19F0"/>
    <w:rsid w:val="00FF35D6"/>
    <w:rsid w:val="00FF6AC9"/>
    <w:rsid w:val="0361E1B5"/>
    <w:rsid w:val="040408AA"/>
    <w:rsid w:val="051A8285"/>
    <w:rsid w:val="05A9D615"/>
    <w:rsid w:val="06A5CBFD"/>
    <w:rsid w:val="06F8D252"/>
    <w:rsid w:val="07064762"/>
    <w:rsid w:val="072F5BFE"/>
    <w:rsid w:val="07862511"/>
    <w:rsid w:val="08454DD6"/>
    <w:rsid w:val="08DEDDD4"/>
    <w:rsid w:val="08E9C4F8"/>
    <w:rsid w:val="09BD6FAD"/>
    <w:rsid w:val="09C8F157"/>
    <w:rsid w:val="0A655B63"/>
    <w:rsid w:val="0A8969EB"/>
    <w:rsid w:val="0AD93423"/>
    <w:rsid w:val="0AE03EDC"/>
    <w:rsid w:val="0B16C9D9"/>
    <w:rsid w:val="0B1F3323"/>
    <w:rsid w:val="0B949E7C"/>
    <w:rsid w:val="0BDE3F9C"/>
    <w:rsid w:val="0C318099"/>
    <w:rsid w:val="0DF79F04"/>
    <w:rsid w:val="0E071FA9"/>
    <w:rsid w:val="0E9C978A"/>
    <w:rsid w:val="0F877B5C"/>
    <w:rsid w:val="11C38888"/>
    <w:rsid w:val="120A042C"/>
    <w:rsid w:val="1502D627"/>
    <w:rsid w:val="155529AE"/>
    <w:rsid w:val="15B2D119"/>
    <w:rsid w:val="15D7DEDF"/>
    <w:rsid w:val="15E66CF9"/>
    <w:rsid w:val="17E72803"/>
    <w:rsid w:val="182AC6B8"/>
    <w:rsid w:val="1845F926"/>
    <w:rsid w:val="193D9378"/>
    <w:rsid w:val="1B654457"/>
    <w:rsid w:val="1C44CAB1"/>
    <w:rsid w:val="1D15FE47"/>
    <w:rsid w:val="1D481D41"/>
    <w:rsid w:val="1D792195"/>
    <w:rsid w:val="1DD4B609"/>
    <w:rsid w:val="1DDD2FC8"/>
    <w:rsid w:val="1F6DC11B"/>
    <w:rsid w:val="203DA95B"/>
    <w:rsid w:val="214E3113"/>
    <w:rsid w:val="237DA635"/>
    <w:rsid w:val="238DE4ED"/>
    <w:rsid w:val="25197696"/>
    <w:rsid w:val="25A9DE38"/>
    <w:rsid w:val="26CA9868"/>
    <w:rsid w:val="276B2550"/>
    <w:rsid w:val="28FA251C"/>
    <w:rsid w:val="2C095DD4"/>
    <w:rsid w:val="2C23FFBD"/>
    <w:rsid w:val="2CA430ED"/>
    <w:rsid w:val="2DB1E3AD"/>
    <w:rsid w:val="2DBA1674"/>
    <w:rsid w:val="2FEC854D"/>
    <w:rsid w:val="30155B2E"/>
    <w:rsid w:val="3047F259"/>
    <w:rsid w:val="3048B5CD"/>
    <w:rsid w:val="3251E094"/>
    <w:rsid w:val="338CC829"/>
    <w:rsid w:val="34C7C1D3"/>
    <w:rsid w:val="36569411"/>
    <w:rsid w:val="36EEC9AA"/>
    <w:rsid w:val="36EF917B"/>
    <w:rsid w:val="3729F0C2"/>
    <w:rsid w:val="376BB6C8"/>
    <w:rsid w:val="38B3DEF5"/>
    <w:rsid w:val="39AB25A7"/>
    <w:rsid w:val="39AB3192"/>
    <w:rsid w:val="3A05C705"/>
    <w:rsid w:val="3AE6EA9B"/>
    <w:rsid w:val="3B388030"/>
    <w:rsid w:val="3BC13B7F"/>
    <w:rsid w:val="3BF547AF"/>
    <w:rsid w:val="3C318EE7"/>
    <w:rsid w:val="3E5B3961"/>
    <w:rsid w:val="3FE27311"/>
    <w:rsid w:val="40A46442"/>
    <w:rsid w:val="40AEA70C"/>
    <w:rsid w:val="40C8478D"/>
    <w:rsid w:val="40D64097"/>
    <w:rsid w:val="40E95431"/>
    <w:rsid w:val="4135EF01"/>
    <w:rsid w:val="422E794F"/>
    <w:rsid w:val="42B99CBC"/>
    <w:rsid w:val="4315887E"/>
    <w:rsid w:val="432564A5"/>
    <w:rsid w:val="43B5EF01"/>
    <w:rsid w:val="44C1876F"/>
    <w:rsid w:val="451BC3DE"/>
    <w:rsid w:val="454E4F3B"/>
    <w:rsid w:val="4690F4B2"/>
    <w:rsid w:val="47212B30"/>
    <w:rsid w:val="4744A809"/>
    <w:rsid w:val="492EB300"/>
    <w:rsid w:val="495DC7FF"/>
    <w:rsid w:val="499BD481"/>
    <w:rsid w:val="4AA082A0"/>
    <w:rsid w:val="4ACD06DD"/>
    <w:rsid w:val="4B2ACE0B"/>
    <w:rsid w:val="4B35D952"/>
    <w:rsid w:val="4B6C921F"/>
    <w:rsid w:val="4C19B692"/>
    <w:rsid w:val="4DF768AA"/>
    <w:rsid w:val="4E26D434"/>
    <w:rsid w:val="4E6A9C29"/>
    <w:rsid w:val="4ED02B0F"/>
    <w:rsid w:val="4F985063"/>
    <w:rsid w:val="51E97CCE"/>
    <w:rsid w:val="52DC324D"/>
    <w:rsid w:val="5304BA0A"/>
    <w:rsid w:val="533C5F07"/>
    <w:rsid w:val="535D1241"/>
    <w:rsid w:val="53724A2B"/>
    <w:rsid w:val="53D57624"/>
    <w:rsid w:val="53D9FF24"/>
    <w:rsid w:val="545CEE00"/>
    <w:rsid w:val="54DA04AF"/>
    <w:rsid w:val="58ACE781"/>
    <w:rsid w:val="59000E8B"/>
    <w:rsid w:val="59F017B4"/>
    <w:rsid w:val="5A49469A"/>
    <w:rsid w:val="5D15B281"/>
    <w:rsid w:val="5D758F53"/>
    <w:rsid w:val="5DE4F898"/>
    <w:rsid w:val="5E2AD9A9"/>
    <w:rsid w:val="5F317A76"/>
    <w:rsid w:val="6016A840"/>
    <w:rsid w:val="6075298C"/>
    <w:rsid w:val="61BE26C6"/>
    <w:rsid w:val="62D9081B"/>
    <w:rsid w:val="63324DE0"/>
    <w:rsid w:val="6375C9D2"/>
    <w:rsid w:val="63CE906D"/>
    <w:rsid w:val="64CE8C9A"/>
    <w:rsid w:val="653E8335"/>
    <w:rsid w:val="6591A7BF"/>
    <w:rsid w:val="65AA228C"/>
    <w:rsid w:val="65D57A86"/>
    <w:rsid w:val="66943411"/>
    <w:rsid w:val="67458918"/>
    <w:rsid w:val="6797017A"/>
    <w:rsid w:val="67B27022"/>
    <w:rsid w:val="6872A55C"/>
    <w:rsid w:val="68A67C7C"/>
    <w:rsid w:val="68DB3789"/>
    <w:rsid w:val="690FE245"/>
    <w:rsid w:val="691A6321"/>
    <w:rsid w:val="695243FE"/>
    <w:rsid w:val="6A086EFF"/>
    <w:rsid w:val="6A954535"/>
    <w:rsid w:val="6A962640"/>
    <w:rsid w:val="6B9F62C2"/>
    <w:rsid w:val="6BB8AEEC"/>
    <w:rsid w:val="6D4D4107"/>
    <w:rsid w:val="6D7F774C"/>
    <w:rsid w:val="6F45F069"/>
    <w:rsid w:val="6F4F8BC6"/>
    <w:rsid w:val="6FF30329"/>
    <w:rsid w:val="700CA4AA"/>
    <w:rsid w:val="707F2932"/>
    <w:rsid w:val="70DEDF6B"/>
    <w:rsid w:val="714F0A7B"/>
    <w:rsid w:val="716DDC19"/>
    <w:rsid w:val="719F2D0C"/>
    <w:rsid w:val="71DB9C74"/>
    <w:rsid w:val="72474E34"/>
    <w:rsid w:val="7268F172"/>
    <w:rsid w:val="72778E4B"/>
    <w:rsid w:val="72841AD8"/>
    <w:rsid w:val="73C3EFD7"/>
    <w:rsid w:val="73DAB94E"/>
    <w:rsid w:val="7507D152"/>
    <w:rsid w:val="75A5A4ED"/>
    <w:rsid w:val="75C60B2A"/>
    <w:rsid w:val="761B82B4"/>
    <w:rsid w:val="76BAA061"/>
    <w:rsid w:val="7741754E"/>
    <w:rsid w:val="77C0FF07"/>
    <w:rsid w:val="780C3F6F"/>
    <w:rsid w:val="7858DB6C"/>
    <w:rsid w:val="7A6EB5B6"/>
    <w:rsid w:val="7AA4FD87"/>
    <w:rsid w:val="7B291104"/>
    <w:rsid w:val="7B5428CE"/>
    <w:rsid w:val="7DAA206D"/>
    <w:rsid w:val="7F4331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8853"/>
  <w15:chartTrackingRefBased/>
  <w15:docId w15:val="{A545DA49-4FB9-4683-AC26-AFD79EA5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rsid w:val="00B23184"/>
    <w:pPr>
      <w:spacing w:after="120" w:line="240" w:lineRule="auto"/>
    </w:pPr>
  </w:style>
  <w:style w:type="character" w:customStyle="1" w:styleId="CommentTextChar">
    <w:name w:val="Comment Text Char"/>
    <w:basedOn w:val="DefaultParagraphFont"/>
    <w:link w:val="CommentText"/>
    <w:uiPriority w:val="99"/>
    <w:semiHidden/>
    <w:rsid w:val="00B23184"/>
  </w:style>
  <w:style w:type="character" w:styleId="Hyperlink">
    <w:name w:val="Hyperlink"/>
    <w:basedOn w:val="DefaultParagraphFont"/>
    <w:uiPriority w:val="99"/>
    <w:unhideWhenUsed/>
    <w:rsid w:val="00F66BE6"/>
    <w:rPr>
      <w:color w:val="0563C1"/>
      <w:u w:val="single"/>
    </w:rPr>
  </w:style>
  <w:style w:type="paragraph" w:styleId="ListParagraph">
    <w:name w:val="List Paragraph"/>
    <w:basedOn w:val="Normal"/>
    <w:uiPriority w:val="34"/>
    <w:qFormat/>
    <w:rsid w:val="00F66BE6"/>
    <w:pPr>
      <w:spacing w:after="0" w:line="240" w:lineRule="auto"/>
      <w:ind w:left="720"/>
    </w:pPr>
    <w:rPr>
      <w:rFonts w:ascii="Calibri" w:hAnsi="Calibri" w:cs="Times New Roman"/>
    </w:rPr>
  </w:style>
  <w:style w:type="paragraph" w:styleId="NormalWeb">
    <w:name w:val="Normal (Web)"/>
    <w:basedOn w:val="Normal"/>
    <w:uiPriority w:val="99"/>
    <w:unhideWhenUsed/>
    <w:rsid w:val="00D668B6"/>
    <w:pPr>
      <w:spacing w:before="100" w:beforeAutospacing="1" w:after="100" w:afterAutospacing="1" w:line="240" w:lineRule="auto"/>
    </w:pPr>
    <w:rPr>
      <w:rFonts w:ascii="Times New Roman" w:hAnsi="Times New Roman" w:cs="Times New Roman"/>
      <w:color w:val="000000"/>
      <w:sz w:val="24"/>
      <w:szCs w:val="24"/>
    </w:rPr>
  </w:style>
  <w:style w:type="paragraph" w:customStyle="1" w:styleId="Default">
    <w:name w:val="Default"/>
    <w:rsid w:val="00D66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A0679"/>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0A0679"/>
    <w:rPr>
      <w:rFonts w:eastAsiaTheme="minorEastAsia"/>
    </w:rPr>
  </w:style>
  <w:style w:type="character" w:styleId="CommentReference">
    <w:name w:val="annotation reference"/>
    <w:basedOn w:val="DefaultParagraphFont"/>
    <w:uiPriority w:val="99"/>
    <w:semiHidden/>
    <w:unhideWhenUsed/>
    <w:rsid w:val="009A0FF0"/>
    <w:rPr>
      <w:sz w:val="16"/>
      <w:szCs w:val="16"/>
    </w:rPr>
  </w:style>
  <w:style w:type="paragraph" w:styleId="CommentSubject">
    <w:name w:val="annotation subject"/>
    <w:basedOn w:val="CommentText"/>
    <w:next w:val="CommentText"/>
    <w:link w:val="CommentSubjectChar"/>
    <w:uiPriority w:val="99"/>
    <w:semiHidden/>
    <w:unhideWhenUsed/>
    <w:rsid w:val="009A0FF0"/>
    <w:pPr>
      <w:spacing w:after="160"/>
    </w:pPr>
    <w:rPr>
      <w:b/>
      <w:bCs/>
      <w:sz w:val="20"/>
      <w:szCs w:val="20"/>
    </w:rPr>
  </w:style>
  <w:style w:type="character" w:customStyle="1" w:styleId="CommentSubjectChar">
    <w:name w:val="Comment Subject Char"/>
    <w:basedOn w:val="CommentTextChar"/>
    <w:link w:val="CommentSubject"/>
    <w:uiPriority w:val="99"/>
    <w:semiHidden/>
    <w:rsid w:val="009A0FF0"/>
    <w:rPr>
      <w:b/>
      <w:bCs/>
      <w:sz w:val="20"/>
      <w:szCs w:val="20"/>
    </w:rPr>
  </w:style>
  <w:style w:type="paragraph" w:styleId="Revision">
    <w:name w:val="Revision"/>
    <w:hidden/>
    <w:uiPriority w:val="99"/>
    <w:semiHidden/>
    <w:rsid w:val="009A0FF0"/>
    <w:pPr>
      <w:spacing w:after="0" w:line="240" w:lineRule="auto"/>
    </w:pPr>
  </w:style>
  <w:style w:type="paragraph" w:styleId="BalloonText">
    <w:name w:val="Balloon Text"/>
    <w:basedOn w:val="Normal"/>
    <w:link w:val="BalloonTextChar"/>
    <w:uiPriority w:val="99"/>
    <w:semiHidden/>
    <w:unhideWhenUsed/>
    <w:rsid w:val="009A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F0"/>
    <w:rPr>
      <w:rFonts w:ascii="Segoe UI" w:hAnsi="Segoe UI" w:cs="Segoe UI"/>
      <w:sz w:val="18"/>
      <w:szCs w:val="18"/>
    </w:rPr>
  </w:style>
  <w:style w:type="paragraph" w:styleId="Footer">
    <w:name w:val="footer"/>
    <w:basedOn w:val="Normal"/>
    <w:link w:val="FooterChar"/>
    <w:uiPriority w:val="99"/>
    <w:unhideWhenUsed/>
    <w:rsid w:val="00A86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639"/>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61144"/>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61144"/>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961144"/>
    <w:rPr>
      <w:rFonts w:cs="Times New Roman"/>
      <w:vertAlign w:val="superscript"/>
    </w:rPr>
  </w:style>
  <w:style w:type="character" w:styleId="FollowedHyperlink">
    <w:name w:val="FollowedHyperlink"/>
    <w:basedOn w:val="DefaultParagraphFont"/>
    <w:uiPriority w:val="99"/>
    <w:semiHidden/>
    <w:unhideWhenUsed/>
    <w:rsid w:val="00923218"/>
    <w:rPr>
      <w:color w:val="954F72" w:themeColor="followedHyperlink"/>
      <w:u w:val="single"/>
    </w:rPr>
  </w:style>
  <w:style w:type="character" w:styleId="UnresolvedMention">
    <w:name w:val="Unresolved Mention"/>
    <w:basedOn w:val="DefaultParagraphFont"/>
    <w:uiPriority w:val="99"/>
    <w:semiHidden/>
    <w:unhideWhenUsed/>
    <w:rsid w:val="00490475"/>
    <w:rPr>
      <w:color w:val="605E5C"/>
      <w:shd w:val="clear" w:color="auto" w:fill="E1DFDD"/>
    </w:rPr>
  </w:style>
  <w:style w:type="table" w:styleId="TableGrid">
    <w:name w:val="Table Grid"/>
    <w:basedOn w:val="TableNormal"/>
    <w:uiPriority w:val="39"/>
    <w:rsid w:val="00A24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47">
      <w:bodyDiv w:val="1"/>
      <w:marLeft w:val="0"/>
      <w:marRight w:val="0"/>
      <w:marTop w:val="0"/>
      <w:marBottom w:val="0"/>
      <w:divBdr>
        <w:top w:val="none" w:sz="0" w:space="0" w:color="auto"/>
        <w:left w:val="none" w:sz="0" w:space="0" w:color="auto"/>
        <w:bottom w:val="none" w:sz="0" w:space="0" w:color="auto"/>
        <w:right w:val="none" w:sz="0" w:space="0" w:color="auto"/>
      </w:divBdr>
    </w:div>
    <w:div w:id="12271423">
      <w:bodyDiv w:val="1"/>
      <w:marLeft w:val="0"/>
      <w:marRight w:val="0"/>
      <w:marTop w:val="0"/>
      <w:marBottom w:val="0"/>
      <w:divBdr>
        <w:top w:val="none" w:sz="0" w:space="0" w:color="auto"/>
        <w:left w:val="none" w:sz="0" w:space="0" w:color="auto"/>
        <w:bottom w:val="none" w:sz="0" w:space="0" w:color="auto"/>
        <w:right w:val="none" w:sz="0" w:space="0" w:color="auto"/>
      </w:divBdr>
    </w:div>
    <w:div w:id="57944527">
      <w:bodyDiv w:val="1"/>
      <w:marLeft w:val="0"/>
      <w:marRight w:val="0"/>
      <w:marTop w:val="0"/>
      <w:marBottom w:val="0"/>
      <w:divBdr>
        <w:top w:val="none" w:sz="0" w:space="0" w:color="auto"/>
        <w:left w:val="none" w:sz="0" w:space="0" w:color="auto"/>
        <w:bottom w:val="none" w:sz="0" w:space="0" w:color="auto"/>
        <w:right w:val="none" w:sz="0" w:space="0" w:color="auto"/>
      </w:divBdr>
    </w:div>
    <w:div w:id="136267373">
      <w:bodyDiv w:val="1"/>
      <w:marLeft w:val="0"/>
      <w:marRight w:val="0"/>
      <w:marTop w:val="0"/>
      <w:marBottom w:val="0"/>
      <w:divBdr>
        <w:top w:val="none" w:sz="0" w:space="0" w:color="auto"/>
        <w:left w:val="none" w:sz="0" w:space="0" w:color="auto"/>
        <w:bottom w:val="none" w:sz="0" w:space="0" w:color="auto"/>
        <w:right w:val="none" w:sz="0" w:space="0" w:color="auto"/>
      </w:divBdr>
    </w:div>
    <w:div w:id="325397735">
      <w:bodyDiv w:val="1"/>
      <w:marLeft w:val="0"/>
      <w:marRight w:val="0"/>
      <w:marTop w:val="0"/>
      <w:marBottom w:val="0"/>
      <w:divBdr>
        <w:top w:val="none" w:sz="0" w:space="0" w:color="auto"/>
        <w:left w:val="none" w:sz="0" w:space="0" w:color="auto"/>
        <w:bottom w:val="none" w:sz="0" w:space="0" w:color="auto"/>
        <w:right w:val="none" w:sz="0" w:space="0" w:color="auto"/>
      </w:divBdr>
    </w:div>
    <w:div w:id="326828207">
      <w:bodyDiv w:val="1"/>
      <w:marLeft w:val="0"/>
      <w:marRight w:val="0"/>
      <w:marTop w:val="0"/>
      <w:marBottom w:val="0"/>
      <w:divBdr>
        <w:top w:val="none" w:sz="0" w:space="0" w:color="auto"/>
        <w:left w:val="none" w:sz="0" w:space="0" w:color="auto"/>
        <w:bottom w:val="none" w:sz="0" w:space="0" w:color="auto"/>
        <w:right w:val="none" w:sz="0" w:space="0" w:color="auto"/>
      </w:divBdr>
    </w:div>
    <w:div w:id="372389487">
      <w:bodyDiv w:val="1"/>
      <w:marLeft w:val="0"/>
      <w:marRight w:val="0"/>
      <w:marTop w:val="0"/>
      <w:marBottom w:val="0"/>
      <w:divBdr>
        <w:top w:val="none" w:sz="0" w:space="0" w:color="auto"/>
        <w:left w:val="none" w:sz="0" w:space="0" w:color="auto"/>
        <w:bottom w:val="none" w:sz="0" w:space="0" w:color="auto"/>
        <w:right w:val="none" w:sz="0" w:space="0" w:color="auto"/>
      </w:divBdr>
    </w:div>
    <w:div w:id="409355641">
      <w:bodyDiv w:val="1"/>
      <w:marLeft w:val="0"/>
      <w:marRight w:val="0"/>
      <w:marTop w:val="0"/>
      <w:marBottom w:val="0"/>
      <w:divBdr>
        <w:top w:val="none" w:sz="0" w:space="0" w:color="auto"/>
        <w:left w:val="none" w:sz="0" w:space="0" w:color="auto"/>
        <w:bottom w:val="none" w:sz="0" w:space="0" w:color="auto"/>
        <w:right w:val="none" w:sz="0" w:space="0" w:color="auto"/>
      </w:divBdr>
    </w:div>
    <w:div w:id="425267160">
      <w:bodyDiv w:val="1"/>
      <w:marLeft w:val="0"/>
      <w:marRight w:val="0"/>
      <w:marTop w:val="0"/>
      <w:marBottom w:val="0"/>
      <w:divBdr>
        <w:top w:val="none" w:sz="0" w:space="0" w:color="auto"/>
        <w:left w:val="none" w:sz="0" w:space="0" w:color="auto"/>
        <w:bottom w:val="none" w:sz="0" w:space="0" w:color="auto"/>
        <w:right w:val="none" w:sz="0" w:space="0" w:color="auto"/>
      </w:divBdr>
    </w:div>
    <w:div w:id="430780525">
      <w:bodyDiv w:val="1"/>
      <w:marLeft w:val="0"/>
      <w:marRight w:val="0"/>
      <w:marTop w:val="0"/>
      <w:marBottom w:val="0"/>
      <w:divBdr>
        <w:top w:val="none" w:sz="0" w:space="0" w:color="auto"/>
        <w:left w:val="none" w:sz="0" w:space="0" w:color="auto"/>
        <w:bottom w:val="none" w:sz="0" w:space="0" w:color="auto"/>
        <w:right w:val="none" w:sz="0" w:space="0" w:color="auto"/>
      </w:divBdr>
    </w:div>
    <w:div w:id="442922226">
      <w:bodyDiv w:val="1"/>
      <w:marLeft w:val="0"/>
      <w:marRight w:val="0"/>
      <w:marTop w:val="0"/>
      <w:marBottom w:val="0"/>
      <w:divBdr>
        <w:top w:val="none" w:sz="0" w:space="0" w:color="auto"/>
        <w:left w:val="none" w:sz="0" w:space="0" w:color="auto"/>
        <w:bottom w:val="none" w:sz="0" w:space="0" w:color="auto"/>
        <w:right w:val="none" w:sz="0" w:space="0" w:color="auto"/>
      </w:divBdr>
    </w:div>
    <w:div w:id="451945422">
      <w:bodyDiv w:val="1"/>
      <w:marLeft w:val="0"/>
      <w:marRight w:val="0"/>
      <w:marTop w:val="0"/>
      <w:marBottom w:val="0"/>
      <w:divBdr>
        <w:top w:val="none" w:sz="0" w:space="0" w:color="auto"/>
        <w:left w:val="none" w:sz="0" w:space="0" w:color="auto"/>
        <w:bottom w:val="none" w:sz="0" w:space="0" w:color="auto"/>
        <w:right w:val="none" w:sz="0" w:space="0" w:color="auto"/>
      </w:divBdr>
    </w:div>
    <w:div w:id="452677039">
      <w:bodyDiv w:val="1"/>
      <w:marLeft w:val="0"/>
      <w:marRight w:val="0"/>
      <w:marTop w:val="0"/>
      <w:marBottom w:val="0"/>
      <w:divBdr>
        <w:top w:val="none" w:sz="0" w:space="0" w:color="auto"/>
        <w:left w:val="none" w:sz="0" w:space="0" w:color="auto"/>
        <w:bottom w:val="none" w:sz="0" w:space="0" w:color="auto"/>
        <w:right w:val="none" w:sz="0" w:space="0" w:color="auto"/>
      </w:divBdr>
    </w:div>
    <w:div w:id="466511466">
      <w:bodyDiv w:val="1"/>
      <w:marLeft w:val="0"/>
      <w:marRight w:val="0"/>
      <w:marTop w:val="0"/>
      <w:marBottom w:val="0"/>
      <w:divBdr>
        <w:top w:val="none" w:sz="0" w:space="0" w:color="auto"/>
        <w:left w:val="none" w:sz="0" w:space="0" w:color="auto"/>
        <w:bottom w:val="none" w:sz="0" w:space="0" w:color="auto"/>
        <w:right w:val="none" w:sz="0" w:space="0" w:color="auto"/>
      </w:divBdr>
    </w:div>
    <w:div w:id="479275423">
      <w:bodyDiv w:val="1"/>
      <w:marLeft w:val="0"/>
      <w:marRight w:val="0"/>
      <w:marTop w:val="0"/>
      <w:marBottom w:val="0"/>
      <w:divBdr>
        <w:top w:val="none" w:sz="0" w:space="0" w:color="auto"/>
        <w:left w:val="none" w:sz="0" w:space="0" w:color="auto"/>
        <w:bottom w:val="none" w:sz="0" w:space="0" w:color="auto"/>
        <w:right w:val="none" w:sz="0" w:space="0" w:color="auto"/>
      </w:divBdr>
    </w:div>
    <w:div w:id="485509846">
      <w:bodyDiv w:val="1"/>
      <w:marLeft w:val="0"/>
      <w:marRight w:val="0"/>
      <w:marTop w:val="0"/>
      <w:marBottom w:val="0"/>
      <w:divBdr>
        <w:top w:val="none" w:sz="0" w:space="0" w:color="auto"/>
        <w:left w:val="none" w:sz="0" w:space="0" w:color="auto"/>
        <w:bottom w:val="none" w:sz="0" w:space="0" w:color="auto"/>
        <w:right w:val="none" w:sz="0" w:space="0" w:color="auto"/>
      </w:divBdr>
    </w:div>
    <w:div w:id="490365619">
      <w:bodyDiv w:val="1"/>
      <w:marLeft w:val="0"/>
      <w:marRight w:val="0"/>
      <w:marTop w:val="0"/>
      <w:marBottom w:val="0"/>
      <w:divBdr>
        <w:top w:val="none" w:sz="0" w:space="0" w:color="auto"/>
        <w:left w:val="none" w:sz="0" w:space="0" w:color="auto"/>
        <w:bottom w:val="none" w:sz="0" w:space="0" w:color="auto"/>
        <w:right w:val="none" w:sz="0" w:space="0" w:color="auto"/>
      </w:divBdr>
    </w:div>
    <w:div w:id="495340611">
      <w:bodyDiv w:val="1"/>
      <w:marLeft w:val="0"/>
      <w:marRight w:val="0"/>
      <w:marTop w:val="0"/>
      <w:marBottom w:val="0"/>
      <w:divBdr>
        <w:top w:val="none" w:sz="0" w:space="0" w:color="auto"/>
        <w:left w:val="none" w:sz="0" w:space="0" w:color="auto"/>
        <w:bottom w:val="none" w:sz="0" w:space="0" w:color="auto"/>
        <w:right w:val="none" w:sz="0" w:space="0" w:color="auto"/>
      </w:divBdr>
    </w:div>
    <w:div w:id="546265127">
      <w:bodyDiv w:val="1"/>
      <w:marLeft w:val="0"/>
      <w:marRight w:val="0"/>
      <w:marTop w:val="0"/>
      <w:marBottom w:val="0"/>
      <w:divBdr>
        <w:top w:val="none" w:sz="0" w:space="0" w:color="auto"/>
        <w:left w:val="none" w:sz="0" w:space="0" w:color="auto"/>
        <w:bottom w:val="none" w:sz="0" w:space="0" w:color="auto"/>
        <w:right w:val="none" w:sz="0" w:space="0" w:color="auto"/>
      </w:divBdr>
    </w:div>
    <w:div w:id="581374037">
      <w:bodyDiv w:val="1"/>
      <w:marLeft w:val="0"/>
      <w:marRight w:val="0"/>
      <w:marTop w:val="0"/>
      <w:marBottom w:val="0"/>
      <w:divBdr>
        <w:top w:val="none" w:sz="0" w:space="0" w:color="auto"/>
        <w:left w:val="none" w:sz="0" w:space="0" w:color="auto"/>
        <w:bottom w:val="none" w:sz="0" w:space="0" w:color="auto"/>
        <w:right w:val="none" w:sz="0" w:space="0" w:color="auto"/>
      </w:divBdr>
    </w:div>
    <w:div w:id="586841194">
      <w:bodyDiv w:val="1"/>
      <w:marLeft w:val="0"/>
      <w:marRight w:val="0"/>
      <w:marTop w:val="0"/>
      <w:marBottom w:val="0"/>
      <w:divBdr>
        <w:top w:val="none" w:sz="0" w:space="0" w:color="auto"/>
        <w:left w:val="none" w:sz="0" w:space="0" w:color="auto"/>
        <w:bottom w:val="none" w:sz="0" w:space="0" w:color="auto"/>
        <w:right w:val="none" w:sz="0" w:space="0" w:color="auto"/>
      </w:divBdr>
    </w:div>
    <w:div w:id="591201815">
      <w:bodyDiv w:val="1"/>
      <w:marLeft w:val="0"/>
      <w:marRight w:val="0"/>
      <w:marTop w:val="0"/>
      <w:marBottom w:val="0"/>
      <w:divBdr>
        <w:top w:val="none" w:sz="0" w:space="0" w:color="auto"/>
        <w:left w:val="none" w:sz="0" w:space="0" w:color="auto"/>
        <w:bottom w:val="none" w:sz="0" w:space="0" w:color="auto"/>
        <w:right w:val="none" w:sz="0" w:space="0" w:color="auto"/>
      </w:divBdr>
    </w:div>
    <w:div w:id="609357204">
      <w:bodyDiv w:val="1"/>
      <w:marLeft w:val="0"/>
      <w:marRight w:val="0"/>
      <w:marTop w:val="0"/>
      <w:marBottom w:val="0"/>
      <w:divBdr>
        <w:top w:val="none" w:sz="0" w:space="0" w:color="auto"/>
        <w:left w:val="none" w:sz="0" w:space="0" w:color="auto"/>
        <w:bottom w:val="none" w:sz="0" w:space="0" w:color="auto"/>
        <w:right w:val="none" w:sz="0" w:space="0" w:color="auto"/>
      </w:divBdr>
    </w:div>
    <w:div w:id="721059045">
      <w:bodyDiv w:val="1"/>
      <w:marLeft w:val="0"/>
      <w:marRight w:val="0"/>
      <w:marTop w:val="0"/>
      <w:marBottom w:val="0"/>
      <w:divBdr>
        <w:top w:val="none" w:sz="0" w:space="0" w:color="auto"/>
        <w:left w:val="none" w:sz="0" w:space="0" w:color="auto"/>
        <w:bottom w:val="none" w:sz="0" w:space="0" w:color="auto"/>
        <w:right w:val="none" w:sz="0" w:space="0" w:color="auto"/>
      </w:divBdr>
    </w:div>
    <w:div w:id="750350746">
      <w:bodyDiv w:val="1"/>
      <w:marLeft w:val="0"/>
      <w:marRight w:val="0"/>
      <w:marTop w:val="0"/>
      <w:marBottom w:val="0"/>
      <w:divBdr>
        <w:top w:val="none" w:sz="0" w:space="0" w:color="auto"/>
        <w:left w:val="none" w:sz="0" w:space="0" w:color="auto"/>
        <w:bottom w:val="none" w:sz="0" w:space="0" w:color="auto"/>
        <w:right w:val="none" w:sz="0" w:space="0" w:color="auto"/>
      </w:divBdr>
    </w:div>
    <w:div w:id="785461819">
      <w:bodyDiv w:val="1"/>
      <w:marLeft w:val="0"/>
      <w:marRight w:val="0"/>
      <w:marTop w:val="0"/>
      <w:marBottom w:val="0"/>
      <w:divBdr>
        <w:top w:val="none" w:sz="0" w:space="0" w:color="auto"/>
        <w:left w:val="none" w:sz="0" w:space="0" w:color="auto"/>
        <w:bottom w:val="none" w:sz="0" w:space="0" w:color="auto"/>
        <w:right w:val="none" w:sz="0" w:space="0" w:color="auto"/>
      </w:divBdr>
    </w:div>
    <w:div w:id="906500545">
      <w:bodyDiv w:val="1"/>
      <w:marLeft w:val="0"/>
      <w:marRight w:val="0"/>
      <w:marTop w:val="0"/>
      <w:marBottom w:val="0"/>
      <w:divBdr>
        <w:top w:val="none" w:sz="0" w:space="0" w:color="auto"/>
        <w:left w:val="none" w:sz="0" w:space="0" w:color="auto"/>
        <w:bottom w:val="none" w:sz="0" w:space="0" w:color="auto"/>
        <w:right w:val="none" w:sz="0" w:space="0" w:color="auto"/>
      </w:divBdr>
    </w:div>
    <w:div w:id="952828138">
      <w:bodyDiv w:val="1"/>
      <w:marLeft w:val="0"/>
      <w:marRight w:val="0"/>
      <w:marTop w:val="0"/>
      <w:marBottom w:val="0"/>
      <w:divBdr>
        <w:top w:val="none" w:sz="0" w:space="0" w:color="auto"/>
        <w:left w:val="none" w:sz="0" w:space="0" w:color="auto"/>
        <w:bottom w:val="none" w:sz="0" w:space="0" w:color="auto"/>
        <w:right w:val="none" w:sz="0" w:space="0" w:color="auto"/>
      </w:divBdr>
    </w:div>
    <w:div w:id="984897703">
      <w:bodyDiv w:val="1"/>
      <w:marLeft w:val="0"/>
      <w:marRight w:val="0"/>
      <w:marTop w:val="0"/>
      <w:marBottom w:val="0"/>
      <w:divBdr>
        <w:top w:val="none" w:sz="0" w:space="0" w:color="auto"/>
        <w:left w:val="none" w:sz="0" w:space="0" w:color="auto"/>
        <w:bottom w:val="none" w:sz="0" w:space="0" w:color="auto"/>
        <w:right w:val="none" w:sz="0" w:space="0" w:color="auto"/>
      </w:divBdr>
    </w:div>
    <w:div w:id="1002392463">
      <w:bodyDiv w:val="1"/>
      <w:marLeft w:val="0"/>
      <w:marRight w:val="0"/>
      <w:marTop w:val="0"/>
      <w:marBottom w:val="0"/>
      <w:divBdr>
        <w:top w:val="none" w:sz="0" w:space="0" w:color="auto"/>
        <w:left w:val="none" w:sz="0" w:space="0" w:color="auto"/>
        <w:bottom w:val="none" w:sz="0" w:space="0" w:color="auto"/>
        <w:right w:val="none" w:sz="0" w:space="0" w:color="auto"/>
      </w:divBdr>
    </w:div>
    <w:div w:id="1074351092">
      <w:bodyDiv w:val="1"/>
      <w:marLeft w:val="0"/>
      <w:marRight w:val="0"/>
      <w:marTop w:val="0"/>
      <w:marBottom w:val="0"/>
      <w:divBdr>
        <w:top w:val="none" w:sz="0" w:space="0" w:color="auto"/>
        <w:left w:val="none" w:sz="0" w:space="0" w:color="auto"/>
        <w:bottom w:val="none" w:sz="0" w:space="0" w:color="auto"/>
        <w:right w:val="none" w:sz="0" w:space="0" w:color="auto"/>
      </w:divBdr>
    </w:div>
    <w:div w:id="1091973658">
      <w:bodyDiv w:val="1"/>
      <w:marLeft w:val="0"/>
      <w:marRight w:val="0"/>
      <w:marTop w:val="0"/>
      <w:marBottom w:val="0"/>
      <w:divBdr>
        <w:top w:val="none" w:sz="0" w:space="0" w:color="auto"/>
        <w:left w:val="none" w:sz="0" w:space="0" w:color="auto"/>
        <w:bottom w:val="none" w:sz="0" w:space="0" w:color="auto"/>
        <w:right w:val="none" w:sz="0" w:space="0" w:color="auto"/>
      </w:divBdr>
    </w:div>
    <w:div w:id="1114328362">
      <w:bodyDiv w:val="1"/>
      <w:marLeft w:val="0"/>
      <w:marRight w:val="0"/>
      <w:marTop w:val="0"/>
      <w:marBottom w:val="0"/>
      <w:divBdr>
        <w:top w:val="none" w:sz="0" w:space="0" w:color="auto"/>
        <w:left w:val="none" w:sz="0" w:space="0" w:color="auto"/>
        <w:bottom w:val="none" w:sz="0" w:space="0" w:color="auto"/>
        <w:right w:val="none" w:sz="0" w:space="0" w:color="auto"/>
      </w:divBdr>
    </w:div>
    <w:div w:id="1232497524">
      <w:bodyDiv w:val="1"/>
      <w:marLeft w:val="0"/>
      <w:marRight w:val="0"/>
      <w:marTop w:val="0"/>
      <w:marBottom w:val="0"/>
      <w:divBdr>
        <w:top w:val="none" w:sz="0" w:space="0" w:color="auto"/>
        <w:left w:val="none" w:sz="0" w:space="0" w:color="auto"/>
        <w:bottom w:val="none" w:sz="0" w:space="0" w:color="auto"/>
        <w:right w:val="none" w:sz="0" w:space="0" w:color="auto"/>
      </w:divBdr>
    </w:div>
    <w:div w:id="1241673793">
      <w:bodyDiv w:val="1"/>
      <w:marLeft w:val="0"/>
      <w:marRight w:val="0"/>
      <w:marTop w:val="0"/>
      <w:marBottom w:val="0"/>
      <w:divBdr>
        <w:top w:val="none" w:sz="0" w:space="0" w:color="auto"/>
        <w:left w:val="none" w:sz="0" w:space="0" w:color="auto"/>
        <w:bottom w:val="none" w:sz="0" w:space="0" w:color="auto"/>
        <w:right w:val="none" w:sz="0" w:space="0" w:color="auto"/>
      </w:divBdr>
    </w:div>
    <w:div w:id="1258518090">
      <w:bodyDiv w:val="1"/>
      <w:marLeft w:val="0"/>
      <w:marRight w:val="0"/>
      <w:marTop w:val="0"/>
      <w:marBottom w:val="0"/>
      <w:divBdr>
        <w:top w:val="none" w:sz="0" w:space="0" w:color="auto"/>
        <w:left w:val="none" w:sz="0" w:space="0" w:color="auto"/>
        <w:bottom w:val="none" w:sz="0" w:space="0" w:color="auto"/>
        <w:right w:val="none" w:sz="0" w:space="0" w:color="auto"/>
      </w:divBdr>
    </w:div>
    <w:div w:id="1272785218">
      <w:bodyDiv w:val="1"/>
      <w:marLeft w:val="0"/>
      <w:marRight w:val="0"/>
      <w:marTop w:val="0"/>
      <w:marBottom w:val="0"/>
      <w:divBdr>
        <w:top w:val="none" w:sz="0" w:space="0" w:color="auto"/>
        <w:left w:val="none" w:sz="0" w:space="0" w:color="auto"/>
        <w:bottom w:val="none" w:sz="0" w:space="0" w:color="auto"/>
        <w:right w:val="none" w:sz="0" w:space="0" w:color="auto"/>
      </w:divBdr>
    </w:div>
    <w:div w:id="1302809373">
      <w:bodyDiv w:val="1"/>
      <w:marLeft w:val="0"/>
      <w:marRight w:val="0"/>
      <w:marTop w:val="0"/>
      <w:marBottom w:val="0"/>
      <w:divBdr>
        <w:top w:val="none" w:sz="0" w:space="0" w:color="auto"/>
        <w:left w:val="none" w:sz="0" w:space="0" w:color="auto"/>
        <w:bottom w:val="none" w:sz="0" w:space="0" w:color="auto"/>
        <w:right w:val="none" w:sz="0" w:space="0" w:color="auto"/>
      </w:divBdr>
    </w:div>
    <w:div w:id="1369523042">
      <w:bodyDiv w:val="1"/>
      <w:marLeft w:val="0"/>
      <w:marRight w:val="0"/>
      <w:marTop w:val="0"/>
      <w:marBottom w:val="0"/>
      <w:divBdr>
        <w:top w:val="none" w:sz="0" w:space="0" w:color="auto"/>
        <w:left w:val="none" w:sz="0" w:space="0" w:color="auto"/>
        <w:bottom w:val="none" w:sz="0" w:space="0" w:color="auto"/>
        <w:right w:val="none" w:sz="0" w:space="0" w:color="auto"/>
      </w:divBdr>
    </w:div>
    <w:div w:id="1376468513">
      <w:bodyDiv w:val="1"/>
      <w:marLeft w:val="0"/>
      <w:marRight w:val="0"/>
      <w:marTop w:val="0"/>
      <w:marBottom w:val="0"/>
      <w:divBdr>
        <w:top w:val="none" w:sz="0" w:space="0" w:color="auto"/>
        <w:left w:val="none" w:sz="0" w:space="0" w:color="auto"/>
        <w:bottom w:val="none" w:sz="0" w:space="0" w:color="auto"/>
        <w:right w:val="none" w:sz="0" w:space="0" w:color="auto"/>
      </w:divBdr>
    </w:div>
    <w:div w:id="1419865683">
      <w:bodyDiv w:val="1"/>
      <w:marLeft w:val="0"/>
      <w:marRight w:val="0"/>
      <w:marTop w:val="0"/>
      <w:marBottom w:val="0"/>
      <w:divBdr>
        <w:top w:val="none" w:sz="0" w:space="0" w:color="auto"/>
        <w:left w:val="none" w:sz="0" w:space="0" w:color="auto"/>
        <w:bottom w:val="none" w:sz="0" w:space="0" w:color="auto"/>
        <w:right w:val="none" w:sz="0" w:space="0" w:color="auto"/>
      </w:divBdr>
    </w:div>
    <w:div w:id="1428844367">
      <w:bodyDiv w:val="1"/>
      <w:marLeft w:val="0"/>
      <w:marRight w:val="0"/>
      <w:marTop w:val="0"/>
      <w:marBottom w:val="0"/>
      <w:divBdr>
        <w:top w:val="none" w:sz="0" w:space="0" w:color="auto"/>
        <w:left w:val="none" w:sz="0" w:space="0" w:color="auto"/>
        <w:bottom w:val="none" w:sz="0" w:space="0" w:color="auto"/>
        <w:right w:val="none" w:sz="0" w:space="0" w:color="auto"/>
      </w:divBdr>
    </w:div>
    <w:div w:id="1430197850">
      <w:bodyDiv w:val="1"/>
      <w:marLeft w:val="0"/>
      <w:marRight w:val="0"/>
      <w:marTop w:val="0"/>
      <w:marBottom w:val="0"/>
      <w:divBdr>
        <w:top w:val="none" w:sz="0" w:space="0" w:color="auto"/>
        <w:left w:val="none" w:sz="0" w:space="0" w:color="auto"/>
        <w:bottom w:val="none" w:sz="0" w:space="0" w:color="auto"/>
        <w:right w:val="none" w:sz="0" w:space="0" w:color="auto"/>
      </w:divBdr>
    </w:div>
    <w:div w:id="1569417755">
      <w:bodyDiv w:val="1"/>
      <w:marLeft w:val="0"/>
      <w:marRight w:val="0"/>
      <w:marTop w:val="0"/>
      <w:marBottom w:val="0"/>
      <w:divBdr>
        <w:top w:val="none" w:sz="0" w:space="0" w:color="auto"/>
        <w:left w:val="none" w:sz="0" w:space="0" w:color="auto"/>
        <w:bottom w:val="none" w:sz="0" w:space="0" w:color="auto"/>
        <w:right w:val="none" w:sz="0" w:space="0" w:color="auto"/>
      </w:divBdr>
    </w:div>
    <w:div w:id="1588881441">
      <w:bodyDiv w:val="1"/>
      <w:marLeft w:val="0"/>
      <w:marRight w:val="0"/>
      <w:marTop w:val="0"/>
      <w:marBottom w:val="0"/>
      <w:divBdr>
        <w:top w:val="none" w:sz="0" w:space="0" w:color="auto"/>
        <w:left w:val="none" w:sz="0" w:space="0" w:color="auto"/>
        <w:bottom w:val="none" w:sz="0" w:space="0" w:color="auto"/>
        <w:right w:val="none" w:sz="0" w:space="0" w:color="auto"/>
      </w:divBdr>
    </w:div>
    <w:div w:id="1612661946">
      <w:bodyDiv w:val="1"/>
      <w:marLeft w:val="0"/>
      <w:marRight w:val="0"/>
      <w:marTop w:val="0"/>
      <w:marBottom w:val="0"/>
      <w:divBdr>
        <w:top w:val="none" w:sz="0" w:space="0" w:color="auto"/>
        <w:left w:val="none" w:sz="0" w:space="0" w:color="auto"/>
        <w:bottom w:val="none" w:sz="0" w:space="0" w:color="auto"/>
        <w:right w:val="none" w:sz="0" w:space="0" w:color="auto"/>
      </w:divBdr>
    </w:div>
    <w:div w:id="1622882955">
      <w:bodyDiv w:val="1"/>
      <w:marLeft w:val="0"/>
      <w:marRight w:val="0"/>
      <w:marTop w:val="0"/>
      <w:marBottom w:val="0"/>
      <w:divBdr>
        <w:top w:val="none" w:sz="0" w:space="0" w:color="auto"/>
        <w:left w:val="none" w:sz="0" w:space="0" w:color="auto"/>
        <w:bottom w:val="none" w:sz="0" w:space="0" w:color="auto"/>
        <w:right w:val="none" w:sz="0" w:space="0" w:color="auto"/>
      </w:divBdr>
    </w:div>
    <w:div w:id="1630209033">
      <w:bodyDiv w:val="1"/>
      <w:marLeft w:val="0"/>
      <w:marRight w:val="0"/>
      <w:marTop w:val="0"/>
      <w:marBottom w:val="0"/>
      <w:divBdr>
        <w:top w:val="none" w:sz="0" w:space="0" w:color="auto"/>
        <w:left w:val="none" w:sz="0" w:space="0" w:color="auto"/>
        <w:bottom w:val="none" w:sz="0" w:space="0" w:color="auto"/>
        <w:right w:val="none" w:sz="0" w:space="0" w:color="auto"/>
      </w:divBdr>
    </w:div>
    <w:div w:id="1637492996">
      <w:bodyDiv w:val="1"/>
      <w:marLeft w:val="0"/>
      <w:marRight w:val="0"/>
      <w:marTop w:val="0"/>
      <w:marBottom w:val="0"/>
      <w:divBdr>
        <w:top w:val="none" w:sz="0" w:space="0" w:color="auto"/>
        <w:left w:val="none" w:sz="0" w:space="0" w:color="auto"/>
        <w:bottom w:val="none" w:sz="0" w:space="0" w:color="auto"/>
        <w:right w:val="none" w:sz="0" w:space="0" w:color="auto"/>
      </w:divBdr>
    </w:div>
    <w:div w:id="1662544038">
      <w:bodyDiv w:val="1"/>
      <w:marLeft w:val="0"/>
      <w:marRight w:val="0"/>
      <w:marTop w:val="0"/>
      <w:marBottom w:val="0"/>
      <w:divBdr>
        <w:top w:val="none" w:sz="0" w:space="0" w:color="auto"/>
        <w:left w:val="none" w:sz="0" w:space="0" w:color="auto"/>
        <w:bottom w:val="none" w:sz="0" w:space="0" w:color="auto"/>
        <w:right w:val="none" w:sz="0" w:space="0" w:color="auto"/>
      </w:divBdr>
    </w:div>
    <w:div w:id="1695186312">
      <w:bodyDiv w:val="1"/>
      <w:marLeft w:val="0"/>
      <w:marRight w:val="0"/>
      <w:marTop w:val="0"/>
      <w:marBottom w:val="0"/>
      <w:divBdr>
        <w:top w:val="none" w:sz="0" w:space="0" w:color="auto"/>
        <w:left w:val="none" w:sz="0" w:space="0" w:color="auto"/>
        <w:bottom w:val="none" w:sz="0" w:space="0" w:color="auto"/>
        <w:right w:val="none" w:sz="0" w:space="0" w:color="auto"/>
      </w:divBdr>
    </w:div>
    <w:div w:id="1740329323">
      <w:bodyDiv w:val="1"/>
      <w:marLeft w:val="0"/>
      <w:marRight w:val="0"/>
      <w:marTop w:val="0"/>
      <w:marBottom w:val="0"/>
      <w:divBdr>
        <w:top w:val="none" w:sz="0" w:space="0" w:color="auto"/>
        <w:left w:val="none" w:sz="0" w:space="0" w:color="auto"/>
        <w:bottom w:val="none" w:sz="0" w:space="0" w:color="auto"/>
        <w:right w:val="none" w:sz="0" w:space="0" w:color="auto"/>
      </w:divBdr>
    </w:div>
    <w:div w:id="1805661252">
      <w:bodyDiv w:val="1"/>
      <w:marLeft w:val="0"/>
      <w:marRight w:val="0"/>
      <w:marTop w:val="0"/>
      <w:marBottom w:val="0"/>
      <w:divBdr>
        <w:top w:val="none" w:sz="0" w:space="0" w:color="auto"/>
        <w:left w:val="none" w:sz="0" w:space="0" w:color="auto"/>
        <w:bottom w:val="none" w:sz="0" w:space="0" w:color="auto"/>
        <w:right w:val="none" w:sz="0" w:space="0" w:color="auto"/>
      </w:divBdr>
    </w:div>
    <w:div w:id="1850481337">
      <w:bodyDiv w:val="1"/>
      <w:marLeft w:val="0"/>
      <w:marRight w:val="0"/>
      <w:marTop w:val="0"/>
      <w:marBottom w:val="0"/>
      <w:divBdr>
        <w:top w:val="none" w:sz="0" w:space="0" w:color="auto"/>
        <w:left w:val="none" w:sz="0" w:space="0" w:color="auto"/>
        <w:bottom w:val="none" w:sz="0" w:space="0" w:color="auto"/>
        <w:right w:val="none" w:sz="0" w:space="0" w:color="auto"/>
      </w:divBdr>
    </w:div>
    <w:div w:id="1885872214">
      <w:bodyDiv w:val="1"/>
      <w:marLeft w:val="0"/>
      <w:marRight w:val="0"/>
      <w:marTop w:val="0"/>
      <w:marBottom w:val="0"/>
      <w:divBdr>
        <w:top w:val="none" w:sz="0" w:space="0" w:color="auto"/>
        <w:left w:val="none" w:sz="0" w:space="0" w:color="auto"/>
        <w:bottom w:val="none" w:sz="0" w:space="0" w:color="auto"/>
        <w:right w:val="none" w:sz="0" w:space="0" w:color="auto"/>
      </w:divBdr>
    </w:div>
    <w:div w:id="1890415640">
      <w:bodyDiv w:val="1"/>
      <w:marLeft w:val="0"/>
      <w:marRight w:val="0"/>
      <w:marTop w:val="0"/>
      <w:marBottom w:val="0"/>
      <w:divBdr>
        <w:top w:val="none" w:sz="0" w:space="0" w:color="auto"/>
        <w:left w:val="none" w:sz="0" w:space="0" w:color="auto"/>
        <w:bottom w:val="none" w:sz="0" w:space="0" w:color="auto"/>
        <w:right w:val="none" w:sz="0" w:space="0" w:color="auto"/>
      </w:divBdr>
    </w:div>
    <w:div w:id="1918704795">
      <w:bodyDiv w:val="1"/>
      <w:marLeft w:val="0"/>
      <w:marRight w:val="0"/>
      <w:marTop w:val="0"/>
      <w:marBottom w:val="0"/>
      <w:divBdr>
        <w:top w:val="none" w:sz="0" w:space="0" w:color="auto"/>
        <w:left w:val="none" w:sz="0" w:space="0" w:color="auto"/>
        <w:bottom w:val="none" w:sz="0" w:space="0" w:color="auto"/>
        <w:right w:val="none" w:sz="0" w:space="0" w:color="auto"/>
      </w:divBdr>
    </w:div>
    <w:div w:id="1948849500">
      <w:bodyDiv w:val="1"/>
      <w:marLeft w:val="0"/>
      <w:marRight w:val="0"/>
      <w:marTop w:val="0"/>
      <w:marBottom w:val="0"/>
      <w:divBdr>
        <w:top w:val="none" w:sz="0" w:space="0" w:color="auto"/>
        <w:left w:val="none" w:sz="0" w:space="0" w:color="auto"/>
        <w:bottom w:val="none" w:sz="0" w:space="0" w:color="auto"/>
        <w:right w:val="none" w:sz="0" w:space="0" w:color="auto"/>
      </w:divBdr>
    </w:div>
    <w:div w:id="1948921351">
      <w:bodyDiv w:val="1"/>
      <w:marLeft w:val="0"/>
      <w:marRight w:val="0"/>
      <w:marTop w:val="0"/>
      <w:marBottom w:val="0"/>
      <w:divBdr>
        <w:top w:val="none" w:sz="0" w:space="0" w:color="auto"/>
        <w:left w:val="none" w:sz="0" w:space="0" w:color="auto"/>
        <w:bottom w:val="none" w:sz="0" w:space="0" w:color="auto"/>
        <w:right w:val="none" w:sz="0" w:space="0" w:color="auto"/>
      </w:divBdr>
    </w:div>
    <w:div w:id="2010020614">
      <w:bodyDiv w:val="1"/>
      <w:marLeft w:val="0"/>
      <w:marRight w:val="0"/>
      <w:marTop w:val="0"/>
      <w:marBottom w:val="0"/>
      <w:divBdr>
        <w:top w:val="none" w:sz="0" w:space="0" w:color="auto"/>
        <w:left w:val="none" w:sz="0" w:space="0" w:color="auto"/>
        <w:bottom w:val="none" w:sz="0" w:space="0" w:color="auto"/>
        <w:right w:val="none" w:sz="0" w:space="0" w:color="auto"/>
      </w:divBdr>
    </w:div>
    <w:div w:id="2055426570">
      <w:bodyDiv w:val="1"/>
      <w:marLeft w:val="0"/>
      <w:marRight w:val="0"/>
      <w:marTop w:val="0"/>
      <w:marBottom w:val="0"/>
      <w:divBdr>
        <w:top w:val="none" w:sz="0" w:space="0" w:color="auto"/>
        <w:left w:val="none" w:sz="0" w:space="0" w:color="auto"/>
        <w:bottom w:val="none" w:sz="0" w:space="0" w:color="auto"/>
        <w:right w:val="none" w:sz="0" w:space="0" w:color="auto"/>
      </w:divBdr>
    </w:div>
    <w:div w:id="21176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2" ma:contentTypeDescription="Create a new document." ma:contentTypeScope="" ma:versionID="9df2e18b12c481a8a8f47eed5e5c435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96efd56410b40290b99335708f9068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2379-0C62-4265-A983-0A7CB73E6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08EA5-A59E-472F-A87E-22759722A5AE}">
  <ds:schemaRefs>
    <ds:schemaRef ds:uri="http://schemas.microsoft.com/sharepoint/v3/contenttype/forms"/>
  </ds:schemaRefs>
</ds:datastoreItem>
</file>

<file path=customXml/itemProps3.xml><?xml version="1.0" encoding="utf-8"?>
<ds:datastoreItem xmlns:ds="http://schemas.openxmlformats.org/officeDocument/2006/customXml" ds:itemID="{901479AC-3A90-4977-98D1-31250C1380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BE2FC-85F0-4C3B-8051-FDC7D9BD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5</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Hieu@Energy</dc:creator>
  <cp:keywords/>
  <dc:description/>
  <cp:lastModifiedBy>Piper, Kevyn@Energy</cp:lastModifiedBy>
  <cp:revision>3</cp:revision>
  <cp:lastPrinted>2019-09-23T22:03:00Z</cp:lastPrinted>
  <dcterms:created xsi:type="dcterms:W3CDTF">2021-08-24T23:26:00Z</dcterms:created>
  <dcterms:modified xsi:type="dcterms:W3CDTF">2021-08-25T15:49:00Z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