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D96C" w14:textId="77777777" w:rsidR="003B32F0" w:rsidRPr="005A2DF5" w:rsidRDefault="003B32F0" w:rsidP="003B32F0">
      <w:pPr>
        <w:keepLines/>
        <w:widowControl w:val="0"/>
        <w:ind w:right="-216"/>
        <w:jc w:val="center"/>
        <w:rPr>
          <w:b/>
          <w:sz w:val="40"/>
          <w:szCs w:val="40"/>
        </w:rPr>
      </w:pPr>
      <w:r w:rsidRPr="005A2DF5">
        <w:rPr>
          <w:b/>
          <w:sz w:val="40"/>
          <w:szCs w:val="40"/>
        </w:rPr>
        <w:t>GRANT FUNDING OPPORTUNITY</w:t>
      </w:r>
    </w:p>
    <w:p w14:paraId="789CBE27" w14:textId="77777777" w:rsidR="003B32F0" w:rsidRPr="005A2DF5" w:rsidRDefault="003B32F0" w:rsidP="003B32F0">
      <w:pPr>
        <w:keepLines/>
        <w:widowControl w:val="0"/>
        <w:ind w:right="-216"/>
        <w:jc w:val="center"/>
        <w:rPr>
          <w:b/>
          <w:color w:val="C00000"/>
          <w:szCs w:val="22"/>
          <w:u w:val="single"/>
        </w:rPr>
      </w:pPr>
    </w:p>
    <w:p w14:paraId="3037C7AB" w14:textId="77777777" w:rsidR="003B32F0" w:rsidRPr="00D07105" w:rsidRDefault="003B32F0" w:rsidP="003B32F0">
      <w:pPr>
        <w:jc w:val="center"/>
        <w:rPr>
          <w:rFonts w:eastAsia="Arial"/>
          <w:color w:val="000000" w:themeColor="text1"/>
          <w:sz w:val="36"/>
          <w:szCs w:val="36"/>
        </w:rPr>
      </w:pPr>
      <w:r w:rsidRPr="58392BF8">
        <w:rPr>
          <w:rFonts w:eastAsia="Arial"/>
          <w:b/>
          <w:bCs/>
          <w:color w:val="000000" w:themeColor="text1"/>
          <w:sz w:val="36"/>
          <w:szCs w:val="36"/>
        </w:rPr>
        <w:t xml:space="preserve"> </w:t>
      </w:r>
      <w:r w:rsidRPr="0017036A">
        <w:rPr>
          <w:rStyle w:val="normaltextrun"/>
          <w:b/>
          <w:bCs/>
          <w:sz w:val="36"/>
          <w:szCs w:val="36"/>
          <w:shd w:val="clear" w:color="auto" w:fill="FFFFFF"/>
        </w:rPr>
        <w:t>Research to Support a Climate Resilient Transition to a Clean Electricity System</w:t>
      </w:r>
    </w:p>
    <w:p w14:paraId="66F3BB5E" w14:textId="77777777" w:rsidR="003B32F0" w:rsidRDefault="003B32F0" w:rsidP="003B32F0">
      <w:pPr>
        <w:keepLines/>
        <w:widowControl w:val="0"/>
        <w:jc w:val="center"/>
        <w:rPr>
          <w:b/>
          <w:sz w:val="36"/>
        </w:rPr>
      </w:pPr>
    </w:p>
    <w:p w14:paraId="2F67F398" w14:textId="77777777" w:rsidR="003B32F0" w:rsidRDefault="003B32F0" w:rsidP="003B32F0">
      <w:pPr>
        <w:keepLines/>
        <w:widowControl w:val="0"/>
        <w:jc w:val="center"/>
        <w:rPr>
          <w:b/>
          <w:sz w:val="36"/>
          <w:szCs w:val="36"/>
        </w:rPr>
      </w:pPr>
      <w:r>
        <w:rPr>
          <w:b/>
          <w:sz w:val="36"/>
          <w:szCs w:val="36"/>
        </w:rPr>
        <w:t>EPIC Program</w:t>
      </w:r>
    </w:p>
    <w:p w14:paraId="41F8DE05" w14:textId="77777777" w:rsidR="003B32F0" w:rsidRPr="005A2DF5" w:rsidRDefault="003B32F0" w:rsidP="003B32F0">
      <w:pPr>
        <w:keepLines/>
        <w:widowControl w:val="0"/>
        <w:jc w:val="center"/>
        <w:rPr>
          <w:rFonts w:ascii="Times New Roman" w:hAnsi="Times New Roman"/>
          <w:sz w:val="144"/>
          <w:szCs w:val="144"/>
        </w:rPr>
      </w:pPr>
    </w:p>
    <w:p w14:paraId="036A2A74" w14:textId="77777777" w:rsidR="003B32F0" w:rsidRPr="005A2DF5" w:rsidRDefault="003B32F0" w:rsidP="003B32F0">
      <w:pPr>
        <w:keepLines/>
        <w:widowControl w:val="0"/>
        <w:jc w:val="center"/>
        <w:rPr>
          <w:szCs w:val="22"/>
        </w:rPr>
      </w:pPr>
      <w:r>
        <w:rPr>
          <w:noProof/>
        </w:rPr>
        <w:drawing>
          <wp:inline distT="0" distB="0" distL="0" distR="0" wp14:anchorId="0C24E4C1" wp14:editId="7E6882F2">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1AEB664E" w14:textId="77777777" w:rsidR="003B32F0" w:rsidRPr="005A2DF5" w:rsidRDefault="003B32F0" w:rsidP="003B32F0">
      <w:pPr>
        <w:keepLines/>
        <w:widowControl w:val="0"/>
        <w:jc w:val="center"/>
        <w:rPr>
          <w:b/>
          <w:color w:val="00B0F0"/>
          <w:szCs w:val="22"/>
        </w:rPr>
      </w:pPr>
    </w:p>
    <w:p w14:paraId="53C080B9" w14:textId="77777777" w:rsidR="003B32F0" w:rsidRPr="0017036A" w:rsidRDefault="003B32F0" w:rsidP="003B32F0">
      <w:pPr>
        <w:keepLines/>
        <w:widowControl w:val="0"/>
        <w:jc w:val="center"/>
        <w:rPr>
          <w:b/>
          <w:sz w:val="24"/>
        </w:rPr>
      </w:pPr>
      <w:r w:rsidRPr="0017036A">
        <w:rPr>
          <w:b/>
          <w:sz w:val="24"/>
          <w:szCs w:val="22"/>
        </w:rPr>
        <w:t>GFO-21-302</w:t>
      </w:r>
    </w:p>
    <w:p w14:paraId="1B171080" w14:textId="77777777" w:rsidR="003B32F0" w:rsidRPr="00B570C0" w:rsidRDefault="003B32F0" w:rsidP="003B32F0">
      <w:pPr>
        <w:keepLines/>
        <w:widowControl w:val="0"/>
        <w:jc w:val="center"/>
        <w:rPr>
          <w:color w:val="0432FF"/>
          <w:sz w:val="24"/>
          <w:szCs w:val="22"/>
        </w:rPr>
      </w:pPr>
      <w:r w:rsidRPr="00B570C0">
        <w:rPr>
          <w:color w:val="0432FF"/>
          <w:sz w:val="24"/>
          <w:szCs w:val="22"/>
          <w:u w:val="single"/>
        </w:rPr>
        <w:t>http://www.energy.ca.gov/contracts/index.html</w:t>
      </w:r>
    </w:p>
    <w:p w14:paraId="5EE0C96D" w14:textId="77777777" w:rsidR="003B32F0" w:rsidRPr="0017036A" w:rsidRDefault="003B32F0" w:rsidP="003B32F0">
      <w:pPr>
        <w:keepLines/>
        <w:widowControl w:val="0"/>
        <w:jc w:val="center"/>
        <w:rPr>
          <w:b/>
          <w:sz w:val="24"/>
          <w:szCs w:val="22"/>
        </w:rPr>
      </w:pPr>
      <w:r w:rsidRPr="0017036A">
        <w:rPr>
          <w:b/>
          <w:sz w:val="24"/>
          <w:szCs w:val="22"/>
        </w:rPr>
        <w:t>State of California</w:t>
      </w:r>
    </w:p>
    <w:p w14:paraId="709C4D03" w14:textId="77777777" w:rsidR="003B32F0" w:rsidRPr="0017036A" w:rsidRDefault="003B32F0" w:rsidP="003B32F0">
      <w:pPr>
        <w:keepLines/>
        <w:widowControl w:val="0"/>
        <w:jc w:val="center"/>
        <w:rPr>
          <w:b/>
          <w:sz w:val="24"/>
          <w:szCs w:val="22"/>
        </w:rPr>
      </w:pPr>
      <w:r w:rsidRPr="0017036A">
        <w:rPr>
          <w:b/>
          <w:sz w:val="24"/>
          <w:szCs w:val="22"/>
        </w:rPr>
        <w:t>California Energy Commission</w:t>
      </w:r>
    </w:p>
    <w:p w14:paraId="374353F1" w14:textId="77777777" w:rsidR="003B32F0" w:rsidRPr="0017036A" w:rsidRDefault="003B32F0" w:rsidP="003B32F0">
      <w:pPr>
        <w:keepLines/>
        <w:widowControl w:val="0"/>
        <w:tabs>
          <w:tab w:val="left" w:pos="1440"/>
        </w:tabs>
        <w:jc w:val="center"/>
        <w:sectPr w:rsidR="003B32F0" w:rsidRPr="0017036A" w:rsidSect="006D46A0">
          <w:footerReference w:type="default" r:id="rId11"/>
          <w:pgSz w:w="12240" w:h="15840" w:code="1"/>
          <w:pgMar w:top="1440" w:right="1440" w:bottom="1440" w:left="1440" w:header="1008" w:footer="432" w:gutter="0"/>
          <w:pgNumType w:fmt="lowerRoman" w:start="1"/>
          <w:cols w:space="720"/>
        </w:sectPr>
      </w:pPr>
      <w:r w:rsidRPr="0017036A">
        <w:t>October 2021</w:t>
      </w:r>
    </w:p>
    <w:p w14:paraId="2CF8151A" w14:textId="77777777" w:rsidR="003B32F0" w:rsidRPr="005A2DF5" w:rsidRDefault="003B32F0" w:rsidP="003B32F0">
      <w:pPr>
        <w:keepLines/>
        <w:widowControl w:val="0"/>
        <w:tabs>
          <w:tab w:val="left" w:pos="1440"/>
        </w:tabs>
        <w:rPr>
          <w:color w:val="0070C0"/>
          <w:szCs w:val="22"/>
        </w:rPr>
        <w:sectPr w:rsidR="003B32F0" w:rsidRPr="005A2DF5" w:rsidSect="006D46A0">
          <w:footerReference w:type="default" r:id="rId12"/>
          <w:type w:val="continuous"/>
          <w:pgSz w:w="12240" w:h="15840" w:code="1"/>
          <w:pgMar w:top="1440" w:right="1440" w:bottom="1440" w:left="1440" w:header="1008" w:footer="432" w:gutter="0"/>
          <w:pgNumType w:fmt="lowerRoman" w:start="1"/>
          <w:cols w:space="720"/>
        </w:sectPr>
      </w:pPr>
    </w:p>
    <w:p w14:paraId="444E4409" w14:textId="77777777" w:rsidR="003B32F0" w:rsidRPr="00C31C1D" w:rsidRDefault="003B32F0" w:rsidP="003B32F0">
      <w:pPr>
        <w:pStyle w:val="Heading5"/>
        <w:keepLines/>
        <w:spacing w:after="120"/>
        <w:jc w:val="both"/>
        <w:rPr>
          <w:sz w:val="28"/>
          <w:szCs w:val="28"/>
        </w:rPr>
      </w:pPr>
      <w:r w:rsidRPr="00C31C1D">
        <w:rPr>
          <w:sz w:val="28"/>
          <w:szCs w:val="28"/>
        </w:rPr>
        <w:lastRenderedPageBreak/>
        <w:t>Table of Contents</w:t>
      </w:r>
    </w:p>
    <w:p w14:paraId="510728CD" w14:textId="27D14D65" w:rsidR="00381046" w:rsidRDefault="003B32F0">
      <w:pPr>
        <w:pStyle w:val="TOC1"/>
        <w:rPr>
          <w:rFonts w:asciiTheme="minorHAnsi" w:eastAsiaTheme="minorEastAsia" w:hAnsiTheme="minorHAnsi" w:cstheme="minorBidi"/>
          <w:b w:val="0"/>
          <w:bCs w:val="0"/>
          <w:caps w:val="0"/>
          <w:noProof/>
          <w:sz w:val="24"/>
          <w:szCs w:val="24"/>
        </w:rPr>
      </w:pPr>
      <w:r w:rsidRPr="0070672A">
        <w:rPr>
          <w:rFonts w:ascii="Arial" w:hAnsi="Arial"/>
          <w:b w:val="0"/>
          <w:bCs w:val="0"/>
          <w:caps w:val="0"/>
          <w:noProof/>
          <w:color w:val="2B579A"/>
          <w:sz w:val="22"/>
          <w:szCs w:val="22"/>
          <w:shd w:val="clear" w:color="auto" w:fill="E6E6E6"/>
        </w:rPr>
        <w:fldChar w:fldCharType="begin"/>
      </w:r>
      <w:r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381046">
        <w:rPr>
          <w:noProof/>
        </w:rPr>
        <w:t>I.</w:t>
      </w:r>
      <w:r w:rsidR="00381046">
        <w:rPr>
          <w:rFonts w:asciiTheme="minorHAnsi" w:eastAsiaTheme="minorEastAsia" w:hAnsiTheme="minorHAnsi" w:cstheme="minorBidi"/>
          <w:b w:val="0"/>
          <w:bCs w:val="0"/>
          <w:caps w:val="0"/>
          <w:noProof/>
          <w:sz w:val="24"/>
          <w:szCs w:val="24"/>
        </w:rPr>
        <w:tab/>
      </w:r>
      <w:r w:rsidR="00381046">
        <w:rPr>
          <w:noProof/>
        </w:rPr>
        <w:t>Introduction</w:t>
      </w:r>
      <w:r w:rsidR="00381046">
        <w:rPr>
          <w:noProof/>
        </w:rPr>
        <w:tab/>
      </w:r>
      <w:r w:rsidR="00381046">
        <w:rPr>
          <w:noProof/>
        </w:rPr>
        <w:fldChar w:fldCharType="begin"/>
      </w:r>
      <w:r w:rsidR="00381046">
        <w:rPr>
          <w:noProof/>
        </w:rPr>
        <w:instrText xml:space="preserve"> PAGEREF _Toc84844910 \h </w:instrText>
      </w:r>
      <w:r w:rsidR="00381046">
        <w:rPr>
          <w:noProof/>
        </w:rPr>
      </w:r>
      <w:r w:rsidR="00381046">
        <w:rPr>
          <w:noProof/>
        </w:rPr>
        <w:fldChar w:fldCharType="separate"/>
      </w:r>
      <w:r w:rsidR="00381046">
        <w:rPr>
          <w:noProof/>
        </w:rPr>
        <w:t>2</w:t>
      </w:r>
      <w:r w:rsidR="00381046">
        <w:rPr>
          <w:noProof/>
        </w:rPr>
        <w:fldChar w:fldCharType="end"/>
      </w:r>
    </w:p>
    <w:p w14:paraId="1AB51E23" w14:textId="242BDE72"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A.</w:t>
      </w:r>
      <w:r>
        <w:rPr>
          <w:rFonts w:asciiTheme="minorHAnsi" w:eastAsiaTheme="minorEastAsia" w:hAnsiTheme="minorHAnsi" w:cstheme="minorBidi"/>
          <w:smallCaps w:val="0"/>
          <w:noProof/>
          <w:sz w:val="24"/>
          <w:szCs w:val="24"/>
        </w:rPr>
        <w:tab/>
      </w:r>
      <w:r>
        <w:rPr>
          <w:noProof/>
        </w:rPr>
        <w:t>Purpose of Solicitation</w:t>
      </w:r>
      <w:r>
        <w:rPr>
          <w:noProof/>
        </w:rPr>
        <w:tab/>
      </w:r>
      <w:r>
        <w:rPr>
          <w:noProof/>
        </w:rPr>
        <w:fldChar w:fldCharType="begin"/>
      </w:r>
      <w:r>
        <w:rPr>
          <w:noProof/>
        </w:rPr>
        <w:instrText xml:space="preserve"> PAGEREF _Toc84844911 \h </w:instrText>
      </w:r>
      <w:r>
        <w:rPr>
          <w:noProof/>
        </w:rPr>
      </w:r>
      <w:r>
        <w:rPr>
          <w:noProof/>
        </w:rPr>
        <w:fldChar w:fldCharType="separate"/>
      </w:r>
      <w:r>
        <w:rPr>
          <w:noProof/>
        </w:rPr>
        <w:t>2</w:t>
      </w:r>
      <w:r>
        <w:rPr>
          <w:noProof/>
        </w:rPr>
        <w:fldChar w:fldCharType="end"/>
      </w:r>
    </w:p>
    <w:p w14:paraId="3151DA24" w14:textId="72DBD5D8"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B.</w:t>
      </w:r>
      <w:r>
        <w:rPr>
          <w:rFonts w:asciiTheme="minorHAnsi" w:eastAsiaTheme="minorEastAsia" w:hAnsiTheme="minorHAnsi" w:cstheme="minorBidi"/>
          <w:smallCaps w:val="0"/>
          <w:noProof/>
          <w:sz w:val="24"/>
          <w:szCs w:val="24"/>
        </w:rPr>
        <w:tab/>
      </w:r>
      <w:r>
        <w:rPr>
          <w:noProof/>
        </w:rPr>
        <w:t>Key Words/Terms</w:t>
      </w:r>
      <w:r>
        <w:rPr>
          <w:noProof/>
        </w:rPr>
        <w:tab/>
      </w:r>
      <w:r>
        <w:rPr>
          <w:noProof/>
        </w:rPr>
        <w:fldChar w:fldCharType="begin"/>
      </w:r>
      <w:r>
        <w:rPr>
          <w:noProof/>
        </w:rPr>
        <w:instrText xml:space="preserve"> PAGEREF _Toc84844912 \h </w:instrText>
      </w:r>
      <w:r>
        <w:rPr>
          <w:noProof/>
        </w:rPr>
      </w:r>
      <w:r>
        <w:rPr>
          <w:noProof/>
        </w:rPr>
        <w:fldChar w:fldCharType="separate"/>
      </w:r>
      <w:r>
        <w:rPr>
          <w:noProof/>
        </w:rPr>
        <w:t>4</w:t>
      </w:r>
      <w:r>
        <w:rPr>
          <w:noProof/>
        </w:rPr>
        <w:fldChar w:fldCharType="end"/>
      </w:r>
    </w:p>
    <w:p w14:paraId="2C2A5E1D" w14:textId="673B759F"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C.</w:t>
      </w:r>
      <w:r>
        <w:rPr>
          <w:rFonts w:asciiTheme="minorHAnsi" w:eastAsiaTheme="minorEastAsia" w:hAnsiTheme="minorHAnsi" w:cstheme="minorBidi"/>
          <w:smallCaps w:val="0"/>
          <w:noProof/>
          <w:sz w:val="24"/>
          <w:szCs w:val="24"/>
        </w:rPr>
        <w:tab/>
      </w:r>
      <w:r>
        <w:rPr>
          <w:noProof/>
        </w:rPr>
        <w:t>Project Focus</w:t>
      </w:r>
      <w:r>
        <w:rPr>
          <w:noProof/>
        </w:rPr>
        <w:tab/>
      </w:r>
      <w:r>
        <w:rPr>
          <w:noProof/>
        </w:rPr>
        <w:fldChar w:fldCharType="begin"/>
      </w:r>
      <w:r>
        <w:rPr>
          <w:noProof/>
        </w:rPr>
        <w:instrText xml:space="preserve"> PAGEREF _Toc84844913 \h </w:instrText>
      </w:r>
      <w:r>
        <w:rPr>
          <w:noProof/>
        </w:rPr>
      </w:r>
      <w:r>
        <w:rPr>
          <w:noProof/>
        </w:rPr>
        <w:fldChar w:fldCharType="separate"/>
      </w:r>
      <w:r>
        <w:rPr>
          <w:noProof/>
        </w:rPr>
        <w:t>6</w:t>
      </w:r>
      <w:r>
        <w:rPr>
          <w:noProof/>
        </w:rPr>
        <w:fldChar w:fldCharType="end"/>
      </w:r>
    </w:p>
    <w:p w14:paraId="70693980" w14:textId="1FCD79DD"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D.</w:t>
      </w:r>
      <w:r>
        <w:rPr>
          <w:rFonts w:asciiTheme="minorHAnsi" w:eastAsiaTheme="minorEastAsia" w:hAnsiTheme="minorHAnsi" w:cstheme="minorBidi"/>
          <w:smallCaps w:val="0"/>
          <w:noProof/>
          <w:sz w:val="24"/>
          <w:szCs w:val="24"/>
        </w:rPr>
        <w:tab/>
      </w:r>
      <w:r>
        <w:rPr>
          <w:noProof/>
        </w:rPr>
        <w:t>Funding</w:t>
      </w:r>
      <w:r>
        <w:rPr>
          <w:noProof/>
        </w:rPr>
        <w:tab/>
      </w:r>
      <w:r>
        <w:rPr>
          <w:noProof/>
        </w:rPr>
        <w:fldChar w:fldCharType="begin"/>
      </w:r>
      <w:r>
        <w:rPr>
          <w:noProof/>
        </w:rPr>
        <w:instrText xml:space="preserve"> PAGEREF _Toc84844914 \h </w:instrText>
      </w:r>
      <w:r>
        <w:rPr>
          <w:noProof/>
        </w:rPr>
      </w:r>
      <w:r>
        <w:rPr>
          <w:noProof/>
        </w:rPr>
        <w:fldChar w:fldCharType="separate"/>
      </w:r>
      <w:r>
        <w:rPr>
          <w:noProof/>
        </w:rPr>
        <w:t>15</w:t>
      </w:r>
      <w:r>
        <w:rPr>
          <w:noProof/>
        </w:rPr>
        <w:fldChar w:fldCharType="end"/>
      </w:r>
    </w:p>
    <w:p w14:paraId="0FCFE1D5" w14:textId="2ADFC9AF"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E.</w:t>
      </w:r>
      <w:r>
        <w:rPr>
          <w:rFonts w:asciiTheme="minorHAnsi" w:eastAsiaTheme="minorEastAsia" w:hAnsiTheme="minorHAnsi" w:cstheme="minorBidi"/>
          <w:smallCaps w:val="0"/>
          <w:noProof/>
          <w:sz w:val="24"/>
          <w:szCs w:val="24"/>
        </w:rPr>
        <w:tab/>
      </w:r>
      <w:r>
        <w:rPr>
          <w:noProof/>
        </w:rPr>
        <w:t>Key Activities Schedule</w:t>
      </w:r>
      <w:r>
        <w:rPr>
          <w:noProof/>
        </w:rPr>
        <w:tab/>
      </w:r>
      <w:r>
        <w:rPr>
          <w:noProof/>
        </w:rPr>
        <w:fldChar w:fldCharType="begin"/>
      </w:r>
      <w:r>
        <w:rPr>
          <w:noProof/>
        </w:rPr>
        <w:instrText xml:space="preserve"> PAGEREF _Toc84844915 \h </w:instrText>
      </w:r>
      <w:r>
        <w:rPr>
          <w:noProof/>
        </w:rPr>
      </w:r>
      <w:r>
        <w:rPr>
          <w:noProof/>
        </w:rPr>
        <w:fldChar w:fldCharType="separate"/>
      </w:r>
      <w:r>
        <w:rPr>
          <w:noProof/>
        </w:rPr>
        <w:t>16</w:t>
      </w:r>
      <w:r>
        <w:rPr>
          <w:noProof/>
        </w:rPr>
        <w:fldChar w:fldCharType="end"/>
      </w:r>
    </w:p>
    <w:p w14:paraId="35176572" w14:textId="038FEE8F"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F.</w:t>
      </w:r>
      <w:r>
        <w:rPr>
          <w:rFonts w:asciiTheme="minorHAnsi" w:eastAsiaTheme="minorEastAsia" w:hAnsiTheme="minorHAnsi" w:cstheme="minorBidi"/>
          <w:smallCaps w:val="0"/>
          <w:noProof/>
          <w:sz w:val="24"/>
          <w:szCs w:val="24"/>
        </w:rPr>
        <w:tab/>
      </w:r>
      <w:r>
        <w:rPr>
          <w:noProof/>
        </w:rPr>
        <w:t>Notice of Pre-Application Workshop</w:t>
      </w:r>
      <w:r>
        <w:rPr>
          <w:noProof/>
        </w:rPr>
        <w:tab/>
      </w:r>
      <w:r>
        <w:rPr>
          <w:noProof/>
        </w:rPr>
        <w:fldChar w:fldCharType="begin"/>
      </w:r>
      <w:r>
        <w:rPr>
          <w:noProof/>
        </w:rPr>
        <w:instrText xml:space="preserve"> PAGEREF _Toc84844916 \h </w:instrText>
      </w:r>
      <w:r>
        <w:rPr>
          <w:noProof/>
        </w:rPr>
      </w:r>
      <w:r>
        <w:rPr>
          <w:noProof/>
        </w:rPr>
        <w:fldChar w:fldCharType="separate"/>
      </w:r>
      <w:r>
        <w:rPr>
          <w:noProof/>
        </w:rPr>
        <w:t>16</w:t>
      </w:r>
      <w:r>
        <w:rPr>
          <w:noProof/>
        </w:rPr>
        <w:fldChar w:fldCharType="end"/>
      </w:r>
    </w:p>
    <w:p w14:paraId="5D9BA1AD" w14:textId="1B34B3C2"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G.</w:t>
      </w:r>
      <w:r>
        <w:rPr>
          <w:rFonts w:asciiTheme="minorHAnsi" w:eastAsiaTheme="minorEastAsia" w:hAnsiTheme="minorHAnsi" w:cstheme="minorBidi"/>
          <w:smallCaps w:val="0"/>
          <w:noProof/>
          <w:sz w:val="24"/>
          <w:szCs w:val="24"/>
        </w:rPr>
        <w:tab/>
      </w:r>
      <w:r>
        <w:rPr>
          <w:noProof/>
        </w:rPr>
        <w:t>Questions</w:t>
      </w:r>
      <w:r>
        <w:rPr>
          <w:noProof/>
        </w:rPr>
        <w:tab/>
      </w:r>
      <w:r>
        <w:rPr>
          <w:noProof/>
        </w:rPr>
        <w:fldChar w:fldCharType="begin"/>
      </w:r>
      <w:r>
        <w:rPr>
          <w:noProof/>
        </w:rPr>
        <w:instrText xml:space="preserve"> PAGEREF _Toc84844917 \h </w:instrText>
      </w:r>
      <w:r>
        <w:rPr>
          <w:noProof/>
        </w:rPr>
      </w:r>
      <w:r>
        <w:rPr>
          <w:noProof/>
        </w:rPr>
        <w:fldChar w:fldCharType="separate"/>
      </w:r>
      <w:r>
        <w:rPr>
          <w:noProof/>
        </w:rPr>
        <w:t>17</w:t>
      </w:r>
      <w:r>
        <w:rPr>
          <w:noProof/>
        </w:rPr>
        <w:fldChar w:fldCharType="end"/>
      </w:r>
    </w:p>
    <w:p w14:paraId="36964CD4" w14:textId="0B326DE5" w:rsidR="00381046" w:rsidRDefault="00381046">
      <w:pPr>
        <w:pStyle w:val="TOC1"/>
        <w:rPr>
          <w:rFonts w:asciiTheme="minorHAnsi" w:eastAsiaTheme="minorEastAsia" w:hAnsiTheme="minorHAnsi" w:cstheme="minorBidi"/>
          <w:b w:val="0"/>
          <w:bCs w:val="0"/>
          <w:caps w:val="0"/>
          <w:noProof/>
          <w:sz w:val="24"/>
          <w:szCs w:val="24"/>
        </w:rPr>
      </w:pPr>
      <w:r>
        <w:rPr>
          <w:noProof/>
        </w:rPr>
        <w:t>II.</w:t>
      </w:r>
      <w:r>
        <w:rPr>
          <w:rFonts w:asciiTheme="minorHAnsi" w:eastAsiaTheme="minorEastAsia" w:hAnsiTheme="minorHAnsi" w:cstheme="minorBidi"/>
          <w:b w:val="0"/>
          <w:bCs w:val="0"/>
          <w:caps w:val="0"/>
          <w:noProof/>
          <w:sz w:val="24"/>
          <w:szCs w:val="24"/>
        </w:rPr>
        <w:tab/>
      </w:r>
      <w:r>
        <w:rPr>
          <w:noProof/>
        </w:rPr>
        <w:t>Eligibility Requirements</w:t>
      </w:r>
      <w:r>
        <w:rPr>
          <w:noProof/>
        </w:rPr>
        <w:tab/>
      </w:r>
      <w:r>
        <w:rPr>
          <w:noProof/>
        </w:rPr>
        <w:fldChar w:fldCharType="begin"/>
      </w:r>
      <w:r>
        <w:rPr>
          <w:noProof/>
        </w:rPr>
        <w:instrText xml:space="preserve"> PAGEREF _Toc84844918 \h </w:instrText>
      </w:r>
      <w:r>
        <w:rPr>
          <w:noProof/>
        </w:rPr>
      </w:r>
      <w:r>
        <w:rPr>
          <w:noProof/>
        </w:rPr>
        <w:fldChar w:fldCharType="separate"/>
      </w:r>
      <w:r>
        <w:rPr>
          <w:noProof/>
        </w:rPr>
        <w:t>29</w:t>
      </w:r>
      <w:r>
        <w:rPr>
          <w:noProof/>
        </w:rPr>
        <w:fldChar w:fldCharType="end"/>
      </w:r>
    </w:p>
    <w:p w14:paraId="3F0E38D5" w14:textId="0F12FB2D"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A.</w:t>
      </w:r>
      <w:r>
        <w:rPr>
          <w:rFonts w:asciiTheme="minorHAnsi" w:eastAsiaTheme="minorEastAsia" w:hAnsiTheme="minorHAnsi" w:cstheme="minorBidi"/>
          <w:smallCaps w:val="0"/>
          <w:noProof/>
          <w:sz w:val="24"/>
          <w:szCs w:val="24"/>
        </w:rPr>
        <w:tab/>
      </w:r>
      <w:r>
        <w:rPr>
          <w:noProof/>
        </w:rPr>
        <w:t>Applicant Requirements</w:t>
      </w:r>
      <w:r>
        <w:rPr>
          <w:noProof/>
        </w:rPr>
        <w:tab/>
      </w:r>
      <w:r>
        <w:rPr>
          <w:noProof/>
        </w:rPr>
        <w:fldChar w:fldCharType="begin"/>
      </w:r>
      <w:r>
        <w:rPr>
          <w:noProof/>
        </w:rPr>
        <w:instrText xml:space="preserve"> PAGEREF _Toc84844919 \h </w:instrText>
      </w:r>
      <w:r>
        <w:rPr>
          <w:noProof/>
        </w:rPr>
      </w:r>
      <w:r>
        <w:rPr>
          <w:noProof/>
        </w:rPr>
        <w:fldChar w:fldCharType="separate"/>
      </w:r>
      <w:r>
        <w:rPr>
          <w:noProof/>
        </w:rPr>
        <w:t>29</w:t>
      </w:r>
      <w:r>
        <w:rPr>
          <w:noProof/>
        </w:rPr>
        <w:fldChar w:fldCharType="end"/>
      </w:r>
    </w:p>
    <w:p w14:paraId="1FA718B9" w14:textId="2259A8A8"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B.</w:t>
      </w:r>
      <w:r>
        <w:rPr>
          <w:rFonts w:asciiTheme="minorHAnsi" w:eastAsiaTheme="minorEastAsia" w:hAnsiTheme="minorHAnsi" w:cstheme="minorBidi"/>
          <w:smallCaps w:val="0"/>
          <w:noProof/>
          <w:sz w:val="24"/>
          <w:szCs w:val="24"/>
        </w:rPr>
        <w:tab/>
      </w:r>
      <w:r>
        <w:rPr>
          <w:noProof/>
        </w:rPr>
        <w:t>Project Requirements</w:t>
      </w:r>
      <w:r>
        <w:rPr>
          <w:noProof/>
        </w:rPr>
        <w:tab/>
      </w:r>
      <w:r>
        <w:rPr>
          <w:noProof/>
        </w:rPr>
        <w:fldChar w:fldCharType="begin"/>
      </w:r>
      <w:r>
        <w:rPr>
          <w:noProof/>
        </w:rPr>
        <w:instrText xml:space="preserve"> PAGEREF _Toc84844920 \h </w:instrText>
      </w:r>
      <w:r>
        <w:rPr>
          <w:noProof/>
        </w:rPr>
      </w:r>
      <w:r>
        <w:rPr>
          <w:noProof/>
        </w:rPr>
        <w:fldChar w:fldCharType="separate"/>
      </w:r>
      <w:r>
        <w:rPr>
          <w:noProof/>
        </w:rPr>
        <w:t>30</w:t>
      </w:r>
      <w:r>
        <w:rPr>
          <w:noProof/>
        </w:rPr>
        <w:fldChar w:fldCharType="end"/>
      </w:r>
    </w:p>
    <w:p w14:paraId="686C46C6" w14:textId="43524373" w:rsidR="00381046" w:rsidRDefault="00381046">
      <w:pPr>
        <w:pStyle w:val="TOC1"/>
        <w:rPr>
          <w:rFonts w:asciiTheme="minorHAnsi" w:eastAsiaTheme="minorEastAsia" w:hAnsiTheme="minorHAnsi" w:cstheme="minorBidi"/>
          <w:b w:val="0"/>
          <w:bCs w:val="0"/>
          <w:caps w:val="0"/>
          <w:noProof/>
          <w:sz w:val="24"/>
          <w:szCs w:val="24"/>
        </w:rPr>
      </w:pPr>
      <w:r>
        <w:rPr>
          <w:noProof/>
        </w:rPr>
        <w:t>III.</w:t>
      </w:r>
      <w:r>
        <w:rPr>
          <w:rFonts w:asciiTheme="minorHAnsi" w:eastAsiaTheme="minorEastAsia" w:hAnsiTheme="minorHAnsi" w:cstheme="minorBidi"/>
          <w:b w:val="0"/>
          <w:bCs w:val="0"/>
          <w:caps w:val="0"/>
          <w:noProof/>
          <w:sz w:val="24"/>
          <w:szCs w:val="24"/>
        </w:rPr>
        <w:tab/>
      </w:r>
      <w:r>
        <w:rPr>
          <w:noProof/>
        </w:rPr>
        <w:t>Application Organization and Submission Instructions</w:t>
      </w:r>
      <w:r>
        <w:rPr>
          <w:noProof/>
        </w:rPr>
        <w:tab/>
      </w:r>
      <w:r>
        <w:rPr>
          <w:noProof/>
        </w:rPr>
        <w:fldChar w:fldCharType="begin"/>
      </w:r>
      <w:r>
        <w:rPr>
          <w:noProof/>
        </w:rPr>
        <w:instrText xml:space="preserve"> PAGEREF _Toc84844921 \h </w:instrText>
      </w:r>
      <w:r>
        <w:rPr>
          <w:noProof/>
        </w:rPr>
      </w:r>
      <w:r>
        <w:rPr>
          <w:noProof/>
        </w:rPr>
        <w:fldChar w:fldCharType="separate"/>
      </w:r>
      <w:r>
        <w:rPr>
          <w:noProof/>
        </w:rPr>
        <w:t>31</w:t>
      </w:r>
      <w:r>
        <w:rPr>
          <w:noProof/>
        </w:rPr>
        <w:fldChar w:fldCharType="end"/>
      </w:r>
    </w:p>
    <w:p w14:paraId="1CE40468" w14:textId="25D37E63"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A.</w:t>
      </w:r>
      <w:r>
        <w:rPr>
          <w:rFonts w:asciiTheme="minorHAnsi" w:eastAsiaTheme="minorEastAsia" w:hAnsiTheme="minorHAnsi" w:cstheme="minorBidi"/>
          <w:smallCaps w:val="0"/>
          <w:noProof/>
          <w:sz w:val="24"/>
          <w:szCs w:val="24"/>
        </w:rPr>
        <w:tab/>
      </w:r>
      <w:r>
        <w:rPr>
          <w:noProof/>
        </w:rPr>
        <w:t>Application Format and Page Limits</w:t>
      </w:r>
      <w:r>
        <w:rPr>
          <w:noProof/>
        </w:rPr>
        <w:tab/>
      </w:r>
      <w:r>
        <w:rPr>
          <w:noProof/>
        </w:rPr>
        <w:fldChar w:fldCharType="begin"/>
      </w:r>
      <w:r>
        <w:rPr>
          <w:noProof/>
        </w:rPr>
        <w:instrText xml:space="preserve"> PAGEREF _Toc84844922 \h </w:instrText>
      </w:r>
      <w:r>
        <w:rPr>
          <w:noProof/>
        </w:rPr>
      </w:r>
      <w:r>
        <w:rPr>
          <w:noProof/>
        </w:rPr>
        <w:fldChar w:fldCharType="separate"/>
      </w:r>
      <w:r>
        <w:rPr>
          <w:noProof/>
        </w:rPr>
        <w:t>31</w:t>
      </w:r>
      <w:r>
        <w:rPr>
          <w:noProof/>
        </w:rPr>
        <w:fldChar w:fldCharType="end"/>
      </w:r>
    </w:p>
    <w:p w14:paraId="7289C186" w14:textId="3885C622"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B.</w:t>
      </w:r>
      <w:r>
        <w:rPr>
          <w:rFonts w:asciiTheme="minorHAnsi" w:eastAsiaTheme="minorEastAsia" w:hAnsiTheme="minorHAnsi" w:cstheme="minorBidi"/>
          <w:smallCaps w:val="0"/>
          <w:noProof/>
          <w:sz w:val="24"/>
          <w:szCs w:val="24"/>
        </w:rPr>
        <w:tab/>
      </w:r>
      <w:r>
        <w:rPr>
          <w:noProof/>
        </w:rPr>
        <w:t>Online Method For Delivery</w:t>
      </w:r>
      <w:r>
        <w:rPr>
          <w:noProof/>
        </w:rPr>
        <w:tab/>
      </w:r>
      <w:r>
        <w:rPr>
          <w:noProof/>
        </w:rPr>
        <w:fldChar w:fldCharType="begin"/>
      </w:r>
      <w:r>
        <w:rPr>
          <w:noProof/>
        </w:rPr>
        <w:instrText xml:space="preserve"> PAGEREF _Toc84844923 \h </w:instrText>
      </w:r>
      <w:r>
        <w:rPr>
          <w:noProof/>
        </w:rPr>
      </w:r>
      <w:r>
        <w:rPr>
          <w:noProof/>
        </w:rPr>
        <w:fldChar w:fldCharType="separate"/>
      </w:r>
      <w:r>
        <w:rPr>
          <w:noProof/>
        </w:rPr>
        <w:t>31</w:t>
      </w:r>
      <w:r>
        <w:rPr>
          <w:noProof/>
        </w:rPr>
        <w:fldChar w:fldCharType="end"/>
      </w:r>
    </w:p>
    <w:p w14:paraId="29D23747" w14:textId="773A0D2E"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C.</w:t>
      </w:r>
      <w:r>
        <w:rPr>
          <w:rFonts w:asciiTheme="minorHAnsi" w:eastAsiaTheme="minorEastAsia" w:hAnsiTheme="minorHAnsi" w:cstheme="minorBidi"/>
          <w:smallCaps w:val="0"/>
          <w:noProof/>
          <w:sz w:val="24"/>
          <w:szCs w:val="24"/>
        </w:rPr>
        <w:tab/>
      </w:r>
      <w:r>
        <w:rPr>
          <w:noProof/>
        </w:rPr>
        <w:t>Application Organization and Content</w:t>
      </w:r>
      <w:r>
        <w:rPr>
          <w:noProof/>
        </w:rPr>
        <w:tab/>
      </w:r>
      <w:r>
        <w:rPr>
          <w:noProof/>
        </w:rPr>
        <w:fldChar w:fldCharType="begin"/>
      </w:r>
      <w:r>
        <w:rPr>
          <w:noProof/>
        </w:rPr>
        <w:instrText xml:space="preserve"> PAGEREF _Toc84844924 \h </w:instrText>
      </w:r>
      <w:r>
        <w:rPr>
          <w:noProof/>
        </w:rPr>
      </w:r>
      <w:r>
        <w:rPr>
          <w:noProof/>
        </w:rPr>
        <w:fldChar w:fldCharType="separate"/>
      </w:r>
      <w:r>
        <w:rPr>
          <w:noProof/>
        </w:rPr>
        <w:t>32</w:t>
      </w:r>
      <w:r>
        <w:rPr>
          <w:noProof/>
        </w:rPr>
        <w:fldChar w:fldCharType="end"/>
      </w:r>
    </w:p>
    <w:p w14:paraId="009F738B" w14:textId="1DD8888A" w:rsidR="00381046" w:rsidRDefault="00381046">
      <w:pPr>
        <w:pStyle w:val="TOC1"/>
        <w:rPr>
          <w:rFonts w:asciiTheme="minorHAnsi" w:eastAsiaTheme="minorEastAsia" w:hAnsiTheme="minorHAnsi" w:cstheme="minorBidi"/>
          <w:b w:val="0"/>
          <w:bCs w:val="0"/>
          <w:caps w:val="0"/>
          <w:noProof/>
          <w:sz w:val="24"/>
          <w:szCs w:val="24"/>
        </w:rPr>
      </w:pPr>
      <w:r>
        <w:rPr>
          <w:noProof/>
        </w:rPr>
        <w:t>IV.</w:t>
      </w:r>
      <w:r>
        <w:rPr>
          <w:rFonts w:asciiTheme="minorHAnsi" w:eastAsiaTheme="minorEastAsia" w:hAnsiTheme="minorHAnsi" w:cstheme="minorBidi"/>
          <w:b w:val="0"/>
          <w:bCs w:val="0"/>
          <w:caps w:val="0"/>
          <w:noProof/>
          <w:sz w:val="24"/>
          <w:szCs w:val="24"/>
        </w:rPr>
        <w:tab/>
      </w:r>
      <w:r>
        <w:rPr>
          <w:noProof/>
        </w:rPr>
        <w:t>Evaluation and Award Process</w:t>
      </w:r>
      <w:r>
        <w:rPr>
          <w:noProof/>
        </w:rPr>
        <w:tab/>
      </w:r>
      <w:r>
        <w:rPr>
          <w:noProof/>
        </w:rPr>
        <w:fldChar w:fldCharType="begin"/>
      </w:r>
      <w:r>
        <w:rPr>
          <w:noProof/>
        </w:rPr>
        <w:instrText xml:space="preserve"> PAGEREF _Toc84844925 \h </w:instrText>
      </w:r>
      <w:r>
        <w:rPr>
          <w:noProof/>
        </w:rPr>
      </w:r>
      <w:r>
        <w:rPr>
          <w:noProof/>
        </w:rPr>
        <w:fldChar w:fldCharType="separate"/>
      </w:r>
      <w:r>
        <w:rPr>
          <w:noProof/>
        </w:rPr>
        <w:t>37</w:t>
      </w:r>
      <w:r>
        <w:rPr>
          <w:noProof/>
        </w:rPr>
        <w:fldChar w:fldCharType="end"/>
      </w:r>
    </w:p>
    <w:p w14:paraId="00203952" w14:textId="6ABCF8A6"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A.</w:t>
      </w:r>
      <w:r>
        <w:rPr>
          <w:rFonts w:asciiTheme="minorHAnsi" w:eastAsiaTheme="minorEastAsia" w:hAnsiTheme="minorHAnsi" w:cstheme="minorBidi"/>
          <w:smallCaps w:val="0"/>
          <w:noProof/>
          <w:sz w:val="24"/>
          <w:szCs w:val="24"/>
        </w:rPr>
        <w:tab/>
      </w:r>
      <w:r>
        <w:rPr>
          <w:noProof/>
        </w:rPr>
        <w:t>Application Evaluation</w:t>
      </w:r>
      <w:r>
        <w:rPr>
          <w:noProof/>
        </w:rPr>
        <w:tab/>
      </w:r>
      <w:r>
        <w:rPr>
          <w:noProof/>
        </w:rPr>
        <w:fldChar w:fldCharType="begin"/>
      </w:r>
      <w:r>
        <w:rPr>
          <w:noProof/>
        </w:rPr>
        <w:instrText xml:space="preserve"> PAGEREF _Toc84844926 \h </w:instrText>
      </w:r>
      <w:r>
        <w:rPr>
          <w:noProof/>
        </w:rPr>
      </w:r>
      <w:r>
        <w:rPr>
          <w:noProof/>
        </w:rPr>
        <w:fldChar w:fldCharType="separate"/>
      </w:r>
      <w:r>
        <w:rPr>
          <w:noProof/>
        </w:rPr>
        <w:t>37</w:t>
      </w:r>
      <w:r>
        <w:rPr>
          <w:noProof/>
        </w:rPr>
        <w:fldChar w:fldCharType="end"/>
      </w:r>
    </w:p>
    <w:p w14:paraId="6F43BD81" w14:textId="7776F55E"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B.</w:t>
      </w:r>
      <w:r>
        <w:rPr>
          <w:rFonts w:asciiTheme="minorHAnsi" w:eastAsiaTheme="minorEastAsia" w:hAnsiTheme="minorHAnsi" w:cstheme="minorBidi"/>
          <w:smallCaps w:val="0"/>
          <w:noProof/>
          <w:sz w:val="24"/>
          <w:szCs w:val="24"/>
        </w:rPr>
        <w:tab/>
      </w:r>
      <w:r>
        <w:rPr>
          <w:noProof/>
        </w:rPr>
        <w:t>Ranking, Notice of Proposed Award, and Agreement Development</w:t>
      </w:r>
      <w:r>
        <w:rPr>
          <w:noProof/>
        </w:rPr>
        <w:tab/>
      </w:r>
      <w:r>
        <w:rPr>
          <w:noProof/>
        </w:rPr>
        <w:fldChar w:fldCharType="begin"/>
      </w:r>
      <w:r>
        <w:rPr>
          <w:noProof/>
        </w:rPr>
        <w:instrText xml:space="preserve"> PAGEREF _Toc84844927 \h </w:instrText>
      </w:r>
      <w:r>
        <w:rPr>
          <w:noProof/>
        </w:rPr>
      </w:r>
      <w:r>
        <w:rPr>
          <w:noProof/>
        </w:rPr>
        <w:fldChar w:fldCharType="separate"/>
      </w:r>
      <w:r>
        <w:rPr>
          <w:noProof/>
        </w:rPr>
        <w:t>37</w:t>
      </w:r>
      <w:r>
        <w:rPr>
          <w:noProof/>
        </w:rPr>
        <w:fldChar w:fldCharType="end"/>
      </w:r>
    </w:p>
    <w:p w14:paraId="14C9E47A" w14:textId="01ED1ADF"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C.</w:t>
      </w:r>
      <w:r>
        <w:rPr>
          <w:rFonts w:asciiTheme="minorHAnsi" w:eastAsiaTheme="minorEastAsia" w:hAnsiTheme="minorHAnsi" w:cstheme="minorBidi"/>
          <w:smallCaps w:val="0"/>
          <w:noProof/>
          <w:sz w:val="24"/>
          <w:szCs w:val="24"/>
        </w:rPr>
        <w:tab/>
      </w:r>
      <w:r>
        <w:rPr>
          <w:noProof/>
        </w:rPr>
        <w:t>Grounds to Reject an Application or Cancel an Award</w:t>
      </w:r>
      <w:r>
        <w:rPr>
          <w:noProof/>
        </w:rPr>
        <w:tab/>
      </w:r>
      <w:r>
        <w:rPr>
          <w:noProof/>
        </w:rPr>
        <w:fldChar w:fldCharType="begin"/>
      </w:r>
      <w:r>
        <w:rPr>
          <w:noProof/>
        </w:rPr>
        <w:instrText xml:space="preserve"> PAGEREF _Toc84844928 \h </w:instrText>
      </w:r>
      <w:r>
        <w:rPr>
          <w:noProof/>
        </w:rPr>
      </w:r>
      <w:r>
        <w:rPr>
          <w:noProof/>
        </w:rPr>
        <w:fldChar w:fldCharType="separate"/>
      </w:r>
      <w:r>
        <w:rPr>
          <w:noProof/>
        </w:rPr>
        <w:t>38</w:t>
      </w:r>
      <w:r>
        <w:rPr>
          <w:noProof/>
        </w:rPr>
        <w:fldChar w:fldCharType="end"/>
      </w:r>
    </w:p>
    <w:p w14:paraId="204EEBF9" w14:textId="15A95A56"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D.</w:t>
      </w:r>
      <w:r>
        <w:rPr>
          <w:rFonts w:asciiTheme="minorHAnsi" w:eastAsiaTheme="minorEastAsia" w:hAnsiTheme="minorHAnsi" w:cstheme="minorBidi"/>
          <w:smallCaps w:val="0"/>
          <w:noProof/>
          <w:sz w:val="24"/>
          <w:szCs w:val="24"/>
        </w:rPr>
        <w:tab/>
      </w:r>
      <w:r>
        <w:rPr>
          <w:noProof/>
        </w:rPr>
        <w:t>Miscellaneous</w:t>
      </w:r>
      <w:r>
        <w:rPr>
          <w:noProof/>
        </w:rPr>
        <w:tab/>
      </w:r>
      <w:r>
        <w:rPr>
          <w:noProof/>
        </w:rPr>
        <w:fldChar w:fldCharType="begin"/>
      </w:r>
      <w:r>
        <w:rPr>
          <w:noProof/>
        </w:rPr>
        <w:instrText xml:space="preserve"> PAGEREF _Toc84844929 \h </w:instrText>
      </w:r>
      <w:r>
        <w:rPr>
          <w:noProof/>
        </w:rPr>
      </w:r>
      <w:r>
        <w:rPr>
          <w:noProof/>
        </w:rPr>
        <w:fldChar w:fldCharType="separate"/>
      </w:r>
      <w:r>
        <w:rPr>
          <w:noProof/>
        </w:rPr>
        <w:t>39</w:t>
      </w:r>
      <w:r>
        <w:rPr>
          <w:noProof/>
        </w:rPr>
        <w:fldChar w:fldCharType="end"/>
      </w:r>
    </w:p>
    <w:p w14:paraId="0EBF6628" w14:textId="6F0679D4"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E.</w:t>
      </w:r>
      <w:r>
        <w:rPr>
          <w:rFonts w:asciiTheme="minorHAnsi" w:eastAsiaTheme="minorEastAsia" w:hAnsiTheme="minorHAnsi" w:cstheme="minorBidi"/>
          <w:smallCaps w:val="0"/>
          <w:noProof/>
          <w:sz w:val="24"/>
          <w:szCs w:val="24"/>
        </w:rPr>
        <w:tab/>
      </w:r>
      <w:r>
        <w:rPr>
          <w:noProof/>
        </w:rPr>
        <w:t>Stage One:  Application Screening</w:t>
      </w:r>
      <w:r>
        <w:rPr>
          <w:noProof/>
        </w:rPr>
        <w:tab/>
      </w:r>
      <w:r>
        <w:rPr>
          <w:noProof/>
        </w:rPr>
        <w:fldChar w:fldCharType="begin"/>
      </w:r>
      <w:r>
        <w:rPr>
          <w:noProof/>
        </w:rPr>
        <w:instrText xml:space="preserve"> PAGEREF _Toc84844930 \h </w:instrText>
      </w:r>
      <w:r>
        <w:rPr>
          <w:noProof/>
        </w:rPr>
      </w:r>
      <w:r>
        <w:rPr>
          <w:noProof/>
        </w:rPr>
        <w:fldChar w:fldCharType="separate"/>
      </w:r>
      <w:r>
        <w:rPr>
          <w:noProof/>
        </w:rPr>
        <w:t>40</w:t>
      </w:r>
      <w:r>
        <w:rPr>
          <w:noProof/>
        </w:rPr>
        <w:fldChar w:fldCharType="end"/>
      </w:r>
    </w:p>
    <w:p w14:paraId="5FBED6EF" w14:textId="7B390413" w:rsidR="00381046" w:rsidRDefault="00381046">
      <w:pPr>
        <w:pStyle w:val="TOC2"/>
        <w:tabs>
          <w:tab w:val="left" w:pos="660"/>
          <w:tab w:val="right" w:leader="dot" w:pos="9350"/>
        </w:tabs>
        <w:rPr>
          <w:rFonts w:asciiTheme="minorHAnsi" w:eastAsiaTheme="minorEastAsia" w:hAnsiTheme="minorHAnsi" w:cstheme="minorBidi"/>
          <w:smallCaps w:val="0"/>
          <w:noProof/>
          <w:sz w:val="24"/>
          <w:szCs w:val="24"/>
        </w:rPr>
      </w:pPr>
      <w:r>
        <w:rPr>
          <w:noProof/>
        </w:rPr>
        <w:t>F.</w:t>
      </w:r>
      <w:r>
        <w:rPr>
          <w:rFonts w:asciiTheme="minorHAnsi" w:eastAsiaTheme="minorEastAsia" w:hAnsiTheme="minorHAnsi" w:cstheme="minorBidi"/>
          <w:smallCaps w:val="0"/>
          <w:noProof/>
          <w:sz w:val="24"/>
          <w:szCs w:val="24"/>
        </w:rPr>
        <w:tab/>
      </w:r>
      <w:r>
        <w:rPr>
          <w:noProof/>
        </w:rPr>
        <w:t>Stage Two:  Application Scoring</w:t>
      </w:r>
      <w:r>
        <w:rPr>
          <w:noProof/>
        </w:rPr>
        <w:tab/>
      </w:r>
      <w:r>
        <w:rPr>
          <w:noProof/>
        </w:rPr>
        <w:fldChar w:fldCharType="begin"/>
      </w:r>
      <w:r>
        <w:rPr>
          <w:noProof/>
        </w:rPr>
        <w:instrText xml:space="preserve"> PAGEREF _Toc84844931 \h </w:instrText>
      </w:r>
      <w:r>
        <w:rPr>
          <w:noProof/>
        </w:rPr>
      </w:r>
      <w:r>
        <w:rPr>
          <w:noProof/>
        </w:rPr>
        <w:fldChar w:fldCharType="separate"/>
      </w:r>
      <w:r>
        <w:rPr>
          <w:noProof/>
        </w:rPr>
        <w:t>41</w:t>
      </w:r>
      <w:r>
        <w:rPr>
          <w:noProof/>
        </w:rPr>
        <w:fldChar w:fldCharType="end"/>
      </w:r>
    </w:p>
    <w:p w14:paraId="06FD2DC9" w14:textId="374876D3" w:rsidR="003B32F0" w:rsidRPr="005F7945" w:rsidRDefault="003B32F0" w:rsidP="003B32F0">
      <w:pPr>
        <w:widowControl w:val="0"/>
        <w:jc w:val="both"/>
      </w:pPr>
      <w:r w:rsidRPr="0070672A">
        <w:rPr>
          <w:b/>
          <w:bCs/>
          <w:caps/>
          <w:noProof/>
          <w:color w:val="2B579A"/>
          <w:szCs w:val="22"/>
          <w:shd w:val="clear" w:color="auto" w:fill="E6E6E6"/>
        </w:rPr>
        <w:fldChar w:fldCharType="end"/>
      </w:r>
      <w:r>
        <w:rPr>
          <w:b/>
        </w:rPr>
        <w:br w:type="page"/>
      </w:r>
    </w:p>
    <w:p w14:paraId="39D21A56" w14:textId="77777777" w:rsidR="003B32F0" w:rsidRPr="00C31C1D" w:rsidRDefault="003B32F0" w:rsidP="003B32F0">
      <w:pPr>
        <w:pStyle w:val="Heading3"/>
        <w:widowControl w:val="0"/>
        <w:spacing w:after="120"/>
        <w:sectPr w:rsidR="003B32F0" w:rsidRPr="00C31C1D" w:rsidSect="006D46A0">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B32F0" w:rsidRPr="003F6147" w14:paraId="29B6B0CB" w14:textId="77777777" w:rsidTr="006D46A0">
        <w:trPr>
          <w:cantSplit/>
          <w:trHeight w:val="585"/>
        </w:trPr>
        <w:tc>
          <w:tcPr>
            <w:tcW w:w="9540" w:type="dxa"/>
          </w:tcPr>
          <w:p w14:paraId="4C49366C" w14:textId="77777777" w:rsidR="003B32F0" w:rsidRPr="003F6147" w:rsidRDefault="003B32F0" w:rsidP="006D46A0">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B32F0" w:rsidRPr="003F6147" w14:paraId="0DE942E3" w14:textId="77777777" w:rsidTr="006D46A0">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2FB9BDA1" w14:textId="77777777" w:rsidR="003B32F0" w:rsidRPr="003F6147" w:rsidRDefault="003B32F0" w:rsidP="006D46A0">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3AC8EA7" w14:textId="77777777" w:rsidR="003B32F0" w:rsidRPr="003F6147" w:rsidRDefault="003B32F0" w:rsidP="006D46A0">
                  <w:pPr>
                    <w:spacing w:after="0"/>
                    <w:jc w:val="both"/>
                    <w:rPr>
                      <w:szCs w:val="22"/>
                    </w:rPr>
                  </w:pPr>
                  <w:r w:rsidRPr="003F6147">
                    <w:rPr>
                      <w:szCs w:val="22"/>
                    </w:rPr>
                    <w:t>Title of Section</w:t>
                  </w:r>
                </w:p>
              </w:tc>
            </w:tr>
            <w:tr w:rsidR="003B32F0" w:rsidRPr="003F6147" w14:paraId="6514406E" w14:textId="77777777" w:rsidTr="006D46A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8B7A401" w14:textId="77777777" w:rsidR="003B32F0" w:rsidRPr="003F6147" w:rsidRDefault="003B32F0" w:rsidP="006D46A0">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481B9447" w14:textId="77777777" w:rsidR="003B32F0" w:rsidRPr="003F6147" w:rsidRDefault="003B32F0" w:rsidP="006D46A0">
                  <w:pPr>
                    <w:spacing w:after="0"/>
                    <w:jc w:val="both"/>
                    <w:rPr>
                      <w:szCs w:val="22"/>
                    </w:rPr>
                  </w:pPr>
                  <w:r w:rsidRPr="003F6147">
                    <w:rPr>
                      <w:szCs w:val="22"/>
                    </w:rPr>
                    <w:t xml:space="preserve">Application Form </w:t>
                  </w:r>
                  <w:r w:rsidRPr="003F6147">
                    <w:rPr>
                      <w:b/>
                      <w:i/>
                      <w:szCs w:val="22"/>
                    </w:rPr>
                    <w:t>(requires signature)</w:t>
                  </w:r>
                </w:p>
              </w:tc>
            </w:tr>
            <w:tr w:rsidR="003B32F0" w:rsidRPr="003F6147" w14:paraId="1E9A1086" w14:textId="77777777" w:rsidTr="006D46A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4F8B797" w14:textId="77777777" w:rsidR="003B32F0" w:rsidRPr="003F6147" w:rsidRDefault="003B32F0" w:rsidP="006D46A0">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64A810D1" w14:textId="77777777" w:rsidR="003B32F0" w:rsidRPr="003F6147" w:rsidRDefault="003B32F0" w:rsidP="006D46A0">
                  <w:pPr>
                    <w:spacing w:after="0"/>
                    <w:jc w:val="both"/>
                  </w:pPr>
                  <w:r w:rsidRPr="003F6147">
                    <w:t xml:space="preserve">Executive Summary </w:t>
                  </w:r>
                </w:p>
              </w:tc>
            </w:tr>
            <w:tr w:rsidR="003B32F0" w:rsidRPr="003F6147" w14:paraId="7FFF0E97" w14:textId="77777777" w:rsidTr="006D46A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7789C0E" w14:textId="77777777" w:rsidR="003B32F0" w:rsidRPr="003F6147" w:rsidRDefault="003B32F0" w:rsidP="006D46A0">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0907817B" w14:textId="77777777" w:rsidR="003B32F0" w:rsidRPr="003F6147" w:rsidRDefault="003B32F0" w:rsidP="006D46A0">
                  <w:pPr>
                    <w:spacing w:after="0"/>
                    <w:jc w:val="both"/>
                  </w:pPr>
                  <w:r w:rsidRPr="003F6147">
                    <w:t xml:space="preserve">Project Narrative </w:t>
                  </w:r>
                </w:p>
              </w:tc>
            </w:tr>
            <w:tr w:rsidR="003B32F0" w:rsidRPr="003F6147" w14:paraId="6FB3C93E" w14:textId="77777777" w:rsidTr="006D46A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6DFBEEC" w14:textId="77777777" w:rsidR="003B32F0" w:rsidRPr="003F6147" w:rsidRDefault="003B32F0" w:rsidP="006D46A0">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00AC5E8C" w14:textId="77777777" w:rsidR="003B32F0" w:rsidRPr="003F6147" w:rsidRDefault="003B32F0" w:rsidP="006D46A0">
                  <w:pPr>
                    <w:spacing w:after="0"/>
                    <w:jc w:val="both"/>
                  </w:pPr>
                  <w:r w:rsidRPr="003F6147">
                    <w:t xml:space="preserve">Project Team </w:t>
                  </w:r>
                </w:p>
              </w:tc>
            </w:tr>
            <w:tr w:rsidR="003B32F0" w:rsidRPr="003F6147" w14:paraId="2711DF5B" w14:textId="77777777" w:rsidTr="006D46A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F3C4C0E" w14:textId="77777777" w:rsidR="003B32F0" w:rsidRPr="003F6147" w:rsidRDefault="003B32F0" w:rsidP="006D46A0">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273E961F" w14:textId="77777777" w:rsidR="003B32F0" w:rsidRPr="003F6147" w:rsidRDefault="003B32F0" w:rsidP="006D46A0">
                  <w:pPr>
                    <w:spacing w:after="0"/>
                    <w:jc w:val="both"/>
                  </w:pPr>
                  <w:r w:rsidRPr="003F6147">
                    <w:t xml:space="preserve">Scope of Work </w:t>
                  </w:r>
                </w:p>
              </w:tc>
            </w:tr>
            <w:tr w:rsidR="003B32F0" w:rsidRPr="003F6147" w14:paraId="5E591C9C" w14:textId="77777777" w:rsidTr="006D46A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3B27375" w14:textId="77777777" w:rsidR="003B32F0" w:rsidRPr="003F6147" w:rsidRDefault="003B32F0" w:rsidP="006D46A0">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200441B2" w14:textId="77777777" w:rsidR="003B32F0" w:rsidRPr="003F6147" w:rsidRDefault="003B32F0" w:rsidP="006D46A0">
                  <w:pPr>
                    <w:spacing w:after="0"/>
                    <w:jc w:val="both"/>
                  </w:pPr>
                  <w:r w:rsidRPr="003F6147">
                    <w:t>Project Schedule</w:t>
                  </w:r>
                </w:p>
              </w:tc>
            </w:tr>
            <w:tr w:rsidR="003B32F0" w:rsidRPr="003F6147" w14:paraId="718DE276" w14:textId="77777777" w:rsidTr="006D46A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BAB6970" w14:textId="77777777" w:rsidR="003B32F0" w:rsidRPr="003F6147" w:rsidRDefault="003B32F0" w:rsidP="006D46A0">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19F89C38" w14:textId="77777777" w:rsidR="003B32F0" w:rsidRPr="003F6147" w:rsidRDefault="003B32F0" w:rsidP="006D46A0">
                  <w:pPr>
                    <w:spacing w:after="0"/>
                    <w:jc w:val="both"/>
                  </w:pPr>
                  <w:r w:rsidRPr="003F6147">
                    <w:t xml:space="preserve">Budget </w:t>
                  </w:r>
                </w:p>
              </w:tc>
            </w:tr>
            <w:tr w:rsidR="003B32F0" w:rsidRPr="003F6147" w14:paraId="51F32194" w14:textId="77777777" w:rsidTr="006D46A0">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6B35CC10" w14:textId="77777777" w:rsidR="003B32F0" w:rsidRPr="003F6147" w:rsidRDefault="003B32F0" w:rsidP="006D46A0">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09E2841E" w14:textId="77777777" w:rsidR="003B32F0" w:rsidRPr="003F6147" w:rsidRDefault="003B32F0" w:rsidP="006D46A0">
                  <w:pPr>
                    <w:spacing w:after="0"/>
                    <w:jc w:val="both"/>
                  </w:pPr>
                  <w:r w:rsidRPr="003F6147">
                    <w:t xml:space="preserve">CEQA Compliance Form </w:t>
                  </w:r>
                </w:p>
              </w:tc>
            </w:tr>
            <w:tr w:rsidR="003B32F0" w:rsidRPr="003F6147" w14:paraId="33F3EE93" w14:textId="77777777" w:rsidTr="006D46A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75C0AD2" w14:textId="77777777" w:rsidR="003B32F0" w:rsidRPr="003F6147" w:rsidRDefault="003B32F0" w:rsidP="006D46A0">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21181540" w14:textId="77777777" w:rsidR="003B32F0" w:rsidRPr="003F6147" w:rsidRDefault="003B32F0" w:rsidP="006D46A0">
                  <w:pPr>
                    <w:spacing w:after="0"/>
                    <w:jc w:val="both"/>
                  </w:pPr>
                  <w:r w:rsidRPr="003F6147">
                    <w:t>References and Work Product</w:t>
                  </w:r>
                </w:p>
              </w:tc>
            </w:tr>
            <w:tr w:rsidR="003B32F0" w:rsidRPr="003F6147" w14:paraId="69BC0DF0" w14:textId="77777777" w:rsidTr="006D46A0">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0144B54" w14:textId="77777777" w:rsidR="003B32F0" w:rsidRPr="003F6147" w:rsidRDefault="003B32F0" w:rsidP="006D46A0">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159AABC3" w14:textId="77777777" w:rsidR="003B32F0" w:rsidRPr="003F6147" w:rsidRDefault="003B32F0" w:rsidP="006D46A0">
                  <w:pPr>
                    <w:spacing w:after="0"/>
                    <w:jc w:val="both"/>
                  </w:pPr>
                  <w:r w:rsidRPr="003F6147">
                    <w:t xml:space="preserve">Commitment and Support Letters </w:t>
                  </w:r>
                  <w:r w:rsidRPr="003F6147">
                    <w:rPr>
                      <w:b/>
                      <w:i/>
                      <w:szCs w:val="22"/>
                    </w:rPr>
                    <w:t>(require signature)</w:t>
                  </w:r>
                </w:p>
              </w:tc>
            </w:tr>
            <w:tr w:rsidR="003B32F0" w:rsidRPr="003F6147" w14:paraId="62E2B347" w14:textId="77777777" w:rsidTr="006D46A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E6F8F92" w14:textId="77777777" w:rsidR="003B32F0" w:rsidRPr="003F6147" w:rsidRDefault="003B32F0" w:rsidP="006D46A0">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8E3B6A5" w14:textId="77777777" w:rsidR="003B32F0" w:rsidRPr="003F6147" w:rsidRDefault="003B32F0" w:rsidP="006D46A0">
                  <w:pPr>
                    <w:spacing w:after="0"/>
                    <w:jc w:val="both"/>
                  </w:pPr>
                  <w:r w:rsidRPr="003F6147">
                    <w:t>Project Performance Metrics</w:t>
                  </w:r>
                </w:p>
              </w:tc>
            </w:tr>
            <w:tr w:rsidR="003B32F0" w:rsidRPr="003F6147" w14:paraId="094D3891" w14:textId="77777777" w:rsidTr="006D46A0">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2E0494BE" w14:textId="77777777" w:rsidR="003B32F0" w:rsidRPr="003F6147" w:rsidRDefault="003B32F0" w:rsidP="006D46A0">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00CB10B9" w14:textId="77777777" w:rsidR="003B32F0" w:rsidRPr="003F6147" w:rsidRDefault="003B32F0" w:rsidP="006D46A0">
                  <w:pPr>
                    <w:spacing w:after="0"/>
                    <w:jc w:val="both"/>
                  </w:pPr>
                  <w:r w:rsidRPr="003F6147">
                    <w:t xml:space="preserve">Applicant Declaration </w:t>
                  </w:r>
                  <w:r w:rsidRPr="003F6147">
                    <w:rPr>
                      <w:b/>
                      <w:i/>
                      <w:szCs w:val="22"/>
                    </w:rPr>
                    <w:t>(require signature)</w:t>
                  </w:r>
                </w:p>
              </w:tc>
            </w:tr>
          </w:tbl>
          <w:p w14:paraId="727FBE5B" w14:textId="77777777" w:rsidR="003B32F0" w:rsidRPr="003F6147" w:rsidRDefault="003B32F0" w:rsidP="006D46A0">
            <w:pPr>
              <w:keepLines/>
              <w:widowControl w:val="0"/>
              <w:spacing w:after="0"/>
              <w:rPr>
                <w:b/>
                <w:color w:val="0070C0"/>
                <w:szCs w:val="22"/>
              </w:rPr>
            </w:pPr>
          </w:p>
        </w:tc>
      </w:tr>
    </w:tbl>
    <w:p w14:paraId="60A9240D" w14:textId="77777777" w:rsidR="003B32F0" w:rsidRPr="003F6147" w:rsidRDefault="003B32F0" w:rsidP="003B32F0">
      <w:pPr>
        <w:spacing w:after="0"/>
      </w:pPr>
      <w:bookmarkStart w:id="6" w:name="_Toc458602318"/>
    </w:p>
    <w:p w14:paraId="53D8EB6D" w14:textId="77777777" w:rsidR="003B32F0" w:rsidRPr="003F6147" w:rsidRDefault="003B32F0" w:rsidP="003B32F0">
      <w:pPr>
        <w:spacing w:after="0"/>
      </w:pPr>
      <w:r w:rsidRPr="003F6147">
        <w:br w:type="page"/>
      </w:r>
    </w:p>
    <w:p w14:paraId="43CC933B" w14:textId="77777777" w:rsidR="003B32F0" w:rsidRPr="0017036A" w:rsidRDefault="003B32F0" w:rsidP="003B32F0">
      <w:pPr>
        <w:pStyle w:val="Heading1"/>
      </w:pPr>
      <w:bookmarkStart w:id="7" w:name="_Toc84844910"/>
      <w:r w:rsidRPr="0017036A">
        <w:lastRenderedPageBreak/>
        <w:t>I.</w:t>
      </w:r>
      <w:r w:rsidRPr="0017036A">
        <w:tab/>
        <w:t>Introduction</w:t>
      </w:r>
      <w:bookmarkEnd w:id="6"/>
      <w:bookmarkEnd w:id="7"/>
    </w:p>
    <w:p w14:paraId="1A392816" w14:textId="77777777" w:rsidR="003B32F0" w:rsidRPr="0017036A" w:rsidRDefault="003B32F0" w:rsidP="00DC65CB">
      <w:pPr>
        <w:pStyle w:val="Heading2"/>
        <w:numPr>
          <w:ilvl w:val="0"/>
          <w:numId w:val="44"/>
        </w:numPr>
      </w:pPr>
      <w:bookmarkStart w:id="8" w:name="_Toc458602319"/>
      <w:bookmarkStart w:id="9" w:name="_Toc84844911"/>
      <w:r w:rsidRPr="0017036A">
        <w:t>Purpose of Solicitation</w:t>
      </w:r>
      <w:bookmarkEnd w:id="8"/>
      <w:bookmarkEnd w:id="9"/>
      <w:r w:rsidRPr="0017036A">
        <w:t xml:space="preserve"> </w:t>
      </w:r>
      <w:bookmarkStart w:id="10" w:name="_Toc395180593"/>
      <w:bookmarkStart w:id="11" w:name="_Toc381079833"/>
      <w:bookmarkStart w:id="12" w:name="_Toc382571091"/>
    </w:p>
    <w:bookmarkEnd w:id="10"/>
    <w:bookmarkEnd w:id="11"/>
    <w:bookmarkEnd w:id="12"/>
    <w:p w14:paraId="1DC38BD1" w14:textId="77777777" w:rsidR="003B32F0" w:rsidRPr="0017036A" w:rsidRDefault="003B32F0" w:rsidP="003B32F0">
      <w:pPr>
        <w:pStyle w:val="NoSpacing"/>
        <w:jc w:val="both"/>
        <w:rPr>
          <w:rStyle w:val="eop"/>
        </w:rPr>
      </w:pPr>
      <w:r w:rsidRPr="0017036A">
        <w:rPr>
          <w:rStyle w:val="normaltextrun"/>
        </w:rPr>
        <w:t>The purpose of this solicitation is to fund applied research that will support climate resilience planning for California’s ongoing transition to a clean electricity system in accordance with Senate Bill (SB) 100 goals. The proposed research will improve electricity system modeling of the effects of climate change and particularly climate extremes on electricity supply and demand over the next few decades, a period in which both electricity supply and demand are expected to rapidly evolve to achieve California’s 2030 and 2045 decarbonization goals. The proposed research will also support the design of technology research that is responsive to climate impacts on electricity supply and demand and targeted to California’s future electricity system versus the system of today. The objective is to ensure that California’s decarbonizing grid is resilient to future climate extremes and reliably distributes the benefits of clean energy to all Californians. </w:t>
      </w:r>
      <w:r w:rsidRPr="0017036A">
        <w:rPr>
          <w:rStyle w:val="eop"/>
        </w:rPr>
        <w:t> </w:t>
      </w:r>
    </w:p>
    <w:p w14:paraId="71D790C3" w14:textId="77777777" w:rsidR="003B32F0" w:rsidRPr="0017036A" w:rsidRDefault="003B32F0" w:rsidP="003B32F0">
      <w:pPr>
        <w:pStyle w:val="NoSpacing"/>
        <w:rPr>
          <w:rStyle w:val="normaltextrun"/>
        </w:rPr>
      </w:pPr>
    </w:p>
    <w:p w14:paraId="75D97FC0" w14:textId="77777777" w:rsidR="003B32F0" w:rsidRPr="0017036A" w:rsidRDefault="003B32F0" w:rsidP="003B32F0">
      <w:pPr>
        <w:pStyle w:val="NoSpacing"/>
        <w:jc w:val="both"/>
        <w:rPr>
          <w:rStyle w:val="normaltextrun"/>
          <w:szCs w:val="22"/>
        </w:rPr>
      </w:pPr>
      <w:r w:rsidRPr="0017036A">
        <w:rPr>
          <w:rStyle w:val="normaltextrun"/>
          <w:szCs w:val="22"/>
        </w:rPr>
        <w:t>The California Energy Commission’s (CEC) </w:t>
      </w:r>
      <w:r w:rsidRPr="0017036A">
        <w:rPr>
          <w:rStyle w:val="normaltextrun"/>
          <w:i/>
          <w:iCs/>
          <w:szCs w:val="22"/>
        </w:rPr>
        <w:t>2018-2020 Electric Program Investment Charge (EPIC) Triennial Investment Plan</w:t>
      </w:r>
      <w:r w:rsidRPr="0017036A">
        <w:rPr>
          <w:rStyle w:val="normaltextrun"/>
          <w:szCs w:val="22"/>
        </w:rPr>
        <w:t> includes the research subtheme S7.1 “Identify Pathways for Achieving California’s Energy and Climate Goals” and S7.2 “Increase the Resiliency of the Electricity System to Climate Change and Extreme Weather Events.” The proposed research is intended to provide crucial support for electricity sector resilience by supporting three initiatives associated with these subthemes: </w:t>
      </w:r>
    </w:p>
    <w:p w14:paraId="3406CCC8" w14:textId="77777777" w:rsidR="003B32F0" w:rsidRPr="0017036A" w:rsidRDefault="003B32F0" w:rsidP="003B32F0">
      <w:pPr>
        <w:pStyle w:val="NoSpacing"/>
      </w:pPr>
      <w:r w:rsidRPr="0017036A">
        <w:rPr>
          <w:rStyle w:val="eop"/>
          <w:szCs w:val="22"/>
        </w:rPr>
        <w:t> </w:t>
      </w:r>
    </w:p>
    <w:p w14:paraId="03EADB05" w14:textId="77777777" w:rsidR="003B32F0" w:rsidRPr="0017036A" w:rsidRDefault="003B32F0" w:rsidP="00DC65CB">
      <w:pPr>
        <w:pStyle w:val="ListParagraph"/>
        <w:numPr>
          <w:ilvl w:val="0"/>
          <w:numId w:val="58"/>
        </w:numPr>
      </w:pPr>
      <w:r w:rsidRPr="0017036A">
        <w:rPr>
          <w:rStyle w:val="normaltextrun"/>
          <w:szCs w:val="22"/>
        </w:rPr>
        <w:t>Initiative S7.1.1 Integrated Pathways for Energy Futures: Tools and Science-Based Research for Holistic Energy Decision Making</w:t>
      </w:r>
      <w:r w:rsidRPr="0017036A">
        <w:rPr>
          <w:rStyle w:val="eop"/>
          <w:szCs w:val="22"/>
        </w:rPr>
        <w:t> </w:t>
      </w:r>
    </w:p>
    <w:p w14:paraId="63E0F16E" w14:textId="77777777" w:rsidR="003B32F0" w:rsidRPr="0017036A" w:rsidRDefault="003B32F0" w:rsidP="00DC65CB">
      <w:pPr>
        <w:pStyle w:val="ListParagraph"/>
        <w:numPr>
          <w:ilvl w:val="0"/>
          <w:numId w:val="58"/>
        </w:numPr>
        <w:rPr>
          <w:rStyle w:val="eop"/>
          <w:szCs w:val="22"/>
        </w:rPr>
      </w:pPr>
      <w:r w:rsidRPr="0017036A">
        <w:rPr>
          <w:rStyle w:val="normaltextrun"/>
          <w:szCs w:val="22"/>
        </w:rPr>
        <w:t>Initiative S7.2.1 Improved Understanding of Climate- and Weather-Related Risks and Resilience Options.</w:t>
      </w:r>
    </w:p>
    <w:p w14:paraId="479B0604" w14:textId="77777777" w:rsidR="003B32F0" w:rsidRPr="0017036A" w:rsidRDefault="003B32F0" w:rsidP="00DC65CB">
      <w:pPr>
        <w:pStyle w:val="ListParagraph"/>
        <w:numPr>
          <w:ilvl w:val="0"/>
          <w:numId w:val="58"/>
        </w:numPr>
        <w:rPr>
          <w:rStyle w:val="eop"/>
        </w:rPr>
      </w:pPr>
      <w:r w:rsidRPr="0017036A">
        <w:rPr>
          <w:rStyle w:val="normaltextrun"/>
          <w:szCs w:val="22"/>
        </w:rPr>
        <w:t>Initiative S7.2.3 Integrate Climate Readiness into Electricity System Operations, Tools, and Models</w:t>
      </w:r>
    </w:p>
    <w:p w14:paraId="2142A75D" w14:textId="77777777" w:rsidR="003B32F0" w:rsidRPr="0017036A" w:rsidRDefault="003B32F0" w:rsidP="003B32F0">
      <w:pPr>
        <w:pStyle w:val="NoSpacing"/>
      </w:pPr>
    </w:p>
    <w:p w14:paraId="151B6172" w14:textId="77777777" w:rsidR="003B32F0" w:rsidRPr="0017036A" w:rsidRDefault="003B32F0" w:rsidP="003B32F0">
      <w:pPr>
        <w:jc w:val="both"/>
        <w:rPr>
          <w:rStyle w:val="eop"/>
          <w:szCs w:val="22"/>
        </w:rPr>
      </w:pPr>
      <w:r w:rsidRPr="0017036A">
        <w:rPr>
          <w:rStyle w:val="normaltextrun"/>
          <w:szCs w:val="22"/>
        </w:rPr>
        <w:t>California has clear and ambitious clean energy goals. The research described in this solicitation manual will support the integration of climate resilience considerations into SB 100 implementation, while assisting policymakers in addressing grid resilience to future extreme events. In addition, these research products will provide Investor-owned utilities (IOUs) and other electricity sector stakeholders with a foundation for considering climate change, variability, and extremes in modeling that supports electricity-sector planning. This research will also support CEC’s integration of climate change into energy supply and demand forecasting and will contribute to the energy-related component of California’s Fifth Climate Change Assessment.</w:t>
      </w:r>
      <w:r w:rsidRPr="0017036A">
        <w:rPr>
          <w:rStyle w:val="eop"/>
          <w:szCs w:val="22"/>
        </w:rPr>
        <w:t> </w:t>
      </w:r>
    </w:p>
    <w:p w14:paraId="567610E7" w14:textId="77777777" w:rsidR="003B32F0" w:rsidRPr="0017036A" w:rsidRDefault="003B32F0" w:rsidP="003B32F0">
      <w:pPr>
        <w:pStyle w:val="NoSpacing"/>
        <w:rPr>
          <w:szCs w:val="22"/>
        </w:rPr>
      </w:pPr>
    </w:p>
    <w:p w14:paraId="0A735A7E" w14:textId="77777777" w:rsidR="003B32F0" w:rsidRPr="0017036A" w:rsidRDefault="003B32F0" w:rsidP="003B32F0">
      <w:pPr>
        <w:rPr>
          <w:szCs w:val="22"/>
        </w:rPr>
      </w:pPr>
      <w:r w:rsidRPr="0017036A">
        <w:rPr>
          <w:rStyle w:val="normaltextrun"/>
          <w:szCs w:val="22"/>
        </w:rPr>
        <w:t>The proposed research is expected to leverage products of two ongoing efforts funded through EPIC Grant Funding Opportunity GFO-19-311, including:</w:t>
      </w:r>
      <w:r w:rsidRPr="0017036A">
        <w:rPr>
          <w:rStyle w:val="eop"/>
          <w:szCs w:val="22"/>
        </w:rPr>
        <w:t> </w:t>
      </w:r>
    </w:p>
    <w:p w14:paraId="06634ED2" w14:textId="77777777" w:rsidR="003B32F0" w:rsidRPr="0017036A" w:rsidRDefault="003B32F0" w:rsidP="00DC65CB">
      <w:pPr>
        <w:pStyle w:val="ListParagraph"/>
        <w:numPr>
          <w:ilvl w:val="0"/>
          <w:numId w:val="55"/>
        </w:numPr>
        <w:rPr>
          <w:rStyle w:val="normaltextrun"/>
          <w:szCs w:val="22"/>
        </w:rPr>
      </w:pPr>
      <w:r w:rsidRPr="0017036A">
        <w:rPr>
          <w:rStyle w:val="normaltextrun"/>
          <w:szCs w:val="22"/>
        </w:rPr>
        <w:t xml:space="preserve">Climate projections based on the most current climate models that deliver key parameters of interest relevant to the electricity system serving California—including those that have been elusive due to limitations in prior generations of models—at spatial and temporal resolutions that are meaningful to inform electricity sector vulnerability </w:t>
      </w:r>
      <w:r w:rsidRPr="0017036A">
        <w:rPr>
          <w:rStyle w:val="normaltextrun"/>
          <w:szCs w:val="22"/>
        </w:rPr>
        <w:lastRenderedPageBreak/>
        <w:t>assessment, resilience strategies, demand forecasting, and infrastructure planning (EPC-20-006).</w:t>
      </w:r>
      <w:r w:rsidRPr="0017036A">
        <w:rPr>
          <w:rStyle w:val="FootnoteReference"/>
          <w:szCs w:val="22"/>
        </w:rPr>
        <w:footnoteReference w:id="1"/>
      </w:r>
    </w:p>
    <w:p w14:paraId="2AD386DD" w14:textId="77777777" w:rsidR="003B32F0" w:rsidRPr="0017036A" w:rsidRDefault="003B32F0" w:rsidP="00DC65CB">
      <w:pPr>
        <w:pStyle w:val="ListParagraph"/>
        <w:numPr>
          <w:ilvl w:val="0"/>
          <w:numId w:val="55"/>
        </w:numPr>
        <w:rPr>
          <w:rStyle w:val="eop"/>
          <w:szCs w:val="22"/>
        </w:rPr>
      </w:pPr>
      <w:r w:rsidRPr="0017036A">
        <w:rPr>
          <w:rStyle w:val="normaltextrun"/>
          <w:szCs w:val="22"/>
        </w:rPr>
        <w:t>A data platform and analytics engine designed to deliver climate and weather-related data to energy sector stakeholders in a manner that enables integration of climate-related trends and parameters into decision support, modeling, and planning (EPC-20-007)</w:t>
      </w:r>
      <w:r w:rsidRPr="0017036A">
        <w:rPr>
          <w:rStyle w:val="FootnoteReference"/>
          <w:szCs w:val="22"/>
        </w:rPr>
        <w:footnoteReference w:id="2"/>
      </w:r>
      <w:r w:rsidRPr="0017036A">
        <w:rPr>
          <w:rStyle w:val="normaltextrun"/>
          <w:szCs w:val="22"/>
        </w:rPr>
        <w:t> This effort will reduce vast amounts of data from sophisticated climate projections into useful information for key stakeholders, including the research teams funded through this solicitation.</w:t>
      </w:r>
    </w:p>
    <w:p w14:paraId="0FE98516" w14:textId="77777777" w:rsidR="003B32F0" w:rsidRPr="0017036A" w:rsidRDefault="003B32F0" w:rsidP="003B32F0">
      <w:pPr>
        <w:pStyle w:val="NoSpacing"/>
      </w:pPr>
    </w:p>
    <w:p w14:paraId="0CA34455" w14:textId="77777777" w:rsidR="003B32F0" w:rsidRPr="0017036A" w:rsidRDefault="003B32F0" w:rsidP="003B32F0">
      <w:pPr>
        <w:jc w:val="both"/>
        <w:rPr>
          <w:rStyle w:val="normaltextrun"/>
          <w:szCs w:val="22"/>
        </w:rPr>
      </w:pPr>
      <w:r w:rsidRPr="0017036A">
        <w:rPr>
          <w:rStyle w:val="normaltextrun"/>
          <w:szCs w:val="22"/>
        </w:rPr>
        <w:t>To ensure opportunity for stakeholder input regarding the scope and organization of this solicitation, CEC staff held a public workshop on March 5, 2021, to present initial ideas and elicit input. CEC appreciates the participation of nearly 100 attendees, including representation from IOUs, the academic research community, national laboratories and research programs, federal agencies, state agencies, members of the public, industry, and private consultants. Links to the workshop materials, including the presentation and recording, are available in the “Reference Documents” section of this solicitation manual.</w:t>
      </w:r>
    </w:p>
    <w:p w14:paraId="6E813237" w14:textId="77777777" w:rsidR="003B32F0" w:rsidRPr="0017036A" w:rsidRDefault="003B32F0" w:rsidP="003B32F0">
      <w:pPr>
        <w:pStyle w:val="NoSpacing"/>
      </w:pPr>
    </w:p>
    <w:p w14:paraId="6D7050CD" w14:textId="77777777" w:rsidR="003B32F0" w:rsidRPr="0017036A" w:rsidRDefault="003B32F0" w:rsidP="003B32F0">
      <w:pPr>
        <w:rPr>
          <w:szCs w:val="22"/>
        </w:rPr>
      </w:pPr>
      <w:r w:rsidRPr="0017036A">
        <w:rPr>
          <w:rStyle w:val="normaltextrun"/>
          <w:szCs w:val="22"/>
        </w:rPr>
        <w:t>Projects must fall within one of the following project groups:</w:t>
      </w:r>
    </w:p>
    <w:p w14:paraId="08D8CD2D" w14:textId="77777777" w:rsidR="003B32F0" w:rsidRPr="0017036A" w:rsidRDefault="003B32F0" w:rsidP="00DC65CB">
      <w:pPr>
        <w:pStyle w:val="ListParagraph"/>
        <w:numPr>
          <w:ilvl w:val="0"/>
          <w:numId w:val="54"/>
        </w:numPr>
        <w:rPr>
          <w:szCs w:val="22"/>
        </w:rPr>
      </w:pPr>
      <w:r w:rsidRPr="0017036A">
        <w:rPr>
          <w:rStyle w:val="normaltextrun"/>
          <w:b/>
          <w:bCs/>
          <w:szCs w:val="22"/>
        </w:rPr>
        <w:t>Group 1</w:t>
      </w:r>
      <w:r w:rsidRPr="0017036A">
        <w:rPr>
          <w:rStyle w:val="normaltextrun"/>
          <w:szCs w:val="22"/>
        </w:rPr>
        <w:t>: Assessing and improving the climate resilience of an electricity system in transition</w:t>
      </w:r>
      <w:r w:rsidRPr="0017036A">
        <w:rPr>
          <w:rStyle w:val="eop"/>
          <w:szCs w:val="22"/>
        </w:rPr>
        <w:t> </w:t>
      </w:r>
    </w:p>
    <w:p w14:paraId="0043DED7" w14:textId="77777777" w:rsidR="003B32F0" w:rsidRPr="0017036A" w:rsidRDefault="003B32F0" w:rsidP="00DC65CB">
      <w:pPr>
        <w:pStyle w:val="ListParagraph"/>
        <w:numPr>
          <w:ilvl w:val="0"/>
          <w:numId w:val="54"/>
        </w:numPr>
        <w:rPr>
          <w:szCs w:val="22"/>
        </w:rPr>
      </w:pPr>
      <w:r w:rsidRPr="0017036A">
        <w:rPr>
          <w:rStyle w:val="normaltextrun"/>
          <w:b/>
          <w:bCs/>
          <w:szCs w:val="22"/>
        </w:rPr>
        <w:t>Group 2</w:t>
      </w:r>
      <w:r w:rsidRPr="0017036A">
        <w:rPr>
          <w:rStyle w:val="normaltextrun"/>
          <w:szCs w:val="22"/>
        </w:rPr>
        <w:t xml:space="preserve">: Climate-related changes to availability and distribution of solar, wind, and hydroelectric generation </w:t>
      </w:r>
    </w:p>
    <w:p w14:paraId="46C88704" w14:textId="77777777" w:rsidR="003B32F0" w:rsidRPr="0017036A" w:rsidRDefault="003B32F0" w:rsidP="00DC65CB">
      <w:pPr>
        <w:pStyle w:val="ListParagraph"/>
        <w:numPr>
          <w:ilvl w:val="0"/>
          <w:numId w:val="54"/>
        </w:numPr>
        <w:rPr>
          <w:rStyle w:val="normaltextrun"/>
          <w:szCs w:val="22"/>
        </w:rPr>
      </w:pPr>
      <w:r w:rsidRPr="0017036A">
        <w:rPr>
          <w:rStyle w:val="normaltextrun"/>
          <w:b/>
          <w:bCs/>
          <w:szCs w:val="22"/>
        </w:rPr>
        <w:t>Group 3</w:t>
      </w:r>
      <w:r w:rsidRPr="0017036A">
        <w:rPr>
          <w:rStyle w:val="normaltextrun"/>
          <w:szCs w:val="22"/>
        </w:rPr>
        <w:t>: Cal-Adapt enhancements to support energy sector stakeholders</w:t>
      </w:r>
    </w:p>
    <w:p w14:paraId="15F0850A" w14:textId="77777777" w:rsidR="003B32F0" w:rsidRPr="0017036A" w:rsidRDefault="003B32F0" w:rsidP="003B32F0">
      <w:pPr>
        <w:pStyle w:val="NoSpacing"/>
        <w:rPr>
          <w:szCs w:val="22"/>
        </w:rPr>
      </w:pPr>
    </w:p>
    <w:p w14:paraId="472C97AA" w14:textId="77777777" w:rsidR="003B32F0" w:rsidRPr="0017036A" w:rsidRDefault="003B32F0" w:rsidP="003B32F0">
      <w:pPr>
        <w:pStyle w:val="NoSpacing"/>
        <w:jc w:val="both"/>
        <w:rPr>
          <w:rStyle w:val="normaltextrun"/>
        </w:rPr>
      </w:pPr>
      <w:r w:rsidRPr="0017036A">
        <w:rPr>
          <w:rStyle w:val="normaltextrun"/>
        </w:rPr>
        <w:t>See Part II of this solicitation for project eligibility requirements. Applications will be evaluated as follows: Stage One Application Screening and Stage Two Application Scoring. 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 the Scope of Work).</w:t>
      </w:r>
    </w:p>
    <w:p w14:paraId="14C33618" w14:textId="77777777" w:rsidR="003B32F0" w:rsidRPr="0017036A" w:rsidRDefault="003B32F0" w:rsidP="003B32F0">
      <w:pPr>
        <w:pStyle w:val="NoSpacing"/>
      </w:pPr>
    </w:p>
    <w:p w14:paraId="1FFEE853" w14:textId="77777777" w:rsidR="003B32F0" w:rsidRPr="0011331C" w:rsidRDefault="003B32F0" w:rsidP="003B32F0">
      <w:pPr>
        <w:jc w:val="both"/>
      </w:pPr>
      <w:r w:rsidRPr="0017036A">
        <w:rPr>
          <w:rStyle w:val="normaltextrun"/>
        </w:rPr>
        <w:t>Prospective applicants looking for partnering opportunities for this funding opportunity should register on the CEC’s Empower Innovation website at: </w:t>
      </w:r>
      <w:hyperlink r:id="rId15">
        <w:r w:rsidRPr="00284D57">
          <w:rPr>
            <w:rStyle w:val="normaltextrun"/>
            <w:color w:val="0432FF"/>
            <w:u w:val="single"/>
          </w:rPr>
          <w:t>www.empowerinnovation.net</w:t>
        </w:r>
      </w:hyperlink>
      <w:r w:rsidRPr="00284D57">
        <w:rPr>
          <w:rStyle w:val="normaltextrun"/>
          <w:u w:val="single"/>
        </w:rPr>
        <w:t>.</w:t>
      </w:r>
      <w:r w:rsidRPr="00284D57">
        <w:rPr>
          <w:sz w:val="26"/>
          <w:szCs w:val="26"/>
        </w:rPr>
        <w:br w:type="page"/>
      </w:r>
    </w:p>
    <w:p w14:paraId="11237512" w14:textId="77777777" w:rsidR="003B32F0" w:rsidRDefault="003B32F0" w:rsidP="00DC65CB">
      <w:pPr>
        <w:pStyle w:val="Heading2"/>
        <w:numPr>
          <w:ilvl w:val="0"/>
          <w:numId w:val="44"/>
        </w:numPr>
      </w:pPr>
      <w:bookmarkStart w:id="13" w:name="_Toc458602320"/>
      <w:bookmarkStart w:id="14" w:name="_Toc84844912"/>
      <w:r w:rsidRPr="00756BAC">
        <w:lastRenderedPageBreak/>
        <w:t>Key Words/Terms</w:t>
      </w:r>
      <w:bookmarkEnd w:id="13"/>
      <w:bookmarkEnd w:id="14"/>
    </w:p>
    <w:p w14:paraId="184F00DE" w14:textId="77777777" w:rsidR="003B32F0" w:rsidRPr="00E84049" w:rsidRDefault="003B32F0" w:rsidP="003B32F0">
      <w:pPr>
        <w:pStyle w:val="Heading3"/>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3"/>
        <w:gridCol w:w="6737"/>
      </w:tblGrid>
      <w:tr w:rsidR="003B32F0" w:rsidRPr="00315A64" w14:paraId="7E56F4A1" w14:textId="77777777" w:rsidTr="006D46A0">
        <w:trPr>
          <w:trHeight w:val="300"/>
        </w:trPr>
        <w:tc>
          <w:tcPr>
            <w:tcW w:w="262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9E10982" w14:textId="77777777" w:rsidR="003B32F0" w:rsidRPr="00315A64" w:rsidRDefault="003B32F0" w:rsidP="006D46A0">
            <w:r w:rsidRPr="00315A64">
              <w:rPr>
                <w:rStyle w:val="normaltextrun"/>
                <w:b/>
                <w:bCs/>
                <w:szCs w:val="22"/>
              </w:rPr>
              <w:t>Word/Term</w:t>
            </w:r>
            <w:r w:rsidRPr="00315A64">
              <w:rPr>
                <w:rStyle w:val="eop"/>
                <w:szCs w:val="22"/>
              </w:rPr>
              <w:t> </w:t>
            </w:r>
          </w:p>
        </w:tc>
        <w:tc>
          <w:tcPr>
            <w:tcW w:w="6737" w:type="dxa"/>
            <w:tcBorders>
              <w:top w:val="single" w:sz="6" w:space="0" w:color="auto"/>
              <w:left w:val="nil"/>
              <w:bottom w:val="single" w:sz="6" w:space="0" w:color="auto"/>
              <w:right w:val="single" w:sz="6" w:space="0" w:color="auto"/>
            </w:tcBorders>
            <w:shd w:val="clear" w:color="auto" w:fill="D9D9D9"/>
            <w:vAlign w:val="center"/>
            <w:hideMark/>
          </w:tcPr>
          <w:p w14:paraId="3936974B" w14:textId="77777777" w:rsidR="003B32F0" w:rsidRPr="00315A64" w:rsidRDefault="003B32F0" w:rsidP="006D46A0">
            <w:r w:rsidRPr="00315A64">
              <w:rPr>
                <w:rStyle w:val="normaltextrun"/>
                <w:b/>
                <w:bCs/>
                <w:szCs w:val="22"/>
              </w:rPr>
              <w:t>Definition</w:t>
            </w:r>
            <w:r w:rsidRPr="00315A64">
              <w:rPr>
                <w:rStyle w:val="eop"/>
                <w:szCs w:val="22"/>
              </w:rPr>
              <w:t> </w:t>
            </w:r>
          </w:p>
        </w:tc>
      </w:tr>
      <w:tr w:rsidR="003B32F0" w:rsidRPr="00315A64" w14:paraId="3B45CCED"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68F3C344" w14:textId="77777777" w:rsidR="003B32F0" w:rsidRPr="00315A64" w:rsidRDefault="003B32F0" w:rsidP="006D46A0">
            <w:r w:rsidRPr="00315A64">
              <w:rPr>
                <w:rStyle w:val="normaltextrun"/>
                <w:szCs w:val="22"/>
              </w:rPr>
              <w:t>Applicant</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6A96EE6D" w14:textId="77777777" w:rsidR="003B32F0" w:rsidRPr="00315A64" w:rsidRDefault="003B32F0" w:rsidP="006D46A0">
            <w:r w:rsidRPr="00315A64">
              <w:rPr>
                <w:rStyle w:val="normaltextrun"/>
                <w:szCs w:val="22"/>
              </w:rPr>
              <w:t>The entity that submits an application to this solicitation.</w:t>
            </w:r>
            <w:r w:rsidRPr="00315A64">
              <w:rPr>
                <w:rStyle w:val="eop"/>
                <w:szCs w:val="22"/>
              </w:rPr>
              <w:t> </w:t>
            </w:r>
          </w:p>
        </w:tc>
      </w:tr>
      <w:tr w:rsidR="003B32F0" w:rsidRPr="00315A64" w14:paraId="4D3211A5"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7FD36733" w14:textId="77777777" w:rsidR="003B32F0" w:rsidRPr="00315A64" w:rsidRDefault="003B32F0" w:rsidP="006D46A0">
            <w:r w:rsidRPr="00315A64">
              <w:rPr>
                <w:rStyle w:val="normaltextrun"/>
                <w:szCs w:val="22"/>
              </w:rPr>
              <w:t>Application</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6C2B1E30" w14:textId="77777777" w:rsidR="003B32F0" w:rsidRPr="00315A64" w:rsidRDefault="003B32F0" w:rsidP="006D46A0">
            <w:r w:rsidRPr="00315A64">
              <w:rPr>
                <w:rStyle w:val="normaltextrun"/>
                <w:szCs w:val="22"/>
              </w:rPr>
              <w:t>An applicant’s written response to this solicitation.  Also referred to as “Proposal”.</w:t>
            </w:r>
            <w:r w:rsidRPr="00315A64">
              <w:rPr>
                <w:rStyle w:val="eop"/>
                <w:szCs w:val="22"/>
              </w:rPr>
              <w:t> </w:t>
            </w:r>
          </w:p>
        </w:tc>
      </w:tr>
      <w:tr w:rsidR="003B32F0" w:rsidRPr="00315A64" w14:paraId="0D392B7A"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14DBCAAD" w14:textId="77777777" w:rsidR="003B32F0" w:rsidRPr="00315A64" w:rsidRDefault="003B32F0" w:rsidP="006D46A0">
            <w:r w:rsidRPr="00315A64">
              <w:rPr>
                <w:rStyle w:val="normaltextrun"/>
                <w:szCs w:val="22"/>
              </w:rPr>
              <w:t>Authorized Representative</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4EFAF942" w14:textId="77777777" w:rsidR="003B32F0" w:rsidRPr="00315A64" w:rsidRDefault="003B32F0" w:rsidP="006D46A0">
            <w:r w:rsidRPr="00315A64">
              <w:rPr>
                <w:rStyle w:val="normaltextrun"/>
                <w:i/>
                <w:iCs/>
                <w:szCs w:val="22"/>
              </w:rPr>
              <w:t>Authorized Representative</w:t>
            </w:r>
            <w:r w:rsidRPr="00315A64">
              <w:rPr>
                <w:rStyle w:val="normaltextrun"/>
                <w:szCs w:val="22"/>
              </w:rPr>
              <w:t>, the person signing the application form who has authority to enter into an agreement with the CEC. </w:t>
            </w:r>
            <w:r w:rsidRPr="00315A64">
              <w:rPr>
                <w:rStyle w:val="eop"/>
                <w:szCs w:val="22"/>
              </w:rPr>
              <w:t> </w:t>
            </w:r>
          </w:p>
        </w:tc>
      </w:tr>
      <w:tr w:rsidR="003B32F0" w:rsidRPr="00315A64" w14:paraId="330ACDD0"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65459A45" w14:textId="77777777" w:rsidR="003B32F0" w:rsidRPr="00315A64" w:rsidRDefault="003B32F0" w:rsidP="006D46A0">
            <w:r w:rsidRPr="00315A64">
              <w:rPr>
                <w:rStyle w:val="normaltextrun"/>
                <w:szCs w:val="22"/>
              </w:rPr>
              <w:t>CAM</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3A3C36B0" w14:textId="77777777" w:rsidR="003B32F0" w:rsidRPr="00315A64" w:rsidRDefault="003B32F0" w:rsidP="006D46A0">
            <w:r w:rsidRPr="00315A64">
              <w:rPr>
                <w:rStyle w:val="normaltextrun"/>
                <w:i/>
                <w:iCs/>
                <w:szCs w:val="22"/>
              </w:rPr>
              <w:t>Commission Agreement Manager,</w:t>
            </w:r>
            <w:r w:rsidRPr="00315A64">
              <w:rPr>
                <w:rStyle w:val="normaltextrun"/>
                <w:szCs w:val="22"/>
              </w:rPr>
              <w:t> the person designated by the CEC to oversee the performance of an agreement resulting from this solicitation and to serve as the main point of contact for the Recipient.</w:t>
            </w:r>
            <w:r w:rsidRPr="00315A64">
              <w:rPr>
                <w:rStyle w:val="eop"/>
                <w:szCs w:val="22"/>
              </w:rPr>
              <w:t> </w:t>
            </w:r>
          </w:p>
        </w:tc>
      </w:tr>
      <w:tr w:rsidR="003B32F0" w:rsidRPr="00315A64" w14:paraId="44563F85"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4086702A" w14:textId="77777777" w:rsidR="003B32F0" w:rsidRPr="00315A64" w:rsidRDefault="003B32F0" w:rsidP="006D46A0">
            <w:r w:rsidRPr="00315A64">
              <w:rPr>
                <w:rStyle w:val="normaltextrun"/>
                <w:szCs w:val="22"/>
              </w:rPr>
              <w:t>CAO</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0089DFAA" w14:textId="77777777" w:rsidR="003B32F0" w:rsidRPr="00315A64" w:rsidRDefault="003B32F0" w:rsidP="006D46A0">
            <w:r w:rsidRPr="00315A64">
              <w:rPr>
                <w:rStyle w:val="normaltextrun"/>
                <w:szCs w:val="22"/>
              </w:rPr>
              <w:t>Commission Agreement Officer</w:t>
            </w:r>
            <w:r w:rsidRPr="00315A64">
              <w:rPr>
                <w:rStyle w:val="eop"/>
                <w:szCs w:val="22"/>
              </w:rPr>
              <w:t> </w:t>
            </w:r>
          </w:p>
        </w:tc>
      </w:tr>
      <w:tr w:rsidR="003B32F0" w:rsidRPr="00315A64" w14:paraId="5D806F53"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3BCFA517" w14:textId="77777777" w:rsidR="003B32F0" w:rsidRPr="00315A64" w:rsidRDefault="003B32F0" w:rsidP="006D46A0">
            <w:r w:rsidRPr="00315A64">
              <w:rPr>
                <w:rStyle w:val="normaltextrun"/>
                <w:szCs w:val="22"/>
              </w:rPr>
              <w:t>CBO</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27FD2525" w14:textId="77777777" w:rsidR="003B32F0" w:rsidRPr="00315A64" w:rsidRDefault="003B32F0" w:rsidP="006D46A0">
            <w:pPr>
              <w:rPr>
                <w:szCs w:val="22"/>
              </w:rPr>
            </w:pPr>
            <w:r w:rsidRPr="00315A64">
              <w:rPr>
                <w:rStyle w:val="normaltextrun"/>
                <w:szCs w:val="22"/>
              </w:rPr>
              <w:t>Community Based Organization. A public or private nonprofit organization of demonstrated effectiveness that: </w:t>
            </w:r>
            <w:r w:rsidRPr="00315A64">
              <w:rPr>
                <w:rStyle w:val="eop"/>
                <w:szCs w:val="22"/>
              </w:rPr>
              <w:t> </w:t>
            </w:r>
          </w:p>
          <w:p w14:paraId="3586C25A" w14:textId="77777777" w:rsidR="003B32F0" w:rsidRDefault="003B32F0" w:rsidP="006D46A0">
            <w:pPr>
              <w:rPr>
                <w:rStyle w:val="normaltextrun"/>
                <w:szCs w:val="22"/>
              </w:rPr>
            </w:pPr>
            <w:r w:rsidRPr="00315A64">
              <w:rPr>
                <w:rStyle w:val="normaltextrun"/>
                <w:szCs w:val="22"/>
              </w:rPr>
              <w:t>Has an office in the region (e.g., air basin or county) and meets the demographic profile of the communities they serve.</w:t>
            </w:r>
          </w:p>
          <w:p w14:paraId="0DDABC3B" w14:textId="77777777" w:rsidR="003B32F0" w:rsidRDefault="003B32F0" w:rsidP="006D46A0">
            <w:pPr>
              <w:rPr>
                <w:rStyle w:val="normaltextrun"/>
                <w:szCs w:val="22"/>
              </w:rPr>
            </w:pPr>
            <w:r w:rsidRPr="00647097">
              <w:rPr>
                <w:rStyle w:val="normaltextrun"/>
                <w:szCs w:val="22"/>
              </w:rPr>
              <w:t>Has deployed projects and/or outreach efforts within the region (e.g., air basin or county) of the proposed disadvantaged or low-income community.</w:t>
            </w:r>
          </w:p>
          <w:p w14:paraId="1B73EC7E" w14:textId="77777777" w:rsidR="003B32F0" w:rsidRDefault="003B32F0" w:rsidP="006D46A0">
            <w:pPr>
              <w:rPr>
                <w:rStyle w:val="normaltextrun"/>
                <w:szCs w:val="22"/>
              </w:rPr>
            </w:pPr>
            <w:r w:rsidRPr="00647097">
              <w:rPr>
                <w:rStyle w:val="normaltextrun"/>
                <w:szCs w:val="22"/>
              </w:rPr>
              <w:t>Has an official mission and vision statements that expressly identifies serving disadvantaged and/or low-income communities.</w:t>
            </w:r>
          </w:p>
          <w:p w14:paraId="49445512" w14:textId="77777777" w:rsidR="003B32F0" w:rsidRPr="00647097" w:rsidRDefault="003B32F0" w:rsidP="006D46A0">
            <w:r w:rsidRPr="00647097">
              <w:rPr>
                <w:rStyle w:val="normaltextrun"/>
                <w:szCs w:val="22"/>
              </w:rPr>
              <w:t>Currently employs staff member(s) who specialized in and are dedicated to – diversity, or equity, or inclusion, or is a 501(c)(3) non-profit.</w:t>
            </w:r>
            <w:r w:rsidRPr="00647097">
              <w:rPr>
                <w:rStyle w:val="eop"/>
                <w:szCs w:val="22"/>
              </w:rPr>
              <w:t> </w:t>
            </w:r>
          </w:p>
        </w:tc>
      </w:tr>
      <w:tr w:rsidR="003B32F0" w:rsidRPr="00315A64" w14:paraId="07D64BC5"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233BB08D" w14:textId="77777777" w:rsidR="003B32F0" w:rsidRPr="00315A64" w:rsidRDefault="003B32F0" w:rsidP="006D46A0">
            <w:r w:rsidRPr="00315A64">
              <w:rPr>
                <w:rStyle w:val="normaltextrun"/>
                <w:szCs w:val="22"/>
              </w:rPr>
              <w:t>CEC</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43F0CC31" w14:textId="77777777" w:rsidR="003B32F0" w:rsidRPr="00315A64" w:rsidRDefault="003B32F0" w:rsidP="006D46A0">
            <w:r w:rsidRPr="00315A64">
              <w:rPr>
                <w:rStyle w:val="normaltextrun"/>
                <w:szCs w:val="22"/>
              </w:rPr>
              <w:t>California Energy Commission.</w:t>
            </w:r>
            <w:r w:rsidRPr="00315A64">
              <w:rPr>
                <w:rStyle w:val="eop"/>
                <w:szCs w:val="22"/>
              </w:rPr>
              <w:t> </w:t>
            </w:r>
          </w:p>
        </w:tc>
      </w:tr>
      <w:tr w:rsidR="003B32F0" w:rsidRPr="00315A64" w14:paraId="45BD0ABC"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4325817C" w14:textId="77777777" w:rsidR="003B32F0" w:rsidRPr="00315A64" w:rsidRDefault="003B32F0" w:rsidP="006D46A0">
            <w:r w:rsidRPr="00315A64">
              <w:rPr>
                <w:rStyle w:val="normaltextrun"/>
                <w:szCs w:val="22"/>
              </w:rPr>
              <w:t>CEQA</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10E53F60" w14:textId="77777777" w:rsidR="003B32F0" w:rsidRPr="00315A64" w:rsidRDefault="003B32F0" w:rsidP="006D46A0">
            <w:r w:rsidRPr="00315A64">
              <w:rPr>
                <w:rStyle w:val="normaltextrun"/>
                <w:szCs w:val="22"/>
              </w:rPr>
              <w:t>California Environmental Quality Act, California Public Resources Code Section 21000 et seq.</w:t>
            </w:r>
            <w:r w:rsidRPr="00315A64">
              <w:rPr>
                <w:rStyle w:val="eop"/>
                <w:szCs w:val="22"/>
              </w:rPr>
              <w:t> </w:t>
            </w:r>
          </w:p>
        </w:tc>
      </w:tr>
      <w:tr w:rsidR="003B32F0" w:rsidRPr="00315A64" w14:paraId="10031968"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0051A55E" w14:textId="77777777" w:rsidR="003B32F0" w:rsidRPr="0017036A" w:rsidRDefault="003B32F0" w:rsidP="006D46A0">
            <w:r w:rsidRPr="0017036A">
              <w:rPr>
                <w:rStyle w:val="normaltextrun"/>
                <w:szCs w:val="22"/>
              </w:rPr>
              <w:t>CMIP6</w:t>
            </w:r>
            <w:r w:rsidRPr="0017036A">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5741BD2C" w14:textId="77777777" w:rsidR="003B32F0" w:rsidRPr="0017036A" w:rsidRDefault="003B32F0" w:rsidP="006D46A0">
            <w:r w:rsidRPr="0017036A">
              <w:rPr>
                <w:rStyle w:val="normaltextrun"/>
                <w:szCs w:val="22"/>
              </w:rPr>
              <w:t>Coupled Model Intercomparison Project Phase 6</w:t>
            </w:r>
            <w:r w:rsidRPr="0017036A">
              <w:rPr>
                <w:rStyle w:val="eop"/>
                <w:szCs w:val="22"/>
              </w:rPr>
              <w:t> </w:t>
            </w:r>
          </w:p>
        </w:tc>
      </w:tr>
      <w:tr w:rsidR="003B32F0" w:rsidRPr="00315A64" w14:paraId="094010E1"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61F2532A" w14:textId="77777777" w:rsidR="003B32F0" w:rsidRPr="00315A64" w:rsidRDefault="003B32F0" w:rsidP="006D46A0">
            <w:r w:rsidRPr="00315A64">
              <w:rPr>
                <w:rStyle w:val="normaltextrun"/>
                <w:szCs w:val="22"/>
              </w:rPr>
              <w:t>Days</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286D6ECA" w14:textId="77777777" w:rsidR="003B32F0" w:rsidRPr="00315A64" w:rsidRDefault="003B32F0" w:rsidP="006D46A0">
            <w:r w:rsidRPr="00315A64">
              <w:rPr>
                <w:rStyle w:val="normaltextrun"/>
                <w:i/>
                <w:iCs/>
                <w:szCs w:val="22"/>
              </w:rPr>
              <w:t>Days refers to calendar days.</w:t>
            </w:r>
            <w:r w:rsidRPr="00315A64">
              <w:rPr>
                <w:rStyle w:val="eop"/>
                <w:szCs w:val="22"/>
              </w:rPr>
              <w:t> </w:t>
            </w:r>
          </w:p>
        </w:tc>
      </w:tr>
      <w:tr w:rsidR="003B32F0" w:rsidRPr="00315A64" w14:paraId="1161A5B5"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79D444E0" w14:textId="77777777" w:rsidR="003B32F0" w:rsidRPr="00315A64" w:rsidRDefault="003B32F0" w:rsidP="006D46A0">
            <w:r w:rsidRPr="00315A64">
              <w:rPr>
                <w:rStyle w:val="normaltextrun"/>
                <w:szCs w:val="22"/>
              </w:rPr>
              <w:t>Disadvantaged Community</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5F634DF8" w14:textId="77777777" w:rsidR="003B32F0" w:rsidRPr="00315A64" w:rsidRDefault="003B32F0" w:rsidP="006D46A0">
            <w:pPr>
              <w:rPr>
                <w:szCs w:val="22"/>
              </w:rPr>
            </w:pPr>
            <w:r w:rsidRPr="00315A64">
              <w:rPr>
                <w:rStyle w:val="normaltextrun"/>
                <w:szCs w:val="22"/>
              </w:rPr>
              <w:t>Thes</w:t>
            </w:r>
            <w:r>
              <w:rPr>
                <w:rStyle w:val="normaltextrun"/>
                <w:szCs w:val="22"/>
              </w:rPr>
              <w:t xml:space="preserve">e </w:t>
            </w:r>
            <w:r w:rsidRPr="00315A64">
              <w:rPr>
                <w:rStyle w:val="normaltextrun"/>
                <w:szCs w:val="22"/>
              </w:rPr>
              <w:t>are communities in the top 25% scoring areas from </w:t>
            </w:r>
            <w:r w:rsidRPr="00315A64">
              <w:rPr>
                <w:rStyle w:val="spellingerror"/>
                <w:szCs w:val="22"/>
              </w:rPr>
              <w:t>CalEnviroScreen</w:t>
            </w:r>
            <w:r w:rsidRPr="00315A64">
              <w:rPr>
                <w:rStyle w:val="normaltextrun"/>
                <w:szCs w:val="22"/>
              </w:rPr>
              <w:t> along with other areas with high amounts of pollution and low populations.</w:t>
            </w:r>
            <w:r w:rsidRPr="00315A64">
              <w:rPr>
                <w:rStyle w:val="eop"/>
                <w:szCs w:val="22"/>
              </w:rPr>
              <w:t> </w:t>
            </w:r>
          </w:p>
          <w:p w14:paraId="7FB30206" w14:textId="77777777" w:rsidR="003B32F0" w:rsidRPr="00315A64" w:rsidRDefault="003B32F0" w:rsidP="006D46A0">
            <w:r w:rsidRPr="00315A64">
              <w:rPr>
                <w:rStyle w:val="normaltextrun"/>
                <w:szCs w:val="22"/>
              </w:rPr>
              <w:t>(https://oehha.ca.gov/calenviroscreen/report/calenviroscreen-30) </w:t>
            </w:r>
            <w:r w:rsidRPr="00315A64">
              <w:rPr>
                <w:rStyle w:val="eop"/>
                <w:szCs w:val="22"/>
              </w:rPr>
              <w:t> </w:t>
            </w:r>
          </w:p>
        </w:tc>
      </w:tr>
      <w:tr w:rsidR="003B32F0" w:rsidRPr="00315A64" w14:paraId="01DEFFB2"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6A1EB83D" w14:textId="77777777" w:rsidR="003B32F0" w:rsidRPr="00315A64" w:rsidRDefault="003B32F0" w:rsidP="006D46A0">
            <w:r w:rsidRPr="00315A64">
              <w:rPr>
                <w:rStyle w:val="normaltextrun"/>
                <w:szCs w:val="22"/>
              </w:rPr>
              <w:t>Energy Equity</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378EF1CC" w14:textId="77777777" w:rsidR="003B32F0" w:rsidRPr="00315A64" w:rsidRDefault="003B32F0" w:rsidP="006D46A0">
            <w:r w:rsidRPr="00315A64">
              <w:rPr>
                <w:rStyle w:val="normaltextrun"/>
                <w:szCs w:val="22"/>
              </w:rPr>
              <w:t>The fair distribution of benefits and burdens from energy production and consumption.</w:t>
            </w:r>
            <w:r w:rsidRPr="00315A64">
              <w:rPr>
                <w:rStyle w:val="eop"/>
                <w:szCs w:val="22"/>
              </w:rPr>
              <w:t> </w:t>
            </w:r>
          </w:p>
        </w:tc>
      </w:tr>
      <w:tr w:rsidR="003B32F0" w:rsidRPr="00315A64" w14:paraId="4F233999"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6304084F" w14:textId="77777777" w:rsidR="003B32F0" w:rsidRPr="00315A64" w:rsidRDefault="003B32F0" w:rsidP="006D46A0">
            <w:r w:rsidRPr="00315A64">
              <w:rPr>
                <w:rStyle w:val="normaltextrun"/>
                <w:szCs w:val="22"/>
              </w:rPr>
              <w:t>EPIC</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2CBFA4D5" w14:textId="77777777" w:rsidR="003B32F0" w:rsidRPr="00315A64" w:rsidRDefault="003B32F0" w:rsidP="006D46A0">
            <w:r w:rsidRPr="00315A64">
              <w:rPr>
                <w:rStyle w:val="normaltextrun"/>
                <w:i/>
                <w:iCs/>
                <w:szCs w:val="22"/>
              </w:rPr>
              <w:t>Electric Program Investment Charge,</w:t>
            </w:r>
            <w:r w:rsidRPr="00315A64">
              <w:rPr>
                <w:rStyle w:val="normaltextrun"/>
                <w:szCs w:val="22"/>
              </w:rPr>
              <w:t> the source of funding for the projects awarded under this solicitation.</w:t>
            </w:r>
            <w:r w:rsidRPr="00315A64">
              <w:rPr>
                <w:rStyle w:val="eop"/>
                <w:szCs w:val="22"/>
              </w:rPr>
              <w:t> </w:t>
            </w:r>
          </w:p>
        </w:tc>
      </w:tr>
      <w:tr w:rsidR="003B32F0" w:rsidRPr="00315A64" w14:paraId="38ED8421"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15658198" w14:textId="77777777" w:rsidR="003B32F0" w:rsidRPr="00315A64" w:rsidRDefault="003B32F0" w:rsidP="006D46A0">
            <w:r w:rsidRPr="00315A64">
              <w:rPr>
                <w:rStyle w:val="normaltextrun"/>
                <w:szCs w:val="22"/>
              </w:rPr>
              <w:t>Fifth Assessment </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722963FB" w14:textId="77777777" w:rsidR="003B32F0" w:rsidRPr="00315A64" w:rsidRDefault="003B32F0" w:rsidP="006D46A0">
            <w:r w:rsidRPr="00315A64">
              <w:rPr>
                <w:rStyle w:val="normaltextrun"/>
                <w:szCs w:val="22"/>
              </w:rPr>
              <w:t>California’s Fifth Climate Change Assessment</w:t>
            </w:r>
            <w:r w:rsidRPr="00315A64">
              <w:rPr>
                <w:rStyle w:val="eop"/>
                <w:szCs w:val="22"/>
              </w:rPr>
              <w:t> </w:t>
            </w:r>
          </w:p>
        </w:tc>
      </w:tr>
      <w:tr w:rsidR="003B32F0" w:rsidRPr="00315A64" w14:paraId="11345151"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0AF2A7DB" w14:textId="77777777" w:rsidR="003B32F0" w:rsidRPr="0017036A" w:rsidRDefault="003B32F0" w:rsidP="006D46A0">
            <w:r w:rsidRPr="0017036A">
              <w:rPr>
                <w:rStyle w:val="normaltextrun"/>
                <w:szCs w:val="22"/>
              </w:rPr>
              <w:lastRenderedPageBreak/>
              <w:t>GCM</w:t>
            </w:r>
            <w:r w:rsidRPr="0017036A">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1A1E2313" w14:textId="77777777" w:rsidR="003B32F0" w:rsidRPr="0017036A" w:rsidRDefault="003B32F0" w:rsidP="006D46A0">
            <w:r w:rsidRPr="0017036A">
              <w:rPr>
                <w:rStyle w:val="normaltextrun"/>
                <w:szCs w:val="22"/>
              </w:rPr>
              <w:t>Global Circulation Model</w:t>
            </w:r>
            <w:r w:rsidRPr="0017036A">
              <w:rPr>
                <w:rStyle w:val="eop"/>
                <w:szCs w:val="22"/>
              </w:rPr>
              <w:t> </w:t>
            </w:r>
          </w:p>
        </w:tc>
      </w:tr>
      <w:tr w:rsidR="003B32F0" w:rsidRPr="00315A64" w14:paraId="7B3B9A35"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1F2059DC" w14:textId="77777777" w:rsidR="003B32F0" w:rsidRPr="00315A64" w:rsidRDefault="003B32F0" w:rsidP="006D46A0">
            <w:r w:rsidRPr="00315A64">
              <w:rPr>
                <w:rStyle w:val="normaltextrun"/>
                <w:szCs w:val="22"/>
              </w:rPr>
              <w:t>IOU</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372400B3" w14:textId="77777777" w:rsidR="003B32F0" w:rsidRPr="00315A64" w:rsidRDefault="003B32F0" w:rsidP="006D46A0">
            <w:r w:rsidRPr="00315A64">
              <w:rPr>
                <w:rStyle w:val="normaltextrun"/>
                <w:i/>
                <w:iCs/>
                <w:szCs w:val="22"/>
              </w:rPr>
              <w:t>Investor-owned utility,</w:t>
            </w:r>
            <w:r w:rsidRPr="00315A64">
              <w:rPr>
                <w:rStyle w:val="normaltextrun"/>
                <w:szCs w:val="22"/>
              </w:rPr>
              <w:t> an electrical corporation as defined in in California Public Utilities Code section 218. For purposes of this EPIC solicitation, it includes Pacific Gas and Electric Co., San Diego Gas and Electric Co., and Southern California Edison Co.</w:t>
            </w:r>
            <w:r w:rsidRPr="00315A64">
              <w:rPr>
                <w:rStyle w:val="eop"/>
                <w:szCs w:val="22"/>
              </w:rPr>
              <w:t> </w:t>
            </w:r>
          </w:p>
        </w:tc>
      </w:tr>
      <w:tr w:rsidR="003B32F0" w:rsidRPr="00315A64" w14:paraId="0B27E952"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3897D286" w14:textId="77777777" w:rsidR="003B32F0" w:rsidRPr="00315A64" w:rsidRDefault="003B32F0" w:rsidP="006D46A0">
            <w:r w:rsidRPr="00315A64">
              <w:rPr>
                <w:rStyle w:val="normaltextrun"/>
                <w:szCs w:val="22"/>
              </w:rPr>
              <w:t>Low Income Community</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33742E7B" w14:textId="77777777" w:rsidR="003B32F0" w:rsidRPr="00315A64" w:rsidRDefault="003B32F0" w:rsidP="006D46A0">
            <w:r w:rsidRPr="00315A64">
              <w:rPr>
                <w:rStyle w:val="normaltextrun"/>
                <w:i/>
                <w:iCs/>
                <w:szCs w:val="22"/>
              </w:rPr>
              <w:t>Low-income Communities</w:t>
            </w:r>
            <w:r w:rsidRPr="00315A64">
              <w:rPr>
                <w:rStyle w:val="normaltextrun"/>
                <w:szCs w:val="22"/>
              </w:rPr>
              <w:t>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r w:rsidRPr="00315A64">
              <w:rPr>
                <w:rStyle w:val="eop"/>
                <w:szCs w:val="22"/>
              </w:rPr>
              <w:t> </w:t>
            </w:r>
          </w:p>
        </w:tc>
      </w:tr>
      <w:tr w:rsidR="003B32F0" w:rsidRPr="00315A64" w14:paraId="37E33AD6"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152EB0F4" w14:textId="77777777" w:rsidR="003B32F0" w:rsidRPr="00315A64" w:rsidRDefault="003B32F0" w:rsidP="006D46A0">
            <w:r w:rsidRPr="00315A64">
              <w:rPr>
                <w:rStyle w:val="normaltextrun"/>
                <w:szCs w:val="22"/>
              </w:rPr>
              <w:t>NOPA</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3B474307" w14:textId="77777777" w:rsidR="003B32F0" w:rsidRPr="00315A64" w:rsidRDefault="003B32F0" w:rsidP="006D46A0">
            <w:r w:rsidRPr="00315A64">
              <w:rPr>
                <w:rStyle w:val="normaltextrun"/>
                <w:i/>
                <w:iCs/>
                <w:szCs w:val="22"/>
              </w:rPr>
              <w:t>Notice of Proposed Award,</w:t>
            </w:r>
            <w:r w:rsidRPr="00315A64">
              <w:rPr>
                <w:rStyle w:val="normaltextrun"/>
                <w:szCs w:val="22"/>
              </w:rPr>
              <w:t> a public notice by the CEC that identifies award recipients.</w:t>
            </w:r>
            <w:r w:rsidRPr="00315A64">
              <w:rPr>
                <w:rStyle w:val="eop"/>
                <w:szCs w:val="22"/>
              </w:rPr>
              <w:t> </w:t>
            </w:r>
          </w:p>
        </w:tc>
      </w:tr>
      <w:tr w:rsidR="003B32F0" w:rsidRPr="00315A64" w14:paraId="3535579F"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2354EEAC" w14:textId="77777777" w:rsidR="003B32F0" w:rsidRPr="00315A64" w:rsidRDefault="003B32F0" w:rsidP="006D46A0">
            <w:r w:rsidRPr="00315A64">
              <w:rPr>
                <w:rStyle w:val="normaltextrun"/>
                <w:szCs w:val="22"/>
              </w:rPr>
              <w:t>Pre-Commercial Technology</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0C55088A" w14:textId="77777777" w:rsidR="003B32F0" w:rsidRPr="00315A64" w:rsidRDefault="003B32F0" w:rsidP="006D46A0">
            <w:r w:rsidRPr="00315A64">
              <w:rPr>
                <w:rStyle w:val="normaltextrun"/>
                <w:i/>
                <w:iCs/>
                <w:szCs w:val="22"/>
              </w:rPr>
              <w:t>Pre-commercial Technology</w:t>
            </w:r>
            <w:r w:rsidRPr="00315A64">
              <w:rPr>
                <w:rStyle w:val="normaltextrun"/>
                <w:szCs w:val="22"/>
              </w:rPr>
              <w:t>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r w:rsidRPr="00315A64">
              <w:rPr>
                <w:rStyle w:val="eop"/>
                <w:szCs w:val="22"/>
              </w:rPr>
              <w:t> </w:t>
            </w:r>
          </w:p>
        </w:tc>
      </w:tr>
      <w:tr w:rsidR="003B32F0" w:rsidRPr="00315A64" w14:paraId="660C2190"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5A6F3F29" w14:textId="77777777" w:rsidR="003B32F0" w:rsidRPr="00315A64" w:rsidRDefault="003B32F0" w:rsidP="006D46A0">
            <w:r w:rsidRPr="00315A64">
              <w:rPr>
                <w:rStyle w:val="normaltextrun"/>
                <w:szCs w:val="22"/>
              </w:rPr>
              <w:t>Pilot Test</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78D6DDE9" w14:textId="77777777" w:rsidR="003B32F0" w:rsidRPr="00315A64" w:rsidRDefault="003B32F0" w:rsidP="006D46A0">
            <w:r w:rsidRPr="00315A64">
              <w:rPr>
                <w:rStyle w:val="normaltextrun"/>
                <w:i/>
                <w:iCs/>
                <w:szCs w:val="22"/>
              </w:rPr>
              <w:t>Pilot test</w:t>
            </w:r>
            <w:r w:rsidRPr="00315A64">
              <w:rPr>
                <w:rStyle w:val="normaltextrun"/>
                <w:szCs w:val="22"/>
              </w:rPr>
              <w:t> means small scale testing in the laboratory or testing on a small portion of the production line of the affected industry. Pilot tests help to verify the design and validity of an approach, and adjustments can be made at this stage before full-scale demonstrations</w:t>
            </w:r>
            <w:r w:rsidRPr="00315A64">
              <w:rPr>
                <w:rStyle w:val="eop"/>
                <w:szCs w:val="22"/>
              </w:rPr>
              <w:t> </w:t>
            </w:r>
          </w:p>
        </w:tc>
      </w:tr>
      <w:tr w:rsidR="003B32F0" w:rsidRPr="00315A64" w14:paraId="0E50BF68"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7A707D22" w14:textId="77777777" w:rsidR="003B32F0" w:rsidRPr="00315A64" w:rsidRDefault="003B32F0" w:rsidP="006D46A0">
            <w:r w:rsidRPr="00315A64">
              <w:rPr>
                <w:rStyle w:val="normaltextrun"/>
                <w:szCs w:val="22"/>
              </w:rPr>
              <w:t>Principal Investigator</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487D69CD" w14:textId="77777777" w:rsidR="003B32F0" w:rsidRPr="00315A64" w:rsidRDefault="003B32F0" w:rsidP="006D46A0">
            <w:r w:rsidRPr="00315A64">
              <w:rPr>
                <w:rStyle w:val="normaltextrun"/>
                <w:szCs w:val="22"/>
              </w:rPr>
              <w:t>The technical lead for the applicant’s project, who is responsible for overseeing the project; in some instances, the Principal Investigator and Project Manager may be the same person.  </w:t>
            </w:r>
            <w:r w:rsidRPr="00315A64">
              <w:rPr>
                <w:rStyle w:val="eop"/>
                <w:szCs w:val="22"/>
              </w:rPr>
              <w:t> </w:t>
            </w:r>
          </w:p>
        </w:tc>
      </w:tr>
      <w:tr w:rsidR="003B32F0" w:rsidRPr="00315A64" w14:paraId="6819260F"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4ACBBBC4" w14:textId="77777777" w:rsidR="003B32F0" w:rsidRPr="00315A64" w:rsidRDefault="003B32F0" w:rsidP="006D46A0">
            <w:r w:rsidRPr="00315A64">
              <w:rPr>
                <w:rStyle w:val="normaltextrun"/>
                <w:szCs w:val="22"/>
              </w:rPr>
              <w:t>Project Manager</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04EF36E2" w14:textId="77777777" w:rsidR="003B32F0" w:rsidRPr="00315A64" w:rsidRDefault="003B32F0" w:rsidP="006D46A0">
            <w:r w:rsidRPr="00315A64">
              <w:rPr>
                <w:rStyle w:val="normaltextrun"/>
                <w:szCs w:val="22"/>
              </w:rPr>
              <w:t>The person designated by the applicant to oversee the project and to serve as the main point of contact for the CEC.</w:t>
            </w:r>
            <w:r w:rsidRPr="00315A64">
              <w:rPr>
                <w:rStyle w:val="eop"/>
                <w:szCs w:val="22"/>
              </w:rPr>
              <w:t> </w:t>
            </w:r>
          </w:p>
        </w:tc>
      </w:tr>
      <w:tr w:rsidR="003B32F0" w:rsidRPr="00315A64" w14:paraId="0FF6FFBE"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27D602DD" w14:textId="77777777" w:rsidR="003B32F0" w:rsidRPr="00315A64" w:rsidRDefault="003B32F0" w:rsidP="006D46A0">
            <w:r w:rsidRPr="00315A64">
              <w:rPr>
                <w:rStyle w:val="normaltextrun"/>
                <w:szCs w:val="22"/>
              </w:rPr>
              <w:t>Project Partner</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5838A3F6" w14:textId="77777777" w:rsidR="003B32F0" w:rsidRPr="00315A64" w:rsidRDefault="003B32F0" w:rsidP="006D46A0">
            <w:r w:rsidRPr="00315A64">
              <w:rPr>
                <w:rStyle w:val="normaltextrun"/>
                <w:szCs w:val="22"/>
              </w:rPr>
              <w:t>An entity or individual that contributes financially or otherwise to the project (e.g., match funding, provision of a test, demonstration or deployment site), and does not receive CEC funds. </w:t>
            </w:r>
            <w:r w:rsidRPr="00315A64">
              <w:rPr>
                <w:rStyle w:val="eop"/>
                <w:szCs w:val="22"/>
              </w:rPr>
              <w:t> </w:t>
            </w:r>
          </w:p>
        </w:tc>
      </w:tr>
      <w:tr w:rsidR="003B32F0" w:rsidRPr="00315A64" w14:paraId="65899A15"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11BDDAAB" w14:textId="77777777" w:rsidR="003B32F0" w:rsidRPr="00315A64" w:rsidRDefault="003B32F0" w:rsidP="006D46A0">
            <w:r w:rsidRPr="00315A64">
              <w:rPr>
                <w:rStyle w:val="normaltextrun"/>
                <w:szCs w:val="22"/>
              </w:rPr>
              <w:t>Recipient</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3B7A7FE7" w14:textId="77777777" w:rsidR="003B32F0" w:rsidRPr="00315A64" w:rsidRDefault="003B32F0" w:rsidP="006D46A0">
            <w:r w:rsidRPr="00315A64">
              <w:rPr>
                <w:rStyle w:val="normaltextrun"/>
                <w:szCs w:val="22"/>
              </w:rPr>
              <w:t> An entity receiving an award under this solicitation.</w:t>
            </w:r>
            <w:r w:rsidRPr="00315A64">
              <w:rPr>
                <w:rStyle w:val="eop"/>
                <w:szCs w:val="22"/>
              </w:rPr>
              <w:t> </w:t>
            </w:r>
          </w:p>
        </w:tc>
      </w:tr>
      <w:tr w:rsidR="003B32F0" w:rsidRPr="00315A64" w14:paraId="5AFBFF90"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6AE8F74F" w14:textId="77777777" w:rsidR="003B32F0" w:rsidRPr="00315A64" w:rsidRDefault="003B32F0" w:rsidP="006D46A0">
            <w:r w:rsidRPr="00315A64">
              <w:rPr>
                <w:rStyle w:val="normaltextrun"/>
                <w:szCs w:val="22"/>
              </w:rPr>
              <w:t>Solicitation</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0664902F" w14:textId="77777777" w:rsidR="003B32F0" w:rsidRPr="00315A64" w:rsidRDefault="003B32F0" w:rsidP="006D46A0">
            <w:r w:rsidRPr="00315A64">
              <w:rPr>
                <w:rStyle w:val="normaltextrun"/>
                <w:szCs w:val="22"/>
              </w:rPr>
              <w:t>This entire document, including all attachments, exhibits, any addendum and written notices, and questions and answers (“solicitation” may be used interchangeably with “Grant Funding Opportunity”). </w:t>
            </w:r>
            <w:r w:rsidRPr="00315A64">
              <w:rPr>
                <w:rStyle w:val="eop"/>
                <w:szCs w:val="22"/>
              </w:rPr>
              <w:t> </w:t>
            </w:r>
          </w:p>
        </w:tc>
      </w:tr>
      <w:tr w:rsidR="003B32F0" w:rsidRPr="00315A64" w14:paraId="0F1003CE"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108822C3" w14:textId="77777777" w:rsidR="003B32F0" w:rsidRPr="00315A64" w:rsidRDefault="003B32F0" w:rsidP="006D46A0">
            <w:r w:rsidRPr="00315A64">
              <w:rPr>
                <w:rStyle w:val="normaltextrun"/>
                <w:szCs w:val="22"/>
              </w:rPr>
              <w:t>State</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51AA5873" w14:textId="77777777" w:rsidR="003B32F0" w:rsidRPr="00315A64" w:rsidRDefault="003B32F0" w:rsidP="006D46A0">
            <w:r w:rsidRPr="00315A64">
              <w:rPr>
                <w:rStyle w:val="normaltextrun"/>
                <w:szCs w:val="22"/>
              </w:rPr>
              <w:t>State of California</w:t>
            </w:r>
            <w:r w:rsidRPr="00315A64">
              <w:rPr>
                <w:rStyle w:val="eop"/>
                <w:szCs w:val="22"/>
              </w:rPr>
              <w:t> </w:t>
            </w:r>
          </w:p>
        </w:tc>
      </w:tr>
      <w:tr w:rsidR="003B32F0" w:rsidRPr="00315A64" w14:paraId="50618918" w14:textId="77777777" w:rsidTr="006D46A0">
        <w:tc>
          <w:tcPr>
            <w:tcW w:w="2623" w:type="dxa"/>
            <w:tcBorders>
              <w:top w:val="nil"/>
              <w:left w:val="single" w:sz="6" w:space="0" w:color="auto"/>
              <w:bottom w:val="single" w:sz="6" w:space="0" w:color="auto"/>
              <w:right w:val="single" w:sz="6" w:space="0" w:color="auto"/>
            </w:tcBorders>
            <w:shd w:val="clear" w:color="auto" w:fill="auto"/>
            <w:hideMark/>
          </w:tcPr>
          <w:p w14:paraId="746EA902" w14:textId="77777777" w:rsidR="003B32F0" w:rsidRPr="00315A64" w:rsidRDefault="003B32F0" w:rsidP="006D46A0">
            <w:r w:rsidRPr="00315A64">
              <w:rPr>
                <w:rStyle w:val="normaltextrun"/>
                <w:szCs w:val="22"/>
              </w:rPr>
              <w:t>TRL</w:t>
            </w:r>
            <w:r w:rsidRPr="00315A64">
              <w:rPr>
                <w:rStyle w:val="eop"/>
                <w:szCs w:val="22"/>
              </w:rPr>
              <w:t> </w:t>
            </w:r>
          </w:p>
        </w:tc>
        <w:tc>
          <w:tcPr>
            <w:tcW w:w="6737" w:type="dxa"/>
            <w:tcBorders>
              <w:top w:val="nil"/>
              <w:left w:val="nil"/>
              <w:bottom w:val="single" w:sz="6" w:space="0" w:color="auto"/>
              <w:right w:val="single" w:sz="6" w:space="0" w:color="auto"/>
            </w:tcBorders>
            <w:shd w:val="clear" w:color="auto" w:fill="auto"/>
            <w:hideMark/>
          </w:tcPr>
          <w:p w14:paraId="5456B440" w14:textId="77777777" w:rsidR="003B32F0" w:rsidRPr="00315A64" w:rsidRDefault="003B32F0" w:rsidP="006D46A0">
            <w:pPr>
              <w:rPr>
                <w:szCs w:val="22"/>
              </w:rPr>
            </w:pPr>
            <w:r w:rsidRPr="00315A64">
              <w:rPr>
                <w:rStyle w:val="normaltextrun"/>
                <w:szCs w:val="22"/>
              </w:rPr>
              <w:t>Technology readiness levels are a method for estimating the maturity of technologies during the acquisition phase of a program.</w:t>
            </w:r>
            <w:r w:rsidRPr="00315A64">
              <w:rPr>
                <w:rStyle w:val="eop"/>
                <w:szCs w:val="22"/>
              </w:rPr>
              <w:t> </w:t>
            </w:r>
          </w:p>
          <w:p w14:paraId="1D4DE547" w14:textId="77777777" w:rsidR="003B32F0" w:rsidRPr="00315A64" w:rsidRDefault="003B32F0" w:rsidP="006D46A0">
            <w:r w:rsidRPr="00315A64">
              <w:rPr>
                <w:rStyle w:val="normaltextrun"/>
                <w:szCs w:val="22"/>
              </w:rPr>
              <w:t>Source: U.S. Department of Energy, “Technology Readiness Assessment Guide”. </w:t>
            </w:r>
            <w:hyperlink r:id="rId16" w:tgtFrame="_blank" w:history="1">
              <w:r w:rsidRPr="00970ED6">
                <w:rPr>
                  <w:rStyle w:val="normaltextrun"/>
                  <w:color w:val="0432FF"/>
                  <w:szCs w:val="22"/>
                  <w:u w:val="single"/>
                </w:rPr>
                <w:t>https://www2.lbl.gov/dir/assets/docs/TRL%20guide.pdf</w:t>
              </w:r>
            </w:hyperlink>
          </w:p>
        </w:tc>
      </w:tr>
    </w:tbl>
    <w:p w14:paraId="48D52F51" w14:textId="77777777" w:rsidR="003B32F0" w:rsidRPr="003F6147" w:rsidRDefault="003B32F0" w:rsidP="003B32F0">
      <w:pPr>
        <w:spacing w:after="0"/>
        <w:jc w:val="both"/>
        <w:outlineLvl w:val="2"/>
        <w:rPr>
          <w:b/>
          <w:color w:val="0070C0"/>
          <w:szCs w:val="22"/>
        </w:rPr>
      </w:pPr>
    </w:p>
    <w:p w14:paraId="358508D9" w14:textId="77777777" w:rsidR="003B32F0" w:rsidRDefault="003B32F0" w:rsidP="00DC65CB">
      <w:pPr>
        <w:pStyle w:val="Heading2"/>
        <w:numPr>
          <w:ilvl w:val="0"/>
          <w:numId w:val="44"/>
        </w:numPr>
      </w:pPr>
      <w:bookmarkStart w:id="15" w:name="_Toc84844913"/>
      <w:bookmarkStart w:id="16" w:name="_Toc458602324"/>
      <w:r w:rsidRPr="00756BAC">
        <w:t>Project Focus</w:t>
      </w:r>
      <w:bookmarkEnd w:id="15"/>
    </w:p>
    <w:p w14:paraId="4BB13F2E" w14:textId="77777777" w:rsidR="003B32F0" w:rsidRPr="00216598" w:rsidRDefault="003B32F0" w:rsidP="003B32F0">
      <w:pPr>
        <w:pStyle w:val="Heading3"/>
      </w:pPr>
    </w:p>
    <w:p w14:paraId="69D19316" w14:textId="77777777" w:rsidR="003B32F0" w:rsidRPr="0017036A" w:rsidRDefault="003B32F0" w:rsidP="003B32F0">
      <w:pPr>
        <w:spacing w:after="0"/>
        <w:rPr>
          <w:szCs w:val="22"/>
          <w:shd w:val="clear" w:color="auto" w:fill="FFFFFF"/>
        </w:rPr>
      </w:pPr>
      <w:r w:rsidRPr="0017036A">
        <w:rPr>
          <w:b/>
          <w:bCs/>
          <w:szCs w:val="22"/>
          <w:shd w:val="clear" w:color="auto" w:fill="FFFFFF"/>
        </w:rPr>
        <w:t>Group 1: Assessing and improving the climate resilience of an electricity system in transition (maximum award amount $1,950,000):</w:t>
      </w:r>
      <w:r w:rsidRPr="0017036A">
        <w:rPr>
          <w:szCs w:val="22"/>
          <w:shd w:val="clear" w:color="auto" w:fill="FFFFFF"/>
        </w:rPr>
        <w:t> </w:t>
      </w:r>
    </w:p>
    <w:p w14:paraId="2804A8DB" w14:textId="77777777" w:rsidR="003B32F0" w:rsidRPr="0017036A" w:rsidRDefault="003B32F0" w:rsidP="003B32F0">
      <w:pPr>
        <w:spacing w:after="0"/>
        <w:rPr>
          <w:rFonts w:ascii="Times New Roman" w:hAnsi="Times New Roman" w:cs="Times New Roman"/>
          <w:sz w:val="24"/>
          <w:szCs w:val="24"/>
        </w:rPr>
      </w:pPr>
    </w:p>
    <w:p w14:paraId="55CEA8AF" w14:textId="77777777" w:rsidR="003B32F0" w:rsidRPr="0017036A" w:rsidRDefault="003B32F0" w:rsidP="003B32F0">
      <w:pPr>
        <w:jc w:val="both"/>
        <w:rPr>
          <w:rStyle w:val="eop"/>
          <w:szCs w:val="22"/>
        </w:rPr>
      </w:pPr>
      <w:r w:rsidRPr="0017036A">
        <w:rPr>
          <w:rStyle w:val="normaltextrun"/>
          <w:szCs w:val="22"/>
        </w:rPr>
        <w:t>There is an urgent need to better understand the implications of a changing climate on an electricity system that is expected over the next few decades to transition to zero-carbon. During this transition, the electricity system is also expected to take on new roles in decarbonizing energy use in sectors such as transportation and buildings—with substantial implications for the magnitude and pattern of electricity demand. Prior research on long-term energy scenarios for California generally has considered the effects of average climate changes on demand and generation. But heat waves, heavy storms, wildfires, and other climate-related extremes can substantially affect electricity supply and demand, disrupt electricity operations, and damage grid infrastructure. Long-term energy system planning and modeling needs to further incorporate the effects of climate variability, changes in weather patterns, and extremes—as well as regional differences in climate change impacts—on the rapidly evolving electricity system serving California. Incorporating these effects will support meeting the goals of SB 100 in a manner that is resilient to changing climate.</w:t>
      </w:r>
      <w:r w:rsidRPr="0017036A">
        <w:rPr>
          <w:rStyle w:val="eop"/>
          <w:szCs w:val="22"/>
        </w:rPr>
        <w:t> </w:t>
      </w:r>
    </w:p>
    <w:p w14:paraId="742A1438" w14:textId="77777777" w:rsidR="003B32F0" w:rsidRPr="0017036A" w:rsidRDefault="003B32F0" w:rsidP="003B32F0">
      <w:pPr>
        <w:jc w:val="both"/>
        <w:rPr>
          <w:rStyle w:val="eop"/>
          <w:szCs w:val="22"/>
        </w:rPr>
      </w:pPr>
      <w:r w:rsidRPr="0017036A">
        <w:t>Research supported by Group 1 will respond to these needs by identifying and quantifying relationships between supply, demand, and climate in a manner that sheds light on technological and operational strategies to manage supply and demand in a changing climate.</w:t>
      </w:r>
    </w:p>
    <w:p w14:paraId="0D568F99" w14:textId="77777777" w:rsidR="003B32F0" w:rsidRPr="0017036A" w:rsidRDefault="003B32F0" w:rsidP="003B32F0">
      <w:pPr>
        <w:pStyle w:val="NoSpacing"/>
      </w:pPr>
    </w:p>
    <w:p w14:paraId="4CCF9FBF" w14:textId="77777777" w:rsidR="003B32F0" w:rsidRPr="0017036A" w:rsidRDefault="003B32F0" w:rsidP="003B32F0">
      <w:r w:rsidRPr="0017036A">
        <w:rPr>
          <w:rStyle w:val="normaltextrun"/>
          <w:b/>
          <w:bCs/>
          <w:szCs w:val="22"/>
        </w:rPr>
        <w:t>Successful applicants </w:t>
      </w:r>
      <w:r w:rsidRPr="0017036A">
        <w:rPr>
          <w:rStyle w:val="normaltextrun"/>
          <w:b/>
          <w:bCs/>
          <w:szCs w:val="22"/>
          <w:u w:val="single"/>
        </w:rPr>
        <w:t>must demonstrate</w:t>
      </w:r>
      <w:r w:rsidRPr="0017036A">
        <w:rPr>
          <w:rStyle w:val="normaltextrun"/>
          <w:szCs w:val="22"/>
        </w:rPr>
        <w:t>:</w:t>
      </w:r>
    </w:p>
    <w:p w14:paraId="543040F2" w14:textId="77777777" w:rsidR="003B32F0" w:rsidRPr="0017036A" w:rsidRDefault="003B32F0" w:rsidP="00DC65CB">
      <w:pPr>
        <w:pStyle w:val="ListParagraph"/>
        <w:numPr>
          <w:ilvl w:val="0"/>
          <w:numId w:val="56"/>
        </w:numPr>
        <w:rPr>
          <w:rStyle w:val="normaltextrun"/>
          <w:szCs w:val="22"/>
        </w:rPr>
      </w:pPr>
      <w:r w:rsidRPr="0017036A">
        <w:rPr>
          <w:rStyle w:val="normaltextrun"/>
          <w:szCs w:val="22"/>
        </w:rPr>
        <w:t>A skilled, well-resourced management team to ensure coordination between the different aspects of the proposed research, coordination between related research efforts, and responsiveness to incorporating research directions that emerge within the project duration.</w:t>
      </w:r>
    </w:p>
    <w:p w14:paraId="5A386698" w14:textId="77777777" w:rsidR="003B32F0" w:rsidRPr="0017036A" w:rsidRDefault="003B32F0" w:rsidP="00DC65CB">
      <w:pPr>
        <w:pStyle w:val="ListParagraph"/>
        <w:numPr>
          <w:ilvl w:val="0"/>
          <w:numId w:val="56"/>
        </w:numPr>
        <w:rPr>
          <w:rStyle w:val="normaltextrun"/>
          <w:szCs w:val="22"/>
        </w:rPr>
      </w:pPr>
      <w:r w:rsidRPr="0017036A">
        <w:rPr>
          <w:rStyle w:val="normaltextrun"/>
          <w:szCs w:val="22"/>
        </w:rPr>
        <w:t>The capacity for coordination with the research team that is funded by Group 2, which is expected to illuminate supply-side issues of interest to this (Group 1) project.</w:t>
      </w:r>
    </w:p>
    <w:p w14:paraId="40C4B786" w14:textId="77777777" w:rsidR="003B32F0" w:rsidRPr="0017036A" w:rsidRDefault="003B32F0" w:rsidP="00DC65CB">
      <w:pPr>
        <w:pStyle w:val="ListParagraph"/>
        <w:numPr>
          <w:ilvl w:val="0"/>
          <w:numId w:val="56"/>
        </w:numPr>
        <w:rPr>
          <w:rStyle w:val="normaltextrun"/>
          <w:szCs w:val="22"/>
        </w:rPr>
      </w:pPr>
      <w:r w:rsidRPr="0017036A">
        <w:rPr>
          <w:rStyle w:val="normaltextrun"/>
          <w:szCs w:val="22"/>
        </w:rPr>
        <w:t>A clearly articulated approach to stakeholder engagement, including dedicated funding and expertise.</w:t>
      </w:r>
    </w:p>
    <w:p w14:paraId="55C17582" w14:textId="77777777" w:rsidR="003B32F0" w:rsidRPr="0017036A" w:rsidRDefault="003B32F0" w:rsidP="003B32F0">
      <w:pPr>
        <w:pStyle w:val="NoSpacing"/>
        <w:rPr>
          <w:szCs w:val="22"/>
        </w:rPr>
      </w:pPr>
    </w:p>
    <w:p w14:paraId="79C5D04B" w14:textId="77777777" w:rsidR="003B32F0" w:rsidRPr="0017036A" w:rsidRDefault="003B32F0" w:rsidP="003B32F0">
      <w:pPr>
        <w:rPr>
          <w:szCs w:val="22"/>
        </w:rPr>
      </w:pPr>
      <w:r w:rsidRPr="0017036A">
        <w:rPr>
          <w:rStyle w:val="normaltextrun"/>
          <w:b/>
          <w:bCs/>
          <w:szCs w:val="22"/>
        </w:rPr>
        <w:t>Projects in this group must, </w:t>
      </w:r>
      <w:r w:rsidRPr="0017036A">
        <w:rPr>
          <w:rStyle w:val="normaltextrun"/>
          <w:b/>
          <w:bCs/>
          <w:szCs w:val="22"/>
          <w:u w:val="single"/>
        </w:rPr>
        <w:t>at a minimum</w:t>
      </w:r>
      <w:r w:rsidRPr="0017036A">
        <w:rPr>
          <w:rStyle w:val="normaltextrun"/>
          <w:b/>
          <w:bCs/>
          <w:szCs w:val="22"/>
        </w:rPr>
        <w:t>:</w:t>
      </w:r>
    </w:p>
    <w:p w14:paraId="34D4C5CF" w14:textId="77777777" w:rsidR="003B32F0" w:rsidRPr="0017036A" w:rsidRDefault="003B32F0" w:rsidP="00DC65CB">
      <w:pPr>
        <w:pStyle w:val="ListParagraph"/>
        <w:numPr>
          <w:ilvl w:val="0"/>
          <w:numId w:val="75"/>
        </w:numPr>
        <w:rPr>
          <w:rStyle w:val="normaltextrun"/>
        </w:rPr>
      </w:pPr>
      <w:r w:rsidRPr="0017036A">
        <w:rPr>
          <w:rStyle w:val="normaltextrun"/>
          <w:b/>
        </w:rPr>
        <w:t>Assess the climate resilience </w:t>
      </w:r>
      <w:r w:rsidRPr="0017036A">
        <w:rPr>
          <w:rStyle w:val="normaltextrun"/>
        </w:rPr>
        <w:t xml:space="preserve">of the electricity system serving California and its ability to reliably meet anticipated hourly electricity demand in three time periods: (1) the system of today; (2) modeled system(s) of mid-century that achieve the goals of SB 100; and (3) the modeled system in transition from (1) to (2) (e.g., one or more intervening periods such as 2030). Assess resilience to the effects of climate variability and extremes (e.g., stress testing of the system under anticipated extreme events) including potential seasonal impacts. This includes exploring and parameterizing impacts on electricity supply and demand in a manner that can be incorporated into PLEXOS modeling as well as providing an improved basis for incorporating climate change and its interactions with electrification into mid-term and long-term demand forecasting. </w:t>
      </w:r>
    </w:p>
    <w:p w14:paraId="61B553B7" w14:textId="2CAC8F2D" w:rsidR="003B32F0" w:rsidRPr="0017036A" w:rsidRDefault="003B32F0" w:rsidP="00DC65CB">
      <w:pPr>
        <w:pStyle w:val="ListParagraph"/>
        <w:numPr>
          <w:ilvl w:val="0"/>
          <w:numId w:val="75"/>
        </w:numPr>
        <w:rPr>
          <w:rStyle w:val="normaltextrun"/>
        </w:rPr>
      </w:pPr>
      <w:r w:rsidRPr="0017036A">
        <w:rPr>
          <w:rStyle w:val="normaltextrun"/>
          <w:b/>
          <w:bCs/>
          <w:szCs w:val="22"/>
        </w:rPr>
        <w:lastRenderedPageBreak/>
        <w:t xml:space="preserve">Using SB 100 and CEC’s demand forecasting efforts as starting point, develop and evaluate demand and demand-modifying scenarios </w:t>
      </w:r>
      <w:r w:rsidRPr="0017036A">
        <w:rPr>
          <w:rStyle w:val="normaltextrun"/>
          <w:szCs w:val="22"/>
        </w:rPr>
        <w:t>representing an array of possibilities for climate conditions, energy efficiency, load flexibility, load evolution, and demographic changes.</w:t>
      </w:r>
    </w:p>
    <w:p w14:paraId="04597232" w14:textId="77777777" w:rsidR="003B32F0" w:rsidRPr="0017036A" w:rsidRDefault="003B32F0" w:rsidP="00DC65CB">
      <w:pPr>
        <w:pStyle w:val="ListParagraph"/>
        <w:numPr>
          <w:ilvl w:val="0"/>
          <w:numId w:val="75"/>
        </w:numPr>
        <w:rPr>
          <w:rStyle w:val="normaltextrun"/>
        </w:rPr>
      </w:pPr>
      <w:r w:rsidRPr="0017036A">
        <w:rPr>
          <w:rStyle w:val="normaltextrun"/>
          <w:b/>
          <w:bCs/>
          <w:szCs w:val="22"/>
        </w:rPr>
        <w:t>Consider climate change impacts on the regional distribution of zero-carbon generation</w:t>
      </w:r>
      <w:r w:rsidRPr="0017036A">
        <w:rPr>
          <w:rStyle w:val="normaltextrun"/>
          <w:szCs w:val="22"/>
        </w:rPr>
        <w:t>, including insights from Group 2 of this solicitation.</w:t>
      </w:r>
    </w:p>
    <w:p w14:paraId="767E8C0D" w14:textId="77777777" w:rsidR="003B32F0" w:rsidRPr="0017036A" w:rsidRDefault="003B32F0" w:rsidP="00DC65CB">
      <w:pPr>
        <w:pStyle w:val="ListParagraph"/>
        <w:numPr>
          <w:ilvl w:val="0"/>
          <w:numId w:val="75"/>
        </w:numPr>
        <w:rPr>
          <w:rStyle w:val="normaltextrun"/>
          <w:szCs w:val="22"/>
        </w:rPr>
      </w:pPr>
      <w:r w:rsidRPr="0017036A">
        <w:rPr>
          <w:rStyle w:val="normaltextrun"/>
          <w:b/>
          <w:bCs/>
          <w:szCs w:val="22"/>
        </w:rPr>
        <w:t>Evaluate strategies for improving climate resilience of SB 100-compliant long-term demand and supply scenarios </w:t>
      </w:r>
      <w:r w:rsidRPr="0017036A">
        <w:rPr>
          <w:rStyle w:val="normaltextrun"/>
          <w:szCs w:val="22"/>
        </w:rPr>
        <w:t>for the electricity sector, in the context of energy system transition pathways consistent with the State's economy-wide carbon neutrality and sectoral decarbonization goals. Examples of considerations for improving climate resilience include: (a) potential roles for offshore wind, green hydrogen, and long-duration energy storage technologies; (b) strategies for managing future patterns of energy demand and enhancing demand flexibility; (c) implications for community-scale resilience of modeled electricity system transition pathways, including utilization of local, distributed generation and storage versus centralized utility-scale generation and storage.</w:t>
      </w:r>
    </w:p>
    <w:p w14:paraId="6FCFCF26" w14:textId="77777777" w:rsidR="003B32F0" w:rsidRPr="0017036A" w:rsidRDefault="003B32F0" w:rsidP="00DC65CB">
      <w:pPr>
        <w:pStyle w:val="ListParagraph"/>
        <w:numPr>
          <w:ilvl w:val="0"/>
          <w:numId w:val="75"/>
        </w:numPr>
        <w:rPr>
          <w:rStyle w:val="normaltextrun"/>
        </w:rPr>
      </w:pPr>
      <w:r w:rsidRPr="0017036A">
        <w:rPr>
          <w:rStyle w:val="normaltextrun"/>
          <w:b/>
          <w:bCs/>
          <w:szCs w:val="22"/>
        </w:rPr>
        <w:t xml:space="preserve">Directly engage IOUs and other electricity-sector stakeholders, </w:t>
      </w:r>
      <w:r w:rsidRPr="0017036A">
        <w:rPr>
          <w:rStyle w:val="normaltextrun"/>
          <w:szCs w:val="22"/>
        </w:rPr>
        <w:t>including the SB 100 Modeling Team and the CEC’s Energy Assessments Division (EAD) supply analysis and demand forecasting teams,</w:t>
      </w:r>
      <w:r w:rsidRPr="0017036A">
        <w:rPr>
          <w:rStyle w:val="normaltextrun"/>
          <w:b/>
          <w:bCs/>
          <w:szCs w:val="22"/>
        </w:rPr>
        <w:t> </w:t>
      </w:r>
      <w:r w:rsidRPr="0017036A">
        <w:rPr>
          <w:rStyle w:val="normaltextrun"/>
          <w:szCs w:val="22"/>
        </w:rPr>
        <w:t>from project inception to completion, leveraging and coordinating with stakeholder engagement efforts of related EPIC grants funded by GFO-19-311 and Group 2 of this solicitation.</w:t>
      </w:r>
    </w:p>
    <w:p w14:paraId="124ACB89" w14:textId="77777777" w:rsidR="003B32F0" w:rsidRPr="0017036A" w:rsidRDefault="003B32F0" w:rsidP="00DC65CB">
      <w:pPr>
        <w:pStyle w:val="ListParagraph"/>
        <w:numPr>
          <w:ilvl w:val="0"/>
          <w:numId w:val="75"/>
        </w:numPr>
        <w:rPr>
          <w:rStyle w:val="normaltextrun"/>
        </w:rPr>
      </w:pPr>
      <w:r w:rsidRPr="0017036A">
        <w:rPr>
          <w:rStyle w:val="normaltextrun"/>
          <w:szCs w:val="22"/>
        </w:rPr>
        <w:t xml:space="preserve">Develop results and products that </w:t>
      </w:r>
      <w:r w:rsidRPr="0017036A">
        <w:rPr>
          <w:rStyle w:val="normaltextrun"/>
          <w:b/>
          <w:bCs/>
          <w:szCs w:val="22"/>
          <w:u w:val="single"/>
        </w:rPr>
        <w:t>facilitate potential future analyses</w:t>
      </w:r>
      <w:r w:rsidRPr="0017036A">
        <w:rPr>
          <w:rStyle w:val="normaltextrun"/>
          <w:szCs w:val="22"/>
        </w:rPr>
        <w:t xml:space="preserve"> such as the examples below, which could be the subject of applied research funded through the EPIC 4 investment plan:</w:t>
      </w:r>
    </w:p>
    <w:p w14:paraId="5A6EFB71" w14:textId="77777777" w:rsidR="003B32F0" w:rsidRPr="0017036A" w:rsidRDefault="003B32F0" w:rsidP="00DC65CB">
      <w:pPr>
        <w:pStyle w:val="ListParagraph"/>
        <w:numPr>
          <w:ilvl w:val="1"/>
          <w:numId w:val="75"/>
        </w:numPr>
        <w:rPr>
          <w:rStyle w:val="normaltextrun"/>
        </w:rPr>
      </w:pPr>
      <w:r w:rsidRPr="0017036A">
        <w:rPr>
          <w:rStyle w:val="normaltextrun"/>
          <w:b/>
          <w:bCs/>
          <w:szCs w:val="22"/>
        </w:rPr>
        <w:t>Equity and affordability implications</w:t>
      </w:r>
      <w:r w:rsidRPr="0017036A">
        <w:rPr>
          <w:rStyle w:val="normaltextrun"/>
          <w:szCs w:val="22"/>
        </w:rPr>
        <w:t> of concurrent climate and energy system changes over the next 20-30 years (through mid-century).</w:t>
      </w:r>
    </w:p>
    <w:p w14:paraId="6EB1127D" w14:textId="77777777" w:rsidR="003B32F0" w:rsidRPr="0017036A" w:rsidRDefault="003B32F0" w:rsidP="00DC65CB">
      <w:pPr>
        <w:pStyle w:val="ListParagraph"/>
        <w:numPr>
          <w:ilvl w:val="1"/>
          <w:numId w:val="75"/>
        </w:numPr>
        <w:rPr>
          <w:rStyle w:val="normaltextrun"/>
        </w:rPr>
      </w:pPr>
      <w:r w:rsidRPr="0017036A">
        <w:rPr>
          <w:rStyle w:val="normaltextrun"/>
          <w:b/>
          <w:bCs/>
          <w:szCs w:val="22"/>
        </w:rPr>
        <w:t>Economic costs of climate impacts and resilience strategies</w:t>
      </w:r>
      <w:r w:rsidRPr="0017036A">
        <w:rPr>
          <w:rStyle w:val="normaltextrun"/>
          <w:szCs w:val="22"/>
        </w:rPr>
        <w:t> for California's electricity system.</w:t>
      </w:r>
    </w:p>
    <w:p w14:paraId="1A1F2998" w14:textId="77777777" w:rsidR="003B32F0" w:rsidRPr="0017036A" w:rsidRDefault="003B32F0" w:rsidP="00DC65CB">
      <w:pPr>
        <w:pStyle w:val="ListParagraph"/>
        <w:numPr>
          <w:ilvl w:val="1"/>
          <w:numId w:val="75"/>
        </w:numPr>
        <w:rPr>
          <w:rStyle w:val="normaltextrun"/>
        </w:rPr>
      </w:pPr>
      <w:r w:rsidRPr="0017036A">
        <w:rPr>
          <w:rStyle w:val="normaltextrun"/>
          <w:b/>
        </w:rPr>
        <w:t>Near-term (sub-seasonal and seasonal to decadal) probabilistic climate and energy forecasts</w:t>
      </w:r>
      <w:r w:rsidRPr="0017036A">
        <w:rPr>
          <w:rStyle w:val="normaltextrun"/>
        </w:rPr>
        <w:t> to inform resilient operations of a grid in transition.</w:t>
      </w:r>
    </w:p>
    <w:p w14:paraId="388B5A27" w14:textId="77777777" w:rsidR="003B32F0" w:rsidRPr="0017036A" w:rsidRDefault="003B32F0" w:rsidP="00DC65CB">
      <w:pPr>
        <w:pStyle w:val="ListParagraph"/>
        <w:numPr>
          <w:ilvl w:val="1"/>
          <w:numId w:val="75"/>
        </w:numPr>
        <w:rPr>
          <w:rStyle w:val="normaltextrun"/>
        </w:rPr>
      </w:pPr>
      <w:r w:rsidRPr="0017036A">
        <w:rPr>
          <w:rStyle w:val="normaltextrun"/>
          <w:b/>
          <w:bCs/>
        </w:rPr>
        <w:t>Capture implications of the results for trends (in both magnitude and variability) of natural gas demand</w:t>
      </w:r>
      <w:r w:rsidRPr="0017036A">
        <w:rPr>
          <w:rStyle w:val="normaltextrun"/>
        </w:rPr>
        <w:t> </w:t>
      </w:r>
      <w:r w:rsidRPr="0017036A">
        <w:rPr>
          <w:rStyle w:val="normaltextrun"/>
          <w:b/>
          <w:bCs/>
        </w:rPr>
        <w:t>for electricity generation</w:t>
      </w:r>
      <w:r w:rsidRPr="0017036A">
        <w:rPr>
          <w:rStyle w:val="normaltextrun"/>
        </w:rPr>
        <w:t xml:space="preserve"> to inform long-term electricity sector planning.</w:t>
      </w:r>
    </w:p>
    <w:p w14:paraId="550E4AE8" w14:textId="77777777" w:rsidR="003B32F0" w:rsidRPr="0017036A" w:rsidRDefault="003B32F0" w:rsidP="003B32F0">
      <w:pPr>
        <w:rPr>
          <w:rStyle w:val="normaltextrun"/>
          <w:szCs w:val="22"/>
        </w:rPr>
      </w:pPr>
    </w:p>
    <w:p w14:paraId="205C7DBA" w14:textId="77777777" w:rsidR="003B32F0" w:rsidRPr="0017036A" w:rsidRDefault="003B32F0" w:rsidP="003B32F0">
      <w:pPr>
        <w:rPr>
          <w:rStyle w:val="normaltextrun"/>
          <w:szCs w:val="22"/>
        </w:rPr>
      </w:pPr>
      <w:r w:rsidRPr="0017036A">
        <w:rPr>
          <w:rStyle w:val="normaltextrun"/>
          <w:szCs w:val="22"/>
        </w:rPr>
        <w:t xml:space="preserve">Additionally, it is </w:t>
      </w:r>
      <w:r w:rsidRPr="0017036A" w:rsidDel="006B67B1">
        <w:rPr>
          <w:rStyle w:val="normaltextrun"/>
          <w:szCs w:val="22"/>
        </w:rPr>
        <w:t xml:space="preserve">desirable </w:t>
      </w:r>
      <w:r w:rsidRPr="0017036A">
        <w:rPr>
          <w:rStyle w:val="normaltextrun"/>
          <w:szCs w:val="22"/>
        </w:rPr>
        <w:t>that research funded in Group 1 will:</w:t>
      </w:r>
    </w:p>
    <w:p w14:paraId="725FCBB6" w14:textId="7F17382B" w:rsidR="003B32F0" w:rsidRPr="00C23FA7" w:rsidRDefault="003B32F0" w:rsidP="69CB18E5">
      <w:pPr>
        <w:pStyle w:val="ListParagraph"/>
        <w:numPr>
          <w:ilvl w:val="0"/>
          <w:numId w:val="71"/>
        </w:numPr>
      </w:pPr>
      <w:r w:rsidRPr="69CB18E5">
        <w:rPr>
          <w:b/>
          <w:bCs/>
        </w:rPr>
        <w:t xml:space="preserve">Extend the capabilities of energy system models </w:t>
      </w:r>
      <w:r>
        <w:t>to better incorporate climate variability, changes in weather patterns, climate extremes, and changes and variability in energy demand patterns in order to address the requirements listed above, particularly for models used in support of state policy and IOU planning. Extending these capabilities will require attention to the social dynamics of demand and community-level resilience.</w:t>
      </w:r>
    </w:p>
    <w:p w14:paraId="1E821406" w14:textId="630F512D" w:rsidR="69CB18E5" w:rsidRDefault="69CB18E5" w:rsidP="69CB18E5">
      <w:pPr>
        <w:pStyle w:val="NoSpacing"/>
        <w:rPr>
          <w:u w:val="single"/>
        </w:rPr>
      </w:pPr>
    </w:p>
    <w:p w14:paraId="6AAA7532" w14:textId="1DE697A1" w:rsidR="003B32F0" w:rsidRPr="0017036A" w:rsidRDefault="003B32F0" w:rsidP="003B32F0">
      <w:pPr>
        <w:pStyle w:val="NoSpacing"/>
        <w:rPr>
          <w:u w:val="single"/>
        </w:rPr>
      </w:pPr>
      <w:r w:rsidRPr="69CB18E5">
        <w:rPr>
          <w:u w:val="single"/>
        </w:rPr>
        <w:t>Timeline considerations</w:t>
      </w:r>
    </w:p>
    <w:p w14:paraId="285EF8B3" w14:textId="77777777" w:rsidR="003B32F0" w:rsidRPr="0017036A" w:rsidRDefault="003B32F0" w:rsidP="003B32F0">
      <w:pPr>
        <w:pStyle w:val="NoSpacing"/>
        <w:rPr>
          <w:u w:val="single"/>
        </w:rPr>
      </w:pPr>
    </w:p>
    <w:p w14:paraId="5E77B654" w14:textId="77777777" w:rsidR="003B32F0" w:rsidRPr="0017036A" w:rsidRDefault="003B32F0" w:rsidP="003B32F0">
      <w:r w:rsidRPr="0017036A">
        <w:lastRenderedPageBreak/>
        <w:t>To assist applicants in developing a project timeline that leverages downscaled climate projections, the following is an indication of expected availability dates for major draft deliverables from EPC-20-006:</w:t>
      </w:r>
    </w:p>
    <w:p w14:paraId="319AA369" w14:textId="77777777" w:rsidR="003B32F0" w:rsidRPr="0017036A" w:rsidRDefault="003B32F0" w:rsidP="00DC65CB">
      <w:pPr>
        <w:pStyle w:val="ListParagraph"/>
        <w:numPr>
          <w:ilvl w:val="0"/>
          <w:numId w:val="74"/>
        </w:numPr>
        <w:rPr>
          <w:szCs w:val="22"/>
        </w:rPr>
      </w:pPr>
      <w:r w:rsidRPr="0017036A">
        <w:t>Dynamically downscaled climate projections from selected CMIP6 GCMs are expected by March 31, 2022</w:t>
      </w:r>
    </w:p>
    <w:p w14:paraId="147BC665" w14:textId="77777777" w:rsidR="003B32F0" w:rsidRPr="0017036A" w:rsidRDefault="003B32F0" w:rsidP="00DC65CB">
      <w:pPr>
        <w:pStyle w:val="ListParagraph"/>
        <w:numPr>
          <w:ilvl w:val="0"/>
          <w:numId w:val="73"/>
        </w:numPr>
      </w:pPr>
      <w:r w:rsidRPr="0017036A">
        <w:t xml:space="preserve">Localized Constructed Analogs modelling (LOCA) </w:t>
      </w:r>
      <w:r w:rsidRPr="0017036A">
        <w:rPr>
          <w:szCs w:val="22"/>
        </w:rPr>
        <w:t>output from selected CMIP6 GCMs are expected by March 31, 2022</w:t>
      </w:r>
    </w:p>
    <w:p w14:paraId="6B76BC99" w14:textId="77777777" w:rsidR="003B32F0" w:rsidRPr="0017036A" w:rsidRDefault="003B32F0" w:rsidP="00DC65CB">
      <w:pPr>
        <w:pStyle w:val="ListParagraph"/>
        <w:numPr>
          <w:ilvl w:val="0"/>
          <w:numId w:val="73"/>
        </w:numPr>
      </w:pPr>
      <w:r w:rsidRPr="0017036A">
        <w:t>Hydrological model output data are expected by March 31, 2023</w:t>
      </w:r>
    </w:p>
    <w:p w14:paraId="452E245B" w14:textId="77777777" w:rsidR="003B32F0" w:rsidRPr="0017036A" w:rsidRDefault="003B32F0" w:rsidP="003B32F0">
      <w:pPr>
        <w:rPr>
          <w:szCs w:val="22"/>
        </w:rPr>
      </w:pPr>
      <w:r w:rsidRPr="0017036A">
        <w:rPr>
          <w:szCs w:val="22"/>
        </w:rPr>
        <w:t>These deliverables can be reviewed in the Scope of Work for that project.</w:t>
      </w:r>
      <w:r w:rsidRPr="0017036A">
        <w:rPr>
          <w:rStyle w:val="FootnoteReference"/>
          <w:szCs w:val="22"/>
        </w:rPr>
        <w:footnoteReference w:id="3"/>
      </w:r>
      <w:r w:rsidRPr="0017036A">
        <w:rPr>
          <w:szCs w:val="22"/>
        </w:rPr>
        <w:t xml:space="preserve"> Recipients will coordinate with the Commission Agreement Manager to obtain the relevant data.</w:t>
      </w:r>
    </w:p>
    <w:p w14:paraId="16358AC2" w14:textId="77777777" w:rsidR="003B32F0" w:rsidRPr="0017036A" w:rsidRDefault="003B32F0" w:rsidP="003B32F0">
      <w:pPr>
        <w:rPr>
          <w:szCs w:val="22"/>
        </w:rPr>
      </w:pPr>
      <w:r w:rsidRPr="0017036A">
        <w:rPr>
          <w:szCs w:val="22"/>
        </w:rPr>
        <w:t xml:space="preserve">To assist the Recipient of Group 1 of the current solicitation in using these climate projections, a </w:t>
      </w:r>
      <w:r w:rsidRPr="0017036A">
        <w:t>CEC-funded data platform and analytics engine will deliver those projections in a manner tailored to specific use cases. The outreach team of the analytics engine grant (EPC-20-007) expects to meet with the Recipient of Group 1 as early as Q3 2022 to understand their data needs and how they can be supported through the analytics engine.</w:t>
      </w:r>
    </w:p>
    <w:p w14:paraId="1F18E3D5" w14:textId="77777777" w:rsidR="003B32F0" w:rsidRPr="0017036A" w:rsidRDefault="003B32F0" w:rsidP="003B32F0">
      <w:pPr>
        <w:pStyle w:val="NoSpacing"/>
      </w:pPr>
    </w:p>
    <w:p w14:paraId="18E9346E" w14:textId="77777777" w:rsidR="003B32F0" w:rsidRPr="0017036A" w:rsidRDefault="003B32F0" w:rsidP="003B32F0">
      <w:pPr>
        <w:pStyle w:val="NoSpacing"/>
        <w:rPr>
          <w:u w:val="single"/>
        </w:rPr>
      </w:pPr>
      <w:r w:rsidRPr="0017036A">
        <w:rPr>
          <w:szCs w:val="22"/>
          <w:u w:val="single"/>
        </w:rPr>
        <w:t>Policy context and related research</w:t>
      </w:r>
    </w:p>
    <w:p w14:paraId="458D0F77" w14:textId="77777777" w:rsidR="003B32F0" w:rsidRPr="0017036A" w:rsidRDefault="003B32F0" w:rsidP="003B32F0">
      <w:pPr>
        <w:pStyle w:val="NoSpacing"/>
        <w:rPr>
          <w:rFonts w:ascii="Segoe UI" w:hAnsi="Segoe UI" w:cs="Segoe UI"/>
          <w:u w:val="single"/>
        </w:rPr>
      </w:pPr>
    </w:p>
    <w:p w14:paraId="4F972837" w14:textId="77777777" w:rsidR="003B32F0" w:rsidRPr="0017036A" w:rsidRDefault="003B32F0" w:rsidP="003B32F0">
      <w:pPr>
        <w:pStyle w:val="NoSpacing"/>
        <w:jc w:val="both"/>
      </w:pPr>
      <w:r w:rsidRPr="0017036A">
        <w:t>The 2021 SB 100 Joint Agency Report, </w:t>
      </w:r>
      <w:r w:rsidRPr="0017036A">
        <w:rPr>
          <w:i/>
          <w:iCs/>
        </w:rPr>
        <w:t>Achieving 100 Percent Clean Electricity in California: An Initial Assessment</w:t>
      </w:r>
      <w:r w:rsidRPr="0017036A">
        <w:t>, highlights that, “Cost-effective achievement of the 100 percent clean electricity target requires that investments in electricity generation and infrastructure consider climate change impacts.” This is true of an SB 100-compliant electricity grid, as well as the grid in transition from today’s system to a future zero-carbon grid.</w:t>
      </w:r>
    </w:p>
    <w:p w14:paraId="74EE939A" w14:textId="77777777" w:rsidR="003B32F0" w:rsidRPr="0017036A" w:rsidRDefault="003B32F0" w:rsidP="003B32F0">
      <w:pPr>
        <w:pStyle w:val="NoSpacing"/>
        <w:jc w:val="both"/>
      </w:pPr>
    </w:p>
    <w:p w14:paraId="7FA1820A" w14:textId="77777777" w:rsidR="003B32F0" w:rsidRPr="0017036A" w:rsidRDefault="003B32F0" w:rsidP="003B32F0">
      <w:pPr>
        <w:pStyle w:val="NoSpacing"/>
        <w:jc w:val="both"/>
        <w:rPr>
          <w:rFonts w:ascii="Segoe UI" w:hAnsi="Segoe UI" w:cs="Segoe UI"/>
          <w:szCs w:val="22"/>
        </w:rPr>
      </w:pPr>
      <w:r w:rsidRPr="0017036A">
        <w:rPr>
          <w:szCs w:val="22"/>
        </w:rPr>
        <w:t>The Final Root Cause Analysis (2021) of the rotating electricity outages instituted by the California Independent System Operator Corporation (CAISO) in mid-August 2020 points to two major contributing factors that are directly relevant to this solicitation. First, the extreme heat wave that extended across the western United States during that period led to electricity demand exceeding electricity resource planning targets at a time when resources in neighboring areas were also strained. Second, the rotating outages occurred during the early evening “net demand peak” (demand net of solar and wind generation), when utility-scale and behind-the-meter solar generation declines more rapidly than demand. Resource planning targets have not kept pace with the decarbonizing resource mix to ensure sufficient resources that can be relied upon to meet demand during the net demand peak, a challenge that is amplified during an extreme heat wave. The research funded by this solicitation can help inform electricity system planning to ensure that sufficient resources are available to serve load, particularly during the net peak period and other potential periods of system strain as the resource mix and patterns of demand evolve over the next few decades. </w:t>
      </w:r>
    </w:p>
    <w:p w14:paraId="7206A6A7" w14:textId="77777777" w:rsidR="003B32F0" w:rsidRPr="0017036A" w:rsidRDefault="003B32F0" w:rsidP="003B32F0">
      <w:pPr>
        <w:pStyle w:val="NoSpacing"/>
        <w:jc w:val="both"/>
        <w:rPr>
          <w:rFonts w:ascii="Segoe UI" w:hAnsi="Segoe UI" w:cs="Segoe UI"/>
          <w:szCs w:val="22"/>
        </w:rPr>
      </w:pPr>
    </w:p>
    <w:p w14:paraId="0434399A" w14:textId="77777777" w:rsidR="003B32F0" w:rsidRPr="0017036A" w:rsidRDefault="003B32F0" w:rsidP="003B32F0">
      <w:pPr>
        <w:pStyle w:val="NoSpacing"/>
        <w:jc w:val="both"/>
        <w:rPr>
          <w:rFonts w:ascii="Segoe UI" w:hAnsi="Segoe UI" w:cs="Segoe UI"/>
          <w:szCs w:val="22"/>
        </w:rPr>
      </w:pPr>
      <w:r w:rsidRPr="0017036A">
        <w:rPr>
          <w:szCs w:val="22"/>
        </w:rPr>
        <w:t>A CEC-funded report by E3, </w:t>
      </w:r>
      <w:r w:rsidRPr="0017036A">
        <w:rPr>
          <w:i/>
          <w:szCs w:val="22"/>
        </w:rPr>
        <w:t>The Challenge of Retail Gas in California’s Low-Carbon Future</w:t>
      </w:r>
      <w:r w:rsidRPr="0017036A">
        <w:rPr>
          <w:szCs w:val="22"/>
        </w:rPr>
        <w:t> (2020), drew on prior EPIC-funded long-term energy scenarios presented in </w:t>
      </w:r>
      <w:r w:rsidRPr="0017036A">
        <w:rPr>
          <w:i/>
          <w:szCs w:val="22"/>
        </w:rPr>
        <w:t>Deep Decarbonization in a High Renewables Futur</w:t>
      </w:r>
      <w:r w:rsidRPr="0017036A">
        <w:rPr>
          <w:szCs w:val="22"/>
        </w:rPr>
        <w:t xml:space="preserve">e (2018) to explore the implications of a low-carbon future on the state’s retail natural gas system. It concludes that building electrification is a </w:t>
      </w:r>
      <w:r w:rsidRPr="0017036A">
        <w:rPr>
          <w:szCs w:val="22"/>
        </w:rPr>
        <w:lastRenderedPageBreak/>
        <w:t>relatively low-cost approach to meeting the state’s mitigation goals, and a managed gas transition is imperative to address issues related to equity and costs. These scenarios incorporate limited physical climate impacts into demand analysis with the PATHWAYS model.  E3’s modeling does include direct impacts of climate change on thermal electricity generation; these effects are portrayed as relatively small, in part because with a zero-carbon grid, natural gas generation plays a diminishing role and is expected to be relied upon primarily at night, when temperature-related impacts on thermal efficiency are less. Additional analysis could assess the transition from the current role natural gas generation plays in meeting electricity demand to an attenuated role, particularly with respect to the early evening net demand peak discussed above. On hot days when net peak demand is high, natural gas generation may simultaneously be affected by thermal impacts. E3’s modeling has also considered results from Tarroja et al. (2019a) suggesting, on average, a decreasing trend in availability of hydroelectric generation in California (see CEC Publication: 500-2019-015). Additional analysis by Tarroja et al. (2019b) considers both changes to overall availability and variability of hydroelectric generation in California and suggests that additional dispatchable capacity would be needed to compensate for increasing variability of hydroelectric resources. The implications of increasing hydroelectric variability are relevant to consider in new long-term scenarios. </w:t>
      </w:r>
    </w:p>
    <w:p w14:paraId="62926FD5" w14:textId="77777777" w:rsidR="003B32F0" w:rsidRPr="0017036A" w:rsidRDefault="003B32F0" w:rsidP="003B32F0">
      <w:pPr>
        <w:pStyle w:val="NoSpacing"/>
        <w:jc w:val="both"/>
        <w:rPr>
          <w:rFonts w:ascii="Segoe UI" w:hAnsi="Segoe UI" w:cs="Segoe UI"/>
          <w:szCs w:val="22"/>
        </w:rPr>
      </w:pPr>
    </w:p>
    <w:p w14:paraId="26D922A3" w14:textId="77777777" w:rsidR="003B32F0" w:rsidRPr="0017036A" w:rsidRDefault="003B32F0" w:rsidP="003B32F0">
      <w:pPr>
        <w:pStyle w:val="NoSpacing"/>
        <w:jc w:val="both"/>
        <w:rPr>
          <w:rFonts w:ascii="Segoe UI" w:hAnsi="Segoe UI" w:cs="Segoe UI"/>
          <w:szCs w:val="22"/>
        </w:rPr>
      </w:pPr>
      <w:r w:rsidRPr="0017036A">
        <w:rPr>
          <w:szCs w:val="22"/>
        </w:rPr>
        <w:t>There are a range of additional climate-related challenges to a decarbonizing grid that are not considered by prior CEC-funded research, including extended drought; regional heat waves (e.g., as in August 2020); confluence of heat waves and wildfire, with wildfire-generated aerosols compromising solar generation (Energy Information Administration, 2020); climate-related impacts on imported hydroelectric power; and wind “drought.” Ongoing efforts to extend energy system models to understand the value of long-duration storage will expand the ability of models to capture weather patterns of interest and should be considered by the research funded through this solicitation.</w:t>
      </w:r>
      <w:r w:rsidRPr="0017036A">
        <w:rPr>
          <w:rStyle w:val="FootnoteReference"/>
          <w:szCs w:val="22"/>
        </w:rPr>
        <w:footnoteReference w:id="4"/>
      </w:r>
      <w:r w:rsidRPr="0017036A">
        <w:rPr>
          <w:szCs w:val="22"/>
        </w:rPr>
        <w:t> </w:t>
      </w:r>
    </w:p>
    <w:p w14:paraId="73127C09" w14:textId="77777777" w:rsidR="003B32F0" w:rsidRPr="0017036A" w:rsidRDefault="003B32F0" w:rsidP="003B32F0">
      <w:pPr>
        <w:pStyle w:val="NoSpacing"/>
        <w:jc w:val="both"/>
        <w:rPr>
          <w:rFonts w:ascii="Segoe UI" w:hAnsi="Segoe UI" w:cs="Segoe UI"/>
          <w:szCs w:val="22"/>
        </w:rPr>
      </w:pPr>
    </w:p>
    <w:p w14:paraId="272D67A6" w14:textId="77777777" w:rsidR="003B32F0" w:rsidRPr="0017036A" w:rsidRDefault="003B32F0" w:rsidP="003B32F0">
      <w:pPr>
        <w:pStyle w:val="NoSpacing"/>
        <w:jc w:val="both"/>
      </w:pPr>
      <w:r w:rsidRPr="0017036A">
        <w:t>In addition to these climate effects on generation and storage, how energy is used may change substantially from the recent past due to both climate- and non-climate related events. For example, the pandemic changed social activity patterns and thus what and where loads occur. These changes are reflected in sector- and systems-level electricity patterns (Energy Information Administration 2021; Krarti and Aldubyan 2021) and will not necessarily return to what was considered normal in the past, even in a recovered economy. For example, a greater proportion of work hours may continue to occur at home rather than in a commercial office space (Boland et al. 2020), illustrating the possibility of step changes in how energy is used (e.g., Zanocco et al. 2021).</w:t>
      </w:r>
    </w:p>
    <w:p w14:paraId="13EE00E2" w14:textId="77777777" w:rsidR="003B32F0" w:rsidRPr="0017036A" w:rsidRDefault="003B32F0" w:rsidP="003B32F0">
      <w:pPr>
        <w:pStyle w:val="NoSpacing"/>
      </w:pPr>
    </w:p>
    <w:p w14:paraId="2CA48CB5" w14:textId="77777777" w:rsidR="003B32F0" w:rsidRPr="0017036A" w:rsidRDefault="003B32F0" w:rsidP="003B32F0">
      <w:pPr>
        <w:pStyle w:val="NoSpacing"/>
        <w:jc w:val="both"/>
      </w:pPr>
      <w:r w:rsidRPr="0017036A">
        <w:t>Critical support for this effort will derive from EPIC-funded research that commenced in the first quarter of 2021, namely the next-generation climate projections under development by a University of California San Diego-led team (EPC-20-006), as well as the stakeholder-informed analytics engine and data platform to deliver climate projections and analytics under development by an Eagle Rock Analytics-led team (EPC-20-007). In addition, this effort should incorporate insights from the analysis of climate impacts on solar, wind, and hydroelectric generation conducted in Group 2 of this solicitation.</w:t>
      </w:r>
    </w:p>
    <w:p w14:paraId="3FB6D4D8" w14:textId="77777777" w:rsidR="003B32F0" w:rsidRPr="0017036A" w:rsidRDefault="003B32F0" w:rsidP="003B32F0">
      <w:pPr>
        <w:rPr>
          <w:rStyle w:val="normaltextrun"/>
          <w:szCs w:val="22"/>
        </w:rPr>
      </w:pPr>
    </w:p>
    <w:p w14:paraId="64103B2F" w14:textId="77777777" w:rsidR="003B32F0" w:rsidRPr="0017036A" w:rsidRDefault="003B32F0" w:rsidP="003B32F0">
      <w:pPr>
        <w:pStyle w:val="NoSpacing"/>
        <w:rPr>
          <w:rStyle w:val="eop"/>
          <w:szCs w:val="22"/>
        </w:rPr>
      </w:pPr>
      <w:r w:rsidRPr="0017036A">
        <w:rPr>
          <w:rStyle w:val="normaltextrun"/>
          <w:b/>
          <w:bCs/>
          <w:szCs w:val="22"/>
        </w:rPr>
        <w:t>Group 2: </w:t>
      </w:r>
      <w:r w:rsidRPr="0017036A">
        <w:rPr>
          <w:rStyle w:val="normaltextrun"/>
          <w:szCs w:val="22"/>
          <w:shd w:val="clear" w:color="auto" w:fill="FFFFFF"/>
        </w:rPr>
        <w:t>Climate-related changes to availability and distribution of solar, wind, and hydroelectric generation</w:t>
      </w:r>
      <w:r w:rsidRPr="0017036A" w:rsidDel="00082292">
        <w:rPr>
          <w:rStyle w:val="normaltextrun"/>
          <w:b/>
          <w:bCs/>
          <w:szCs w:val="22"/>
        </w:rPr>
        <w:t xml:space="preserve"> </w:t>
      </w:r>
      <w:r w:rsidRPr="0017036A">
        <w:rPr>
          <w:rStyle w:val="normaltextrun"/>
          <w:b/>
          <w:bCs/>
          <w:szCs w:val="22"/>
        </w:rPr>
        <w:t>(maximum award amount $900,000):</w:t>
      </w:r>
    </w:p>
    <w:p w14:paraId="5DBB564F" w14:textId="77777777" w:rsidR="003B32F0" w:rsidRPr="0017036A" w:rsidRDefault="003B32F0" w:rsidP="003B32F0">
      <w:pPr>
        <w:pStyle w:val="NoSpacing"/>
        <w:rPr>
          <w:rStyle w:val="normaltextrun"/>
          <w:szCs w:val="22"/>
        </w:rPr>
      </w:pPr>
    </w:p>
    <w:p w14:paraId="76EB058A" w14:textId="77777777" w:rsidR="003B32F0" w:rsidRPr="0017036A" w:rsidRDefault="003B32F0" w:rsidP="003B32F0">
      <w:pPr>
        <w:pStyle w:val="NoSpacing"/>
        <w:jc w:val="both"/>
        <w:rPr>
          <w:rStyle w:val="normaltextrun"/>
        </w:rPr>
      </w:pPr>
      <w:r w:rsidRPr="0017036A">
        <w:rPr>
          <w:rStyle w:val="normaltextrun"/>
        </w:rPr>
        <w:t>Climate change could have substantial impacts on where and when solar, wind, and hydroelectric resources are available in California, with implications for utility scale and distributed energy generation. Anticipating these impacts when planning a high-renewables future is crucial to achieving a zero-carbon, reliable, cost-effective electricity grid. Ongoing efforts to generate improved, higher resolution historical datasets and next-generation climate projections provide an opportunity to generate a shared knowledge base for how solar, wind, and hydroelectric resources may vary and evolve over the coming decades, a period when the state expects to substantially increase its reliance on renewable resources to achieve the goals of SB 100.</w:t>
      </w:r>
    </w:p>
    <w:p w14:paraId="31406E1A" w14:textId="77777777" w:rsidR="003B32F0" w:rsidRPr="0017036A" w:rsidRDefault="003B32F0" w:rsidP="003B32F0">
      <w:pPr>
        <w:pStyle w:val="NoSpacing"/>
        <w:rPr>
          <w:rStyle w:val="normaltextrun"/>
          <w:szCs w:val="22"/>
        </w:rPr>
      </w:pPr>
    </w:p>
    <w:p w14:paraId="0FCCB5BD" w14:textId="77777777" w:rsidR="003B32F0" w:rsidRPr="0017036A" w:rsidRDefault="003B32F0" w:rsidP="003B32F0">
      <w:pPr>
        <w:ind w:firstLine="360"/>
        <w:rPr>
          <w:szCs w:val="22"/>
        </w:rPr>
      </w:pPr>
      <w:r w:rsidRPr="0017036A">
        <w:rPr>
          <w:rStyle w:val="normaltextrun"/>
          <w:b/>
          <w:szCs w:val="22"/>
        </w:rPr>
        <w:t>Successful applicants </w:t>
      </w:r>
      <w:r w:rsidRPr="0017036A">
        <w:rPr>
          <w:rStyle w:val="normaltextrun"/>
          <w:b/>
          <w:szCs w:val="22"/>
          <w:u w:val="single"/>
        </w:rPr>
        <w:t>must demonstrate</w:t>
      </w:r>
      <w:r w:rsidRPr="0017036A">
        <w:rPr>
          <w:rStyle w:val="normaltextrun"/>
          <w:szCs w:val="22"/>
        </w:rPr>
        <w:t>: </w:t>
      </w:r>
      <w:r w:rsidRPr="0017036A">
        <w:rPr>
          <w:rStyle w:val="eop"/>
          <w:szCs w:val="22"/>
        </w:rPr>
        <w:t> </w:t>
      </w:r>
    </w:p>
    <w:p w14:paraId="3B64C26B" w14:textId="77777777" w:rsidR="003B32F0" w:rsidRPr="0017036A" w:rsidRDefault="003B32F0" w:rsidP="00DC65CB">
      <w:pPr>
        <w:pStyle w:val="ListParagraph"/>
        <w:numPr>
          <w:ilvl w:val="0"/>
          <w:numId w:val="57"/>
        </w:numPr>
        <w:rPr>
          <w:rStyle w:val="eop"/>
          <w:szCs w:val="22"/>
        </w:rPr>
      </w:pPr>
      <w:r w:rsidRPr="0017036A">
        <w:rPr>
          <w:rStyle w:val="normaltextrun"/>
          <w:szCs w:val="22"/>
        </w:rPr>
        <w:t>The capacity for coordination with the research teams that are funded by Group 1 (which is expected to incorporate insights from this project) and by Group 3 (which is expected to make findings of this project available via the Cal-Adapt web application.</w:t>
      </w:r>
    </w:p>
    <w:p w14:paraId="23834389" w14:textId="77777777" w:rsidR="003B32F0" w:rsidRPr="0017036A" w:rsidRDefault="003B32F0" w:rsidP="00DC65CB">
      <w:pPr>
        <w:pStyle w:val="ListParagraph"/>
        <w:numPr>
          <w:ilvl w:val="0"/>
          <w:numId w:val="57"/>
        </w:numPr>
        <w:rPr>
          <w:rStyle w:val="normaltextrun"/>
        </w:rPr>
      </w:pPr>
      <w:r w:rsidRPr="0017036A">
        <w:rPr>
          <w:rStyle w:val="normaltextrun"/>
          <w:szCs w:val="22"/>
        </w:rPr>
        <w:t>A clearly articulated approach to stakeholder engagement, including dedicated funding and expertise.</w:t>
      </w:r>
    </w:p>
    <w:p w14:paraId="7DC2AF3D" w14:textId="77777777" w:rsidR="003B32F0" w:rsidRPr="0017036A" w:rsidRDefault="003B32F0" w:rsidP="003B32F0">
      <w:pPr>
        <w:pStyle w:val="NoSpacing"/>
        <w:rPr>
          <w:szCs w:val="22"/>
        </w:rPr>
      </w:pPr>
    </w:p>
    <w:p w14:paraId="30C9BA83" w14:textId="77777777" w:rsidR="003B32F0" w:rsidRPr="0017036A" w:rsidRDefault="003B32F0" w:rsidP="003B32F0">
      <w:pPr>
        <w:ind w:firstLine="360"/>
        <w:rPr>
          <w:szCs w:val="22"/>
        </w:rPr>
      </w:pPr>
      <w:r w:rsidRPr="0017036A">
        <w:rPr>
          <w:rStyle w:val="normaltextrun"/>
          <w:b/>
          <w:szCs w:val="22"/>
        </w:rPr>
        <w:t>Projects in this group must, </w:t>
      </w:r>
      <w:r w:rsidRPr="0017036A">
        <w:rPr>
          <w:rStyle w:val="normaltextrun"/>
          <w:b/>
          <w:szCs w:val="22"/>
          <w:u w:val="single"/>
        </w:rPr>
        <w:t>at a minimum</w:t>
      </w:r>
      <w:r w:rsidRPr="0017036A">
        <w:rPr>
          <w:rStyle w:val="normaltextrun"/>
          <w:szCs w:val="22"/>
        </w:rPr>
        <w:t>:</w:t>
      </w:r>
    </w:p>
    <w:p w14:paraId="4604F71A" w14:textId="77777777" w:rsidR="003B32F0" w:rsidRPr="0017036A" w:rsidRDefault="003B32F0" w:rsidP="00DC65CB">
      <w:pPr>
        <w:pStyle w:val="ListParagraph"/>
        <w:numPr>
          <w:ilvl w:val="0"/>
          <w:numId w:val="59"/>
        </w:numPr>
        <w:rPr>
          <w:szCs w:val="22"/>
        </w:rPr>
      </w:pPr>
      <w:r w:rsidRPr="0017036A">
        <w:rPr>
          <w:rStyle w:val="normaltextrun"/>
          <w:szCs w:val="22"/>
        </w:rPr>
        <w:t xml:space="preserve">Generate projected changes in solar, wind, and hydropower resource availability and variability over the next decade and through mid-century. </w:t>
      </w:r>
      <w:r w:rsidRPr="0017036A">
        <w:rPr>
          <w:rStyle w:val="eop"/>
          <w:szCs w:val="22"/>
        </w:rPr>
        <w:t>This includes providing model inputs to CEC’s supply analysis team in the form of hourly wind and solar generation profiles, as well as hydroelectric generation projections that account for climate change.</w:t>
      </w:r>
      <w:r w:rsidRPr="0017036A">
        <w:rPr>
          <w:rStyle w:val="normaltextrun"/>
          <w:szCs w:val="22"/>
        </w:rPr>
        <w:t>  </w:t>
      </w:r>
      <w:r w:rsidRPr="0017036A">
        <w:rPr>
          <w:rStyle w:val="eop"/>
          <w:szCs w:val="22"/>
        </w:rPr>
        <w:t> </w:t>
      </w:r>
    </w:p>
    <w:p w14:paraId="47886D2C" w14:textId="77777777" w:rsidR="003B32F0" w:rsidRPr="0017036A" w:rsidRDefault="003B32F0" w:rsidP="00DC65CB">
      <w:pPr>
        <w:pStyle w:val="ListParagraph"/>
        <w:numPr>
          <w:ilvl w:val="0"/>
          <w:numId w:val="59"/>
        </w:numPr>
        <w:rPr>
          <w:szCs w:val="22"/>
        </w:rPr>
      </w:pPr>
      <w:r w:rsidRPr="0017036A">
        <w:rPr>
          <w:rStyle w:val="normaltextrun"/>
          <w:szCs w:val="22"/>
        </w:rPr>
        <w:t>Evaluate changes in each resource individually as well as spatial and temporal correlations among these resources, including the changing resource availability profiles during extreme events of relevance to electricity demand and supply and reliability planning.</w:t>
      </w:r>
      <w:r w:rsidRPr="0017036A">
        <w:rPr>
          <w:rStyle w:val="eop"/>
          <w:szCs w:val="22"/>
        </w:rPr>
        <w:t> </w:t>
      </w:r>
    </w:p>
    <w:p w14:paraId="57D10AD3" w14:textId="77777777" w:rsidR="003B32F0" w:rsidRPr="0017036A" w:rsidRDefault="003B32F0" w:rsidP="00DC65CB">
      <w:pPr>
        <w:pStyle w:val="ListParagraph"/>
        <w:numPr>
          <w:ilvl w:val="0"/>
          <w:numId w:val="59"/>
        </w:numPr>
        <w:rPr>
          <w:szCs w:val="22"/>
        </w:rPr>
      </w:pPr>
      <w:r w:rsidRPr="0017036A">
        <w:rPr>
          <w:rStyle w:val="normaltextrun"/>
          <w:szCs w:val="22"/>
        </w:rPr>
        <w:t>Leverage Coupled Modeled Intercomparison Project Phase 6 (CMIP6)-based climate scenarios, stakeholder-informed use cases and stress tests, data platform and analytics engine funded by EPC-20-006 and EPC-20-007, respectively.</w:t>
      </w:r>
      <w:r w:rsidRPr="0017036A">
        <w:rPr>
          <w:rStyle w:val="eop"/>
          <w:szCs w:val="22"/>
        </w:rPr>
        <w:t> </w:t>
      </w:r>
    </w:p>
    <w:p w14:paraId="09991254" w14:textId="77777777" w:rsidR="003B32F0" w:rsidRPr="0017036A" w:rsidRDefault="003B32F0" w:rsidP="00DC65CB">
      <w:pPr>
        <w:pStyle w:val="ListParagraph"/>
        <w:numPr>
          <w:ilvl w:val="0"/>
          <w:numId w:val="59"/>
        </w:numPr>
        <w:rPr>
          <w:szCs w:val="22"/>
        </w:rPr>
      </w:pPr>
      <w:r w:rsidRPr="0017036A">
        <w:rPr>
          <w:rStyle w:val="normaltextrun"/>
          <w:szCs w:val="22"/>
        </w:rPr>
        <w:t>Expand consideration of climate-related phenomena that affect solar and wind resources in California and are now represented in next-generation climate projections.</w:t>
      </w:r>
      <w:r w:rsidRPr="0017036A">
        <w:rPr>
          <w:rStyle w:val="eop"/>
          <w:szCs w:val="22"/>
        </w:rPr>
        <w:t> </w:t>
      </w:r>
    </w:p>
    <w:p w14:paraId="5060D38B" w14:textId="77777777" w:rsidR="003B32F0" w:rsidRPr="0017036A" w:rsidRDefault="003B32F0" w:rsidP="00DC65CB">
      <w:pPr>
        <w:pStyle w:val="ListParagraph"/>
        <w:numPr>
          <w:ilvl w:val="0"/>
          <w:numId w:val="59"/>
        </w:numPr>
        <w:rPr>
          <w:szCs w:val="22"/>
        </w:rPr>
      </w:pPr>
      <w:r w:rsidRPr="0017036A">
        <w:rPr>
          <w:rStyle w:val="normaltextrun"/>
          <w:szCs w:val="22"/>
        </w:rPr>
        <w:t>Directly engage IOUs and other electricity-sector stakeholders, including the SB 100 Modeling Team and the CEC’s Energy Assessments Division’s (EAD) supply analysis team, from project inception to completion, leveraging and coordinating with stakeholder engagement efforts or related grants (e.g., EPC-20-006 and EPC-20-007).</w:t>
      </w:r>
      <w:r w:rsidRPr="0017036A">
        <w:rPr>
          <w:rStyle w:val="eop"/>
          <w:szCs w:val="22"/>
        </w:rPr>
        <w:t> </w:t>
      </w:r>
    </w:p>
    <w:p w14:paraId="2DA049B9" w14:textId="77777777" w:rsidR="003B32F0" w:rsidRPr="0017036A" w:rsidRDefault="003B32F0" w:rsidP="003B32F0">
      <w:pPr>
        <w:pStyle w:val="paragraph"/>
        <w:spacing w:before="0" w:beforeAutospacing="0" w:after="0" w:afterAutospacing="0"/>
        <w:jc w:val="both"/>
      </w:pPr>
      <w:r w:rsidRPr="0017036A">
        <w:rPr>
          <w:rStyle w:val="eop"/>
        </w:rPr>
        <w:t> </w:t>
      </w:r>
    </w:p>
    <w:p w14:paraId="793909F5" w14:textId="77777777" w:rsidR="003B32F0" w:rsidRPr="0017036A" w:rsidRDefault="003B32F0" w:rsidP="003B32F0">
      <w:pPr>
        <w:pStyle w:val="NoSpacing"/>
        <w:rPr>
          <w:rStyle w:val="eop"/>
          <w:szCs w:val="22"/>
        </w:rPr>
      </w:pPr>
      <w:r w:rsidRPr="0017036A">
        <w:rPr>
          <w:rStyle w:val="normaltextrun"/>
          <w:szCs w:val="22"/>
        </w:rPr>
        <w:t>Additionally, it is desirable that research funded in Group 2 will:</w:t>
      </w:r>
      <w:r w:rsidRPr="0017036A">
        <w:rPr>
          <w:rStyle w:val="eop"/>
          <w:szCs w:val="22"/>
        </w:rPr>
        <w:t> </w:t>
      </w:r>
    </w:p>
    <w:p w14:paraId="1C3FEE59" w14:textId="77777777" w:rsidR="003B32F0" w:rsidRPr="0017036A" w:rsidRDefault="003B32F0" w:rsidP="003B32F0">
      <w:pPr>
        <w:pStyle w:val="NoSpacing"/>
        <w:rPr>
          <w:szCs w:val="22"/>
        </w:rPr>
      </w:pPr>
    </w:p>
    <w:p w14:paraId="5BA78700" w14:textId="77777777" w:rsidR="003B32F0" w:rsidRPr="0017036A" w:rsidRDefault="003B32F0" w:rsidP="00DC65CB">
      <w:pPr>
        <w:pStyle w:val="ListParagraph"/>
        <w:numPr>
          <w:ilvl w:val="0"/>
          <w:numId w:val="60"/>
        </w:numPr>
      </w:pPr>
      <w:r w:rsidRPr="0017036A">
        <w:rPr>
          <w:rStyle w:val="normaltextrun"/>
          <w:szCs w:val="22"/>
        </w:rPr>
        <w:t>Support the development of methods for quantifying benefits to reliability of potential resilience strategies.</w:t>
      </w:r>
      <w:r w:rsidRPr="0017036A">
        <w:rPr>
          <w:rStyle w:val="eop"/>
          <w:szCs w:val="22"/>
        </w:rPr>
        <w:t> </w:t>
      </w:r>
    </w:p>
    <w:p w14:paraId="44F2ED75" w14:textId="77777777" w:rsidR="003B32F0" w:rsidRPr="0017036A" w:rsidRDefault="003B32F0" w:rsidP="00DC65CB">
      <w:pPr>
        <w:pStyle w:val="ListParagraph"/>
        <w:numPr>
          <w:ilvl w:val="0"/>
          <w:numId w:val="60"/>
        </w:numPr>
        <w:rPr>
          <w:rStyle w:val="eop"/>
        </w:rPr>
      </w:pPr>
      <w:r w:rsidRPr="0017036A">
        <w:rPr>
          <w:rStyle w:val="normaltextrun"/>
          <w:szCs w:val="22"/>
        </w:rPr>
        <w:lastRenderedPageBreak/>
        <w:t>Support further integration of climate variability, extremes, and changes in weather patterns and their effects on renewable resources into tools used for electricity planning and infrastructure-related decisions, with direct engagement of electricity-sector stakeholders.</w:t>
      </w:r>
      <w:r w:rsidRPr="0017036A">
        <w:rPr>
          <w:rStyle w:val="eop"/>
          <w:szCs w:val="22"/>
        </w:rPr>
        <w:t> </w:t>
      </w:r>
    </w:p>
    <w:p w14:paraId="368C6EE8" w14:textId="77777777" w:rsidR="003B32F0" w:rsidRPr="0017036A" w:rsidRDefault="003B32F0" w:rsidP="003B32F0">
      <w:pPr>
        <w:ind w:left="360"/>
      </w:pPr>
    </w:p>
    <w:p w14:paraId="4487861C" w14:textId="77777777" w:rsidR="003B32F0" w:rsidRPr="0017036A" w:rsidRDefault="003B32F0" w:rsidP="003B32F0">
      <w:pPr>
        <w:pStyle w:val="NoSpacing"/>
        <w:rPr>
          <w:u w:val="single"/>
        </w:rPr>
      </w:pPr>
      <w:r w:rsidRPr="0017036A">
        <w:rPr>
          <w:u w:val="single"/>
        </w:rPr>
        <w:t>Timeline considerations</w:t>
      </w:r>
    </w:p>
    <w:p w14:paraId="1E30B31F" w14:textId="77777777" w:rsidR="003B32F0" w:rsidRPr="0017036A" w:rsidRDefault="003B32F0" w:rsidP="003B32F0">
      <w:pPr>
        <w:pStyle w:val="NoSpacing"/>
        <w:rPr>
          <w:u w:val="single"/>
        </w:rPr>
      </w:pPr>
    </w:p>
    <w:p w14:paraId="4D5462A9" w14:textId="77777777" w:rsidR="003B32F0" w:rsidRPr="0017036A" w:rsidRDefault="003B32F0" w:rsidP="003B32F0">
      <w:r w:rsidRPr="0017036A">
        <w:t>To assist applicants in developing a project timeline that leverages downscaled climate projections, the following is an indication of expected availability dates for major draft deliverables from EPC-20-006:</w:t>
      </w:r>
    </w:p>
    <w:p w14:paraId="3959C24A" w14:textId="77777777" w:rsidR="003B32F0" w:rsidRPr="0017036A" w:rsidRDefault="003B32F0" w:rsidP="00DC65CB">
      <w:pPr>
        <w:pStyle w:val="ListParagraph"/>
        <w:numPr>
          <w:ilvl w:val="0"/>
          <w:numId w:val="74"/>
        </w:numPr>
        <w:rPr>
          <w:szCs w:val="22"/>
        </w:rPr>
      </w:pPr>
      <w:r w:rsidRPr="0017036A">
        <w:t>Dynamically downscaled climate projections from selected CMIP6 GCMs are expected by March 31, 2022</w:t>
      </w:r>
    </w:p>
    <w:p w14:paraId="437F6301" w14:textId="77777777" w:rsidR="003B32F0" w:rsidRPr="0017036A" w:rsidRDefault="003B32F0" w:rsidP="00DC65CB">
      <w:pPr>
        <w:pStyle w:val="ListParagraph"/>
        <w:numPr>
          <w:ilvl w:val="0"/>
          <w:numId w:val="73"/>
        </w:numPr>
      </w:pPr>
      <w:r w:rsidRPr="0017036A">
        <w:t xml:space="preserve">Localized Constructed Analogs modelling (LOCA) </w:t>
      </w:r>
      <w:r w:rsidRPr="0017036A">
        <w:rPr>
          <w:szCs w:val="22"/>
        </w:rPr>
        <w:t>output from selected CMIP6 GCMs are expected by March 31, 2022</w:t>
      </w:r>
    </w:p>
    <w:p w14:paraId="0905FA34" w14:textId="77777777" w:rsidR="003B32F0" w:rsidRPr="0017036A" w:rsidRDefault="003B32F0" w:rsidP="00DC65CB">
      <w:pPr>
        <w:pStyle w:val="ListParagraph"/>
        <w:numPr>
          <w:ilvl w:val="0"/>
          <w:numId w:val="73"/>
        </w:numPr>
      </w:pPr>
      <w:r w:rsidRPr="0017036A">
        <w:t>Hydrological model output data are expected by March 31, 2023</w:t>
      </w:r>
    </w:p>
    <w:p w14:paraId="455C5264" w14:textId="77777777" w:rsidR="003B32F0" w:rsidRPr="0017036A" w:rsidRDefault="003B32F0" w:rsidP="003B32F0">
      <w:pPr>
        <w:rPr>
          <w:szCs w:val="22"/>
        </w:rPr>
      </w:pPr>
      <w:r w:rsidRPr="0017036A">
        <w:rPr>
          <w:szCs w:val="22"/>
        </w:rPr>
        <w:t>These deliverables can be reviewed in the Scope of Work for that project.</w:t>
      </w:r>
      <w:r w:rsidRPr="0017036A">
        <w:rPr>
          <w:rStyle w:val="FootnoteReference"/>
          <w:szCs w:val="22"/>
        </w:rPr>
        <w:footnoteReference w:id="5"/>
      </w:r>
      <w:r w:rsidRPr="0017036A">
        <w:rPr>
          <w:szCs w:val="22"/>
        </w:rPr>
        <w:t xml:space="preserve"> Recipients will coordinate with the Commission Agreement Manager to obtain the relevant data.</w:t>
      </w:r>
    </w:p>
    <w:p w14:paraId="01D19455" w14:textId="77777777" w:rsidR="003B32F0" w:rsidRPr="0017036A" w:rsidRDefault="003B32F0" w:rsidP="003B32F0">
      <w:pPr>
        <w:rPr>
          <w:szCs w:val="22"/>
        </w:rPr>
      </w:pPr>
      <w:r w:rsidRPr="0017036A">
        <w:rPr>
          <w:szCs w:val="22"/>
        </w:rPr>
        <w:t xml:space="preserve">To assist the Recipient of Group 1 of the current solicitation in using these climate projections, a </w:t>
      </w:r>
      <w:r w:rsidRPr="0017036A">
        <w:t>CEC-funded data platform and analytics engine will deliver those projections in a manner tailored to specific use cases. The outreach team of the analytics engine grant (EPC-20-007) expects to meet with the Recipient of Group 1 as early as Q3 2022 to understand their data needs and how they can be supported through the analytics engine.</w:t>
      </w:r>
    </w:p>
    <w:p w14:paraId="603437BA" w14:textId="77777777" w:rsidR="003B32F0" w:rsidRPr="0017036A" w:rsidRDefault="003B32F0" w:rsidP="003B32F0">
      <w:pPr>
        <w:pStyle w:val="NoSpacing"/>
        <w:rPr>
          <w:rFonts w:ascii="Segoe UI" w:hAnsi="Segoe UI" w:cs="Segoe UI"/>
          <w:sz w:val="18"/>
          <w:szCs w:val="18"/>
        </w:rPr>
      </w:pPr>
    </w:p>
    <w:p w14:paraId="4E4AB2EA" w14:textId="77777777" w:rsidR="003B32F0" w:rsidRPr="0017036A" w:rsidRDefault="003B32F0" w:rsidP="003B32F0">
      <w:pPr>
        <w:spacing w:after="0"/>
        <w:textAlignment w:val="baseline"/>
        <w:rPr>
          <w:szCs w:val="22"/>
          <w:u w:val="single"/>
        </w:rPr>
      </w:pPr>
      <w:r w:rsidRPr="0017036A">
        <w:rPr>
          <w:szCs w:val="22"/>
          <w:u w:val="single"/>
        </w:rPr>
        <w:t>Related prior and ongoing research</w:t>
      </w:r>
    </w:p>
    <w:p w14:paraId="22BE8B68" w14:textId="77777777" w:rsidR="003B32F0" w:rsidRPr="0017036A" w:rsidRDefault="003B32F0" w:rsidP="003B32F0">
      <w:pPr>
        <w:spacing w:after="0"/>
        <w:ind w:left="360"/>
        <w:textAlignment w:val="baseline"/>
        <w:rPr>
          <w:rFonts w:ascii="Segoe UI" w:hAnsi="Segoe UI" w:cs="Segoe UI"/>
          <w:sz w:val="18"/>
          <w:szCs w:val="18"/>
        </w:rPr>
      </w:pPr>
      <w:r w:rsidRPr="0017036A">
        <w:rPr>
          <w:szCs w:val="22"/>
        </w:rPr>
        <w:t> </w:t>
      </w:r>
    </w:p>
    <w:p w14:paraId="02F6EACE" w14:textId="77777777" w:rsidR="003B32F0" w:rsidRPr="0017036A" w:rsidRDefault="003B32F0" w:rsidP="003B32F0">
      <w:pPr>
        <w:spacing w:after="0"/>
        <w:jc w:val="both"/>
        <w:textAlignment w:val="baseline"/>
        <w:rPr>
          <w:szCs w:val="22"/>
        </w:rPr>
      </w:pPr>
      <w:r w:rsidRPr="0017036A">
        <w:rPr>
          <w:szCs w:val="22"/>
        </w:rPr>
        <w:t>Modeling of the reliability of electricity systems generally relies on historical climate and weather data to simulate solar, wind, and hydropower resource availability, including studies that examine the potential reliability of future electricity systems with a high penetration of renewable energy generation (see, e.g., E3's Renewable Energy Capacity (RECAP) model, as applied to California in Long-Run Resource Adequacy under Deep Decarbonization Pathways for California).</w:t>
      </w:r>
    </w:p>
    <w:p w14:paraId="559A8207" w14:textId="77777777" w:rsidR="003B32F0" w:rsidRPr="0017036A" w:rsidRDefault="003B32F0" w:rsidP="003B32F0">
      <w:pPr>
        <w:spacing w:after="0"/>
        <w:jc w:val="both"/>
        <w:textAlignment w:val="baseline"/>
        <w:rPr>
          <w:rFonts w:ascii="Segoe UI" w:hAnsi="Segoe UI" w:cs="Segoe UI"/>
          <w:sz w:val="18"/>
          <w:szCs w:val="18"/>
        </w:rPr>
      </w:pPr>
    </w:p>
    <w:p w14:paraId="237B324B" w14:textId="77777777" w:rsidR="003B32F0" w:rsidRPr="0017036A" w:rsidRDefault="003B32F0" w:rsidP="003B32F0">
      <w:pPr>
        <w:spacing w:after="0"/>
        <w:jc w:val="both"/>
        <w:textAlignment w:val="baseline"/>
        <w:rPr>
          <w:szCs w:val="22"/>
        </w:rPr>
      </w:pPr>
      <w:r w:rsidRPr="0017036A">
        <w:rPr>
          <w:szCs w:val="22"/>
        </w:rPr>
        <w:t>As highlighted in the 2018-2020 EPIC Investment Plan, “California must anticipate climate-related changes to the availability and distribution of wind, and solar resources to ensure appropriate long-term investments in low-carbon energy systems.”</w:t>
      </w:r>
    </w:p>
    <w:p w14:paraId="4845395E" w14:textId="77777777" w:rsidR="003B32F0" w:rsidRPr="0017036A" w:rsidRDefault="003B32F0" w:rsidP="003B32F0">
      <w:pPr>
        <w:spacing w:after="0"/>
        <w:jc w:val="both"/>
        <w:textAlignment w:val="baseline"/>
        <w:rPr>
          <w:rFonts w:ascii="Segoe UI" w:hAnsi="Segoe UI" w:cs="Segoe UI"/>
          <w:sz w:val="18"/>
          <w:szCs w:val="18"/>
        </w:rPr>
      </w:pPr>
    </w:p>
    <w:p w14:paraId="22B6A7FD" w14:textId="77777777" w:rsidR="003B32F0" w:rsidRPr="0017036A" w:rsidRDefault="003B32F0" w:rsidP="003B32F0">
      <w:pPr>
        <w:spacing w:after="0"/>
        <w:jc w:val="both"/>
        <w:textAlignment w:val="baseline"/>
        <w:rPr>
          <w:szCs w:val="22"/>
        </w:rPr>
      </w:pPr>
      <w:r w:rsidRPr="0017036A">
        <w:rPr>
          <w:szCs w:val="22"/>
        </w:rPr>
        <w:t>Limited CEC-funded research has been undertaken to characterize relationships between climate change and solar and wind resource availability and variability, as well as with large scale climate patterns such as El Niño/La Niña. Based on results from the Variable-Resolution Community Earth System Model (1980-2000 period vs. 2030-2050 period), Lawrence Berkeley National Laboratory (LBNL) researchers suggest that “wind power generation capacity throughout California is expected to increase during the summer and decrease during fall and winter, based on significant changes at several wind farm sites" (Milstein et al, 2018). Such results can be complemented by analysis using additional models and methods.</w:t>
      </w:r>
    </w:p>
    <w:p w14:paraId="54574A68" w14:textId="77777777" w:rsidR="003B32F0" w:rsidRPr="0017036A" w:rsidRDefault="003B32F0" w:rsidP="003B32F0">
      <w:pPr>
        <w:spacing w:after="0"/>
        <w:jc w:val="both"/>
        <w:textAlignment w:val="baseline"/>
        <w:rPr>
          <w:rFonts w:ascii="Segoe UI" w:hAnsi="Segoe UI" w:cs="Segoe UI"/>
          <w:sz w:val="18"/>
          <w:szCs w:val="18"/>
        </w:rPr>
      </w:pPr>
    </w:p>
    <w:p w14:paraId="33CE6C25" w14:textId="77777777" w:rsidR="003B32F0" w:rsidRPr="0017036A" w:rsidRDefault="003B32F0" w:rsidP="003B32F0">
      <w:pPr>
        <w:spacing w:after="0"/>
        <w:jc w:val="both"/>
        <w:textAlignment w:val="baseline"/>
        <w:rPr>
          <w:szCs w:val="22"/>
        </w:rPr>
      </w:pPr>
      <w:r w:rsidRPr="0017036A">
        <w:rPr>
          <w:szCs w:val="22"/>
        </w:rPr>
        <w:t>Statistical methods used to generate climate projections for California’s Fourth Climate Change Assessment were hampered by “the lack of suitable wind observations with the required spatial density to cover California to capture wind fields” (Pierce et al, 2018). To remedy this gap in historical observed data, recent EPIC-funded research (EPC-16-063, UCSD) was undertaken to develop a hybrid approach that leverages dynamical and statistical methods for portraying wind fields (Cayan et al, 2020).</w:t>
      </w:r>
    </w:p>
    <w:p w14:paraId="1117A4A8" w14:textId="77777777" w:rsidR="003B32F0" w:rsidRPr="0017036A" w:rsidRDefault="003B32F0" w:rsidP="003B32F0">
      <w:pPr>
        <w:spacing w:after="0"/>
        <w:jc w:val="both"/>
        <w:textAlignment w:val="baseline"/>
        <w:rPr>
          <w:rFonts w:ascii="Segoe UI" w:hAnsi="Segoe UI" w:cs="Segoe UI"/>
          <w:sz w:val="18"/>
          <w:szCs w:val="18"/>
        </w:rPr>
      </w:pPr>
    </w:p>
    <w:p w14:paraId="53147302" w14:textId="77777777" w:rsidR="003B32F0" w:rsidRPr="0017036A" w:rsidRDefault="003B32F0" w:rsidP="003B32F0">
      <w:pPr>
        <w:spacing w:after="0"/>
        <w:jc w:val="both"/>
        <w:textAlignment w:val="baseline"/>
        <w:rPr>
          <w:szCs w:val="22"/>
        </w:rPr>
      </w:pPr>
      <w:r w:rsidRPr="0017036A">
        <w:rPr>
          <w:szCs w:val="22"/>
        </w:rPr>
        <w:t>Recently completed EPIC-funded work also supports improved short-term forecasting for solar photovoltaic generation (Norris et al, 2020). However, integrating longer-term projections into our understanding of solar capacity—which includes not only considerations related to ground-level solar irradiation but also impacts of wildfire-related aerosols—remains to be done.</w:t>
      </w:r>
    </w:p>
    <w:p w14:paraId="528CF37C" w14:textId="77777777" w:rsidR="003B32F0" w:rsidRPr="0017036A" w:rsidRDefault="003B32F0" w:rsidP="003B32F0">
      <w:pPr>
        <w:spacing w:after="0"/>
        <w:jc w:val="both"/>
        <w:textAlignment w:val="baseline"/>
        <w:rPr>
          <w:rFonts w:ascii="Segoe UI" w:hAnsi="Segoe UI" w:cs="Segoe UI"/>
          <w:sz w:val="18"/>
          <w:szCs w:val="18"/>
        </w:rPr>
      </w:pPr>
    </w:p>
    <w:p w14:paraId="0465BB23" w14:textId="77777777" w:rsidR="003B32F0" w:rsidRPr="0017036A" w:rsidRDefault="003B32F0" w:rsidP="003B32F0">
      <w:pPr>
        <w:spacing w:after="0"/>
        <w:jc w:val="both"/>
        <w:textAlignment w:val="baseline"/>
        <w:rPr>
          <w:szCs w:val="22"/>
        </w:rPr>
      </w:pPr>
      <w:r w:rsidRPr="0017036A">
        <w:rPr>
          <w:szCs w:val="22"/>
        </w:rPr>
        <w:t>Ongoing EPIC-funded research to develop high-resolution, next-generation projections for California based on CMIP6 (EPC-20-006) is poised to improve our understanding of climate projections relevant to California’s transition to a reliable, resilient, zero-carbon electricity system, such as coastal low cloudiness and wind fields (speed, direction). This effort and the companion project developing a stakeholder-informed analytics engine and data platform to deliver these projections provide an opportunity to generate a shared knowledge base for how solar and wind resources may change over the coming decades, for use in longer-term resource planning as well as for shorter-term consideration of climate-related challenges and resilience options.</w:t>
      </w:r>
    </w:p>
    <w:p w14:paraId="4DC8CE15" w14:textId="77777777" w:rsidR="003B32F0" w:rsidRPr="0017036A" w:rsidRDefault="003B32F0" w:rsidP="003B32F0">
      <w:pPr>
        <w:spacing w:after="0"/>
        <w:jc w:val="both"/>
        <w:textAlignment w:val="baseline"/>
        <w:rPr>
          <w:rFonts w:ascii="Segoe UI" w:hAnsi="Segoe UI" w:cs="Segoe UI"/>
          <w:sz w:val="18"/>
          <w:szCs w:val="18"/>
        </w:rPr>
      </w:pPr>
    </w:p>
    <w:p w14:paraId="2B96E774" w14:textId="77777777" w:rsidR="003B32F0" w:rsidRPr="0017036A" w:rsidRDefault="003B32F0" w:rsidP="003B32F0">
      <w:pPr>
        <w:spacing w:after="0"/>
        <w:jc w:val="both"/>
        <w:textAlignment w:val="baseline"/>
        <w:rPr>
          <w:rFonts w:ascii="Segoe UI" w:hAnsi="Segoe UI" w:cs="Segoe UI"/>
          <w:sz w:val="18"/>
          <w:szCs w:val="18"/>
        </w:rPr>
      </w:pPr>
      <w:r w:rsidRPr="0017036A">
        <w:rPr>
          <w:szCs w:val="22"/>
        </w:rPr>
        <w:t>Such analysis can also extend to evaluation of the potential for and impacts of additional energy resources and storage strategies under consideration in building a cost-effective, reliable, low-carbon grid, such as offshore wind development, green hydrogen, and long-term energy storage technologies. </w:t>
      </w:r>
    </w:p>
    <w:p w14:paraId="573A0F3A" w14:textId="77777777" w:rsidR="003B32F0" w:rsidRPr="0017036A" w:rsidRDefault="003B32F0" w:rsidP="003B32F0">
      <w:pPr>
        <w:pStyle w:val="NoSpacing"/>
      </w:pPr>
    </w:p>
    <w:p w14:paraId="696705D9" w14:textId="77777777" w:rsidR="003B32F0" w:rsidRPr="0017036A" w:rsidRDefault="003B32F0" w:rsidP="003B32F0">
      <w:pPr>
        <w:pStyle w:val="NoSpacing"/>
        <w:rPr>
          <w:rStyle w:val="eop"/>
          <w:szCs w:val="22"/>
        </w:rPr>
      </w:pPr>
      <w:r w:rsidRPr="0017036A">
        <w:rPr>
          <w:rStyle w:val="normaltextrun"/>
          <w:b/>
          <w:bCs/>
          <w:szCs w:val="22"/>
        </w:rPr>
        <w:t>Group 3: Cal-Adapt enhancements to support energy sector stakeholders (maximum award amount $750,000):</w:t>
      </w:r>
    </w:p>
    <w:p w14:paraId="3058579C" w14:textId="77777777" w:rsidR="003B32F0" w:rsidRPr="0017036A" w:rsidRDefault="003B32F0" w:rsidP="003B32F0">
      <w:pPr>
        <w:pStyle w:val="NoSpacing"/>
      </w:pPr>
    </w:p>
    <w:p w14:paraId="4825C63A" w14:textId="77777777" w:rsidR="003B32F0" w:rsidRPr="0017036A" w:rsidRDefault="003B32F0" w:rsidP="003B32F0">
      <w:pPr>
        <w:jc w:val="both"/>
      </w:pPr>
      <w:r w:rsidRPr="0017036A">
        <w:rPr>
          <w:rStyle w:val="normaltextrun"/>
          <w:szCs w:val="22"/>
        </w:rPr>
        <w:t>This effort will align data and research results available to a broad range of non-technical stakeholders through Cal-</w:t>
      </w:r>
      <w:r w:rsidRPr="0017036A">
        <w:rPr>
          <w:rStyle w:val="spellingerror"/>
          <w:szCs w:val="22"/>
        </w:rPr>
        <w:t>Adapt's</w:t>
      </w:r>
      <w:r w:rsidRPr="0017036A">
        <w:rPr>
          <w:rStyle w:val="normaltextrun"/>
          <w:szCs w:val="22"/>
        </w:rPr>
        <w:t> easy-to-use interface with the climate projections, data platform and analytics engine under development in support of California’s anticipated Fifth Climate Change Assessment (see Footnotes 1 and 2). This effort is important because it aligns the information available through Cal-</w:t>
      </w:r>
      <w:r w:rsidRPr="0017036A">
        <w:rPr>
          <w:rStyle w:val="spellingerror"/>
          <w:szCs w:val="22"/>
        </w:rPr>
        <w:t>Adapt’s</w:t>
      </w:r>
      <w:r w:rsidRPr="0017036A">
        <w:rPr>
          <w:rStyle w:val="normaltextrun"/>
          <w:szCs w:val="22"/>
        </w:rPr>
        <w:t> interactive web application with the sophisticated knowledge base—namely the aforementioned next-generation climate projections, data platform and analytics engine—that is intended to support energy sector adaptation planning. </w:t>
      </w:r>
      <w:r w:rsidRPr="0017036A">
        <w:rPr>
          <w:rStyle w:val="eop"/>
          <w:szCs w:val="22"/>
        </w:rPr>
        <w:t> </w:t>
      </w:r>
    </w:p>
    <w:p w14:paraId="6C326EA4" w14:textId="77777777" w:rsidR="003B32F0" w:rsidRPr="0017036A" w:rsidRDefault="003B32F0" w:rsidP="003B32F0">
      <w:pPr>
        <w:pStyle w:val="NoSpacing"/>
        <w:jc w:val="both"/>
        <w:rPr>
          <w:rStyle w:val="normaltextrun"/>
        </w:rPr>
      </w:pPr>
    </w:p>
    <w:p w14:paraId="65CB8608" w14:textId="77777777" w:rsidR="003B32F0" w:rsidRPr="0017036A" w:rsidRDefault="003B32F0" w:rsidP="003B32F0">
      <w:pPr>
        <w:jc w:val="both"/>
        <w:rPr>
          <w:szCs w:val="22"/>
        </w:rPr>
      </w:pPr>
      <w:r w:rsidRPr="0017036A">
        <w:rPr>
          <w:rStyle w:val="normaltextrun"/>
          <w:b/>
          <w:bCs/>
          <w:szCs w:val="22"/>
        </w:rPr>
        <w:t>Successful applicants </w:t>
      </w:r>
      <w:r w:rsidRPr="0017036A">
        <w:rPr>
          <w:rStyle w:val="normaltextrun"/>
          <w:b/>
          <w:bCs/>
          <w:szCs w:val="22"/>
          <w:u w:val="single"/>
        </w:rPr>
        <w:t>must demonstrate</w:t>
      </w:r>
      <w:r w:rsidRPr="0017036A">
        <w:rPr>
          <w:rStyle w:val="normaltextrun"/>
          <w:szCs w:val="22"/>
        </w:rPr>
        <w:t>: </w:t>
      </w:r>
      <w:r w:rsidRPr="0017036A">
        <w:rPr>
          <w:rStyle w:val="eop"/>
          <w:szCs w:val="22"/>
        </w:rPr>
        <w:t> </w:t>
      </w:r>
    </w:p>
    <w:p w14:paraId="4BE1D5DE" w14:textId="77777777" w:rsidR="003B32F0" w:rsidRPr="0017036A" w:rsidRDefault="003B32F0" w:rsidP="00DC65CB">
      <w:pPr>
        <w:pStyle w:val="ListParagraph"/>
        <w:numPr>
          <w:ilvl w:val="0"/>
          <w:numId w:val="61"/>
        </w:numPr>
        <w:rPr>
          <w:rStyle w:val="eop"/>
        </w:rPr>
      </w:pPr>
      <w:r w:rsidRPr="0017036A">
        <w:rPr>
          <w:rStyle w:val="normaltextrun"/>
        </w:rPr>
        <w:t>The capacity for coordination with the research team that is funded by Group 2, the findings of which will be made available by this (Group 3) research effort.</w:t>
      </w:r>
      <w:r w:rsidRPr="0017036A">
        <w:rPr>
          <w:rStyle w:val="eop"/>
        </w:rPr>
        <w:t> </w:t>
      </w:r>
    </w:p>
    <w:p w14:paraId="31D6943E" w14:textId="77777777" w:rsidR="003B32F0" w:rsidRPr="0017036A" w:rsidRDefault="003B32F0" w:rsidP="00DC65CB">
      <w:pPr>
        <w:pStyle w:val="ListParagraph"/>
        <w:numPr>
          <w:ilvl w:val="0"/>
          <w:numId w:val="61"/>
        </w:numPr>
        <w:rPr>
          <w:szCs w:val="22"/>
        </w:rPr>
      </w:pPr>
      <w:r w:rsidRPr="0017036A">
        <w:rPr>
          <w:rStyle w:val="eop"/>
          <w:szCs w:val="22"/>
        </w:rPr>
        <w:t>The capacity to develop and execute scientifically rigorous data analyses and visualizations based on the research products of Group 2 and other relevant efforts.</w:t>
      </w:r>
    </w:p>
    <w:p w14:paraId="1001EC43" w14:textId="77777777" w:rsidR="003B32F0" w:rsidRPr="0017036A" w:rsidRDefault="003B32F0" w:rsidP="00DC65CB">
      <w:pPr>
        <w:pStyle w:val="ListParagraph"/>
        <w:numPr>
          <w:ilvl w:val="0"/>
          <w:numId w:val="61"/>
        </w:numPr>
        <w:rPr>
          <w:szCs w:val="22"/>
        </w:rPr>
      </w:pPr>
      <w:r w:rsidRPr="0017036A">
        <w:rPr>
          <w:rStyle w:val="normaltextrun"/>
          <w:szCs w:val="22"/>
        </w:rPr>
        <w:t>The capacity to coordinate with the research team that is funded by EPC-20-007 and to ensure that the products of this (Group 3) effort conform to the overall vision, data architecture, and branding of the data platform and analytics engine effort under development through EPC-20-007, which is foundational to the expanded Cal-Adapt enterprise described below.</w:t>
      </w:r>
      <w:r w:rsidRPr="0017036A">
        <w:rPr>
          <w:rStyle w:val="eop"/>
          <w:szCs w:val="22"/>
        </w:rPr>
        <w:t> </w:t>
      </w:r>
    </w:p>
    <w:p w14:paraId="34D182BC" w14:textId="77777777" w:rsidR="003B32F0" w:rsidRPr="0017036A" w:rsidRDefault="003B32F0" w:rsidP="00DC65CB">
      <w:pPr>
        <w:pStyle w:val="ListParagraph"/>
        <w:numPr>
          <w:ilvl w:val="0"/>
          <w:numId w:val="61"/>
        </w:numPr>
        <w:rPr>
          <w:rStyle w:val="normaltextrun"/>
        </w:rPr>
      </w:pPr>
      <w:r w:rsidRPr="0017036A">
        <w:rPr>
          <w:rStyle w:val="normaltextrun"/>
          <w:szCs w:val="22"/>
        </w:rPr>
        <w:lastRenderedPageBreak/>
        <w:t>A clearly articulated approach to stakeholder engagement (including outreach and training), including dedicated funding and expertise.</w:t>
      </w:r>
    </w:p>
    <w:p w14:paraId="64912935" w14:textId="77777777" w:rsidR="003B32F0" w:rsidRPr="0017036A" w:rsidRDefault="003B32F0" w:rsidP="003B32F0">
      <w:pPr>
        <w:pStyle w:val="NoSpacing"/>
        <w:jc w:val="both"/>
      </w:pPr>
    </w:p>
    <w:p w14:paraId="2FE6B7F6" w14:textId="77777777" w:rsidR="003B32F0" w:rsidRPr="0017036A" w:rsidRDefault="003B32F0" w:rsidP="003B32F0">
      <w:pPr>
        <w:jc w:val="both"/>
        <w:rPr>
          <w:szCs w:val="22"/>
        </w:rPr>
      </w:pPr>
      <w:r w:rsidRPr="0017036A">
        <w:rPr>
          <w:rStyle w:val="normaltextrun"/>
          <w:b/>
          <w:bCs/>
          <w:szCs w:val="22"/>
        </w:rPr>
        <w:t>Projects in this group must, </w:t>
      </w:r>
      <w:r w:rsidRPr="0017036A">
        <w:rPr>
          <w:rStyle w:val="normaltextrun"/>
          <w:b/>
          <w:bCs/>
          <w:szCs w:val="22"/>
          <w:u w:val="single"/>
        </w:rPr>
        <w:t>at a minimum</w:t>
      </w:r>
      <w:r w:rsidRPr="0017036A">
        <w:rPr>
          <w:rStyle w:val="normaltextrun"/>
          <w:szCs w:val="22"/>
        </w:rPr>
        <w:t>:</w:t>
      </w:r>
      <w:r w:rsidRPr="0017036A">
        <w:rPr>
          <w:rStyle w:val="eop"/>
          <w:szCs w:val="22"/>
        </w:rPr>
        <w:t> </w:t>
      </w:r>
    </w:p>
    <w:p w14:paraId="412C2CD0" w14:textId="6168E34E" w:rsidR="003B32F0" w:rsidRPr="0017036A" w:rsidRDefault="003B32F0" w:rsidP="00DC65CB">
      <w:pPr>
        <w:pStyle w:val="ListParagraph"/>
        <w:numPr>
          <w:ilvl w:val="0"/>
          <w:numId w:val="62"/>
        </w:numPr>
        <w:rPr>
          <w:szCs w:val="22"/>
        </w:rPr>
      </w:pPr>
      <w:r w:rsidRPr="0017036A">
        <w:rPr>
          <w:rStyle w:val="normaltextrun"/>
          <w:szCs w:val="22"/>
        </w:rPr>
        <w:t>Enhance Cal-</w:t>
      </w:r>
      <w:r w:rsidRPr="0017036A">
        <w:rPr>
          <w:rStyle w:val="spellingerror"/>
          <w:szCs w:val="22"/>
        </w:rPr>
        <w:t>Adapt’s</w:t>
      </w:r>
      <w:r w:rsidRPr="0017036A">
        <w:rPr>
          <w:rStyle w:val="normaltextrun"/>
          <w:szCs w:val="22"/>
        </w:rPr>
        <w:t xml:space="preserve"> interactive web application to provide access—through easy-to-use data download tools and interactive visualizations—to the climate </w:t>
      </w:r>
      <w:r w:rsidR="002F038D">
        <w:rPr>
          <w:rStyle w:val="normaltextrun"/>
          <w:szCs w:val="22"/>
        </w:rPr>
        <w:t xml:space="preserve">and wildfire </w:t>
      </w:r>
      <w:r w:rsidRPr="0017036A">
        <w:rPr>
          <w:rStyle w:val="normaltextrun"/>
          <w:szCs w:val="22"/>
        </w:rPr>
        <w:t>projections that are used for California’s Fifth Climate Change Assessment and that serve as a basis for IOUs vulnerability assessments and planning. </w:t>
      </w:r>
      <w:r w:rsidRPr="0017036A">
        <w:rPr>
          <w:rStyle w:val="eop"/>
          <w:szCs w:val="22"/>
        </w:rPr>
        <w:t> </w:t>
      </w:r>
    </w:p>
    <w:p w14:paraId="56BFF63C" w14:textId="77777777" w:rsidR="003B32F0" w:rsidRPr="0017036A" w:rsidRDefault="003B32F0" w:rsidP="00DC65CB">
      <w:pPr>
        <w:pStyle w:val="ListParagraph"/>
        <w:numPr>
          <w:ilvl w:val="0"/>
          <w:numId w:val="62"/>
        </w:numPr>
        <w:rPr>
          <w:rStyle w:val="eop"/>
          <w:szCs w:val="22"/>
        </w:rPr>
      </w:pPr>
      <w:r w:rsidRPr="0017036A">
        <w:rPr>
          <w:rStyle w:val="normaltextrun"/>
          <w:szCs w:val="22"/>
        </w:rPr>
        <w:t>Enhance Cal-</w:t>
      </w:r>
      <w:r w:rsidRPr="0017036A">
        <w:rPr>
          <w:rStyle w:val="spellingerror"/>
          <w:szCs w:val="22"/>
        </w:rPr>
        <w:t>Adapt’s</w:t>
      </w:r>
      <w:r w:rsidRPr="0017036A">
        <w:rPr>
          <w:rStyle w:val="normaltextrun"/>
          <w:szCs w:val="22"/>
        </w:rPr>
        <w:t> interactive web application to provide access to data and interactive visualizations portraying projected changes in the temporal and spatial distributions of zero-carbon electricity generation resources investigated by Group 2.</w:t>
      </w:r>
      <w:r w:rsidRPr="0017036A">
        <w:rPr>
          <w:rStyle w:val="eop"/>
          <w:szCs w:val="22"/>
        </w:rPr>
        <w:t> </w:t>
      </w:r>
    </w:p>
    <w:p w14:paraId="1D56515D" w14:textId="0AC086FE" w:rsidR="003B32F0" w:rsidRPr="0017036A" w:rsidRDefault="003B32F0" w:rsidP="00DC65CB">
      <w:pPr>
        <w:pStyle w:val="xmsolistparagraph"/>
        <w:numPr>
          <w:ilvl w:val="0"/>
          <w:numId w:val="62"/>
        </w:numPr>
        <w:rPr>
          <w:rFonts w:eastAsia="Times New Roman"/>
        </w:rPr>
      </w:pPr>
      <w:r w:rsidRPr="0017036A">
        <w:rPr>
          <w:rFonts w:eastAsia="Times New Roman"/>
        </w:rPr>
        <w:t>Update the Cal-Adapt web platform with energy-related products from complementary initiatives, including the EPIC project on “A Co-Produced Climate Data and Analytics Platform to Support California's Electricity Resilience Investments” (EPC-20-007)</w:t>
      </w:r>
      <w:r w:rsidR="00281191">
        <w:rPr>
          <w:rFonts w:eastAsia="Times New Roman"/>
        </w:rPr>
        <w:t xml:space="preserve"> </w:t>
      </w:r>
      <w:r w:rsidR="00281191" w:rsidRPr="00281191">
        <w:rPr>
          <w:rFonts w:eastAsia="Times New Roman"/>
        </w:rPr>
        <w:t>and “Comprehensive Open Source Development of Next Generation Wildfire Models for Grid Resiliency” (EPC-18-026)</w:t>
      </w:r>
      <w:r w:rsidRPr="0017036A">
        <w:rPr>
          <w:rFonts w:eastAsia="Times New Roman"/>
        </w:rPr>
        <w:t>.</w:t>
      </w:r>
    </w:p>
    <w:p w14:paraId="137C100A" w14:textId="77777777" w:rsidR="003B32F0" w:rsidRPr="0017036A" w:rsidRDefault="003B32F0" w:rsidP="003B32F0">
      <w:pPr>
        <w:pStyle w:val="NoSpacing"/>
        <w:rPr>
          <w:szCs w:val="22"/>
        </w:rPr>
      </w:pPr>
    </w:p>
    <w:p w14:paraId="19800C67" w14:textId="77777777" w:rsidR="003B32F0" w:rsidRPr="0017036A" w:rsidRDefault="003B32F0" w:rsidP="003B32F0">
      <w:pPr>
        <w:pStyle w:val="NoSpacing"/>
        <w:jc w:val="both"/>
        <w:rPr>
          <w:rFonts w:ascii="Times New Roman" w:hAnsi="Times New Roman" w:cs="Times New Roman"/>
          <w:sz w:val="24"/>
          <w:szCs w:val="24"/>
        </w:rPr>
      </w:pPr>
      <w:r w:rsidRPr="0017036A">
        <w:rPr>
          <w:shd w:val="clear" w:color="auto" w:fill="FFFFFF"/>
        </w:rPr>
        <w:t>As indicated above, Group 3 will require close coordination with the data platform and analytics effort recently launched under EPC-20-007. Led by Eagle Rock Analytics, EPC-20-007 adds a new dimension—distinct from the interactive web application that is the focus of Group 3—to the Cal-Adapt enterprise by providing sophisticated, data-intense analyses to feed into energy sector modeling, detailed vulnerability analyses, and infrastructure and planning decisions. CEC’s vision for the expanded Cal-Adapt enterprise is to provide climate and data services for a wide array of users and applications involving California’s energy sector, coordinating closely with other agencies, including the Governor’s Office of Planning and Research (OPR). This coordination will provide support for additional stakeholders beyond the energy sector, including Community Based Organizations (CBOs). </w:t>
      </w:r>
    </w:p>
    <w:p w14:paraId="60688ACE" w14:textId="77777777" w:rsidR="003B32F0" w:rsidRPr="0017036A" w:rsidRDefault="003B32F0" w:rsidP="003B32F0">
      <w:pPr>
        <w:pStyle w:val="paragraph"/>
        <w:spacing w:before="0" w:beforeAutospacing="0" w:after="0" w:afterAutospacing="0"/>
        <w:jc w:val="both"/>
        <w:textAlignment w:val="baseline"/>
        <w:rPr>
          <w:rStyle w:val="normaltextrun"/>
          <w:b/>
        </w:rPr>
      </w:pPr>
    </w:p>
    <w:p w14:paraId="25A1F44D" w14:textId="77777777" w:rsidR="003B32F0" w:rsidRPr="0017036A" w:rsidRDefault="003B32F0" w:rsidP="003B32F0">
      <w:pPr>
        <w:jc w:val="both"/>
        <w:rPr>
          <w:rFonts w:ascii="Segoe UI" w:hAnsi="Segoe UI" w:cs="Segoe UI"/>
          <w:szCs w:val="22"/>
        </w:rPr>
      </w:pPr>
      <w:r w:rsidRPr="0017036A">
        <w:rPr>
          <w:rStyle w:val="normaltextrun"/>
          <w:szCs w:val="22"/>
          <w:u w:val="single"/>
        </w:rPr>
        <w:t>Additional Considerations Related to Cal-Adapt</w:t>
      </w:r>
      <w:r w:rsidRPr="0017036A">
        <w:rPr>
          <w:rStyle w:val="eop"/>
          <w:szCs w:val="22"/>
        </w:rPr>
        <w:t> </w:t>
      </w:r>
    </w:p>
    <w:p w14:paraId="5126044A" w14:textId="77777777" w:rsidR="003B32F0" w:rsidRPr="0017036A" w:rsidRDefault="003B32F0" w:rsidP="003B32F0">
      <w:pPr>
        <w:jc w:val="both"/>
        <w:rPr>
          <w:rStyle w:val="normaltextrun"/>
          <w:szCs w:val="22"/>
        </w:rPr>
      </w:pPr>
      <w:r w:rsidRPr="0017036A">
        <w:rPr>
          <w:rStyle w:val="normaltextrun"/>
          <w:szCs w:val="22"/>
        </w:rPr>
        <w:t>To facilitate integration of the elements that will contribute to an expanded Cal-Adapt enterprise, the current Cal-Adapt development team funded by ongoing CEC grants</w:t>
      </w:r>
      <w:r w:rsidRPr="0017036A">
        <w:rPr>
          <w:rStyle w:val="FootnoteReference"/>
          <w:szCs w:val="22"/>
        </w:rPr>
        <w:footnoteReference w:id="6"/>
      </w:r>
      <w:r w:rsidRPr="0017036A">
        <w:rPr>
          <w:rStyle w:val="normaltextrun"/>
          <w:szCs w:val="22"/>
        </w:rPr>
        <w:t> is working with CEC staff and Eagle Rock Analytics to transfer the Cal-Adapt web application and hosting of Cal-Adapt.org to Eagle Rock Analytics by March 31, 2022. This transfer will facilitate integration of three key elements of CEC’s efforts to advance energy sector resilience:</w:t>
      </w:r>
    </w:p>
    <w:p w14:paraId="3A7F6E50" w14:textId="77777777" w:rsidR="003B32F0" w:rsidRPr="0017036A" w:rsidRDefault="003B32F0" w:rsidP="003B32F0">
      <w:pPr>
        <w:pStyle w:val="NoSpacing"/>
        <w:jc w:val="both"/>
      </w:pPr>
    </w:p>
    <w:p w14:paraId="45B7CE53" w14:textId="77777777" w:rsidR="003B32F0" w:rsidRPr="0017036A" w:rsidRDefault="003B32F0" w:rsidP="00DC65CB">
      <w:pPr>
        <w:pStyle w:val="ListParagraph"/>
        <w:numPr>
          <w:ilvl w:val="0"/>
          <w:numId w:val="63"/>
        </w:numPr>
        <w:jc w:val="both"/>
        <w:rPr>
          <w:szCs w:val="22"/>
        </w:rPr>
      </w:pPr>
      <w:r w:rsidRPr="0017036A">
        <w:rPr>
          <w:rStyle w:val="normaltextrun"/>
          <w:szCs w:val="22"/>
        </w:rPr>
        <w:t>Next-generation climate projection data, which will constitute a much larger (order of 1 PB) dataset than what the current Cal-Adapt web application hosts (order of 10 TB);</w:t>
      </w:r>
      <w:r w:rsidRPr="0017036A">
        <w:rPr>
          <w:rStyle w:val="eop"/>
          <w:szCs w:val="22"/>
        </w:rPr>
        <w:t> </w:t>
      </w:r>
    </w:p>
    <w:p w14:paraId="37732922" w14:textId="77777777" w:rsidR="003B32F0" w:rsidRPr="0017036A" w:rsidRDefault="003B32F0" w:rsidP="00DC65CB">
      <w:pPr>
        <w:pStyle w:val="ListParagraph"/>
        <w:numPr>
          <w:ilvl w:val="0"/>
          <w:numId w:val="63"/>
        </w:numPr>
        <w:jc w:val="both"/>
        <w:rPr>
          <w:szCs w:val="22"/>
        </w:rPr>
      </w:pPr>
      <w:r w:rsidRPr="0017036A">
        <w:rPr>
          <w:rStyle w:val="normaltextrun"/>
          <w:szCs w:val="22"/>
        </w:rPr>
        <w:t>The forthcoming data platform and analytics engine, which will expand the Cal-Adapt enterprise to provide unprecedented computational and technical resources to help electricity sector stakeholders access and make use of next-generation climate projections;</w:t>
      </w:r>
      <w:r w:rsidRPr="0017036A">
        <w:rPr>
          <w:rStyle w:val="eop"/>
          <w:szCs w:val="22"/>
        </w:rPr>
        <w:t> </w:t>
      </w:r>
    </w:p>
    <w:p w14:paraId="57FDD52B" w14:textId="77777777" w:rsidR="003B32F0" w:rsidRPr="0017036A" w:rsidRDefault="003B32F0" w:rsidP="00DC65CB">
      <w:pPr>
        <w:pStyle w:val="ListParagraph"/>
        <w:numPr>
          <w:ilvl w:val="0"/>
          <w:numId w:val="63"/>
        </w:numPr>
        <w:jc w:val="both"/>
        <w:rPr>
          <w:rStyle w:val="eop"/>
          <w:szCs w:val="22"/>
        </w:rPr>
      </w:pPr>
      <w:r w:rsidRPr="0017036A">
        <w:rPr>
          <w:rStyle w:val="normaltextrun"/>
          <w:szCs w:val="22"/>
        </w:rPr>
        <w:lastRenderedPageBreak/>
        <w:t>The current Cal-Adapt web application, on which Group 3 builds, which provides interactive visualizations and easy access to data for a variety of users, including non-technical audiences.</w:t>
      </w:r>
    </w:p>
    <w:p w14:paraId="3FE7A7F7" w14:textId="77777777" w:rsidR="003B32F0" w:rsidRPr="0017036A" w:rsidRDefault="003B32F0" w:rsidP="003B32F0">
      <w:pPr>
        <w:pStyle w:val="NoSpacing"/>
      </w:pPr>
    </w:p>
    <w:p w14:paraId="3523844D" w14:textId="77777777" w:rsidR="003B32F0" w:rsidRPr="0017036A" w:rsidRDefault="003B32F0" w:rsidP="003B32F0">
      <w:pPr>
        <w:jc w:val="both"/>
        <w:rPr>
          <w:rFonts w:ascii="Segoe UI" w:hAnsi="Segoe UI" w:cs="Segoe UI"/>
        </w:rPr>
      </w:pPr>
      <w:r w:rsidRPr="0017036A">
        <w:rPr>
          <w:rStyle w:val="normaltextrun"/>
        </w:rPr>
        <w:t>Integration of these elements will result in an enhanced Cal-Adapt brand that includes features for a broad range of stakeholders who need easily accessible visualizations and data download tools while also providing a “pro” version for users with highly technical, data-intensive needs that can be addressed by the data platform and analytics engine. Specifically, Cal-Adapt visualizations will continue to provide powerful existing features that allow for local and state decision makers as well as community groups to easily visualize the effects that climate may have on their particular area of concern. The Cal-Adapt analytics engine and data platform, under development through EPC-20-007, will allow IOUs, research scientists, and others to access and analyze quality-controlled data using sophisticated models and analytics to dive deep into the potential impacts relevant to their interests in a much more granular and quantitative way than current visualizations provide.</w:t>
      </w:r>
      <w:r w:rsidRPr="0017036A">
        <w:rPr>
          <w:rStyle w:val="eop"/>
        </w:rPr>
        <w:t> </w:t>
      </w:r>
    </w:p>
    <w:p w14:paraId="2E974215" w14:textId="77777777" w:rsidR="003B32F0" w:rsidRPr="0017036A" w:rsidRDefault="003B32F0" w:rsidP="003B32F0">
      <w:pPr>
        <w:jc w:val="both"/>
        <w:rPr>
          <w:rFonts w:ascii="Segoe UI" w:hAnsi="Segoe UI" w:cs="Segoe UI"/>
          <w:szCs w:val="22"/>
        </w:rPr>
      </w:pPr>
      <w:r w:rsidRPr="0017036A">
        <w:rPr>
          <w:rStyle w:val="normaltextrun"/>
          <w:szCs w:val="22"/>
        </w:rPr>
        <w:t>Further, the data platform and analytics engine effort, launched under EPC-20-007, will be structured so that it can be easily transferred at the conclusion of the project in alignment with CEC’s aspirations to cost-effectively control and make use of data and tools produced through its funding programs. Similarly, the Group 3 awardee (and future awardees of CEC funds supporting Cal-Adapt enhancements) will be required to transfer relevant products to the entity specified by CEC for further expansion and development.  </w:t>
      </w:r>
      <w:r w:rsidRPr="0017036A">
        <w:rPr>
          <w:rStyle w:val="eop"/>
          <w:szCs w:val="22"/>
        </w:rPr>
        <w:t> </w:t>
      </w:r>
    </w:p>
    <w:p w14:paraId="7BCEFDBC" w14:textId="77777777" w:rsidR="003B32F0" w:rsidRPr="0017036A" w:rsidRDefault="003B32F0" w:rsidP="003B32F0">
      <w:pPr>
        <w:jc w:val="both"/>
        <w:rPr>
          <w:rFonts w:ascii="Segoe UI" w:hAnsi="Segoe UI" w:cs="Segoe UI"/>
        </w:rPr>
      </w:pPr>
      <w:r w:rsidRPr="0017036A">
        <w:rPr>
          <w:rStyle w:val="normaltextrun"/>
        </w:rPr>
        <w:t>Finally, CEC is actively coordinating with OPR to ensure that the interactive web-based features of Cal-Adapt are maintained for a broad base of users. OPR has articulated its high-priority goal of securing funding for maintenance and front-end enhancements to the web application, while leaving the applied research related to the web application, data platform, analytics engine, and underlying data with CEC.</w:t>
      </w:r>
      <w:r w:rsidRPr="0017036A">
        <w:rPr>
          <w:rStyle w:val="eop"/>
        </w:rPr>
        <w:t> </w:t>
      </w:r>
    </w:p>
    <w:p w14:paraId="4EE91AE5" w14:textId="77777777" w:rsidR="003B32F0" w:rsidRPr="0017036A" w:rsidRDefault="003B32F0" w:rsidP="003B32F0">
      <w:pPr>
        <w:jc w:val="both"/>
        <w:rPr>
          <w:rStyle w:val="eop"/>
          <w:i/>
          <w:iCs/>
          <w:szCs w:val="22"/>
          <w:u w:val="single"/>
        </w:rPr>
      </w:pPr>
      <w:r w:rsidRPr="0017036A">
        <w:rPr>
          <w:rStyle w:val="eop"/>
          <w:i/>
          <w:iCs/>
          <w:szCs w:val="22"/>
          <w:u w:val="single"/>
        </w:rPr>
        <w:t>Governance</w:t>
      </w:r>
    </w:p>
    <w:p w14:paraId="5FB997EF" w14:textId="77777777" w:rsidR="003B32F0" w:rsidRPr="0017036A" w:rsidRDefault="003B32F0" w:rsidP="003B32F0">
      <w:pPr>
        <w:jc w:val="both"/>
        <w:rPr>
          <w:rStyle w:val="eop"/>
        </w:rPr>
      </w:pPr>
      <w:r w:rsidRPr="0017036A">
        <w:rPr>
          <w:rStyle w:val="eop"/>
        </w:rPr>
        <w:t>Cal-Adapt development will be directed by staff at CEC and OPR, who will rely on a combination of internal resources and competitively awarded grant agreements to execute the vision of the State of California and brand Cal-Adapt as a product of the State of California. It is imperative that the Cal-Adapt brand and vision reflect that it is a product of the State of California to preserve continuity, as it is expected that the grant Recipients associated with the Cal-Adapt enterprise will change over time. The California Energy Commission will designate a Recipient to lead the overall Cal-Adapt enterprise as directed by CEC and OPR. This overall Cal-Adapt lead will be responsible for coordinating between Recipients who are in turn responsible for implementing their respective scopes of work in a manner that aligns with state agency direction. This includes:</w:t>
      </w:r>
    </w:p>
    <w:p w14:paraId="6E06965F" w14:textId="77777777" w:rsidR="003B32F0" w:rsidRPr="0017036A" w:rsidRDefault="003B32F0" w:rsidP="00DC65CB">
      <w:pPr>
        <w:pStyle w:val="ListParagraph"/>
        <w:numPr>
          <w:ilvl w:val="0"/>
          <w:numId w:val="72"/>
        </w:numPr>
        <w:jc w:val="both"/>
        <w:rPr>
          <w:rStyle w:val="eop"/>
          <w:rFonts w:eastAsia="Arial"/>
          <w:szCs w:val="22"/>
        </w:rPr>
      </w:pPr>
      <w:r w:rsidRPr="0017036A">
        <w:rPr>
          <w:rStyle w:val="eop"/>
          <w:szCs w:val="22"/>
        </w:rPr>
        <w:t xml:space="preserve">making design decisions that support alignment and harmonization across grants, </w:t>
      </w:r>
    </w:p>
    <w:p w14:paraId="0DC39F98" w14:textId="77777777" w:rsidR="003B32F0" w:rsidRPr="0017036A" w:rsidRDefault="003B32F0" w:rsidP="00DC65CB">
      <w:pPr>
        <w:pStyle w:val="ListParagraph"/>
        <w:numPr>
          <w:ilvl w:val="0"/>
          <w:numId w:val="72"/>
        </w:numPr>
        <w:jc w:val="both"/>
        <w:rPr>
          <w:rStyle w:val="eop"/>
          <w:rFonts w:eastAsia="Arial"/>
          <w:szCs w:val="22"/>
        </w:rPr>
      </w:pPr>
      <w:r w:rsidRPr="0017036A">
        <w:rPr>
          <w:rStyle w:val="eop"/>
          <w:szCs w:val="22"/>
        </w:rPr>
        <w:t xml:space="preserve">representing Cal-Adapt in the scientific community, </w:t>
      </w:r>
    </w:p>
    <w:p w14:paraId="24CE3F0C" w14:textId="77777777" w:rsidR="003B32F0" w:rsidRPr="0017036A" w:rsidRDefault="003B32F0" w:rsidP="00DC65CB">
      <w:pPr>
        <w:pStyle w:val="ListParagraph"/>
        <w:numPr>
          <w:ilvl w:val="0"/>
          <w:numId w:val="72"/>
        </w:numPr>
        <w:jc w:val="both"/>
        <w:rPr>
          <w:rStyle w:val="eop"/>
          <w:rFonts w:eastAsia="Arial"/>
          <w:szCs w:val="22"/>
        </w:rPr>
      </w:pPr>
      <w:r w:rsidRPr="0017036A">
        <w:rPr>
          <w:rStyle w:val="eop"/>
          <w:szCs w:val="22"/>
        </w:rPr>
        <w:t xml:space="preserve">providing guidance and direction to the developer of Cal-Adapt’s web application to ensure that cloud computing architecture is reflective of high-level best practices and responsive to the needs of multiple elements of the expanded Cal-Adapt enterprise. </w:t>
      </w:r>
    </w:p>
    <w:p w14:paraId="17556503" w14:textId="77777777" w:rsidR="003B32F0" w:rsidRPr="0017036A" w:rsidRDefault="003B32F0" w:rsidP="003B32F0">
      <w:pPr>
        <w:jc w:val="both"/>
        <w:rPr>
          <w:rStyle w:val="eop"/>
          <w:szCs w:val="22"/>
        </w:rPr>
      </w:pPr>
      <w:r w:rsidRPr="0017036A">
        <w:rPr>
          <w:rStyle w:val="eop"/>
          <w:szCs w:val="22"/>
        </w:rPr>
        <w:t xml:space="preserve">Between inception of the grant supported by Group 3 (summer 2022) and 2026, CEC anticipates that EPC-20-007 will serve as the Cal-Adapt lead; however, the State retains sole discretion of assigning and distributing lead roles for items that impact execution of multiple scopes of work. </w:t>
      </w:r>
    </w:p>
    <w:p w14:paraId="4210D9AA" w14:textId="77777777" w:rsidR="003B32F0" w:rsidRPr="0017036A" w:rsidRDefault="003B32F0" w:rsidP="003B32F0">
      <w:pPr>
        <w:jc w:val="both"/>
        <w:rPr>
          <w:rStyle w:val="eop"/>
          <w:szCs w:val="22"/>
        </w:rPr>
      </w:pPr>
    </w:p>
    <w:p w14:paraId="1B7B23BB" w14:textId="77777777" w:rsidR="003B32F0" w:rsidRPr="0017036A" w:rsidRDefault="003B32F0" w:rsidP="00DC65CB">
      <w:pPr>
        <w:pStyle w:val="Heading2"/>
        <w:numPr>
          <w:ilvl w:val="0"/>
          <w:numId w:val="44"/>
        </w:numPr>
      </w:pPr>
      <w:bookmarkStart w:id="17" w:name="_Toc84844914"/>
      <w:r w:rsidRPr="0017036A">
        <w:lastRenderedPageBreak/>
        <w:t>Funding</w:t>
      </w:r>
      <w:bookmarkEnd w:id="16"/>
      <w:bookmarkEnd w:id="17"/>
    </w:p>
    <w:p w14:paraId="5E166FA9" w14:textId="77777777" w:rsidR="003B32F0" w:rsidRPr="0017036A" w:rsidRDefault="003B32F0" w:rsidP="00DC65CB">
      <w:pPr>
        <w:numPr>
          <w:ilvl w:val="0"/>
          <w:numId w:val="43"/>
        </w:numPr>
        <w:jc w:val="both"/>
        <w:rPr>
          <w:b/>
        </w:rPr>
      </w:pPr>
      <w:bookmarkStart w:id="18" w:name="_Toc381079878"/>
      <w:bookmarkStart w:id="19" w:name="_Toc382571140"/>
      <w:bookmarkStart w:id="20" w:name="_Toc395180637"/>
      <w:bookmarkStart w:id="21" w:name="_Toc433981282"/>
      <w:r w:rsidRPr="0017036A">
        <w:rPr>
          <w:b/>
        </w:rPr>
        <w:t>Amount Available and Minimum/ Maximum Funding Amounts</w:t>
      </w:r>
      <w:bookmarkEnd w:id="18"/>
      <w:bookmarkEnd w:id="19"/>
      <w:bookmarkEnd w:id="20"/>
      <w:bookmarkEnd w:id="21"/>
    </w:p>
    <w:p w14:paraId="1DC67F1D" w14:textId="77777777" w:rsidR="003B32F0" w:rsidRPr="0017036A" w:rsidRDefault="003B32F0" w:rsidP="003B32F0">
      <w:pPr>
        <w:keepNext/>
        <w:keepLines/>
        <w:spacing w:before="60" w:after="240"/>
        <w:jc w:val="both"/>
        <w:outlineLvl w:val="2"/>
      </w:pPr>
      <w:bookmarkStart w:id="22" w:name="_Toc381079896"/>
      <w:bookmarkStart w:id="23" w:name="_Toc382571158"/>
      <w:bookmarkStart w:id="24" w:name="_Toc395180657"/>
      <w:r w:rsidRPr="0017036A">
        <w:t xml:space="preserve">There is </w:t>
      </w:r>
      <w:r w:rsidRPr="0017036A">
        <w:rPr>
          <w:b/>
          <w:bCs/>
        </w:rPr>
        <w:t>up to $3,600,000</w:t>
      </w:r>
      <w:r w:rsidRPr="0017036A">
        <w:t xml:space="preserve"> available for grants awarded under this solicitation. The total, minimum, and maximum funding amounts for each project group are listed below.</w:t>
      </w:r>
      <w:bookmarkEnd w:id="22"/>
      <w:bookmarkEnd w:id="23"/>
      <w:bookmarkEnd w:id="24"/>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vailable and Minimum/ Maximum Funding Amounts Table"/>
      </w:tblPr>
      <w:tblGrid>
        <w:gridCol w:w="2394"/>
        <w:gridCol w:w="1413"/>
        <w:gridCol w:w="1787"/>
        <w:gridCol w:w="2034"/>
        <w:gridCol w:w="1716"/>
      </w:tblGrid>
      <w:tr w:rsidR="0017036A" w:rsidRPr="0017036A" w14:paraId="60E0147B" w14:textId="77777777" w:rsidTr="006D46A0">
        <w:tc>
          <w:tcPr>
            <w:tcW w:w="2394" w:type="dxa"/>
            <w:tcBorders>
              <w:top w:val="single" w:sz="6" w:space="0" w:color="000000" w:themeColor="text1"/>
              <w:left w:val="single" w:sz="6" w:space="0" w:color="000000" w:themeColor="text1"/>
              <w:bottom w:val="nil"/>
              <w:right w:val="nil"/>
            </w:tcBorders>
            <w:shd w:val="clear" w:color="auto" w:fill="BFBFBF" w:themeFill="background1" w:themeFillShade="BF"/>
            <w:hideMark/>
          </w:tcPr>
          <w:p w14:paraId="63073168"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Project Group</w:t>
            </w:r>
            <w:r w:rsidRPr="0017036A">
              <w:rPr>
                <w:rStyle w:val="eop"/>
                <w:b/>
                <w:szCs w:val="22"/>
              </w:rPr>
              <w:t> </w:t>
            </w:r>
          </w:p>
        </w:tc>
        <w:tc>
          <w:tcPr>
            <w:tcW w:w="1413" w:type="dxa"/>
            <w:tcBorders>
              <w:top w:val="single" w:sz="6" w:space="0" w:color="000000" w:themeColor="text1"/>
              <w:left w:val="nil"/>
              <w:bottom w:val="nil"/>
              <w:right w:val="nil"/>
            </w:tcBorders>
            <w:shd w:val="clear" w:color="auto" w:fill="BFBFBF" w:themeFill="background1" w:themeFillShade="BF"/>
            <w:hideMark/>
          </w:tcPr>
          <w:p w14:paraId="25FF53A0"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Available funding</w:t>
            </w:r>
            <w:r w:rsidRPr="0017036A">
              <w:rPr>
                <w:rStyle w:val="eop"/>
                <w:b/>
                <w:szCs w:val="22"/>
              </w:rPr>
              <w:t> </w:t>
            </w:r>
          </w:p>
        </w:tc>
        <w:tc>
          <w:tcPr>
            <w:tcW w:w="1787" w:type="dxa"/>
            <w:tcBorders>
              <w:top w:val="single" w:sz="6" w:space="0" w:color="000000" w:themeColor="text1"/>
              <w:left w:val="nil"/>
              <w:bottom w:val="nil"/>
              <w:right w:val="nil"/>
            </w:tcBorders>
            <w:shd w:val="clear" w:color="auto" w:fill="BFBFBF" w:themeFill="background1" w:themeFillShade="BF"/>
            <w:hideMark/>
          </w:tcPr>
          <w:p w14:paraId="4F37E9BB"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Minimum award amount</w:t>
            </w:r>
            <w:r w:rsidRPr="0017036A">
              <w:rPr>
                <w:rStyle w:val="eop"/>
                <w:b/>
                <w:szCs w:val="22"/>
              </w:rPr>
              <w:t> </w:t>
            </w:r>
          </w:p>
        </w:tc>
        <w:tc>
          <w:tcPr>
            <w:tcW w:w="2034" w:type="dxa"/>
            <w:tcBorders>
              <w:top w:val="single" w:sz="6" w:space="0" w:color="000000" w:themeColor="text1"/>
              <w:left w:val="nil"/>
              <w:bottom w:val="nil"/>
              <w:right w:val="nil"/>
            </w:tcBorders>
            <w:shd w:val="clear" w:color="auto" w:fill="BFBFBF" w:themeFill="background1" w:themeFillShade="BF"/>
            <w:hideMark/>
          </w:tcPr>
          <w:p w14:paraId="2F0E8526"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Maximum award amount</w:t>
            </w:r>
            <w:r w:rsidRPr="0017036A">
              <w:rPr>
                <w:rStyle w:val="eop"/>
                <w:b/>
                <w:szCs w:val="22"/>
              </w:rPr>
              <w:t> </w:t>
            </w:r>
          </w:p>
        </w:tc>
        <w:tc>
          <w:tcPr>
            <w:tcW w:w="1716" w:type="dxa"/>
            <w:tcBorders>
              <w:top w:val="single" w:sz="6" w:space="0" w:color="000000" w:themeColor="text1"/>
              <w:left w:val="nil"/>
              <w:bottom w:val="nil"/>
              <w:right w:val="single" w:sz="6" w:space="0" w:color="000000" w:themeColor="text1"/>
            </w:tcBorders>
            <w:shd w:val="clear" w:color="auto" w:fill="BFBFBF" w:themeFill="background1" w:themeFillShade="BF"/>
            <w:hideMark/>
          </w:tcPr>
          <w:p w14:paraId="5B16D0F4"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Minimum match funding</w:t>
            </w:r>
            <w:r w:rsidRPr="0017036A">
              <w:rPr>
                <w:rStyle w:val="eop"/>
                <w:b/>
                <w:szCs w:val="22"/>
              </w:rPr>
              <w:t> </w:t>
            </w:r>
          </w:p>
          <w:p w14:paraId="155B0BCA"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 of EPIC Funds Requested)</w:t>
            </w:r>
            <w:r w:rsidRPr="0017036A">
              <w:rPr>
                <w:rStyle w:val="eop"/>
                <w:b/>
                <w:szCs w:val="22"/>
              </w:rPr>
              <w:t> </w:t>
            </w:r>
          </w:p>
        </w:tc>
      </w:tr>
      <w:tr w:rsidR="0017036A" w:rsidRPr="0017036A" w14:paraId="5957B7BB" w14:textId="77777777" w:rsidTr="006D46A0">
        <w:tc>
          <w:tcPr>
            <w:tcW w:w="2394" w:type="dxa"/>
            <w:tcBorders>
              <w:top w:val="single" w:sz="6" w:space="0" w:color="000000" w:themeColor="text1"/>
              <w:left w:val="single" w:sz="6" w:space="0" w:color="000000" w:themeColor="text1"/>
              <w:bottom w:val="single" w:sz="6" w:space="0" w:color="000000" w:themeColor="text1"/>
              <w:right w:val="nil"/>
            </w:tcBorders>
            <w:shd w:val="clear" w:color="auto" w:fill="FFFFFF" w:themeFill="background1"/>
            <w:hideMark/>
          </w:tcPr>
          <w:p w14:paraId="0F7E9332"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Group 1: Assessing and improving the climate resilience of an electricity system in transition</w:t>
            </w:r>
            <w:r w:rsidRPr="0017036A">
              <w:rPr>
                <w:rStyle w:val="eop"/>
                <w:b/>
                <w:szCs w:val="22"/>
              </w:rPr>
              <w:t> </w:t>
            </w:r>
          </w:p>
        </w:tc>
        <w:tc>
          <w:tcPr>
            <w:tcW w:w="1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05E196D8"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$1,950,000</w:t>
            </w:r>
            <w:r w:rsidRPr="0017036A">
              <w:rPr>
                <w:rStyle w:val="eop"/>
                <w:szCs w:val="22"/>
              </w:rPr>
              <w:t> </w:t>
            </w:r>
          </w:p>
        </w:tc>
        <w:tc>
          <w:tcPr>
            <w:tcW w:w="1787" w:type="dxa"/>
            <w:tcBorders>
              <w:top w:val="single" w:sz="6" w:space="0" w:color="000000" w:themeColor="text1"/>
              <w:left w:val="nil"/>
              <w:bottom w:val="single" w:sz="6" w:space="0" w:color="000000" w:themeColor="text1"/>
              <w:right w:val="nil"/>
            </w:tcBorders>
            <w:shd w:val="clear" w:color="auto" w:fill="auto"/>
            <w:vAlign w:val="bottom"/>
            <w:hideMark/>
          </w:tcPr>
          <w:p w14:paraId="3A64A05B"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$1,850,000</w:t>
            </w:r>
            <w:r w:rsidRPr="0017036A">
              <w:rPr>
                <w:rStyle w:val="eop"/>
                <w:szCs w:val="22"/>
              </w:rPr>
              <w:t> </w:t>
            </w:r>
          </w:p>
        </w:tc>
        <w:tc>
          <w:tcPr>
            <w:tcW w:w="20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1688C44"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$1,950,000</w:t>
            </w:r>
            <w:r w:rsidRPr="0017036A">
              <w:rPr>
                <w:rStyle w:val="eop"/>
                <w:szCs w:val="22"/>
              </w:rPr>
              <w:t> </w:t>
            </w:r>
          </w:p>
        </w:tc>
        <w:tc>
          <w:tcPr>
            <w:tcW w:w="1716" w:type="dxa"/>
            <w:tcBorders>
              <w:top w:val="single" w:sz="6" w:space="0" w:color="000000" w:themeColor="text1"/>
              <w:left w:val="nil"/>
              <w:bottom w:val="single" w:sz="6" w:space="0" w:color="000000" w:themeColor="text1"/>
              <w:right w:val="single" w:sz="6" w:space="0" w:color="000000" w:themeColor="text1"/>
            </w:tcBorders>
            <w:shd w:val="clear" w:color="auto" w:fill="auto"/>
            <w:vAlign w:val="bottom"/>
            <w:hideMark/>
          </w:tcPr>
          <w:p w14:paraId="62D9D1EF"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 5%</w:t>
            </w:r>
            <w:r w:rsidRPr="0017036A">
              <w:rPr>
                <w:rStyle w:val="eop"/>
                <w:szCs w:val="22"/>
              </w:rPr>
              <w:t> </w:t>
            </w:r>
          </w:p>
        </w:tc>
      </w:tr>
      <w:tr w:rsidR="0017036A" w:rsidRPr="0017036A" w14:paraId="1A9E4798" w14:textId="77777777" w:rsidTr="006D46A0">
        <w:trPr>
          <w:trHeight w:val="435"/>
        </w:trPr>
        <w:tc>
          <w:tcPr>
            <w:tcW w:w="2394" w:type="dxa"/>
            <w:tcBorders>
              <w:top w:val="nil"/>
              <w:left w:val="single" w:sz="6" w:space="0" w:color="000000" w:themeColor="text1"/>
              <w:bottom w:val="nil"/>
              <w:right w:val="nil"/>
            </w:tcBorders>
            <w:shd w:val="clear" w:color="auto" w:fill="FFFFFF" w:themeFill="background1"/>
            <w:hideMark/>
          </w:tcPr>
          <w:p w14:paraId="15306F15"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Group 2: Climate-related changes to availability and distribution of solar, wind, and hydroelectric generation</w:t>
            </w:r>
            <w:r w:rsidRPr="0017036A">
              <w:rPr>
                <w:rStyle w:val="eop"/>
                <w:b/>
                <w:szCs w:val="22"/>
              </w:rPr>
              <w:t> </w:t>
            </w:r>
          </w:p>
        </w:tc>
        <w:tc>
          <w:tcPr>
            <w:tcW w:w="1413" w:type="dxa"/>
            <w:tcBorders>
              <w:top w:val="nil"/>
              <w:left w:val="single" w:sz="6" w:space="0" w:color="000000" w:themeColor="text1"/>
              <w:bottom w:val="nil"/>
              <w:right w:val="single" w:sz="6" w:space="0" w:color="000000" w:themeColor="text1"/>
            </w:tcBorders>
            <w:shd w:val="clear" w:color="auto" w:fill="auto"/>
            <w:vAlign w:val="bottom"/>
            <w:hideMark/>
          </w:tcPr>
          <w:p w14:paraId="7E222C8D"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$900,000</w:t>
            </w:r>
            <w:r w:rsidRPr="0017036A">
              <w:rPr>
                <w:rStyle w:val="eop"/>
                <w:szCs w:val="22"/>
              </w:rPr>
              <w:t> </w:t>
            </w:r>
          </w:p>
        </w:tc>
        <w:tc>
          <w:tcPr>
            <w:tcW w:w="1787" w:type="dxa"/>
            <w:tcBorders>
              <w:top w:val="nil"/>
              <w:left w:val="nil"/>
              <w:bottom w:val="nil"/>
              <w:right w:val="nil"/>
            </w:tcBorders>
            <w:shd w:val="clear" w:color="auto" w:fill="auto"/>
            <w:vAlign w:val="bottom"/>
            <w:hideMark/>
          </w:tcPr>
          <w:p w14:paraId="001418B5"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$800,000</w:t>
            </w:r>
            <w:r w:rsidRPr="0017036A">
              <w:rPr>
                <w:rStyle w:val="eop"/>
                <w:szCs w:val="22"/>
              </w:rPr>
              <w:t> </w:t>
            </w:r>
          </w:p>
        </w:tc>
        <w:tc>
          <w:tcPr>
            <w:tcW w:w="2034" w:type="dxa"/>
            <w:tcBorders>
              <w:top w:val="nil"/>
              <w:left w:val="single" w:sz="6" w:space="0" w:color="000000" w:themeColor="text1"/>
              <w:bottom w:val="nil"/>
              <w:right w:val="single" w:sz="6" w:space="0" w:color="000000" w:themeColor="text1"/>
            </w:tcBorders>
            <w:shd w:val="clear" w:color="auto" w:fill="auto"/>
            <w:vAlign w:val="bottom"/>
            <w:hideMark/>
          </w:tcPr>
          <w:p w14:paraId="1E04986B"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$900,000</w:t>
            </w:r>
            <w:r w:rsidRPr="0017036A">
              <w:rPr>
                <w:rStyle w:val="eop"/>
                <w:szCs w:val="22"/>
              </w:rPr>
              <w:t> </w:t>
            </w:r>
          </w:p>
        </w:tc>
        <w:tc>
          <w:tcPr>
            <w:tcW w:w="1716" w:type="dxa"/>
            <w:tcBorders>
              <w:top w:val="nil"/>
              <w:left w:val="nil"/>
              <w:bottom w:val="nil"/>
              <w:right w:val="single" w:sz="6" w:space="0" w:color="000000" w:themeColor="text1"/>
            </w:tcBorders>
            <w:shd w:val="clear" w:color="auto" w:fill="auto"/>
            <w:vAlign w:val="bottom"/>
            <w:hideMark/>
          </w:tcPr>
          <w:p w14:paraId="31581159"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 5%</w:t>
            </w:r>
            <w:r w:rsidRPr="0017036A">
              <w:rPr>
                <w:rStyle w:val="eop"/>
                <w:szCs w:val="22"/>
              </w:rPr>
              <w:t> </w:t>
            </w:r>
          </w:p>
        </w:tc>
      </w:tr>
      <w:tr w:rsidR="0017036A" w:rsidRPr="0017036A" w14:paraId="7181B535" w14:textId="77777777" w:rsidTr="006D46A0">
        <w:trPr>
          <w:trHeight w:val="435"/>
        </w:trPr>
        <w:tc>
          <w:tcPr>
            <w:tcW w:w="2394" w:type="dxa"/>
            <w:tcBorders>
              <w:top w:val="single" w:sz="6" w:space="0" w:color="000000" w:themeColor="text1"/>
              <w:left w:val="single" w:sz="6" w:space="0" w:color="000000" w:themeColor="text1"/>
              <w:bottom w:val="single" w:sz="6" w:space="0" w:color="000000" w:themeColor="text1"/>
              <w:right w:val="nil"/>
            </w:tcBorders>
            <w:shd w:val="clear" w:color="auto" w:fill="FFFFFF" w:themeFill="background1"/>
            <w:hideMark/>
          </w:tcPr>
          <w:p w14:paraId="452D57E7" w14:textId="77777777" w:rsidR="003B32F0" w:rsidRPr="0017036A" w:rsidRDefault="003B32F0" w:rsidP="006D46A0">
            <w:pPr>
              <w:pStyle w:val="paragraph"/>
              <w:spacing w:before="0" w:beforeAutospacing="0" w:after="0" w:afterAutospacing="0"/>
              <w:textAlignment w:val="baseline"/>
              <w:rPr>
                <w:rFonts w:ascii="Segoe UI" w:hAnsi="Segoe UI" w:cs="Segoe UI"/>
                <w:b/>
                <w:szCs w:val="22"/>
              </w:rPr>
            </w:pPr>
            <w:r w:rsidRPr="0017036A">
              <w:rPr>
                <w:rStyle w:val="normaltextrun"/>
                <w:b/>
                <w:szCs w:val="22"/>
              </w:rPr>
              <w:t>Group 3: Cal-Adapt enhancements to support energy sector stakeholders</w:t>
            </w:r>
            <w:r w:rsidRPr="0017036A">
              <w:rPr>
                <w:rStyle w:val="eop"/>
                <w:b/>
                <w:szCs w:val="22"/>
              </w:rPr>
              <w:t> </w:t>
            </w:r>
          </w:p>
        </w:tc>
        <w:tc>
          <w:tcPr>
            <w:tcW w:w="1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7920FE8"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$750,000</w:t>
            </w:r>
            <w:r w:rsidRPr="0017036A">
              <w:rPr>
                <w:rStyle w:val="eop"/>
                <w:szCs w:val="22"/>
              </w:rPr>
              <w:t> </w:t>
            </w:r>
          </w:p>
        </w:tc>
        <w:tc>
          <w:tcPr>
            <w:tcW w:w="1787" w:type="dxa"/>
            <w:tcBorders>
              <w:top w:val="single" w:sz="6" w:space="0" w:color="000000" w:themeColor="text1"/>
              <w:left w:val="nil"/>
              <w:bottom w:val="single" w:sz="6" w:space="0" w:color="000000" w:themeColor="text1"/>
              <w:right w:val="nil"/>
            </w:tcBorders>
            <w:shd w:val="clear" w:color="auto" w:fill="auto"/>
            <w:vAlign w:val="bottom"/>
            <w:hideMark/>
          </w:tcPr>
          <w:p w14:paraId="39793310"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$650,000</w:t>
            </w:r>
          </w:p>
        </w:tc>
        <w:tc>
          <w:tcPr>
            <w:tcW w:w="20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9A8C959" w14:textId="77777777" w:rsidR="003B32F0" w:rsidRPr="0017036A" w:rsidRDefault="003B32F0" w:rsidP="006D46A0">
            <w:pPr>
              <w:pStyle w:val="paragraph"/>
              <w:spacing w:before="0" w:beforeAutospacing="0" w:after="0" w:afterAutospacing="0"/>
              <w:textAlignment w:val="baseline"/>
              <w:rPr>
                <w:rFonts w:ascii="Segoe UI" w:hAnsi="Segoe UI" w:cs="Segoe UI"/>
                <w:szCs w:val="22"/>
              </w:rPr>
            </w:pPr>
            <w:r w:rsidRPr="0017036A">
              <w:rPr>
                <w:rStyle w:val="normaltextrun"/>
                <w:szCs w:val="22"/>
              </w:rPr>
              <w:t>$750,000</w:t>
            </w:r>
            <w:r w:rsidRPr="0017036A">
              <w:rPr>
                <w:rStyle w:val="eop"/>
                <w:szCs w:val="22"/>
              </w:rPr>
              <w:t> </w:t>
            </w:r>
          </w:p>
        </w:tc>
        <w:tc>
          <w:tcPr>
            <w:tcW w:w="1716" w:type="dxa"/>
            <w:tcBorders>
              <w:top w:val="single" w:sz="6" w:space="0" w:color="000000" w:themeColor="text1"/>
              <w:left w:val="nil"/>
              <w:bottom w:val="single" w:sz="6" w:space="0" w:color="000000" w:themeColor="text1"/>
              <w:right w:val="single" w:sz="6" w:space="0" w:color="000000" w:themeColor="text1"/>
            </w:tcBorders>
            <w:shd w:val="clear" w:color="auto" w:fill="auto"/>
            <w:vAlign w:val="bottom"/>
            <w:hideMark/>
          </w:tcPr>
          <w:p w14:paraId="5B4141AF" w14:textId="77777777" w:rsidR="003B32F0" w:rsidRPr="0017036A" w:rsidRDefault="003B32F0" w:rsidP="006D46A0">
            <w:pPr>
              <w:pStyle w:val="paragraph"/>
              <w:spacing w:before="0" w:beforeAutospacing="0" w:after="0" w:afterAutospacing="0"/>
              <w:textAlignment w:val="baseline"/>
              <w:rPr>
                <w:rFonts w:ascii="Segoe UI" w:hAnsi="Segoe UI" w:cs="Segoe UI"/>
              </w:rPr>
            </w:pPr>
            <w:r w:rsidRPr="0017036A">
              <w:rPr>
                <w:rStyle w:val="eop"/>
              </w:rPr>
              <w:t> 5%</w:t>
            </w:r>
          </w:p>
        </w:tc>
      </w:tr>
    </w:tbl>
    <w:p w14:paraId="18119BE8" w14:textId="77777777" w:rsidR="003B32F0" w:rsidRPr="0017036A" w:rsidRDefault="003B32F0" w:rsidP="003B32F0">
      <w:pPr>
        <w:ind w:left="720"/>
        <w:jc w:val="both"/>
        <w:rPr>
          <w:szCs w:val="22"/>
        </w:rPr>
      </w:pPr>
    </w:p>
    <w:p w14:paraId="7696CB40" w14:textId="77777777" w:rsidR="003B32F0" w:rsidRPr="0017036A" w:rsidRDefault="003B32F0" w:rsidP="00DC65CB">
      <w:pPr>
        <w:pStyle w:val="ListParagraph"/>
        <w:numPr>
          <w:ilvl w:val="0"/>
          <w:numId w:val="43"/>
        </w:numPr>
        <w:jc w:val="both"/>
        <w:rPr>
          <w:b/>
          <w:szCs w:val="22"/>
        </w:rPr>
      </w:pPr>
      <w:r w:rsidRPr="0017036A">
        <w:rPr>
          <w:b/>
        </w:rPr>
        <w:t>Match Funding Requirement</w:t>
      </w:r>
    </w:p>
    <w:p w14:paraId="12004A64" w14:textId="77777777" w:rsidR="003B32F0" w:rsidRPr="0017036A" w:rsidRDefault="003B32F0" w:rsidP="003B32F0">
      <w:pPr>
        <w:jc w:val="both"/>
        <w:rPr>
          <w:b/>
          <w:bCs/>
          <w:shd w:val="clear" w:color="auto" w:fill="FFFFFF"/>
        </w:rPr>
      </w:pPr>
      <w:r w:rsidRPr="0017036A">
        <w:rPr>
          <w:shd w:val="clear" w:color="auto" w:fill="FFFFFF"/>
        </w:rPr>
        <w:t>Match funding is required in the amount of at least </w:t>
      </w:r>
      <w:r w:rsidRPr="0017036A">
        <w:rPr>
          <w:b/>
          <w:bCs/>
          <w:shd w:val="clear" w:color="auto" w:fill="FFFFFF"/>
        </w:rPr>
        <w:t>5% minimum</w:t>
      </w:r>
      <w:r w:rsidRPr="0017036A">
        <w:rPr>
          <w:shd w:val="clear" w:color="auto" w:fill="FFFFFF"/>
        </w:rPr>
        <w:t> of the requested project funds.</w:t>
      </w:r>
      <w:r w:rsidRPr="0017036A">
        <w:rPr>
          <w:b/>
          <w:bCs/>
          <w:shd w:val="clear" w:color="auto" w:fill="FFFFFF"/>
        </w:rPr>
        <w:t> </w:t>
      </w:r>
    </w:p>
    <w:p w14:paraId="3032A6C9" w14:textId="77777777" w:rsidR="003B32F0" w:rsidRPr="0017036A" w:rsidRDefault="003B32F0" w:rsidP="003B32F0">
      <w:pPr>
        <w:jc w:val="both"/>
        <w:rPr>
          <w:rFonts w:ascii="Times New Roman" w:hAnsi="Times New Roman" w:cs="Times New Roman"/>
          <w:sz w:val="24"/>
          <w:szCs w:val="24"/>
        </w:rPr>
      </w:pPr>
      <w:r w:rsidRPr="0017036A">
        <w:rPr>
          <w:shd w:val="clear" w:color="auto" w:fill="FFFFFF"/>
        </w:rPr>
        <w:t>For the definition of match funding see Section K.</w:t>
      </w:r>
    </w:p>
    <w:p w14:paraId="2235394C" w14:textId="77777777" w:rsidR="003B32F0" w:rsidRPr="0017036A" w:rsidRDefault="003B32F0" w:rsidP="00DC65CB">
      <w:pPr>
        <w:pStyle w:val="ListParagraph"/>
        <w:numPr>
          <w:ilvl w:val="0"/>
          <w:numId w:val="43"/>
        </w:numPr>
        <w:jc w:val="both"/>
      </w:pPr>
      <w:r w:rsidRPr="0017036A">
        <w:rPr>
          <w:b/>
        </w:rPr>
        <w:t>Change in Funding Amount</w:t>
      </w:r>
    </w:p>
    <w:p w14:paraId="6EE3EF00" w14:textId="77777777" w:rsidR="003B32F0" w:rsidRPr="005B073B" w:rsidRDefault="003B32F0" w:rsidP="003B32F0">
      <w:pPr>
        <w:jc w:val="both"/>
      </w:pPr>
      <w:r w:rsidRPr="005B073B">
        <w:t>Along with any other rights and remedies available to it, the California Energy Commission (CEC) reserves the right to:</w:t>
      </w:r>
    </w:p>
    <w:p w14:paraId="3954BD66" w14:textId="77777777" w:rsidR="003B32F0" w:rsidRPr="003F6147" w:rsidRDefault="003B32F0" w:rsidP="00DC65CB">
      <w:pPr>
        <w:pStyle w:val="ListParagraph"/>
        <w:numPr>
          <w:ilvl w:val="0"/>
          <w:numId w:val="64"/>
        </w:numPr>
        <w:jc w:val="both"/>
      </w:pPr>
      <w:r w:rsidRPr="003F6147">
        <w:t>Increase or decrease the available funding and the minimum/maximum award amounts described in this section.</w:t>
      </w:r>
    </w:p>
    <w:p w14:paraId="02F2C933" w14:textId="77777777" w:rsidR="003B32F0" w:rsidRPr="003F6147" w:rsidRDefault="003B32F0" w:rsidP="00DC65CB">
      <w:pPr>
        <w:pStyle w:val="ListParagraph"/>
        <w:numPr>
          <w:ilvl w:val="0"/>
          <w:numId w:val="64"/>
        </w:numPr>
        <w:jc w:val="both"/>
      </w:pPr>
      <w:r w:rsidRPr="003F6147">
        <w:t>Allocate any additional or unawarded funds to passing applications, in rank order.</w:t>
      </w:r>
    </w:p>
    <w:p w14:paraId="371D6685" w14:textId="77777777" w:rsidR="003B32F0" w:rsidRDefault="003B32F0" w:rsidP="00DC65CB">
      <w:pPr>
        <w:pStyle w:val="ListParagraph"/>
        <w:numPr>
          <w:ilvl w:val="0"/>
          <w:numId w:val="64"/>
        </w:numPr>
        <w:jc w:val="both"/>
      </w:pPr>
      <w:r w:rsidRPr="00224AFF">
        <w:t xml:space="preserve">Reallocate </w:t>
      </w:r>
      <w:r>
        <w:t>funding between any of the groups</w:t>
      </w:r>
    </w:p>
    <w:p w14:paraId="7DF2D09C" w14:textId="77777777" w:rsidR="003B32F0" w:rsidRPr="003F6147" w:rsidRDefault="003B32F0" w:rsidP="00DC65CB">
      <w:pPr>
        <w:pStyle w:val="ListParagraph"/>
        <w:numPr>
          <w:ilvl w:val="0"/>
          <w:numId w:val="64"/>
        </w:numPr>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739EEC6" w14:textId="77777777" w:rsidR="003B32F0" w:rsidRPr="003F6147" w:rsidRDefault="003B32F0" w:rsidP="003B32F0">
      <w:pPr>
        <w:spacing w:after="0"/>
        <w:ind w:left="720"/>
        <w:jc w:val="both"/>
      </w:pPr>
    </w:p>
    <w:p w14:paraId="348A16BE" w14:textId="77777777" w:rsidR="003B32F0" w:rsidRPr="00756BAC" w:rsidRDefault="003B32F0" w:rsidP="00DC65CB">
      <w:pPr>
        <w:pStyle w:val="Heading2"/>
        <w:numPr>
          <w:ilvl w:val="0"/>
          <w:numId w:val="44"/>
        </w:numPr>
      </w:pPr>
      <w:bookmarkStart w:id="25" w:name="_Toc458602325"/>
      <w:bookmarkStart w:id="26" w:name="_Toc84844915"/>
      <w:r w:rsidRPr="00756BAC">
        <w:lastRenderedPageBreak/>
        <w:t>Key Activities Schedule</w:t>
      </w:r>
      <w:bookmarkEnd w:id="25"/>
      <w:bookmarkEnd w:id="26"/>
    </w:p>
    <w:p w14:paraId="309757AF" w14:textId="77777777" w:rsidR="003B32F0" w:rsidRPr="003F6147" w:rsidRDefault="003B32F0" w:rsidP="003B32F0">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390B9430" w14:textId="77777777" w:rsidR="003B32F0" w:rsidRPr="003F6147" w:rsidRDefault="003B32F0" w:rsidP="003B32F0">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23394E" w:rsidRPr="0023394E" w14:paraId="4863E617" w14:textId="77777777" w:rsidTr="69CB18E5">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0C40D772" w14:textId="77777777" w:rsidR="003B32F0" w:rsidRPr="0023394E" w:rsidRDefault="003B32F0" w:rsidP="006D46A0">
            <w:pPr>
              <w:keepNext/>
              <w:keepLines/>
              <w:widowControl w:val="0"/>
              <w:jc w:val="both"/>
              <w:rPr>
                <w:bCs w:val="0"/>
                <w:color w:val="000000" w:themeColor="text1"/>
                <w:szCs w:val="22"/>
              </w:rPr>
            </w:pPr>
            <w:r w:rsidRPr="0023394E">
              <w:rPr>
                <w:bCs w:val="0"/>
                <w:color w:val="000000" w:themeColor="text1"/>
                <w:szCs w:val="22"/>
              </w:rPr>
              <w:t>ACTIVITY</w:t>
            </w:r>
          </w:p>
        </w:tc>
        <w:tc>
          <w:tcPr>
            <w:tcW w:w="2070" w:type="dxa"/>
          </w:tcPr>
          <w:p w14:paraId="2E95FA5F" w14:textId="77777777" w:rsidR="003B32F0" w:rsidRPr="0023394E" w:rsidRDefault="003B32F0" w:rsidP="006D46A0">
            <w:pPr>
              <w:keepNext/>
              <w:keepLines/>
              <w:widowControl w:val="0"/>
              <w:jc w:val="both"/>
              <w:cnfStyle w:val="100000000000" w:firstRow="1" w:lastRow="0" w:firstColumn="0" w:lastColumn="0" w:oddVBand="0" w:evenVBand="0" w:oddHBand="0" w:evenHBand="0" w:firstRowFirstColumn="0" w:firstRowLastColumn="0" w:lastRowFirstColumn="0" w:lastRowLastColumn="0"/>
              <w:rPr>
                <w:bCs w:val="0"/>
                <w:color w:val="000000" w:themeColor="text1"/>
                <w:szCs w:val="22"/>
              </w:rPr>
            </w:pPr>
            <w:r w:rsidRPr="0023394E">
              <w:rPr>
                <w:bCs w:val="0"/>
                <w:color w:val="000000" w:themeColor="text1"/>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4AB2CCB4" w14:textId="25AB8BE9" w:rsidR="003B32F0" w:rsidRPr="0023394E" w:rsidDel="00D53B51" w:rsidRDefault="003B32F0" w:rsidP="006D46A0">
            <w:pPr>
              <w:keepNext/>
              <w:keepLines/>
              <w:widowControl w:val="0"/>
              <w:spacing w:after="0"/>
              <w:jc w:val="both"/>
              <w:rPr>
                <w:bCs w:val="0"/>
                <w:color w:val="000000" w:themeColor="text1"/>
                <w:szCs w:val="22"/>
              </w:rPr>
            </w:pPr>
            <w:r w:rsidRPr="0023394E">
              <w:rPr>
                <w:bCs w:val="0"/>
                <w:color w:val="000000" w:themeColor="text1"/>
                <w:szCs w:val="22"/>
              </w:rPr>
              <w:t>TIME</w:t>
            </w:r>
            <w:r w:rsidRPr="0023394E">
              <w:rPr>
                <w:bCs w:val="0"/>
                <w:color w:val="000000" w:themeColor="text1"/>
                <w:szCs w:val="22"/>
                <w:vertAlign w:val="superscript"/>
              </w:rPr>
              <w:footnoteReference w:id="7"/>
            </w:r>
          </w:p>
        </w:tc>
      </w:tr>
      <w:tr w:rsidR="0023394E" w:rsidRPr="0023394E" w14:paraId="5364B7D9" w14:textId="77777777" w:rsidTr="69CB18E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B7ECBE2" w14:textId="77777777" w:rsidR="003B32F0" w:rsidRPr="0023394E" w:rsidRDefault="003B32F0" w:rsidP="006D46A0">
            <w:pPr>
              <w:keepNext/>
              <w:keepLines/>
              <w:widowControl w:val="0"/>
              <w:jc w:val="both"/>
              <w:rPr>
                <w:color w:val="000000" w:themeColor="text1"/>
                <w:szCs w:val="22"/>
              </w:rPr>
            </w:pPr>
            <w:r w:rsidRPr="0023394E">
              <w:rPr>
                <w:color w:val="000000" w:themeColor="text1"/>
                <w:szCs w:val="22"/>
              </w:rPr>
              <w:t>Solicitation Release</w:t>
            </w:r>
          </w:p>
        </w:tc>
        <w:tc>
          <w:tcPr>
            <w:tcW w:w="2070" w:type="dxa"/>
          </w:tcPr>
          <w:p w14:paraId="0A607A8A" w14:textId="309C7178" w:rsidR="003B32F0" w:rsidRPr="0023394E" w:rsidRDefault="003B32F0" w:rsidP="006D46A0">
            <w:pPr>
              <w:keepNext/>
              <w:keepLines/>
              <w:widowControl w:val="0"/>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23394E">
              <w:rPr>
                <w:b/>
                <w:bCs/>
                <w:color w:val="000000" w:themeColor="text1"/>
                <w:szCs w:val="22"/>
              </w:rPr>
              <w:t xml:space="preserve">October </w:t>
            </w:r>
            <w:r w:rsidR="004A130A">
              <w:rPr>
                <w:b/>
                <w:bCs/>
                <w:color w:val="000000" w:themeColor="text1"/>
                <w:szCs w:val="22"/>
              </w:rPr>
              <w:t>1</w:t>
            </w:r>
            <w:r w:rsidR="00403F54">
              <w:rPr>
                <w:b/>
                <w:bCs/>
                <w:color w:val="000000" w:themeColor="text1"/>
                <w:szCs w:val="22"/>
              </w:rPr>
              <w:t>9</w:t>
            </w:r>
            <w:r w:rsidRPr="0023394E">
              <w:rPr>
                <w:b/>
                <w:bCs/>
                <w:color w:val="000000" w:themeColor="text1"/>
                <w:szCs w:val="22"/>
              </w:rPr>
              <w:t>, 2021</w:t>
            </w:r>
          </w:p>
        </w:tc>
        <w:tc>
          <w:tcPr>
            <w:cnfStyle w:val="000010000000" w:firstRow="0" w:lastRow="0" w:firstColumn="0" w:lastColumn="0" w:oddVBand="1" w:evenVBand="0" w:oddHBand="0" w:evenHBand="0" w:firstRowFirstColumn="0" w:firstRowLastColumn="0" w:lastRowFirstColumn="0" w:lastRowLastColumn="0"/>
            <w:tcW w:w="1800" w:type="dxa"/>
          </w:tcPr>
          <w:p w14:paraId="3249C704" w14:textId="77777777" w:rsidR="003B32F0" w:rsidRPr="0023394E" w:rsidRDefault="003B32F0" w:rsidP="006D46A0">
            <w:pPr>
              <w:keepNext/>
              <w:keepLines/>
              <w:widowControl w:val="0"/>
              <w:jc w:val="both"/>
              <w:rPr>
                <w:color w:val="000000" w:themeColor="text1"/>
                <w:szCs w:val="22"/>
              </w:rPr>
            </w:pPr>
          </w:p>
        </w:tc>
      </w:tr>
      <w:tr w:rsidR="0023394E" w:rsidRPr="0023394E" w14:paraId="7AFB7D31" w14:textId="77777777" w:rsidTr="69CB18E5">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59EDE00A" w14:textId="77777777" w:rsidR="003B32F0" w:rsidRPr="0023394E" w:rsidRDefault="003B32F0" w:rsidP="006D46A0">
            <w:pPr>
              <w:keepNext/>
              <w:keepLines/>
              <w:widowControl w:val="0"/>
              <w:jc w:val="both"/>
              <w:rPr>
                <w:b/>
                <w:color w:val="000000" w:themeColor="text1"/>
                <w:szCs w:val="22"/>
              </w:rPr>
            </w:pPr>
            <w:r w:rsidRPr="0023394E">
              <w:rPr>
                <w:b/>
                <w:color w:val="000000" w:themeColor="text1"/>
                <w:szCs w:val="22"/>
              </w:rPr>
              <w:t>Pre-Application Workshop</w:t>
            </w:r>
          </w:p>
        </w:tc>
        <w:tc>
          <w:tcPr>
            <w:tcW w:w="2070" w:type="dxa"/>
          </w:tcPr>
          <w:p w14:paraId="15B8C22B" w14:textId="695D934D" w:rsidR="003B32F0" w:rsidRPr="0023394E" w:rsidRDefault="00CE0D56" w:rsidP="69CB18E5">
            <w:pPr>
              <w:keepNext/>
              <w:keepLines/>
              <w:widowControl w:val="0"/>
              <w:cnfStyle w:val="000000000000" w:firstRow="0" w:lastRow="0" w:firstColumn="0" w:lastColumn="0" w:oddVBand="0" w:evenVBand="0" w:oddHBand="0" w:evenHBand="0" w:firstRowFirstColumn="0" w:firstRowLastColumn="0" w:lastRowFirstColumn="0" w:lastRowLastColumn="0"/>
              <w:rPr>
                <w:b/>
                <w:bCs/>
                <w:color w:val="000000" w:themeColor="text1"/>
              </w:rPr>
            </w:pPr>
            <w:r w:rsidRPr="69CB18E5">
              <w:rPr>
                <w:b/>
                <w:bCs/>
                <w:color w:val="000000" w:themeColor="text1"/>
              </w:rPr>
              <w:t>November</w:t>
            </w:r>
            <w:r w:rsidR="6F767619" w:rsidRPr="69CB18E5">
              <w:rPr>
                <w:b/>
                <w:bCs/>
                <w:color w:val="000000" w:themeColor="text1"/>
              </w:rPr>
              <w:t xml:space="preserve"> </w:t>
            </w:r>
            <w:r w:rsidRPr="69CB18E5">
              <w:rPr>
                <w:b/>
                <w:bCs/>
                <w:color w:val="000000" w:themeColor="text1"/>
              </w:rPr>
              <w:t>2, 2021</w:t>
            </w:r>
          </w:p>
        </w:tc>
        <w:tc>
          <w:tcPr>
            <w:cnfStyle w:val="000010000000" w:firstRow="0" w:lastRow="0" w:firstColumn="0" w:lastColumn="0" w:oddVBand="1" w:evenVBand="0" w:oddHBand="0" w:evenHBand="0" w:firstRowFirstColumn="0" w:firstRowLastColumn="0" w:lastRowFirstColumn="0" w:lastRowLastColumn="0"/>
            <w:tcW w:w="1800" w:type="dxa"/>
          </w:tcPr>
          <w:p w14:paraId="6BFD99A0" w14:textId="57999170" w:rsidR="003B32F0" w:rsidRPr="0023394E" w:rsidRDefault="00CE0D56" w:rsidP="006D46A0">
            <w:pPr>
              <w:keepNext/>
              <w:keepLines/>
              <w:widowControl w:val="0"/>
              <w:jc w:val="both"/>
              <w:rPr>
                <w:b/>
                <w:color w:val="000000" w:themeColor="text1"/>
                <w:szCs w:val="22"/>
              </w:rPr>
            </w:pPr>
            <w:r w:rsidRPr="0023394E">
              <w:rPr>
                <w:b/>
                <w:color w:val="000000" w:themeColor="text1"/>
                <w:szCs w:val="22"/>
              </w:rPr>
              <w:t>9:00a.m.</w:t>
            </w:r>
          </w:p>
        </w:tc>
      </w:tr>
      <w:tr w:rsidR="0023394E" w:rsidRPr="0023394E" w14:paraId="60664112" w14:textId="77777777" w:rsidTr="69CB18E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CFEBA90" w14:textId="77777777" w:rsidR="003B32F0" w:rsidRPr="0023394E" w:rsidRDefault="003B32F0" w:rsidP="006D46A0">
            <w:pPr>
              <w:keepNext/>
              <w:keepLines/>
              <w:widowControl w:val="0"/>
              <w:jc w:val="both"/>
              <w:rPr>
                <w:b/>
                <w:color w:val="000000" w:themeColor="text1"/>
                <w:szCs w:val="22"/>
              </w:rPr>
            </w:pPr>
            <w:r w:rsidRPr="0023394E">
              <w:rPr>
                <w:b/>
                <w:color w:val="000000" w:themeColor="text1"/>
                <w:szCs w:val="22"/>
              </w:rPr>
              <w:t>Deadline for Written Questions</w:t>
            </w:r>
            <w:r w:rsidRPr="0023394E">
              <w:rPr>
                <w:b/>
                <w:color w:val="000000" w:themeColor="text1"/>
                <w:szCs w:val="22"/>
                <w:u w:val="single"/>
                <w:vertAlign w:val="superscript"/>
              </w:rPr>
              <w:footnoteReference w:id="8"/>
            </w:r>
          </w:p>
        </w:tc>
        <w:tc>
          <w:tcPr>
            <w:tcW w:w="2070" w:type="dxa"/>
          </w:tcPr>
          <w:p w14:paraId="7347E03B" w14:textId="434C1EBE" w:rsidR="003B32F0" w:rsidRPr="0023394E" w:rsidRDefault="00CE0D56" w:rsidP="69CB18E5">
            <w:pPr>
              <w:keepNext/>
              <w:keepLines/>
              <w:widowControl w:val="0"/>
              <w:cnfStyle w:val="000000100000" w:firstRow="0" w:lastRow="0" w:firstColumn="0" w:lastColumn="0" w:oddVBand="0" w:evenVBand="0" w:oddHBand="1" w:evenHBand="0" w:firstRowFirstColumn="0" w:firstRowLastColumn="0" w:lastRowFirstColumn="0" w:lastRowLastColumn="0"/>
              <w:rPr>
                <w:b/>
                <w:bCs/>
                <w:color w:val="000000" w:themeColor="text1"/>
              </w:rPr>
            </w:pPr>
            <w:r w:rsidRPr="69CB18E5">
              <w:rPr>
                <w:b/>
                <w:bCs/>
                <w:color w:val="000000" w:themeColor="text1"/>
              </w:rPr>
              <w:t>Nov</w:t>
            </w:r>
            <w:r w:rsidR="53EBA1A4" w:rsidRPr="69CB18E5">
              <w:rPr>
                <w:b/>
                <w:bCs/>
                <w:color w:val="000000" w:themeColor="text1"/>
              </w:rPr>
              <w:t>ember</w:t>
            </w:r>
            <w:r w:rsidRPr="69CB18E5">
              <w:rPr>
                <w:b/>
                <w:bCs/>
                <w:color w:val="000000" w:themeColor="text1"/>
              </w:rPr>
              <w:t xml:space="preserve"> 10, 2021</w:t>
            </w:r>
          </w:p>
        </w:tc>
        <w:tc>
          <w:tcPr>
            <w:cnfStyle w:val="000010000000" w:firstRow="0" w:lastRow="0" w:firstColumn="0" w:lastColumn="0" w:oddVBand="1" w:evenVBand="0" w:oddHBand="0" w:evenHBand="0" w:firstRowFirstColumn="0" w:firstRowLastColumn="0" w:lastRowFirstColumn="0" w:lastRowLastColumn="0"/>
            <w:tcW w:w="1800" w:type="dxa"/>
          </w:tcPr>
          <w:p w14:paraId="277220EF" w14:textId="77777777" w:rsidR="003B32F0" w:rsidRPr="0023394E" w:rsidRDefault="003B32F0" w:rsidP="006D46A0">
            <w:pPr>
              <w:keepNext/>
              <w:keepLines/>
              <w:widowControl w:val="0"/>
              <w:jc w:val="both"/>
              <w:rPr>
                <w:b/>
                <w:color w:val="000000" w:themeColor="text1"/>
                <w:szCs w:val="22"/>
              </w:rPr>
            </w:pPr>
            <w:r w:rsidRPr="0023394E">
              <w:rPr>
                <w:b/>
                <w:color w:val="000000" w:themeColor="text1"/>
                <w:szCs w:val="22"/>
              </w:rPr>
              <w:t>5:00 p.m.</w:t>
            </w:r>
          </w:p>
        </w:tc>
      </w:tr>
      <w:tr w:rsidR="0023394E" w:rsidRPr="0023394E" w14:paraId="45B5FA41" w14:textId="77777777" w:rsidTr="69CB18E5">
        <w:trPr>
          <w:trHeight w:hRule="exact" w:val="883"/>
        </w:trPr>
        <w:tc>
          <w:tcPr>
            <w:cnfStyle w:val="000010000000" w:firstRow="0" w:lastRow="0" w:firstColumn="0" w:lastColumn="0" w:oddVBand="1" w:evenVBand="0" w:oddHBand="0" w:evenHBand="0" w:firstRowFirstColumn="0" w:firstRowLastColumn="0" w:lastRowFirstColumn="0" w:lastRowLastColumn="0"/>
            <w:tcW w:w="5940" w:type="dxa"/>
          </w:tcPr>
          <w:p w14:paraId="4DDB3DFC" w14:textId="77777777" w:rsidR="003B32F0" w:rsidRPr="0023394E" w:rsidRDefault="003B32F0" w:rsidP="006D46A0">
            <w:pPr>
              <w:widowControl w:val="0"/>
              <w:spacing w:after="0"/>
              <w:jc w:val="both"/>
              <w:rPr>
                <w:color w:val="000000" w:themeColor="text1"/>
                <w:szCs w:val="22"/>
              </w:rPr>
            </w:pPr>
            <w:r w:rsidRPr="0023394E">
              <w:rPr>
                <w:color w:val="000000" w:themeColor="text1"/>
                <w:szCs w:val="22"/>
              </w:rPr>
              <w:t>Anticipated Distribution of Questions and Answers (</w:t>
            </w:r>
            <w:r w:rsidRPr="0023394E">
              <w:rPr>
                <w:i/>
                <w:color w:val="000000" w:themeColor="text1"/>
                <w:szCs w:val="22"/>
              </w:rPr>
              <w:t>date should be at least two weeks after the Deadline for Written Questions)</w:t>
            </w:r>
          </w:p>
        </w:tc>
        <w:tc>
          <w:tcPr>
            <w:tcW w:w="2070" w:type="dxa"/>
          </w:tcPr>
          <w:p w14:paraId="6EE5BC58" w14:textId="016A1009" w:rsidR="003B32F0" w:rsidRPr="0023394E" w:rsidRDefault="00CE0D56" w:rsidP="006D46A0">
            <w:pPr>
              <w:keepNext/>
              <w:keepLines/>
              <w:widowControl w:val="0"/>
              <w:cnfStyle w:val="000000000000" w:firstRow="0" w:lastRow="0" w:firstColumn="0" w:lastColumn="0" w:oddVBand="0" w:evenVBand="0" w:oddHBand="0" w:evenHBand="0" w:firstRowFirstColumn="0" w:firstRowLastColumn="0" w:lastRowFirstColumn="0" w:lastRowLastColumn="0"/>
              <w:rPr>
                <w:color w:val="000000" w:themeColor="text1"/>
              </w:rPr>
            </w:pPr>
            <w:r w:rsidRPr="0023394E">
              <w:rPr>
                <w:color w:val="000000" w:themeColor="text1"/>
                <w:szCs w:val="22"/>
              </w:rPr>
              <w:t>November 22, 2021</w:t>
            </w:r>
          </w:p>
        </w:tc>
        <w:tc>
          <w:tcPr>
            <w:cnfStyle w:val="000010000000" w:firstRow="0" w:lastRow="0" w:firstColumn="0" w:lastColumn="0" w:oddVBand="1" w:evenVBand="0" w:oddHBand="0" w:evenHBand="0" w:firstRowFirstColumn="0" w:firstRowLastColumn="0" w:lastRowFirstColumn="0" w:lastRowLastColumn="0"/>
            <w:tcW w:w="1800" w:type="dxa"/>
          </w:tcPr>
          <w:p w14:paraId="7E7766F6" w14:textId="77777777" w:rsidR="003B32F0" w:rsidRPr="0023394E" w:rsidRDefault="003B32F0" w:rsidP="006D46A0">
            <w:pPr>
              <w:keepNext/>
              <w:keepLines/>
              <w:widowControl w:val="0"/>
              <w:jc w:val="both"/>
              <w:rPr>
                <w:color w:val="000000" w:themeColor="text1"/>
                <w:szCs w:val="22"/>
              </w:rPr>
            </w:pPr>
          </w:p>
        </w:tc>
      </w:tr>
      <w:tr w:rsidR="0023394E" w:rsidRPr="0023394E" w14:paraId="3D585329" w14:textId="77777777" w:rsidTr="69CB18E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14E786F" w14:textId="77777777" w:rsidR="003B32F0" w:rsidRPr="0023394E" w:rsidRDefault="003B32F0" w:rsidP="006D46A0">
            <w:pPr>
              <w:keepNext/>
              <w:keepLines/>
              <w:widowControl w:val="0"/>
              <w:jc w:val="both"/>
              <w:rPr>
                <w:b/>
                <w:color w:val="000000" w:themeColor="text1"/>
                <w:szCs w:val="22"/>
              </w:rPr>
            </w:pPr>
            <w:r w:rsidRPr="0023394E">
              <w:rPr>
                <w:b/>
                <w:color w:val="000000" w:themeColor="text1"/>
                <w:szCs w:val="22"/>
              </w:rPr>
              <w:t>Deadline to Submit Applications</w:t>
            </w:r>
          </w:p>
        </w:tc>
        <w:tc>
          <w:tcPr>
            <w:tcW w:w="2070" w:type="dxa"/>
          </w:tcPr>
          <w:p w14:paraId="6A6F3EF2" w14:textId="3AE21C46" w:rsidR="003B32F0" w:rsidRPr="0023394E" w:rsidRDefault="1476FDCB" w:rsidP="69CB18E5">
            <w:pPr>
              <w:keepNext/>
              <w:keepLines/>
              <w:widowControl w:val="0"/>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69CB18E5">
              <w:rPr>
                <w:b/>
                <w:bCs/>
                <w:color w:val="000000" w:themeColor="text1"/>
              </w:rPr>
              <w:t>Jan</w:t>
            </w:r>
            <w:r w:rsidR="0B3B07C9" w:rsidRPr="69CB18E5">
              <w:rPr>
                <w:b/>
                <w:bCs/>
                <w:color w:val="000000" w:themeColor="text1"/>
              </w:rPr>
              <w:t>uary</w:t>
            </w:r>
            <w:r w:rsidRPr="69CB18E5">
              <w:rPr>
                <w:b/>
                <w:bCs/>
                <w:color w:val="000000" w:themeColor="text1"/>
              </w:rPr>
              <w:t xml:space="preserve"> 4</w:t>
            </w:r>
            <w:r w:rsidR="003B32F0" w:rsidRPr="69CB18E5">
              <w:rPr>
                <w:b/>
                <w:bCs/>
                <w:color w:val="000000" w:themeColor="text1"/>
              </w:rPr>
              <w:t>, 202</w:t>
            </w:r>
            <w:r w:rsidRPr="69CB18E5">
              <w:rPr>
                <w:b/>
                <w:bCs/>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800" w:type="dxa"/>
          </w:tcPr>
          <w:p w14:paraId="48CEB73C" w14:textId="77777777" w:rsidR="003B32F0" w:rsidRPr="0023394E" w:rsidRDefault="003B32F0" w:rsidP="006D46A0">
            <w:pPr>
              <w:keepNext/>
              <w:keepLines/>
              <w:widowControl w:val="0"/>
              <w:jc w:val="both"/>
              <w:rPr>
                <w:color w:val="000000" w:themeColor="text1"/>
                <w:szCs w:val="22"/>
              </w:rPr>
            </w:pPr>
            <w:r w:rsidRPr="0023394E">
              <w:rPr>
                <w:b/>
                <w:color w:val="000000" w:themeColor="text1"/>
                <w:szCs w:val="22"/>
              </w:rPr>
              <w:t>5:00 p.m.</w:t>
            </w:r>
          </w:p>
        </w:tc>
      </w:tr>
      <w:tr w:rsidR="0023394E" w:rsidRPr="0023394E" w14:paraId="5AF549DB" w14:textId="77777777" w:rsidTr="69CB18E5">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07B27FC" w14:textId="77777777" w:rsidR="003B32F0" w:rsidRPr="0023394E" w:rsidRDefault="003B32F0" w:rsidP="006D46A0">
            <w:pPr>
              <w:keepNext/>
              <w:keepLines/>
              <w:widowControl w:val="0"/>
              <w:jc w:val="both"/>
              <w:rPr>
                <w:color w:val="000000" w:themeColor="text1"/>
                <w:szCs w:val="22"/>
              </w:rPr>
            </w:pPr>
            <w:r w:rsidRPr="0023394E">
              <w:rPr>
                <w:color w:val="000000" w:themeColor="text1"/>
                <w:szCs w:val="22"/>
              </w:rPr>
              <w:t>Anticipated Notice of Proposed Award Posting Date</w:t>
            </w:r>
          </w:p>
        </w:tc>
        <w:tc>
          <w:tcPr>
            <w:tcW w:w="2070" w:type="dxa"/>
          </w:tcPr>
          <w:p w14:paraId="0FB9AB18" w14:textId="6FF8408B" w:rsidR="003B32F0" w:rsidRPr="0023394E" w:rsidRDefault="003A3145" w:rsidP="006D46A0">
            <w:pPr>
              <w:keepNext/>
              <w:keepLines/>
              <w:widowControl w:val="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23394E">
              <w:rPr>
                <w:color w:val="000000" w:themeColor="text1"/>
                <w:szCs w:val="22"/>
              </w:rPr>
              <w:t>March 2, 2022</w:t>
            </w:r>
          </w:p>
        </w:tc>
        <w:tc>
          <w:tcPr>
            <w:cnfStyle w:val="000010000000" w:firstRow="0" w:lastRow="0" w:firstColumn="0" w:lastColumn="0" w:oddVBand="1" w:evenVBand="0" w:oddHBand="0" w:evenHBand="0" w:firstRowFirstColumn="0" w:firstRowLastColumn="0" w:lastRowFirstColumn="0" w:lastRowLastColumn="0"/>
            <w:tcW w:w="1800" w:type="dxa"/>
          </w:tcPr>
          <w:p w14:paraId="60E56234" w14:textId="77777777" w:rsidR="003B32F0" w:rsidRPr="0023394E" w:rsidRDefault="003B32F0" w:rsidP="006D46A0">
            <w:pPr>
              <w:keepNext/>
              <w:keepLines/>
              <w:widowControl w:val="0"/>
              <w:jc w:val="both"/>
              <w:rPr>
                <w:color w:val="000000" w:themeColor="text1"/>
                <w:szCs w:val="22"/>
              </w:rPr>
            </w:pPr>
          </w:p>
        </w:tc>
      </w:tr>
      <w:tr w:rsidR="0023394E" w:rsidRPr="0023394E" w14:paraId="6250888F" w14:textId="77777777" w:rsidTr="69CB18E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F1F3A5E" w14:textId="77777777" w:rsidR="003B32F0" w:rsidRPr="0023394E" w:rsidRDefault="003B32F0" w:rsidP="006D46A0">
            <w:pPr>
              <w:widowControl w:val="0"/>
              <w:jc w:val="both"/>
              <w:rPr>
                <w:color w:val="000000" w:themeColor="text1"/>
                <w:szCs w:val="22"/>
              </w:rPr>
            </w:pPr>
            <w:r w:rsidRPr="0023394E">
              <w:rPr>
                <w:color w:val="000000" w:themeColor="text1"/>
                <w:szCs w:val="22"/>
              </w:rPr>
              <w:t>Anticipated Energy Commission Business Meeting Date</w:t>
            </w:r>
          </w:p>
        </w:tc>
        <w:tc>
          <w:tcPr>
            <w:tcW w:w="2070" w:type="dxa"/>
          </w:tcPr>
          <w:p w14:paraId="3C0ED987" w14:textId="05C0A36A" w:rsidR="003B32F0" w:rsidRPr="0023394E" w:rsidRDefault="003A3145" w:rsidP="006D46A0">
            <w:pPr>
              <w:keepNext/>
              <w:keepLines/>
              <w:widowControl w:val="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23394E">
              <w:rPr>
                <w:color w:val="000000" w:themeColor="text1"/>
              </w:rPr>
              <w:t>May 11, 2022</w:t>
            </w:r>
          </w:p>
        </w:tc>
        <w:tc>
          <w:tcPr>
            <w:cnfStyle w:val="000010000000" w:firstRow="0" w:lastRow="0" w:firstColumn="0" w:lastColumn="0" w:oddVBand="1" w:evenVBand="0" w:oddHBand="0" w:evenHBand="0" w:firstRowFirstColumn="0" w:firstRowLastColumn="0" w:lastRowFirstColumn="0" w:lastRowLastColumn="0"/>
            <w:tcW w:w="1800" w:type="dxa"/>
          </w:tcPr>
          <w:p w14:paraId="20BBDE6C" w14:textId="77777777" w:rsidR="003B32F0" w:rsidRPr="0023394E" w:rsidRDefault="003B32F0" w:rsidP="006D46A0">
            <w:pPr>
              <w:keepNext/>
              <w:keepLines/>
              <w:widowControl w:val="0"/>
              <w:jc w:val="both"/>
              <w:rPr>
                <w:color w:val="000000" w:themeColor="text1"/>
                <w:szCs w:val="22"/>
              </w:rPr>
            </w:pPr>
          </w:p>
        </w:tc>
      </w:tr>
      <w:tr w:rsidR="0023394E" w:rsidRPr="0023394E" w14:paraId="3F93768C" w14:textId="77777777" w:rsidTr="69CB18E5">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4693C00C" w14:textId="77777777" w:rsidR="003B32F0" w:rsidRPr="0023394E" w:rsidRDefault="003B32F0" w:rsidP="006D46A0">
            <w:pPr>
              <w:widowControl w:val="0"/>
              <w:jc w:val="both"/>
              <w:rPr>
                <w:color w:val="000000" w:themeColor="text1"/>
                <w:szCs w:val="22"/>
              </w:rPr>
            </w:pPr>
            <w:r w:rsidRPr="0023394E">
              <w:rPr>
                <w:color w:val="000000" w:themeColor="text1"/>
                <w:szCs w:val="22"/>
              </w:rPr>
              <w:t>Anticipated Agreement Start Date</w:t>
            </w:r>
          </w:p>
        </w:tc>
        <w:tc>
          <w:tcPr>
            <w:tcW w:w="2070" w:type="dxa"/>
          </w:tcPr>
          <w:p w14:paraId="2D3B6DFE" w14:textId="15B81DF0" w:rsidR="003B32F0" w:rsidRPr="0023394E" w:rsidRDefault="003A3145" w:rsidP="006D46A0">
            <w:pPr>
              <w:keepNext/>
              <w:keepLines/>
              <w:widowControl w:val="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23394E">
              <w:rPr>
                <w:color w:val="000000" w:themeColor="text1"/>
                <w:szCs w:val="22"/>
              </w:rPr>
              <w:t>May 18, 2022</w:t>
            </w:r>
          </w:p>
        </w:tc>
        <w:tc>
          <w:tcPr>
            <w:cnfStyle w:val="000010000000" w:firstRow="0" w:lastRow="0" w:firstColumn="0" w:lastColumn="0" w:oddVBand="1" w:evenVBand="0" w:oddHBand="0" w:evenHBand="0" w:firstRowFirstColumn="0" w:firstRowLastColumn="0" w:lastRowFirstColumn="0" w:lastRowLastColumn="0"/>
            <w:tcW w:w="1800" w:type="dxa"/>
          </w:tcPr>
          <w:p w14:paraId="5BF776BF" w14:textId="77777777" w:rsidR="003B32F0" w:rsidRPr="0023394E" w:rsidRDefault="003B32F0" w:rsidP="006D46A0">
            <w:pPr>
              <w:keepNext/>
              <w:keepLines/>
              <w:widowControl w:val="0"/>
              <w:jc w:val="both"/>
              <w:rPr>
                <w:color w:val="000000" w:themeColor="text1"/>
                <w:szCs w:val="22"/>
              </w:rPr>
            </w:pPr>
          </w:p>
        </w:tc>
      </w:tr>
      <w:tr w:rsidR="0023394E" w:rsidRPr="0023394E" w14:paraId="1696834B" w14:textId="77777777" w:rsidTr="69CB18E5">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1737A7B0" w14:textId="77777777" w:rsidR="003B32F0" w:rsidRPr="0023394E" w:rsidRDefault="003B32F0" w:rsidP="006D46A0">
            <w:pPr>
              <w:widowControl w:val="0"/>
              <w:jc w:val="both"/>
              <w:rPr>
                <w:color w:val="000000" w:themeColor="text1"/>
                <w:szCs w:val="22"/>
              </w:rPr>
            </w:pPr>
            <w:r w:rsidRPr="0023394E">
              <w:rPr>
                <w:color w:val="000000" w:themeColor="text1"/>
                <w:szCs w:val="22"/>
              </w:rPr>
              <w:t xml:space="preserve">Anticipated Agreement End Date </w:t>
            </w:r>
          </w:p>
        </w:tc>
        <w:tc>
          <w:tcPr>
            <w:tcW w:w="2070" w:type="dxa"/>
          </w:tcPr>
          <w:p w14:paraId="4D28C1B6" w14:textId="2B3F0A09" w:rsidR="003B32F0" w:rsidRPr="0023394E" w:rsidRDefault="003B32F0" w:rsidP="006D46A0">
            <w:pPr>
              <w:keepNext/>
              <w:keepLines/>
              <w:widowControl w:val="0"/>
              <w:jc w:val="both"/>
              <w:cnfStyle w:val="000000100000" w:firstRow="0" w:lastRow="0" w:firstColumn="0" w:lastColumn="0" w:oddVBand="0" w:evenVBand="0" w:oddHBand="1" w:evenHBand="0" w:firstRowFirstColumn="0" w:firstRowLastColumn="0" w:lastRowFirstColumn="0" w:lastRowLastColumn="0"/>
              <w:rPr>
                <w:color w:val="000000" w:themeColor="text1"/>
                <w:szCs w:val="22"/>
              </w:rPr>
            </w:pPr>
            <w:r w:rsidRPr="0023394E">
              <w:rPr>
                <w:color w:val="000000" w:themeColor="text1"/>
                <w:szCs w:val="22"/>
              </w:rPr>
              <w:t>March 31,</w:t>
            </w:r>
            <w:r w:rsidR="00ED69A7" w:rsidRPr="0023394E">
              <w:rPr>
                <w:color w:val="000000" w:themeColor="text1"/>
                <w:szCs w:val="22"/>
              </w:rPr>
              <w:t xml:space="preserve"> 2026</w:t>
            </w:r>
          </w:p>
        </w:tc>
        <w:tc>
          <w:tcPr>
            <w:cnfStyle w:val="000010000000" w:firstRow="0" w:lastRow="0" w:firstColumn="0" w:lastColumn="0" w:oddVBand="1" w:evenVBand="0" w:oddHBand="0" w:evenHBand="0" w:firstRowFirstColumn="0" w:firstRowLastColumn="0" w:lastRowFirstColumn="0" w:lastRowLastColumn="0"/>
            <w:tcW w:w="1800" w:type="dxa"/>
          </w:tcPr>
          <w:p w14:paraId="2F9C347E" w14:textId="77777777" w:rsidR="003B32F0" w:rsidRPr="0023394E" w:rsidRDefault="003B32F0" w:rsidP="006D46A0">
            <w:pPr>
              <w:keepNext/>
              <w:keepLines/>
              <w:widowControl w:val="0"/>
              <w:jc w:val="both"/>
              <w:rPr>
                <w:color w:val="000000" w:themeColor="text1"/>
                <w:szCs w:val="22"/>
              </w:rPr>
            </w:pPr>
          </w:p>
        </w:tc>
      </w:tr>
    </w:tbl>
    <w:p w14:paraId="27378C98" w14:textId="77777777" w:rsidR="003B32F0" w:rsidRPr="003F6147" w:rsidRDefault="003B32F0" w:rsidP="003B32F0">
      <w:pPr>
        <w:spacing w:after="0"/>
        <w:jc w:val="both"/>
      </w:pPr>
    </w:p>
    <w:p w14:paraId="19196D7A" w14:textId="77777777" w:rsidR="003B32F0" w:rsidRPr="00756BAC" w:rsidRDefault="003B32F0" w:rsidP="00DC65CB">
      <w:pPr>
        <w:pStyle w:val="Heading2"/>
        <w:numPr>
          <w:ilvl w:val="0"/>
          <w:numId w:val="44"/>
        </w:numPr>
      </w:pPr>
      <w:bookmarkStart w:id="27" w:name="_Toc458602326"/>
      <w:bookmarkStart w:id="28" w:name="_Toc84844916"/>
      <w:r w:rsidRPr="00756BAC">
        <w:t>Notice of Pre-Application Workshop</w:t>
      </w:r>
      <w:bookmarkEnd w:id="27"/>
      <w:bookmarkEnd w:id="28"/>
    </w:p>
    <w:p w14:paraId="7F899504" w14:textId="77777777" w:rsidR="003B32F0" w:rsidRPr="003F6147" w:rsidRDefault="003B32F0" w:rsidP="003B32F0">
      <w:pPr>
        <w:jc w:val="both"/>
        <w:rPr>
          <w:szCs w:val="22"/>
        </w:rPr>
      </w:pPr>
      <w:r w:rsidRPr="003F6147">
        <w:rPr>
          <w:szCs w:val="22"/>
        </w:rPr>
        <w:t xml:space="preserve">CEC staff will hold one Pre-Application Workshop to discuss the solicitation with potential applicants. Participation is optional but encouraged.  </w:t>
      </w:r>
      <w:r w:rsidRPr="00137D9C">
        <w:rPr>
          <w:szCs w:val="22"/>
        </w:rPr>
        <w:t xml:space="preserve">The Pre-Application Workshop will be held remotely, consistent with Executive Orders N-25-20 and N-29-20 and the recommendations from the California Department of Public Health to encourage physical distancing to slow the spread of COVID-19. </w:t>
      </w:r>
      <w:r w:rsidRPr="003F6147">
        <w:rPr>
          <w:szCs w:val="22"/>
        </w:rPr>
        <w:t>Applicants may attend the workshop via the internet (</w:t>
      </w:r>
      <w:r>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5C26C764" w14:textId="77777777" w:rsidR="003B32F0" w:rsidRDefault="003B32F0" w:rsidP="003B32F0">
      <w:pPr>
        <w:spacing w:after="0"/>
        <w:rPr>
          <w:b/>
        </w:rPr>
      </w:pPr>
    </w:p>
    <w:p w14:paraId="56BC3ACB" w14:textId="2DF75233" w:rsidR="003B32F0" w:rsidRPr="003F6147" w:rsidRDefault="003B32F0" w:rsidP="003B32F0">
      <w:pPr>
        <w:spacing w:after="0"/>
        <w:rPr>
          <w:b/>
        </w:rPr>
      </w:pPr>
      <w:r w:rsidRPr="003F6147">
        <w:rPr>
          <w:b/>
        </w:rPr>
        <w:t>Date and time</w:t>
      </w:r>
      <w:r w:rsidRPr="00CE0D56">
        <w:rPr>
          <w:b/>
        </w:rPr>
        <w:t xml:space="preserve">: </w:t>
      </w:r>
      <w:r w:rsidR="00CE0D56" w:rsidRPr="00CE0D56">
        <w:t>November 2, 2021 at 9:00a.m.</w:t>
      </w:r>
    </w:p>
    <w:p w14:paraId="0E285411" w14:textId="77777777" w:rsidR="003B32F0" w:rsidRPr="003F6147" w:rsidRDefault="003B32F0" w:rsidP="003B32F0">
      <w:pPr>
        <w:spacing w:after="0"/>
        <w:jc w:val="both"/>
        <w:rPr>
          <w:b/>
          <w:u w:val="single"/>
        </w:rPr>
      </w:pPr>
    </w:p>
    <w:p w14:paraId="3C2DCD3E" w14:textId="77777777" w:rsidR="003B32F0" w:rsidRPr="003F6147" w:rsidRDefault="003B32F0" w:rsidP="003B32F0">
      <w:pPr>
        <w:tabs>
          <w:tab w:val="left" w:pos="1080"/>
        </w:tabs>
        <w:jc w:val="both"/>
        <w:rPr>
          <w:b/>
        </w:rPr>
      </w:pPr>
      <w:r>
        <w:rPr>
          <w:b/>
        </w:rPr>
        <w:t>Zoom</w:t>
      </w:r>
      <w:r w:rsidRPr="003F6147">
        <w:rPr>
          <w:b/>
        </w:rPr>
        <w:t xml:space="preserve"> Instructions:</w:t>
      </w:r>
    </w:p>
    <w:p w14:paraId="44279EC9" w14:textId="77777777" w:rsidR="003B32F0" w:rsidRPr="005F101E" w:rsidRDefault="003B32F0" w:rsidP="003B32F0">
      <w:pPr>
        <w:tabs>
          <w:tab w:val="left" w:pos="810"/>
        </w:tabs>
        <w:jc w:val="both"/>
      </w:pPr>
      <w:r w:rsidRPr="003F6147">
        <w:t xml:space="preserve">To join the </w:t>
      </w:r>
      <w:r>
        <w:t>Zoom</w:t>
      </w:r>
      <w:r w:rsidRPr="003F6147">
        <w:t xml:space="preserve"> meeting, go to </w:t>
      </w:r>
      <w:r w:rsidRPr="00AF4DB6">
        <w:t>https://zoom.us/join</w:t>
      </w:r>
      <w:r w:rsidRPr="003F6147">
        <w:t xml:space="preserve">and enter the </w:t>
      </w:r>
      <w:r>
        <w:t>M</w:t>
      </w:r>
      <w:r w:rsidRPr="003F6147">
        <w:t xml:space="preserve">eeting </w:t>
      </w:r>
      <w:r>
        <w:t>ID</w:t>
      </w:r>
      <w:r w:rsidRPr="003F6147">
        <w:t xml:space="preserve"> below</w:t>
      </w:r>
      <w:r>
        <w:t xml:space="preserve"> and</w:t>
      </w:r>
      <w:r w:rsidRPr="00B02478">
        <w:t xml:space="preserve"> select “join from your browser.”</w:t>
      </w:r>
      <w:r>
        <w:t xml:space="preserve"> Participants will then enter the meeting password listed below and their name. Participants will select the “Join” button.</w:t>
      </w:r>
      <w:r w:rsidRPr="003F6147">
        <w:t xml:space="preserve">:  </w:t>
      </w:r>
    </w:p>
    <w:p w14:paraId="12BE8617" w14:textId="77777777" w:rsidR="00CE0D56" w:rsidRDefault="003B32F0" w:rsidP="00ED69A7">
      <w:pPr>
        <w:spacing w:after="0"/>
        <w:ind w:left="720"/>
        <w:rPr>
          <w:rFonts w:ascii="Times New Roman" w:hAnsi="Times New Roman" w:cs="Times New Roman"/>
          <w:sz w:val="24"/>
        </w:rPr>
      </w:pPr>
      <w:r w:rsidRPr="003F6147">
        <w:rPr>
          <w:b/>
        </w:rPr>
        <w:t xml:space="preserve">Meeting </w:t>
      </w:r>
      <w:r w:rsidR="00CE0D56">
        <w:rPr>
          <w:b/>
        </w:rPr>
        <w:t>Link</w:t>
      </w:r>
      <w:r w:rsidRPr="003F6147">
        <w:rPr>
          <w:b/>
        </w:rPr>
        <w:t>:</w:t>
      </w:r>
      <w:r w:rsidRPr="003F6147">
        <w:t xml:space="preserve"> </w:t>
      </w:r>
      <w:hyperlink r:id="rId17" w:tooltip="https://energy.zoom.us/j/91698621267?pwd=Vk1LRFZIbWxFcUNyUVR4dzBOdHVGQT09" w:history="1">
        <w:r w:rsidR="00CE0D56" w:rsidRPr="00CE0D56">
          <w:rPr>
            <w:rStyle w:val="Hyperlink"/>
            <w:rFonts w:cs="Arial"/>
          </w:rPr>
          <w:t>https://energy.zoom.us/j/91698621267?pwd=Vk1LRFZIbWxFcUNyUVR4dzBOdHVGQT09</w:t>
        </w:r>
      </w:hyperlink>
    </w:p>
    <w:p w14:paraId="3F036800" w14:textId="322ACCCA" w:rsidR="003B32F0" w:rsidRPr="003F6147" w:rsidRDefault="003B32F0" w:rsidP="00ED69A7">
      <w:pPr>
        <w:tabs>
          <w:tab w:val="left" w:pos="900"/>
        </w:tabs>
        <w:spacing w:after="0"/>
        <w:ind w:left="1440" w:firstLine="360"/>
        <w:rPr>
          <w:b/>
          <w:bCs/>
          <w:color w:val="0070C0"/>
        </w:rPr>
      </w:pPr>
    </w:p>
    <w:p w14:paraId="00B99FD2" w14:textId="10732598" w:rsidR="003B32F0" w:rsidRPr="003F6147" w:rsidRDefault="003B32F0" w:rsidP="00ED69A7">
      <w:pPr>
        <w:spacing w:after="0"/>
        <w:ind w:left="720"/>
        <w:rPr>
          <w:color w:val="0070C0"/>
        </w:rPr>
      </w:pPr>
      <w:r w:rsidRPr="003F6147">
        <w:rPr>
          <w:b/>
        </w:rPr>
        <w:t>Meeting Password:</w:t>
      </w:r>
      <w:r w:rsidRPr="003F6147">
        <w:t xml:space="preserve"> </w:t>
      </w:r>
      <w:r w:rsidR="00CE0D56" w:rsidRPr="00CE0D56">
        <w:t>resilience</w:t>
      </w:r>
    </w:p>
    <w:p w14:paraId="6C34EA44" w14:textId="585640FB" w:rsidR="003B32F0" w:rsidRPr="00B34AD2" w:rsidRDefault="003B32F0" w:rsidP="00B34AD2">
      <w:pPr>
        <w:spacing w:after="0"/>
        <w:ind w:left="720"/>
        <w:rPr>
          <w:szCs w:val="22"/>
        </w:rPr>
      </w:pPr>
      <w:r w:rsidRPr="00B34AD2">
        <w:rPr>
          <w:b/>
          <w:szCs w:val="22"/>
        </w:rPr>
        <w:t>Topic:</w:t>
      </w:r>
      <w:r w:rsidRPr="00B34AD2">
        <w:rPr>
          <w:color w:val="0070C0"/>
          <w:szCs w:val="22"/>
        </w:rPr>
        <w:t xml:space="preserve"> </w:t>
      </w:r>
      <w:r w:rsidR="00CE0D56" w:rsidRPr="00B34AD2">
        <w:rPr>
          <w:szCs w:val="22"/>
        </w:rPr>
        <w:t>GFO-21-302 Pre-Application Workshop</w:t>
      </w:r>
      <w:r w:rsidR="00B34AD2" w:rsidRPr="00B34AD2">
        <w:rPr>
          <w:color w:val="000000"/>
          <w:szCs w:val="22"/>
          <w:shd w:val="clear" w:color="auto" w:fill="FFFFFF"/>
        </w:rPr>
        <w:t>: Research to Support a Climate Resilient Transition to a Clean Electricity System</w:t>
      </w:r>
    </w:p>
    <w:p w14:paraId="450C2EA3" w14:textId="77777777" w:rsidR="003B32F0" w:rsidRPr="003F6147" w:rsidRDefault="003B32F0" w:rsidP="003B32F0">
      <w:pPr>
        <w:tabs>
          <w:tab w:val="left" w:pos="810"/>
        </w:tabs>
        <w:spacing w:after="0"/>
        <w:jc w:val="both"/>
        <w:rPr>
          <w:b/>
          <w:u w:val="single"/>
        </w:rPr>
      </w:pPr>
    </w:p>
    <w:p w14:paraId="7F65F2DC" w14:textId="77777777" w:rsidR="003B32F0" w:rsidRPr="003F6147" w:rsidRDefault="003B32F0" w:rsidP="003B32F0">
      <w:pPr>
        <w:tabs>
          <w:tab w:val="left" w:pos="1080"/>
        </w:tabs>
        <w:jc w:val="both"/>
        <w:rPr>
          <w:b/>
        </w:rPr>
      </w:pPr>
      <w:r w:rsidRPr="003F6147">
        <w:rPr>
          <w:b/>
        </w:rPr>
        <w:t>Telephone Access Only:</w:t>
      </w:r>
    </w:p>
    <w:p w14:paraId="0522E55A" w14:textId="77777777" w:rsidR="003B32F0" w:rsidRPr="005F101E" w:rsidRDefault="003B32F0" w:rsidP="003B32F0">
      <w:pPr>
        <w:pStyle w:val="paragraph"/>
        <w:spacing w:before="0" w:beforeAutospacing="0" w:after="0" w:afterAutospacing="0"/>
        <w:jc w:val="both"/>
        <w:textAlignment w:val="baseline"/>
        <w:rPr>
          <w:szCs w:val="22"/>
        </w:rPr>
      </w:pPr>
      <w:r w:rsidRPr="005F101E">
        <w:rPr>
          <w:szCs w:val="22"/>
        </w:rPr>
        <w:t xml:space="preserve">Call </w:t>
      </w:r>
      <w:r w:rsidRPr="005F101E">
        <w:rPr>
          <w:b/>
          <w:szCs w:val="22"/>
        </w:rPr>
        <w:t>1-888 475 4499</w:t>
      </w:r>
      <w:r w:rsidRPr="005F101E">
        <w:rPr>
          <w:szCs w:val="22"/>
        </w:rPr>
        <w:t xml:space="preserve"> (Toll Free) or </w:t>
      </w:r>
      <w:r w:rsidRPr="005F101E">
        <w:rPr>
          <w:b/>
          <w:szCs w:val="22"/>
        </w:rPr>
        <w:t>1-877 853 5257</w:t>
      </w:r>
      <w:r w:rsidRPr="005F101E">
        <w:rPr>
          <w:szCs w:val="22"/>
        </w:rPr>
        <w:t xml:space="preserve"> (Toll Free). When prompted, enter the meeting number above. </w:t>
      </w:r>
      <w:r w:rsidRPr="005F101E">
        <w:rPr>
          <w:rStyle w:val="normaltextrun"/>
          <w:szCs w:val="22"/>
        </w:rPr>
        <w:t>International callers may select a number from the Zoom International Dial-in Number List at: https://energy.zoom.us/u/adjzKUXvoy. To comment, dial *9 to “raise your hand” and *6 to mute/unmute your phone line.</w:t>
      </w:r>
      <w:r w:rsidRPr="00624855">
        <w:rPr>
          <w:rStyle w:val="eop"/>
          <w:szCs w:val="22"/>
        </w:rPr>
        <w:t> </w:t>
      </w:r>
    </w:p>
    <w:p w14:paraId="26C551E3" w14:textId="77777777" w:rsidR="003B32F0" w:rsidRPr="005F101E" w:rsidRDefault="003B32F0" w:rsidP="003B32F0">
      <w:pPr>
        <w:pStyle w:val="paragraph"/>
        <w:spacing w:before="0" w:beforeAutospacing="0" w:after="0" w:afterAutospacing="0"/>
        <w:jc w:val="both"/>
        <w:textAlignment w:val="baseline"/>
        <w:rPr>
          <w:szCs w:val="22"/>
        </w:rPr>
      </w:pPr>
      <w:r w:rsidRPr="00DB189C">
        <w:rPr>
          <w:rStyle w:val="eop"/>
          <w:szCs w:val="22"/>
        </w:rPr>
        <w:t> </w:t>
      </w:r>
    </w:p>
    <w:p w14:paraId="7AE34109" w14:textId="77777777" w:rsidR="003B32F0" w:rsidRPr="005F101E" w:rsidRDefault="003B32F0" w:rsidP="003B32F0">
      <w:pPr>
        <w:pStyle w:val="paragraph"/>
        <w:spacing w:before="0" w:beforeAutospacing="0" w:after="0" w:afterAutospacing="0"/>
        <w:jc w:val="both"/>
        <w:textAlignment w:val="baseline"/>
        <w:rPr>
          <w:szCs w:val="22"/>
        </w:rPr>
      </w:pPr>
      <w:r w:rsidRPr="005F101E">
        <w:rPr>
          <w:rStyle w:val="normaltextrun"/>
          <w:b/>
          <w:szCs w:val="22"/>
        </w:rPr>
        <w:t>Access by Mobile Device:</w:t>
      </w:r>
      <w:r w:rsidRPr="00624855">
        <w:rPr>
          <w:rStyle w:val="eop"/>
          <w:szCs w:val="22"/>
        </w:rPr>
        <w:t> </w:t>
      </w:r>
    </w:p>
    <w:p w14:paraId="7B42F2B9" w14:textId="77777777" w:rsidR="003B32F0" w:rsidRPr="005F101E" w:rsidRDefault="003B32F0" w:rsidP="003B32F0">
      <w:pPr>
        <w:pStyle w:val="paragraph"/>
        <w:spacing w:before="0" w:beforeAutospacing="0" w:after="0" w:afterAutospacing="0"/>
        <w:jc w:val="both"/>
        <w:textAlignment w:val="baseline"/>
        <w:rPr>
          <w:szCs w:val="22"/>
        </w:rPr>
      </w:pPr>
      <w:r w:rsidRPr="00DB189C">
        <w:rPr>
          <w:rStyle w:val="eop"/>
          <w:szCs w:val="22"/>
        </w:rPr>
        <w:t> </w:t>
      </w:r>
    </w:p>
    <w:p w14:paraId="5266982B" w14:textId="77777777" w:rsidR="003B32F0" w:rsidRPr="005F101E" w:rsidRDefault="003B32F0" w:rsidP="003B32F0">
      <w:pPr>
        <w:pStyle w:val="paragraph"/>
        <w:spacing w:before="0" w:beforeAutospacing="0" w:after="0" w:afterAutospacing="0"/>
        <w:jc w:val="both"/>
        <w:textAlignment w:val="baseline"/>
        <w:rPr>
          <w:szCs w:val="22"/>
        </w:rPr>
      </w:pPr>
      <w:r w:rsidRPr="005F101E">
        <w:rPr>
          <w:rStyle w:val="normaltextrun"/>
          <w:szCs w:val="22"/>
        </w:rPr>
        <w:t>Download the application from the Zoom Download Center, https://energy.zoom.us/download.</w:t>
      </w:r>
      <w:r w:rsidRPr="00624855">
        <w:rPr>
          <w:rStyle w:val="eop"/>
          <w:szCs w:val="22"/>
        </w:rPr>
        <w:t> </w:t>
      </w:r>
    </w:p>
    <w:p w14:paraId="44E8984A" w14:textId="77777777" w:rsidR="003B32F0" w:rsidRPr="003F6147" w:rsidRDefault="003B32F0" w:rsidP="003B32F0">
      <w:pPr>
        <w:spacing w:after="0"/>
        <w:jc w:val="both"/>
        <w:rPr>
          <w:color w:val="0000FF"/>
        </w:rPr>
      </w:pPr>
    </w:p>
    <w:p w14:paraId="2A273397" w14:textId="77777777" w:rsidR="003B32F0" w:rsidRPr="003F6147" w:rsidRDefault="003B32F0" w:rsidP="003B32F0">
      <w:pPr>
        <w:tabs>
          <w:tab w:val="left" w:pos="1080"/>
        </w:tabs>
        <w:jc w:val="both"/>
        <w:rPr>
          <w:b/>
        </w:rPr>
      </w:pPr>
      <w:r w:rsidRPr="003F6147">
        <w:rPr>
          <w:b/>
        </w:rPr>
        <w:t>Technical Support:</w:t>
      </w:r>
    </w:p>
    <w:p w14:paraId="3CF2E021" w14:textId="77777777" w:rsidR="003B32F0" w:rsidRPr="003F6147" w:rsidRDefault="003B32F0" w:rsidP="00DC65CB">
      <w:pPr>
        <w:numPr>
          <w:ilvl w:val="0"/>
          <w:numId w:val="42"/>
        </w:numPr>
        <w:tabs>
          <w:tab w:val="left" w:pos="810"/>
        </w:tabs>
        <w:spacing w:after="0"/>
        <w:ind w:left="450" w:hanging="90"/>
        <w:jc w:val="both"/>
        <w:rPr>
          <w:b/>
          <w:u w:val="single"/>
        </w:rPr>
      </w:pPr>
      <w:r w:rsidRPr="003F6147">
        <w:t xml:space="preserve">For assistance with problems or questions about joining or attending the meeting, </w:t>
      </w:r>
    </w:p>
    <w:p w14:paraId="4C8D1546" w14:textId="77777777" w:rsidR="003B32F0" w:rsidRPr="003F6147" w:rsidRDefault="003B32F0" w:rsidP="003B32F0">
      <w:pPr>
        <w:tabs>
          <w:tab w:val="left" w:pos="810"/>
        </w:tabs>
        <w:spacing w:after="0"/>
        <w:ind w:left="810"/>
        <w:jc w:val="both"/>
        <w:rPr>
          <w:color w:val="0070C0"/>
        </w:rPr>
      </w:pPr>
      <w:r w:rsidRPr="003F6147">
        <w:t xml:space="preserve">please call </w:t>
      </w:r>
      <w:r>
        <w:t>Zoom</w:t>
      </w:r>
      <w:r w:rsidRPr="003F6147">
        <w:t xml:space="preserve"> Technical Support at </w:t>
      </w:r>
      <w:r w:rsidRPr="00343A6C">
        <w:rPr>
          <w:b/>
        </w:rPr>
        <w:t>1-888-799-9666 ext</w:t>
      </w:r>
      <w:r>
        <w:rPr>
          <w:b/>
        </w:rPr>
        <w:t>. 2.</w:t>
      </w:r>
      <w:r w:rsidRPr="003F6147">
        <w:t xml:space="preserve"> You may also contact </w:t>
      </w:r>
      <w:r w:rsidRPr="00A8009F">
        <w:t>the CEC’s Public Advisor’s Office at publicadvisor@energy.ca.gov, or 800-822-622</w:t>
      </w:r>
      <w:r>
        <w:t>8</w:t>
      </w:r>
      <w:r w:rsidRPr="003F6147">
        <w:t>.</w:t>
      </w:r>
    </w:p>
    <w:p w14:paraId="5B75FC9D" w14:textId="77777777" w:rsidR="003B32F0" w:rsidRPr="003F6147" w:rsidRDefault="003B32F0" w:rsidP="00DC65CB">
      <w:pPr>
        <w:numPr>
          <w:ilvl w:val="0"/>
          <w:numId w:val="42"/>
        </w:numPr>
        <w:tabs>
          <w:tab w:val="left" w:pos="810"/>
        </w:tabs>
        <w:spacing w:after="0"/>
        <w:ind w:left="450" w:hanging="90"/>
        <w:jc w:val="both"/>
        <w:rPr>
          <w:b/>
          <w:u w:val="single"/>
        </w:rPr>
      </w:pPr>
      <w:r w:rsidRPr="003F6147">
        <w:t>System Requirements: To determine whether your computer is compatible, visit:</w:t>
      </w:r>
    </w:p>
    <w:p w14:paraId="5868F93C" w14:textId="77777777" w:rsidR="003B32F0" w:rsidRPr="005B073B" w:rsidRDefault="003B32F0" w:rsidP="003B32F0">
      <w:pPr>
        <w:tabs>
          <w:tab w:val="left" w:pos="810"/>
        </w:tabs>
        <w:spacing w:after="0"/>
        <w:ind w:left="720"/>
        <w:jc w:val="both"/>
        <w:rPr>
          <w:color w:val="0000FF"/>
        </w:rPr>
      </w:pPr>
      <w:r w:rsidRPr="003F6147">
        <w:tab/>
      </w:r>
      <w:r w:rsidRPr="002275CB">
        <w:t>https://support.zoom.us/hc/en-us/articles/201362023-System-requirements-for-Windows-macOS-and-Linux</w:t>
      </w:r>
      <w:r w:rsidRPr="005B073B">
        <w:t>.</w:t>
      </w:r>
    </w:p>
    <w:p w14:paraId="4E2E69B5" w14:textId="77777777" w:rsidR="003B32F0" w:rsidRPr="00B703F3" w:rsidRDefault="003B32F0" w:rsidP="00DC65CB">
      <w:pPr>
        <w:numPr>
          <w:ilvl w:val="0"/>
          <w:numId w:val="42"/>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659A28B5" w14:textId="77777777" w:rsidR="003B32F0" w:rsidRPr="003F6147" w:rsidRDefault="003B32F0" w:rsidP="003B32F0">
      <w:pPr>
        <w:tabs>
          <w:tab w:val="left" w:pos="810"/>
        </w:tabs>
        <w:spacing w:after="0"/>
        <w:ind w:left="810"/>
        <w:jc w:val="both"/>
        <w:rPr>
          <w:b/>
          <w:u w:val="single"/>
        </w:rPr>
      </w:pPr>
    </w:p>
    <w:p w14:paraId="66188D6E" w14:textId="77777777" w:rsidR="003B32F0" w:rsidRPr="00756BAC" w:rsidRDefault="003B32F0" w:rsidP="00DC65CB">
      <w:pPr>
        <w:pStyle w:val="Heading2"/>
        <w:numPr>
          <w:ilvl w:val="0"/>
          <w:numId w:val="44"/>
        </w:numPr>
      </w:pPr>
      <w:bookmarkStart w:id="29" w:name="_Toc458602327"/>
      <w:bookmarkStart w:id="30" w:name="_Toc84844917"/>
      <w:bookmarkStart w:id="31" w:name="_Toc336443625"/>
      <w:bookmarkStart w:id="32" w:name="_Toc366671181"/>
      <w:bookmarkStart w:id="33" w:name="_Toc219275088"/>
      <w:r w:rsidRPr="00756BAC">
        <w:t>Questions</w:t>
      </w:r>
      <w:bookmarkEnd w:id="29"/>
      <w:bookmarkEnd w:id="30"/>
    </w:p>
    <w:p w14:paraId="56F6A175" w14:textId="77777777" w:rsidR="003B32F0" w:rsidRPr="003F6147" w:rsidRDefault="003B32F0" w:rsidP="003B32F0">
      <w:pPr>
        <w:jc w:val="both"/>
      </w:pPr>
      <w:r w:rsidRPr="003F6147">
        <w:t>During the solicitation process, direct questions to the Commission Agreement Officer listed below:</w:t>
      </w:r>
    </w:p>
    <w:p w14:paraId="4E9CDFF1" w14:textId="77777777" w:rsidR="003B32F0" w:rsidRPr="006D46A0" w:rsidRDefault="003B32F0" w:rsidP="003B32F0">
      <w:pPr>
        <w:contextualSpacing/>
        <w:jc w:val="center"/>
      </w:pPr>
      <w:r w:rsidRPr="006D46A0">
        <w:t>Natalie Johnson, Commission Agreement Officer</w:t>
      </w:r>
    </w:p>
    <w:p w14:paraId="7348039A" w14:textId="77777777" w:rsidR="003B32F0" w:rsidRPr="006D46A0" w:rsidRDefault="003B32F0" w:rsidP="003B32F0">
      <w:pPr>
        <w:contextualSpacing/>
        <w:jc w:val="center"/>
        <w:rPr>
          <w:szCs w:val="22"/>
        </w:rPr>
      </w:pPr>
      <w:r w:rsidRPr="006D46A0">
        <w:rPr>
          <w:szCs w:val="22"/>
        </w:rPr>
        <w:t>California Energy Commission</w:t>
      </w:r>
    </w:p>
    <w:p w14:paraId="2CBF3018" w14:textId="77777777" w:rsidR="003B32F0" w:rsidRPr="006D46A0" w:rsidRDefault="003B32F0" w:rsidP="003B32F0">
      <w:pPr>
        <w:spacing w:after="0"/>
        <w:jc w:val="center"/>
        <w:textAlignment w:val="baseline"/>
        <w:rPr>
          <w:rFonts w:ascii="Segoe UI" w:hAnsi="Segoe UI" w:cs="Segoe UI"/>
          <w:szCs w:val="22"/>
        </w:rPr>
      </w:pPr>
      <w:r w:rsidRPr="006D46A0">
        <w:rPr>
          <w:position w:val="4"/>
          <w:szCs w:val="22"/>
        </w:rPr>
        <w:t>715 P Street</w:t>
      </w:r>
      <w:r w:rsidRPr="006D46A0">
        <w:rPr>
          <w:szCs w:val="22"/>
        </w:rPr>
        <w:t>​</w:t>
      </w:r>
    </w:p>
    <w:p w14:paraId="3DA4DA04" w14:textId="77777777" w:rsidR="003B32F0" w:rsidRPr="006D46A0" w:rsidRDefault="003B32F0" w:rsidP="003B32F0">
      <w:pPr>
        <w:spacing w:after="0"/>
        <w:jc w:val="center"/>
        <w:textAlignment w:val="baseline"/>
        <w:rPr>
          <w:rFonts w:ascii="Segoe UI" w:hAnsi="Segoe UI" w:cs="Segoe UI"/>
          <w:szCs w:val="22"/>
        </w:rPr>
      </w:pPr>
      <w:r w:rsidRPr="006D46A0">
        <w:rPr>
          <w:position w:val="4"/>
          <w:szCs w:val="22"/>
        </w:rPr>
        <w:t>Sacramento, CA 95814</w:t>
      </w:r>
    </w:p>
    <w:p w14:paraId="784CA85C" w14:textId="77777777" w:rsidR="003B32F0" w:rsidRPr="006D46A0" w:rsidRDefault="003B32F0" w:rsidP="003B32F0">
      <w:pPr>
        <w:contextualSpacing/>
        <w:jc w:val="center"/>
      </w:pPr>
      <w:r w:rsidRPr="006D46A0">
        <w:t>Telephone: (916) 891-8523</w:t>
      </w:r>
    </w:p>
    <w:p w14:paraId="2FE3DA9E" w14:textId="77777777" w:rsidR="003B32F0" w:rsidRPr="006D46A0" w:rsidRDefault="003B32F0" w:rsidP="003B32F0">
      <w:pPr>
        <w:spacing w:after="0"/>
        <w:contextualSpacing/>
        <w:jc w:val="center"/>
      </w:pPr>
      <w:r w:rsidRPr="006D46A0">
        <w:t>E-mail: Natalie.Johnson@energy.ca.gov</w:t>
      </w:r>
    </w:p>
    <w:p w14:paraId="5346A95A" w14:textId="77777777" w:rsidR="003B32F0" w:rsidRPr="003F6147" w:rsidRDefault="003B32F0" w:rsidP="003B32F0">
      <w:pPr>
        <w:spacing w:after="0"/>
        <w:jc w:val="both"/>
      </w:pPr>
    </w:p>
    <w:p w14:paraId="58DBC63F" w14:textId="77777777" w:rsidR="003B32F0" w:rsidRPr="003F6147" w:rsidRDefault="003B32F0" w:rsidP="003B32F0">
      <w:pPr>
        <w:jc w:val="both"/>
      </w:pPr>
      <w:r w:rsidRPr="003F6147">
        <w:rPr>
          <w:szCs w:val="22"/>
        </w:rPr>
        <w:t xml:space="preserve">Applicants may ask questions at the Pre-Application Workshop, and may submit written questions via mail, electronic mail, and by FAX.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the application deadline. </w:t>
      </w:r>
    </w:p>
    <w:p w14:paraId="025155F4" w14:textId="77777777" w:rsidR="003B32F0" w:rsidRPr="003F6147" w:rsidRDefault="003B32F0" w:rsidP="003B32F0">
      <w:pPr>
        <w:spacing w:before="240"/>
        <w:jc w:val="both"/>
      </w:pPr>
      <w:r w:rsidRPr="003F6147">
        <w:t xml:space="preserve">The questions and answers will also be posted on the Commission’s website at: </w:t>
      </w:r>
      <w:r w:rsidRPr="005B073B">
        <w:t>https://www.energy.ca.gov/funding-opportunities/solicitations</w:t>
      </w:r>
    </w:p>
    <w:p w14:paraId="055B16CF" w14:textId="77777777" w:rsidR="003B32F0" w:rsidRPr="003F6147" w:rsidRDefault="003B32F0" w:rsidP="003B32F0">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to the application deadline, the applicant may notify the CEC in writing and request </w:t>
      </w:r>
      <w:r w:rsidRPr="003F6147">
        <w:rPr>
          <w:szCs w:val="22"/>
        </w:rPr>
        <w:lastRenderedPageBreak/>
        <w:t xml:space="preserve">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5A4ED4E" w14:textId="7FC7B043" w:rsidR="003B32F0" w:rsidRDefault="003B32F0" w:rsidP="69CB18E5">
      <w:pPr>
        <w:spacing w:before="240"/>
        <w:jc w:val="both"/>
        <w:rPr>
          <w:b/>
          <w:bCs/>
        </w:rPr>
      </w:pPr>
      <w:r w:rsidRPr="69CB18E5">
        <w:rPr>
          <w:b/>
          <w:bCs/>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2F62F302" w14:textId="39976A7B" w:rsidR="69CB18E5" w:rsidRDefault="69CB18E5" w:rsidP="69CB18E5">
      <w:pPr>
        <w:spacing w:before="240"/>
        <w:jc w:val="both"/>
        <w:rPr>
          <w:b/>
          <w:bCs/>
          <w:szCs w:val="22"/>
        </w:rPr>
      </w:pPr>
    </w:p>
    <w:p w14:paraId="3330AAC8" w14:textId="77777777" w:rsidR="003B32F0" w:rsidRPr="00BA3BBD" w:rsidRDefault="003B32F0" w:rsidP="00DC65CB">
      <w:pPr>
        <w:keepNext/>
        <w:numPr>
          <w:ilvl w:val="0"/>
          <w:numId w:val="44"/>
        </w:numPr>
        <w:spacing w:before="120"/>
        <w:outlineLvl w:val="1"/>
        <w:rPr>
          <w:b/>
          <w:smallCaps/>
          <w:sz w:val="28"/>
        </w:rPr>
      </w:pPr>
      <w:bookmarkStart w:id="34" w:name="_Toc522777845"/>
      <w:bookmarkStart w:id="35" w:name="_Toc26361578"/>
      <w:r w:rsidRPr="00BA3BBD">
        <w:rPr>
          <w:b/>
          <w:smallCaps/>
          <w:sz w:val="28"/>
        </w:rPr>
        <w:t>Applicants’ Admonishment</w:t>
      </w:r>
      <w:bookmarkEnd w:id="34"/>
      <w:bookmarkEnd w:id="35"/>
    </w:p>
    <w:p w14:paraId="6D1489EE" w14:textId="77777777" w:rsidR="003B32F0" w:rsidRDefault="003B32F0" w:rsidP="003B32F0">
      <w:pPr>
        <w:jc w:val="both"/>
      </w:pPr>
      <w:r w:rsidRPr="0010286F">
        <w:t xml:space="preserve">This solicitation contains application requirements and instructions.  Applicants are responsible for </w:t>
      </w:r>
      <w:r w:rsidRPr="0010286F">
        <w:rPr>
          <w:b/>
        </w:rPr>
        <w:t>carefully reading</w:t>
      </w:r>
      <w:r w:rsidRPr="0010286F">
        <w:t xml:space="preserve"> the solicitation, asking appropriate questions in a timely manner, ensuring that all solicitation requirements are met, submitting all required responses in a complete manner by the required date and time, and </w:t>
      </w:r>
      <w:r w:rsidRPr="0010286F">
        <w:rPr>
          <w:b/>
        </w:rPr>
        <w:t>carefully rereading</w:t>
      </w:r>
      <w:r w:rsidRPr="0010286F">
        <w:t xml:space="preserve"> the solicitation before submitting an application.  In particular, please carefully read the </w:t>
      </w:r>
      <w:r w:rsidRPr="0010286F">
        <w:rPr>
          <w:b/>
        </w:rPr>
        <w:t>Screening/Scoring Criteria and</w:t>
      </w:r>
      <w:r w:rsidRPr="0010286F">
        <w:t xml:space="preserve"> </w:t>
      </w:r>
      <w:r w:rsidRPr="0010286F">
        <w:rPr>
          <w:b/>
        </w:rPr>
        <w:t xml:space="preserve">Grounds for Rejection </w:t>
      </w:r>
      <w:r w:rsidRPr="0010286F">
        <w:t xml:space="preserve">in Part IV, and the relevant EPIC Grant terms and conditions located at: </w:t>
      </w:r>
      <w:hyperlink r:id="rId18" w:history="1">
        <w:r w:rsidRPr="005025EE">
          <w:rPr>
            <w:rStyle w:val="Hyperlink"/>
          </w:rPr>
          <w:t>http://www.energy.ca.gov/research/contractors.html</w:t>
        </w:r>
      </w:hyperlink>
      <w:r>
        <w:rPr>
          <w:color w:val="0070C0"/>
        </w:rPr>
        <w:t>.</w:t>
      </w:r>
    </w:p>
    <w:p w14:paraId="47FC500B" w14:textId="77777777" w:rsidR="003B32F0" w:rsidRDefault="003B32F0" w:rsidP="003B32F0">
      <w:pPr>
        <w:jc w:val="both"/>
      </w:pPr>
      <w:bookmarkStart w:id="36" w:name="_Toc433981277"/>
      <w:bookmarkStart w:id="37" w:name="_Toc395180625"/>
      <w:bookmarkStart w:id="38" w:name="_Toc382571127"/>
      <w:bookmarkStart w:id="39"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36"/>
      <w:bookmarkEnd w:id="37"/>
      <w:bookmarkEnd w:id="38"/>
      <w:bookmarkEnd w:id="39"/>
    </w:p>
    <w:p w14:paraId="35979515" w14:textId="77777777" w:rsidR="003B32F0" w:rsidRPr="00BA3BBD" w:rsidRDefault="003B32F0" w:rsidP="003B32F0">
      <w:pPr>
        <w:jc w:val="both"/>
        <w:rPr>
          <w:b/>
        </w:rPr>
      </w:pPr>
    </w:p>
    <w:p w14:paraId="133F0D5D" w14:textId="77777777" w:rsidR="003B32F0" w:rsidRPr="00BA3BBD" w:rsidRDefault="003B32F0" w:rsidP="00DC65CB">
      <w:pPr>
        <w:keepNext/>
        <w:numPr>
          <w:ilvl w:val="0"/>
          <w:numId w:val="44"/>
        </w:numPr>
        <w:spacing w:before="120"/>
        <w:outlineLvl w:val="1"/>
        <w:rPr>
          <w:b/>
          <w:smallCaps/>
          <w:sz w:val="28"/>
        </w:rPr>
      </w:pPr>
      <w:bookmarkStart w:id="40" w:name="_Toc522777846"/>
      <w:bookmarkStart w:id="41" w:name="_Toc26361579"/>
      <w:bookmarkStart w:id="42" w:name="AddReq"/>
      <w:r w:rsidRPr="00BA3BBD">
        <w:rPr>
          <w:b/>
          <w:smallCaps/>
          <w:sz w:val="28"/>
        </w:rPr>
        <w:t>additional requirements</w:t>
      </w:r>
      <w:bookmarkEnd w:id="40"/>
      <w:bookmarkEnd w:id="41"/>
    </w:p>
    <w:bookmarkEnd w:id="42"/>
    <w:p w14:paraId="74F06E3E" w14:textId="77777777" w:rsidR="003B32F0" w:rsidRPr="00BA3BBD" w:rsidRDefault="003B32F0" w:rsidP="00DC65CB">
      <w:pPr>
        <w:numPr>
          <w:ilvl w:val="0"/>
          <w:numId w:val="50"/>
        </w:numPr>
        <w:spacing w:after="160"/>
        <w:ind w:right="720"/>
        <w:jc w:val="both"/>
        <w:rPr>
          <w:szCs w:val="22"/>
        </w:rPr>
      </w:pPr>
      <w:r w:rsidRPr="006D46A0">
        <w:rPr>
          <w:szCs w:val="22"/>
        </w:rPr>
        <w:t xml:space="preserve">Time is of the essence. Funds available under this solicitation have encumbrance deadlines as early as </w:t>
      </w:r>
      <w:r w:rsidRPr="006D46A0">
        <w:t>June 30, 2022</w:t>
      </w:r>
      <w:r w:rsidRPr="006D46A0">
        <w:rPr>
          <w:szCs w:val="22"/>
        </w:rPr>
        <w:t>.  This means that the CEC must approve proposed awards at a business meeting (usually held monthly) prior to June 30</w:t>
      </w:r>
      <w:r w:rsidRPr="006D46A0">
        <w:t>, 2022</w:t>
      </w:r>
      <w:r w:rsidRPr="006D46A0">
        <w:rPr>
          <w:szCs w:val="22"/>
        </w:rP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w:t>
      </w:r>
      <w:r w:rsidRPr="00BA3BBD">
        <w:rPr>
          <w:szCs w:val="22"/>
        </w:rPr>
        <w:t>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6C228F9" w14:textId="77777777" w:rsidR="003B32F0" w:rsidRPr="00BA3BBD" w:rsidRDefault="003B32F0" w:rsidP="00DC65CB">
      <w:pPr>
        <w:numPr>
          <w:ilvl w:val="0"/>
          <w:numId w:val="50"/>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w:t>
      </w:r>
      <w:r w:rsidRPr="00BA3BBD">
        <w:rPr>
          <w:szCs w:val="22"/>
        </w:rPr>
        <w:lastRenderedPageBreak/>
        <w:t xml:space="preserve">proposed applicant’s diligence in submitting information and materials for CEQA review. </w:t>
      </w:r>
      <w:r w:rsidRPr="00BA3BBD">
        <w:t>Examples of situations that may arise related to CEQA review include but are not limited to</w:t>
      </w:r>
      <w:r w:rsidRPr="00BA3BBD">
        <w:rPr>
          <w:szCs w:val="22"/>
        </w:rPr>
        <w:t>:</w:t>
      </w:r>
    </w:p>
    <w:p w14:paraId="21AABA64" w14:textId="77777777" w:rsidR="003B32F0" w:rsidRPr="00BA3BBD" w:rsidRDefault="003B32F0" w:rsidP="00DC65CB">
      <w:pPr>
        <w:numPr>
          <w:ilvl w:val="0"/>
          <w:numId w:val="31"/>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DBD5151" w14:textId="77777777" w:rsidR="003B32F0" w:rsidRPr="00BA3BBD" w:rsidRDefault="003B32F0" w:rsidP="00DC65CB">
      <w:pPr>
        <w:numPr>
          <w:ilvl w:val="0"/>
          <w:numId w:val="31"/>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52E552BD" w14:textId="77777777" w:rsidR="003B32F0" w:rsidRPr="00BA3BBD" w:rsidRDefault="003B32F0" w:rsidP="00DC65CB">
      <w:pPr>
        <w:numPr>
          <w:ilvl w:val="0"/>
          <w:numId w:val="31"/>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42A3ECFC" w14:textId="77777777" w:rsidR="003B32F0" w:rsidRPr="00BA3BBD" w:rsidRDefault="003B32F0" w:rsidP="00DC65CB">
      <w:pPr>
        <w:numPr>
          <w:ilvl w:val="0"/>
          <w:numId w:val="31"/>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25C74E99" w14:textId="77777777" w:rsidR="003B32F0" w:rsidRDefault="003B32F0" w:rsidP="003B32F0">
      <w:pPr>
        <w:pStyle w:val="NoSpacing"/>
      </w:pPr>
      <w:r w:rsidRPr="00BA3BBD">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6A1F0F42" w14:textId="77777777" w:rsidR="003B32F0" w:rsidRPr="00BA3BBD" w:rsidRDefault="003B32F0" w:rsidP="003B32F0">
      <w:pPr>
        <w:pStyle w:val="NoSpacing"/>
      </w:pPr>
    </w:p>
    <w:p w14:paraId="44994259" w14:textId="77777777" w:rsidR="003B32F0" w:rsidRPr="00BA3BBD" w:rsidRDefault="003B32F0" w:rsidP="00DC65CB">
      <w:pPr>
        <w:keepNext/>
        <w:numPr>
          <w:ilvl w:val="0"/>
          <w:numId w:val="44"/>
        </w:numPr>
        <w:spacing w:before="120"/>
        <w:outlineLvl w:val="1"/>
        <w:rPr>
          <w:b/>
          <w:smallCaps/>
          <w:sz w:val="28"/>
        </w:rPr>
      </w:pPr>
      <w:bookmarkStart w:id="43" w:name="_Toc522777847"/>
      <w:bookmarkStart w:id="44" w:name="_Toc26361580"/>
      <w:r w:rsidRPr="00BA3BBD">
        <w:rPr>
          <w:b/>
          <w:smallCaps/>
          <w:sz w:val="28"/>
        </w:rPr>
        <w:t>Background</w:t>
      </w:r>
      <w:bookmarkEnd w:id="43"/>
      <w:bookmarkEnd w:id="44"/>
    </w:p>
    <w:p w14:paraId="46933556" w14:textId="77777777" w:rsidR="003B32F0" w:rsidRPr="00BA3BBD" w:rsidRDefault="003B32F0" w:rsidP="00DC65CB">
      <w:pPr>
        <w:numPr>
          <w:ilvl w:val="0"/>
          <w:numId w:val="28"/>
        </w:numPr>
        <w:tabs>
          <w:tab w:val="num" w:pos="360"/>
        </w:tabs>
        <w:rPr>
          <w:b/>
        </w:rPr>
      </w:pPr>
      <w:bookmarkStart w:id="45" w:name="_Toc433981280"/>
      <w:bookmarkStart w:id="46" w:name="_Toc395180627"/>
      <w:bookmarkStart w:id="47" w:name="_Toc382571129"/>
      <w:bookmarkStart w:id="48" w:name="_Toc381079870"/>
      <w:r w:rsidRPr="00BA3BBD">
        <w:rPr>
          <w:b/>
        </w:rPr>
        <w:t>Electric Program Investment Charge (EPIC) Program</w:t>
      </w:r>
      <w:bookmarkEnd w:id="45"/>
      <w:bookmarkEnd w:id="46"/>
      <w:bookmarkEnd w:id="47"/>
      <w:bookmarkEnd w:id="48"/>
    </w:p>
    <w:p w14:paraId="1871F864" w14:textId="77777777" w:rsidR="003B32F0" w:rsidRDefault="003B32F0" w:rsidP="003B32F0">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9"/>
      </w:r>
      <w:r w:rsidRPr="00BA3BBD">
        <w:t xml:space="preserve"> The purpose of the EPIC program is to benefit the ratepayers of three investor-owned utilities (IOUs), including Pacific Gas and Electric Co., San Diego Gas and Electric Co., and Southern California Edison Co. The </w:t>
      </w:r>
      <w:r w:rsidRPr="006D46A0">
        <w:t xml:space="preserve">EPIC Program funds </w:t>
      </w:r>
      <w:r w:rsidRPr="00BA3BBD">
        <w:t>clean energy technology projects that promote greater electricity reliability, lower costs, and increased safety.</w:t>
      </w:r>
      <w:r w:rsidRPr="00BA3BBD">
        <w:rPr>
          <w:rFonts w:ascii="Times New Roman" w:hAnsi="Times New Roman" w:cs="Times New Roman"/>
          <w:vertAlign w:val="superscript"/>
        </w:rPr>
        <w:footnoteReference w:id="10"/>
      </w:r>
      <w:r w:rsidRPr="00BA3BBD">
        <w:t xml:space="preserve"> In addition to providing IOU ratepayer benefits, funded projects must lead to technological advancement and breakthroughs to </w:t>
      </w:r>
      <w:r w:rsidRPr="00BA3BBD">
        <w:lastRenderedPageBreak/>
        <w:t>overcome the barriers that prevent the achievement of the state’s statutory energy goals.</w:t>
      </w:r>
      <w:r w:rsidRPr="00BA3BBD">
        <w:rPr>
          <w:rFonts w:ascii="Times New Roman" w:hAnsi="Times New Roman" w:cs="Times New Roman"/>
          <w:vertAlign w:val="superscript"/>
        </w:rPr>
        <w:footnoteReference w:id="11"/>
      </w:r>
      <w:r w:rsidRPr="00BA3BBD">
        <w:t xml:space="preserve"> The EPIC program is administered by the CEC and the IOUs.</w:t>
      </w:r>
    </w:p>
    <w:p w14:paraId="6752C721" w14:textId="77777777" w:rsidR="003B32F0" w:rsidRPr="00BA3BBD" w:rsidRDefault="003B32F0" w:rsidP="003B32F0">
      <w:pPr>
        <w:pStyle w:val="NoSpacing"/>
      </w:pPr>
    </w:p>
    <w:p w14:paraId="6DAE1CAB" w14:textId="77777777" w:rsidR="003B32F0" w:rsidRPr="00BA3BBD" w:rsidRDefault="003B32F0" w:rsidP="00DC65CB">
      <w:pPr>
        <w:numPr>
          <w:ilvl w:val="0"/>
          <w:numId w:val="51"/>
        </w:numPr>
        <w:tabs>
          <w:tab w:val="num" w:pos="360"/>
        </w:tabs>
        <w:rPr>
          <w:b/>
        </w:rPr>
      </w:pPr>
      <w:bookmarkStart w:id="49" w:name="PrgmAreas"/>
      <w:bookmarkStart w:id="50" w:name="chkAugment"/>
      <w:r w:rsidRPr="00BA3BBD">
        <w:rPr>
          <w:b/>
        </w:rPr>
        <w:t>Program Areas, Strategic Objectives, and Funding Initiatives</w:t>
      </w:r>
    </w:p>
    <w:bookmarkEnd w:id="49"/>
    <w:p w14:paraId="4B8ECA9A" w14:textId="77777777" w:rsidR="003B32F0" w:rsidRPr="00BA3BBD" w:rsidRDefault="003B32F0" w:rsidP="003B32F0">
      <w:pPr>
        <w:ind w:left="360"/>
        <w:jc w:val="both"/>
        <w:rPr>
          <w:b/>
        </w:rPr>
      </w:pPr>
      <w:r w:rsidRPr="00BA3BBD">
        <w:t xml:space="preserve">EPIC projects must fall within the following </w:t>
      </w:r>
      <w:r w:rsidRPr="00BA3BBD">
        <w:rPr>
          <w:b/>
        </w:rPr>
        <w:t xml:space="preserve">program areas </w:t>
      </w:r>
      <w:r w:rsidRPr="00BA3BBD">
        <w:t>identified by the CPUC:</w:t>
      </w:r>
    </w:p>
    <w:p w14:paraId="3FFF40CD" w14:textId="77777777" w:rsidR="003B32F0" w:rsidRPr="00BA3BBD" w:rsidRDefault="003B32F0" w:rsidP="00DC65CB">
      <w:pPr>
        <w:numPr>
          <w:ilvl w:val="0"/>
          <w:numId w:val="32"/>
        </w:numPr>
        <w:jc w:val="both"/>
      </w:pPr>
      <w:r w:rsidRPr="00BA3BBD">
        <w:t>Applied research and development;</w:t>
      </w:r>
    </w:p>
    <w:p w14:paraId="3E65BD8F" w14:textId="77777777" w:rsidR="003B32F0" w:rsidRPr="00BA3BBD" w:rsidRDefault="003B32F0" w:rsidP="00DC65CB">
      <w:pPr>
        <w:numPr>
          <w:ilvl w:val="0"/>
          <w:numId w:val="32"/>
        </w:numPr>
        <w:jc w:val="both"/>
      </w:pPr>
      <w:r w:rsidRPr="00BA3BBD">
        <w:t xml:space="preserve">Technology demonstration and deployment; and </w:t>
      </w:r>
    </w:p>
    <w:p w14:paraId="6025DC8E" w14:textId="77777777" w:rsidR="003B32F0" w:rsidRPr="00BA3BBD" w:rsidRDefault="003B32F0" w:rsidP="00DC65CB">
      <w:pPr>
        <w:numPr>
          <w:ilvl w:val="0"/>
          <w:numId w:val="32"/>
        </w:numPr>
        <w:jc w:val="both"/>
      </w:pPr>
      <w:r w:rsidRPr="00BA3BBD">
        <w:t>Market facilitation</w:t>
      </w:r>
      <w:r>
        <w:t>.</w:t>
      </w:r>
    </w:p>
    <w:p w14:paraId="278B29F9" w14:textId="77777777" w:rsidR="003B32F0" w:rsidRDefault="003B32F0" w:rsidP="003B32F0">
      <w:pPr>
        <w:pStyle w:val="NoSpacing"/>
      </w:pPr>
    </w:p>
    <w:p w14:paraId="20D60F00" w14:textId="77777777" w:rsidR="003B32F0" w:rsidRPr="006D46A0" w:rsidRDefault="003B32F0" w:rsidP="003B32F0">
      <w:r w:rsidRPr="00BA3BBD">
        <w:t>In addition, projects must fall within one of the general focus areas (</w:t>
      </w:r>
      <w:r w:rsidRPr="00BA3BBD">
        <w:rPr>
          <w:b/>
        </w:rPr>
        <w:t>“strategic objectives”</w:t>
      </w:r>
      <w:r w:rsidRPr="00BA3BBD">
        <w:t>) identified in the CEC’s EPIC Investment Plans</w:t>
      </w:r>
      <w:r w:rsidRPr="00BA3BBD">
        <w:rPr>
          <w:vertAlign w:val="superscript"/>
        </w:rPr>
        <w:footnoteReference w:id="12"/>
      </w:r>
      <w:r w:rsidRPr="00BA3BBD">
        <w:t xml:space="preserve"> </w:t>
      </w:r>
      <w:r w:rsidRPr="00BA3BBD">
        <w:rPr>
          <w:vertAlign w:val="superscript"/>
        </w:rPr>
        <w:footnoteReference w:id="13"/>
      </w:r>
      <w:r w:rsidRPr="00BA3BBD">
        <w:t xml:space="preserve"> and within one or more specific focus areas (</w:t>
      </w:r>
      <w:r w:rsidRPr="00BA3BBD">
        <w:rPr>
          <w:b/>
        </w:rPr>
        <w:t>“funding initiatives”</w:t>
      </w:r>
      <w:r w:rsidRPr="00BA3BBD">
        <w:t>) identified in the plan. This solicitation targets the following</w:t>
      </w:r>
      <w:r w:rsidRPr="6D3F3CF0">
        <w:t xml:space="preserve"> program area, strategic objective, and </w:t>
      </w:r>
      <w:r w:rsidRPr="006D46A0">
        <w:t>funding initiatives</w:t>
      </w:r>
      <w:r w:rsidRPr="006D46A0">
        <w:rPr>
          <w:szCs w:val="22"/>
        </w:rPr>
        <w:t>:</w:t>
      </w:r>
    </w:p>
    <w:p w14:paraId="4F0A28CC" w14:textId="77777777" w:rsidR="003B32F0" w:rsidRPr="00BA3BBD" w:rsidRDefault="003B32F0" w:rsidP="003B32F0">
      <w:pPr>
        <w:pStyle w:val="NoSpacing"/>
      </w:pPr>
    </w:p>
    <w:p w14:paraId="53CC03FB" w14:textId="77777777" w:rsidR="003B32F0" w:rsidRPr="006D46A0" w:rsidRDefault="003B32F0" w:rsidP="003B32F0">
      <w:pPr>
        <w:rPr>
          <w:rFonts w:ascii="Times New Roman" w:hAnsi="Times New Roman" w:cs="Times New Roman"/>
          <w:b/>
          <w:bCs/>
          <w:sz w:val="24"/>
          <w:szCs w:val="24"/>
        </w:rPr>
      </w:pPr>
      <w:bookmarkStart w:id="51" w:name="_Toc395180628"/>
      <w:bookmarkStart w:id="52" w:name="_Toc382571130"/>
      <w:bookmarkStart w:id="53" w:name="_Toc381079871"/>
      <w:r w:rsidRPr="004B7143">
        <w:rPr>
          <w:b/>
          <w:bCs/>
          <w:shd w:val="clear" w:color="auto" w:fill="FFFFFF"/>
        </w:rPr>
        <w:t>2018-</w:t>
      </w:r>
      <w:r w:rsidRPr="006D46A0">
        <w:rPr>
          <w:b/>
          <w:bCs/>
          <w:shd w:val="clear" w:color="auto" w:fill="FFFFFF"/>
        </w:rPr>
        <w:t>2020 Electric Program Investment Charge (EPIC) Triennial Investment Plan </w:t>
      </w:r>
    </w:p>
    <w:p w14:paraId="54C1A746" w14:textId="77777777" w:rsidR="003B32F0" w:rsidRPr="006D46A0" w:rsidRDefault="003B32F0" w:rsidP="00DC65CB">
      <w:pPr>
        <w:numPr>
          <w:ilvl w:val="0"/>
          <w:numId w:val="33"/>
        </w:numPr>
      </w:pPr>
      <w:r w:rsidRPr="006D46A0">
        <w:rPr>
          <w:b/>
        </w:rPr>
        <w:t>Program Area</w:t>
      </w:r>
      <w:r w:rsidRPr="006D46A0">
        <w:t xml:space="preserve">: </w:t>
      </w:r>
      <w:bookmarkEnd w:id="51"/>
      <w:bookmarkEnd w:id="52"/>
      <w:bookmarkEnd w:id="53"/>
      <w:r w:rsidRPr="006D46A0">
        <w:t>Applied Research and Development</w:t>
      </w:r>
      <w:bookmarkStart w:id="54" w:name="_Toc395180629"/>
      <w:bookmarkStart w:id="55" w:name="_Toc382571131"/>
      <w:bookmarkStart w:id="56" w:name="_Toc381079872"/>
    </w:p>
    <w:p w14:paraId="243B0245" w14:textId="77777777" w:rsidR="003B32F0" w:rsidRPr="006D46A0" w:rsidRDefault="003B32F0" w:rsidP="00DC65CB">
      <w:pPr>
        <w:numPr>
          <w:ilvl w:val="0"/>
          <w:numId w:val="33"/>
        </w:numPr>
      </w:pPr>
      <w:r w:rsidRPr="006D46A0">
        <w:rPr>
          <w:b/>
        </w:rPr>
        <w:t>Strategic Objective</w:t>
      </w:r>
      <w:r w:rsidRPr="006D46A0">
        <w:t xml:space="preserve"> </w:t>
      </w:r>
      <w:r w:rsidRPr="006D46A0">
        <w:rPr>
          <w:b/>
        </w:rPr>
        <w:t xml:space="preserve">S7: </w:t>
      </w:r>
      <w:r w:rsidRPr="006D46A0">
        <w:t>(7) Develop Tools and Analysis to Inform State Energy Policy and Planning</w:t>
      </w:r>
      <w:bookmarkEnd w:id="54"/>
      <w:bookmarkEnd w:id="55"/>
      <w:bookmarkEnd w:id="56"/>
    </w:p>
    <w:p w14:paraId="06D2E2BE" w14:textId="77777777" w:rsidR="003B32F0" w:rsidRPr="006D46A0" w:rsidRDefault="003B32F0" w:rsidP="00DC65CB">
      <w:pPr>
        <w:pStyle w:val="ListParagraph"/>
        <w:numPr>
          <w:ilvl w:val="1"/>
          <w:numId w:val="33"/>
        </w:numPr>
      </w:pPr>
      <w:bookmarkStart w:id="57" w:name="_Toc395180630"/>
      <w:bookmarkStart w:id="58" w:name="_Toc382571132"/>
      <w:bookmarkStart w:id="59" w:name="_Toc381079873"/>
      <w:r w:rsidRPr="006D46A0">
        <w:rPr>
          <w:rStyle w:val="normaltextrun"/>
          <w:b/>
          <w:bCs/>
          <w:szCs w:val="22"/>
        </w:rPr>
        <w:t>Funding Initiative S7.1.1</w:t>
      </w:r>
      <w:r w:rsidRPr="006D46A0">
        <w:rPr>
          <w:rStyle w:val="normaltextrun"/>
          <w:szCs w:val="22"/>
        </w:rPr>
        <w:t>: Integrated Pathways for Energy Futures: Tools and Science-Based Research for Holistic Energy Decision Making</w:t>
      </w:r>
      <w:r w:rsidRPr="006D46A0">
        <w:rPr>
          <w:rStyle w:val="eop"/>
          <w:szCs w:val="22"/>
        </w:rPr>
        <w:t> </w:t>
      </w:r>
    </w:p>
    <w:p w14:paraId="6351460C" w14:textId="77777777" w:rsidR="003B32F0" w:rsidRPr="006D46A0" w:rsidRDefault="003B32F0" w:rsidP="00DC65CB">
      <w:pPr>
        <w:pStyle w:val="ListParagraph"/>
        <w:numPr>
          <w:ilvl w:val="1"/>
          <w:numId w:val="33"/>
        </w:numPr>
        <w:rPr>
          <w:rStyle w:val="eop"/>
          <w:szCs w:val="22"/>
        </w:rPr>
      </w:pPr>
      <w:r w:rsidRPr="006D46A0">
        <w:rPr>
          <w:rStyle w:val="normaltextrun"/>
          <w:b/>
          <w:bCs/>
          <w:szCs w:val="22"/>
        </w:rPr>
        <w:t>Funding Initiative S7.2.1</w:t>
      </w:r>
      <w:r w:rsidRPr="006D46A0">
        <w:rPr>
          <w:rStyle w:val="normaltextrun"/>
          <w:szCs w:val="22"/>
        </w:rPr>
        <w:t>: Improved Understanding of Climate- and Weather-Related Risks and Resilience Options.</w:t>
      </w:r>
    </w:p>
    <w:p w14:paraId="3FF92EF3" w14:textId="77777777" w:rsidR="003B32F0" w:rsidRPr="006D46A0" w:rsidRDefault="003B32F0" w:rsidP="00DC65CB">
      <w:pPr>
        <w:pStyle w:val="ListParagraph"/>
        <w:numPr>
          <w:ilvl w:val="1"/>
          <w:numId w:val="33"/>
        </w:numPr>
        <w:rPr>
          <w:rStyle w:val="eop"/>
        </w:rPr>
      </w:pPr>
      <w:r w:rsidRPr="006D46A0">
        <w:rPr>
          <w:rStyle w:val="normaltextrun"/>
          <w:b/>
          <w:bCs/>
          <w:szCs w:val="22"/>
        </w:rPr>
        <w:t>Funding Initiative S7.2.3</w:t>
      </w:r>
      <w:r w:rsidRPr="006D46A0">
        <w:rPr>
          <w:rStyle w:val="normaltextrun"/>
          <w:szCs w:val="22"/>
        </w:rPr>
        <w:t>: Integrate Climate Readiness into Electricity System Operations, Tools, and Models</w:t>
      </w:r>
    </w:p>
    <w:bookmarkEnd w:id="57"/>
    <w:bookmarkEnd w:id="58"/>
    <w:bookmarkEnd w:id="59"/>
    <w:p w14:paraId="558AEC07" w14:textId="77777777" w:rsidR="003B32F0" w:rsidRPr="006D46A0" w:rsidRDefault="003B32F0" w:rsidP="003B32F0">
      <w:pPr>
        <w:rPr>
          <w:szCs w:val="22"/>
        </w:rPr>
      </w:pPr>
    </w:p>
    <w:p w14:paraId="4D8DBAE2" w14:textId="77777777" w:rsidR="003B32F0" w:rsidRPr="00BA3BBD" w:rsidRDefault="003B32F0" w:rsidP="00DC65CB">
      <w:pPr>
        <w:numPr>
          <w:ilvl w:val="0"/>
          <w:numId w:val="51"/>
        </w:numPr>
        <w:tabs>
          <w:tab w:val="num" w:pos="360"/>
        </w:tabs>
        <w:jc w:val="both"/>
        <w:rPr>
          <w:b/>
          <w:bCs/>
        </w:rPr>
      </w:pPr>
      <w:bookmarkStart w:id="60" w:name="AppLaws"/>
      <w:r w:rsidRPr="006D46A0">
        <w:rPr>
          <w:b/>
          <w:bCs/>
        </w:rPr>
        <w:t xml:space="preserve">Applicable Laws, Policies, and Background </w:t>
      </w:r>
      <w:r w:rsidRPr="4397CED4">
        <w:rPr>
          <w:b/>
          <w:bCs/>
        </w:rPr>
        <w:t xml:space="preserve">Documents </w:t>
      </w:r>
    </w:p>
    <w:bookmarkEnd w:id="60"/>
    <w:p w14:paraId="514750FC" w14:textId="77777777" w:rsidR="003B32F0" w:rsidRDefault="003B32F0" w:rsidP="003B32F0">
      <w:pPr>
        <w:jc w:val="both"/>
      </w:pPr>
      <w:r w:rsidRPr="00BA3BBD">
        <w:t>This solicitation addresses the energy goals described in the following laws, policies, and background documents.</w:t>
      </w:r>
      <w:bookmarkStart w:id="61" w:name="RefDocs"/>
    </w:p>
    <w:p w14:paraId="0D6D4CD8" w14:textId="005168B6" w:rsidR="003A0E80" w:rsidRDefault="003A0E80" w:rsidP="69CB18E5">
      <w:pPr>
        <w:rPr>
          <w:szCs w:val="22"/>
        </w:rPr>
      </w:pPr>
    </w:p>
    <w:p w14:paraId="260E69D2" w14:textId="25140E17" w:rsidR="003B32F0" w:rsidRPr="00BA3BBD" w:rsidRDefault="003B32F0" w:rsidP="003B32F0">
      <w:pPr>
        <w:jc w:val="both"/>
        <w:rPr>
          <w:u w:val="single"/>
        </w:rPr>
      </w:pPr>
      <w:r w:rsidRPr="00BA3BBD">
        <w:rPr>
          <w:u w:val="single"/>
        </w:rPr>
        <w:t>Laws/Regulations</w:t>
      </w:r>
    </w:p>
    <w:p w14:paraId="11FE685F" w14:textId="77777777" w:rsidR="003B32F0" w:rsidRPr="00BA3BBD" w:rsidRDefault="003B32F0" w:rsidP="00DC65CB">
      <w:pPr>
        <w:numPr>
          <w:ilvl w:val="0"/>
          <w:numId w:val="39"/>
        </w:numPr>
        <w:jc w:val="both"/>
        <w:rPr>
          <w:b/>
        </w:rPr>
      </w:pPr>
      <w:r w:rsidRPr="00BA3BBD">
        <w:rPr>
          <w:b/>
        </w:rPr>
        <w:lastRenderedPageBreak/>
        <w:t>Assembly Bill (AB) 32</w:t>
      </w:r>
      <w:r w:rsidRPr="00BA3BBD">
        <w:rPr>
          <w:b/>
          <w:vertAlign w:val="superscript"/>
        </w:rPr>
        <w:footnoteReference w:id="14"/>
      </w:r>
      <w:r w:rsidRPr="00BA3BBD">
        <w:rPr>
          <w:b/>
        </w:rPr>
        <w:t xml:space="preserve"> - Global Warming Solutions Act of 2006 </w:t>
      </w:r>
    </w:p>
    <w:p w14:paraId="67F6B823" w14:textId="77777777" w:rsidR="003B32F0" w:rsidRPr="00BA3BBD" w:rsidRDefault="003B32F0" w:rsidP="003B32F0">
      <w:pPr>
        <w:ind w:left="720"/>
        <w:jc w:val="both"/>
      </w:pPr>
      <w:r w:rsidRPr="00BA3BBD">
        <w:t>AB 32</w:t>
      </w:r>
      <w:r w:rsidRPr="00BA3BBD">
        <w:rPr>
          <w:b/>
        </w:rPr>
        <w:t xml:space="preserve"> </w:t>
      </w:r>
      <w:r w:rsidRPr="006D46A0">
        <w:t xml:space="preserve">creates a comprehensive </w:t>
      </w:r>
      <w:r w:rsidRPr="00BA3BBD">
        <w:t xml:space="preserve">program </w:t>
      </w:r>
      <w:r w:rsidRPr="0023394E">
        <w:rPr>
          <w:color w:val="000000" w:themeColor="text1"/>
        </w:rPr>
        <w:t>to reduce greenhouse gas (GHG) emissions in California. GHG reduction strategies include a reduction mandate to 1990 levels by 2020 and a cap-and-trade program. AB 32 also requires the California Air Resources Board (CARB) to develop a Scoping Plan that describes the approach California will take to reduce GHGs. ARB must update the plan every five years.</w:t>
      </w:r>
    </w:p>
    <w:p w14:paraId="7F02F652" w14:textId="77777777" w:rsidR="003B32F0" w:rsidRPr="006D46A0" w:rsidRDefault="003B32F0" w:rsidP="003B32F0">
      <w:pPr>
        <w:ind w:left="720"/>
        <w:rPr>
          <w:color w:val="0432FF"/>
        </w:rPr>
      </w:pPr>
      <w:r w:rsidRPr="00BA3BBD">
        <w:t>Additional information:</w:t>
      </w:r>
      <w:r w:rsidRPr="6D3F3CF0">
        <w:rPr>
          <w:color w:val="000000" w:themeColor="text1"/>
        </w:rPr>
        <w:t xml:space="preserve"> </w:t>
      </w:r>
      <w:hyperlink r:id="rId19" w:history="1">
        <w:r w:rsidRPr="006D46A0">
          <w:rPr>
            <w:rStyle w:val="Hyperlink"/>
            <w:color w:val="0432FF"/>
          </w:rPr>
          <w:t>https://leginfo.legislature.ca.gov/faces/billNavClient.xhtml?bill_id=200520060AB32</w:t>
        </w:r>
      </w:hyperlink>
    </w:p>
    <w:p w14:paraId="2FB09F4D" w14:textId="77777777" w:rsidR="003B32F0" w:rsidRPr="006D46A0" w:rsidRDefault="00F03762" w:rsidP="003B32F0">
      <w:pPr>
        <w:ind w:left="720"/>
        <w:rPr>
          <w:color w:val="0432FF"/>
        </w:rPr>
      </w:pPr>
      <w:hyperlink r:id="rId20">
        <w:r w:rsidR="003B32F0" w:rsidRPr="006D46A0">
          <w:rPr>
            <w:rStyle w:val="Hyperlink"/>
            <w:color w:val="0432FF"/>
          </w:rPr>
          <w:t>https://ww3.arb.ca.gov/cc/scopingplan/scopingplan.htm</w:t>
        </w:r>
      </w:hyperlink>
    </w:p>
    <w:p w14:paraId="25DC1C06" w14:textId="77777777" w:rsidR="003B32F0" w:rsidRPr="00BA3BBD" w:rsidRDefault="003B32F0" w:rsidP="003B32F0">
      <w:pPr>
        <w:spacing w:after="240"/>
        <w:ind w:left="720"/>
        <w:jc w:val="both"/>
      </w:pPr>
      <w:r w:rsidRPr="00BA3BBD">
        <w:t xml:space="preserve">Applicable Law: California Health and Safety Code §§ 38500 et. seq. </w:t>
      </w:r>
    </w:p>
    <w:p w14:paraId="082BDDDC" w14:textId="77777777" w:rsidR="003B32F0" w:rsidRPr="00BA3BBD" w:rsidRDefault="003B32F0" w:rsidP="00DC65CB">
      <w:pPr>
        <w:numPr>
          <w:ilvl w:val="0"/>
          <w:numId w:val="39"/>
        </w:numPr>
        <w:jc w:val="both"/>
        <w:rPr>
          <w:b/>
        </w:rPr>
      </w:pPr>
      <w:r w:rsidRPr="00BA3BBD">
        <w:rPr>
          <w:b/>
        </w:rPr>
        <w:t>Senate Bill (SB) 32 - California Global Warming Solutions Act of 2006: emissions limit</w:t>
      </w:r>
    </w:p>
    <w:p w14:paraId="15EB05EF" w14:textId="77777777" w:rsidR="003B32F0" w:rsidRPr="00BA3BBD" w:rsidRDefault="003B32F0" w:rsidP="003B32F0">
      <w:pPr>
        <w:ind w:left="720"/>
        <w:jc w:val="both"/>
      </w:pPr>
      <w:r w:rsidRPr="00F81BD9">
        <w:t>SB 32 expands upon AB 32 and requires CARB to ensure that statewide GHG emissions are reduced to 40 percent below the 1990 level by 2030. SB 32 further requires that these emissions reductions are achieved in a manner that benefits the state’s most disadvantaged communities and is transparent and accountable to the public and the Legislatur</w:t>
      </w:r>
      <w:r>
        <w:t xml:space="preserve">e. </w:t>
      </w:r>
    </w:p>
    <w:p w14:paraId="744F6076" w14:textId="77777777" w:rsidR="003B32F0" w:rsidRPr="00784F6C" w:rsidRDefault="003B32F0" w:rsidP="003B32F0">
      <w:pPr>
        <w:ind w:left="720"/>
      </w:pPr>
      <w:r>
        <w:t xml:space="preserve">Additional information: </w:t>
      </w:r>
      <w:hyperlink r:id="rId21" w:history="1">
        <w:r w:rsidRPr="006D46A0">
          <w:rPr>
            <w:rStyle w:val="Hyperlink"/>
            <w:color w:val="0432FF"/>
          </w:rPr>
          <w:t>http://www.leginfo.ca.gov/pub/15-16/bill/sen/sb_0001-0050/sb_32_bill_20160908_chaptered.htm</w:t>
        </w:r>
      </w:hyperlink>
      <w:r w:rsidRPr="006D46A0">
        <w:rPr>
          <w:color w:val="0432FF"/>
        </w:rPr>
        <w:t xml:space="preserve"> </w:t>
      </w:r>
    </w:p>
    <w:p w14:paraId="24348961" w14:textId="77777777" w:rsidR="003B32F0" w:rsidRPr="00BA3BBD" w:rsidRDefault="003B32F0" w:rsidP="00DC65CB">
      <w:pPr>
        <w:numPr>
          <w:ilvl w:val="0"/>
          <w:numId w:val="40"/>
        </w:numPr>
        <w:jc w:val="both"/>
        <w:rPr>
          <w:b/>
          <w:bCs/>
        </w:rPr>
      </w:pPr>
      <w:r w:rsidRPr="00BA3BBD">
        <w:rPr>
          <w:b/>
          <w:bCs/>
        </w:rPr>
        <w:t>Senate Bill (SB) 100 - The 100 Percent Clean Energy Act of 2018</w:t>
      </w:r>
    </w:p>
    <w:p w14:paraId="0E87011E" w14:textId="77777777" w:rsidR="003B32F0" w:rsidRPr="00BA3BBD" w:rsidRDefault="003B32F0" w:rsidP="003B32F0">
      <w:pPr>
        <w:ind w:left="720"/>
        <w:jc w:val="both"/>
        <w:rPr>
          <w:rFonts w:eastAsia="Calibri"/>
        </w:rPr>
      </w:pPr>
      <w:r w:rsidRPr="00BA3BBD">
        <w:t xml:space="preserve">SB 100 requires </w:t>
      </w:r>
      <w:r w:rsidRPr="006D46A0">
        <w:t xml:space="preserve">that 100 percent of retail sales of electricity to California end-use customers and 100 percent of electricity procured to serve all state agencies come from eligible renewable energy </w:t>
      </w:r>
      <w:r w:rsidRPr="00BA3BBD">
        <w:t>resources and zero-carbon resources by December 31, 2045. The bill requires the CPUC and the Energy Commission, in consultation with the California Air Resources Board</w:t>
      </w:r>
      <w:r w:rsidRPr="0023394E">
        <w:rPr>
          <w:color w:val="000000" w:themeColor="text1"/>
        </w:rPr>
        <w:t>,</w:t>
      </w:r>
      <w:r w:rsidRPr="00BA3BBD">
        <w:t xml:space="preserve"> to ensure that California’s transition to a zero-carbon electric system does not cause or contribute to greenhouse gas emissions (GHG) increases elsewhere in the western grid.</w:t>
      </w:r>
    </w:p>
    <w:p w14:paraId="6C429C2F" w14:textId="77777777" w:rsidR="003B32F0" w:rsidRDefault="003B32F0" w:rsidP="003B32F0">
      <w:pPr>
        <w:spacing w:after="240"/>
        <w:ind w:left="720"/>
        <w:rPr>
          <w:color w:val="0066FF"/>
        </w:rPr>
      </w:pPr>
      <w:r>
        <w:t xml:space="preserve">Additional information: </w:t>
      </w:r>
      <w:hyperlink r:id="rId22">
        <w:r w:rsidRPr="43EA7C06">
          <w:rPr>
            <w:rStyle w:val="Hyperlink"/>
          </w:rPr>
          <w:t>https://leginfo.legislature.ca.gov/faces/billTextClient.xhtml?bill_id=201720180SB100</w:t>
        </w:r>
      </w:hyperlink>
    </w:p>
    <w:p w14:paraId="526EB16E" w14:textId="77777777" w:rsidR="003B32F0" w:rsidRPr="00BA3BBD" w:rsidRDefault="003B32F0" w:rsidP="003B32F0">
      <w:pPr>
        <w:keepLines/>
        <w:jc w:val="both"/>
        <w:rPr>
          <w:u w:val="single"/>
        </w:rPr>
      </w:pPr>
      <w:r w:rsidRPr="00BA3BBD">
        <w:rPr>
          <w:u w:val="single"/>
        </w:rPr>
        <w:t>Policies/Plans</w:t>
      </w:r>
    </w:p>
    <w:p w14:paraId="7B99BAA0" w14:textId="77777777" w:rsidR="003B32F0" w:rsidRPr="00BA3BBD" w:rsidRDefault="003B32F0" w:rsidP="00DC65CB">
      <w:pPr>
        <w:numPr>
          <w:ilvl w:val="0"/>
          <w:numId w:val="7"/>
        </w:numPr>
        <w:tabs>
          <w:tab w:val="left" w:pos="720"/>
        </w:tabs>
        <w:ind w:left="720"/>
        <w:jc w:val="both"/>
        <w:rPr>
          <w:b/>
          <w:szCs w:val="22"/>
        </w:rPr>
      </w:pPr>
      <w:r w:rsidRPr="00BA3BBD">
        <w:rPr>
          <w:b/>
          <w:szCs w:val="22"/>
        </w:rPr>
        <w:t>Integrated Energy Policy Report (Biennial)</w:t>
      </w:r>
    </w:p>
    <w:p w14:paraId="53997B05" w14:textId="77777777" w:rsidR="003B32F0" w:rsidRPr="00BA3BBD" w:rsidRDefault="003B32F0" w:rsidP="003B32F0">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The IEPR assesses and forecasts all aspects of energy industry supply, production, transportation, delivery, distribution, demand, and pricing. The Energy Commission uses these assessments and forecasts to develop energy policies</w:t>
      </w:r>
      <w:r>
        <w:t xml:space="preserve"> and provide </w:t>
      </w:r>
      <w:r w:rsidRPr="00BA3BBD">
        <w:t>recommendations for future research and analysis areas.</w:t>
      </w:r>
    </w:p>
    <w:p w14:paraId="42114210" w14:textId="77777777" w:rsidR="003B32F0" w:rsidRDefault="003B32F0" w:rsidP="003B32F0">
      <w:pPr>
        <w:ind w:left="720"/>
        <w:jc w:val="both"/>
      </w:pPr>
      <w:r>
        <w:t xml:space="preserve">Additional information: </w:t>
      </w:r>
      <w:hyperlink r:id="rId23">
        <w:r w:rsidRPr="43EA7C06">
          <w:rPr>
            <w:rStyle w:val="Hyperlink"/>
          </w:rPr>
          <w:t>http://www.energy.ca.gov/energypolicy</w:t>
        </w:r>
      </w:hyperlink>
    </w:p>
    <w:p w14:paraId="2B203216" w14:textId="77777777" w:rsidR="003B32F0" w:rsidRDefault="003B32F0" w:rsidP="003B32F0">
      <w:pPr>
        <w:spacing w:after="240"/>
        <w:ind w:left="720"/>
        <w:jc w:val="both"/>
      </w:pPr>
      <w:r w:rsidRPr="00BA3BBD">
        <w:rPr>
          <w:szCs w:val="22"/>
        </w:rPr>
        <w:t>Applicable Law:</w:t>
      </w:r>
      <w:r w:rsidRPr="00BA3BBD">
        <w:rPr>
          <w:color w:val="000000"/>
          <w:szCs w:val="22"/>
        </w:rPr>
        <w:t xml:space="preserve"> California Public Resources Code § 25300 et seq.</w:t>
      </w:r>
    </w:p>
    <w:p w14:paraId="0D2E3A68" w14:textId="77777777" w:rsidR="003B32F0" w:rsidRPr="00BA3BBD" w:rsidRDefault="003B32F0" w:rsidP="00DC65CB">
      <w:pPr>
        <w:numPr>
          <w:ilvl w:val="0"/>
          <w:numId w:val="7"/>
        </w:numPr>
        <w:tabs>
          <w:tab w:val="left" w:pos="720"/>
        </w:tabs>
        <w:ind w:left="720"/>
        <w:jc w:val="both"/>
        <w:rPr>
          <w:b/>
          <w:szCs w:val="22"/>
        </w:rPr>
      </w:pPr>
      <w:r>
        <w:rPr>
          <w:b/>
          <w:szCs w:val="22"/>
        </w:rPr>
        <w:lastRenderedPageBreak/>
        <w:t>CPUC Decision 19-10-054, “Decision on Phase 1 Topics 1 and 2, Order Instituting Rulemaking to Consider Strategies and Guidance for Climate Change Adaptation Rulemaking 18-04-019” (2019)</w:t>
      </w:r>
    </w:p>
    <w:p w14:paraId="4183550A" w14:textId="77777777" w:rsidR="003B32F0" w:rsidRPr="0021063C" w:rsidRDefault="003B32F0" w:rsidP="003B32F0">
      <w:pPr>
        <w:spacing w:after="0"/>
        <w:ind w:left="720"/>
        <w:jc w:val="both"/>
        <w:textAlignment w:val="baseline"/>
        <w:rPr>
          <w:rFonts w:ascii="Segoe UI" w:hAnsi="Segoe UI" w:cs="Segoe UI"/>
          <w:sz w:val="18"/>
          <w:szCs w:val="18"/>
        </w:rPr>
      </w:pPr>
      <w:r w:rsidRPr="0021063C">
        <w:rPr>
          <w:szCs w:val="22"/>
        </w:rPr>
        <w:t>The decision defines climate change adaptation for energy utilities in California; identifies the California Fourth Climate Assessment and any subsequent assessments as the primary source of climate projections and scientific studies; and establishes the criteria for any further data or models that energy utilities may develop to understand climate impacts. </w:t>
      </w:r>
    </w:p>
    <w:p w14:paraId="66622F61" w14:textId="77777777" w:rsidR="003B32F0" w:rsidRDefault="003B32F0" w:rsidP="003B32F0">
      <w:pPr>
        <w:spacing w:after="0"/>
        <w:ind w:firstLine="720"/>
        <w:textAlignment w:val="baseline"/>
        <w:rPr>
          <w:szCs w:val="22"/>
        </w:rPr>
      </w:pPr>
    </w:p>
    <w:p w14:paraId="5FC098C4" w14:textId="77777777" w:rsidR="003B32F0" w:rsidRDefault="003B32F0" w:rsidP="003B32F0">
      <w:pPr>
        <w:spacing w:after="0"/>
        <w:ind w:left="720"/>
        <w:textAlignment w:val="baseline"/>
        <w:rPr>
          <w:rStyle w:val="Hyperlink"/>
          <w:szCs w:val="22"/>
        </w:rPr>
      </w:pPr>
      <w:r>
        <w:t xml:space="preserve">Additional information: </w:t>
      </w:r>
      <w:hyperlink r:id="rId24">
        <w:r w:rsidRPr="43EA7C06">
          <w:rPr>
            <w:rStyle w:val="Hyperlink"/>
          </w:rPr>
          <w:t>http://docs.cpuc.ca.gov/PublishedDocs/Published/G000/M319/K075/319075453.PDF</w:t>
        </w:r>
      </w:hyperlink>
    </w:p>
    <w:p w14:paraId="7AB1930E" w14:textId="77777777" w:rsidR="003B32F0" w:rsidRDefault="003B32F0" w:rsidP="003B32F0">
      <w:pPr>
        <w:spacing w:after="0"/>
        <w:ind w:left="720"/>
        <w:textAlignment w:val="baseline"/>
        <w:rPr>
          <w:rStyle w:val="Hyperlink"/>
          <w:szCs w:val="22"/>
        </w:rPr>
      </w:pPr>
    </w:p>
    <w:p w14:paraId="096389F5" w14:textId="77777777" w:rsidR="003B32F0" w:rsidRPr="00BA3BBD" w:rsidRDefault="003B32F0" w:rsidP="00DC65CB">
      <w:pPr>
        <w:numPr>
          <w:ilvl w:val="0"/>
          <w:numId w:val="7"/>
        </w:numPr>
        <w:tabs>
          <w:tab w:val="left" w:pos="720"/>
        </w:tabs>
        <w:ind w:left="720"/>
        <w:jc w:val="both"/>
        <w:rPr>
          <w:b/>
          <w:szCs w:val="22"/>
        </w:rPr>
      </w:pPr>
      <w:r>
        <w:rPr>
          <w:b/>
          <w:szCs w:val="22"/>
        </w:rPr>
        <w:t>Executive Order B-30-15</w:t>
      </w:r>
    </w:p>
    <w:p w14:paraId="4AB037DF" w14:textId="77777777" w:rsidR="003B32F0" w:rsidRPr="00F2193C" w:rsidRDefault="003B32F0" w:rsidP="003B32F0">
      <w:pPr>
        <w:spacing w:after="0"/>
        <w:ind w:left="720"/>
        <w:rPr>
          <w:rFonts w:ascii="Times New Roman" w:hAnsi="Times New Roman" w:cs="Times New Roman"/>
          <w:sz w:val="24"/>
          <w:szCs w:val="24"/>
        </w:rPr>
      </w:pPr>
      <w:r w:rsidRPr="00F2193C">
        <w:rPr>
          <w:color w:val="000000"/>
          <w:szCs w:val="22"/>
          <w:shd w:val="clear" w:color="auto" w:fill="FFFFFF"/>
        </w:rPr>
        <w:t xml:space="preserve">Governor Brown’s Executive Order B-30-15 established a new interim statewide </w:t>
      </w:r>
      <w:r w:rsidRPr="006D46A0">
        <w:rPr>
          <w:szCs w:val="22"/>
          <w:shd w:val="clear" w:color="auto" w:fill="FFFFFF"/>
        </w:rPr>
        <w:t xml:space="preserve">greenhouse gas emission reduction target to reduce greenhouse gas emissions to 40 percent below 1990 levels by 2030, to ensure California meets its target of reducing greenhouse gas emissions to 80 percent </w:t>
      </w:r>
      <w:r w:rsidRPr="00F2193C">
        <w:rPr>
          <w:color w:val="000000"/>
          <w:szCs w:val="22"/>
          <w:shd w:val="clear" w:color="auto" w:fill="FFFFFF"/>
        </w:rPr>
        <w:t>below 1990 levels by 2050. The Executive Order addresses the need to incorporate climate impacts into the state’s Five-Year Infrastructure Plan and planning and investment decisions.  </w:t>
      </w:r>
    </w:p>
    <w:p w14:paraId="655C44DE" w14:textId="77777777" w:rsidR="003B32F0" w:rsidRDefault="003B32F0" w:rsidP="003B32F0">
      <w:pPr>
        <w:spacing w:after="0"/>
        <w:ind w:firstLine="720"/>
        <w:textAlignment w:val="baseline"/>
        <w:rPr>
          <w:szCs w:val="22"/>
        </w:rPr>
      </w:pPr>
    </w:p>
    <w:p w14:paraId="1FCAF734" w14:textId="77777777" w:rsidR="003B32F0" w:rsidRDefault="003B32F0" w:rsidP="003B32F0">
      <w:pPr>
        <w:spacing w:after="0"/>
        <w:ind w:firstLine="720"/>
      </w:pPr>
      <w:r>
        <w:t>Additional information:</w:t>
      </w:r>
    </w:p>
    <w:p w14:paraId="487A57B6" w14:textId="77777777" w:rsidR="003B32F0" w:rsidRPr="00D21A27" w:rsidRDefault="00F03762" w:rsidP="003B32F0">
      <w:pPr>
        <w:spacing w:after="0"/>
        <w:ind w:firstLine="720"/>
        <w:rPr>
          <w:rFonts w:ascii="Times New Roman" w:hAnsi="Times New Roman" w:cs="Times New Roman"/>
          <w:sz w:val="24"/>
          <w:szCs w:val="24"/>
        </w:rPr>
      </w:pPr>
      <w:hyperlink r:id="rId25" w:history="1">
        <w:r w:rsidR="003B32F0" w:rsidRPr="005025EE">
          <w:rPr>
            <w:rStyle w:val="Hyperlink"/>
            <w:szCs w:val="22"/>
            <w:shd w:val="clear" w:color="auto" w:fill="FFFFFF"/>
          </w:rPr>
          <w:t>https://www.ca.gov/archive/gov39/2015/04/29/news18938/index.html</w:t>
        </w:r>
      </w:hyperlink>
      <w:r w:rsidR="003B32F0" w:rsidRPr="00D21A27">
        <w:rPr>
          <w:color w:val="000000"/>
          <w:szCs w:val="22"/>
          <w:shd w:val="clear" w:color="auto" w:fill="FFFFFF"/>
        </w:rPr>
        <w:t> </w:t>
      </w:r>
    </w:p>
    <w:p w14:paraId="1883C872" w14:textId="77777777" w:rsidR="003B32F0" w:rsidRDefault="003B32F0" w:rsidP="003B32F0">
      <w:pPr>
        <w:spacing w:after="0"/>
        <w:ind w:left="720"/>
        <w:textAlignment w:val="baseline"/>
        <w:rPr>
          <w:rStyle w:val="Hyperlink"/>
          <w:szCs w:val="22"/>
        </w:rPr>
      </w:pPr>
    </w:p>
    <w:p w14:paraId="12AD8366" w14:textId="77777777" w:rsidR="003B32F0" w:rsidRPr="00BA3BBD" w:rsidRDefault="003B32F0" w:rsidP="00DC65CB">
      <w:pPr>
        <w:numPr>
          <w:ilvl w:val="0"/>
          <w:numId w:val="7"/>
        </w:numPr>
        <w:tabs>
          <w:tab w:val="left" w:pos="720"/>
        </w:tabs>
        <w:ind w:left="720"/>
        <w:jc w:val="both"/>
        <w:rPr>
          <w:b/>
          <w:szCs w:val="22"/>
        </w:rPr>
      </w:pPr>
      <w:r>
        <w:rPr>
          <w:b/>
          <w:szCs w:val="22"/>
        </w:rPr>
        <w:t>Executive Order N-19-19</w:t>
      </w:r>
    </w:p>
    <w:p w14:paraId="2596AC8F" w14:textId="77777777" w:rsidR="003B32F0" w:rsidRPr="000C0308" w:rsidRDefault="003B32F0" w:rsidP="003B32F0">
      <w:pPr>
        <w:spacing w:after="0"/>
        <w:ind w:left="720"/>
        <w:rPr>
          <w:rFonts w:ascii="Times New Roman" w:hAnsi="Times New Roman" w:cs="Times New Roman"/>
          <w:sz w:val="24"/>
          <w:szCs w:val="24"/>
        </w:rPr>
      </w:pPr>
      <w:r w:rsidRPr="000C0308">
        <w:rPr>
          <w:color w:val="000000"/>
          <w:szCs w:val="22"/>
          <w:shd w:val="clear" w:color="auto" w:fill="FFFFFF"/>
        </w:rPr>
        <w:t>Governor Newsom’s Executive Order N-19-19 requires that “every aspect of state government redouble its effort to reduce greenhouse gas emissions and mitigate impacts of climate change while building a sustainable, inclusive economy.” It calls on the creation of a Climate Investment Framework that leverages the state’s $700 billion investment portfolio to advance the State’s climate leadership, protect taxpayers, and support the creation of high-road jobs. </w:t>
      </w:r>
    </w:p>
    <w:p w14:paraId="2066AEE3" w14:textId="77777777" w:rsidR="003B32F0" w:rsidRDefault="003B32F0" w:rsidP="003B32F0">
      <w:pPr>
        <w:spacing w:after="0"/>
        <w:textAlignment w:val="baseline"/>
        <w:rPr>
          <w:szCs w:val="22"/>
        </w:rPr>
      </w:pPr>
    </w:p>
    <w:p w14:paraId="1E4FF224" w14:textId="77777777" w:rsidR="003B32F0" w:rsidRDefault="003B32F0" w:rsidP="003B32F0">
      <w:pPr>
        <w:spacing w:after="0"/>
        <w:ind w:firstLine="720"/>
      </w:pPr>
      <w:r>
        <w:t xml:space="preserve">Additional information: </w:t>
      </w:r>
    </w:p>
    <w:p w14:paraId="7C0900FA" w14:textId="77777777" w:rsidR="003B32F0" w:rsidRDefault="00F03762" w:rsidP="003B32F0">
      <w:pPr>
        <w:spacing w:after="0"/>
        <w:ind w:firstLine="720"/>
        <w:rPr>
          <w:color w:val="000000"/>
          <w:szCs w:val="22"/>
          <w:bdr w:val="none" w:sz="0" w:space="0" w:color="auto" w:frame="1"/>
        </w:rPr>
      </w:pPr>
      <w:hyperlink r:id="rId26" w:history="1">
        <w:r w:rsidR="003B32F0" w:rsidRPr="005025EE">
          <w:rPr>
            <w:rStyle w:val="Hyperlink"/>
            <w:szCs w:val="22"/>
            <w:bdr w:val="none" w:sz="0" w:space="0" w:color="auto" w:frame="1"/>
          </w:rPr>
          <w:t>https://www.gov.ca.gov/wp-content/uploads/2019/09/9.20.19-Climate-EO-N-19-19.pdf</w:t>
        </w:r>
      </w:hyperlink>
    </w:p>
    <w:p w14:paraId="007775FA" w14:textId="77777777" w:rsidR="003B32F0" w:rsidRPr="006C5742" w:rsidRDefault="003B32F0" w:rsidP="003B32F0">
      <w:pPr>
        <w:spacing w:after="0"/>
      </w:pPr>
    </w:p>
    <w:p w14:paraId="01F5B4BE" w14:textId="77777777" w:rsidR="003B32F0" w:rsidRPr="00BA3BBD" w:rsidRDefault="003B32F0" w:rsidP="00DC65CB">
      <w:pPr>
        <w:numPr>
          <w:ilvl w:val="0"/>
          <w:numId w:val="7"/>
        </w:numPr>
        <w:tabs>
          <w:tab w:val="left" w:pos="720"/>
        </w:tabs>
        <w:ind w:left="720"/>
        <w:jc w:val="both"/>
        <w:rPr>
          <w:b/>
          <w:szCs w:val="22"/>
        </w:rPr>
      </w:pPr>
      <w:r>
        <w:rPr>
          <w:b/>
          <w:szCs w:val="22"/>
        </w:rPr>
        <w:t>Climate Change Research Plan for California</w:t>
      </w:r>
    </w:p>
    <w:p w14:paraId="4A2383FD" w14:textId="77777777" w:rsidR="003B32F0" w:rsidRPr="000C0308" w:rsidRDefault="003B32F0" w:rsidP="003B32F0">
      <w:pPr>
        <w:spacing w:after="0"/>
        <w:ind w:left="720"/>
        <w:rPr>
          <w:rFonts w:ascii="Times New Roman" w:hAnsi="Times New Roman" w:cs="Times New Roman"/>
          <w:sz w:val="24"/>
          <w:szCs w:val="24"/>
        </w:rPr>
      </w:pPr>
      <w:r w:rsidRPr="00A54A1E">
        <w:rPr>
          <w:color w:val="000000"/>
          <w:szCs w:val="22"/>
          <w:shd w:val="clear" w:color="auto" w:fill="FFFFFF"/>
        </w:rPr>
        <w:t>Successfully negotiating climate change challenges will require integrating a sound scientific basis for climate preparedness into local planning, resource management, infrastructure, and public health, as well as introducing new strategies to reduce GHG emissions or increase carbon sequestration into nearly every sector of California’s economy. This Climate Change Research Plan presents a strategy for developing the requisite knowledge through a targeted body of policy-relevant, California-specific research. The plan calls for research to better estimate the impacts of climate change on the existing energy infrastructure (e.g., wildfires on electricity distribution networks). </w:t>
      </w:r>
    </w:p>
    <w:p w14:paraId="4F8B5145" w14:textId="77777777" w:rsidR="003B32F0" w:rsidRDefault="003B32F0" w:rsidP="003B32F0">
      <w:pPr>
        <w:spacing w:after="0"/>
        <w:textAlignment w:val="baseline"/>
        <w:rPr>
          <w:szCs w:val="22"/>
        </w:rPr>
      </w:pPr>
    </w:p>
    <w:p w14:paraId="2EB992D1" w14:textId="77777777" w:rsidR="003B32F0" w:rsidRDefault="003B32F0" w:rsidP="003B32F0">
      <w:pPr>
        <w:spacing w:after="0"/>
        <w:ind w:firstLine="720"/>
      </w:pPr>
      <w:r>
        <w:t xml:space="preserve">Additional information: </w:t>
      </w:r>
    </w:p>
    <w:p w14:paraId="20423218" w14:textId="77777777" w:rsidR="003B32F0" w:rsidRPr="006A1834" w:rsidRDefault="00F03762" w:rsidP="003B32F0">
      <w:pPr>
        <w:spacing w:after="0"/>
        <w:ind w:left="720"/>
        <w:textAlignment w:val="baseline"/>
        <w:rPr>
          <w:rFonts w:ascii="Segoe UI" w:hAnsi="Segoe UI" w:cs="Segoe UI"/>
          <w:color w:val="00B050"/>
          <w:sz w:val="18"/>
          <w:szCs w:val="18"/>
        </w:rPr>
      </w:pPr>
      <w:hyperlink r:id="rId27" w:history="1">
        <w:r w:rsidR="003B32F0" w:rsidRPr="006D46A0">
          <w:rPr>
            <w:rStyle w:val="Hyperlink"/>
            <w:color w:val="0432FF"/>
          </w:rPr>
          <w:t>https://cawaterlibrary.net/wp-content/uploads/2017/10/CAT_research_plan_2015.pdf</w:t>
        </w:r>
      </w:hyperlink>
      <w:r w:rsidR="003B32F0" w:rsidRPr="006D46A0">
        <w:rPr>
          <w:color w:val="0432FF"/>
        </w:rPr>
        <w:t xml:space="preserve"> </w:t>
      </w:r>
    </w:p>
    <w:p w14:paraId="26889837" w14:textId="77777777" w:rsidR="003B32F0" w:rsidRPr="006A1834" w:rsidRDefault="003B32F0" w:rsidP="003B32F0">
      <w:pPr>
        <w:tabs>
          <w:tab w:val="left" w:pos="720"/>
        </w:tabs>
        <w:ind w:left="720"/>
        <w:jc w:val="both"/>
        <w:rPr>
          <w:b/>
          <w:color w:val="00B050"/>
          <w:szCs w:val="22"/>
        </w:rPr>
      </w:pPr>
    </w:p>
    <w:p w14:paraId="6144331F" w14:textId="77777777" w:rsidR="003B32F0" w:rsidRPr="006D46A0" w:rsidRDefault="003B32F0" w:rsidP="00DC65CB">
      <w:pPr>
        <w:numPr>
          <w:ilvl w:val="0"/>
          <w:numId w:val="7"/>
        </w:numPr>
        <w:tabs>
          <w:tab w:val="left" w:pos="720"/>
        </w:tabs>
        <w:ind w:left="720"/>
        <w:jc w:val="both"/>
        <w:rPr>
          <w:b/>
          <w:szCs w:val="22"/>
        </w:rPr>
      </w:pPr>
      <w:r w:rsidRPr="006D46A0">
        <w:rPr>
          <w:b/>
          <w:szCs w:val="22"/>
        </w:rPr>
        <w:t>SB 100 Joint Agency Report: Charting a Path to a 100% Clean Energy Future</w:t>
      </w:r>
    </w:p>
    <w:p w14:paraId="106A0E7F" w14:textId="77777777" w:rsidR="003B32F0" w:rsidRPr="006D46A0" w:rsidRDefault="003B32F0" w:rsidP="003B32F0">
      <w:pPr>
        <w:spacing w:after="0"/>
        <w:ind w:left="720"/>
        <w:jc w:val="both"/>
        <w:textAlignment w:val="baseline"/>
        <w:rPr>
          <w:rFonts w:ascii="Segoe UI" w:hAnsi="Segoe UI" w:cs="Segoe UI"/>
          <w:sz w:val="18"/>
          <w:szCs w:val="18"/>
        </w:rPr>
      </w:pPr>
      <w:r w:rsidRPr="006D46A0">
        <w:rPr>
          <w:szCs w:val="22"/>
        </w:rPr>
        <w:lastRenderedPageBreak/>
        <w:t>The 2021 SB 100 Joint Agency Report (2021 Report) includes a review of the policy to provide 100 percent of electricity retail sales and state loads from renewable and zero-carbon resources in California by 2045. The report assesses various pathways to achieve the target and an initial assessment of costs and benefits. The report includes results from capacity expansion modeling and makes recommendations for further analysis and actions by the joint agencies. </w:t>
      </w:r>
    </w:p>
    <w:p w14:paraId="4FBAD6A2" w14:textId="77777777" w:rsidR="003B32F0" w:rsidRPr="005C4D77" w:rsidRDefault="003B32F0" w:rsidP="003B32F0">
      <w:pPr>
        <w:spacing w:after="0"/>
        <w:ind w:left="720"/>
        <w:jc w:val="both"/>
        <w:textAlignment w:val="baseline"/>
        <w:rPr>
          <w:rFonts w:ascii="Segoe UI" w:hAnsi="Segoe UI" w:cs="Segoe UI"/>
          <w:color w:val="00B050"/>
          <w:sz w:val="18"/>
          <w:szCs w:val="18"/>
        </w:rPr>
      </w:pPr>
    </w:p>
    <w:p w14:paraId="4DC8DD0B" w14:textId="77777777" w:rsidR="003B32F0" w:rsidRPr="006D46A0" w:rsidRDefault="003B32F0" w:rsidP="003B32F0">
      <w:pPr>
        <w:spacing w:after="0"/>
        <w:ind w:left="720"/>
        <w:jc w:val="both"/>
        <w:textAlignment w:val="baseline"/>
        <w:rPr>
          <w:rFonts w:ascii="Segoe UI" w:hAnsi="Segoe UI" w:cs="Segoe UI"/>
          <w:sz w:val="18"/>
          <w:szCs w:val="18"/>
        </w:rPr>
      </w:pPr>
      <w:r w:rsidRPr="006D46A0">
        <w:rPr>
          <w:szCs w:val="22"/>
        </w:rPr>
        <w:t>Additional Information: </w:t>
      </w:r>
    </w:p>
    <w:p w14:paraId="2DD4C0D2" w14:textId="77777777" w:rsidR="003B32F0" w:rsidRPr="006D46A0" w:rsidRDefault="00F03762" w:rsidP="003B32F0">
      <w:pPr>
        <w:spacing w:after="0"/>
        <w:ind w:left="720"/>
        <w:jc w:val="both"/>
        <w:textAlignment w:val="baseline"/>
        <w:rPr>
          <w:color w:val="0432FF"/>
          <w:szCs w:val="22"/>
        </w:rPr>
      </w:pPr>
      <w:hyperlink r:id="rId28" w:history="1">
        <w:r w:rsidR="003B32F0" w:rsidRPr="006D46A0">
          <w:rPr>
            <w:rStyle w:val="Hyperlink"/>
            <w:color w:val="0432FF"/>
            <w:szCs w:val="22"/>
          </w:rPr>
          <w:t>https://efiling.energy.ca.gov/EFiling/GetFile.aspx?tn=237167&amp;DocumentContentId=70349</w:t>
        </w:r>
      </w:hyperlink>
    </w:p>
    <w:p w14:paraId="55F5F940" w14:textId="77777777" w:rsidR="003B32F0" w:rsidRPr="00BA3BBD" w:rsidRDefault="003B32F0" w:rsidP="003B32F0">
      <w:pPr>
        <w:keepLines/>
        <w:widowControl w:val="0"/>
        <w:tabs>
          <w:tab w:val="left" w:pos="360"/>
        </w:tabs>
        <w:spacing w:before="240"/>
        <w:jc w:val="both"/>
        <w:rPr>
          <w:szCs w:val="22"/>
          <w:u w:val="single"/>
        </w:rPr>
      </w:pPr>
      <w:r w:rsidRPr="00BA3BBD">
        <w:rPr>
          <w:szCs w:val="22"/>
          <w:u w:val="single"/>
        </w:rPr>
        <w:t>Reference Documents</w:t>
      </w:r>
    </w:p>
    <w:bookmarkEnd w:id="61"/>
    <w:p w14:paraId="5867F898" w14:textId="77777777" w:rsidR="003B32F0" w:rsidRPr="00BA3BBD" w:rsidRDefault="003B32F0" w:rsidP="003B32F0">
      <w:pPr>
        <w:tabs>
          <w:tab w:val="left" w:pos="1170"/>
        </w:tabs>
        <w:spacing w:after="0"/>
        <w:jc w:val="both"/>
      </w:pPr>
    </w:p>
    <w:p w14:paraId="27B8D216" w14:textId="77777777" w:rsidR="003B32F0" w:rsidRPr="00284D57" w:rsidRDefault="003B32F0" w:rsidP="003B32F0">
      <w:pPr>
        <w:spacing w:after="0"/>
        <w:rPr>
          <w:szCs w:val="22"/>
          <w:shd w:val="clear" w:color="auto" w:fill="FFFFFF"/>
        </w:rPr>
      </w:pPr>
      <w:r w:rsidRPr="00284D57">
        <w:rPr>
          <w:szCs w:val="22"/>
          <w:shd w:val="clear" w:color="auto" w:fill="FFFFFF"/>
        </w:rPr>
        <w:t>Refer to the documents below for information about CEC research and related activities associated with development of climate projections for California as well as development of a publicly available platform (Cal-Adapt) for making projections available: </w:t>
      </w:r>
    </w:p>
    <w:p w14:paraId="78605AEC" w14:textId="77777777" w:rsidR="003B32F0" w:rsidRPr="00284D57" w:rsidRDefault="003B32F0" w:rsidP="003B32F0">
      <w:pPr>
        <w:rPr>
          <w:shd w:val="clear" w:color="auto" w:fill="FFFFFF"/>
        </w:rPr>
      </w:pPr>
    </w:p>
    <w:p w14:paraId="238D1422" w14:textId="77777777" w:rsidR="003B32F0" w:rsidRPr="00284D57" w:rsidRDefault="003B32F0" w:rsidP="00DC65CB">
      <w:pPr>
        <w:pStyle w:val="ListParagraph"/>
        <w:numPr>
          <w:ilvl w:val="0"/>
          <w:numId w:val="7"/>
        </w:numPr>
        <w:rPr>
          <w:szCs w:val="22"/>
        </w:rPr>
      </w:pPr>
      <w:r w:rsidRPr="00284D57">
        <w:rPr>
          <w:szCs w:val="22"/>
        </w:rPr>
        <w:t>California Energy Commission staff. 2019. Chapter 5: “Climate Change Adaptation” Final 2019 Integrated Energy Policy Report. California Energy Commission. Publication Number: CEC-100-2019-001-CMD.</w:t>
      </w:r>
    </w:p>
    <w:p w14:paraId="764A34B0" w14:textId="77777777" w:rsidR="003B32F0" w:rsidRPr="00284D57" w:rsidRDefault="003B32F0" w:rsidP="00DC65CB">
      <w:pPr>
        <w:pStyle w:val="ListParagraph"/>
        <w:numPr>
          <w:ilvl w:val="0"/>
          <w:numId w:val="7"/>
        </w:numPr>
        <w:rPr>
          <w:szCs w:val="22"/>
        </w:rPr>
      </w:pPr>
      <w:r w:rsidRPr="00284D57">
        <w:rPr>
          <w:szCs w:val="22"/>
        </w:rPr>
        <w:t>California Energy Commission Staff Workshop: Hourly Temperature Data on Cal-Adapt (December 18, 2019) </w:t>
      </w:r>
    </w:p>
    <w:p w14:paraId="17D44A10" w14:textId="77777777" w:rsidR="003B32F0" w:rsidRPr="00284D57" w:rsidRDefault="003B32F0" w:rsidP="00DC65CB">
      <w:pPr>
        <w:pStyle w:val="ListParagraph"/>
        <w:numPr>
          <w:ilvl w:val="1"/>
          <w:numId w:val="7"/>
        </w:numPr>
        <w:rPr>
          <w:szCs w:val="22"/>
        </w:rPr>
      </w:pPr>
      <w:r w:rsidRPr="00284D57">
        <w:rPr>
          <w:szCs w:val="22"/>
        </w:rPr>
        <w:t>Staff Workshop information located here: https://www.energy.ca.gov/event/workshop/2019-12/staff-workshop-hourly-temperature-data-cal-adapt </w:t>
      </w:r>
    </w:p>
    <w:p w14:paraId="462A00AF" w14:textId="77777777" w:rsidR="003B32F0" w:rsidRPr="00284D57" w:rsidRDefault="003B32F0" w:rsidP="00DC65CB">
      <w:pPr>
        <w:pStyle w:val="ListParagraph"/>
        <w:numPr>
          <w:ilvl w:val="1"/>
          <w:numId w:val="7"/>
        </w:numPr>
        <w:rPr>
          <w:szCs w:val="22"/>
        </w:rPr>
      </w:pPr>
      <w:r w:rsidRPr="00284D57">
        <w:rPr>
          <w:szCs w:val="22"/>
        </w:rPr>
        <w:t>Docket containing public comments located here: https://efiling.energy.ca.gov/Lists/DocketLog.aspx?docketnumber=19-ERDD-01 </w:t>
      </w:r>
    </w:p>
    <w:p w14:paraId="54690E3E" w14:textId="77777777" w:rsidR="003B32F0" w:rsidRPr="00284D57" w:rsidRDefault="003B32F0" w:rsidP="003B32F0">
      <w:pPr>
        <w:rPr>
          <w:sz w:val="18"/>
          <w:szCs w:val="18"/>
        </w:rPr>
      </w:pPr>
      <w:r w:rsidRPr="00284D57">
        <w:t>The documents and resources below are referred to in this solicitation manual: </w:t>
      </w:r>
    </w:p>
    <w:p w14:paraId="5D54441A" w14:textId="77777777" w:rsidR="003B32F0" w:rsidRPr="00284D57" w:rsidRDefault="003B32F0" w:rsidP="00DC65CB">
      <w:pPr>
        <w:pStyle w:val="ListParagraph"/>
        <w:numPr>
          <w:ilvl w:val="0"/>
          <w:numId w:val="65"/>
        </w:numPr>
        <w:rPr>
          <w:szCs w:val="22"/>
        </w:rPr>
      </w:pPr>
      <w:r w:rsidRPr="00284D57">
        <w:rPr>
          <w:szCs w:val="22"/>
        </w:rPr>
        <w:t>Aas, D., Mahone, A. Subin, Z. Mac Kinnon, M. Lane, B. Price, S. (University of California, Irvine, Advanced Power and Energy Program). “The Challenge of Retail Gas in California’s Low Carbon Future: Technology Options, Customer Costs, and Public Health Benefits of Reducing Natural Gas Use.” California Energy Commission (2020). Publication number: CEC-500-2019-055-F. </w:t>
      </w:r>
    </w:p>
    <w:p w14:paraId="04C582A6" w14:textId="77777777" w:rsidR="003B32F0" w:rsidRPr="00284D57" w:rsidRDefault="003B32F0" w:rsidP="00DC65CB">
      <w:pPr>
        <w:pStyle w:val="ListParagraph"/>
        <w:numPr>
          <w:ilvl w:val="0"/>
          <w:numId w:val="65"/>
        </w:numPr>
        <w:rPr>
          <w:szCs w:val="22"/>
        </w:rPr>
      </w:pPr>
      <w:r w:rsidRPr="00284D57">
        <w:rPr>
          <w:szCs w:val="22"/>
        </w:rPr>
        <w:t>American Geophysical Union (AGU). “Position Statement on Data.” November 2019 Revision. Link to AGU’s Position Statement on Data: </w:t>
      </w:r>
      <w:hyperlink r:id="rId29" w:tgtFrame="_blank" w:history="1">
        <w:r w:rsidRPr="00284D57">
          <w:rPr>
            <w:szCs w:val="22"/>
            <w:shd w:val="clear" w:color="auto" w:fill="E1E3E6"/>
          </w:rPr>
          <w:t>https://www.agu.org/Share-and-Advocate/Share/Policymakers/Position-Statements/Position_Data</w:t>
        </w:r>
      </w:hyperlink>
    </w:p>
    <w:p w14:paraId="2831CEAE" w14:textId="77777777" w:rsidR="003B32F0" w:rsidRPr="00284D57" w:rsidRDefault="003B32F0" w:rsidP="00DC65CB">
      <w:pPr>
        <w:pStyle w:val="ListParagraph"/>
        <w:numPr>
          <w:ilvl w:val="0"/>
          <w:numId w:val="65"/>
        </w:numPr>
        <w:rPr>
          <w:szCs w:val="22"/>
        </w:rPr>
      </w:pPr>
      <w:r w:rsidRPr="00284D57">
        <w:rPr>
          <w:szCs w:val="22"/>
        </w:rPr>
        <w:t>Boland, B., De Smet, A., Palter, R. Sanghvi, A. “Reimagining the Office and Work Life After COVID-19.” (2020) McKinsey &amp; Company. </w:t>
      </w:r>
      <w:hyperlink r:id="rId30" w:tgtFrame="_blank" w:history="1">
        <w:r w:rsidRPr="00284D57">
          <w:rPr>
            <w:szCs w:val="22"/>
            <w:shd w:val="clear" w:color="auto" w:fill="E1E3E6"/>
          </w:rPr>
          <w:t>https://www.mckinsey.com/~/media/McKinsey/Business%20Functions/Organization/Our%20Insights/Reimagining%20the%20office%20and%20work%20life%20after%20COVID%2019/Reimagining-the-office-and-work-life-after-COVID-19-final.pdf</w:t>
        </w:r>
      </w:hyperlink>
      <w:r w:rsidRPr="00284D57">
        <w:rPr>
          <w:szCs w:val="22"/>
        </w:rPr>
        <w:t> </w:t>
      </w:r>
    </w:p>
    <w:p w14:paraId="19D2C1C7" w14:textId="77777777" w:rsidR="003B32F0" w:rsidRPr="00284D57" w:rsidRDefault="003B32F0" w:rsidP="00DC65CB">
      <w:pPr>
        <w:pStyle w:val="ListParagraph"/>
        <w:numPr>
          <w:ilvl w:val="0"/>
          <w:numId w:val="65"/>
        </w:numPr>
        <w:rPr>
          <w:szCs w:val="22"/>
        </w:rPr>
      </w:pPr>
      <w:r w:rsidRPr="00284D57">
        <w:rPr>
          <w:szCs w:val="22"/>
        </w:rPr>
        <w:t xml:space="preserve">Cayan, D., Pierce, D., DeHaan, L., Guzman-Morales, J., Gershunov, A., Clemesha, R., Ullrich, P., Shu, L., Ajami, H., Schreiner-McGraw, A. “Downscaling Using Dynamical and Statistical Methods [White Paper].” (2020). </w:t>
      </w:r>
      <w:hyperlink r:id="rId31" w:history="1">
        <w:r w:rsidRPr="00284D57">
          <w:rPr>
            <w:rStyle w:val="Hyperlink"/>
            <w:rFonts w:cs="Arial"/>
            <w:color w:val="auto"/>
            <w:szCs w:val="22"/>
          </w:rPr>
          <w:t>https://efiling.energy.ca.gov/GetDocument.aspx?tn=232882&amp;DocumentContentId=65318</w:t>
        </w:r>
      </w:hyperlink>
    </w:p>
    <w:p w14:paraId="4560BD98" w14:textId="77777777" w:rsidR="003B32F0" w:rsidRPr="00284D57" w:rsidRDefault="00F03762" w:rsidP="00DC65CB">
      <w:pPr>
        <w:pStyle w:val="ListParagraph"/>
        <w:numPr>
          <w:ilvl w:val="0"/>
          <w:numId w:val="65"/>
        </w:numPr>
        <w:rPr>
          <w:szCs w:val="22"/>
        </w:rPr>
      </w:pPr>
      <w:hyperlink r:id="rId32" w:tgtFrame="_blank" w:history="1">
        <w:r w:rsidR="003B32F0" w:rsidRPr="00284D57">
          <w:rPr>
            <w:szCs w:val="22"/>
          </w:rPr>
          <w:t>Committee Report, California Energy Commission. Technology Evaluation Office. Intergovernmental Relations Committee.</w:t>
        </w:r>
      </w:hyperlink>
      <w:r w:rsidR="003B32F0" w:rsidRPr="00284D57">
        <w:rPr>
          <w:szCs w:val="22"/>
        </w:rPr>
        <w:t xml:space="preserve"> “</w:t>
      </w:r>
      <w:r w:rsidR="003B32F0" w:rsidRPr="00284D57">
        <w:rPr>
          <w:i/>
          <w:iCs/>
          <w:szCs w:val="22"/>
        </w:rPr>
        <w:t>The Impacts of Global Warming on California: Interim Report</w:t>
      </w:r>
      <w:r w:rsidR="003B32F0" w:rsidRPr="00284D57">
        <w:rPr>
          <w:szCs w:val="22"/>
        </w:rPr>
        <w:t>.” (1989). P500-89-004.  </w:t>
      </w:r>
      <w:hyperlink r:id="rId33" w:tgtFrame="_blank" w:history="1">
        <w:r w:rsidR="003B32F0" w:rsidRPr="00284D57">
          <w:rPr>
            <w:szCs w:val="22"/>
            <w:shd w:val="clear" w:color="auto" w:fill="E1E3E6"/>
          </w:rPr>
          <w:t>https://cepsym.org/documents/Impacts-Global-Warming-CEC-June-1989.pdf</w:t>
        </w:r>
      </w:hyperlink>
    </w:p>
    <w:p w14:paraId="2B5642F1" w14:textId="77777777" w:rsidR="003B32F0" w:rsidRPr="00284D57" w:rsidRDefault="003B32F0" w:rsidP="00DC65CB">
      <w:pPr>
        <w:pStyle w:val="ListParagraph"/>
        <w:numPr>
          <w:ilvl w:val="0"/>
          <w:numId w:val="65"/>
        </w:numPr>
        <w:rPr>
          <w:szCs w:val="22"/>
        </w:rPr>
      </w:pPr>
      <w:r w:rsidRPr="00284D57">
        <w:rPr>
          <w:szCs w:val="22"/>
        </w:rPr>
        <w:t>California Energy Commission. “</w:t>
      </w:r>
      <w:r w:rsidRPr="00284D57">
        <w:rPr>
          <w:i/>
          <w:iCs/>
          <w:szCs w:val="22"/>
        </w:rPr>
        <w:t xml:space="preserve">Achieving 100 Percent Clean Electricity in California: An Initial Assessment.” </w:t>
      </w:r>
      <w:r w:rsidRPr="00284D57">
        <w:rPr>
          <w:szCs w:val="22"/>
        </w:rPr>
        <w:t>(2021). </w:t>
      </w:r>
      <w:r w:rsidRPr="00284D57">
        <w:rPr>
          <w:i/>
          <w:iCs/>
          <w:szCs w:val="22"/>
        </w:rPr>
        <w:t xml:space="preserve">State Bill 100 Joint Agency Report. </w:t>
      </w:r>
      <w:hyperlink r:id="rId34" w:history="1">
        <w:r w:rsidRPr="00284D57">
          <w:rPr>
            <w:rStyle w:val="Hyperlink"/>
            <w:rFonts w:cs="Arial"/>
            <w:i/>
            <w:iCs/>
            <w:color w:val="auto"/>
            <w:szCs w:val="22"/>
          </w:rPr>
          <w:t>https://www.energy.ca.gov/news/2021-03/california-releases-report-charting-path-100-percent-clean-electricity</w:t>
        </w:r>
      </w:hyperlink>
    </w:p>
    <w:p w14:paraId="2752DF69" w14:textId="77777777" w:rsidR="003B32F0" w:rsidRPr="00284D57" w:rsidRDefault="003B32F0" w:rsidP="00DC65CB">
      <w:pPr>
        <w:pStyle w:val="ListParagraph"/>
        <w:numPr>
          <w:ilvl w:val="0"/>
          <w:numId w:val="65"/>
        </w:numPr>
        <w:rPr>
          <w:szCs w:val="22"/>
        </w:rPr>
      </w:pPr>
      <w:r w:rsidRPr="00284D57">
        <w:rPr>
          <w:szCs w:val="22"/>
        </w:rPr>
        <w:t>California Energy Commission Staff Workshop: Request for Comments on Forthcoming Solicitation Regarding Climate Scenarios and Analyses (December 16, 2019).</w:t>
      </w:r>
    </w:p>
    <w:p w14:paraId="31517A0A" w14:textId="77777777" w:rsidR="003B32F0" w:rsidRPr="00284D57" w:rsidRDefault="003B32F0" w:rsidP="00DC65CB">
      <w:pPr>
        <w:pStyle w:val="ListParagraph"/>
        <w:numPr>
          <w:ilvl w:val="1"/>
          <w:numId w:val="65"/>
        </w:numPr>
        <w:rPr>
          <w:szCs w:val="22"/>
        </w:rPr>
      </w:pPr>
      <w:r w:rsidRPr="00284D57">
        <w:rPr>
          <w:szCs w:val="22"/>
        </w:rPr>
        <w:t>Staff Workshop documentation located </w:t>
      </w:r>
      <w:hyperlink r:id="rId35" w:tgtFrame="_blank" w:history="1">
        <w:r w:rsidRPr="00284D57">
          <w:rPr>
            <w:szCs w:val="22"/>
          </w:rPr>
          <w:t>here:</w:t>
        </w:r>
      </w:hyperlink>
      <w:r w:rsidRPr="00284D57">
        <w:rPr>
          <w:szCs w:val="22"/>
        </w:rPr>
        <w:t> </w:t>
      </w:r>
      <w:hyperlink r:id="rId36" w:anchor="12162019" w:history="1">
        <w:r w:rsidRPr="00284D57">
          <w:rPr>
            <w:rStyle w:val="Hyperlink"/>
            <w:rFonts w:cs="Arial"/>
            <w:color w:val="auto"/>
            <w:szCs w:val="22"/>
          </w:rPr>
          <w:t>https://ww2.energy.ca.gov/research/notices/#12162019</w:t>
        </w:r>
      </w:hyperlink>
    </w:p>
    <w:p w14:paraId="1DC3A2A2" w14:textId="77777777" w:rsidR="003B32F0" w:rsidRPr="00284D57" w:rsidRDefault="003B32F0" w:rsidP="00DC65CB">
      <w:pPr>
        <w:pStyle w:val="ListParagraph"/>
        <w:numPr>
          <w:ilvl w:val="1"/>
          <w:numId w:val="65"/>
        </w:numPr>
        <w:rPr>
          <w:szCs w:val="22"/>
        </w:rPr>
      </w:pPr>
      <w:r w:rsidRPr="00284D57">
        <w:rPr>
          <w:szCs w:val="22"/>
        </w:rPr>
        <w:t>Docket containing public comments located </w:t>
      </w:r>
      <w:hyperlink r:id="rId37" w:tgtFrame="_blank" w:history="1">
        <w:r w:rsidRPr="00284D57">
          <w:rPr>
            <w:szCs w:val="22"/>
          </w:rPr>
          <w:t>here:</w:t>
        </w:r>
      </w:hyperlink>
      <w:r w:rsidRPr="00284D57">
        <w:rPr>
          <w:szCs w:val="22"/>
        </w:rPr>
        <w:t> </w:t>
      </w:r>
      <w:hyperlink r:id="rId38" w:tgtFrame="_blank" w:history="1">
        <w:r w:rsidRPr="00284D57">
          <w:rPr>
            <w:szCs w:val="22"/>
            <w:shd w:val="clear" w:color="auto" w:fill="E1E3E6"/>
          </w:rPr>
          <w:t>https://efiling.energy.ca.gov/Lists/DocketLog.aspx?docketnumber=19-ERDD-01</w:t>
        </w:r>
      </w:hyperlink>
    </w:p>
    <w:p w14:paraId="7542E1E3" w14:textId="77777777" w:rsidR="003B32F0" w:rsidRPr="00284D57" w:rsidRDefault="003B32F0" w:rsidP="00DC65CB">
      <w:pPr>
        <w:pStyle w:val="ListParagraph"/>
        <w:numPr>
          <w:ilvl w:val="0"/>
          <w:numId w:val="65"/>
        </w:numPr>
        <w:rPr>
          <w:szCs w:val="22"/>
        </w:rPr>
      </w:pPr>
      <w:r w:rsidRPr="00284D57">
        <w:rPr>
          <w:szCs w:val="22"/>
        </w:rPr>
        <w:t>California Energy Commission Staff Workshop: Request for Comments on Forthcoming Solicitation Regarding Research to Support a Climate-Resilient Transition to a Clean Electricity System (March 5, 2021).</w:t>
      </w:r>
    </w:p>
    <w:p w14:paraId="21E0B4C8" w14:textId="77777777" w:rsidR="003B32F0" w:rsidRPr="00284D57" w:rsidRDefault="003B32F0" w:rsidP="00DC65CB">
      <w:pPr>
        <w:pStyle w:val="ListParagraph"/>
        <w:numPr>
          <w:ilvl w:val="1"/>
          <w:numId w:val="65"/>
        </w:numPr>
        <w:rPr>
          <w:szCs w:val="22"/>
        </w:rPr>
      </w:pPr>
      <w:r w:rsidRPr="00284D57">
        <w:rPr>
          <w:szCs w:val="22"/>
        </w:rPr>
        <w:t>Staff Workshop documentation located </w:t>
      </w:r>
      <w:hyperlink r:id="rId39" w:tgtFrame="_blank" w:history="1">
        <w:r w:rsidRPr="00284D57">
          <w:rPr>
            <w:szCs w:val="22"/>
          </w:rPr>
          <w:t>here:</w:t>
        </w:r>
      </w:hyperlink>
      <w:r w:rsidRPr="00284D57">
        <w:rPr>
          <w:szCs w:val="22"/>
        </w:rPr>
        <w:t> https://efiling.energy.ca.gov/GetDocument.aspx?tn=237014&amp;DocumentContentId=70190</w:t>
      </w:r>
    </w:p>
    <w:p w14:paraId="4484251D" w14:textId="77777777" w:rsidR="003B32F0" w:rsidRPr="00284D57" w:rsidRDefault="003B32F0" w:rsidP="00DC65CB">
      <w:pPr>
        <w:pStyle w:val="ListParagraph"/>
        <w:numPr>
          <w:ilvl w:val="1"/>
          <w:numId w:val="65"/>
        </w:numPr>
        <w:rPr>
          <w:szCs w:val="22"/>
        </w:rPr>
      </w:pPr>
      <w:r w:rsidRPr="00284D57">
        <w:rPr>
          <w:szCs w:val="22"/>
        </w:rPr>
        <w:t>Docket containing public comments located </w:t>
      </w:r>
      <w:hyperlink r:id="rId40" w:tgtFrame="_blank" w:history="1">
        <w:r w:rsidRPr="00284D57">
          <w:rPr>
            <w:szCs w:val="22"/>
          </w:rPr>
          <w:t>here:</w:t>
        </w:r>
      </w:hyperlink>
      <w:r w:rsidRPr="00284D57">
        <w:rPr>
          <w:szCs w:val="22"/>
        </w:rPr>
        <w:t> </w:t>
      </w:r>
      <w:hyperlink r:id="rId41" w:tgtFrame="_blank" w:history="1">
        <w:r w:rsidRPr="00284D57">
          <w:rPr>
            <w:szCs w:val="22"/>
            <w:shd w:val="clear" w:color="auto" w:fill="E1E3E6"/>
          </w:rPr>
          <w:t>https://efiling.energy.ca.gov/Lists/DocketLog.aspx?docketnumber=19-ERDD-01</w:t>
        </w:r>
      </w:hyperlink>
    </w:p>
    <w:p w14:paraId="1C9095D1" w14:textId="77777777" w:rsidR="003B32F0" w:rsidRPr="00284D57" w:rsidRDefault="003B32F0" w:rsidP="00DC65CB">
      <w:pPr>
        <w:pStyle w:val="ListParagraph"/>
        <w:numPr>
          <w:ilvl w:val="0"/>
          <w:numId w:val="66"/>
        </w:numPr>
        <w:rPr>
          <w:szCs w:val="22"/>
        </w:rPr>
      </w:pPr>
      <w:r w:rsidRPr="00284D57">
        <w:rPr>
          <w:szCs w:val="22"/>
        </w:rPr>
        <w:t xml:space="preserve">California Independent System Operator. “Final Root Cause Analysis: Mid-August 2020 Extreme Heat Wave.” (2021). </w:t>
      </w:r>
      <w:hyperlink r:id="rId42" w:tgtFrame="_blank" w:history="1">
        <w:r w:rsidRPr="00284D57">
          <w:rPr>
            <w:szCs w:val="22"/>
            <w:shd w:val="clear" w:color="auto" w:fill="E1E3E6"/>
          </w:rPr>
          <w:t>http://www.caiso.com/Documents/Final-Root-Cause-Analysis-Mid-August-2020-Extreme-Heat-Wave.pdf</w:t>
        </w:r>
      </w:hyperlink>
      <w:r w:rsidRPr="00284D57">
        <w:rPr>
          <w:szCs w:val="22"/>
        </w:rPr>
        <w:t> </w:t>
      </w:r>
    </w:p>
    <w:p w14:paraId="71D022F4" w14:textId="77777777" w:rsidR="003B32F0" w:rsidRPr="00284D57" w:rsidRDefault="003B32F0" w:rsidP="00DC65CB">
      <w:pPr>
        <w:pStyle w:val="ListParagraph"/>
        <w:numPr>
          <w:ilvl w:val="0"/>
          <w:numId w:val="66"/>
        </w:numPr>
        <w:rPr>
          <w:szCs w:val="22"/>
        </w:rPr>
      </w:pPr>
      <w:r w:rsidRPr="00284D57">
        <w:rPr>
          <w:szCs w:val="22"/>
        </w:rPr>
        <w:t xml:space="preserve">Energy Information Administration. “Annual Energy Outlook 2021.” (2021). </w:t>
      </w:r>
      <w:hyperlink r:id="rId43" w:history="1">
        <w:r w:rsidRPr="00284D57">
          <w:rPr>
            <w:rStyle w:val="Hyperlink"/>
            <w:rFonts w:cs="Arial"/>
            <w:color w:val="auto"/>
            <w:szCs w:val="22"/>
            <w:shd w:val="clear" w:color="auto" w:fill="E1E3E6"/>
          </w:rPr>
          <w:t>https://www.eia.gov/outlooks/aeo/pdf/AEO_Narrative_2021.pdf</w:t>
        </w:r>
      </w:hyperlink>
    </w:p>
    <w:p w14:paraId="58D9D50A" w14:textId="77777777" w:rsidR="003B32F0" w:rsidRPr="00284D57" w:rsidRDefault="003B32F0" w:rsidP="00DC65CB">
      <w:pPr>
        <w:pStyle w:val="ListParagraph"/>
        <w:numPr>
          <w:ilvl w:val="0"/>
          <w:numId w:val="66"/>
        </w:numPr>
        <w:rPr>
          <w:szCs w:val="22"/>
        </w:rPr>
      </w:pPr>
      <w:r w:rsidRPr="00284D57">
        <w:rPr>
          <w:szCs w:val="22"/>
        </w:rPr>
        <w:t>Energy Information Administration. “Smoke from California wildfires decreases solar generation in CAISO.” (2020). </w:t>
      </w:r>
      <w:hyperlink r:id="rId44" w:tgtFrame="_blank" w:history="1">
        <w:r w:rsidRPr="00284D57">
          <w:rPr>
            <w:szCs w:val="22"/>
            <w:shd w:val="clear" w:color="auto" w:fill="E1E3E6"/>
          </w:rPr>
          <w:t>https://www.eia.gov/todayinenergy/detail.php?id=45336</w:t>
        </w:r>
      </w:hyperlink>
    </w:p>
    <w:p w14:paraId="37CEB7C6" w14:textId="77777777" w:rsidR="003B32F0" w:rsidRPr="00284D57" w:rsidRDefault="003B32F0" w:rsidP="00DC65CB">
      <w:pPr>
        <w:pStyle w:val="ListParagraph"/>
        <w:numPr>
          <w:ilvl w:val="0"/>
          <w:numId w:val="66"/>
        </w:numPr>
        <w:rPr>
          <w:szCs w:val="22"/>
        </w:rPr>
      </w:pPr>
      <w:r w:rsidRPr="00284D57">
        <w:rPr>
          <w:szCs w:val="22"/>
        </w:rPr>
        <w:t>EPC-16-063. “Advanced Statistical-Dynamical Downscaling Methods and Products for California Electricity System Climate Planning.” University of California, Scripps Institution of Oceanography.</w:t>
      </w:r>
    </w:p>
    <w:p w14:paraId="106D0A4A" w14:textId="77777777" w:rsidR="003B32F0" w:rsidRPr="00284D57" w:rsidRDefault="003B32F0" w:rsidP="00DC65CB">
      <w:pPr>
        <w:pStyle w:val="ListParagraph"/>
        <w:numPr>
          <w:ilvl w:val="1"/>
          <w:numId w:val="66"/>
        </w:numPr>
        <w:rPr>
          <w:szCs w:val="22"/>
        </w:rPr>
      </w:pPr>
      <w:r w:rsidRPr="00284D57">
        <w:rPr>
          <w:szCs w:val="22"/>
        </w:rPr>
        <w:t>Grant Request Form located here: </w:t>
      </w:r>
      <w:r w:rsidRPr="00284D57">
        <w:rPr>
          <w:szCs w:val="22"/>
          <w:shd w:val="clear" w:color="auto" w:fill="FFFFFF"/>
        </w:rPr>
        <w:t>www.energy.ca.gov › 2017_packets › Item_07b_EPC-16-063</w:t>
      </w:r>
      <w:r w:rsidRPr="00284D57">
        <w:rPr>
          <w:szCs w:val="22"/>
        </w:rPr>
        <w:t> </w:t>
      </w:r>
    </w:p>
    <w:p w14:paraId="423066D0" w14:textId="77777777" w:rsidR="003B32F0" w:rsidRPr="00284D57" w:rsidRDefault="003B32F0" w:rsidP="00DC65CB">
      <w:pPr>
        <w:pStyle w:val="ListParagraph"/>
        <w:numPr>
          <w:ilvl w:val="0"/>
          <w:numId w:val="67"/>
        </w:numPr>
        <w:rPr>
          <w:szCs w:val="22"/>
        </w:rPr>
      </w:pPr>
      <w:r w:rsidRPr="00284D57">
        <w:rPr>
          <w:szCs w:val="22"/>
        </w:rPr>
        <w:t>EPC-19-056. “Assessing Long-duration Energy Storage Deployment Scenarios to Meet California’s Energy Goals.” Energy and Environment Economics Inc. (E3)</w:t>
      </w:r>
    </w:p>
    <w:p w14:paraId="55E520AA" w14:textId="77777777" w:rsidR="003B32F0" w:rsidRPr="00284D57" w:rsidRDefault="003B32F0" w:rsidP="00DC65CB">
      <w:pPr>
        <w:pStyle w:val="ListParagraph"/>
        <w:numPr>
          <w:ilvl w:val="1"/>
          <w:numId w:val="67"/>
        </w:numPr>
        <w:rPr>
          <w:szCs w:val="22"/>
        </w:rPr>
      </w:pPr>
      <w:r w:rsidRPr="00284D57">
        <w:rPr>
          <w:szCs w:val="22"/>
        </w:rPr>
        <w:t>Grant Request Form located here: https://www.energy.ca.gov/filebrowser/download/2270 </w:t>
      </w:r>
    </w:p>
    <w:p w14:paraId="5222F133" w14:textId="77777777" w:rsidR="003B32F0" w:rsidRPr="00284D57" w:rsidRDefault="003B32F0" w:rsidP="00DC65CB">
      <w:pPr>
        <w:pStyle w:val="ListParagraph"/>
        <w:numPr>
          <w:ilvl w:val="0"/>
          <w:numId w:val="67"/>
        </w:numPr>
        <w:rPr>
          <w:szCs w:val="22"/>
        </w:rPr>
      </w:pPr>
      <w:r w:rsidRPr="00284D57">
        <w:rPr>
          <w:szCs w:val="22"/>
        </w:rPr>
        <w:t>EPC-19-060. “Modeling of Long-duration Storage for Decarbonization of California Energy System.” The Regents of the University of California, Merced.</w:t>
      </w:r>
    </w:p>
    <w:p w14:paraId="218C0A65" w14:textId="77777777" w:rsidR="003B32F0" w:rsidRPr="00284D57" w:rsidRDefault="003B32F0" w:rsidP="00DC65CB">
      <w:pPr>
        <w:pStyle w:val="ListParagraph"/>
        <w:numPr>
          <w:ilvl w:val="1"/>
          <w:numId w:val="67"/>
        </w:numPr>
        <w:rPr>
          <w:szCs w:val="22"/>
        </w:rPr>
      </w:pPr>
      <w:r w:rsidRPr="00284D57">
        <w:rPr>
          <w:szCs w:val="22"/>
        </w:rPr>
        <w:lastRenderedPageBreak/>
        <w:t>Grant Request Form located here: https://www.energy.ca.gov/filebrowser/download/2107 </w:t>
      </w:r>
    </w:p>
    <w:p w14:paraId="14778881" w14:textId="77777777" w:rsidR="003B32F0" w:rsidRPr="00284D57" w:rsidRDefault="003B32F0" w:rsidP="00DC65CB">
      <w:pPr>
        <w:pStyle w:val="ListParagraph"/>
        <w:numPr>
          <w:ilvl w:val="0"/>
          <w:numId w:val="68"/>
        </w:numPr>
        <w:rPr>
          <w:szCs w:val="22"/>
        </w:rPr>
      </w:pPr>
      <w:r w:rsidRPr="00284D57">
        <w:rPr>
          <w:szCs w:val="22"/>
        </w:rPr>
        <w:t>EPC-20-006. “Development of Climate Projections for California and Identification of Priority Projections.” The Regents of the University of California, San Diego.</w:t>
      </w:r>
    </w:p>
    <w:p w14:paraId="48BC7F1A" w14:textId="77777777" w:rsidR="003B32F0" w:rsidRPr="00284D57" w:rsidRDefault="003B32F0" w:rsidP="00DC65CB">
      <w:pPr>
        <w:pStyle w:val="ListParagraph"/>
        <w:numPr>
          <w:ilvl w:val="1"/>
          <w:numId w:val="68"/>
        </w:numPr>
        <w:rPr>
          <w:szCs w:val="22"/>
        </w:rPr>
      </w:pPr>
      <w:r w:rsidRPr="00284D57">
        <w:rPr>
          <w:szCs w:val="22"/>
        </w:rPr>
        <w:t>Grant Request Form located here: </w:t>
      </w:r>
      <w:hyperlink r:id="rId45" w:tgtFrame="_blank" w:history="1">
        <w:r w:rsidRPr="00284D57">
          <w:rPr>
            <w:szCs w:val="22"/>
            <w:shd w:val="clear" w:color="auto" w:fill="E1E3E6"/>
          </w:rPr>
          <w:t>https://www.energy.ca.gov/filebrowser/download/2855</w:t>
        </w:r>
      </w:hyperlink>
      <w:r w:rsidRPr="00284D57">
        <w:rPr>
          <w:szCs w:val="22"/>
        </w:rPr>
        <w:t> </w:t>
      </w:r>
    </w:p>
    <w:p w14:paraId="0264D1CE" w14:textId="77777777" w:rsidR="003B32F0" w:rsidRPr="00284D57" w:rsidRDefault="003B32F0" w:rsidP="00DC65CB">
      <w:pPr>
        <w:pStyle w:val="ListParagraph"/>
        <w:numPr>
          <w:ilvl w:val="0"/>
          <w:numId w:val="68"/>
        </w:numPr>
        <w:rPr>
          <w:szCs w:val="22"/>
        </w:rPr>
      </w:pPr>
      <w:r w:rsidRPr="00284D57">
        <w:rPr>
          <w:szCs w:val="22"/>
        </w:rPr>
        <w:t>EPC-20-007. “A Co-Produced Climate Data and Analytics Platform to Support California's Electricity Resilience Investments.” Eagle Rock Analytics.</w:t>
      </w:r>
    </w:p>
    <w:p w14:paraId="70D178A4" w14:textId="323D55C3" w:rsidR="003B32F0" w:rsidRPr="00284D57" w:rsidRDefault="003B32F0" w:rsidP="00DC65CB">
      <w:pPr>
        <w:pStyle w:val="ListParagraph"/>
        <w:numPr>
          <w:ilvl w:val="1"/>
          <w:numId w:val="68"/>
        </w:numPr>
        <w:rPr>
          <w:szCs w:val="22"/>
        </w:rPr>
      </w:pPr>
      <w:r w:rsidRPr="00284D57">
        <w:rPr>
          <w:szCs w:val="22"/>
        </w:rPr>
        <w:t xml:space="preserve">Grant Request Form located here: </w:t>
      </w:r>
      <w:hyperlink r:id="rId46" w:history="1">
        <w:r w:rsidRPr="00284D57">
          <w:rPr>
            <w:rStyle w:val="Hyperlink"/>
            <w:rFonts w:cs="Arial"/>
            <w:color w:val="auto"/>
            <w:szCs w:val="22"/>
          </w:rPr>
          <w:t>https://www.energy.ca.gov/filebrowser/download/2856 </w:t>
        </w:r>
      </w:hyperlink>
    </w:p>
    <w:p w14:paraId="2F0E1D3F" w14:textId="77777777" w:rsidR="003B32F0" w:rsidRPr="00284D57" w:rsidRDefault="003B32F0" w:rsidP="00DC65CB">
      <w:pPr>
        <w:pStyle w:val="ListParagraph"/>
        <w:numPr>
          <w:ilvl w:val="0"/>
          <w:numId w:val="69"/>
        </w:numPr>
        <w:rPr>
          <w:szCs w:val="22"/>
        </w:rPr>
      </w:pPr>
      <w:r w:rsidRPr="00284D57">
        <w:rPr>
          <w:szCs w:val="22"/>
          <w:lang w:val="es-US"/>
        </w:rPr>
        <w:t xml:space="preserve">Franco, G., D. R. Cayan, S. Moser, M. Hanemann, and M.-A Jones. </w:t>
      </w:r>
      <w:r w:rsidRPr="00284D57">
        <w:rPr>
          <w:szCs w:val="22"/>
        </w:rPr>
        <w:t xml:space="preserve">“Second California Assessment: integrated climate change impacts assessment of natural and managed systems. Guest editorial.” </w:t>
      </w:r>
      <w:r w:rsidRPr="00284D57">
        <w:rPr>
          <w:i/>
          <w:iCs/>
          <w:szCs w:val="22"/>
        </w:rPr>
        <w:t>Climatic Change</w:t>
      </w:r>
      <w:r w:rsidRPr="00284D57">
        <w:rPr>
          <w:szCs w:val="22"/>
        </w:rPr>
        <w:t>. (2011): https://doi.org/10.1007/s10584-011-0318-z</w:t>
      </w:r>
    </w:p>
    <w:p w14:paraId="4B84D96B" w14:textId="77777777" w:rsidR="003B32F0" w:rsidRPr="00284D57" w:rsidRDefault="003B32F0" w:rsidP="00DC65CB">
      <w:pPr>
        <w:pStyle w:val="ListParagraph"/>
        <w:numPr>
          <w:ilvl w:val="0"/>
          <w:numId w:val="69"/>
        </w:numPr>
        <w:rPr>
          <w:szCs w:val="22"/>
        </w:rPr>
      </w:pPr>
      <w:r w:rsidRPr="00284D57">
        <w:rPr>
          <w:szCs w:val="22"/>
          <w:lang w:val="fi-FI"/>
        </w:rPr>
        <w:t xml:space="preserve">Koy, Kevin; Maggi Kelly; Brian Galey. </w:t>
      </w:r>
      <w:r w:rsidRPr="00284D57">
        <w:rPr>
          <w:szCs w:val="22"/>
        </w:rPr>
        <w:t xml:space="preserve">(Geospatial Innovation Facility). </w:t>
      </w:r>
      <w:r w:rsidRPr="00284D57">
        <w:rPr>
          <w:i/>
          <w:iCs/>
          <w:szCs w:val="22"/>
        </w:rPr>
        <w:t>Cal-Adapt: Visualizing Climate Change Risk and Adaptation Options for California</w:t>
      </w:r>
      <w:r w:rsidRPr="00284D57">
        <w:rPr>
          <w:szCs w:val="22"/>
        </w:rPr>
        <w:t>. California Energy Commission. (2014). Publication number: CEC-500-2016-046.</w:t>
      </w:r>
    </w:p>
    <w:p w14:paraId="4295CE6A" w14:textId="77777777" w:rsidR="003B32F0" w:rsidRPr="00284D57" w:rsidRDefault="003B32F0" w:rsidP="00DC65CB">
      <w:pPr>
        <w:pStyle w:val="ListParagraph"/>
        <w:numPr>
          <w:ilvl w:val="0"/>
          <w:numId w:val="69"/>
        </w:numPr>
        <w:rPr>
          <w:szCs w:val="22"/>
        </w:rPr>
      </w:pPr>
      <w:r w:rsidRPr="00284D57">
        <w:rPr>
          <w:szCs w:val="22"/>
        </w:rPr>
        <w:t>Krarti, M., Aldubyan, M. “Review Analysis of COVID-19 Impact on Electricity Demand for Residential Buildings.” Renewable and Sust</w:t>
      </w:r>
      <w:r w:rsidRPr="00284D57">
        <w:rPr>
          <w:i/>
          <w:iCs/>
          <w:szCs w:val="22"/>
        </w:rPr>
        <w:t>ainable Energy Reviews, </w:t>
      </w:r>
      <w:r w:rsidRPr="00284D57">
        <w:rPr>
          <w:szCs w:val="22"/>
        </w:rPr>
        <w:t>v. 143. (2021): doi:10.1016/j.rser.2021.110888</w:t>
      </w:r>
    </w:p>
    <w:p w14:paraId="081C8B9B" w14:textId="77777777" w:rsidR="003B32F0" w:rsidRPr="00284D57" w:rsidRDefault="003B32F0" w:rsidP="00DC65CB">
      <w:pPr>
        <w:pStyle w:val="ListParagraph"/>
        <w:numPr>
          <w:ilvl w:val="0"/>
          <w:numId w:val="69"/>
        </w:numPr>
        <w:rPr>
          <w:szCs w:val="22"/>
        </w:rPr>
      </w:pPr>
      <w:r w:rsidRPr="00284D57">
        <w:rPr>
          <w:szCs w:val="22"/>
        </w:rPr>
        <w:t>Mahone, A., Kahn-Lang, J., Li, V., Ryan, N., Subin, Z., Aleen, D. De Moor, G., Price, S. (Energy and Environmental Economics, Inc.). “Deep Decarbonization in a High Renewables Future: Updated Results from the California PATHWAYS Model.” California Energy Commission. (2018). Publication number: CEC-500-2018-012.</w:t>
      </w:r>
    </w:p>
    <w:p w14:paraId="4A247DA5" w14:textId="77777777" w:rsidR="003B32F0" w:rsidRPr="00284D57" w:rsidRDefault="003B32F0" w:rsidP="00DC65CB">
      <w:pPr>
        <w:pStyle w:val="ListParagraph"/>
        <w:numPr>
          <w:ilvl w:val="0"/>
          <w:numId w:val="69"/>
        </w:numPr>
        <w:rPr>
          <w:szCs w:val="22"/>
        </w:rPr>
      </w:pPr>
      <w:r w:rsidRPr="00284D57">
        <w:rPr>
          <w:szCs w:val="22"/>
          <w:lang w:val="de-DE"/>
        </w:rPr>
        <w:t xml:space="preserve">Millstein, D., Wang, M., Ullrich, P.  </w:t>
      </w:r>
      <w:r w:rsidRPr="00284D57">
        <w:rPr>
          <w:szCs w:val="22"/>
        </w:rPr>
        <w:t>The Future of Wind Energy in California: Future projections with the Variable-Resolution CESM. Lawrence Berkeley National Laboratory. Science Direct, v. 127, (2018): p 242-257, doi:10.1016/j.renene.2018.04.031</w:t>
      </w:r>
    </w:p>
    <w:p w14:paraId="74F4EF97" w14:textId="77777777" w:rsidR="003B32F0" w:rsidRPr="00284D57" w:rsidRDefault="003B32F0" w:rsidP="00DC65CB">
      <w:pPr>
        <w:pStyle w:val="ListParagraph"/>
        <w:numPr>
          <w:ilvl w:val="0"/>
          <w:numId w:val="69"/>
        </w:numPr>
        <w:rPr>
          <w:szCs w:val="22"/>
        </w:rPr>
      </w:pPr>
      <w:r w:rsidRPr="00284D57">
        <w:rPr>
          <w:szCs w:val="22"/>
        </w:rPr>
        <w:t>Norris, B.L., Perez, M., Gruenhagen, P., Hazari, J., Hoff, T.E., Monforte, F., Kleissl, J. Wu, E., Clemesha, R.E.S., Perez, R.R., Schlemmer, J., Kivalov, S. “Developing a Comprehensive, System-Wide Forecast to Support High-Penetration Solar.” California Energy Commission. (2020). Publication Number: 500-2020-060.</w:t>
      </w:r>
    </w:p>
    <w:p w14:paraId="73986D16" w14:textId="77777777" w:rsidR="003B32F0" w:rsidRPr="00284D57" w:rsidRDefault="003B32F0" w:rsidP="00DC65CB">
      <w:pPr>
        <w:pStyle w:val="ListParagraph"/>
        <w:numPr>
          <w:ilvl w:val="0"/>
          <w:numId w:val="69"/>
        </w:numPr>
        <w:rPr>
          <w:szCs w:val="22"/>
        </w:rPr>
      </w:pPr>
      <w:r w:rsidRPr="00284D57">
        <w:rPr>
          <w:szCs w:val="22"/>
        </w:rPr>
        <w:t xml:space="preserve">Office of Planning and Research. Budget Change Proposal: Cap and Trade Expenditure Plan: Climate Resilience Research, Regional Collaboration, and Implementation. 1/10/2020. </w:t>
      </w:r>
      <w:hyperlink r:id="rId47" w:history="1">
        <w:r w:rsidRPr="00284D57">
          <w:rPr>
            <w:rStyle w:val="Hyperlink"/>
            <w:rFonts w:cs="Arial"/>
            <w:color w:val="auto"/>
            <w:szCs w:val="22"/>
          </w:rPr>
          <w:t>https://esd.dof.ca.gov/Documents/bcp/2021/FY2021_ORG0650_BCP3734.pdf</w:t>
        </w:r>
      </w:hyperlink>
    </w:p>
    <w:p w14:paraId="399DE14D" w14:textId="77777777" w:rsidR="003B32F0" w:rsidRPr="00284D57" w:rsidRDefault="003B32F0" w:rsidP="00DC65CB">
      <w:pPr>
        <w:pStyle w:val="ListParagraph"/>
        <w:numPr>
          <w:ilvl w:val="0"/>
          <w:numId w:val="69"/>
        </w:numPr>
        <w:rPr>
          <w:szCs w:val="22"/>
        </w:rPr>
      </w:pPr>
      <w:r w:rsidRPr="00284D57">
        <w:rPr>
          <w:szCs w:val="22"/>
        </w:rPr>
        <w:t>Pierce, D. W., D. R. Cayan, and B. L. Thrasher. “Statistical downscaling using localized constructed analogs” (LOCA). J. Hydrometeorology, v. 15, (2014): p. 2558, doi:10.1175/JHM</w:t>
      </w:r>
      <w:r w:rsidRPr="00284D57">
        <w:rPr>
          <w:rFonts w:ascii="Cambria Math" w:hAnsi="Cambria Math" w:cs="Cambria Math"/>
          <w:szCs w:val="22"/>
        </w:rPr>
        <w:t>‐</w:t>
      </w:r>
      <w:r w:rsidRPr="00284D57">
        <w:rPr>
          <w:szCs w:val="22"/>
        </w:rPr>
        <w:t>D</w:t>
      </w:r>
      <w:r w:rsidRPr="00284D57">
        <w:rPr>
          <w:rFonts w:ascii="Cambria Math" w:hAnsi="Cambria Math" w:cs="Cambria Math"/>
          <w:szCs w:val="22"/>
        </w:rPr>
        <w:t>‐</w:t>
      </w:r>
      <w:r w:rsidRPr="00284D57">
        <w:rPr>
          <w:szCs w:val="22"/>
        </w:rPr>
        <w:t>14</w:t>
      </w:r>
      <w:r w:rsidRPr="00284D57">
        <w:rPr>
          <w:rFonts w:ascii="Cambria Math" w:hAnsi="Cambria Math" w:cs="Cambria Math"/>
          <w:szCs w:val="22"/>
        </w:rPr>
        <w:t>‐</w:t>
      </w:r>
      <w:r w:rsidRPr="00284D57">
        <w:rPr>
          <w:szCs w:val="22"/>
        </w:rPr>
        <w:t>0082.1</w:t>
      </w:r>
    </w:p>
    <w:p w14:paraId="78D907A2" w14:textId="77777777" w:rsidR="003B32F0" w:rsidRPr="00284D57" w:rsidRDefault="003B32F0" w:rsidP="00DC65CB">
      <w:pPr>
        <w:pStyle w:val="ListParagraph"/>
        <w:numPr>
          <w:ilvl w:val="0"/>
          <w:numId w:val="69"/>
        </w:numPr>
        <w:rPr>
          <w:szCs w:val="22"/>
        </w:rPr>
      </w:pPr>
      <w:r w:rsidRPr="00284D57">
        <w:rPr>
          <w:szCs w:val="22"/>
        </w:rPr>
        <w:t>Pierce, D. W., J. F. Kalansky, and D. R. Cayan, (Scripps Institution of Oceanography). “</w:t>
      </w:r>
      <w:r w:rsidRPr="00284D57">
        <w:rPr>
          <w:i/>
          <w:iCs/>
          <w:szCs w:val="22"/>
        </w:rPr>
        <w:t>Climate, Drought, and Sea Level Rise Scenarios for the Fourth California Climate Assessment</w:t>
      </w:r>
      <w:r w:rsidRPr="00284D57">
        <w:rPr>
          <w:szCs w:val="22"/>
        </w:rPr>
        <w:t>.” California’s Fourth Climate Change Assessment, California Energy Commission. (2018). Publication Number: CNRA-CEC-2018-006.</w:t>
      </w:r>
    </w:p>
    <w:p w14:paraId="3906C8B0" w14:textId="77777777" w:rsidR="003B32F0" w:rsidRPr="00284D57" w:rsidRDefault="003B32F0" w:rsidP="00DC65CB">
      <w:pPr>
        <w:pStyle w:val="ListParagraph"/>
        <w:numPr>
          <w:ilvl w:val="0"/>
          <w:numId w:val="69"/>
        </w:numPr>
        <w:rPr>
          <w:szCs w:val="22"/>
        </w:rPr>
      </w:pPr>
      <w:r w:rsidRPr="00284D57">
        <w:rPr>
          <w:szCs w:val="22"/>
        </w:rPr>
        <w:lastRenderedPageBreak/>
        <w:t>Tarroja, B., Samuelsen, S., AghaKouchak, A., Feldman, D., Forrest, K., Chiang, F. “Building a Climate Change-Resilient Electricity System for Meeting California’s Energy and Environmental Goals.” California Energy Commission. (2019a) Publication Number: CEC-500-2019-015.</w:t>
      </w:r>
    </w:p>
    <w:p w14:paraId="544DE513" w14:textId="77777777" w:rsidR="003B32F0" w:rsidRPr="00284D57" w:rsidRDefault="003B32F0" w:rsidP="00DC65CB">
      <w:pPr>
        <w:pStyle w:val="ListParagraph"/>
        <w:numPr>
          <w:ilvl w:val="0"/>
          <w:numId w:val="69"/>
        </w:numPr>
        <w:rPr>
          <w:szCs w:val="22"/>
        </w:rPr>
      </w:pPr>
      <w:r w:rsidRPr="00284D57">
        <w:rPr>
          <w:szCs w:val="22"/>
        </w:rPr>
        <w:t>Tarroja, B., Forrest, K., Chiang, F., AghaKouchak, A., Samuelsen, S. “Implications of Hydropower Variability from Climate Change for a Future, Highly-Renewable Electric Grid in California.” </w:t>
      </w:r>
      <w:r w:rsidRPr="00284D57">
        <w:rPr>
          <w:i/>
          <w:iCs/>
          <w:szCs w:val="22"/>
        </w:rPr>
        <w:t>Applied Energy</w:t>
      </w:r>
      <w:r w:rsidRPr="00284D57">
        <w:rPr>
          <w:szCs w:val="22"/>
        </w:rPr>
        <w:t xml:space="preserve"> 237. (2019b): </w:t>
      </w:r>
      <w:hyperlink r:id="rId48" w:history="1">
        <w:r w:rsidRPr="00284D57">
          <w:rPr>
            <w:rStyle w:val="Hyperlink"/>
            <w:rFonts w:cs="Arial"/>
            <w:color w:val="auto"/>
            <w:szCs w:val="22"/>
          </w:rPr>
          <w:t>https://doi.org/10.1016/j.apenergy.2018.12.079</w:t>
        </w:r>
      </w:hyperlink>
    </w:p>
    <w:p w14:paraId="4B59DB46" w14:textId="77777777" w:rsidR="003B32F0" w:rsidRPr="00284D57" w:rsidRDefault="003B32F0" w:rsidP="00DC65CB">
      <w:pPr>
        <w:pStyle w:val="ListParagraph"/>
        <w:numPr>
          <w:ilvl w:val="0"/>
          <w:numId w:val="69"/>
        </w:numPr>
        <w:rPr>
          <w:szCs w:val="22"/>
        </w:rPr>
      </w:pPr>
      <w:r w:rsidRPr="00284D57">
        <w:rPr>
          <w:szCs w:val="22"/>
        </w:rPr>
        <w:t>Thomas, Nancy, Mukhtyar, Shruti, Galey, Brian, Kelly, Maggi. (University of California Berkeley). “</w:t>
      </w:r>
      <w:r w:rsidRPr="00284D57">
        <w:rPr>
          <w:i/>
          <w:iCs/>
          <w:szCs w:val="22"/>
        </w:rPr>
        <w:t>Cal-Adapt: Linking Climate Science with Energy Sector Resilience and Practitioner Need</w:t>
      </w:r>
      <w:r w:rsidRPr="00284D57">
        <w:rPr>
          <w:szCs w:val="22"/>
        </w:rPr>
        <w:t>.” California’s Fourth Climate Change Assessment, California Energy Commission. (2018): Publication Number: CCCA4-CEC-2018-015.</w:t>
      </w:r>
    </w:p>
    <w:p w14:paraId="513DF04F" w14:textId="77777777" w:rsidR="003B32F0" w:rsidRPr="00284D57" w:rsidRDefault="003B32F0" w:rsidP="00DC65CB">
      <w:pPr>
        <w:pStyle w:val="ListParagraph"/>
        <w:numPr>
          <w:ilvl w:val="0"/>
          <w:numId w:val="69"/>
        </w:numPr>
        <w:rPr>
          <w:szCs w:val="22"/>
        </w:rPr>
      </w:pPr>
      <w:r w:rsidRPr="00284D57">
        <w:rPr>
          <w:szCs w:val="22"/>
        </w:rPr>
        <w:t>Zanocco, C., Flora, J., Rajagopal, R., Boudet, H. “Exploring the Effects of California’s COVID-19 Shelter-in-Place Order on Household Energy Practices and Intention to Adopt Smart Home Technologies.” Renewable and Sustainable Ener</w:t>
      </w:r>
      <w:r w:rsidRPr="00284D57">
        <w:rPr>
          <w:i/>
          <w:iCs/>
          <w:szCs w:val="22"/>
        </w:rPr>
        <w:t>gy Reviews</w:t>
      </w:r>
      <w:r w:rsidRPr="00284D57">
        <w:rPr>
          <w:szCs w:val="22"/>
        </w:rPr>
        <w:t>, v. 139. (2018): doi:10.1016/j.rser.2020.110578 </w:t>
      </w:r>
    </w:p>
    <w:p w14:paraId="5038E568" w14:textId="77777777" w:rsidR="003B32F0" w:rsidRPr="004F246B" w:rsidRDefault="003B32F0" w:rsidP="003B32F0">
      <w:pPr>
        <w:rPr>
          <w:sz w:val="18"/>
          <w:szCs w:val="18"/>
        </w:rPr>
      </w:pPr>
    </w:p>
    <w:p w14:paraId="31C5B766" w14:textId="77777777" w:rsidR="003B32F0" w:rsidRPr="004F246B" w:rsidRDefault="003B32F0" w:rsidP="00DC65CB">
      <w:pPr>
        <w:keepNext/>
        <w:numPr>
          <w:ilvl w:val="0"/>
          <w:numId w:val="44"/>
        </w:numPr>
        <w:spacing w:before="120"/>
        <w:outlineLvl w:val="1"/>
        <w:rPr>
          <w:b/>
          <w:smallCaps/>
          <w:sz w:val="28"/>
        </w:rPr>
      </w:pPr>
      <w:bookmarkStart w:id="62" w:name="_Toc522777848"/>
      <w:bookmarkStart w:id="63" w:name="_Toc26361581"/>
      <w:r w:rsidRPr="004F246B">
        <w:rPr>
          <w:b/>
          <w:smallCaps/>
          <w:sz w:val="28"/>
        </w:rPr>
        <w:t>Match Funding</w:t>
      </w:r>
      <w:bookmarkEnd w:id="62"/>
      <w:bookmarkEnd w:id="63"/>
    </w:p>
    <w:bookmarkEnd w:id="50"/>
    <w:p w14:paraId="09199E1F" w14:textId="77777777" w:rsidR="003B32F0" w:rsidRPr="00BA3BBD" w:rsidRDefault="003B32F0" w:rsidP="00DC65CB">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36D3CB7A" w14:textId="77777777" w:rsidR="003B32F0" w:rsidRPr="00BA3BBD" w:rsidRDefault="003B32F0" w:rsidP="003B32F0">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7631D458" w14:textId="77777777" w:rsidR="003B32F0" w:rsidRPr="00BA3BBD" w:rsidRDefault="003B32F0" w:rsidP="003B32F0">
      <w:pPr>
        <w:tabs>
          <w:tab w:val="left" w:pos="1080"/>
        </w:tabs>
        <w:ind w:left="1080"/>
        <w:jc w:val="both"/>
        <w:rPr>
          <w:szCs w:val="22"/>
        </w:rPr>
      </w:pPr>
      <w:r w:rsidRPr="00BA3BBD">
        <w:rPr>
          <w:szCs w:val="22"/>
        </w:rPr>
        <w:t>Definitions of “match funding” categories are listed below:</w:t>
      </w:r>
    </w:p>
    <w:p w14:paraId="70AC29AE" w14:textId="77777777" w:rsidR="003B32F0" w:rsidRPr="00BA3BBD" w:rsidRDefault="003B32F0" w:rsidP="00DC65CB">
      <w:pPr>
        <w:numPr>
          <w:ilvl w:val="2"/>
          <w:numId w:val="19"/>
        </w:numPr>
        <w:tabs>
          <w:tab w:val="left" w:pos="1080"/>
          <w:tab w:val="left" w:pos="1440"/>
          <w:tab w:val="left" w:pos="1530"/>
        </w:tabs>
        <w:spacing w:before="120"/>
        <w:ind w:left="1620"/>
        <w:jc w:val="both"/>
        <w:rPr>
          <w:szCs w:val="22"/>
        </w:rPr>
      </w:pPr>
      <w:r>
        <w:rPr>
          <w:b/>
          <w:szCs w:val="22"/>
        </w:rPr>
        <w:t>“</w:t>
      </w:r>
      <w:r w:rsidRPr="00BA3BBD">
        <w:rPr>
          <w:b/>
          <w:szCs w:val="22"/>
        </w:rPr>
        <w:t>Cash”</w:t>
      </w:r>
      <w:r w:rsidRPr="00BA3BBD">
        <w:rPr>
          <w:szCs w:val="22"/>
        </w:rPr>
        <w:t xml:space="preserve"> </w:t>
      </w:r>
      <w:r w:rsidRPr="00BA3BBD">
        <w:rPr>
          <w:b/>
          <w:szCs w:val="22"/>
        </w:rPr>
        <w:t>match</w:t>
      </w:r>
      <w:r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17C7DFD7" w14:textId="77777777" w:rsidR="003B32F0" w:rsidRPr="00BA3BBD" w:rsidRDefault="003B32F0" w:rsidP="00DC65CB">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9E2F6AC" w14:textId="77777777" w:rsidR="003B32F0" w:rsidRPr="00BA3BBD" w:rsidRDefault="003B32F0" w:rsidP="00DC65CB">
      <w:pPr>
        <w:numPr>
          <w:ilvl w:val="0"/>
          <w:numId w:val="19"/>
        </w:numPr>
        <w:tabs>
          <w:tab w:val="left" w:pos="1080"/>
        </w:tabs>
        <w:spacing w:after="0"/>
        <w:ind w:left="1080"/>
        <w:jc w:val="both"/>
      </w:pPr>
      <w:r w:rsidRPr="00BA3BBD">
        <w:t>Match funds m</w:t>
      </w:r>
      <w:r>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431E0DD5" w14:textId="77777777" w:rsidR="003B32F0" w:rsidRPr="00BA3BBD" w:rsidRDefault="003B32F0" w:rsidP="00DC65CB">
      <w:pPr>
        <w:numPr>
          <w:ilvl w:val="0"/>
          <w:numId w:val="19"/>
        </w:numPr>
        <w:tabs>
          <w:tab w:val="left" w:pos="1080"/>
        </w:tabs>
        <w:suppressAutoHyphens/>
        <w:ind w:left="1080"/>
        <w:jc w:val="both"/>
        <w:rPr>
          <w:szCs w:val="22"/>
        </w:rPr>
      </w:pPr>
      <w:r w:rsidRPr="00BA3BBD">
        <w:rPr>
          <w:szCs w:val="22"/>
        </w:rPr>
        <w:lastRenderedPageBreak/>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73058D0D" w14:textId="77777777" w:rsidR="003B32F0" w:rsidRPr="00BA3BBD" w:rsidRDefault="003B32F0" w:rsidP="00DC65CB">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7012269" w14:textId="77777777" w:rsidR="003B32F0" w:rsidRPr="00BA3BBD" w:rsidRDefault="003B32F0" w:rsidP="003B32F0">
      <w:pPr>
        <w:tabs>
          <w:tab w:val="left" w:pos="1080"/>
          <w:tab w:val="left" w:pos="1440"/>
          <w:tab w:val="left" w:pos="1530"/>
        </w:tabs>
        <w:spacing w:after="60"/>
        <w:jc w:val="both"/>
        <w:rPr>
          <w:szCs w:val="22"/>
        </w:rPr>
      </w:pPr>
      <w:r w:rsidRPr="00BA3BBD">
        <w:rPr>
          <w:szCs w:val="22"/>
        </w:rPr>
        <w:t>Examples of preferred match share:</w:t>
      </w:r>
    </w:p>
    <w:p w14:paraId="4191E532" w14:textId="77777777" w:rsidR="003B32F0" w:rsidRDefault="003B32F0" w:rsidP="00DC65CB">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Pr>
          <w:szCs w:val="22"/>
        </w:rPr>
        <w:t>as</w:t>
      </w:r>
      <w:r w:rsidRPr="00BA3BBD">
        <w:rPr>
          <w:szCs w:val="22"/>
        </w:rPr>
        <w:t xml:space="preserve"> the CEC </w:t>
      </w:r>
      <w:r>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15127AD8" w14:textId="77777777" w:rsidR="003B32F0" w:rsidRPr="00BA3BBD" w:rsidRDefault="003B32F0" w:rsidP="00DC65CB">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Pr>
          <w:snapToGrid w:val="0"/>
          <w:szCs w:val="22"/>
        </w:rPr>
        <w:t>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00FF757B" w14:textId="77777777" w:rsidR="003B32F0" w:rsidRPr="00B2692C" w:rsidRDefault="003B32F0" w:rsidP="00DC65CB">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Pr>
          <w:b/>
          <w:szCs w:val="22"/>
        </w:rPr>
        <w:t>Us</w:t>
      </w:r>
      <w:r w:rsidRPr="004B38BF">
        <w:rPr>
          <w:b/>
          <w:szCs w:val="22"/>
        </w:rPr>
        <w:t xml:space="preserve">ing match funds </w:t>
      </w:r>
      <w:r>
        <w:rPr>
          <w:b/>
          <w:szCs w:val="22"/>
        </w:rPr>
        <w:t>for p</w:t>
      </w:r>
      <w:r w:rsidRPr="00E47EF6">
        <w:rPr>
          <w:b/>
          <w:szCs w:val="22"/>
        </w:rPr>
        <w:t>urchasing items such as laptops, notebooks and</w:t>
      </w:r>
      <w:r>
        <w:rPr>
          <w:b/>
          <w:szCs w:val="22"/>
        </w:rPr>
        <w:t>/or</w:t>
      </w:r>
      <w:r w:rsidRPr="00E47EF6">
        <w:rPr>
          <w:b/>
          <w:szCs w:val="22"/>
        </w:rPr>
        <w:t xml:space="preserve"> </w:t>
      </w:r>
      <w:r>
        <w:rPr>
          <w:b/>
          <w:szCs w:val="22"/>
        </w:rPr>
        <w:t xml:space="preserve">personal </w:t>
      </w:r>
      <w:r w:rsidRPr="00E47EF6">
        <w:rPr>
          <w:b/>
          <w:szCs w:val="22"/>
        </w:rPr>
        <w:t xml:space="preserve">tablets is encouraged, as Energy Commission funds </w:t>
      </w:r>
      <w:r>
        <w:rPr>
          <w:b/>
          <w:szCs w:val="22"/>
        </w:rPr>
        <w:t>for these purchases is not allowed</w:t>
      </w:r>
      <w:r w:rsidRPr="00E47EF6">
        <w:rPr>
          <w:b/>
          <w:szCs w:val="22"/>
        </w:rPr>
        <w:t>.</w:t>
      </w:r>
      <w:r>
        <w:rPr>
          <w:szCs w:val="22"/>
        </w:rPr>
        <w:t xml:space="preserve">  </w:t>
      </w:r>
      <w:r w:rsidRPr="00E47EF6">
        <w:rPr>
          <w:szCs w:val="22"/>
        </w:rPr>
        <w:t xml:space="preserve">  </w:t>
      </w:r>
    </w:p>
    <w:p w14:paraId="634AAE52" w14:textId="77777777" w:rsidR="003B32F0" w:rsidRPr="00BA3BBD" w:rsidRDefault="003B32F0" w:rsidP="003B32F0">
      <w:pPr>
        <w:tabs>
          <w:tab w:val="left" w:pos="1080"/>
        </w:tabs>
        <w:suppressAutoHyphens/>
        <w:ind w:left="1080"/>
        <w:jc w:val="both"/>
        <w:rPr>
          <w:szCs w:val="22"/>
        </w:rPr>
      </w:pPr>
    </w:p>
    <w:p w14:paraId="430E7A4C" w14:textId="77777777" w:rsidR="003B32F0" w:rsidRPr="00BA3BBD" w:rsidRDefault="003B32F0" w:rsidP="00DC65CB">
      <w:pPr>
        <w:keepNext/>
        <w:numPr>
          <w:ilvl w:val="0"/>
          <w:numId w:val="44"/>
        </w:numPr>
        <w:spacing w:before="120"/>
        <w:outlineLvl w:val="1"/>
        <w:rPr>
          <w:b/>
          <w:smallCaps/>
          <w:sz w:val="28"/>
        </w:rPr>
      </w:pPr>
      <w:bookmarkStart w:id="64" w:name="_Toc26361582"/>
      <w:r w:rsidRPr="00BA3BBD">
        <w:rPr>
          <w:b/>
          <w:smallCaps/>
          <w:sz w:val="28"/>
        </w:rPr>
        <w:lastRenderedPageBreak/>
        <w:t>Funds Spent in California</w:t>
      </w:r>
      <w:bookmarkEnd w:id="64"/>
    </w:p>
    <w:p w14:paraId="1D769A3E" w14:textId="77777777" w:rsidR="003B32F0" w:rsidRPr="00BA3BBD" w:rsidRDefault="003B32F0" w:rsidP="00DC65CB">
      <w:pPr>
        <w:keepNext/>
        <w:keepLines/>
        <w:numPr>
          <w:ilvl w:val="0"/>
          <w:numId w:val="37"/>
        </w:numPr>
        <w:spacing w:before="60" w:after="60"/>
        <w:jc w:val="both"/>
        <w:outlineLvl w:val="2"/>
        <w:rPr>
          <w:b/>
        </w:rPr>
      </w:pPr>
      <w:r w:rsidRPr="00BA3BBD">
        <w:t>Only CEC reimbursable funds counts towards funds spent in California total.</w:t>
      </w:r>
    </w:p>
    <w:p w14:paraId="6A07EDD3" w14:textId="77777777" w:rsidR="003B32F0" w:rsidRPr="00BA3BBD" w:rsidRDefault="003B32F0" w:rsidP="00DC65CB">
      <w:pPr>
        <w:keepNext/>
        <w:keepLines/>
        <w:numPr>
          <w:ilvl w:val="0"/>
          <w:numId w:val="37"/>
        </w:numPr>
        <w:spacing w:before="60" w:after="60"/>
        <w:jc w:val="both"/>
        <w:outlineLvl w:val="2"/>
      </w:pPr>
      <w:r w:rsidRPr="00BA3BBD">
        <w:t xml:space="preserve">"Spent in California" means that: </w:t>
      </w:r>
    </w:p>
    <w:p w14:paraId="4D3BA56C" w14:textId="77777777" w:rsidR="003B32F0" w:rsidRPr="00BA3BBD" w:rsidRDefault="003B32F0" w:rsidP="00DC65CB">
      <w:pPr>
        <w:keepNext/>
        <w:keepLines/>
        <w:numPr>
          <w:ilvl w:val="1"/>
          <w:numId w:val="37"/>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0445FE0C" w14:textId="77777777" w:rsidR="003B32F0" w:rsidRPr="00BA3BBD" w:rsidRDefault="003B32F0" w:rsidP="00DC65CB">
      <w:pPr>
        <w:keepNext/>
        <w:keepLines/>
        <w:numPr>
          <w:ilvl w:val="1"/>
          <w:numId w:val="37"/>
        </w:numPr>
        <w:spacing w:before="60" w:after="60"/>
        <w:jc w:val="both"/>
        <w:outlineLvl w:val="2"/>
      </w:pPr>
      <w:r w:rsidRPr="00BA3BBD">
        <w:t xml:space="preserve">(2) Business transactions (e.g., material and equipment purchases, leases, and rentals) are entered into with a business located in California. </w:t>
      </w:r>
    </w:p>
    <w:p w14:paraId="0C2FD5B9" w14:textId="77777777" w:rsidR="003B32F0" w:rsidRPr="00BA3BBD" w:rsidRDefault="003B32F0" w:rsidP="00DC65CB">
      <w:pPr>
        <w:keepNext/>
        <w:keepLines/>
        <w:numPr>
          <w:ilvl w:val="1"/>
          <w:numId w:val="37"/>
        </w:numPr>
        <w:spacing w:before="60" w:after="60"/>
        <w:jc w:val="both"/>
        <w:outlineLvl w:val="2"/>
        <w:rPr>
          <w:b/>
        </w:rPr>
      </w:pPr>
      <w:r w:rsidRPr="00BA3BBD">
        <w:t>(3) Total should include any applicable subcontractors.</w:t>
      </w:r>
    </w:p>
    <w:p w14:paraId="2226D900" w14:textId="77777777" w:rsidR="003B32F0" w:rsidRPr="00BA3BBD" w:rsidRDefault="003B32F0" w:rsidP="003B32F0">
      <w:pPr>
        <w:tabs>
          <w:tab w:val="left" w:pos="1170"/>
        </w:tabs>
        <w:autoSpaceDE w:val="0"/>
        <w:autoSpaceDN w:val="0"/>
        <w:adjustRightInd w:val="0"/>
        <w:spacing w:after="0"/>
        <w:ind w:left="720"/>
        <w:jc w:val="both"/>
      </w:pPr>
    </w:p>
    <w:p w14:paraId="475F90B8" w14:textId="77777777" w:rsidR="003B32F0" w:rsidRPr="00BA3BBD" w:rsidRDefault="003B32F0" w:rsidP="00DC65CB">
      <w:pPr>
        <w:keepNext/>
        <w:keepLines/>
        <w:numPr>
          <w:ilvl w:val="0"/>
          <w:numId w:val="37"/>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383FB3C4" w14:textId="77777777" w:rsidR="003B32F0" w:rsidRPr="00BA3BBD" w:rsidRDefault="003B32F0" w:rsidP="00DC65CB">
      <w:pPr>
        <w:numPr>
          <w:ilvl w:val="1"/>
          <w:numId w:val="37"/>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7EE046A2" w14:textId="77777777" w:rsidR="003B32F0" w:rsidRPr="00BA3BBD" w:rsidRDefault="003B32F0" w:rsidP="00DC65CB">
      <w:pPr>
        <w:numPr>
          <w:ilvl w:val="1"/>
          <w:numId w:val="37"/>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7D02AC49" w14:textId="77777777" w:rsidR="003B32F0" w:rsidRDefault="003B32F0" w:rsidP="003B32F0">
      <w:pPr>
        <w:spacing w:after="0"/>
        <w:rPr>
          <w:b/>
        </w:rPr>
      </w:pPr>
      <w:r>
        <w:rPr>
          <w:b/>
        </w:rPr>
        <w:br w:type="page"/>
      </w:r>
    </w:p>
    <w:p w14:paraId="6A985B09" w14:textId="77777777" w:rsidR="003B32F0" w:rsidRDefault="003B32F0" w:rsidP="003B32F0">
      <w:pPr>
        <w:pStyle w:val="Heading1"/>
        <w:keepLines w:val="0"/>
        <w:spacing w:before="0" w:after="120"/>
        <w:jc w:val="both"/>
      </w:pPr>
      <w:bookmarkStart w:id="65" w:name="_Toc336443618"/>
      <w:bookmarkStart w:id="66" w:name="_Toc366671173"/>
      <w:bookmarkStart w:id="67" w:name="_Toc84844918"/>
      <w:bookmarkStart w:id="68" w:name="_Toc310513471"/>
      <w:bookmarkStart w:id="69" w:name="_Toc198951306"/>
      <w:bookmarkStart w:id="70" w:name="_Toc201713533"/>
      <w:bookmarkStart w:id="71" w:name="_Toc217726087"/>
      <w:bookmarkStart w:id="72" w:name="_Toc219275083"/>
      <w:bookmarkEnd w:id="0"/>
      <w:bookmarkEnd w:id="1"/>
      <w:bookmarkEnd w:id="2"/>
      <w:bookmarkEnd w:id="3"/>
      <w:bookmarkEnd w:id="4"/>
      <w:bookmarkEnd w:id="5"/>
      <w:bookmarkEnd w:id="31"/>
      <w:bookmarkEnd w:id="32"/>
      <w:bookmarkEnd w:id="33"/>
      <w:r w:rsidRPr="00C31C1D">
        <w:lastRenderedPageBreak/>
        <w:t>II.</w:t>
      </w:r>
      <w:r w:rsidRPr="00C31C1D">
        <w:tab/>
        <w:t>Eligibility Requirements</w:t>
      </w:r>
      <w:bookmarkEnd w:id="65"/>
      <w:bookmarkEnd w:id="66"/>
      <w:bookmarkEnd w:id="67"/>
    </w:p>
    <w:p w14:paraId="71E96579" w14:textId="77777777" w:rsidR="003B32F0" w:rsidRPr="00756BAC" w:rsidRDefault="003B32F0" w:rsidP="00DC65CB">
      <w:pPr>
        <w:pStyle w:val="Heading2"/>
        <w:numPr>
          <w:ilvl w:val="0"/>
          <w:numId w:val="45"/>
        </w:numPr>
      </w:pPr>
      <w:bookmarkStart w:id="73" w:name="_Toc336443619"/>
      <w:bookmarkStart w:id="74" w:name="_Toc366671174"/>
      <w:bookmarkStart w:id="75" w:name="_Toc84844919"/>
      <w:bookmarkEnd w:id="68"/>
      <w:r w:rsidRPr="00756BAC">
        <w:t>Applicant</w:t>
      </w:r>
      <w:bookmarkEnd w:id="73"/>
      <w:bookmarkEnd w:id="74"/>
      <w:r w:rsidRPr="00756BAC">
        <w:t xml:space="preserve"> Requirements</w:t>
      </w:r>
      <w:bookmarkEnd w:id="75"/>
    </w:p>
    <w:p w14:paraId="21E6C0CE" w14:textId="77777777" w:rsidR="003B32F0" w:rsidRPr="00BE64A5" w:rsidRDefault="003B32F0" w:rsidP="00DC65CB">
      <w:pPr>
        <w:numPr>
          <w:ilvl w:val="0"/>
          <w:numId w:val="26"/>
        </w:numPr>
        <w:spacing w:before="240"/>
        <w:jc w:val="both"/>
        <w:rPr>
          <w:b/>
          <w:szCs w:val="22"/>
        </w:rPr>
      </w:pPr>
      <w:bookmarkStart w:id="76" w:name="Elig"/>
      <w:r w:rsidRPr="00BE64A5">
        <w:rPr>
          <w:b/>
          <w:szCs w:val="22"/>
        </w:rPr>
        <w:t>Eligibility</w:t>
      </w:r>
    </w:p>
    <w:bookmarkEnd w:id="76"/>
    <w:p w14:paraId="2C7F5D67" w14:textId="77777777" w:rsidR="003B32F0" w:rsidRPr="00527202" w:rsidRDefault="003B32F0" w:rsidP="003B32F0">
      <w:pPr>
        <w:jc w:val="both"/>
        <w:rPr>
          <w:szCs w:val="22"/>
        </w:rPr>
      </w:pPr>
      <w:r w:rsidRPr="00527202">
        <w:rPr>
          <w:szCs w:val="22"/>
        </w:rPr>
        <w:t xml:space="preserve">This solicitation is open to all public and </w:t>
      </w:r>
      <w:r>
        <w:rPr>
          <w:szCs w:val="22"/>
        </w:rPr>
        <w:t>private entities</w:t>
      </w:r>
      <w:r w:rsidRPr="00527202">
        <w:rPr>
          <w:szCs w:val="22"/>
        </w:rPr>
        <w:t xml:space="preserve"> with the exception of </w:t>
      </w:r>
      <w:r>
        <w:rPr>
          <w:szCs w:val="22"/>
        </w:rPr>
        <w:t xml:space="preserve">local </w:t>
      </w:r>
      <w:r w:rsidRPr="00527202">
        <w:rPr>
          <w:szCs w:val="22"/>
        </w:rPr>
        <w:t>publicly</w:t>
      </w:r>
      <w:r>
        <w:rPr>
          <w:szCs w:val="22"/>
        </w:rPr>
        <w:t xml:space="preserve"> </w:t>
      </w:r>
      <w:r w:rsidRPr="00527202">
        <w:rPr>
          <w:szCs w:val="22"/>
        </w:rPr>
        <w:t xml:space="preserve">owned </w:t>
      </w:r>
      <w:r>
        <w:rPr>
          <w:szCs w:val="22"/>
        </w:rPr>
        <w:t xml:space="preserve">electric </w:t>
      </w:r>
      <w:r w:rsidRPr="00527202">
        <w:rPr>
          <w:szCs w:val="22"/>
        </w:rPr>
        <w:t>utilities.</w:t>
      </w:r>
      <w:r>
        <w:rPr>
          <w:rStyle w:val="FootnoteReference"/>
          <w:szCs w:val="22"/>
        </w:rPr>
        <w:footnoteReference w:id="15"/>
      </w:r>
      <w:r w:rsidRPr="00527202">
        <w:rPr>
          <w:szCs w:val="22"/>
        </w:rPr>
        <w:t xml:space="preserve"> </w:t>
      </w:r>
      <w:r>
        <w:rPr>
          <w:szCs w:val="22"/>
        </w:rPr>
        <w:t xml:space="preserve"> </w:t>
      </w:r>
      <w:r w:rsidRPr="00527202">
        <w:rPr>
          <w:szCs w:val="22"/>
        </w:rPr>
        <w:t xml:space="preserve">In accordance with CPUC Decision 12-05-037, funds administered by the </w:t>
      </w:r>
      <w:r>
        <w:rPr>
          <w:szCs w:val="22"/>
        </w:rPr>
        <w:t>CEC</w:t>
      </w:r>
      <w:r w:rsidRPr="00527202">
        <w:rPr>
          <w:szCs w:val="22"/>
        </w:rPr>
        <w:t xml:space="preserve"> may not be used for any purposes associated with </w:t>
      </w:r>
      <w:r>
        <w:rPr>
          <w:szCs w:val="22"/>
        </w:rPr>
        <w:t xml:space="preserve">local </w:t>
      </w:r>
      <w:r w:rsidRPr="00527202">
        <w:rPr>
          <w:szCs w:val="22"/>
        </w:rPr>
        <w:t>publicly</w:t>
      </w:r>
      <w:r>
        <w:rPr>
          <w:szCs w:val="22"/>
        </w:rPr>
        <w:t xml:space="preserve"> </w:t>
      </w:r>
      <w:r w:rsidRPr="00527202">
        <w:rPr>
          <w:szCs w:val="22"/>
        </w:rPr>
        <w:t xml:space="preserve">owned </w:t>
      </w:r>
      <w:r>
        <w:rPr>
          <w:szCs w:val="22"/>
        </w:rPr>
        <w:t xml:space="preserve">electric </w:t>
      </w:r>
      <w:r w:rsidRPr="00527202">
        <w:rPr>
          <w:szCs w:val="22"/>
        </w:rPr>
        <w:t xml:space="preserve">utility activities. </w:t>
      </w:r>
    </w:p>
    <w:p w14:paraId="2D2F0598" w14:textId="77777777" w:rsidR="003B32F0" w:rsidRPr="00EB4A0E" w:rsidRDefault="003B32F0" w:rsidP="00DC65CB">
      <w:pPr>
        <w:numPr>
          <w:ilvl w:val="0"/>
          <w:numId w:val="26"/>
        </w:numPr>
        <w:spacing w:before="240"/>
        <w:jc w:val="both"/>
        <w:rPr>
          <w:rFonts w:ascii="Arial Bold" w:hAnsi="Arial Bold"/>
          <w:b/>
          <w:smallCaps/>
          <w:u w:val="single"/>
        </w:rPr>
      </w:pPr>
      <w:bookmarkStart w:id="77" w:name="_Toc381079914"/>
      <w:bookmarkStart w:id="78" w:name="_Toc382571176"/>
      <w:bookmarkStart w:id="79" w:name="_Toc395180678"/>
      <w:bookmarkStart w:id="80" w:name="_Toc433981305"/>
      <w:r w:rsidRPr="00C07F85">
        <w:rPr>
          <w:b/>
        </w:rPr>
        <w:t>Terms and Conditions</w:t>
      </w:r>
      <w:bookmarkEnd w:id="77"/>
      <w:bookmarkEnd w:id="78"/>
      <w:bookmarkEnd w:id="79"/>
      <w:bookmarkEnd w:id="80"/>
    </w:p>
    <w:p w14:paraId="7FF67580" w14:textId="77777777" w:rsidR="003B32F0" w:rsidRPr="00C24522" w:rsidRDefault="003B32F0" w:rsidP="003B32F0">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Pr>
          <w:szCs w:val="22"/>
        </w:rPr>
        <w:t xml:space="preserve">All </w:t>
      </w:r>
      <w:r w:rsidRPr="00F32736">
        <w:rPr>
          <w:szCs w:val="22"/>
        </w:rPr>
        <w:t xml:space="preserve">terms and conditions are located </w:t>
      </w:r>
      <w:r>
        <w:rPr>
          <w:szCs w:val="22"/>
        </w:rPr>
        <w:t xml:space="preserve">at </w:t>
      </w:r>
      <w:r w:rsidRPr="00616F23">
        <w:rPr>
          <w:szCs w:val="22"/>
        </w:rPr>
        <w:t>http://www.energy.ca.gov/research/contractors.html</w:t>
      </w:r>
      <w:r w:rsidRPr="00F32736">
        <w:rPr>
          <w:szCs w:val="22"/>
        </w:rPr>
        <w:t xml:space="preserve">. </w:t>
      </w:r>
      <w:r w:rsidRPr="007E22AE">
        <w:rPr>
          <w:szCs w:val="22"/>
        </w:rPr>
        <w:t xml:space="preserve">Please refer to the applicable </w:t>
      </w:r>
      <w:r>
        <w:rPr>
          <w:szCs w:val="22"/>
        </w:rPr>
        <w:t>EPIC</w:t>
      </w:r>
      <w:r w:rsidRPr="007E22AE">
        <w:rPr>
          <w:szCs w:val="22"/>
        </w:rPr>
        <w:t xml:space="preserve"> 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2D06B52C" w14:textId="77777777" w:rsidR="003B32F0" w:rsidRPr="00C07F85" w:rsidRDefault="003B32F0" w:rsidP="00DC65CB">
      <w:pPr>
        <w:numPr>
          <w:ilvl w:val="0"/>
          <w:numId w:val="26"/>
        </w:numPr>
        <w:spacing w:before="240"/>
        <w:jc w:val="both"/>
        <w:rPr>
          <w:b/>
          <w:szCs w:val="22"/>
        </w:rPr>
      </w:pPr>
      <w:r w:rsidRPr="00C07F85">
        <w:rPr>
          <w:b/>
          <w:szCs w:val="22"/>
        </w:rPr>
        <w:t>California Secretary of State Registration</w:t>
      </w:r>
    </w:p>
    <w:p w14:paraId="7561349E" w14:textId="77777777" w:rsidR="003B32F0" w:rsidRDefault="003B32F0" w:rsidP="003B32F0">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CEC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t>www.sos.ca.gov</w:t>
      </w:r>
      <w:r>
        <w:t>.  Sole proprietors using a fictitious business name must be registered with the appropriate county and provide evidence of registration to the CEC prior to their project being recommended for approval at an CEC Business Meeting.</w:t>
      </w:r>
    </w:p>
    <w:p w14:paraId="2D2C9739" w14:textId="77777777" w:rsidR="003B32F0" w:rsidRPr="009F702B" w:rsidRDefault="003B32F0" w:rsidP="00DC65CB">
      <w:pPr>
        <w:numPr>
          <w:ilvl w:val="0"/>
          <w:numId w:val="48"/>
        </w:numPr>
        <w:spacing w:before="240" w:line="259" w:lineRule="auto"/>
        <w:jc w:val="both"/>
        <w:rPr>
          <w:b/>
        </w:rPr>
      </w:pPr>
      <w:r w:rsidRPr="009F702B">
        <w:rPr>
          <w:b/>
        </w:rPr>
        <w:t xml:space="preserve">  Disadvantaged &amp; Low-income Communities</w:t>
      </w:r>
    </w:p>
    <w:p w14:paraId="22B22912" w14:textId="77777777" w:rsidR="003B32F0" w:rsidRPr="009F702B" w:rsidRDefault="003B32F0" w:rsidP="003B32F0">
      <w:pPr>
        <w:jc w:val="both"/>
        <w:rPr>
          <w:bCs/>
        </w:rPr>
      </w:pPr>
      <w:r w:rsidRPr="58392BF8">
        <w:t>At least 25% of available Electric Program Investment Charge (EPIC) technology demonstration and deployment funding must be allocated to project sites located in, and benefiting, disadvantaged communities; and an additional minimum 10% of funds must be allocated to projects sites located in and benefiting low-income communities.</w:t>
      </w:r>
      <w:r w:rsidRPr="58392BF8">
        <w:rPr>
          <w:rStyle w:val="FootnoteReference"/>
        </w:rPr>
        <w:footnoteReference w:id="16"/>
      </w:r>
      <w:r w:rsidRPr="009F702B">
        <w:t xml:space="preserve"> </w:t>
      </w:r>
      <w:r w:rsidRPr="58392BF8">
        <w:t xml:space="preserve">The Energy Commission in administering EPIC must also take into account adverse localized health impacts of proposed </w:t>
      </w:r>
      <w:r w:rsidRPr="58392BF8">
        <w:lastRenderedPageBreak/>
        <w:t>projects to the greatest extent possible,</w:t>
      </w:r>
      <w:r w:rsidRPr="58392BF8">
        <w:rPr>
          <w:rStyle w:val="FootnoteReference"/>
        </w:rPr>
        <w:footnoteReference w:id="17"/>
      </w:r>
      <w:r w:rsidRPr="58392BF8">
        <w:t xml:space="preserve"> and give preference for funding to clean energy projects that benefit residents of low-income or disadvantaged communities.</w:t>
      </w:r>
      <w:r w:rsidRPr="58392BF8">
        <w:rPr>
          <w:rStyle w:val="FootnoteReference"/>
        </w:rPr>
        <w:footnoteReference w:id="18"/>
      </w:r>
    </w:p>
    <w:p w14:paraId="27DE5655" w14:textId="77777777" w:rsidR="003B32F0" w:rsidRPr="00C31C1D" w:rsidRDefault="003B32F0" w:rsidP="003B32F0">
      <w:pPr>
        <w:autoSpaceDE w:val="0"/>
        <w:autoSpaceDN w:val="0"/>
        <w:adjustRightInd w:val="0"/>
        <w:spacing w:after="240"/>
        <w:jc w:val="both"/>
        <w:rPr>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17A2B699" w14:textId="77777777" w:rsidR="003B32F0" w:rsidRPr="00CF6DED" w:rsidRDefault="003B32F0" w:rsidP="00DC65CB">
      <w:pPr>
        <w:pStyle w:val="Heading2"/>
        <w:numPr>
          <w:ilvl w:val="0"/>
          <w:numId w:val="45"/>
        </w:numPr>
      </w:pPr>
      <w:bookmarkStart w:id="81" w:name="_Toc336443620"/>
      <w:bookmarkStart w:id="82" w:name="_Toc366671175"/>
      <w:bookmarkStart w:id="83" w:name="_Toc84844920"/>
      <w:bookmarkStart w:id="84" w:name="PrjReq"/>
      <w:r w:rsidRPr="00CF6DED">
        <w:t>Project</w:t>
      </w:r>
      <w:bookmarkEnd w:id="81"/>
      <w:bookmarkEnd w:id="82"/>
      <w:r w:rsidRPr="00CF6DED">
        <w:t xml:space="preserve"> Requirements</w:t>
      </w:r>
      <w:bookmarkEnd w:id="83"/>
    </w:p>
    <w:p w14:paraId="5843DC81" w14:textId="77777777" w:rsidR="003B32F0" w:rsidRPr="00284D57" w:rsidRDefault="003B32F0" w:rsidP="00DC65CB">
      <w:pPr>
        <w:numPr>
          <w:ilvl w:val="0"/>
          <w:numId w:val="25"/>
        </w:numPr>
        <w:ind w:left="720"/>
        <w:jc w:val="both"/>
        <w:rPr>
          <w:b/>
          <w:szCs w:val="22"/>
        </w:rPr>
      </w:pPr>
      <w:bookmarkStart w:id="85" w:name="_Toc433981307"/>
      <w:bookmarkEnd w:id="84"/>
      <w:r w:rsidRPr="00284D57">
        <w:rPr>
          <w:b/>
          <w:szCs w:val="22"/>
        </w:rPr>
        <w:t>Applied Research and Development Stage</w:t>
      </w:r>
    </w:p>
    <w:p w14:paraId="3E6F214C" w14:textId="77777777" w:rsidR="003B32F0" w:rsidRDefault="003B32F0" w:rsidP="003B32F0">
      <w:pPr>
        <w:ind w:left="720"/>
      </w:pPr>
      <w:bookmarkStart w:id="86" w:name="_Toc395180682"/>
      <w:bookmarkStart w:id="87" w:name="_Toc433981309"/>
      <w:bookmarkEnd w:id="85"/>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Pr="001C3A45">
        <w:t>Applied research and development activities include early pilot-scale testing activities that are necessary to demonstrate the feasibility of pre-commercial technologies.</w:t>
      </w:r>
      <w:r>
        <w:t xml:space="preserve"> 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58392BF8">
        <w:rPr>
          <w:rStyle w:val="FootnoteReference"/>
          <w:b/>
          <w:bCs/>
        </w:rPr>
        <w:footnoteReference w:id="19"/>
      </w:r>
      <w:r>
        <w:t xml:space="preserve">  </w:t>
      </w:r>
      <w:bookmarkEnd w:id="86"/>
      <w:bookmarkEnd w:id="87"/>
    </w:p>
    <w:p w14:paraId="485D31AE" w14:textId="77777777" w:rsidR="003B32F0" w:rsidRDefault="003B32F0" w:rsidP="003B32F0">
      <w:bookmarkStart w:id="88" w:name="_Toc366671176"/>
    </w:p>
    <w:p w14:paraId="3A47CE95" w14:textId="77777777" w:rsidR="003B32F0" w:rsidRPr="00186264" w:rsidRDefault="003B32F0" w:rsidP="00DC65CB">
      <w:pPr>
        <w:numPr>
          <w:ilvl w:val="0"/>
          <w:numId w:val="25"/>
        </w:numPr>
        <w:ind w:left="720"/>
        <w:jc w:val="both"/>
      </w:pPr>
      <w:bookmarkStart w:id="89" w:name="TechKnow"/>
      <w:bookmarkStart w:id="90" w:name="_Toc395180693"/>
      <w:bookmarkStart w:id="91" w:name="_Toc433981322"/>
      <w:bookmarkStart w:id="92" w:name="_Toc381079922"/>
      <w:bookmarkStart w:id="93" w:name="_Toc382571183"/>
      <w:r w:rsidRPr="00122853">
        <w:rPr>
          <w:b/>
        </w:rPr>
        <w:t xml:space="preserve">Technology or Knowledge </w:t>
      </w:r>
      <w:r w:rsidRPr="009F702B">
        <w:rPr>
          <w:b/>
        </w:rPr>
        <w:t>Transfer Expenditures</w:t>
      </w:r>
      <w:r>
        <w:t xml:space="preserve"> </w:t>
      </w:r>
      <w:bookmarkEnd w:id="89"/>
    </w:p>
    <w:p w14:paraId="6FCCF2F5" w14:textId="77777777" w:rsidR="003B32F0" w:rsidRPr="00307FDF" w:rsidRDefault="003B32F0" w:rsidP="003B32F0">
      <w:pPr>
        <w:pStyle w:val="HeadingNew1"/>
        <w:numPr>
          <w:ilvl w:val="0"/>
          <w:numId w:val="0"/>
        </w:numPr>
        <w:ind w:left="810"/>
        <w:rPr>
          <w:b w:val="0"/>
        </w:rPr>
      </w:pPr>
      <w:r w:rsidRPr="00284D57">
        <w:rPr>
          <w:b w:val="0"/>
        </w:rPr>
        <w:t>To maximize the impact of EPIC projects and to promote the further development and deployment of EPIC-funded technologies, a minimum of 5 percent of CEC funds requested should go towards knowledge transfer activities. Appropriate knowledge transfer activities for this solicitation are listed in the Scope of Work Template (Attachment). The Budget Forms (Attachment) should clearly distinguish funds dedicated for knowledge transfer.</w:t>
      </w:r>
      <w:bookmarkStart w:id="94" w:name="_Toc366671177"/>
      <w:bookmarkEnd w:id="88"/>
      <w:bookmarkEnd w:id="90"/>
      <w:bookmarkEnd w:id="91"/>
      <w:bookmarkEnd w:id="92"/>
      <w:bookmarkEnd w:id="93"/>
      <w:r w:rsidRPr="00D328D4">
        <w:br w:type="page"/>
      </w:r>
      <w:bookmarkEnd w:id="69"/>
      <w:bookmarkEnd w:id="70"/>
      <w:bookmarkEnd w:id="71"/>
      <w:bookmarkEnd w:id="72"/>
      <w:bookmarkEnd w:id="94"/>
    </w:p>
    <w:p w14:paraId="24919020" w14:textId="77777777" w:rsidR="003B32F0" w:rsidRDefault="003B32F0" w:rsidP="003B32F0">
      <w:pPr>
        <w:pStyle w:val="Heading1"/>
        <w:keepLines w:val="0"/>
        <w:spacing w:before="0" w:after="120"/>
        <w:jc w:val="both"/>
      </w:pPr>
      <w:bookmarkStart w:id="95" w:name="_Toc12770892"/>
      <w:bookmarkStart w:id="96" w:name="_Toc219275109"/>
      <w:bookmarkStart w:id="97" w:name="_Toc336443626"/>
      <w:bookmarkStart w:id="98" w:name="_Toc366671182"/>
      <w:bookmarkStart w:id="99" w:name="_Toc84844921"/>
      <w:bookmarkStart w:id="100" w:name="_Toc219275098"/>
      <w:r w:rsidRPr="00C31C1D">
        <w:lastRenderedPageBreak/>
        <w:t>III.</w:t>
      </w:r>
      <w:r w:rsidRPr="00C31C1D">
        <w:tab/>
      </w:r>
      <w:bookmarkEnd w:id="95"/>
      <w:r w:rsidRPr="00C31C1D">
        <w:t xml:space="preserve">Application Organization and Submission </w:t>
      </w:r>
      <w:bookmarkEnd w:id="96"/>
      <w:bookmarkEnd w:id="97"/>
      <w:bookmarkEnd w:id="98"/>
      <w:r w:rsidRPr="00C31C1D">
        <w:t>Instructions</w:t>
      </w:r>
      <w:bookmarkEnd w:id="99"/>
    </w:p>
    <w:p w14:paraId="7F52DD7C" w14:textId="6588E6F7" w:rsidR="003B32F0" w:rsidRPr="00CF6DED" w:rsidRDefault="003B32F0" w:rsidP="00DC65CB">
      <w:pPr>
        <w:pStyle w:val="Heading2"/>
        <w:numPr>
          <w:ilvl w:val="0"/>
          <w:numId w:val="46"/>
        </w:numPr>
      </w:pPr>
      <w:bookmarkStart w:id="101" w:name="_Toc201713573"/>
      <w:bookmarkStart w:id="102" w:name="_Toc84844922"/>
      <w:bookmarkStart w:id="103" w:name="_Toc219275111"/>
      <w:bookmarkStart w:id="104" w:name="_Toc336443628"/>
      <w:bookmarkStart w:id="105" w:name="_Toc366671184"/>
      <w:r w:rsidRPr="00CF6DED">
        <w:t>Application Format</w:t>
      </w:r>
      <w:bookmarkEnd w:id="101"/>
      <w:r w:rsidR="00381046">
        <w:t xml:space="preserve"> and </w:t>
      </w:r>
      <w:r w:rsidRPr="00CF6DED">
        <w:t>Page Limits</w:t>
      </w:r>
      <w:bookmarkEnd w:id="102"/>
      <w:r w:rsidRPr="00CF6DED">
        <w:t xml:space="preserve"> </w:t>
      </w:r>
      <w:bookmarkEnd w:id="103"/>
      <w:bookmarkEnd w:id="104"/>
      <w:bookmarkEnd w:id="105"/>
    </w:p>
    <w:p w14:paraId="2907D14A" w14:textId="77777777" w:rsidR="003B32F0" w:rsidRPr="00C31C1D" w:rsidRDefault="003B32F0" w:rsidP="003B32F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Pr>
          <w:szCs w:val="22"/>
        </w:rPr>
        <w:t>recommendations</w:t>
      </w:r>
      <w:r w:rsidRPr="00C31C1D">
        <w:rPr>
          <w:szCs w:val="22"/>
        </w:rPr>
        <w:t>:</w:t>
      </w:r>
    </w:p>
    <w:p w14:paraId="2BF4C572" w14:textId="77777777" w:rsidR="003B32F0" w:rsidRDefault="003B32F0" w:rsidP="003B32F0">
      <w:pPr>
        <w:keepLines/>
        <w:widowControl w:val="0"/>
        <w:spacing w:after="0"/>
        <w:jc w:val="both"/>
        <w:rPr>
          <w:szCs w:val="22"/>
        </w:rPr>
      </w:pPr>
    </w:p>
    <w:p w14:paraId="68477DC7" w14:textId="77777777" w:rsidR="003B32F0" w:rsidRDefault="003B32F0" w:rsidP="003B32F0">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19B1338E" w14:textId="77777777" w:rsidR="003B32F0" w:rsidRDefault="003B32F0" w:rsidP="003B32F0">
      <w:pPr>
        <w:keepLines/>
        <w:widowControl w:val="0"/>
        <w:spacing w:after="0"/>
        <w:jc w:val="both"/>
        <w:rPr>
          <w:szCs w:val="22"/>
        </w:rPr>
      </w:pPr>
    </w:p>
    <w:p w14:paraId="3E139684" w14:textId="77777777" w:rsidR="003B32F0" w:rsidRPr="00C31C1D" w:rsidRDefault="003B32F0" w:rsidP="003B32F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3B32F0" w:rsidRPr="00C31C1D" w14:paraId="1AC16EF6" w14:textId="77777777" w:rsidTr="00B570C0">
        <w:trPr>
          <w:trHeight w:val="2546"/>
        </w:trPr>
        <w:tc>
          <w:tcPr>
            <w:tcW w:w="2185" w:type="dxa"/>
          </w:tcPr>
          <w:p w14:paraId="10822E2E" w14:textId="77777777" w:rsidR="003B32F0" w:rsidRPr="00C31C1D" w:rsidRDefault="003B32F0" w:rsidP="006D46A0">
            <w:pPr>
              <w:jc w:val="both"/>
              <w:rPr>
                <w:b/>
              </w:rPr>
            </w:pPr>
            <w:r w:rsidRPr="00C31C1D">
              <w:rPr>
                <w:b/>
              </w:rPr>
              <w:t>Format</w:t>
            </w:r>
          </w:p>
        </w:tc>
        <w:tc>
          <w:tcPr>
            <w:tcW w:w="7057" w:type="dxa"/>
          </w:tcPr>
          <w:p w14:paraId="6D326796" w14:textId="77777777" w:rsidR="003B32F0" w:rsidRDefault="003B32F0" w:rsidP="00DC65CB">
            <w:pPr>
              <w:numPr>
                <w:ilvl w:val="0"/>
                <w:numId w:val="13"/>
              </w:numPr>
              <w:spacing w:after="0"/>
              <w:jc w:val="both"/>
            </w:pPr>
            <w:r w:rsidRPr="008D33BE">
              <w:rPr>
                <w:b/>
              </w:rPr>
              <w:t>Font:</w:t>
            </w:r>
            <w:r>
              <w:t xml:space="preserve"> </w:t>
            </w:r>
            <w:r w:rsidRPr="00C31C1D">
              <w:t>11-</w:t>
            </w:r>
            <w:r>
              <w:t>point, Arial (excluding Excel spreadsheets, original template headers and footers, and commitment or support letters</w:t>
            </w:r>
            <w:r w:rsidRPr="00FB5A02">
              <w:t>)</w:t>
            </w:r>
          </w:p>
          <w:p w14:paraId="41BCCD45" w14:textId="77777777" w:rsidR="003B32F0" w:rsidRDefault="003B32F0" w:rsidP="00DC65CB">
            <w:pPr>
              <w:numPr>
                <w:ilvl w:val="0"/>
                <w:numId w:val="13"/>
              </w:numPr>
              <w:spacing w:after="0"/>
              <w:jc w:val="both"/>
            </w:pPr>
            <w:r w:rsidRPr="00CE3194">
              <w:rPr>
                <w:b/>
              </w:rPr>
              <w:t>Margins:</w:t>
            </w:r>
            <w:r>
              <w:t xml:space="preserve"> No less than one inch on all sides (excluding headers and footers)</w:t>
            </w:r>
          </w:p>
          <w:p w14:paraId="031B9993" w14:textId="77777777" w:rsidR="003B32F0" w:rsidRPr="00C31C1D" w:rsidRDefault="003B32F0" w:rsidP="00DC65CB">
            <w:pPr>
              <w:numPr>
                <w:ilvl w:val="0"/>
                <w:numId w:val="13"/>
              </w:numPr>
              <w:spacing w:after="0"/>
              <w:jc w:val="both"/>
            </w:pPr>
            <w:r>
              <w:rPr>
                <w:b/>
              </w:rPr>
              <w:t>Spacing</w:t>
            </w:r>
            <w:r w:rsidRPr="008D33BE">
              <w:rPr>
                <w:b/>
              </w:rPr>
              <w:t>:</w:t>
            </w:r>
            <w:r>
              <w:t xml:space="preserve">  S</w:t>
            </w:r>
            <w:r w:rsidRPr="00C31C1D">
              <w:t xml:space="preserve">ingle spaced, </w:t>
            </w:r>
            <w:r>
              <w:t xml:space="preserve">with a </w:t>
            </w:r>
            <w:r w:rsidRPr="00C31C1D">
              <w:t xml:space="preserve">blank line between </w:t>
            </w:r>
            <w:r>
              <w:t xml:space="preserve">each </w:t>
            </w:r>
            <w:r w:rsidRPr="00C31C1D">
              <w:t>paragraph</w:t>
            </w:r>
          </w:p>
          <w:p w14:paraId="54DF5725" w14:textId="77777777" w:rsidR="003B32F0" w:rsidRPr="00FB5A02" w:rsidRDefault="003B32F0" w:rsidP="00DC65CB">
            <w:pPr>
              <w:numPr>
                <w:ilvl w:val="0"/>
                <w:numId w:val="13"/>
              </w:numPr>
              <w:spacing w:after="0"/>
              <w:jc w:val="both"/>
            </w:pPr>
            <w:r w:rsidRPr="00FB5A02">
              <w:rPr>
                <w:b/>
              </w:rPr>
              <w:t>Signatures</w:t>
            </w:r>
            <w:r w:rsidRPr="00FB5A02">
              <w:t xml:space="preserve">: </w:t>
            </w:r>
            <w:r>
              <w:t>Wet signatures only</w:t>
            </w:r>
            <w:r w:rsidRPr="00FB5A02">
              <w:t xml:space="preserve"> (i.e., not electronic)</w:t>
            </w:r>
          </w:p>
          <w:p w14:paraId="1DB097EF" w14:textId="5A8770FE" w:rsidR="00B570C0" w:rsidRPr="00B570C0" w:rsidRDefault="003B32F0" w:rsidP="00DC65CB">
            <w:pPr>
              <w:numPr>
                <w:ilvl w:val="0"/>
                <w:numId w:val="13"/>
              </w:numPr>
              <w:spacing w:after="0"/>
              <w:jc w:val="both"/>
            </w:pPr>
            <w:r w:rsidRPr="005E76CE">
              <w:rPr>
                <w:b/>
              </w:rPr>
              <w:t>File Format:</w:t>
            </w:r>
            <w:r w:rsidRPr="005E76CE">
              <w:t xml:space="preserve"> MS Word </w:t>
            </w:r>
            <w:r>
              <w:t xml:space="preserve">version 2007 or later </w:t>
            </w:r>
            <w:r w:rsidRPr="005E76CE">
              <w:t xml:space="preserve">(.doc </w:t>
            </w:r>
            <w:r>
              <w:t xml:space="preserve">or .docx </w:t>
            </w:r>
            <w:r w:rsidRPr="005E76CE">
              <w:t xml:space="preserve">format), excluding </w:t>
            </w:r>
            <w:r>
              <w:t>E</w:t>
            </w:r>
            <w:r w:rsidRPr="005E76CE">
              <w:t>xcel spreadsheets</w:t>
            </w:r>
            <w:r>
              <w:t xml:space="preserve"> and commitment or support letters (PDF files are acceptable for the letters)</w:t>
            </w:r>
          </w:p>
        </w:tc>
      </w:tr>
      <w:tr w:rsidR="003B32F0" w:rsidRPr="00C31C1D" w14:paraId="714A4057" w14:textId="77777777" w:rsidTr="00B570C0">
        <w:tc>
          <w:tcPr>
            <w:tcW w:w="2185" w:type="dxa"/>
          </w:tcPr>
          <w:p w14:paraId="09CAA39E" w14:textId="77777777" w:rsidR="003B32F0" w:rsidRPr="00C31C1D" w:rsidRDefault="003B32F0" w:rsidP="006D46A0">
            <w:pPr>
              <w:rPr>
                <w:b/>
              </w:rPr>
            </w:pPr>
            <w:r>
              <w:rPr>
                <w:b/>
              </w:rPr>
              <w:t xml:space="preserve">Maximum </w:t>
            </w:r>
            <w:r w:rsidRPr="00C31C1D">
              <w:rPr>
                <w:b/>
              </w:rPr>
              <w:t>Page Limit</w:t>
            </w:r>
            <w:r>
              <w:rPr>
                <w:b/>
              </w:rPr>
              <w:t xml:space="preserve"> Recommendation</w:t>
            </w:r>
            <w:r w:rsidRPr="00C31C1D">
              <w:rPr>
                <w:b/>
              </w:rPr>
              <w:t>s</w:t>
            </w:r>
          </w:p>
        </w:tc>
        <w:tc>
          <w:tcPr>
            <w:tcW w:w="7057" w:type="dxa"/>
          </w:tcPr>
          <w:p w14:paraId="3DF3AC7B" w14:textId="77777777" w:rsidR="003B32F0" w:rsidRPr="00C31C1D" w:rsidRDefault="003B32F0" w:rsidP="006D46A0">
            <w:pPr>
              <w:spacing w:after="0"/>
              <w:ind w:left="360"/>
              <w:jc w:val="both"/>
            </w:pPr>
          </w:p>
          <w:p w14:paraId="482CBA7B" w14:textId="77777777" w:rsidR="003B32F0" w:rsidRDefault="003B32F0" w:rsidP="00DC65CB">
            <w:pPr>
              <w:numPr>
                <w:ilvl w:val="0"/>
                <w:numId w:val="14"/>
              </w:numPr>
              <w:spacing w:after="0"/>
              <w:jc w:val="both"/>
            </w:pPr>
            <w:r w:rsidRPr="00BA7A1D">
              <w:rPr>
                <w:b/>
              </w:rPr>
              <w:t>Executive Summary</w:t>
            </w:r>
            <w:r>
              <w:rPr>
                <w:b/>
              </w:rPr>
              <w:t xml:space="preserve"> </w:t>
            </w:r>
            <w:r w:rsidRPr="00C020D7">
              <w:t>(Attachment):</w:t>
            </w:r>
            <w:r w:rsidRPr="00C31C1D">
              <w:t xml:space="preserve"> </w:t>
            </w:r>
            <w:r w:rsidRPr="00907E7C">
              <w:rPr>
                <w:b/>
              </w:rPr>
              <w:t>two</w:t>
            </w:r>
            <w:r w:rsidRPr="00C31C1D">
              <w:t xml:space="preserve"> page</w:t>
            </w:r>
            <w:r>
              <w:t>s</w:t>
            </w:r>
            <w:r w:rsidRPr="00C31C1D">
              <w:t xml:space="preserve"> </w:t>
            </w:r>
          </w:p>
          <w:p w14:paraId="76FAEBAE" w14:textId="77777777" w:rsidR="003B32F0" w:rsidRDefault="003B32F0" w:rsidP="00DC65CB">
            <w:pPr>
              <w:numPr>
                <w:ilvl w:val="0"/>
                <w:numId w:val="14"/>
              </w:numPr>
              <w:spacing w:after="0"/>
              <w:jc w:val="both"/>
            </w:pPr>
            <w:r w:rsidRPr="00BA7A1D">
              <w:rPr>
                <w:b/>
              </w:rPr>
              <w:t>Project Narrative Form</w:t>
            </w:r>
            <w:r>
              <w:rPr>
                <w:b/>
              </w:rPr>
              <w:t xml:space="preserve"> </w:t>
            </w:r>
            <w:r w:rsidRPr="00C020D7">
              <w:t xml:space="preserve">(Attachment): </w:t>
            </w:r>
            <w:r w:rsidRPr="00907E7C">
              <w:rPr>
                <w:b/>
              </w:rPr>
              <w:t>t</w:t>
            </w:r>
            <w:r>
              <w:rPr>
                <w:b/>
              </w:rPr>
              <w:t>w</w:t>
            </w:r>
            <w:r w:rsidRPr="00907E7C">
              <w:rPr>
                <w:b/>
              </w:rPr>
              <w:t>en</w:t>
            </w:r>
            <w:r>
              <w:rPr>
                <w:b/>
              </w:rPr>
              <w:t>ty</w:t>
            </w:r>
            <w:r w:rsidRPr="00C31C1D">
              <w:t xml:space="preserve"> pages </w:t>
            </w:r>
            <w:r>
              <w:t>excluding documentation for CEQA</w:t>
            </w:r>
          </w:p>
          <w:p w14:paraId="13305ABD" w14:textId="77777777" w:rsidR="003B32F0" w:rsidRDefault="003B32F0" w:rsidP="00DC65CB">
            <w:pPr>
              <w:numPr>
                <w:ilvl w:val="0"/>
                <w:numId w:val="14"/>
              </w:numPr>
              <w:spacing w:after="0"/>
              <w:jc w:val="both"/>
            </w:pPr>
            <w:r w:rsidRPr="00B35C99">
              <w:rPr>
                <w:b/>
              </w:rPr>
              <w:t>Project Team Form</w:t>
            </w:r>
            <w:r>
              <w:t xml:space="preserve"> (Attachment): </w:t>
            </w:r>
            <w:r w:rsidRPr="00907E7C">
              <w:rPr>
                <w:b/>
              </w:rPr>
              <w:t>two</w:t>
            </w:r>
            <w:r>
              <w:t xml:space="preserve"> pages for each resume</w:t>
            </w:r>
          </w:p>
          <w:p w14:paraId="4115C71F" w14:textId="77777777" w:rsidR="003B32F0" w:rsidRDefault="003B32F0" w:rsidP="00DC65CB">
            <w:pPr>
              <w:numPr>
                <w:ilvl w:val="0"/>
                <w:numId w:val="14"/>
              </w:numPr>
              <w:spacing w:after="0"/>
              <w:jc w:val="both"/>
            </w:pPr>
            <w:r w:rsidRPr="00BA7A1D">
              <w:rPr>
                <w:b/>
              </w:rPr>
              <w:t xml:space="preserve">Reference </w:t>
            </w:r>
            <w:r>
              <w:rPr>
                <w:b/>
              </w:rPr>
              <w:t xml:space="preserve">and Work Product </w:t>
            </w:r>
            <w:r w:rsidRPr="00BA7A1D">
              <w:rPr>
                <w:b/>
              </w:rPr>
              <w:t>Form</w:t>
            </w:r>
            <w:r>
              <w:t xml:space="preserve"> (Attachment</w:t>
            </w:r>
            <w:r w:rsidRPr="00C31C1D">
              <w:t>)</w:t>
            </w:r>
            <w:r>
              <w:t xml:space="preserve">: </w:t>
            </w:r>
            <w:r w:rsidRPr="00311141">
              <w:rPr>
                <w:b/>
              </w:rPr>
              <w:t>one</w:t>
            </w:r>
            <w:r>
              <w:t xml:space="preserve"> page for each reference, </w:t>
            </w:r>
            <w:r w:rsidRPr="00907E7C">
              <w:rPr>
                <w:b/>
              </w:rPr>
              <w:t>two</w:t>
            </w:r>
            <w:r>
              <w:t xml:space="preserve"> pages for each project description</w:t>
            </w:r>
          </w:p>
          <w:p w14:paraId="7B84CE85" w14:textId="77777777" w:rsidR="003B32F0" w:rsidRDefault="003B32F0" w:rsidP="00DC65CB">
            <w:pPr>
              <w:numPr>
                <w:ilvl w:val="0"/>
                <w:numId w:val="14"/>
              </w:numPr>
              <w:jc w:val="both"/>
            </w:pPr>
            <w:r w:rsidRPr="00D23107">
              <w:rPr>
                <w:b/>
              </w:rPr>
              <w:t>Commitment and Support</w:t>
            </w:r>
            <w:r>
              <w:rPr>
                <w:b/>
              </w:rPr>
              <w:t xml:space="preserve"> Letter Form </w:t>
            </w:r>
            <w:r>
              <w:t>(Attachment</w:t>
            </w:r>
            <w:r w:rsidRPr="00D23107">
              <w:t>)</w:t>
            </w:r>
            <w:r>
              <w:t xml:space="preserve">: </w:t>
            </w:r>
            <w:r w:rsidRPr="00907E7C">
              <w:rPr>
                <w:b/>
              </w:rPr>
              <w:t>two</w:t>
            </w:r>
            <w:r>
              <w:t xml:space="preserve"> pages, excluding the cover page</w:t>
            </w:r>
          </w:p>
          <w:p w14:paraId="30F3B17D" w14:textId="77777777" w:rsidR="003B32F0" w:rsidRDefault="003B32F0" w:rsidP="00DC65CB">
            <w:pPr>
              <w:numPr>
                <w:ilvl w:val="0"/>
                <w:numId w:val="14"/>
              </w:numPr>
              <w:jc w:val="both"/>
            </w:pPr>
            <w:r>
              <w:rPr>
                <w:b/>
              </w:rPr>
              <w:t>Scope of Work</w:t>
            </w:r>
            <w:r>
              <w:t xml:space="preserve"> (Attachment): </w:t>
            </w:r>
            <w:r>
              <w:rPr>
                <w:b/>
              </w:rPr>
              <w:t>thirty</w:t>
            </w:r>
            <w:r>
              <w:t xml:space="preserve"> pages</w:t>
            </w:r>
          </w:p>
          <w:p w14:paraId="0FECD4EA" w14:textId="77777777" w:rsidR="003B32F0" w:rsidRDefault="003B32F0" w:rsidP="00DC65CB">
            <w:pPr>
              <w:numPr>
                <w:ilvl w:val="0"/>
                <w:numId w:val="14"/>
              </w:numPr>
              <w:jc w:val="both"/>
            </w:pPr>
            <w:r>
              <w:rPr>
                <w:b/>
              </w:rPr>
              <w:t>Project Schedule</w:t>
            </w:r>
            <w:r>
              <w:t xml:space="preserve"> (Attachment): </w:t>
            </w:r>
            <w:r>
              <w:rPr>
                <w:b/>
              </w:rPr>
              <w:t>four</w:t>
            </w:r>
            <w:r>
              <w:t xml:space="preserve"> pages</w:t>
            </w:r>
          </w:p>
          <w:p w14:paraId="0BB0D9F2" w14:textId="77777777" w:rsidR="003B32F0" w:rsidRPr="00C31C1D" w:rsidRDefault="003B32F0" w:rsidP="00DC65CB">
            <w:pPr>
              <w:numPr>
                <w:ilvl w:val="0"/>
                <w:numId w:val="14"/>
              </w:numPr>
              <w:spacing w:after="0"/>
              <w:jc w:val="both"/>
            </w:pPr>
            <w:r>
              <w:t>There are no p</w:t>
            </w:r>
            <w:r w:rsidRPr="00C31C1D">
              <w:t>age limit</w:t>
            </w:r>
            <w:r>
              <w:t>s</w:t>
            </w:r>
            <w:r w:rsidRPr="00C31C1D">
              <w:t xml:space="preserve"> </w:t>
            </w:r>
            <w:r>
              <w:t>for</w:t>
            </w:r>
            <w:r w:rsidRPr="00C31C1D">
              <w:t xml:space="preserve"> the following</w:t>
            </w:r>
            <w:r>
              <w:t>:</w:t>
            </w:r>
          </w:p>
          <w:p w14:paraId="1AA5D097" w14:textId="77777777" w:rsidR="003B32F0" w:rsidRDefault="003B32F0" w:rsidP="00DC65CB">
            <w:pPr>
              <w:numPr>
                <w:ilvl w:val="1"/>
                <w:numId w:val="14"/>
              </w:numPr>
              <w:spacing w:after="0"/>
              <w:ind w:left="702"/>
              <w:jc w:val="both"/>
            </w:pPr>
            <w:r w:rsidRPr="00BA7A1D">
              <w:rPr>
                <w:b/>
              </w:rPr>
              <w:t>Application Form</w:t>
            </w:r>
            <w:r>
              <w:t xml:space="preserve"> (Attachment</w:t>
            </w:r>
            <w:r w:rsidRPr="00C31C1D">
              <w:t xml:space="preserve">) </w:t>
            </w:r>
          </w:p>
          <w:p w14:paraId="663FE2C1" w14:textId="77777777" w:rsidR="003B32F0" w:rsidRDefault="003B32F0" w:rsidP="00DC65CB">
            <w:pPr>
              <w:numPr>
                <w:ilvl w:val="1"/>
                <w:numId w:val="14"/>
              </w:numPr>
              <w:spacing w:after="0"/>
              <w:ind w:left="702"/>
              <w:jc w:val="both"/>
            </w:pPr>
            <w:r w:rsidRPr="00BA7A1D">
              <w:rPr>
                <w:b/>
              </w:rPr>
              <w:t>Budget Forms</w:t>
            </w:r>
            <w:r>
              <w:t xml:space="preserve"> (Attachment</w:t>
            </w:r>
            <w:r w:rsidRPr="00C31C1D">
              <w:t>)</w:t>
            </w:r>
          </w:p>
          <w:p w14:paraId="3BEB0544" w14:textId="77777777" w:rsidR="003B32F0" w:rsidRDefault="003B32F0" w:rsidP="00DC65CB">
            <w:pPr>
              <w:numPr>
                <w:ilvl w:val="1"/>
                <w:numId w:val="14"/>
              </w:numPr>
              <w:spacing w:after="0"/>
              <w:ind w:left="702"/>
              <w:jc w:val="both"/>
            </w:pPr>
            <w:r w:rsidRPr="00BA7A1D">
              <w:rPr>
                <w:b/>
              </w:rPr>
              <w:t>CEQA Compliance Form</w:t>
            </w:r>
            <w:r>
              <w:t xml:space="preserve"> (Attachment</w:t>
            </w:r>
            <w:r w:rsidRPr="00C31C1D">
              <w:t>)</w:t>
            </w:r>
            <w:r>
              <w:t xml:space="preserve"> </w:t>
            </w:r>
          </w:p>
          <w:p w14:paraId="4235E4E9" w14:textId="77777777" w:rsidR="003B32F0" w:rsidRDefault="003B32F0" w:rsidP="00DC65CB">
            <w:pPr>
              <w:numPr>
                <w:ilvl w:val="1"/>
                <w:numId w:val="14"/>
              </w:numPr>
              <w:spacing w:after="0"/>
              <w:ind w:left="702"/>
              <w:jc w:val="both"/>
            </w:pPr>
            <w:r w:rsidRPr="008964A1">
              <w:rPr>
                <w:b/>
              </w:rPr>
              <w:t>Project Performance Metrics</w:t>
            </w:r>
            <w:r>
              <w:t xml:space="preserve"> (Attachment)</w:t>
            </w:r>
          </w:p>
          <w:p w14:paraId="289B8501" w14:textId="77777777" w:rsidR="003B32F0" w:rsidRDefault="003B32F0" w:rsidP="006D46A0">
            <w:pPr>
              <w:spacing w:after="0"/>
              <w:jc w:val="both"/>
            </w:pPr>
          </w:p>
        </w:tc>
      </w:tr>
    </w:tbl>
    <w:p w14:paraId="17772AF1" w14:textId="77777777" w:rsidR="003B32F0" w:rsidRPr="00C31C1D" w:rsidRDefault="003B32F0" w:rsidP="003B32F0">
      <w:pPr>
        <w:spacing w:after="0"/>
        <w:ind w:left="360"/>
        <w:jc w:val="both"/>
        <w:rPr>
          <w:szCs w:val="22"/>
        </w:rPr>
      </w:pPr>
    </w:p>
    <w:p w14:paraId="51B729E1" w14:textId="77777777" w:rsidR="003B32F0" w:rsidRPr="00CF6DED" w:rsidRDefault="003B32F0" w:rsidP="00DC65CB">
      <w:pPr>
        <w:pStyle w:val="Heading2"/>
        <w:numPr>
          <w:ilvl w:val="0"/>
          <w:numId w:val="46"/>
        </w:numPr>
      </w:pPr>
      <w:bookmarkStart w:id="106" w:name="_Toc428191083"/>
      <w:bookmarkStart w:id="107" w:name="_Toc84844923"/>
      <w:bookmarkStart w:id="108" w:name="_Toc201713575"/>
      <w:bookmarkStart w:id="109" w:name="_Toc219275113"/>
      <w:bookmarkStart w:id="110" w:name="_Toc336443630"/>
      <w:bookmarkStart w:id="111" w:name="_Toc366671186"/>
      <w:r>
        <w:t>Online Method For Delivery</w:t>
      </w:r>
      <w:bookmarkEnd w:id="106"/>
      <w:bookmarkEnd w:id="107"/>
    </w:p>
    <w:p w14:paraId="7ACE7DC4" w14:textId="77777777" w:rsidR="003B32F0" w:rsidRDefault="003B32F0" w:rsidP="003B32F0">
      <w:pPr>
        <w:keepNext/>
        <w:spacing w:after="0"/>
      </w:pPr>
      <w:r>
        <w:t xml:space="preserve">Due to the COVID-19 Health Crisis, all applications must be submitted online. </w:t>
      </w:r>
      <w:r w:rsidRPr="00381046">
        <w:rPr>
          <w:b/>
          <w:bCs/>
        </w:rPr>
        <w:t>Hard copies will not be accepted at this time.</w:t>
      </w:r>
    </w:p>
    <w:p w14:paraId="5EBBD105" w14:textId="77777777" w:rsidR="003B32F0" w:rsidRDefault="003B32F0" w:rsidP="003B32F0">
      <w:pPr>
        <w:keepNext/>
        <w:spacing w:after="0"/>
      </w:pPr>
    </w:p>
    <w:p w14:paraId="664EA0BA" w14:textId="77777777" w:rsidR="003B32F0" w:rsidRPr="0020750A" w:rsidRDefault="003B32F0" w:rsidP="003B32F0">
      <w:pPr>
        <w:keepNext/>
        <w:spacing w:after="0"/>
      </w:pPr>
      <w:r>
        <w:t xml:space="preserve">The online method of delivery for this solicitation is the Energy Commission Grant Solicitation System, </w:t>
      </w:r>
      <w:r w:rsidRPr="00DA0234">
        <w:rPr>
          <w:color w:val="000000" w:themeColor="text1"/>
        </w:rPr>
        <w:t xml:space="preserve">available at: https://gss.energy.ca.gov/. This online </w:t>
      </w:r>
      <w:r>
        <w:t xml:space="preserve">tool allows applicants to submit their electronic documents to the CEC prior to the date and time specified in this </w:t>
      </w:r>
      <w:r>
        <w:lastRenderedPageBreak/>
        <w:t xml:space="preserve">solicitation. Electronic files must be in Microsoft Word XP (.doc format) or newer and Excel Office Suite formats unless originally provided in the solicitation in another format.  Attachments requiring signatures may be scanned and submitted in PDF format.  Completed Budget Forms, (Attachment), must be in Excel format.  </w:t>
      </w:r>
      <w:r w:rsidRPr="01D5DBC6">
        <w:rPr>
          <w:b/>
          <w:bCs/>
        </w:rPr>
        <w:t>The system will not allow applications to be submitted after the application due date and time.</w:t>
      </w:r>
    </w:p>
    <w:p w14:paraId="7178FFB2" w14:textId="77777777" w:rsidR="003B32F0" w:rsidRDefault="003B32F0" w:rsidP="003B32F0">
      <w:pPr>
        <w:keepNext/>
        <w:spacing w:after="0"/>
      </w:pPr>
    </w:p>
    <w:p w14:paraId="49F640BB" w14:textId="77777777" w:rsidR="003B32F0" w:rsidRPr="00C07F85" w:rsidRDefault="003B32F0" w:rsidP="003B32F0">
      <w:pPr>
        <w:keepNext/>
      </w:pPr>
      <w: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071E2386" w14:textId="77777777" w:rsidR="003B32F0" w:rsidRDefault="003B32F0" w:rsidP="003B32F0">
      <w:pPr>
        <w:pStyle w:val="Heading2"/>
      </w:pPr>
      <w:bookmarkStart w:id="112" w:name="_Toc219275114"/>
      <w:bookmarkStart w:id="113" w:name="_Toc336443632"/>
      <w:bookmarkStart w:id="114" w:name="_Toc366671188"/>
      <w:bookmarkEnd w:id="108"/>
      <w:bookmarkEnd w:id="109"/>
      <w:bookmarkEnd w:id="110"/>
      <w:bookmarkEnd w:id="111"/>
    </w:p>
    <w:p w14:paraId="2A457A23" w14:textId="77777777" w:rsidR="003B32F0" w:rsidRPr="00CF6DED" w:rsidRDefault="003B32F0" w:rsidP="00DC65CB">
      <w:pPr>
        <w:pStyle w:val="Heading2"/>
        <w:numPr>
          <w:ilvl w:val="0"/>
          <w:numId w:val="46"/>
        </w:numPr>
      </w:pPr>
      <w:bookmarkStart w:id="115" w:name="_Toc84844924"/>
      <w:r w:rsidRPr="00CF6DED">
        <w:t>Application Organization and Content</w:t>
      </w:r>
      <w:bookmarkEnd w:id="115"/>
    </w:p>
    <w:p w14:paraId="1FB0349C" w14:textId="6B1034BC" w:rsidR="003B32F0" w:rsidRPr="00656DB6" w:rsidRDefault="003B32F0" w:rsidP="00DC65CB">
      <w:pPr>
        <w:pStyle w:val="ListParagraph"/>
        <w:numPr>
          <w:ilvl w:val="0"/>
          <w:numId w:val="41"/>
        </w:numPr>
      </w:pPr>
      <w:bookmarkStart w:id="116" w:name="_Toc433981329"/>
      <w:r w:rsidRPr="00656DB6">
        <w:t>Label the proposal application cover “Grant Funding Opportunity GFO-</w:t>
      </w:r>
      <w:r w:rsidR="00B570C0">
        <w:t>21</w:t>
      </w:r>
      <w:r w:rsidRPr="00656DB6">
        <w:t>-</w:t>
      </w:r>
      <w:r w:rsidR="00B570C0">
        <w:t>302</w:t>
      </w:r>
      <w:r w:rsidRPr="00656DB6">
        <w:t>” and include: (a) the title of the application; and (b) the applicant’s name.</w:t>
      </w:r>
      <w:bookmarkEnd w:id="116"/>
    </w:p>
    <w:p w14:paraId="45DEF9CC" w14:textId="77777777" w:rsidR="003B32F0" w:rsidRPr="00656DB6" w:rsidRDefault="003B32F0" w:rsidP="00DC65CB">
      <w:pPr>
        <w:pStyle w:val="ListParagraph"/>
        <w:numPr>
          <w:ilvl w:val="0"/>
          <w:numId w:val="41"/>
        </w:numPr>
      </w:pPr>
      <w:bookmarkStart w:id="117" w:name="_Toc433981330"/>
      <w:r w:rsidRPr="00656DB6">
        <w:t>Separate each section of the application by Attachment number and section title indicated below.</w:t>
      </w:r>
      <w:bookmarkEnd w:id="117"/>
    </w:p>
    <w:bookmarkEnd w:id="112"/>
    <w:bookmarkEnd w:id="113"/>
    <w:bookmarkEnd w:id="114"/>
    <w:p w14:paraId="1621D8A2" w14:textId="77777777" w:rsidR="003B32F0" w:rsidRDefault="003B32F0" w:rsidP="003B32F0">
      <w:pPr>
        <w:spacing w:after="0"/>
        <w:jc w:val="both"/>
      </w:pPr>
    </w:p>
    <w:p w14:paraId="2B808A4E" w14:textId="77777777" w:rsidR="003B32F0" w:rsidRPr="00C31C1D" w:rsidRDefault="003B32F0" w:rsidP="003B32F0">
      <w:bookmarkStart w:id="118" w:name="_Toc381079929"/>
      <w:bookmarkStart w:id="119" w:name="_Toc382571192"/>
      <w:bookmarkStart w:id="120" w:name="_Toc395180702"/>
      <w:bookmarkStart w:id="121" w:name="_Toc433981331"/>
      <w:bookmarkStart w:id="122" w:name="_Toc35074593"/>
      <w:bookmarkStart w:id="123" w:name="_Toc366671191"/>
      <w:r w:rsidRPr="00C31C1D">
        <w:t xml:space="preserve">Below is a description of each </w:t>
      </w:r>
      <w:r>
        <w:t xml:space="preserve">required </w:t>
      </w:r>
      <w:r w:rsidRPr="00C31C1D">
        <w:t>section of the application</w:t>
      </w:r>
      <w:r>
        <w:t>.  Completeness in submitting are the required information requested in each attachment will be factored into the scoring:</w:t>
      </w:r>
      <w:bookmarkEnd w:id="118"/>
      <w:bookmarkEnd w:id="119"/>
      <w:bookmarkEnd w:id="120"/>
      <w:bookmarkEnd w:id="121"/>
    </w:p>
    <w:bookmarkEnd w:id="122"/>
    <w:bookmarkEnd w:id="123"/>
    <w:p w14:paraId="7D46A8CD" w14:textId="77777777" w:rsidR="003B32F0" w:rsidRPr="007065BB" w:rsidRDefault="003B32F0" w:rsidP="00DC65CB">
      <w:pPr>
        <w:pStyle w:val="HeadingNew1"/>
        <w:numPr>
          <w:ilvl w:val="0"/>
          <w:numId w:val="34"/>
        </w:numPr>
        <w:ind w:left="360"/>
      </w:pPr>
      <w:r w:rsidRPr="007065BB">
        <w:t>Application Form (Attachment 1)</w:t>
      </w:r>
    </w:p>
    <w:p w14:paraId="1AC6B1D7" w14:textId="77777777" w:rsidR="003B32F0" w:rsidRPr="00C31C1D" w:rsidRDefault="003B32F0" w:rsidP="003B32F0">
      <w:pPr>
        <w:widowControl w:val="0"/>
        <w:spacing w:after="0"/>
        <w:ind w:left="360"/>
        <w:jc w:val="both"/>
      </w:pPr>
      <w:r>
        <w:t xml:space="preserve">This form requests basic information about the applicant and the project.  </w:t>
      </w:r>
      <w:r w:rsidRPr="00C31C1D">
        <w:t>The application include</w:t>
      </w:r>
      <w:r>
        <w:t>s</w:t>
      </w:r>
      <w:r w:rsidRPr="00C31C1D">
        <w:t xml:space="preserve"> an original </w:t>
      </w:r>
      <w:r>
        <w:t>f</w:t>
      </w:r>
      <w:r w:rsidRPr="00C31C1D">
        <w:t xml:space="preserve">orm </w:t>
      </w:r>
      <w:r>
        <w:t xml:space="preserve">that includes all requested information.  The application must be </w:t>
      </w:r>
      <w:r w:rsidRPr="00C31C1D">
        <w:t>signed by an au</w:t>
      </w:r>
      <w:r>
        <w:t>thorized representative of the a</w:t>
      </w:r>
      <w:r w:rsidRPr="00C31C1D">
        <w:t>pplicant’s organization</w:t>
      </w:r>
      <w:r>
        <w:t xml:space="preserve"> or will be failed as indicated in Section IV.E</w:t>
      </w:r>
      <w:r w:rsidRPr="00C31C1D">
        <w:rPr>
          <w:noProof/>
        </w:rPr>
        <w:t>.</w:t>
      </w:r>
      <w:r w:rsidRPr="00C31C1D">
        <w:t xml:space="preserve"> </w:t>
      </w:r>
    </w:p>
    <w:p w14:paraId="53A15833" w14:textId="77777777" w:rsidR="003B32F0" w:rsidRDefault="003B32F0" w:rsidP="003B32F0">
      <w:pPr>
        <w:spacing w:after="0"/>
        <w:ind w:left="720"/>
        <w:jc w:val="both"/>
      </w:pPr>
    </w:p>
    <w:p w14:paraId="6FC18739" w14:textId="77777777" w:rsidR="003B32F0" w:rsidRDefault="003B32F0" w:rsidP="003B32F0">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E6D88B8" w14:textId="77777777" w:rsidR="003B32F0" w:rsidRPr="00C31C1D" w:rsidRDefault="003B32F0" w:rsidP="003B32F0">
      <w:pPr>
        <w:spacing w:after="0"/>
        <w:ind w:left="720"/>
        <w:jc w:val="both"/>
      </w:pPr>
    </w:p>
    <w:p w14:paraId="7B22F426" w14:textId="77777777" w:rsidR="003B32F0" w:rsidRPr="007065BB" w:rsidRDefault="003B32F0" w:rsidP="00DC65CB">
      <w:pPr>
        <w:pStyle w:val="HeadingNew1"/>
        <w:numPr>
          <w:ilvl w:val="0"/>
          <w:numId w:val="34"/>
        </w:numPr>
        <w:ind w:left="360"/>
      </w:pPr>
      <w:r w:rsidRPr="007065BB">
        <w:t>Executive Summary Form (Attachment 2)</w:t>
      </w:r>
    </w:p>
    <w:p w14:paraId="06FD5902" w14:textId="77777777" w:rsidR="003B32F0" w:rsidRDefault="003B32F0" w:rsidP="003B32F0">
      <w:pPr>
        <w:spacing w:after="0"/>
        <w:ind w:left="360" w:right="360"/>
        <w:jc w:val="both"/>
      </w:pPr>
      <w:r w:rsidRPr="00C31C1D">
        <w:t>The Executive Summary include</w:t>
      </w:r>
      <w:r>
        <w:t>s:</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t>ll management of the agreement.</w:t>
      </w:r>
    </w:p>
    <w:p w14:paraId="404C574D" w14:textId="77777777" w:rsidR="003B32F0" w:rsidRDefault="003B32F0" w:rsidP="003B32F0">
      <w:pPr>
        <w:spacing w:after="0"/>
        <w:ind w:left="360" w:right="360"/>
        <w:jc w:val="both"/>
        <w:rPr>
          <w:b/>
        </w:rPr>
      </w:pPr>
    </w:p>
    <w:p w14:paraId="4BBDF9F1" w14:textId="77777777" w:rsidR="003B32F0" w:rsidRPr="007065BB" w:rsidRDefault="003B32F0" w:rsidP="00DC65CB">
      <w:pPr>
        <w:pStyle w:val="HeadingNew1"/>
        <w:numPr>
          <w:ilvl w:val="0"/>
          <w:numId w:val="34"/>
        </w:numPr>
        <w:ind w:left="360"/>
      </w:pPr>
      <w:r w:rsidRPr="007065BB">
        <w:t xml:space="preserve">Project Narrative Form (Attachment </w:t>
      </w:r>
      <w:r>
        <w:t>3</w:t>
      </w:r>
      <w:r w:rsidRPr="007065BB">
        <w:t xml:space="preserve">) </w:t>
      </w:r>
    </w:p>
    <w:p w14:paraId="522A6BA4" w14:textId="77777777" w:rsidR="003B32F0" w:rsidRPr="00142AAE" w:rsidRDefault="003B32F0" w:rsidP="003B32F0">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Section IV</w:t>
      </w:r>
      <w:r w:rsidRPr="00142AAE">
        <w:t>, including the following which must be addressed for both Applied Research &amp; Technology Demonstration projects:</w:t>
      </w:r>
    </w:p>
    <w:p w14:paraId="40704B4B" w14:textId="77777777" w:rsidR="003B32F0" w:rsidRPr="00142AAE" w:rsidRDefault="003B32F0" w:rsidP="00DC65CB">
      <w:pPr>
        <w:numPr>
          <w:ilvl w:val="1"/>
          <w:numId w:val="26"/>
        </w:numPr>
        <w:tabs>
          <w:tab w:val="left" w:pos="288"/>
        </w:tabs>
        <w:spacing w:after="0"/>
        <w:ind w:left="1350" w:hanging="450"/>
        <w:rPr>
          <w:rFonts w:eastAsia="MS Mincho"/>
        </w:rPr>
      </w:pPr>
      <w:r w:rsidRPr="00142AAE">
        <w:rPr>
          <w:rFonts w:eastAsia="MS Mincho"/>
          <w:b/>
        </w:rPr>
        <w:t>Group Specific Questions</w:t>
      </w:r>
      <w:r>
        <w:rPr>
          <w:rStyle w:val="EndnoteReference"/>
          <w:rFonts w:eastAsia="MS Mincho"/>
          <w:b/>
        </w:rPr>
        <w:endnoteReference w:id="1"/>
      </w:r>
    </w:p>
    <w:p w14:paraId="2F05587C" w14:textId="77777777" w:rsidR="003B32F0" w:rsidRPr="00142AAE" w:rsidRDefault="003B32F0" w:rsidP="00DC65CB">
      <w:pPr>
        <w:numPr>
          <w:ilvl w:val="2"/>
          <w:numId w:val="26"/>
        </w:numPr>
        <w:tabs>
          <w:tab w:val="left" w:pos="288"/>
        </w:tabs>
        <w:ind w:left="1886" w:hanging="446"/>
        <w:rPr>
          <w:rFonts w:eastAsia="MS Mincho" w:cs="Times New Roman"/>
          <w:sz w:val="24"/>
          <w:szCs w:val="24"/>
        </w:rPr>
      </w:pPr>
      <w:r w:rsidRPr="00142AAE">
        <w:rPr>
          <w:rFonts w:eastAsia="MS Mincho"/>
        </w:rPr>
        <w:t>Include required group specific information (see Section I.</w:t>
      </w:r>
      <w:r>
        <w:rPr>
          <w:rFonts w:eastAsia="MS Mincho"/>
        </w:rPr>
        <w:t>C.</w:t>
      </w:r>
      <w:r w:rsidRPr="00142AAE">
        <w:rPr>
          <w:rFonts w:eastAsia="MS Mincho" w:cs="Times New Roman"/>
          <w:sz w:val="24"/>
          <w:szCs w:val="24"/>
        </w:rPr>
        <w:t xml:space="preserve">) in the specified sections. </w:t>
      </w:r>
    </w:p>
    <w:p w14:paraId="7B205786" w14:textId="77777777" w:rsidR="003B32F0" w:rsidRPr="00142AAE" w:rsidRDefault="003B32F0" w:rsidP="00DC65CB">
      <w:pPr>
        <w:numPr>
          <w:ilvl w:val="1"/>
          <w:numId w:val="26"/>
        </w:numPr>
        <w:tabs>
          <w:tab w:val="left" w:pos="288"/>
        </w:tabs>
        <w:spacing w:after="0"/>
        <w:ind w:left="1350" w:hanging="450"/>
        <w:rPr>
          <w:rFonts w:eastAsia="MS Mincho" w:cs="Times New Roman"/>
          <w:sz w:val="24"/>
          <w:szCs w:val="24"/>
        </w:rPr>
      </w:pPr>
      <w:r w:rsidRPr="00142AAE">
        <w:rPr>
          <w:rFonts w:eastAsia="MS Mincho"/>
          <w:b/>
          <w:color w:val="000000"/>
          <w:szCs w:val="22"/>
        </w:rPr>
        <w:lastRenderedPageBreak/>
        <w:t>Project Readiness</w:t>
      </w:r>
    </w:p>
    <w:p w14:paraId="22CA9EA7" w14:textId="77777777" w:rsidR="003B32F0" w:rsidRPr="00453F01" w:rsidRDefault="003B32F0" w:rsidP="00DC65CB">
      <w:pPr>
        <w:numPr>
          <w:ilvl w:val="2"/>
          <w:numId w:val="26"/>
        </w:numPr>
        <w:tabs>
          <w:tab w:val="left" w:pos="288"/>
        </w:tabs>
        <w:spacing w:after="0"/>
        <w:ind w:left="1890" w:hanging="450"/>
        <w:rPr>
          <w:rFonts w:eastAsia="MS Mincho" w:cs="Times New Roman"/>
          <w:sz w:val="24"/>
          <w:szCs w:val="24"/>
        </w:rPr>
      </w:pPr>
      <w:r w:rsidRPr="721BCCCA">
        <w:rPr>
          <w:rFonts w:eastAsia="MS Mincho"/>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I.E).</w:t>
      </w:r>
      <w:r w:rsidRPr="00453F01">
        <w:t xml:space="preserve"> All supporting documentation must be included in Attachment 8.</w:t>
      </w:r>
    </w:p>
    <w:p w14:paraId="52352098" w14:textId="77777777" w:rsidR="003B32F0" w:rsidRPr="00C31C1D" w:rsidRDefault="003B32F0" w:rsidP="003B32F0">
      <w:pPr>
        <w:spacing w:after="0"/>
        <w:ind w:left="770" w:right="360"/>
        <w:jc w:val="both"/>
        <w:rPr>
          <w:b/>
        </w:rPr>
      </w:pPr>
    </w:p>
    <w:p w14:paraId="5B303C56" w14:textId="77777777" w:rsidR="003B32F0" w:rsidRPr="007065BB" w:rsidRDefault="003B32F0" w:rsidP="00DC65CB">
      <w:pPr>
        <w:pStyle w:val="HeadingNew1"/>
        <w:numPr>
          <w:ilvl w:val="0"/>
          <w:numId w:val="34"/>
        </w:numPr>
        <w:ind w:left="360"/>
      </w:pPr>
      <w:r w:rsidRPr="007065BB">
        <w:t xml:space="preserve">Project Team Form (Attachment </w:t>
      </w:r>
      <w:r>
        <w:t>4</w:t>
      </w:r>
      <w:r w:rsidRPr="007065BB">
        <w:t>)</w:t>
      </w:r>
    </w:p>
    <w:p w14:paraId="64879644" w14:textId="77777777" w:rsidR="003B32F0" w:rsidRPr="00C31C1D" w:rsidRDefault="003B32F0" w:rsidP="003B32F0">
      <w:pPr>
        <w:keepLines/>
        <w:widowControl w:val="0"/>
        <w:tabs>
          <w:tab w:val="left" w:pos="1170"/>
        </w:tabs>
        <w:spacing w:after="0"/>
        <w:ind w:left="360"/>
        <w:jc w:val="both"/>
        <w:rPr>
          <w:szCs w:val="22"/>
        </w:rPr>
      </w:pPr>
      <w:r w:rsidRPr="58392BF8">
        <w:t>Identify by name all key personnel</w:t>
      </w:r>
      <w:r w:rsidRPr="58392BF8">
        <w:rPr>
          <w:rStyle w:val="FootnoteReference"/>
        </w:rPr>
        <w:footnoteReference w:id="20"/>
      </w:r>
      <w:r w:rsidRPr="58392BF8">
        <w:t xml:space="preserve"> assigned to the project, including the project manager and principal investigator (if applicable)</w:t>
      </w:r>
      <w:r>
        <w:rPr>
          <w:szCs w:val="22"/>
        </w:rPr>
        <w:t xml:space="preserve">, </w:t>
      </w:r>
      <w:r w:rsidRPr="58392BF8">
        <w:t>and individuals employed by any major subcontractor (a major subcontractor is a subcontractor receiving at least 25% of Commission funds or $100,000, whichever is less)</w:t>
      </w:r>
      <w:r>
        <w:rPr>
          <w:szCs w:val="22"/>
        </w:rPr>
        <w:t xml:space="preserve">. </w:t>
      </w:r>
      <w:r w:rsidRPr="58392BF8">
        <w:t>Clearly describe their individual areas of responsibility.</w:t>
      </w:r>
      <w:r w:rsidRPr="00C31C1D">
        <w:rPr>
          <w:szCs w:val="22"/>
        </w:rPr>
        <w:t xml:space="preserve"> </w:t>
      </w:r>
      <w:r w:rsidRPr="58392BF8">
        <w:t>Include the information required for each individual, including</w:t>
      </w:r>
      <w:r w:rsidRPr="00C31C1D">
        <w:rPr>
          <w:szCs w:val="22"/>
        </w:rPr>
        <w:t xml:space="preserve"> </w:t>
      </w:r>
      <w:r w:rsidRPr="58392BF8">
        <w:t>a resume (maximum two pages</w:t>
      </w:r>
      <w:r w:rsidRPr="00C31C1D">
        <w:rPr>
          <w:szCs w:val="22"/>
        </w:rPr>
        <w:t xml:space="preserve">, </w:t>
      </w:r>
      <w:r w:rsidRPr="58392BF8">
        <w:t>printed double-sided)</w:t>
      </w:r>
      <w:r w:rsidRPr="00C31C1D">
        <w:rPr>
          <w:szCs w:val="22"/>
        </w:rPr>
        <w:t>.</w:t>
      </w:r>
    </w:p>
    <w:p w14:paraId="409CA58A" w14:textId="77777777" w:rsidR="003B32F0" w:rsidRDefault="003B32F0" w:rsidP="003B32F0">
      <w:pPr>
        <w:keepLines/>
        <w:widowControl w:val="0"/>
        <w:spacing w:after="0"/>
        <w:ind w:left="360"/>
        <w:jc w:val="both"/>
        <w:rPr>
          <w:b/>
          <w:szCs w:val="22"/>
        </w:rPr>
      </w:pPr>
    </w:p>
    <w:p w14:paraId="54877C1E" w14:textId="77777777" w:rsidR="003B32F0" w:rsidRPr="007065BB" w:rsidRDefault="003B32F0" w:rsidP="00DC65CB">
      <w:pPr>
        <w:pStyle w:val="HeadingNew1"/>
        <w:numPr>
          <w:ilvl w:val="0"/>
          <w:numId w:val="34"/>
        </w:numPr>
        <w:ind w:left="360"/>
      </w:pPr>
      <w:r w:rsidRPr="007065BB">
        <w:t xml:space="preserve">Scope of Work Template (Attachments </w:t>
      </w:r>
      <w:r>
        <w:t>5</w:t>
      </w:r>
      <w:r w:rsidRPr="007065BB">
        <w:t>)</w:t>
      </w:r>
    </w:p>
    <w:p w14:paraId="6CB174B2" w14:textId="77777777" w:rsidR="003B32F0" w:rsidRPr="00C31C1D" w:rsidRDefault="003B32F0" w:rsidP="003B32F0">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t xml:space="preserve">See requirements in section III.A. </w:t>
      </w:r>
    </w:p>
    <w:p w14:paraId="6ED6BCC8" w14:textId="77777777" w:rsidR="003B32F0" w:rsidRPr="00C31C1D" w:rsidRDefault="003B32F0" w:rsidP="003B32F0">
      <w:pPr>
        <w:pStyle w:val="BulletedList"/>
        <w:spacing w:after="0"/>
        <w:ind w:left="720" w:firstLine="0"/>
        <w:jc w:val="both"/>
      </w:pPr>
    </w:p>
    <w:p w14:paraId="3F15490E" w14:textId="77777777" w:rsidR="003B32F0" w:rsidRPr="00142AAE" w:rsidRDefault="003B32F0" w:rsidP="003B32F0">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t xml:space="preserve">must be in </w:t>
      </w:r>
      <w:r w:rsidRPr="00C17EB0">
        <w:rPr>
          <w:b/>
        </w:rPr>
        <w:t>MS</w:t>
      </w:r>
      <w:r>
        <w:rPr>
          <w:b/>
        </w:rPr>
        <w:t xml:space="preserve"> </w:t>
      </w:r>
      <w:r w:rsidRPr="00C17EB0">
        <w:rPr>
          <w:b/>
        </w:rPr>
        <w:t>Word</w:t>
      </w:r>
      <w:r>
        <w:t xml:space="preserve"> file format</w:t>
      </w:r>
      <w:r>
        <w:rPr>
          <w:b/>
        </w:rPr>
        <w:t>.</w:t>
      </w:r>
    </w:p>
    <w:p w14:paraId="2EA0766E" w14:textId="77777777" w:rsidR="003B32F0" w:rsidRPr="00C31C1D" w:rsidRDefault="003B32F0" w:rsidP="003B32F0">
      <w:pPr>
        <w:pStyle w:val="BulletedList"/>
        <w:spacing w:after="0"/>
        <w:ind w:left="720" w:firstLine="0"/>
        <w:jc w:val="both"/>
        <w:rPr>
          <w:b/>
        </w:rPr>
      </w:pPr>
    </w:p>
    <w:p w14:paraId="5CEC135B" w14:textId="77777777" w:rsidR="003B32F0" w:rsidRDefault="003B32F0" w:rsidP="00DC65CB">
      <w:pPr>
        <w:pStyle w:val="HeadingNew1"/>
        <w:numPr>
          <w:ilvl w:val="0"/>
          <w:numId w:val="34"/>
        </w:numPr>
        <w:ind w:left="360"/>
      </w:pPr>
      <w:bookmarkStart w:id="124" w:name="_Toc35074602"/>
      <w:r>
        <w:t>Project Schedule (Attachment 6)</w:t>
      </w:r>
    </w:p>
    <w:p w14:paraId="67AF6924" w14:textId="77777777" w:rsidR="003B32F0" w:rsidRDefault="003B32F0" w:rsidP="003B32F0">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Pr>
          <w:b w:val="0"/>
        </w:rPr>
        <w:t>by the “Key Dates” section of this solicitation manual</w:t>
      </w:r>
      <w:r w:rsidRPr="003B24B0">
        <w:rPr>
          <w:b w:val="0"/>
        </w:rPr>
        <w:t>.</w:t>
      </w:r>
    </w:p>
    <w:p w14:paraId="4F61772C" w14:textId="77777777" w:rsidR="003B32F0" w:rsidRPr="00CC1385" w:rsidRDefault="003B32F0" w:rsidP="003B32F0">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6925BECE" w14:textId="77777777" w:rsidR="003B32F0" w:rsidRPr="007065BB" w:rsidRDefault="003B32F0" w:rsidP="00DC65CB">
      <w:pPr>
        <w:pStyle w:val="HeadingNew1"/>
        <w:numPr>
          <w:ilvl w:val="0"/>
          <w:numId w:val="34"/>
        </w:numPr>
        <w:ind w:left="360"/>
      </w:pPr>
      <w:r w:rsidRPr="007065BB">
        <w:t>Budget Forms (Attachment 7)</w:t>
      </w:r>
    </w:p>
    <w:bookmarkEnd w:id="124"/>
    <w:p w14:paraId="6815CD49" w14:textId="77777777" w:rsidR="003B32F0" w:rsidRPr="004D354D" w:rsidRDefault="003B32F0" w:rsidP="003B32F0">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7714B4E" w14:textId="77777777" w:rsidR="003B32F0" w:rsidRDefault="003B32F0" w:rsidP="00DC65CB">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4062A463" w14:textId="77777777" w:rsidR="003B32F0" w:rsidRDefault="003B32F0" w:rsidP="00DC65CB">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23493485" w14:textId="77777777" w:rsidR="003B32F0" w:rsidRDefault="003B32F0" w:rsidP="00DC65CB">
      <w:pPr>
        <w:keepLines/>
        <w:numPr>
          <w:ilvl w:val="0"/>
          <w:numId w:val="12"/>
        </w:numPr>
        <w:tabs>
          <w:tab w:val="left" w:pos="1080"/>
        </w:tabs>
        <w:spacing w:after="60"/>
        <w:ind w:left="1080"/>
        <w:jc w:val="both"/>
        <w:rPr>
          <w:szCs w:val="22"/>
        </w:rPr>
      </w:pPr>
      <w:r w:rsidRPr="00C31C1D">
        <w:rPr>
          <w:szCs w:val="22"/>
        </w:rPr>
        <w:lastRenderedPageBreak/>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4A70A1E4" w14:textId="77777777" w:rsidR="003B32F0" w:rsidRDefault="003B32F0" w:rsidP="00DC65CB">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(subcontractor profit is allowable, though the maximum percentage allowed is 10 % of </w:t>
      </w:r>
      <w:r w:rsidRPr="00DF20D4">
        <w:rPr>
          <w:szCs w:val="22"/>
        </w:rPr>
        <w:t>the total subcontractor rates for labor, and other direct and indirect costs as indicated in the Category Budget form</w:t>
      </w:r>
      <w:r>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5DFF7DEB" w14:textId="77777777" w:rsidR="003B32F0" w:rsidRDefault="003B32F0" w:rsidP="00DC65CB">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Pr>
          <w:szCs w:val="22"/>
        </w:rPr>
        <w:t>CEC</w:t>
      </w:r>
      <w:r w:rsidRPr="00C31C1D">
        <w:rPr>
          <w:szCs w:val="22"/>
        </w:rPr>
        <w:t xml:space="preserve"> </w:t>
      </w:r>
      <w:r>
        <w:rPr>
          <w:szCs w:val="22"/>
        </w:rPr>
        <w:t>or by conference call, as determined by the Commission Agreement Manager</w:t>
      </w:r>
      <w:r w:rsidRPr="00C31C1D">
        <w:rPr>
          <w:szCs w:val="22"/>
        </w:rPr>
        <w:t>.</w:t>
      </w:r>
    </w:p>
    <w:p w14:paraId="2D8E9543" w14:textId="77777777" w:rsidR="003B32F0" w:rsidRDefault="003B32F0" w:rsidP="00DC65CB">
      <w:pPr>
        <w:keepLines/>
        <w:widowControl w:val="0"/>
        <w:numPr>
          <w:ilvl w:val="0"/>
          <w:numId w:val="12"/>
        </w:numPr>
        <w:spacing w:after="60"/>
        <w:ind w:left="1080"/>
        <w:jc w:val="both"/>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w:t>
      </w:r>
      <w:r w:rsidRPr="002B474F">
        <w:rPr>
          <w:szCs w:val="22"/>
        </w:rPr>
        <w:t>Permit costs and the expenses associated with obtaining permits are not reimbursable under this Agreement</w:t>
      </w:r>
      <w:r>
        <w:rPr>
          <w:szCs w:val="22"/>
        </w:rPr>
        <w:t xml:space="preserve"> with CEC funds</w:t>
      </w:r>
      <w:r w:rsidRPr="002B474F">
        <w:rPr>
          <w:szCs w:val="22"/>
        </w:rPr>
        <w:t>, with the exception of costs incurred by University of California recipients.</w:t>
      </w:r>
      <w:r>
        <w:rPr>
          <w:szCs w:val="22"/>
        </w:rPr>
        <w:t xml:space="preserve"> </w:t>
      </w:r>
    </w:p>
    <w:p w14:paraId="5200EC9A" w14:textId="77777777" w:rsidR="003B32F0" w:rsidRPr="00A16CE4" w:rsidRDefault="003B32F0" w:rsidP="00DC65CB">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Pr>
          <w:bCs/>
        </w:rPr>
        <w:t>-</w:t>
      </w:r>
      <w:r w:rsidRPr="003A4967">
        <w:rPr>
          <w:bCs/>
        </w:rPr>
        <w:t>of</w:t>
      </w:r>
      <w:r>
        <w:rPr>
          <w:bCs/>
        </w:rPr>
        <w:t>-</w:t>
      </w:r>
      <w:r w:rsidRPr="003A4967">
        <w:rPr>
          <w:bCs/>
        </w:rPr>
        <w:t>country travel.  However, match funds may cover these costs if there are no legal restrictions.</w:t>
      </w:r>
    </w:p>
    <w:p w14:paraId="0881B1CE" w14:textId="77777777" w:rsidR="003B32F0" w:rsidRPr="003A4967" w:rsidRDefault="003B32F0" w:rsidP="00DC65CB">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p>
    <w:p w14:paraId="728EE7DA" w14:textId="77777777" w:rsidR="003B32F0" w:rsidRPr="00AD2D4A" w:rsidRDefault="003B32F0" w:rsidP="00DC65CB">
      <w:pPr>
        <w:keepLines/>
        <w:widowControl w:val="0"/>
        <w:numPr>
          <w:ilvl w:val="0"/>
          <w:numId w:val="12"/>
        </w:numPr>
        <w:spacing w:after="60"/>
        <w:ind w:left="1080"/>
        <w:jc w:val="both"/>
        <w:rPr>
          <w:bCs/>
        </w:rPr>
      </w:pPr>
      <w:r w:rsidRPr="00A8248C">
        <w:rPr>
          <w:b/>
          <w:szCs w:val="22"/>
        </w:rPr>
        <w:t>Prevailing wage requirement:</w:t>
      </w:r>
      <w:r>
        <w:rPr>
          <w:szCs w:val="22"/>
        </w:rPr>
        <w:t xml:space="preserve"> </w:t>
      </w:r>
      <w:r w:rsidRPr="00DF34CF">
        <w:rPr>
          <w:bCs/>
        </w:rPr>
        <w:t xml:space="preserve">Projects that receive an award of public funds from the </w:t>
      </w:r>
      <w:r>
        <w:rPr>
          <w:bCs/>
        </w:rPr>
        <w:t>CEC</w:t>
      </w:r>
      <w:r w:rsidRPr="00DF34CF">
        <w:rPr>
          <w:bCs/>
        </w:rPr>
        <w:t xml:space="preserve"> often involve construction, alteration, demolition, installation, repair or maintenance work over $1,000. </w:t>
      </w:r>
      <w:r>
        <w:rPr>
          <w:bCs/>
        </w:rPr>
        <w:t xml:space="preserve"> For this reason, p</w:t>
      </w:r>
      <w:r w:rsidRPr="00DF34CF">
        <w:rPr>
          <w:bCs/>
        </w:rPr>
        <w:t xml:space="preserve">rojects that receive an award of public funds from the </w:t>
      </w:r>
      <w:r>
        <w:rPr>
          <w:bCs/>
        </w:rPr>
        <w:t>CEC</w:t>
      </w:r>
      <w:r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Pr>
          <w:bCs/>
        </w:rPr>
        <w:t>.</w:t>
      </w:r>
    </w:p>
    <w:p w14:paraId="6F6182FD" w14:textId="77777777" w:rsidR="003B32F0" w:rsidRDefault="003B32F0" w:rsidP="003B32F0">
      <w:pPr>
        <w:keepLines/>
        <w:widowControl w:val="0"/>
        <w:spacing w:after="60"/>
        <w:ind w:left="1080"/>
        <w:jc w:val="both"/>
        <w:rPr>
          <w:bCs/>
        </w:rPr>
      </w:pPr>
    </w:p>
    <w:p w14:paraId="0AEB1A3A" w14:textId="77777777" w:rsidR="003B32F0" w:rsidRDefault="003B32F0" w:rsidP="003B32F0">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7859CF5A" w14:textId="77777777" w:rsidR="003B32F0" w:rsidRDefault="003B32F0" w:rsidP="003B32F0">
      <w:pPr>
        <w:keepLines/>
        <w:widowControl w:val="0"/>
        <w:spacing w:after="60"/>
        <w:ind w:left="1080"/>
        <w:jc w:val="both"/>
        <w:rPr>
          <w:bCs/>
        </w:rPr>
      </w:pPr>
    </w:p>
    <w:p w14:paraId="287496F3" w14:textId="77777777" w:rsidR="003B32F0" w:rsidRDefault="003B32F0" w:rsidP="003B32F0">
      <w:pPr>
        <w:keepNext/>
        <w:keepLines/>
        <w:widowControl w:val="0"/>
        <w:autoSpaceDE w:val="0"/>
        <w:autoSpaceDN w:val="0"/>
        <w:adjustRightInd w:val="0"/>
        <w:ind w:left="1440"/>
        <w:rPr>
          <w:rFonts w:eastAsia="Calibri"/>
        </w:rPr>
      </w:pPr>
      <w:r>
        <w:rPr>
          <w:rFonts w:eastAsia="Calibri"/>
        </w:rPr>
        <w:t>By accepting this grant, Recipient as a material term of this agreement shall be fully responsible for complying with all California public works requirements including but not limited to payment of prevailing wage.  Therefore, a</w:t>
      </w:r>
      <w:r>
        <w:t>s a material term of this</w:t>
      </w:r>
      <w:r w:rsidRPr="00C87368">
        <w:t xml:space="preserve"> </w:t>
      </w:r>
      <w:r>
        <w:t>grant,</w:t>
      </w:r>
      <w:r w:rsidRPr="00C87368">
        <w:t xml:space="preserve"> </w:t>
      </w:r>
      <w:r>
        <w:rPr>
          <w:rFonts w:eastAsia="Calibri"/>
        </w:rPr>
        <w:t>Recipient</w:t>
      </w:r>
      <w:r w:rsidRPr="003E3EB6">
        <w:rPr>
          <w:rFonts w:eastAsia="Calibri"/>
        </w:rPr>
        <w:t xml:space="preserve"> must </w:t>
      </w:r>
      <w:r>
        <w:rPr>
          <w:rFonts w:eastAsia="Calibri"/>
        </w:rPr>
        <w:t>either:</w:t>
      </w:r>
    </w:p>
    <w:p w14:paraId="1BCFA772" w14:textId="5403C756" w:rsidR="003B32F0" w:rsidRDefault="003B32F0" w:rsidP="003B32F0">
      <w:pPr>
        <w:keepNext/>
        <w:keepLines/>
        <w:widowControl w:val="0"/>
        <w:autoSpaceDE w:val="0"/>
        <w:autoSpaceDN w:val="0"/>
        <w:adjustRightInd w:val="0"/>
        <w:ind w:left="720" w:firstLine="720"/>
        <w:rPr>
          <w:rFonts w:eastAsia="Calibri"/>
        </w:rPr>
      </w:pPr>
      <w:r>
        <w:rPr>
          <w:rFonts w:eastAsia="Calibri"/>
        </w:rPr>
        <w:t xml:space="preserve">(a) </w:t>
      </w:r>
      <w:r w:rsidR="00B570C0">
        <w:rPr>
          <w:rFonts w:eastAsia="Calibri"/>
        </w:rPr>
        <w:tab/>
      </w:r>
      <w:r>
        <w:rPr>
          <w:rFonts w:eastAsia="Calibri"/>
        </w:rPr>
        <w:t xml:space="preserve">Proceed on the assumption that the project is a public work and </w:t>
      </w:r>
      <w:r w:rsidRPr="003E3EB6">
        <w:rPr>
          <w:rFonts w:eastAsia="Calibri"/>
        </w:rPr>
        <w:t>ensure that</w:t>
      </w:r>
      <w:r>
        <w:rPr>
          <w:rFonts w:eastAsia="Calibri"/>
        </w:rPr>
        <w:t>:</w:t>
      </w:r>
      <w:r w:rsidRPr="003E3EB6">
        <w:rPr>
          <w:rFonts w:eastAsia="Calibri"/>
        </w:rPr>
        <w:t xml:space="preserve"> </w:t>
      </w:r>
    </w:p>
    <w:p w14:paraId="0857789D" w14:textId="77777777" w:rsidR="003B32F0" w:rsidRPr="006E2AF3" w:rsidRDefault="003B32F0" w:rsidP="00DC65CB">
      <w:pPr>
        <w:keepLines/>
        <w:widowControl w:val="0"/>
        <w:numPr>
          <w:ilvl w:val="0"/>
          <w:numId w:val="35"/>
        </w:numPr>
        <w:autoSpaceDE w:val="0"/>
        <w:autoSpaceDN w:val="0"/>
        <w:adjustRightInd w:val="0"/>
        <w:ind w:left="2160"/>
        <w:rPr>
          <w:rFonts w:ascii="ArialMT" w:eastAsia="Calibri" w:hAnsi="ArialMT" w:cs="ArialMT"/>
        </w:rPr>
      </w:pPr>
      <w:r w:rsidRPr="003E3EB6">
        <w:rPr>
          <w:rFonts w:eastAsia="Calibri"/>
        </w:rPr>
        <w:t>prevailing wages are paid</w:t>
      </w:r>
      <w:r>
        <w:rPr>
          <w:rFonts w:eastAsia="Calibri"/>
        </w:rPr>
        <w:t>;</w:t>
      </w:r>
      <w:r w:rsidRPr="003E3EB6">
        <w:rPr>
          <w:rFonts w:eastAsia="Calibri"/>
        </w:rPr>
        <w:t xml:space="preserve"> </w:t>
      </w:r>
      <w:r>
        <w:rPr>
          <w:rFonts w:eastAsia="Calibri"/>
        </w:rPr>
        <w:t>and</w:t>
      </w:r>
    </w:p>
    <w:p w14:paraId="1EBADB5B" w14:textId="77777777" w:rsidR="003B32F0" w:rsidRDefault="003B32F0" w:rsidP="00DC65CB">
      <w:pPr>
        <w:keepLines/>
        <w:widowControl w:val="0"/>
        <w:numPr>
          <w:ilvl w:val="0"/>
          <w:numId w:val="35"/>
        </w:numPr>
        <w:autoSpaceDE w:val="0"/>
        <w:autoSpaceDN w:val="0"/>
        <w:adjustRightInd w:val="0"/>
        <w:ind w:left="2160"/>
        <w:rPr>
          <w:rFonts w:ascii="ArialMT" w:eastAsia="Calibri" w:hAnsi="ArialMT" w:cs="ArialMT"/>
        </w:rPr>
      </w:pPr>
      <w:r w:rsidRPr="003E3EB6">
        <w:rPr>
          <w:rFonts w:eastAsia="Calibri"/>
        </w:rPr>
        <w:t>the project budget for labor reflects these prev</w:t>
      </w:r>
      <w:r>
        <w:rPr>
          <w:rFonts w:ascii="ArialMT" w:eastAsia="Calibri" w:hAnsi="ArialMT" w:cs="ArialMT"/>
        </w:rPr>
        <w:t xml:space="preserve">ailing wage requirements; and </w:t>
      </w:r>
    </w:p>
    <w:p w14:paraId="017DEE01" w14:textId="77777777" w:rsidR="003B32F0" w:rsidRDefault="003B32F0" w:rsidP="00DC65CB">
      <w:pPr>
        <w:keepLines/>
        <w:widowControl w:val="0"/>
        <w:numPr>
          <w:ilvl w:val="0"/>
          <w:numId w:val="35"/>
        </w:numPr>
        <w:autoSpaceDE w:val="0"/>
        <w:autoSpaceDN w:val="0"/>
        <w:adjustRightInd w:val="0"/>
        <w:ind w:left="2160"/>
        <w:rPr>
          <w:rFonts w:ascii="ArialMT" w:eastAsia="Calibri" w:hAnsi="ArialMT" w:cs="ArialMT"/>
        </w:rPr>
      </w:pPr>
      <w:r>
        <w:rPr>
          <w:rFonts w:ascii="ArialMT" w:eastAsia="Calibri" w:hAnsi="ArialMT" w:cs="ArialMT"/>
        </w:rPr>
        <w:lastRenderedPageBreak/>
        <w:t xml:space="preserve">the project complies with all other requirements of prevailing wage law including but not limited to keeping accurate payroll records, and complying with all working hour requirements and apprenticeship obligations; </w:t>
      </w:r>
    </w:p>
    <w:p w14:paraId="57205BD4" w14:textId="77777777" w:rsidR="003B32F0" w:rsidRDefault="003B32F0" w:rsidP="003B32F0">
      <w:pPr>
        <w:pStyle w:val="ListParagraph"/>
        <w:keepLines/>
        <w:widowControl w:val="0"/>
        <w:rPr>
          <w:rFonts w:ascii="ArialMT" w:eastAsia="Calibri" w:hAnsi="ArialMT" w:cs="ArialMT"/>
        </w:rPr>
      </w:pPr>
      <w:r>
        <w:rPr>
          <w:rFonts w:ascii="ArialMT" w:eastAsia="Calibri" w:hAnsi="ArialMT" w:cs="ArialMT"/>
        </w:rPr>
        <w:t>or,</w:t>
      </w:r>
    </w:p>
    <w:p w14:paraId="0F6FA817" w14:textId="7446A293" w:rsidR="003B32F0" w:rsidRPr="00DF34CF" w:rsidRDefault="003B32F0" w:rsidP="003B32F0">
      <w:pPr>
        <w:keepLines/>
        <w:widowControl w:val="0"/>
        <w:spacing w:after="60"/>
        <w:ind w:left="1080"/>
        <w:jc w:val="both"/>
        <w:rPr>
          <w:bCs/>
        </w:rPr>
      </w:pPr>
      <w:r>
        <w:rPr>
          <w:rFonts w:eastAsia="Calibri"/>
        </w:rPr>
        <w:t xml:space="preserve"> (b)</w:t>
      </w:r>
      <w:r w:rsidR="00B570C0">
        <w:rPr>
          <w:rFonts w:ascii="ArialMT" w:eastAsia="Calibri" w:hAnsi="ArialMT" w:cs="ArialMT"/>
        </w:rPr>
        <w:tab/>
      </w:r>
      <w:r w:rsidR="00B570C0">
        <w:rPr>
          <w:rFonts w:ascii="ArialMT" w:eastAsia="Calibri" w:hAnsi="ArialMT" w:cs="ArialMT"/>
        </w:rPr>
        <w:tab/>
      </w:r>
      <w:r>
        <w:rPr>
          <w:rFonts w:ascii="ArialMT" w:eastAsia="Calibri" w:hAnsi="ArialMT" w:cs="ArialMT"/>
        </w:rPr>
        <w:t>T</w:t>
      </w:r>
      <w:r>
        <w:rPr>
          <w:rFonts w:eastAsia="Calibri"/>
        </w:rPr>
        <w:t>imely obtain a legally binding determination</w:t>
      </w:r>
      <w:r w:rsidRPr="003E3EB6">
        <w:rPr>
          <w:rFonts w:eastAsia="Calibri"/>
        </w:rPr>
        <w:t xml:space="preserve"> </w:t>
      </w:r>
      <w:r>
        <w:rPr>
          <w:rFonts w:eastAsia="Calibri"/>
        </w:rPr>
        <w:t>from the Department of Industrial Relations or a court of competent jurisdiction before work begins on the project that</w:t>
      </w:r>
      <w:r w:rsidRPr="003E3EB6">
        <w:rPr>
          <w:rFonts w:eastAsia="Calibri"/>
        </w:rPr>
        <w:t xml:space="preserve"> the proposed project is </w:t>
      </w:r>
      <w:r>
        <w:rPr>
          <w:rFonts w:eastAsia="Calibri"/>
        </w:rPr>
        <w:t xml:space="preserve">not </w:t>
      </w:r>
      <w:r w:rsidRPr="003E3EB6">
        <w:rPr>
          <w:rFonts w:eastAsia="Calibri"/>
        </w:rPr>
        <w:t>a public work</w:t>
      </w:r>
      <w:r>
        <w:rPr>
          <w:rFonts w:eastAsia="Calibri"/>
        </w:rPr>
        <w:t>.</w:t>
      </w:r>
    </w:p>
    <w:p w14:paraId="499031A7" w14:textId="77777777" w:rsidR="003B32F0" w:rsidRPr="00424A73" w:rsidRDefault="003B32F0" w:rsidP="003B32F0">
      <w:pPr>
        <w:keepLines/>
        <w:widowControl w:val="0"/>
        <w:spacing w:after="0"/>
        <w:ind w:left="1440"/>
        <w:jc w:val="both"/>
        <w:rPr>
          <w:szCs w:val="22"/>
        </w:rPr>
      </w:pPr>
    </w:p>
    <w:p w14:paraId="3BCDAF75" w14:textId="77777777" w:rsidR="003B32F0" w:rsidRPr="007065BB" w:rsidRDefault="003B32F0" w:rsidP="00DC65CB">
      <w:pPr>
        <w:pStyle w:val="HeadingNew1"/>
        <w:numPr>
          <w:ilvl w:val="0"/>
          <w:numId w:val="34"/>
        </w:numPr>
        <w:ind w:left="360"/>
      </w:pPr>
      <w:r w:rsidRPr="007065BB">
        <w:t>California Environmental Quality Act (CEQA) Compliance Form</w:t>
      </w:r>
      <w:r w:rsidRPr="007065BB" w:rsidDel="00E3682B">
        <w:t xml:space="preserve"> </w:t>
      </w:r>
      <w:r w:rsidRPr="007065BB">
        <w:t>(Attachment 8)</w:t>
      </w:r>
    </w:p>
    <w:p w14:paraId="5CD0E289" w14:textId="77777777" w:rsidR="003B32F0" w:rsidRPr="0075281F" w:rsidRDefault="003B32F0" w:rsidP="003B32F0">
      <w:pPr>
        <w:keepLines/>
        <w:widowControl w:val="0"/>
        <w:spacing w:after="0"/>
        <w:ind w:left="720"/>
        <w:jc w:val="both"/>
        <w:rPr>
          <w:i/>
          <w:szCs w:val="22"/>
        </w:rPr>
      </w:pPr>
      <w:r w:rsidRPr="00424A73">
        <w:rPr>
          <w:szCs w:val="22"/>
        </w:rPr>
        <w:t xml:space="preserve">The </w:t>
      </w:r>
      <w:r>
        <w:rPr>
          <w:szCs w:val="22"/>
        </w:rPr>
        <w:t>CEC</w:t>
      </w:r>
      <w:r w:rsidRPr="00424A73">
        <w:rPr>
          <w:szCs w:val="22"/>
        </w:rPr>
        <w:t xml:space="preserve"> requires the information on this form to facilitate its evaluation of </w:t>
      </w:r>
      <w:r>
        <w:rPr>
          <w:szCs w:val="22"/>
        </w:rPr>
        <w:t>proposed activities</w:t>
      </w:r>
      <w:r w:rsidRPr="00424A73">
        <w:rPr>
          <w:szCs w:val="22"/>
        </w:rPr>
        <w:t xml:space="preserve"> under CEQA (</w:t>
      </w:r>
      <w:r>
        <w:rPr>
          <w:szCs w:val="22"/>
        </w:rPr>
        <w:t xml:space="preserve">California </w:t>
      </w:r>
      <w:r w:rsidRPr="00424A73">
        <w:rPr>
          <w:szCs w:val="22"/>
        </w:rPr>
        <w:t xml:space="preserve">Public Resources Code Section 21000 et. seq.), a law that requires state and local agencies in California to </w:t>
      </w:r>
      <w:r>
        <w:rPr>
          <w:szCs w:val="22"/>
        </w:rPr>
        <w:t xml:space="preserve">assess the potential </w:t>
      </w:r>
      <w:r w:rsidRPr="00424A73">
        <w:rPr>
          <w:szCs w:val="22"/>
        </w:rPr>
        <w:t xml:space="preserve">environmental impacts of their </w:t>
      </w:r>
      <w:r>
        <w:rPr>
          <w:szCs w:val="22"/>
        </w:rPr>
        <w:t xml:space="preserve">proposed </w:t>
      </w:r>
      <w:r w:rsidRPr="00424A73">
        <w:rPr>
          <w:szCs w:val="22"/>
        </w:rPr>
        <w:t xml:space="preserve">actions. The form will also help applicants to determine CEQA compliance obligations by identifying which </w:t>
      </w:r>
      <w:r>
        <w:rPr>
          <w:szCs w:val="22"/>
        </w:rPr>
        <w:t xml:space="preserve">proposed activities </w:t>
      </w:r>
      <w:r w:rsidRPr="00424A73">
        <w:rPr>
          <w:szCs w:val="22"/>
        </w:rPr>
        <w:t>may</w:t>
      </w:r>
      <w:r>
        <w:rPr>
          <w:szCs w:val="22"/>
        </w:rPr>
        <w:t xml:space="preserve"> be exempt from </w:t>
      </w:r>
      <w:r w:rsidRPr="00424A73">
        <w:rPr>
          <w:szCs w:val="22"/>
        </w:rPr>
        <w:t>CEQA</w:t>
      </w:r>
      <w:r>
        <w:rPr>
          <w:szCs w:val="22"/>
        </w:rPr>
        <w:t xml:space="preserve"> and which activities may require additional environmental review</w:t>
      </w:r>
      <w:r w:rsidRPr="00424A73">
        <w:rPr>
          <w:szCs w:val="22"/>
        </w:rPr>
        <w:t xml:space="preserve">. If </w:t>
      </w:r>
      <w:r>
        <w:rPr>
          <w:szCs w:val="22"/>
        </w:rPr>
        <w:t xml:space="preserve">proposed </w:t>
      </w:r>
      <w:r w:rsidRPr="00424A73">
        <w:rPr>
          <w:szCs w:val="22"/>
        </w:rPr>
        <w:t>activities</w:t>
      </w:r>
      <w:r>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548F831A" w14:textId="77777777" w:rsidR="003B32F0" w:rsidRPr="00C31C1D" w:rsidRDefault="003B32F0" w:rsidP="003B32F0">
      <w:pPr>
        <w:keepLines/>
        <w:widowControl w:val="0"/>
        <w:spacing w:after="0"/>
        <w:ind w:left="720"/>
        <w:jc w:val="both"/>
        <w:rPr>
          <w:szCs w:val="22"/>
        </w:rPr>
      </w:pPr>
    </w:p>
    <w:p w14:paraId="20A5546A" w14:textId="77777777" w:rsidR="003B32F0" w:rsidRPr="00C31C1D" w:rsidRDefault="003B32F0" w:rsidP="003B32F0">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CEC’s Notice of Proposed Award </w:t>
      </w:r>
      <w:r w:rsidRPr="00C31C1D">
        <w:rPr>
          <w:szCs w:val="22"/>
        </w:rPr>
        <w:t xml:space="preserve">may result in </w:t>
      </w:r>
      <w:r>
        <w:rPr>
          <w:szCs w:val="22"/>
        </w:rPr>
        <w:t xml:space="preserve">the </w:t>
      </w:r>
      <w:r w:rsidRPr="00C31C1D">
        <w:rPr>
          <w:szCs w:val="22"/>
        </w:rPr>
        <w:t>cancellation of</w:t>
      </w:r>
      <w:r>
        <w:rPr>
          <w:szCs w:val="22"/>
        </w:rPr>
        <w:t xml:space="preserve"> a</w:t>
      </w:r>
      <w:r w:rsidRPr="00C31C1D">
        <w:rPr>
          <w:szCs w:val="22"/>
        </w:rPr>
        <w:t xml:space="preserve"> </w:t>
      </w:r>
      <w:r>
        <w:rPr>
          <w:szCs w:val="22"/>
        </w:rPr>
        <w:t>proposed</w:t>
      </w:r>
      <w:r w:rsidRPr="00C31C1D">
        <w:rPr>
          <w:szCs w:val="22"/>
        </w:rPr>
        <w:t xml:space="preserve"> award and </w:t>
      </w:r>
      <w:r>
        <w:rPr>
          <w:szCs w:val="22"/>
        </w:rPr>
        <w:t>allocation of funding</w:t>
      </w:r>
      <w:r w:rsidRPr="00C31C1D">
        <w:rPr>
          <w:szCs w:val="22"/>
        </w:rPr>
        <w:t xml:space="preserve"> </w:t>
      </w:r>
      <w:r>
        <w:rPr>
          <w:szCs w:val="22"/>
        </w:rPr>
        <w:t xml:space="preserve">elsewhere, such as </w:t>
      </w:r>
      <w:r w:rsidRPr="00C31C1D">
        <w:rPr>
          <w:szCs w:val="22"/>
        </w:rPr>
        <w:t>to the next highest</w:t>
      </w:r>
      <w:r>
        <w:rPr>
          <w:szCs w:val="22"/>
        </w:rPr>
        <w:t>-</w:t>
      </w:r>
      <w:r w:rsidRPr="00C31C1D">
        <w:rPr>
          <w:szCs w:val="22"/>
        </w:rPr>
        <w:t>scoring project.</w:t>
      </w:r>
    </w:p>
    <w:p w14:paraId="01A4236E" w14:textId="77777777" w:rsidR="003B32F0" w:rsidRPr="00C31C1D" w:rsidRDefault="003B32F0" w:rsidP="003B32F0">
      <w:pPr>
        <w:keepLines/>
        <w:widowControl w:val="0"/>
        <w:spacing w:after="0"/>
        <w:ind w:left="720"/>
        <w:jc w:val="both"/>
        <w:rPr>
          <w:szCs w:val="22"/>
        </w:rPr>
      </w:pPr>
    </w:p>
    <w:p w14:paraId="10EFD9ED" w14:textId="77777777" w:rsidR="003B32F0" w:rsidRPr="00C31C1D" w:rsidRDefault="003B32F0" w:rsidP="00DC65CB">
      <w:pPr>
        <w:pStyle w:val="HeadingNew1"/>
        <w:numPr>
          <w:ilvl w:val="0"/>
          <w:numId w:val="34"/>
        </w:numPr>
        <w:ind w:left="360"/>
        <w:rPr>
          <w:b w:val="0"/>
        </w:rPr>
      </w:pPr>
      <w:r w:rsidRPr="007065BB">
        <w:t>Reference and Work Product Form (Attachment 9)</w:t>
      </w:r>
    </w:p>
    <w:p w14:paraId="5C881DF5" w14:textId="77777777" w:rsidR="003B32F0" w:rsidRDefault="003B32F0" w:rsidP="00DC65CB">
      <w:pPr>
        <w:keepLines/>
        <w:widowControl w:val="0"/>
        <w:numPr>
          <w:ilvl w:val="2"/>
          <w:numId w:val="20"/>
        </w:numPr>
        <w:tabs>
          <w:tab w:val="left" w:pos="1080"/>
        </w:tabs>
        <w:spacing w:after="0"/>
        <w:ind w:left="1080"/>
        <w:jc w:val="both"/>
        <w:rPr>
          <w:szCs w:val="22"/>
        </w:rPr>
      </w:pPr>
      <w:r w:rsidRPr="00765AAF">
        <w:rPr>
          <w:u w:val="single"/>
        </w:rPr>
        <w:t>Section 1</w:t>
      </w:r>
      <w:r>
        <w:t xml:space="preserve">: </w:t>
      </w:r>
      <w:r w:rsidRPr="00C31C1D">
        <w:t xml:space="preserve">Provide </w:t>
      </w:r>
      <w:r>
        <w:t xml:space="preserve">applicant and </w:t>
      </w:r>
      <w:r w:rsidRPr="00FA06D7">
        <w:t>subcontractor</w:t>
      </w:r>
      <w:r>
        <w:t xml:space="preserve"> </w:t>
      </w:r>
      <w:r w:rsidRPr="00FA06D7">
        <w:t xml:space="preserve">references </w:t>
      </w:r>
      <w:r>
        <w:t>as instructed</w:t>
      </w:r>
      <w:r w:rsidRPr="00FA06D7">
        <w:t xml:space="preserve">. </w:t>
      </w:r>
    </w:p>
    <w:p w14:paraId="6CF22292" w14:textId="77777777" w:rsidR="003B32F0" w:rsidRDefault="003B32F0" w:rsidP="00DC65CB">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2025260A" w14:textId="77777777" w:rsidR="003B32F0" w:rsidRPr="00753051" w:rsidRDefault="003B32F0" w:rsidP="003B32F0">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4C310FCB" w14:textId="77777777" w:rsidR="003B32F0" w:rsidRDefault="003B32F0" w:rsidP="003B32F0">
      <w:pPr>
        <w:spacing w:after="0"/>
        <w:jc w:val="both"/>
      </w:pPr>
    </w:p>
    <w:p w14:paraId="1137C780" w14:textId="77777777" w:rsidR="003B32F0" w:rsidRPr="007065BB" w:rsidRDefault="003B32F0" w:rsidP="00DC65CB">
      <w:pPr>
        <w:pStyle w:val="HeadingNew1"/>
        <w:numPr>
          <w:ilvl w:val="0"/>
          <w:numId w:val="34"/>
        </w:numPr>
        <w:ind w:left="360"/>
      </w:pPr>
      <w:r w:rsidRPr="00E74B5A">
        <w:rPr>
          <w:b w:val="0"/>
          <w:szCs w:val="24"/>
        </w:rPr>
        <w:t xml:space="preserve"> </w:t>
      </w:r>
      <w:bookmarkStart w:id="125" w:name="CommLttr"/>
      <w:r w:rsidRPr="007065BB">
        <w:t>Commitment and Su</w:t>
      </w:r>
      <w:r>
        <w:t>pport Letter Form (Attachment 10</w:t>
      </w:r>
      <w:r w:rsidRPr="007065BB">
        <w:t>)</w:t>
      </w:r>
      <w:bookmarkEnd w:id="125"/>
    </w:p>
    <w:p w14:paraId="23ED2A6E" w14:textId="77777777" w:rsidR="003B32F0" w:rsidRDefault="003B32F0" w:rsidP="003B32F0">
      <w:pPr>
        <w:tabs>
          <w:tab w:val="left" w:pos="720"/>
          <w:tab w:val="left" w:pos="810"/>
          <w:tab w:val="left" w:pos="1080"/>
        </w:tabs>
        <w:ind w:left="806"/>
        <w:jc w:val="both"/>
        <w:rPr>
          <w:szCs w:val="22"/>
        </w:rPr>
      </w:pPr>
      <w:r>
        <w:rPr>
          <w:szCs w:val="22"/>
        </w:rPr>
        <w:t xml:space="preserve">A commitment letter commits an entity or individual to providing the service or funding described in the letter.  A support letter details an entity or individual’s support for the project. </w:t>
      </w:r>
      <w:r w:rsidRPr="004B221F">
        <w:rPr>
          <w:szCs w:val="22"/>
        </w:rPr>
        <w:t xml:space="preserve">Commitment and Support Letters must be submitted with the application.  Letters that are not submitted </w:t>
      </w:r>
      <w:r>
        <w:rPr>
          <w:szCs w:val="22"/>
        </w:rPr>
        <w:t xml:space="preserve">by the application deadline </w:t>
      </w:r>
      <w:r w:rsidRPr="004B221F">
        <w:rPr>
          <w:szCs w:val="22"/>
        </w:rPr>
        <w:t>will not be reviewed and counted towards meeting the requirement specified in the solicitation</w:t>
      </w:r>
      <w:r>
        <w:rPr>
          <w:szCs w:val="22"/>
        </w:rPr>
        <w:t>.</w:t>
      </w:r>
    </w:p>
    <w:p w14:paraId="5C8188E3" w14:textId="77777777" w:rsidR="003B32F0" w:rsidRDefault="003B32F0" w:rsidP="00DC65CB">
      <w:pPr>
        <w:numPr>
          <w:ilvl w:val="2"/>
          <w:numId w:val="20"/>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706D5EE1" w14:textId="77777777" w:rsidR="003B32F0" w:rsidRPr="0075281F" w:rsidRDefault="003B32F0" w:rsidP="003B32F0">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B570C0">
        <w:rPr>
          <w:szCs w:val="22"/>
          <w:u w:val="single"/>
        </w:rPr>
        <w:t>or</w:t>
      </w:r>
      <w:r w:rsidRPr="00B570C0">
        <w:rPr>
          <w:szCs w:val="22"/>
        </w:rPr>
        <w:t xml:space="preserve"> individual</w:t>
      </w:r>
      <w:r w:rsidRPr="0075281F">
        <w:rPr>
          <w:szCs w:val="22"/>
        </w:rPr>
        <w:t xml:space="preserve"> that is committing to providing match funding. The letter must: (1) identify the source(s) of the funds; and (2) guarantee the availability of the funds for the project.</w:t>
      </w:r>
    </w:p>
    <w:p w14:paraId="2EDDC597" w14:textId="77777777" w:rsidR="003B32F0" w:rsidRPr="0075281F" w:rsidRDefault="003B32F0" w:rsidP="00DC65CB">
      <w:pPr>
        <w:numPr>
          <w:ilvl w:val="0"/>
          <w:numId w:val="36"/>
        </w:numPr>
        <w:tabs>
          <w:tab w:val="left" w:pos="720"/>
          <w:tab w:val="left" w:pos="1170"/>
          <w:tab w:val="left" w:pos="1260"/>
          <w:tab w:val="left" w:pos="1620"/>
        </w:tabs>
        <w:ind w:left="1627"/>
        <w:jc w:val="both"/>
        <w:rPr>
          <w:b/>
          <w:bCs/>
        </w:rPr>
      </w:pPr>
      <w:r w:rsidRPr="4397CED4">
        <w:rPr>
          <w:b/>
          <w:bCs/>
        </w:rPr>
        <w:t>Project partners</w:t>
      </w:r>
      <w:r>
        <w:t xml:space="preserve"> that are making contributions other than match funding and are not receiving CEC funds, must submit a commitment letter signed by an authorized representative that: (1) identifies how the partner will contribute to the project; and (2) commits to making the contribution. </w:t>
      </w:r>
    </w:p>
    <w:p w14:paraId="0CF20268" w14:textId="77777777" w:rsidR="003B32F0" w:rsidRDefault="003B32F0" w:rsidP="00DC65CB">
      <w:pPr>
        <w:numPr>
          <w:ilvl w:val="2"/>
          <w:numId w:val="20"/>
        </w:numPr>
        <w:tabs>
          <w:tab w:val="left" w:pos="720"/>
          <w:tab w:val="left" w:pos="1170"/>
          <w:tab w:val="left" w:pos="1260"/>
        </w:tabs>
        <w:spacing w:after="0"/>
        <w:ind w:left="1170"/>
        <w:jc w:val="both"/>
        <w:rPr>
          <w:b/>
          <w:u w:val="single"/>
        </w:rPr>
      </w:pPr>
      <w:r w:rsidRPr="00992EBB">
        <w:rPr>
          <w:szCs w:val="22"/>
          <w:u w:val="single"/>
        </w:rPr>
        <w:lastRenderedPageBreak/>
        <w:t>Support Letters</w:t>
      </w:r>
    </w:p>
    <w:p w14:paraId="3B530D5F" w14:textId="77777777" w:rsidR="003B32F0" w:rsidRDefault="003B32F0" w:rsidP="003B32F0">
      <w:pPr>
        <w:tabs>
          <w:tab w:val="left" w:pos="720"/>
          <w:tab w:val="left" w:pos="1170"/>
          <w:tab w:val="left" w:pos="1260"/>
        </w:tabs>
        <w:spacing w:after="0"/>
        <w:ind w:left="1170"/>
        <w:jc w:val="both"/>
      </w:pPr>
      <w: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w:t>
      </w:r>
    </w:p>
    <w:p w14:paraId="7C34DB30" w14:textId="77777777" w:rsidR="003B32F0" w:rsidRDefault="003B32F0" w:rsidP="003B32F0">
      <w:pPr>
        <w:tabs>
          <w:tab w:val="left" w:pos="720"/>
          <w:tab w:val="left" w:pos="1170"/>
          <w:tab w:val="left" w:pos="1260"/>
        </w:tabs>
        <w:spacing w:after="0"/>
        <w:ind w:left="1170"/>
        <w:jc w:val="both"/>
        <w:rPr>
          <w:b/>
        </w:rPr>
      </w:pPr>
    </w:p>
    <w:p w14:paraId="12C9ACF0" w14:textId="77777777" w:rsidR="003B32F0" w:rsidRDefault="003B32F0" w:rsidP="003B32F0">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DFC2743" w14:textId="77777777" w:rsidR="003B32F0" w:rsidRPr="00B152AA" w:rsidRDefault="003B32F0" w:rsidP="003B32F0">
      <w:pPr>
        <w:tabs>
          <w:tab w:val="left" w:pos="720"/>
          <w:tab w:val="left" w:pos="1170"/>
          <w:tab w:val="left" w:pos="1260"/>
        </w:tabs>
        <w:spacing w:after="0"/>
        <w:ind w:left="1170"/>
        <w:jc w:val="both"/>
        <w:rPr>
          <w:b/>
        </w:rPr>
      </w:pPr>
    </w:p>
    <w:p w14:paraId="2D7B1866" w14:textId="77777777" w:rsidR="003B32F0" w:rsidRPr="00943E11" w:rsidRDefault="003B32F0" w:rsidP="00DC65CB">
      <w:pPr>
        <w:pStyle w:val="HeadingNew1"/>
        <w:numPr>
          <w:ilvl w:val="0"/>
          <w:numId w:val="34"/>
        </w:numPr>
        <w:ind w:left="360"/>
      </w:pPr>
      <w:r w:rsidRPr="00943E11">
        <w:t>Project Performance Metrics</w:t>
      </w:r>
      <w:r>
        <w:t xml:space="preserve"> (Attachment 11</w:t>
      </w:r>
      <w:r w:rsidRPr="007065BB">
        <w:t>)</w:t>
      </w:r>
    </w:p>
    <w:p w14:paraId="6663B979" w14:textId="77777777" w:rsidR="003B32F0" w:rsidRDefault="003B32F0" w:rsidP="003B32F0">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1ACF4E8C" w14:textId="77777777" w:rsidR="003B32F0" w:rsidRDefault="003B32F0" w:rsidP="003B32F0">
      <w:pPr>
        <w:spacing w:after="0"/>
        <w:ind w:left="720"/>
      </w:pPr>
    </w:p>
    <w:p w14:paraId="1E050071" w14:textId="77777777" w:rsidR="003B32F0" w:rsidRPr="007065BB" w:rsidRDefault="003B32F0" w:rsidP="00DC65CB">
      <w:pPr>
        <w:pStyle w:val="HeadingNew1"/>
        <w:numPr>
          <w:ilvl w:val="0"/>
          <w:numId w:val="34"/>
        </w:numPr>
        <w:ind w:left="360"/>
      </w:pPr>
      <w:r>
        <w:t>Applicant Declaration (Attachment 12</w:t>
      </w:r>
      <w:r w:rsidRPr="007065BB">
        <w:t>)</w:t>
      </w:r>
    </w:p>
    <w:p w14:paraId="40EEAFA4" w14:textId="77777777" w:rsidR="003B32F0" w:rsidRDefault="003B32F0" w:rsidP="003B32F0">
      <w:pPr>
        <w:spacing w:after="0"/>
        <w:contextualSpacing/>
      </w:pPr>
      <w:r w:rsidRPr="00342998">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t xml:space="preserve">are </w:t>
      </w:r>
      <w:r w:rsidRPr="00122853">
        <w:t xml:space="preserve">complying with any demand letter made on the Applicant by the Energy Commission or another public agency or entity; and are </w:t>
      </w:r>
      <w:r w:rsidRPr="00342998">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Pr="00616F23">
        <w:t xml:space="preserve"> </w:t>
      </w:r>
    </w:p>
    <w:p w14:paraId="1FD4F016" w14:textId="77777777" w:rsidR="003B32F0" w:rsidRDefault="003B32F0" w:rsidP="003B32F0">
      <w:pPr>
        <w:spacing w:after="0"/>
        <w:contextualSpacing/>
      </w:pPr>
    </w:p>
    <w:p w14:paraId="470B36BC" w14:textId="77777777" w:rsidR="003B32F0" w:rsidRDefault="003B32F0" w:rsidP="003B32F0">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143FB3B9" w14:textId="77777777" w:rsidR="003B32F0" w:rsidRPr="00B45766" w:rsidRDefault="003B32F0" w:rsidP="003B32F0">
      <w:pPr>
        <w:spacing w:after="0"/>
        <w:contextualSpacing/>
      </w:pPr>
      <w:r w:rsidRPr="00B45766">
        <w:br w:type="page"/>
      </w:r>
    </w:p>
    <w:p w14:paraId="6ADE897C" w14:textId="77777777" w:rsidR="003B32F0" w:rsidRPr="00C31C1D" w:rsidRDefault="003B32F0" w:rsidP="003B32F0">
      <w:pPr>
        <w:spacing w:after="0"/>
      </w:pPr>
    </w:p>
    <w:p w14:paraId="764D4C9C" w14:textId="77777777" w:rsidR="003B32F0" w:rsidRPr="00C31C1D" w:rsidRDefault="003B32F0" w:rsidP="003B32F0">
      <w:pPr>
        <w:pStyle w:val="Heading1"/>
        <w:spacing w:before="0" w:after="120"/>
        <w:jc w:val="both"/>
      </w:pPr>
      <w:bookmarkStart w:id="126" w:name="_Toc84844925"/>
      <w:bookmarkStart w:id="127" w:name="_Toc336443635"/>
      <w:bookmarkStart w:id="128" w:name="_Toc366671192"/>
      <w:r w:rsidRPr="00C31C1D">
        <w:t>IV.</w:t>
      </w:r>
      <w:r w:rsidRPr="00C31C1D">
        <w:tab/>
        <w:t xml:space="preserve">Evaluation </w:t>
      </w:r>
      <w:r>
        <w:t xml:space="preserve">and Award </w:t>
      </w:r>
      <w:r w:rsidRPr="00C31C1D">
        <w:t>Process</w:t>
      </w:r>
      <w:bookmarkEnd w:id="126"/>
      <w:r w:rsidRPr="00C31C1D">
        <w:t xml:space="preserve"> </w:t>
      </w:r>
      <w:bookmarkEnd w:id="100"/>
      <w:bookmarkEnd w:id="127"/>
      <w:bookmarkEnd w:id="128"/>
    </w:p>
    <w:p w14:paraId="0E80F28A" w14:textId="77777777" w:rsidR="003B32F0" w:rsidRPr="00CF6DED" w:rsidRDefault="003B32F0" w:rsidP="00DC65CB">
      <w:pPr>
        <w:pStyle w:val="Heading2"/>
        <w:numPr>
          <w:ilvl w:val="0"/>
          <w:numId w:val="47"/>
        </w:numPr>
      </w:pPr>
      <w:bookmarkStart w:id="129" w:name="_Toc339284338"/>
      <w:bookmarkStart w:id="130" w:name="_Toc366671194"/>
      <w:bookmarkStart w:id="131" w:name="_Toc84844926"/>
      <w:bookmarkStart w:id="132" w:name="_Toc338162913"/>
      <w:bookmarkStart w:id="133" w:name="_Toc35074632"/>
      <w:bookmarkStart w:id="134" w:name="_Toc219275099"/>
      <w:bookmarkStart w:id="135" w:name="_Toc336443636"/>
      <w:r w:rsidRPr="00CF6DED">
        <w:t>Application Evaluation</w:t>
      </w:r>
      <w:bookmarkEnd w:id="129"/>
      <w:bookmarkEnd w:id="130"/>
      <w:bookmarkEnd w:id="131"/>
    </w:p>
    <w:bookmarkEnd w:id="132"/>
    <w:p w14:paraId="03E540F9" w14:textId="77777777" w:rsidR="003B32F0" w:rsidRPr="00EE24D3" w:rsidRDefault="003B32F0" w:rsidP="003B32F0">
      <w:pPr>
        <w:jc w:val="both"/>
      </w:pPr>
      <w:r w:rsidRPr="00C31C1D">
        <w:t>Applications will be evaluated and scored based on responses to the information requested in this solicitation</w:t>
      </w:r>
      <w:r>
        <w:t xml:space="preserve"> and on any other information available, such as on past performance of CEC agreements. </w:t>
      </w:r>
      <w:r w:rsidRPr="00C31C1D">
        <w:t xml:space="preserve">To evaluate applications, the </w:t>
      </w:r>
      <w:r>
        <w:t>CEC</w:t>
      </w:r>
      <w:r w:rsidRPr="00C31C1D">
        <w:t xml:space="preserve"> will organize an Evaluation Committee that consist</w:t>
      </w:r>
      <w:r>
        <w:t>s primarily</w:t>
      </w:r>
      <w:r w:rsidRPr="00C31C1D">
        <w:t xml:space="preserve"> of </w:t>
      </w:r>
      <w:r>
        <w:t>CEC</w:t>
      </w:r>
      <w:r w:rsidRPr="00C31C1D">
        <w:t xml:space="preserve"> staff.  The E</w:t>
      </w:r>
      <w:r>
        <w:t>valuation Committee may us</w:t>
      </w:r>
      <w:r w:rsidRPr="00C31C1D">
        <w:t>e technical expert reviewers to provide an analysis of applications.</w:t>
      </w:r>
      <w:r>
        <w:t xml:space="preserve">  </w:t>
      </w:r>
      <w:r w:rsidRPr="00C31C1D">
        <w:t>Applications will be evaluated in two stages:</w:t>
      </w:r>
    </w:p>
    <w:p w14:paraId="0CFA43B6" w14:textId="77777777" w:rsidR="003B32F0" w:rsidRPr="00E13674" w:rsidRDefault="003B32F0" w:rsidP="00DC65CB">
      <w:pPr>
        <w:pStyle w:val="ListParagraph"/>
        <w:numPr>
          <w:ilvl w:val="0"/>
          <w:numId w:val="29"/>
        </w:numPr>
        <w:tabs>
          <w:tab w:val="num" w:pos="360"/>
        </w:tabs>
        <w:rPr>
          <w:b/>
        </w:rPr>
      </w:pPr>
      <w:bookmarkStart w:id="136" w:name="_Toc381079932"/>
      <w:bookmarkStart w:id="137" w:name="_Toc382571195"/>
      <w:bookmarkStart w:id="138" w:name="_Toc395180705"/>
      <w:bookmarkStart w:id="139" w:name="_Toc433981334"/>
      <w:bookmarkStart w:id="140" w:name="_Toc360545784"/>
      <w:bookmarkStart w:id="141" w:name="_Toc366671195"/>
      <w:bookmarkStart w:id="142" w:name="_Toc339284339"/>
      <w:r w:rsidRPr="00E13674">
        <w:rPr>
          <w:b/>
        </w:rPr>
        <w:t>Stage One:  Application Screening</w:t>
      </w:r>
      <w:bookmarkEnd w:id="136"/>
      <w:bookmarkEnd w:id="137"/>
      <w:bookmarkEnd w:id="138"/>
      <w:bookmarkEnd w:id="139"/>
      <w:r w:rsidRPr="00E13674">
        <w:rPr>
          <w:b/>
        </w:rPr>
        <w:t xml:space="preserve"> </w:t>
      </w:r>
      <w:bookmarkEnd w:id="140"/>
      <w:bookmarkEnd w:id="141"/>
    </w:p>
    <w:p w14:paraId="780459E2" w14:textId="77777777" w:rsidR="003B32F0" w:rsidRDefault="003B32F0" w:rsidP="003B32F0">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Pr>
          <w:b/>
        </w:rPr>
        <w:t>reject</w:t>
      </w:r>
      <w:r w:rsidRPr="000E6E9B">
        <w:rPr>
          <w:b/>
        </w:rPr>
        <w:t>ed.</w:t>
      </w:r>
      <w:bookmarkStart w:id="143" w:name="_Toc339284340"/>
      <w:bookmarkEnd w:id="142"/>
      <w:r>
        <w:rPr>
          <w:b/>
        </w:rPr>
        <w:t xml:space="preserve"> </w:t>
      </w:r>
      <w:r w:rsidRPr="00125E7A">
        <w:t xml:space="preserve">The Evaluation Committee may conduct optional telephone </w:t>
      </w:r>
      <w:r w:rsidRPr="00032904">
        <w:rPr>
          <w:b/>
        </w:rPr>
        <w:t>Clarification Interviews</w:t>
      </w:r>
      <w:r w:rsidRPr="00125E7A">
        <w:t xml:space="preserve"> with applicants during the </w:t>
      </w:r>
      <w:r>
        <w:t>screening</w:t>
      </w:r>
      <w:r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59F918DA" w14:textId="77777777" w:rsidR="003B32F0" w:rsidRPr="00993A52" w:rsidRDefault="003B32F0" w:rsidP="003B32F0">
      <w:pPr>
        <w:spacing w:after="0"/>
        <w:ind w:left="360"/>
        <w:jc w:val="both"/>
        <w:rPr>
          <w:u w:val="single"/>
        </w:rPr>
      </w:pPr>
    </w:p>
    <w:p w14:paraId="443B56CF" w14:textId="77777777" w:rsidR="003B32F0" w:rsidRPr="008E38AF" w:rsidRDefault="003B32F0" w:rsidP="00DC65CB">
      <w:pPr>
        <w:pStyle w:val="ListParagraph"/>
        <w:numPr>
          <w:ilvl w:val="0"/>
          <w:numId w:val="29"/>
        </w:numPr>
        <w:tabs>
          <w:tab w:val="num" w:pos="360"/>
        </w:tabs>
        <w:rPr>
          <w:b/>
        </w:rPr>
      </w:pPr>
      <w:bookmarkStart w:id="144" w:name="_Toc381079933"/>
      <w:bookmarkStart w:id="145" w:name="_Toc382571196"/>
      <w:bookmarkStart w:id="146" w:name="_Toc395180706"/>
      <w:bookmarkStart w:id="147" w:name="_Toc433981335"/>
      <w:bookmarkStart w:id="148" w:name="_Toc360545785"/>
      <w:bookmarkStart w:id="149" w:name="_Toc366671198"/>
      <w:bookmarkStart w:id="150" w:name="Stg2AppScr"/>
      <w:r w:rsidRPr="008E38AF">
        <w:rPr>
          <w:b/>
        </w:rPr>
        <w:t>Stage Two:  Application Scoring</w:t>
      </w:r>
      <w:bookmarkEnd w:id="144"/>
      <w:bookmarkEnd w:id="145"/>
      <w:bookmarkEnd w:id="146"/>
      <w:bookmarkEnd w:id="147"/>
      <w:r w:rsidRPr="008E38AF">
        <w:rPr>
          <w:b/>
        </w:rPr>
        <w:t xml:space="preserve"> </w:t>
      </w:r>
      <w:bookmarkEnd w:id="148"/>
      <w:bookmarkEnd w:id="149"/>
    </w:p>
    <w:bookmarkEnd w:id="150"/>
    <w:p w14:paraId="337E2774" w14:textId="77777777" w:rsidR="003B32F0" w:rsidRPr="003E6D28" w:rsidRDefault="003B32F0" w:rsidP="003B32F0">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09BC6855" w14:textId="77777777" w:rsidR="003B32F0" w:rsidRPr="004B1445" w:rsidRDefault="003B32F0" w:rsidP="00DC65CB">
      <w:pPr>
        <w:numPr>
          <w:ilvl w:val="0"/>
          <w:numId w:val="27"/>
        </w:numPr>
        <w:spacing w:after="0"/>
        <w:ind w:left="720"/>
        <w:jc w:val="both"/>
      </w:pPr>
      <w:r w:rsidRPr="004B1445">
        <w:t xml:space="preserve">The scores for each application will be the average of the combined scores of all Evaluation Committee members. </w:t>
      </w:r>
    </w:p>
    <w:p w14:paraId="1BFB3A88" w14:textId="77777777" w:rsidR="003B32F0" w:rsidRPr="00624855" w:rsidRDefault="003B32F0" w:rsidP="00DC65CB">
      <w:pPr>
        <w:numPr>
          <w:ilvl w:val="0"/>
          <w:numId w:val="27"/>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00128FC" w14:textId="77777777" w:rsidR="003B32F0" w:rsidRPr="004B1445" w:rsidRDefault="003B32F0" w:rsidP="00DC65CB">
      <w:pPr>
        <w:numPr>
          <w:ilvl w:val="0"/>
          <w:numId w:val="27"/>
        </w:numPr>
        <w:spacing w:after="0"/>
        <w:ind w:left="720"/>
        <w:jc w:val="both"/>
      </w:pPr>
      <w:r w:rsidRPr="004B1445">
        <w:rPr>
          <w:b/>
        </w:rPr>
        <w:t xml:space="preserve">A minimum score of </w:t>
      </w:r>
      <w:r>
        <w:rPr>
          <w:b/>
        </w:rPr>
        <w:t>7</w:t>
      </w:r>
      <w:r w:rsidRPr="004B1445">
        <w:rPr>
          <w:b/>
        </w:rPr>
        <w:t xml:space="preserve">0.0 points </w:t>
      </w:r>
      <w:r w:rsidRPr="004B1445">
        <w:t xml:space="preserve">is required for </w:t>
      </w:r>
      <w:r>
        <w:t>criteria 1-7</w:t>
      </w:r>
      <w:r w:rsidRPr="004B1445">
        <w:t xml:space="preserve"> to be eligible for funding.  In addition, the application must receive a minimum score of </w:t>
      </w:r>
      <w:r>
        <w:rPr>
          <w:b/>
        </w:rPr>
        <w:t>52</w:t>
      </w:r>
      <w:r w:rsidRPr="004B1445">
        <w:rPr>
          <w:b/>
        </w:rPr>
        <w:t>.</w:t>
      </w:r>
      <w:r>
        <w:rPr>
          <w:b/>
        </w:rPr>
        <w:t>5</w:t>
      </w:r>
      <w:r w:rsidRPr="004B1445">
        <w:rPr>
          <w:b/>
        </w:rPr>
        <w:t xml:space="preserve">0 points for criteria </w:t>
      </w:r>
      <w:r>
        <w:rPr>
          <w:b/>
        </w:rPr>
        <w:t>1</w:t>
      </w:r>
      <w:r w:rsidRPr="004B1445">
        <w:rPr>
          <w:b/>
        </w:rPr>
        <w:t>−</w:t>
      </w:r>
      <w:r>
        <w:rPr>
          <w:b/>
        </w:rPr>
        <w:t>4</w:t>
      </w:r>
      <w:r w:rsidRPr="004B1445">
        <w:rPr>
          <w:b/>
        </w:rPr>
        <w:t xml:space="preserve"> </w:t>
      </w:r>
      <w:r w:rsidRPr="004B1445">
        <w:t xml:space="preserve">to be eligible for funding. </w:t>
      </w:r>
    </w:p>
    <w:p w14:paraId="178DFA28" w14:textId="77777777" w:rsidR="003B32F0" w:rsidRPr="00CF6DED" w:rsidRDefault="003B32F0" w:rsidP="00DC65CB">
      <w:pPr>
        <w:pStyle w:val="Heading2"/>
        <w:numPr>
          <w:ilvl w:val="0"/>
          <w:numId w:val="47"/>
        </w:numPr>
      </w:pPr>
      <w:bookmarkStart w:id="151" w:name="_Toc84844927"/>
      <w:r w:rsidRPr="00CF6DED">
        <w:t>Ranking, Notice of Proposed Award, and Agreement Development</w:t>
      </w:r>
      <w:bookmarkEnd w:id="151"/>
    </w:p>
    <w:p w14:paraId="3CC28342" w14:textId="77777777" w:rsidR="003B32F0" w:rsidRPr="008E38AF" w:rsidRDefault="003B32F0" w:rsidP="00DC65CB">
      <w:pPr>
        <w:numPr>
          <w:ilvl w:val="0"/>
          <w:numId w:val="24"/>
        </w:numPr>
        <w:tabs>
          <w:tab w:val="left" w:pos="720"/>
        </w:tabs>
        <w:ind w:left="360" w:firstLine="0"/>
        <w:jc w:val="both"/>
        <w:rPr>
          <w:b/>
        </w:rPr>
      </w:pPr>
      <w:r w:rsidRPr="008E38AF">
        <w:rPr>
          <w:b/>
        </w:rPr>
        <w:t>Ranking and Notice of Proposed Award</w:t>
      </w:r>
    </w:p>
    <w:p w14:paraId="0D3253B2" w14:textId="77777777" w:rsidR="003B32F0" w:rsidRDefault="003B32F0" w:rsidP="003B32F0">
      <w:pPr>
        <w:jc w:val="both"/>
      </w:pPr>
      <w:r w:rsidRPr="008E38AF">
        <w:t xml:space="preserve">Applications that receive </w:t>
      </w:r>
      <w:r>
        <w:t>at least the</w:t>
      </w:r>
      <w:r w:rsidRPr="008E38AF">
        <w:t xml:space="preserve"> minimum </w:t>
      </w:r>
      <w:r>
        <w:t xml:space="preserve">required </w:t>
      </w:r>
      <w:r w:rsidRPr="008E38AF">
        <w:t xml:space="preserve">score </w:t>
      </w:r>
      <w:r w:rsidRPr="003E6D28">
        <w:t>for all criteria will be ranked according to their score.</w:t>
      </w:r>
      <w:r w:rsidRPr="00C31C1D">
        <w:t xml:space="preserve"> </w:t>
      </w:r>
    </w:p>
    <w:p w14:paraId="5EC18989" w14:textId="77777777" w:rsidR="003B32F0" w:rsidRPr="00F14D0E" w:rsidRDefault="003B32F0" w:rsidP="00DC65CB">
      <w:pPr>
        <w:numPr>
          <w:ilvl w:val="0"/>
          <w:numId w:val="22"/>
        </w:numPr>
        <w:spacing w:after="0"/>
        <w:jc w:val="both"/>
      </w:pPr>
      <w:r>
        <w:t>CEC staff will post</w:t>
      </w:r>
      <w:r w:rsidRPr="00C31C1D">
        <w:t xml:space="preserve"> a </w:t>
      </w:r>
      <w:r w:rsidRPr="00F14D0E">
        <w:rPr>
          <w:b/>
        </w:rPr>
        <w:t>Notice of Proposed Award (NOPA)</w:t>
      </w:r>
      <w:r>
        <w:t xml:space="preserve"> that includes: (1) </w:t>
      </w:r>
      <w:r>
        <w:rPr>
          <w:szCs w:val="22"/>
        </w:rPr>
        <w:t>the</w:t>
      </w:r>
      <w:r w:rsidRPr="0004356A">
        <w:rPr>
          <w:szCs w:val="22"/>
        </w:rPr>
        <w:t xml:space="preserve"> </w:t>
      </w:r>
      <w:r>
        <w:rPr>
          <w:szCs w:val="22"/>
        </w:rPr>
        <w:t xml:space="preserve">total </w:t>
      </w:r>
      <w:r w:rsidRPr="0004356A">
        <w:rPr>
          <w:szCs w:val="22"/>
        </w:rPr>
        <w:t>proposed fun</w:t>
      </w:r>
      <w:r>
        <w:rPr>
          <w:szCs w:val="22"/>
        </w:rPr>
        <w:t>ding amount; (2) the rank order of applicants;</w:t>
      </w:r>
      <w:r w:rsidRPr="0004356A">
        <w:rPr>
          <w:szCs w:val="22"/>
        </w:rPr>
        <w:t xml:space="preserve"> and </w:t>
      </w:r>
      <w:r>
        <w:rPr>
          <w:szCs w:val="22"/>
        </w:rPr>
        <w:t xml:space="preserve">(3) </w:t>
      </w:r>
      <w:r w:rsidRPr="0004356A">
        <w:rPr>
          <w:szCs w:val="22"/>
        </w:rPr>
        <w:t>the amount of each proposed award</w:t>
      </w:r>
      <w:r>
        <w:rPr>
          <w:szCs w:val="22"/>
        </w:rPr>
        <w:t>. The CEC will post the NOPA at its</w:t>
      </w:r>
      <w:r w:rsidRPr="0004356A">
        <w:rPr>
          <w:szCs w:val="22"/>
        </w:rPr>
        <w:t xml:space="preserve"> headquarters in S</w:t>
      </w:r>
      <w:r>
        <w:rPr>
          <w:szCs w:val="22"/>
        </w:rPr>
        <w:t>acramento and on its w</w:t>
      </w:r>
      <w:r w:rsidRPr="0004356A">
        <w:rPr>
          <w:szCs w:val="22"/>
        </w:rPr>
        <w:t>eb</w:t>
      </w:r>
      <w:r>
        <w:rPr>
          <w:szCs w:val="22"/>
        </w:rPr>
        <w:t>s</w:t>
      </w:r>
      <w:r w:rsidRPr="0004356A">
        <w:rPr>
          <w:szCs w:val="22"/>
        </w:rPr>
        <w:t xml:space="preserve">ite and will mail </w:t>
      </w:r>
      <w:r>
        <w:rPr>
          <w:szCs w:val="22"/>
        </w:rPr>
        <w:t>it</w:t>
      </w:r>
      <w:r w:rsidRPr="0004356A">
        <w:rPr>
          <w:szCs w:val="22"/>
        </w:rPr>
        <w:t xml:space="preserve"> to all </w:t>
      </w:r>
      <w:r>
        <w:rPr>
          <w:szCs w:val="22"/>
        </w:rPr>
        <w:t>entities</w:t>
      </w:r>
      <w:r w:rsidRPr="0004356A">
        <w:rPr>
          <w:szCs w:val="22"/>
        </w:rPr>
        <w:t xml:space="preserve"> that submitted an application</w:t>
      </w:r>
      <w:r w:rsidRPr="0004356A">
        <w:t xml:space="preserve">.  </w:t>
      </w:r>
      <w:r>
        <w:t>Proposed awards must be approved by the CEC at a business meeting.</w:t>
      </w:r>
    </w:p>
    <w:p w14:paraId="41C63D9D" w14:textId="77777777" w:rsidR="003B32F0" w:rsidRDefault="003B32F0" w:rsidP="00DC65CB">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6D3678A3" w14:textId="77777777" w:rsidR="003B32F0" w:rsidRPr="00BC0F1F" w:rsidRDefault="003B32F0" w:rsidP="003B32F0">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5DBF05CA" w14:textId="77777777" w:rsidR="003B32F0" w:rsidRDefault="003B32F0" w:rsidP="00DC65CB">
      <w:pPr>
        <w:numPr>
          <w:ilvl w:val="0"/>
          <w:numId w:val="23"/>
        </w:numPr>
        <w:spacing w:after="0"/>
        <w:ind w:left="360" w:firstLine="0"/>
        <w:jc w:val="both"/>
      </w:pPr>
      <w:r>
        <w:t>In addition to any of its other rights, t</w:t>
      </w:r>
      <w:r w:rsidRPr="0093474F">
        <w:t xml:space="preserve">he </w:t>
      </w:r>
      <w:r>
        <w:t>CEC</w:t>
      </w:r>
      <w:r w:rsidRPr="0093474F">
        <w:t xml:space="preserve"> reserves the right to:</w:t>
      </w:r>
    </w:p>
    <w:p w14:paraId="044E0AE6" w14:textId="77777777" w:rsidR="003B32F0" w:rsidRDefault="003B32F0" w:rsidP="00DC65CB">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4104DE57" w14:textId="77777777" w:rsidR="003B32F0" w:rsidRDefault="003B32F0" w:rsidP="00DC65CB">
      <w:pPr>
        <w:numPr>
          <w:ilvl w:val="1"/>
          <w:numId w:val="23"/>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schedule, project team entity that will receive the award, location and/or level of funding.</w:t>
      </w:r>
    </w:p>
    <w:p w14:paraId="72D27FB3" w14:textId="77777777" w:rsidR="003B32F0" w:rsidRDefault="003B32F0" w:rsidP="003B32F0">
      <w:pPr>
        <w:spacing w:after="0"/>
        <w:ind w:left="1800"/>
        <w:jc w:val="both"/>
      </w:pPr>
    </w:p>
    <w:p w14:paraId="1079FCE7" w14:textId="77777777" w:rsidR="003B32F0" w:rsidRPr="005522EA" w:rsidRDefault="003B32F0" w:rsidP="00DC65CB">
      <w:pPr>
        <w:numPr>
          <w:ilvl w:val="0"/>
          <w:numId w:val="24"/>
        </w:numPr>
        <w:tabs>
          <w:tab w:val="left" w:pos="720"/>
        </w:tabs>
        <w:ind w:left="360" w:firstLine="0"/>
        <w:jc w:val="both"/>
      </w:pPr>
      <w:r w:rsidRPr="004C668B">
        <w:rPr>
          <w:b/>
        </w:rPr>
        <w:t xml:space="preserve"> </w:t>
      </w:r>
      <w:r w:rsidRPr="00E13674">
        <w:rPr>
          <w:b/>
        </w:rPr>
        <w:t>Agreements</w:t>
      </w:r>
    </w:p>
    <w:p w14:paraId="32E7DB99" w14:textId="77777777" w:rsidR="003B32F0" w:rsidRDefault="003B32F0" w:rsidP="003B32F0">
      <w:pPr>
        <w:jc w:val="both"/>
      </w:pPr>
      <w:r w:rsidRPr="00C31C1D">
        <w:t xml:space="preserve">Applications recommended for funding will be developed into a </w:t>
      </w:r>
      <w:r>
        <w:t xml:space="preserve">proposed </w:t>
      </w:r>
      <w:r w:rsidRPr="00C31C1D">
        <w:t xml:space="preserve">grant agreement to be considered at a </w:t>
      </w:r>
      <w:r>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 CEC business meeting and signature by the Recipient and the CEC)</w:t>
      </w:r>
      <w:r w:rsidRPr="00BB6E63">
        <w:t>.</w:t>
      </w:r>
    </w:p>
    <w:p w14:paraId="03E04079" w14:textId="77777777" w:rsidR="003B32F0" w:rsidRPr="00BB6E63" w:rsidRDefault="003B32F0" w:rsidP="00DC65CB">
      <w:pPr>
        <w:numPr>
          <w:ilvl w:val="0"/>
          <w:numId w:val="21"/>
        </w:numPr>
        <w:spacing w:after="0"/>
        <w:jc w:val="both"/>
      </w:pPr>
      <w:r w:rsidRPr="00E4013B">
        <w:rPr>
          <w:b/>
        </w:rPr>
        <w:t>Agreement Development:</w:t>
      </w:r>
      <w:r>
        <w:t xml:space="preserve"> The Contracts, Grants, and Loans Office will send the Recipient </w:t>
      </w:r>
      <w:r w:rsidRPr="00BB6E63">
        <w:t>a grant agreement</w:t>
      </w:r>
      <w:r>
        <w:t xml:space="preserve"> </w:t>
      </w:r>
      <w:r w:rsidRPr="00BB6E63">
        <w:t xml:space="preserve">for </w:t>
      </w:r>
      <w:r>
        <w:t>approval</w:t>
      </w:r>
      <w:r w:rsidRPr="00BB6E63">
        <w:t xml:space="preserve"> and signature.</w:t>
      </w:r>
      <w:r>
        <w:t xml:space="preserve">  The agreement will include the applicable terms and c</w:t>
      </w:r>
      <w:r w:rsidRPr="00BB6E63">
        <w:t>onditions</w:t>
      </w:r>
      <w:r w:rsidRPr="00F00B82">
        <w:t xml:space="preserve"> </w:t>
      </w:r>
      <w:r>
        <w:t xml:space="preserve">and will incorporate this solicitation and the application by reference.  </w:t>
      </w:r>
      <w:r w:rsidRPr="00BB6E63">
        <w:t xml:space="preserve">The </w:t>
      </w:r>
      <w:r>
        <w:t>CEC</w:t>
      </w:r>
      <w:r w:rsidRPr="00BB6E63">
        <w:t xml:space="preserve"> reserves the right to modify the </w:t>
      </w:r>
      <w:r>
        <w:t xml:space="preserve">award documents (including the </w:t>
      </w:r>
      <w:r w:rsidRPr="00BB6E63">
        <w:t>terms and conditions</w:t>
      </w:r>
      <w:r>
        <w:t>) prior to executing any agreement.</w:t>
      </w:r>
    </w:p>
    <w:p w14:paraId="4D1604CC" w14:textId="77777777" w:rsidR="003B32F0" w:rsidRDefault="003B32F0" w:rsidP="00DC65CB">
      <w:pPr>
        <w:numPr>
          <w:ilvl w:val="0"/>
          <w:numId w:val="21"/>
        </w:numPr>
        <w:spacing w:after="0"/>
        <w:jc w:val="both"/>
      </w:pPr>
      <w:r w:rsidRPr="00E4013B">
        <w:rPr>
          <w:b/>
        </w:rPr>
        <w:t>Failure to Execute an Agreement:</w:t>
      </w:r>
      <w:r>
        <w:t xml:space="preserve"> If the CEC is </w:t>
      </w:r>
      <w:r w:rsidRPr="0093474F">
        <w:t>unable to succe</w:t>
      </w:r>
      <w:r>
        <w:t>ssfully execute an agreement with an a</w:t>
      </w:r>
      <w:r w:rsidRPr="0093474F">
        <w:t>pplicant</w:t>
      </w:r>
      <w:r>
        <w:t xml:space="preserve"> in a timely manner</w:t>
      </w:r>
      <w:r w:rsidRPr="0093474F">
        <w:t xml:space="preserve">, </w:t>
      </w:r>
      <w:r>
        <w:t xml:space="preserve">it reserves the right to </w:t>
      </w:r>
      <w:r w:rsidRPr="0093474F">
        <w:t xml:space="preserve">cancel the pending </w:t>
      </w:r>
      <w:r>
        <w:t>award and use the funds elsewhere, such as to fund the next highest-</w:t>
      </w:r>
      <w:r w:rsidRPr="0093474F">
        <w:t>ranked</w:t>
      </w:r>
      <w:r>
        <w:t>,</w:t>
      </w:r>
      <w:r w:rsidRPr="0093474F">
        <w:t xml:space="preserve"> eligible application.</w:t>
      </w:r>
    </w:p>
    <w:p w14:paraId="60C2F1B4" w14:textId="77777777" w:rsidR="003B32F0" w:rsidRPr="00CF6DED" w:rsidRDefault="003B32F0" w:rsidP="00DC65CB">
      <w:pPr>
        <w:pStyle w:val="Heading2"/>
        <w:numPr>
          <w:ilvl w:val="0"/>
          <w:numId w:val="47"/>
        </w:numPr>
      </w:pPr>
      <w:bookmarkStart w:id="152" w:name="_Toc84844928"/>
      <w:bookmarkStart w:id="153" w:name="_Toc366671196"/>
      <w:r w:rsidRPr="00CF6DED">
        <w:t>Grounds to Reject an Application or Cancel an Award</w:t>
      </w:r>
      <w:bookmarkEnd w:id="152"/>
    </w:p>
    <w:bookmarkEnd w:id="153"/>
    <w:p w14:paraId="31BF804D" w14:textId="77777777" w:rsidR="003B32F0" w:rsidRPr="00C31C1D" w:rsidRDefault="003B32F0" w:rsidP="003B32F0">
      <w:pPr>
        <w:jc w:val="both"/>
      </w:pPr>
      <w:r>
        <w:t>Applications that do not pass the screening stage will be rejected.  In addition</w:t>
      </w:r>
      <w:r w:rsidRPr="00C31C1D">
        <w:t xml:space="preserve">, the </w:t>
      </w:r>
      <w:r>
        <w:t>CEC</w:t>
      </w:r>
      <w:r w:rsidRPr="00C31C1D">
        <w:t xml:space="preserve"> reserves the right to reject an application and/or </w:t>
      </w:r>
      <w:r>
        <w:t xml:space="preserve">to </w:t>
      </w:r>
      <w:r w:rsidRPr="00C31C1D">
        <w:t xml:space="preserve">cancel an award </w:t>
      </w:r>
      <w:r>
        <w:t>for any reason, including any of</w:t>
      </w:r>
      <w:r w:rsidRPr="00C31C1D">
        <w:t xml:space="preserve"> the following</w:t>
      </w:r>
      <w:r>
        <w:t>:</w:t>
      </w:r>
      <w:r w:rsidRPr="00C31C1D">
        <w:t xml:space="preserve"> </w:t>
      </w:r>
    </w:p>
    <w:p w14:paraId="1AA9D1C2" w14:textId="77777777" w:rsidR="003B32F0" w:rsidRPr="00C31C1D" w:rsidRDefault="003B32F0" w:rsidP="00DC65CB">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7FE0B366" w14:textId="77777777" w:rsidR="003B32F0" w:rsidRPr="00C31C1D" w:rsidRDefault="003B32F0" w:rsidP="00DC65CB">
      <w:pPr>
        <w:numPr>
          <w:ilvl w:val="0"/>
          <w:numId w:val="9"/>
        </w:numPr>
        <w:spacing w:after="0"/>
        <w:jc w:val="both"/>
      </w:pPr>
      <w:r w:rsidRPr="00C31C1D">
        <w:t>The</w:t>
      </w:r>
      <w:r>
        <w:t xml:space="preserve"> a</w:t>
      </w:r>
      <w:r w:rsidRPr="00C31C1D">
        <w:t xml:space="preserve">pplication is intended to erroneously and fallaciously mislead the State in </w:t>
      </w:r>
      <w:r>
        <w:t xml:space="preserve">any way.  </w:t>
      </w:r>
    </w:p>
    <w:p w14:paraId="6A4F4B89" w14:textId="77777777" w:rsidR="003B32F0" w:rsidRDefault="003B32F0" w:rsidP="00DC65CB">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7F11ADCB" w14:textId="77777777" w:rsidR="003B32F0" w:rsidRPr="00C31C1D" w:rsidRDefault="003B32F0" w:rsidP="00DC65CB">
      <w:pPr>
        <w:numPr>
          <w:ilvl w:val="0"/>
          <w:numId w:val="10"/>
        </w:numPr>
        <w:spacing w:after="0"/>
        <w:jc w:val="both"/>
      </w:pPr>
      <w:r w:rsidRPr="00C31C1D">
        <w:rPr>
          <w:szCs w:val="22"/>
        </w:rPr>
        <w:t>The applicant has previously received funding through a</w:t>
      </w:r>
      <w:r>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64453B95" w14:textId="77777777" w:rsidR="003B32F0" w:rsidRDefault="003B32F0" w:rsidP="00DC65CB">
      <w:pPr>
        <w:numPr>
          <w:ilvl w:val="0"/>
          <w:numId w:val="10"/>
        </w:numPr>
        <w:spacing w:after="0"/>
        <w:jc w:val="both"/>
      </w:pPr>
      <w:r>
        <w:t>The a</w:t>
      </w:r>
      <w:r w:rsidRPr="00C31C1D">
        <w:t xml:space="preserve">pplicant has received unsatisfactory </w:t>
      </w:r>
      <w:r>
        <w:t xml:space="preserve">agreement </w:t>
      </w:r>
      <w:r w:rsidRPr="00C31C1D">
        <w:t xml:space="preserve">evaluations from the </w:t>
      </w:r>
      <w:r>
        <w:t>CEC</w:t>
      </w:r>
      <w:r w:rsidRPr="00C31C1D">
        <w:t xml:space="preserve"> or another California state agenc</w:t>
      </w:r>
      <w:r>
        <w:t>y</w:t>
      </w:r>
      <w:r w:rsidRPr="00C31C1D">
        <w:t>.</w:t>
      </w:r>
    </w:p>
    <w:p w14:paraId="4F0BA044" w14:textId="77777777" w:rsidR="003B32F0" w:rsidRPr="00C31C1D" w:rsidRDefault="003B32F0" w:rsidP="00DC65CB">
      <w:pPr>
        <w:numPr>
          <w:ilvl w:val="0"/>
          <w:numId w:val="10"/>
        </w:numPr>
        <w:spacing w:after="0"/>
        <w:jc w:val="both"/>
      </w:pPr>
      <w:r>
        <w:t>The applicant is a business entity required to be registered with the California Secretary of State and is not in good standing.</w:t>
      </w:r>
    </w:p>
    <w:p w14:paraId="0C102214" w14:textId="77777777" w:rsidR="003B32F0" w:rsidRDefault="003B32F0" w:rsidP="00DC65CB">
      <w:pPr>
        <w:numPr>
          <w:ilvl w:val="0"/>
          <w:numId w:val="10"/>
        </w:numPr>
        <w:spacing w:after="0"/>
        <w:jc w:val="both"/>
      </w:pPr>
      <w:r>
        <w:t>The a</w:t>
      </w:r>
      <w:r w:rsidRPr="00C31C1D">
        <w:t>pplicant has not demonstrated that it has the financial capability to complete the project.</w:t>
      </w:r>
    </w:p>
    <w:p w14:paraId="61F816C8" w14:textId="77777777" w:rsidR="003B32F0" w:rsidRDefault="003B32F0" w:rsidP="00DC65CB">
      <w:pPr>
        <w:numPr>
          <w:ilvl w:val="0"/>
          <w:numId w:val="10"/>
        </w:numPr>
        <w:spacing w:after="0"/>
        <w:jc w:val="both"/>
      </w:pPr>
      <w:r>
        <w:t xml:space="preserve">The applicant fails to meet CEQA compliance within </w:t>
      </w:r>
      <w:r w:rsidRPr="00CF255E">
        <w:t xml:space="preserve">sufficient time for the </w:t>
      </w:r>
      <w:r>
        <w:t>CEC</w:t>
      </w:r>
      <w:r w:rsidRPr="00CF255E">
        <w:t xml:space="preserve"> to meet its encumbrance deadline</w:t>
      </w:r>
      <w:r>
        <w:t xml:space="preserve"> or any other deadlines</w:t>
      </w:r>
      <w:r w:rsidRPr="00CF255E">
        <w:t xml:space="preserve">, as the </w:t>
      </w:r>
      <w:r>
        <w:t>CEC</w:t>
      </w:r>
      <w:r w:rsidRPr="00CF255E">
        <w:t xml:space="preserve"> in its sole and absolute discretion may determine</w:t>
      </w:r>
      <w:r w:rsidRPr="0078204F">
        <w:t>.</w:t>
      </w:r>
    </w:p>
    <w:p w14:paraId="058ED55F" w14:textId="77777777" w:rsidR="003B32F0" w:rsidRDefault="003B32F0" w:rsidP="00DC65CB">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539C4167" w14:textId="77777777" w:rsidR="003B32F0" w:rsidRPr="00CE1D19" w:rsidRDefault="003B32F0" w:rsidP="00DC65CB">
      <w:pPr>
        <w:numPr>
          <w:ilvl w:val="0"/>
          <w:numId w:val="10"/>
        </w:numPr>
        <w:spacing w:after="0"/>
        <w:jc w:val="both"/>
      </w:pPr>
      <w:r w:rsidRPr="005A6240">
        <w:t>The application contain</w:t>
      </w:r>
      <w:r>
        <w:t>s</w:t>
      </w:r>
      <w:r w:rsidRPr="005A6240">
        <w:t xml:space="preserve"> confidential information or identif</w:t>
      </w:r>
      <w:r>
        <w:t>ies</w:t>
      </w:r>
      <w:r w:rsidRPr="005A6240">
        <w:t xml:space="preserve"> any portion of the application as confidential.</w:t>
      </w:r>
    </w:p>
    <w:p w14:paraId="2C85E67C" w14:textId="77777777" w:rsidR="003B32F0" w:rsidRDefault="003B32F0" w:rsidP="003B32F0">
      <w:pPr>
        <w:spacing w:after="0"/>
        <w:ind w:left="720"/>
        <w:jc w:val="both"/>
      </w:pPr>
    </w:p>
    <w:p w14:paraId="27E7E343" w14:textId="77777777" w:rsidR="003B32F0" w:rsidRPr="00CF6DED" w:rsidRDefault="003B32F0" w:rsidP="00DC65CB">
      <w:pPr>
        <w:pStyle w:val="Heading2"/>
        <w:numPr>
          <w:ilvl w:val="0"/>
          <w:numId w:val="47"/>
        </w:numPr>
      </w:pPr>
      <w:bookmarkStart w:id="154" w:name="_Toc84844929"/>
      <w:r w:rsidRPr="00CF6DED">
        <w:lastRenderedPageBreak/>
        <w:t>Miscellaneous</w:t>
      </w:r>
      <w:bookmarkEnd w:id="154"/>
    </w:p>
    <w:p w14:paraId="06064E5F" w14:textId="77777777" w:rsidR="003B32F0" w:rsidRPr="00CF255E" w:rsidRDefault="003B32F0" w:rsidP="00DC65CB">
      <w:pPr>
        <w:pStyle w:val="ListParagraph"/>
        <w:numPr>
          <w:ilvl w:val="0"/>
          <w:numId w:val="30"/>
        </w:numPr>
        <w:tabs>
          <w:tab w:val="num" w:pos="360"/>
        </w:tabs>
        <w:rPr>
          <w:b/>
        </w:rPr>
      </w:pPr>
      <w:bookmarkStart w:id="155" w:name="_Toc381079937"/>
      <w:bookmarkStart w:id="156" w:name="_Toc382571200"/>
      <w:bookmarkStart w:id="157" w:name="_Toc395180710"/>
      <w:bookmarkStart w:id="158" w:name="_Toc433981339"/>
      <w:r w:rsidRPr="00CF255E">
        <w:rPr>
          <w:b/>
        </w:rPr>
        <w:t>Solicitation Cancellation and Amendment</w:t>
      </w:r>
      <w:bookmarkEnd w:id="155"/>
      <w:bookmarkEnd w:id="156"/>
      <w:bookmarkEnd w:id="157"/>
      <w:bookmarkEnd w:id="158"/>
    </w:p>
    <w:p w14:paraId="3AF93B80" w14:textId="77777777" w:rsidR="003B32F0" w:rsidRDefault="003B32F0" w:rsidP="003B32F0">
      <w:bookmarkStart w:id="159" w:name="_Toc381079938"/>
      <w:bookmarkStart w:id="160" w:name="_Toc382571201"/>
      <w:bookmarkStart w:id="161" w:name="_Toc395180711"/>
      <w:r w:rsidRPr="00AF6F4C">
        <w:t xml:space="preserve">It is the policy of the </w:t>
      </w:r>
      <w:r>
        <w:t>CEC</w:t>
      </w:r>
      <w:r w:rsidRPr="00AF6F4C">
        <w:t xml:space="preserve"> not to solicit applications unless there is a b</w:t>
      </w:r>
      <w:r>
        <w:t xml:space="preserve">ona fide intention to award an agreement. </w:t>
      </w:r>
      <w:r w:rsidRPr="00AF6F4C">
        <w:t xml:space="preserve">However, if it is in the State’s best interest, the </w:t>
      </w:r>
      <w:r>
        <w:t>CEC</w:t>
      </w:r>
      <w:r w:rsidRPr="00AF6F4C">
        <w:t xml:space="preserve"> reserves the right</w:t>
      </w:r>
      <w:r>
        <w:t>, in addition to any other rights it has,</w:t>
      </w:r>
      <w:r w:rsidRPr="00AF6F4C">
        <w:t xml:space="preserve"> to do any of the following:</w:t>
      </w:r>
      <w:bookmarkEnd w:id="159"/>
      <w:bookmarkEnd w:id="160"/>
      <w:bookmarkEnd w:id="161"/>
    </w:p>
    <w:p w14:paraId="066C5EB1" w14:textId="77777777" w:rsidR="003B32F0" w:rsidRDefault="003B32F0" w:rsidP="00DC65CB">
      <w:pPr>
        <w:numPr>
          <w:ilvl w:val="0"/>
          <w:numId w:val="11"/>
        </w:numPr>
        <w:spacing w:after="0"/>
        <w:ind w:left="810" w:hanging="450"/>
        <w:jc w:val="both"/>
        <w:rPr>
          <w:szCs w:val="22"/>
        </w:rPr>
      </w:pPr>
      <w:r w:rsidRPr="00D35C41">
        <w:rPr>
          <w:szCs w:val="22"/>
        </w:rPr>
        <w:t>Cancel this solicitation;</w:t>
      </w:r>
    </w:p>
    <w:p w14:paraId="067960D4" w14:textId="77777777" w:rsidR="003B32F0" w:rsidRDefault="003B32F0" w:rsidP="00DC65CB">
      <w:pPr>
        <w:numPr>
          <w:ilvl w:val="0"/>
          <w:numId w:val="11"/>
        </w:numPr>
        <w:spacing w:after="0"/>
        <w:ind w:left="810" w:hanging="450"/>
        <w:jc w:val="both"/>
        <w:rPr>
          <w:szCs w:val="22"/>
        </w:rPr>
      </w:pPr>
      <w:r w:rsidRPr="00D35C41">
        <w:rPr>
          <w:szCs w:val="22"/>
        </w:rPr>
        <w:t>Revise the amount of funds available under this solicitation;</w:t>
      </w:r>
    </w:p>
    <w:p w14:paraId="79846527" w14:textId="77777777" w:rsidR="003B32F0" w:rsidRDefault="003B32F0" w:rsidP="00DC65CB">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67297596" w14:textId="77777777" w:rsidR="003B32F0" w:rsidRDefault="003B32F0" w:rsidP="00DC65CB">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3C90F567" w14:textId="77777777" w:rsidR="003B32F0" w:rsidRPr="00D35C41" w:rsidRDefault="003B32F0" w:rsidP="003B32F0">
      <w:pPr>
        <w:jc w:val="both"/>
        <w:rPr>
          <w:szCs w:val="22"/>
        </w:rPr>
      </w:pPr>
      <w:r w:rsidRPr="00D35C41">
        <w:rPr>
          <w:szCs w:val="22"/>
        </w:rPr>
        <w:t xml:space="preserve">If the solicitation is amended, the </w:t>
      </w:r>
      <w:r>
        <w:rPr>
          <w:szCs w:val="22"/>
        </w:rPr>
        <w:t>CEC</w:t>
      </w:r>
      <w:r w:rsidRPr="00D35C41">
        <w:rPr>
          <w:szCs w:val="22"/>
        </w:rPr>
        <w:t xml:space="preserve"> will send an addendum to all </w:t>
      </w:r>
      <w:r>
        <w:rPr>
          <w:szCs w:val="22"/>
        </w:rPr>
        <w:t>entities</w:t>
      </w:r>
      <w:r w:rsidRPr="00D35C41">
        <w:rPr>
          <w:szCs w:val="22"/>
        </w:rPr>
        <w:t xml:space="preserve"> </w:t>
      </w:r>
      <w:r>
        <w:rPr>
          <w:szCs w:val="22"/>
        </w:rPr>
        <w:t>that</w:t>
      </w:r>
      <w:r w:rsidRPr="00D35C41">
        <w:rPr>
          <w:szCs w:val="22"/>
        </w:rPr>
        <w:t xml:space="preserve"> requested the solicitation and will also post it on the </w:t>
      </w:r>
      <w:r>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CEC will not reimburse applicants for application development expenses under any circumstances, including cancellation of the solicitation.</w:t>
      </w:r>
    </w:p>
    <w:p w14:paraId="20233834" w14:textId="77777777" w:rsidR="003B32F0" w:rsidRPr="004D0A67" w:rsidRDefault="003B32F0" w:rsidP="00DC65CB">
      <w:pPr>
        <w:pStyle w:val="ListParagraph"/>
        <w:numPr>
          <w:ilvl w:val="0"/>
          <w:numId w:val="30"/>
        </w:numPr>
        <w:tabs>
          <w:tab w:val="num" w:pos="360"/>
        </w:tabs>
        <w:rPr>
          <w:b/>
        </w:rPr>
      </w:pPr>
      <w:bookmarkStart w:id="162" w:name="_Toc381079939"/>
      <w:bookmarkStart w:id="163" w:name="_Toc382571202"/>
      <w:bookmarkStart w:id="164" w:name="_Toc395180712"/>
      <w:bookmarkStart w:id="165" w:name="_Toc433981340"/>
      <w:r w:rsidRPr="004D0A67">
        <w:rPr>
          <w:b/>
        </w:rPr>
        <w:t>Modification or Withdrawal of Application</w:t>
      </w:r>
      <w:bookmarkEnd w:id="162"/>
      <w:bookmarkEnd w:id="163"/>
      <w:bookmarkEnd w:id="164"/>
      <w:bookmarkEnd w:id="165"/>
    </w:p>
    <w:p w14:paraId="022FD6D2" w14:textId="77777777" w:rsidR="003B32F0" w:rsidRPr="00D35C41" w:rsidRDefault="003B32F0" w:rsidP="003B32F0">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Pr>
          <w:szCs w:val="22"/>
        </w:rPr>
        <w:t xml:space="preserve">Commission 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0050E50C" w14:textId="77777777" w:rsidR="003B32F0" w:rsidRPr="004D0A67" w:rsidRDefault="003B32F0" w:rsidP="00DC65CB">
      <w:pPr>
        <w:pStyle w:val="ListParagraph"/>
        <w:numPr>
          <w:ilvl w:val="0"/>
          <w:numId w:val="30"/>
        </w:numPr>
        <w:tabs>
          <w:tab w:val="num" w:pos="360"/>
        </w:tabs>
        <w:rPr>
          <w:b/>
        </w:rPr>
      </w:pPr>
      <w:bookmarkStart w:id="166" w:name="_Toc381079940"/>
      <w:bookmarkStart w:id="167" w:name="_Toc382571203"/>
      <w:bookmarkStart w:id="168" w:name="_Toc395180713"/>
      <w:bookmarkStart w:id="169" w:name="_Toc433981341"/>
      <w:bookmarkStart w:id="170" w:name="_Toc381079941"/>
      <w:r w:rsidRPr="004D0A67">
        <w:rPr>
          <w:b/>
        </w:rPr>
        <w:t>Confidentiality</w:t>
      </w:r>
      <w:bookmarkEnd w:id="166"/>
      <w:bookmarkEnd w:id="167"/>
      <w:bookmarkEnd w:id="168"/>
      <w:bookmarkEnd w:id="169"/>
    </w:p>
    <w:p w14:paraId="3A6FBE07" w14:textId="77777777" w:rsidR="003B32F0" w:rsidRPr="001D740D" w:rsidRDefault="003B32F0" w:rsidP="003B32F0">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Pr>
          <w:b/>
        </w:rPr>
        <w:t>ly</w:t>
      </w:r>
      <w:r w:rsidRPr="00D20F46">
        <w:rPr>
          <w:b/>
        </w:rPr>
        <w:t xml:space="preserve"> </w:t>
      </w:r>
      <w:r>
        <w:rPr>
          <w:b/>
        </w:rPr>
        <w:t xml:space="preserve">available </w:t>
      </w:r>
      <w:r w:rsidRPr="00D20F46">
        <w:rPr>
          <w:b/>
        </w:rPr>
        <w:t>records</w:t>
      </w:r>
      <w:r w:rsidRPr="00BC0F1F">
        <w:t xml:space="preserve"> after the </w:t>
      </w:r>
      <w:r>
        <w:t>CEC</w:t>
      </w:r>
      <w:r w:rsidRPr="00BC0F1F">
        <w:t xml:space="preserve"> posts the NOPA or the solicitation is cancelled.</w:t>
      </w:r>
      <w:r>
        <w:t xml:space="preserve">  </w:t>
      </w:r>
      <w:r w:rsidRPr="00A535A6">
        <w:rPr>
          <w:b/>
        </w:rPr>
        <w:t xml:space="preserve">The </w:t>
      </w:r>
      <w:r>
        <w:rPr>
          <w:b/>
        </w:rPr>
        <w:t>CEC</w:t>
      </w:r>
      <w:r w:rsidRPr="00A535A6">
        <w:rPr>
          <w:b/>
        </w:rPr>
        <w:t xml:space="preserve"> will not accept or retain applications that identify any </w:t>
      </w:r>
      <w:r>
        <w:rPr>
          <w:b/>
        </w:rPr>
        <w:t>portion</w:t>
      </w:r>
      <w:r w:rsidRPr="00A535A6">
        <w:rPr>
          <w:b/>
        </w:rPr>
        <w:t xml:space="preserve"> as confidential.</w:t>
      </w:r>
      <w:r w:rsidDel="005028D9">
        <w:t xml:space="preserve"> </w:t>
      </w:r>
    </w:p>
    <w:p w14:paraId="6BD9D3A6" w14:textId="77777777" w:rsidR="003B32F0" w:rsidRPr="004D0A67" w:rsidRDefault="003B32F0" w:rsidP="00DC65CB">
      <w:pPr>
        <w:pStyle w:val="ListParagraph"/>
        <w:numPr>
          <w:ilvl w:val="0"/>
          <w:numId w:val="30"/>
        </w:numPr>
        <w:tabs>
          <w:tab w:val="num" w:pos="360"/>
        </w:tabs>
        <w:spacing w:after="160"/>
        <w:rPr>
          <w:b/>
        </w:rPr>
      </w:pPr>
      <w:bookmarkStart w:id="171" w:name="_Toc382571204"/>
      <w:bookmarkStart w:id="172" w:name="_Toc395180714"/>
      <w:bookmarkStart w:id="173" w:name="_Toc433981342"/>
      <w:r w:rsidRPr="004D0A67">
        <w:rPr>
          <w:b/>
        </w:rPr>
        <w:t>Solicitation Errors</w:t>
      </w:r>
      <w:bookmarkEnd w:id="170"/>
      <w:bookmarkEnd w:id="171"/>
      <w:bookmarkEnd w:id="172"/>
      <w:bookmarkEnd w:id="173"/>
    </w:p>
    <w:p w14:paraId="1E997155" w14:textId="77777777" w:rsidR="003B32F0" w:rsidRPr="00D35C41" w:rsidRDefault="003B32F0" w:rsidP="003B32F0">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The CEC will provide m</w:t>
      </w:r>
      <w:r w:rsidRPr="00D35C41">
        <w:rPr>
          <w:szCs w:val="22"/>
        </w:rPr>
        <w:t xml:space="preserve">odifications or clarifications </w:t>
      </w:r>
      <w:r>
        <w:rPr>
          <w:szCs w:val="22"/>
        </w:rPr>
        <w:t>by written notice to</w:t>
      </w:r>
      <w:r w:rsidRPr="00D35C41">
        <w:rPr>
          <w:szCs w:val="22"/>
        </w:rPr>
        <w:t xml:space="preserve"> all </w:t>
      </w:r>
      <w:r>
        <w:rPr>
          <w:szCs w:val="22"/>
        </w:rPr>
        <w:t>entities that</w:t>
      </w:r>
      <w:r w:rsidRPr="00D35C41">
        <w:rPr>
          <w:szCs w:val="22"/>
        </w:rPr>
        <w:t xml:space="preserve"> requested the solicitation.  The </w:t>
      </w:r>
      <w:r>
        <w:rPr>
          <w:szCs w:val="22"/>
        </w:rPr>
        <w:t>CEC</w:t>
      </w:r>
      <w:r w:rsidRPr="00D35C41">
        <w:rPr>
          <w:szCs w:val="22"/>
        </w:rPr>
        <w:t xml:space="preserve"> will not be responsible for failure to correct errors.</w:t>
      </w:r>
    </w:p>
    <w:p w14:paraId="7F9D7E40" w14:textId="77777777" w:rsidR="003B32F0" w:rsidRPr="004D0A67" w:rsidRDefault="003B32F0" w:rsidP="00DC65CB">
      <w:pPr>
        <w:pStyle w:val="ListParagraph"/>
        <w:numPr>
          <w:ilvl w:val="0"/>
          <w:numId w:val="30"/>
        </w:numPr>
        <w:tabs>
          <w:tab w:val="num" w:pos="360"/>
        </w:tabs>
        <w:rPr>
          <w:b/>
        </w:rPr>
      </w:pPr>
      <w:bookmarkStart w:id="174" w:name="_Toc381079942"/>
      <w:bookmarkStart w:id="175" w:name="_Toc382571205"/>
      <w:bookmarkStart w:id="176" w:name="_Toc395180715"/>
      <w:bookmarkStart w:id="177" w:name="_Toc433981343"/>
      <w:r w:rsidRPr="004D0A67">
        <w:rPr>
          <w:b/>
        </w:rPr>
        <w:t>Immaterial Defect</w:t>
      </w:r>
      <w:bookmarkEnd w:id="174"/>
      <w:bookmarkEnd w:id="175"/>
      <w:bookmarkEnd w:id="176"/>
      <w:bookmarkEnd w:id="177"/>
    </w:p>
    <w:p w14:paraId="58015C2D" w14:textId="77777777" w:rsidR="003B32F0" w:rsidRPr="00D35C41" w:rsidRDefault="003B32F0" w:rsidP="003B32F0">
      <w:pPr>
        <w:jc w:val="both"/>
        <w:rPr>
          <w:szCs w:val="22"/>
        </w:rPr>
      </w:pPr>
      <w:r w:rsidRPr="00D35C41">
        <w:rPr>
          <w:szCs w:val="22"/>
        </w:rPr>
        <w:t xml:space="preserve">The </w:t>
      </w:r>
      <w:r>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473A1F29" w14:textId="77777777" w:rsidR="003B32F0" w:rsidRPr="004D0A67" w:rsidRDefault="003B32F0" w:rsidP="00DC65CB">
      <w:pPr>
        <w:pStyle w:val="ListParagraph"/>
        <w:numPr>
          <w:ilvl w:val="0"/>
          <w:numId w:val="30"/>
        </w:numPr>
        <w:tabs>
          <w:tab w:val="num" w:pos="360"/>
        </w:tabs>
        <w:rPr>
          <w:b/>
        </w:rPr>
      </w:pPr>
      <w:bookmarkStart w:id="178" w:name="_Toc381079943"/>
      <w:bookmarkStart w:id="179" w:name="_Toc382571206"/>
      <w:bookmarkStart w:id="180" w:name="_Toc395180716"/>
      <w:bookmarkStart w:id="181" w:name="_Toc433981344"/>
      <w:r w:rsidRPr="004D0A67">
        <w:rPr>
          <w:b/>
        </w:rPr>
        <w:t>Disposition of Applicant’s Documents</w:t>
      </w:r>
      <w:bookmarkEnd w:id="178"/>
      <w:bookmarkEnd w:id="179"/>
      <w:bookmarkEnd w:id="180"/>
      <w:bookmarkEnd w:id="181"/>
    </w:p>
    <w:p w14:paraId="1BCA488E" w14:textId="77777777" w:rsidR="003B32F0" w:rsidRDefault="003B32F0" w:rsidP="003B32F0">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Pr>
          <w:szCs w:val="22"/>
        </w:rPr>
        <w:t>ly</w:t>
      </w:r>
      <w:r w:rsidRPr="00D35C41">
        <w:rPr>
          <w:szCs w:val="22"/>
        </w:rPr>
        <w:t xml:space="preserve"> </w:t>
      </w:r>
      <w:r>
        <w:rPr>
          <w:szCs w:val="22"/>
        </w:rPr>
        <w:t xml:space="preserve">available </w:t>
      </w:r>
      <w:r w:rsidRPr="00D35C41">
        <w:rPr>
          <w:szCs w:val="22"/>
        </w:rPr>
        <w:t>record</w:t>
      </w:r>
      <w:r>
        <w:rPr>
          <w:szCs w:val="22"/>
        </w:rPr>
        <w:t>s</w:t>
      </w:r>
      <w:r w:rsidRPr="00D35C41">
        <w:rPr>
          <w:szCs w:val="22"/>
        </w:rPr>
        <w:t xml:space="preserve">.  </w:t>
      </w:r>
      <w:r>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to the Agreement Officer listed in Part I and</w:t>
      </w:r>
      <w:r w:rsidRPr="00D35C41">
        <w:rPr>
          <w:szCs w:val="22"/>
        </w:rPr>
        <w:t xml:space="preserve"> provide sufficient postage to fund the cost of returning the materials.</w:t>
      </w:r>
    </w:p>
    <w:p w14:paraId="3A4E2F33" w14:textId="77777777" w:rsidR="003B32F0" w:rsidRDefault="003B32F0" w:rsidP="003B32F0">
      <w:pPr>
        <w:spacing w:after="0"/>
        <w:rPr>
          <w:szCs w:val="22"/>
        </w:rPr>
      </w:pPr>
      <w:r>
        <w:rPr>
          <w:szCs w:val="22"/>
        </w:rPr>
        <w:br w:type="page"/>
      </w:r>
    </w:p>
    <w:p w14:paraId="64759988" w14:textId="77777777" w:rsidR="003B32F0" w:rsidRPr="00CF6DED" w:rsidRDefault="003B32F0" w:rsidP="00DC65CB">
      <w:pPr>
        <w:pStyle w:val="Heading2"/>
        <w:numPr>
          <w:ilvl w:val="0"/>
          <w:numId w:val="47"/>
        </w:numPr>
      </w:pPr>
      <w:bookmarkStart w:id="182" w:name="_Toc433981345"/>
      <w:bookmarkStart w:id="183" w:name="_Toc84844930"/>
      <w:r w:rsidRPr="00CF6DED">
        <w:lastRenderedPageBreak/>
        <w:t>Stage One:  Application Screening</w:t>
      </w:r>
      <w:bookmarkEnd w:id="182"/>
      <w:bookmarkEnd w:id="1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32F0" w:rsidRPr="00C31C1D" w14:paraId="6F0881A8" w14:textId="77777777" w:rsidTr="006D46A0">
        <w:trPr>
          <w:trHeight w:val="586"/>
          <w:tblHeader/>
        </w:trPr>
        <w:tc>
          <w:tcPr>
            <w:tcW w:w="7231" w:type="dxa"/>
            <w:shd w:val="clear" w:color="auto" w:fill="D9D9D9" w:themeFill="background1" w:themeFillShade="D9"/>
            <w:vAlign w:val="center"/>
          </w:tcPr>
          <w:p w14:paraId="0E8FE6BA" w14:textId="77777777" w:rsidR="003B32F0" w:rsidRPr="00FC390E" w:rsidRDefault="003B32F0" w:rsidP="006D46A0">
            <w:pPr>
              <w:jc w:val="center"/>
              <w:rPr>
                <w:b/>
                <w:caps/>
              </w:rPr>
            </w:pPr>
            <w:r w:rsidRPr="00FC390E">
              <w:rPr>
                <w:b/>
                <w:caps/>
              </w:rPr>
              <w:t xml:space="preserve">Screening Criteria </w:t>
            </w:r>
          </w:p>
          <w:p w14:paraId="41932BC3" w14:textId="77777777" w:rsidR="003B32F0" w:rsidRPr="00DD6604" w:rsidRDefault="003B32F0" w:rsidP="006D46A0">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4602A88A" w14:textId="77777777" w:rsidR="003B32F0" w:rsidRPr="00C31C1D" w:rsidRDefault="003B32F0" w:rsidP="006D46A0">
            <w:pPr>
              <w:jc w:val="center"/>
              <w:rPr>
                <w:b/>
              </w:rPr>
            </w:pPr>
            <w:r w:rsidRPr="00C31C1D">
              <w:rPr>
                <w:b/>
              </w:rPr>
              <w:t>Pass/Fail</w:t>
            </w:r>
          </w:p>
        </w:tc>
      </w:tr>
      <w:tr w:rsidR="003B32F0" w:rsidRPr="00C31C1D" w14:paraId="0824C266" w14:textId="77777777" w:rsidTr="006D46A0">
        <w:tc>
          <w:tcPr>
            <w:tcW w:w="7231" w:type="dxa"/>
          </w:tcPr>
          <w:p w14:paraId="34630DD5" w14:textId="77777777" w:rsidR="003B32F0" w:rsidRPr="00C31C1D" w:rsidRDefault="003B32F0" w:rsidP="00DC65CB">
            <w:pPr>
              <w:numPr>
                <w:ilvl w:val="0"/>
                <w:numId w:val="8"/>
              </w:numPr>
              <w:jc w:val="both"/>
            </w:pPr>
            <w:r>
              <w:t>The a</w:t>
            </w:r>
            <w:r w:rsidRPr="00C31C1D">
              <w:t xml:space="preserve">pplication </w:t>
            </w:r>
            <w:r>
              <w:t xml:space="preserve">is </w:t>
            </w:r>
            <w:r w:rsidRPr="00C31C1D">
              <w:t xml:space="preserve">received by the </w:t>
            </w:r>
            <w:r>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57166B56" w14:textId="77777777" w:rsidR="003B32F0" w:rsidRPr="00C31C1D" w:rsidRDefault="003B32F0" w:rsidP="006D46A0">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2209C9C" w14:textId="77777777" w:rsidR="003B32F0" w:rsidRPr="00C31C1D" w:rsidRDefault="003B32F0" w:rsidP="006D46A0">
            <w:pPr>
              <w:spacing w:after="0"/>
              <w:jc w:val="both"/>
              <w:rPr>
                <w:noProof/>
              </w:rPr>
            </w:pPr>
          </w:p>
        </w:tc>
      </w:tr>
      <w:tr w:rsidR="003B32F0" w:rsidRPr="00C31C1D" w14:paraId="7E3DB4CA" w14:textId="77777777" w:rsidTr="006D46A0">
        <w:tc>
          <w:tcPr>
            <w:tcW w:w="7231" w:type="dxa"/>
            <w:tcBorders>
              <w:bottom w:val="single" w:sz="4" w:space="0" w:color="000000"/>
            </w:tcBorders>
          </w:tcPr>
          <w:p w14:paraId="05427F9A" w14:textId="77777777" w:rsidR="003B32F0" w:rsidRDefault="003B32F0" w:rsidP="00DC65CB">
            <w:pPr>
              <w:numPr>
                <w:ilvl w:val="0"/>
                <w:numId w:val="8"/>
              </w:numPr>
              <w:jc w:val="both"/>
            </w:pPr>
            <w:r>
              <w:t>The application Form (Attachment 1) is signed where indicated.</w:t>
            </w:r>
          </w:p>
        </w:tc>
        <w:tc>
          <w:tcPr>
            <w:tcW w:w="2119" w:type="dxa"/>
            <w:tcBorders>
              <w:bottom w:val="single" w:sz="4" w:space="0" w:color="000000"/>
            </w:tcBorders>
          </w:tcPr>
          <w:p w14:paraId="6325E16E" w14:textId="77777777" w:rsidR="003B32F0" w:rsidRPr="00C31C1D" w:rsidRDefault="003B32F0" w:rsidP="006D46A0">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3F46126D" w14:textId="77777777" w:rsidR="003B32F0" w:rsidRPr="005F374A" w:rsidRDefault="003B32F0" w:rsidP="006D46A0">
            <w:pPr>
              <w:keepLines/>
              <w:spacing w:after="0"/>
              <w:jc w:val="both"/>
              <w:rPr>
                <w:sz w:val="20"/>
              </w:rPr>
            </w:pPr>
          </w:p>
        </w:tc>
      </w:tr>
      <w:tr w:rsidR="003B32F0" w:rsidRPr="005F374A" w14:paraId="51609A42" w14:textId="77777777" w:rsidTr="006D46A0">
        <w:tc>
          <w:tcPr>
            <w:tcW w:w="7231" w:type="dxa"/>
            <w:tcBorders>
              <w:top w:val="single" w:sz="8" w:space="0" w:color="000000"/>
              <w:bottom w:val="single" w:sz="24" w:space="0" w:color="000000"/>
            </w:tcBorders>
          </w:tcPr>
          <w:p w14:paraId="204D9761" w14:textId="77777777" w:rsidR="003B32F0" w:rsidRDefault="003B32F0" w:rsidP="00DC65CB">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5BB53097" w14:textId="77777777" w:rsidR="003B32F0" w:rsidRPr="00C31C1D" w:rsidRDefault="003B32F0" w:rsidP="006D46A0">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5115EE37" w14:textId="77777777" w:rsidR="003B32F0" w:rsidRPr="005F374A" w:rsidRDefault="003B32F0" w:rsidP="006D46A0">
            <w:pPr>
              <w:keepLines/>
              <w:spacing w:after="0"/>
              <w:jc w:val="both"/>
              <w:rPr>
                <w:sz w:val="20"/>
              </w:rPr>
            </w:pPr>
          </w:p>
        </w:tc>
      </w:tr>
      <w:tr w:rsidR="003B32F0" w:rsidRPr="00C31C1D" w14:paraId="08C3537A" w14:textId="77777777" w:rsidTr="006D46A0">
        <w:tc>
          <w:tcPr>
            <w:tcW w:w="7231" w:type="dxa"/>
            <w:tcBorders>
              <w:top w:val="single" w:sz="8" w:space="0" w:color="000000"/>
              <w:left w:val="single" w:sz="4" w:space="0" w:color="000000"/>
              <w:bottom w:val="single" w:sz="4" w:space="0" w:color="auto"/>
              <w:right w:val="single" w:sz="4" w:space="0" w:color="000000"/>
            </w:tcBorders>
          </w:tcPr>
          <w:p w14:paraId="020AAD7F" w14:textId="77777777" w:rsidR="003B32F0" w:rsidRPr="00F134B1" w:rsidRDefault="003B32F0" w:rsidP="00DC65CB">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6EAE9A9B" w14:textId="77777777" w:rsidR="003B32F0" w:rsidRPr="00176ACE" w:rsidRDefault="003B32F0" w:rsidP="006D46A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3B6E125D" w14:textId="77777777" w:rsidR="003B32F0" w:rsidRPr="00176ACE" w:rsidRDefault="003B32F0" w:rsidP="006D46A0">
            <w:pPr>
              <w:keepLines/>
              <w:spacing w:after="0"/>
              <w:jc w:val="both"/>
              <w:rPr>
                <w:sz w:val="20"/>
              </w:rPr>
            </w:pPr>
          </w:p>
        </w:tc>
      </w:tr>
      <w:tr w:rsidR="003B32F0" w:rsidRPr="00C31C1D" w14:paraId="518D5A51" w14:textId="77777777" w:rsidTr="006D46A0">
        <w:tc>
          <w:tcPr>
            <w:tcW w:w="7231" w:type="dxa"/>
            <w:tcBorders>
              <w:top w:val="single" w:sz="4" w:space="0" w:color="auto"/>
            </w:tcBorders>
          </w:tcPr>
          <w:p w14:paraId="4866330E" w14:textId="77777777" w:rsidR="003B32F0" w:rsidRPr="00C5422E" w:rsidRDefault="003B32F0" w:rsidP="00DC65CB">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13C181B8" w14:textId="77777777" w:rsidR="003B32F0" w:rsidRDefault="003B32F0" w:rsidP="006D46A0">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CEC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019A3D53" w14:textId="77777777" w:rsidR="003B32F0" w:rsidRPr="00C31C1D" w:rsidRDefault="003B32F0" w:rsidP="006D46A0">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3762">
              <w:rPr>
                <w:color w:val="2B579A"/>
                <w:sz w:val="20"/>
                <w:shd w:val="clear" w:color="auto" w:fill="E6E6E6"/>
              </w:rPr>
            </w:r>
            <w:r w:rsidR="00F03762">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52F4596" w14:textId="77777777" w:rsidR="003B32F0" w:rsidRPr="005F374A" w:rsidRDefault="003B32F0" w:rsidP="006D46A0">
            <w:pPr>
              <w:keepLines/>
              <w:spacing w:after="0"/>
              <w:jc w:val="both"/>
              <w:rPr>
                <w:sz w:val="20"/>
              </w:rPr>
            </w:pPr>
          </w:p>
        </w:tc>
      </w:tr>
    </w:tbl>
    <w:p w14:paraId="36CEBE10" w14:textId="77777777" w:rsidR="003B32F0" w:rsidRDefault="003B32F0" w:rsidP="003B32F0">
      <w:pPr>
        <w:spacing w:after="0"/>
        <w:rPr>
          <w:b/>
          <w:caps/>
        </w:rPr>
      </w:pPr>
      <w:bookmarkStart w:id="184" w:name="Screen5"/>
      <w:bookmarkStart w:id="185" w:name="Screen6"/>
      <w:bookmarkEnd w:id="184"/>
      <w:bookmarkEnd w:id="185"/>
    </w:p>
    <w:p w14:paraId="345E4BDF" w14:textId="77777777" w:rsidR="003B32F0" w:rsidRPr="00624855" w:rsidRDefault="003B32F0" w:rsidP="003B32F0">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0917E9C" w14:textId="77777777" w:rsidR="003B32F0" w:rsidRPr="00FC390E" w:rsidRDefault="003B32F0" w:rsidP="003B32F0">
      <w:pPr>
        <w:spacing w:after="0"/>
        <w:ind w:left="720"/>
        <w:rPr>
          <w:b/>
          <w:caps/>
        </w:rPr>
      </w:pPr>
    </w:p>
    <w:p w14:paraId="08B2DCEC" w14:textId="77777777" w:rsidR="003B32F0" w:rsidRPr="00DB3B66" w:rsidRDefault="003B32F0" w:rsidP="003B32F0">
      <w:pPr>
        <w:pStyle w:val="Heading3"/>
      </w:pPr>
      <w:r w:rsidRPr="00C31C1D">
        <w:br w:type="page"/>
      </w:r>
    </w:p>
    <w:p w14:paraId="50D210B1" w14:textId="77777777" w:rsidR="003B32F0" w:rsidRPr="00CF6DED" w:rsidRDefault="003B32F0" w:rsidP="00DC65CB">
      <w:pPr>
        <w:pStyle w:val="Heading2"/>
        <w:numPr>
          <w:ilvl w:val="0"/>
          <w:numId w:val="47"/>
        </w:numPr>
      </w:pPr>
      <w:bookmarkStart w:id="186" w:name="_Toc433981346"/>
      <w:bookmarkStart w:id="187" w:name="_Toc84844931"/>
      <w:r w:rsidRPr="00CF6DED">
        <w:lastRenderedPageBreak/>
        <w:t>Stage Two:  Application Scoring</w:t>
      </w:r>
      <w:bookmarkEnd w:id="186"/>
      <w:bookmarkEnd w:id="187"/>
    </w:p>
    <w:bookmarkEnd w:id="143"/>
    <w:p w14:paraId="25D730AB" w14:textId="77777777" w:rsidR="003B32F0" w:rsidRPr="00D21FEE" w:rsidRDefault="003B32F0" w:rsidP="003B32F0">
      <w:pPr>
        <w:spacing w:after="0"/>
        <w:jc w:val="both"/>
      </w:pPr>
      <w:r>
        <w:t>Proposals that pass ALL</w:t>
      </w:r>
      <w:r w:rsidRPr="00C31C1D">
        <w:t xml:space="preserve"> Stage One Screening Criteria </w:t>
      </w:r>
      <w:r w:rsidRPr="00C36CCE">
        <w:t>and are not rejected as described in Section IV.C. will be evaluated based on the Scoring Criteria on the next page and the Scoring Scale below (with the exception of criteria 6−</w:t>
      </w:r>
      <w:r>
        <w:t>7</w:t>
      </w:r>
      <w:r w:rsidRPr="00C36CCE">
        <w:t xml:space="preserve">, which will be evaluated as described in each criterion).  Each criterion has an assigned number of possible points and </w:t>
      </w:r>
      <w:r w:rsidRPr="00C31C1D">
        <w:t xml:space="preserve">is divided into multiple sub-criteria. The sub-criteria are not equally weighted. </w:t>
      </w:r>
      <w:r w:rsidRPr="00625809">
        <w:t>Th</w:t>
      </w:r>
      <w:r>
        <w:t>e Project Narrative (Attachment</w:t>
      </w:r>
      <w:r w:rsidRPr="00625809">
        <w:t>) must respond to each sub-criterion</w:t>
      </w:r>
      <w:r>
        <w:t>, unless otherwise indicated</w:t>
      </w:r>
      <w:r w:rsidRPr="00C31C1D">
        <w:t xml:space="preserve">. </w:t>
      </w:r>
    </w:p>
    <w:p w14:paraId="4B72C5D8" w14:textId="77777777" w:rsidR="003B32F0" w:rsidRPr="00933C13" w:rsidRDefault="003B32F0" w:rsidP="003B32F0">
      <w:pPr>
        <w:spacing w:after="0"/>
        <w:ind w:left="360"/>
        <w:jc w:val="both"/>
        <w:rPr>
          <w:b/>
        </w:rPr>
      </w:pPr>
    </w:p>
    <w:p w14:paraId="0D1CD261" w14:textId="77777777" w:rsidR="003B32F0" w:rsidRDefault="003B32F0" w:rsidP="003B32F0">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3B32F0" w:rsidRPr="00050087" w14:paraId="45393CD8" w14:textId="77777777" w:rsidTr="006D46A0">
        <w:trPr>
          <w:trHeight w:val="800"/>
        </w:trPr>
        <w:tc>
          <w:tcPr>
            <w:tcW w:w="1530" w:type="dxa"/>
            <w:shd w:val="clear" w:color="auto" w:fill="D9D9D9"/>
            <w:vAlign w:val="center"/>
          </w:tcPr>
          <w:p w14:paraId="25BF7DB9" w14:textId="77777777" w:rsidR="003B32F0" w:rsidRPr="00050087" w:rsidRDefault="003B32F0" w:rsidP="006D46A0">
            <w:pPr>
              <w:spacing w:after="0"/>
              <w:jc w:val="center"/>
              <w:rPr>
                <w:b/>
                <w:szCs w:val="22"/>
              </w:rPr>
            </w:pPr>
            <w:r w:rsidRPr="00050087">
              <w:rPr>
                <w:b/>
                <w:szCs w:val="22"/>
              </w:rPr>
              <w:t>% of Possible Points</w:t>
            </w:r>
          </w:p>
        </w:tc>
        <w:tc>
          <w:tcPr>
            <w:tcW w:w="1980" w:type="dxa"/>
            <w:shd w:val="clear" w:color="auto" w:fill="D9D9D9"/>
            <w:vAlign w:val="center"/>
          </w:tcPr>
          <w:p w14:paraId="3E46FBAC" w14:textId="77777777" w:rsidR="003B32F0" w:rsidRPr="00050087" w:rsidRDefault="003B32F0" w:rsidP="006D46A0">
            <w:pPr>
              <w:spacing w:after="0"/>
              <w:jc w:val="center"/>
              <w:rPr>
                <w:b/>
                <w:szCs w:val="22"/>
              </w:rPr>
            </w:pPr>
            <w:r w:rsidRPr="00050087">
              <w:rPr>
                <w:b/>
                <w:szCs w:val="22"/>
              </w:rPr>
              <w:t>Interpretation</w:t>
            </w:r>
          </w:p>
        </w:tc>
        <w:tc>
          <w:tcPr>
            <w:tcW w:w="5850" w:type="dxa"/>
            <w:shd w:val="clear" w:color="auto" w:fill="D9D9D9"/>
            <w:vAlign w:val="center"/>
          </w:tcPr>
          <w:p w14:paraId="4431CAAE" w14:textId="77777777" w:rsidR="003B32F0" w:rsidRPr="00050087" w:rsidRDefault="003B32F0" w:rsidP="006D46A0">
            <w:pPr>
              <w:spacing w:after="0"/>
              <w:jc w:val="center"/>
              <w:rPr>
                <w:b/>
                <w:szCs w:val="22"/>
              </w:rPr>
            </w:pPr>
            <w:r w:rsidRPr="00050087">
              <w:rPr>
                <w:b/>
                <w:szCs w:val="22"/>
              </w:rPr>
              <w:t xml:space="preserve">Explanation for Percentage Points </w:t>
            </w:r>
          </w:p>
        </w:tc>
      </w:tr>
      <w:tr w:rsidR="003B32F0" w:rsidRPr="00050087" w14:paraId="085FA4A6" w14:textId="77777777" w:rsidTr="006D46A0">
        <w:trPr>
          <w:trHeight w:val="253"/>
        </w:trPr>
        <w:tc>
          <w:tcPr>
            <w:tcW w:w="1530" w:type="dxa"/>
            <w:vAlign w:val="center"/>
          </w:tcPr>
          <w:p w14:paraId="3FDFF6D2" w14:textId="77777777" w:rsidR="003B32F0" w:rsidRPr="00050087" w:rsidRDefault="003B32F0" w:rsidP="006D46A0">
            <w:pPr>
              <w:spacing w:after="0"/>
              <w:jc w:val="center"/>
              <w:rPr>
                <w:szCs w:val="22"/>
              </w:rPr>
            </w:pPr>
            <w:r w:rsidRPr="00050087">
              <w:rPr>
                <w:szCs w:val="22"/>
              </w:rPr>
              <w:t>0%</w:t>
            </w:r>
          </w:p>
        </w:tc>
        <w:tc>
          <w:tcPr>
            <w:tcW w:w="1980" w:type="dxa"/>
            <w:vAlign w:val="center"/>
          </w:tcPr>
          <w:p w14:paraId="0E0CB3A7" w14:textId="77777777" w:rsidR="003B32F0" w:rsidRPr="00050087" w:rsidRDefault="003B32F0" w:rsidP="006D46A0">
            <w:pPr>
              <w:spacing w:after="0"/>
              <w:jc w:val="center"/>
              <w:rPr>
                <w:szCs w:val="22"/>
              </w:rPr>
            </w:pPr>
            <w:r w:rsidRPr="00050087">
              <w:rPr>
                <w:szCs w:val="22"/>
              </w:rPr>
              <w:t>Not Responsive</w:t>
            </w:r>
          </w:p>
        </w:tc>
        <w:tc>
          <w:tcPr>
            <w:tcW w:w="5850" w:type="dxa"/>
          </w:tcPr>
          <w:p w14:paraId="1854CD96" w14:textId="77777777" w:rsidR="003B32F0" w:rsidRPr="00050087" w:rsidRDefault="003B32F0" w:rsidP="006D46A0">
            <w:pPr>
              <w:spacing w:after="0"/>
              <w:rPr>
                <w:szCs w:val="22"/>
              </w:rPr>
            </w:pPr>
            <w:r w:rsidRPr="00050087">
              <w:rPr>
                <w:szCs w:val="22"/>
              </w:rPr>
              <w:t>Response does not include or fails to address the requirements being scored.  The omission(s), flaw(s), or defect(s) are significant and unacceptable.</w:t>
            </w:r>
          </w:p>
        </w:tc>
      </w:tr>
      <w:tr w:rsidR="003B32F0" w:rsidRPr="00050087" w14:paraId="401F52BA" w14:textId="77777777" w:rsidTr="006D46A0">
        <w:trPr>
          <w:trHeight w:val="253"/>
        </w:trPr>
        <w:tc>
          <w:tcPr>
            <w:tcW w:w="1530" w:type="dxa"/>
            <w:vAlign w:val="center"/>
          </w:tcPr>
          <w:p w14:paraId="583C2DC6" w14:textId="77777777" w:rsidR="003B32F0" w:rsidRPr="00050087" w:rsidRDefault="003B32F0" w:rsidP="006D46A0">
            <w:pPr>
              <w:spacing w:after="0"/>
              <w:jc w:val="center"/>
              <w:rPr>
                <w:szCs w:val="22"/>
              </w:rPr>
            </w:pPr>
            <w:r w:rsidRPr="00050087">
              <w:rPr>
                <w:szCs w:val="22"/>
              </w:rPr>
              <w:t>10-30%</w:t>
            </w:r>
          </w:p>
        </w:tc>
        <w:tc>
          <w:tcPr>
            <w:tcW w:w="1980" w:type="dxa"/>
            <w:vAlign w:val="center"/>
          </w:tcPr>
          <w:p w14:paraId="17B4EAFC" w14:textId="77777777" w:rsidR="003B32F0" w:rsidRPr="00050087" w:rsidRDefault="003B32F0" w:rsidP="006D46A0">
            <w:pPr>
              <w:spacing w:after="0"/>
              <w:jc w:val="center"/>
              <w:rPr>
                <w:szCs w:val="22"/>
              </w:rPr>
            </w:pPr>
            <w:r w:rsidRPr="00050087">
              <w:rPr>
                <w:szCs w:val="22"/>
              </w:rPr>
              <w:t>Minimally Responsive</w:t>
            </w:r>
          </w:p>
        </w:tc>
        <w:tc>
          <w:tcPr>
            <w:tcW w:w="5850" w:type="dxa"/>
          </w:tcPr>
          <w:p w14:paraId="12A78829" w14:textId="77777777" w:rsidR="003B32F0" w:rsidRPr="00050087" w:rsidRDefault="003B32F0" w:rsidP="006D46A0">
            <w:pPr>
              <w:spacing w:after="0"/>
              <w:rPr>
                <w:szCs w:val="22"/>
              </w:rPr>
            </w:pPr>
            <w:r w:rsidRPr="00050087">
              <w:rPr>
                <w:szCs w:val="22"/>
              </w:rPr>
              <w:t>Response minimally addresses the requirements being scored.  The omission(s), flaw(s), or defect(s) are significant and unacceptable.</w:t>
            </w:r>
          </w:p>
        </w:tc>
      </w:tr>
      <w:tr w:rsidR="003B32F0" w:rsidRPr="00050087" w14:paraId="080C32AA" w14:textId="77777777" w:rsidTr="006D46A0">
        <w:trPr>
          <w:trHeight w:val="253"/>
        </w:trPr>
        <w:tc>
          <w:tcPr>
            <w:tcW w:w="1530" w:type="dxa"/>
            <w:vAlign w:val="center"/>
          </w:tcPr>
          <w:p w14:paraId="0CB58E81" w14:textId="77777777" w:rsidR="003B32F0" w:rsidRPr="00050087" w:rsidRDefault="003B32F0" w:rsidP="006D46A0">
            <w:pPr>
              <w:spacing w:after="0"/>
              <w:jc w:val="center"/>
              <w:rPr>
                <w:szCs w:val="22"/>
              </w:rPr>
            </w:pPr>
            <w:r w:rsidRPr="00050087">
              <w:rPr>
                <w:szCs w:val="22"/>
              </w:rPr>
              <w:t>40-60%</w:t>
            </w:r>
          </w:p>
        </w:tc>
        <w:tc>
          <w:tcPr>
            <w:tcW w:w="1980" w:type="dxa"/>
            <w:vAlign w:val="center"/>
          </w:tcPr>
          <w:p w14:paraId="2C2891AD" w14:textId="77777777" w:rsidR="003B32F0" w:rsidRPr="00050087" w:rsidRDefault="003B32F0" w:rsidP="006D46A0">
            <w:pPr>
              <w:spacing w:after="0"/>
              <w:jc w:val="center"/>
              <w:rPr>
                <w:szCs w:val="22"/>
              </w:rPr>
            </w:pPr>
            <w:r w:rsidRPr="00050087">
              <w:rPr>
                <w:szCs w:val="22"/>
              </w:rPr>
              <w:t>Inadequate</w:t>
            </w:r>
          </w:p>
        </w:tc>
        <w:tc>
          <w:tcPr>
            <w:tcW w:w="5850" w:type="dxa"/>
          </w:tcPr>
          <w:p w14:paraId="2B697723" w14:textId="77777777" w:rsidR="003B32F0" w:rsidRPr="00050087" w:rsidRDefault="003B32F0" w:rsidP="006D46A0">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3B32F0" w:rsidRPr="00050087" w14:paraId="52F154A3" w14:textId="77777777" w:rsidTr="006D46A0">
        <w:trPr>
          <w:trHeight w:val="253"/>
        </w:trPr>
        <w:tc>
          <w:tcPr>
            <w:tcW w:w="1530" w:type="dxa"/>
            <w:vAlign w:val="center"/>
          </w:tcPr>
          <w:p w14:paraId="57005908" w14:textId="77777777" w:rsidR="003B32F0" w:rsidRPr="00050087" w:rsidRDefault="003B32F0" w:rsidP="006D46A0">
            <w:pPr>
              <w:spacing w:after="0"/>
              <w:jc w:val="center"/>
              <w:rPr>
                <w:szCs w:val="22"/>
              </w:rPr>
            </w:pPr>
            <w:r w:rsidRPr="00050087">
              <w:rPr>
                <w:szCs w:val="22"/>
              </w:rPr>
              <w:t>70%</w:t>
            </w:r>
          </w:p>
        </w:tc>
        <w:tc>
          <w:tcPr>
            <w:tcW w:w="1980" w:type="dxa"/>
            <w:vAlign w:val="center"/>
          </w:tcPr>
          <w:p w14:paraId="4364675D" w14:textId="77777777" w:rsidR="003B32F0" w:rsidRPr="00050087" w:rsidRDefault="003B32F0" w:rsidP="006D46A0">
            <w:pPr>
              <w:spacing w:after="0"/>
              <w:jc w:val="center"/>
              <w:rPr>
                <w:szCs w:val="22"/>
              </w:rPr>
            </w:pPr>
            <w:r w:rsidRPr="00050087">
              <w:rPr>
                <w:szCs w:val="22"/>
              </w:rPr>
              <w:t>Adequate</w:t>
            </w:r>
          </w:p>
        </w:tc>
        <w:tc>
          <w:tcPr>
            <w:tcW w:w="5850" w:type="dxa"/>
          </w:tcPr>
          <w:p w14:paraId="7DDE445B" w14:textId="77777777" w:rsidR="003B32F0" w:rsidRPr="00050087" w:rsidRDefault="003B32F0" w:rsidP="006D46A0">
            <w:pPr>
              <w:spacing w:after="0"/>
              <w:rPr>
                <w:szCs w:val="22"/>
              </w:rPr>
            </w:pPr>
            <w:r w:rsidRPr="00050087">
              <w:rPr>
                <w:szCs w:val="22"/>
              </w:rPr>
              <w:t>Response adequately addresses the requirements being scored.  Any omission(s), flaw(s), or defect(s) are inconsequential and acceptable.</w:t>
            </w:r>
          </w:p>
        </w:tc>
      </w:tr>
      <w:tr w:rsidR="003B32F0" w:rsidRPr="00050087" w14:paraId="5B5B0F8E" w14:textId="77777777" w:rsidTr="006D46A0">
        <w:trPr>
          <w:trHeight w:val="253"/>
        </w:trPr>
        <w:tc>
          <w:tcPr>
            <w:tcW w:w="1530" w:type="dxa"/>
            <w:vAlign w:val="center"/>
          </w:tcPr>
          <w:p w14:paraId="0F48DB8B" w14:textId="77777777" w:rsidR="003B32F0" w:rsidRPr="00050087" w:rsidRDefault="003B32F0" w:rsidP="006D46A0">
            <w:pPr>
              <w:spacing w:after="0"/>
              <w:jc w:val="center"/>
              <w:rPr>
                <w:szCs w:val="22"/>
              </w:rPr>
            </w:pPr>
            <w:r>
              <w:rPr>
                <w:szCs w:val="22"/>
              </w:rPr>
              <w:t>75%</w:t>
            </w:r>
          </w:p>
        </w:tc>
        <w:tc>
          <w:tcPr>
            <w:tcW w:w="1980" w:type="dxa"/>
            <w:vAlign w:val="center"/>
          </w:tcPr>
          <w:p w14:paraId="791B0D4E" w14:textId="77777777" w:rsidR="003B32F0" w:rsidRPr="00050087" w:rsidRDefault="003B32F0" w:rsidP="006D46A0">
            <w:pPr>
              <w:spacing w:after="0"/>
              <w:jc w:val="center"/>
              <w:rPr>
                <w:szCs w:val="22"/>
              </w:rPr>
            </w:pPr>
            <w:r>
              <w:rPr>
                <w:szCs w:val="22"/>
              </w:rPr>
              <w:t>Between Adequate and Good</w:t>
            </w:r>
          </w:p>
        </w:tc>
        <w:tc>
          <w:tcPr>
            <w:tcW w:w="5850" w:type="dxa"/>
          </w:tcPr>
          <w:p w14:paraId="1DDA50D0" w14:textId="77777777" w:rsidR="003B32F0" w:rsidRPr="00050087" w:rsidRDefault="003B32F0" w:rsidP="006D46A0">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3B32F0" w:rsidRPr="00050087" w14:paraId="5EAB9A01" w14:textId="77777777" w:rsidTr="006D46A0">
        <w:trPr>
          <w:trHeight w:val="253"/>
        </w:trPr>
        <w:tc>
          <w:tcPr>
            <w:tcW w:w="1530" w:type="dxa"/>
            <w:vAlign w:val="center"/>
          </w:tcPr>
          <w:p w14:paraId="4F70AC2D" w14:textId="77777777" w:rsidR="003B32F0" w:rsidRPr="00050087" w:rsidRDefault="003B32F0" w:rsidP="006D46A0">
            <w:pPr>
              <w:spacing w:after="0"/>
              <w:jc w:val="center"/>
              <w:rPr>
                <w:szCs w:val="22"/>
              </w:rPr>
            </w:pPr>
            <w:r w:rsidRPr="00050087">
              <w:rPr>
                <w:szCs w:val="22"/>
              </w:rPr>
              <w:t>80%</w:t>
            </w:r>
          </w:p>
        </w:tc>
        <w:tc>
          <w:tcPr>
            <w:tcW w:w="1980" w:type="dxa"/>
            <w:vAlign w:val="center"/>
          </w:tcPr>
          <w:p w14:paraId="308A2246" w14:textId="77777777" w:rsidR="003B32F0" w:rsidRPr="00050087" w:rsidRDefault="003B32F0" w:rsidP="006D46A0">
            <w:pPr>
              <w:spacing w:after="0"/>
              <w:jc w:val="center"/>
              <w:rPr>
                <w:szCs w:val="22"/>
              </w:rPr>
            </w:pPr>
            <w:r w:rsidRPr="00050087">
              <w:rPr>
                <w:szCs w:val="22"/>
              </w:rPr>
              <w:t>Good</w:t>
            </w:r>
          </w:p>
        </w:tc>
        <w:tc>
          <w:tcPr>
            <w:tcW w:w="5850" w:type="dxa"/>
          </w:tcPr>
          <w:p w14:paraId="3E51AECC" w14:textId="77777777" w:rsidR="003B32F0" w:rsidRPr="00050087" w:rsidRDefault="003B32F0" w:rsidP="006D46A0">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3B32F0" w:rsidRPr="00050087" w14:paraId="39E5FDD8" w14:textId="77777777" w:rsidTr="006D46A0">
        <w:trPr>
          <w:trHeight w:val="253"/>
        </w:trPr>
        <w:tc>
          <w:tcPr>
            <w:tcW w:w="1530" w:type="dxa"/>
            <w:vAlign w:val="center"/>
          </w:tcPr>
          <w:p w14:paraId="784006A8" w14:textId="77777777" w:rsidR="003B32F0" w:rsidRPr="00050087" w:rsidRDefault="003B32F0" w:rsidP="006D46A0">
            <w:pPr>
              <w:spacing w:after="0"/>
              <w:jc w:val="center"/>
              <w:rPr>
                <w:szCs w:val="22"/>
              </w:rPr>
            </w:pPr>
            <w:r>
              <w:rPr>
                <w:szCs w:val="22"/>
              </w:rPr>
              <w:t>85%</w:t>
            </w:r>
          </w:p>
        </w:tc>
        <w:tc>
          <w:tcPr>
            <w:tcW w:w="1980" w:type="dxa"/>
            <w:vAlign w:val="center"/>
          </w:tcPr>
          <w:p w14:paraId="4B4C4342" w14:textId="77777777" w:rsidR="003B32F0" w:rsidRPr="00050087" w:rsidRDefault="003B32F0" w:rsidP="006D46A0">
            <w:pPr>
              <w:spacing w:after="0"/>
              <w:jc w:val="center"/>
              <w:rPr>
                <w:szCs w:val="22"/>
              </w:rPr>
            </w:pPr>
            <w:r>
              <w:rPr>
                <w:szCs w:val="22"/>
              </w:rPr>
              <w:t>Between Good and Excellent</w:t>
            </w:r>
          </w:p>
        </w:tc>
        <w:tc>
          <w:tcPr>
            <w:tcW w:w="5850" w:type="dxa"/>
          </w:tcPr>
          <w:p w14:paraId="47BD07EE" w14:textId="77777777" w:rsidR="003B32F0" w:rsidRPr="00050087" w:rsidRDefault="003B32F0" w:rsidP="006D46A0">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3B32F0" w:rsidRPr="00050087" w14:paraId="350AC296" w14:textId="77777777" w:rsidTr="006D46A0">
        <w:trPr>
          <w:trHeight w:val="253"/>
        </w:trPr>
        <w:tc>
          <w:tcPr>
            <w:tcW w:w="1530" w:type="dxa"/>
            <w:vAlign w:val="center"/>
          </w:tcPr>
          <w:p w14:paraId="47480CC7" w14:textId="77777777" w:rsidR="003B32F0" w:rsidRPr="00050087" w:rsidRDefault="003B32F0" w:rsidP="006D46A0">
            <w:pPr>
              <w:spacing w:after="0"/>
              <w:jc w:val="center"/>
              <w:rPr>
                <w:szCs w:val="22"/>
              </w:rPr>
            </w:pPr>
            <w:r w:rsidRPr="00050087">
              <w:rPr>
                <w:szCs w:val="22"/>
              </w:rPr>
              <w:t>90%</w:t>
            </w:r>
          </w:p>
        </w:tc>
        <w:tc>
          <w:tcPr>
            <w:tcW w:w="1980" w:type="dxa"/>
            <w:vAlign w:val="center"/>
          </w:tcPr>
          <w:p w14:paraId="321F08CF" w14:textId="77777777" w:rsidR="003B32F0" w:rsidRPr="00050087" w:rsidRDefault="003B32F0" w:rsidP="006D46A0">
            <w:pPr>
              <w:spacing w:after="0"/>
              <w:jc w:val="center"/>
              <w:rPr>
                <w:szCs w:val="22"/>
              </w:rPr>
            </w:pPr>
            <w:r w:rsidRPr="00050087">
              <w:rPr>
                <w:szCs w:val="22"/>
              </w:rPr>
              <w:t>Excellent</w:t>
            </w:r>
          </w:p>
        </w:tc>
        <w:tc>
          <w:tcPr>
            <w:tcW w:w="5850" w:type="dxa"/>
          </w:tcPr>
          <w:p w14:paraId="6BA1B0DB" w14:textId="77777777" w:rsidR="003B32F0" w:rsidRPr="00050087" w:rsidRDefault="003B32F0" w:rsidP="006D46A0">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3B32F0" w:rsidRPr="00050087" w14:paraId="7379951A" w14:textId="77777777" w:rsidTr="006D46A0">
        <w:trPr>
          <w:trHeight w:val="253"/>
        </w:trPr>
        <w:tc>
          <w:tcPr>
            <w:tcW w:w="1530" w:type="dxa"/>
            <w:vAlign w:val="center"/>
          </w:tcPr>
          <w:p w14:paraId="78D7C63C" w14:textId="77777777" w:rsidR="003B32F0" w:rsidRPr="00050087" w:rsidRDefault="003B32F0" w:rsidP="006D46A0">
            <w:pPr>
              <w:spacing w:after="0"/>
              <w:jc w:val="center"/>
              <w:rPr>
                <w:szCs w:val="22"/>
              </w:rPr>
            </w:pPr>
            <w:r>
              <w:rPr>
                <w:szCs w:val="22"/>
              </w:rPr>
              <w:t>95%</w:t>
            </w:r>
          </w:p>
        </w:tc>
        <w:tc>
          <w:tcPr>
            <w:tcW w:w="1980" w:type="dxa"/>
            <w:vAlign w:val="center"/>
          </w:tcPr>
          <w:p w14:paraId="08DCF286" w14:textId="77777777" w:rsidR="003B32F0" w:rsidRPr="00050087" w:rsidRDefault="003B32F0" w:rsidP="006D46A0">
            <w:pPr>
              <w:spacing w:after="0"/>
              <w:jc w:val="center"/>
              <w:rPr>
                <w:szCs w:val="22"/>
              </w:rPr>
            </w:pPr>
            <w:r>
              <w:rPr>
                <w:szCs w:val="22"/>
              </w:rPr>
              <w:t>Between Excellent and Exceptional</w:t>
            </w:r>
          </w:p>
        </w:tc>
        <w:tc>
          <w:tcPr>
            <w:tcW w:w="5850" w:type="dxa"/>
          </w:tcPr>
          <w:p w14:paraId="1F50A293" w14:textId="77777777" w:rsidR="003B32F0" w:rsidRPr="00050087" w:rsidRDefault="003B32F0" w:rsidP="006D46A0">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w:t>
            </w:r>
            <w:r w:rsidRPr="00050087">
              <w:rPr>
                <w:szCs w:val="22"/>
              </w:rPr>
              <w:lastRenderedPageBreak/>
              <w:t>Applicant offers one or more enhancing features, methods or approaches exceeding basic expectations.</w:t>
            </w:r>
          </w:p>
        </w:tc>
      </w:tr>
      <w:tr w:rsidR="003B32F0" w:rsidRPr="00050087" w14:paraId="78465162" w14:textId="77777777" w:rsidTr="006D46A0">
        <w:trPr>
          <w:trHeight w:val="253"/>
        </w:trPr>
        <w:tc>
          <w:tcPr>
            <w:tcW w:w="1530" w:type="dxa"/>
            <w:vAlign w:val="center"/>
          </w:tcPr>
          <w:p w14:paraId="1A59ED06" w14:textId="77777777" w:rsidR="003B32F0" w:rsidRPr="00050087" w:rsidRDefault="003B32F0" w:rsidP="006D46A0">
            <w:pPr>
              <w:spacing w:after="0"/>
              <w:jc w:val="center"/>
              <w:rPr>
                <w:szCs w:val="22"/>
              </w:rPr>
            </w:pPr>
            <w:r w:rsidRPr="00050087">
              <w:rPr>
                <w:szCs w:val="22"/>
              </w:rPr>
              <w:lastRenderedPageBreak/>
              <w:t>100%</w:t>
            </w:r>
          </w:p>
        </w:tc>
        <w:tc>
          <w:tcPr>
            <w:tcW w:w="1980" w:type="dxa"/>
            <w:vAlign w:val="center"/>
          </w:tcPr>
          <w:p w14:paraId="06E6CC49" w14:textId="77777777" w:rsidR="003B32F0" w:rsidRPr="00050087" w:rsidRDefault="003B32F0" w:rsidP="006D46A0">
            <w:pPr>
              <w:spacing w:after="0"/>
              <w:jc w:val="center"/>
              <w:rPr>
                <w:szCs w:val="22"/>
              </w:rPr>
            </w:pPr>
            <w:r w:rsidRPr="00050087">
              <w:rPr>
                <w:szCs w:val="22"/>
              </w:rPr>
              <w:t>Exceptional</w:t>
            </w:r>
          </w:p>
        </w:tc>
        <w:tc>
          <w:tcPr>
            <w:tcW w:w="5850" w:type="dxa"/>
          </w:tcPr>
          <w:p w14:paraId="5F37BC79" w14:textId="77777777" w:rsidR="003B32F0" w:rsidRPr="00050087" w:rsidRDefault="003B32F0" w:rsidP="006D46A0">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3CAD1E3A" w14:textId="77777777" w:rsidR="003B32F0" w:rsidRDefault="003B32F0" w:rsidP="003B32F0">
      <w:pPr>
        <w:jc w:val="center"/>
        <w:rPr>
          <w:b/>
          <w:caps/>
          <w:u w:val="single"/>
        </w:rPr>
      </w:pPr>
    </w:p>
    <w:p w14:paraId="586D7A33" w14:textId="77777777" w:rsidR="003B32F0" w:rsidRPr="002F106F" w:rsidRDefault="003B32F0" w:rsidP="003B32F0">
      <w:pPr>
        <w:jc w:val="center"/>
        <w:rPr>
          <w:b/>
          <w:caps/>
          <w:sz w:val="8"/>
          <w:szCs w:val="8"/>
          <w:u w:val="single"/>
        </w:rPr>
      </w:pPr>
    </w:p>
    <w:p w14:paraId="7AF5DC47" w14:textId="77777777" w:rsidR="003B32F0" w:rsidRDefault="003B32F0" w:rsidP="003B32F0">
      <w:pPr>
        <w:spacing w:after="0"/>
        <w:jc w:val="center"/>
        <w:rPr>
          <w:b/>
          <w:caps/>
          <w:sz w:val="28"/>
          <w:u w:val="single"/>
        </w:rPr>
      </w:pPr>
      <w:r w:rsidRPr="00C31C1D">
        <w:br w:type="page"/>
      </w:r>
      <w:bookmarkEnd w:id="133"/>
      <w:bookmarkEnd w:id="134"/>
      <w:bookmarkEnd w:id="135"/>
      <w:r w:rsidRPr="003A2FCD">
        <w:rPr>
          <w:b/>
          <w:caps/>
          <w:sz w:val="28"/>
          <w:u w:val="single"/>
        </w:rPr>
        <w:lastRenderedPageBreak/>
        <w:t xml:space="preserve"> </w:t>
      </w:r>
    </w:p>
    <w:p w14:paraId="45108342" w14:textId="77777777" w:rsidR="003B32F0" w:rsidRDefault="003B32F0" w:rsidP="003B32F0">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2588515F" w14:textId="77777777" w:rsidR="003B32F0" w:rsidRPr="00291F8E" w:rsidRDefault="003B32F0" w:rsidP="003B32F0">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106"/>
        <w:gridCol w:w="1824"/>
      </w:tblGrid>
      <w:tr w:rsidR="003B32F0" w:rsidRPr="00734FF3" w14:paraId="30A6C26E" w14:textId="77777777" w:rsidTr="006D46A0">
        <w:trPr>
          <w:cantSplit/>
          <w:tblHeader/>
        </w:trPr>
        <w:tc>
          <w:tcPr>
            <w:tcW w:w="8365" w:type="dxa"/>
            <w:shd w:val="clear" w:color="auto" w:fill="D9D9D9" w:themeFill="background1" w:themeFillShade="D9"/>
            <w:vAlign w:val="center"/>
          </w:tcPr>
          <w:p w14:paraId="79A66D8B" w14:textId="77777777" w:rsidR="003B32F0" w:rsidRPr="00F845BD" w:rsidRDefault="003B32F0" w:rsidP="006D46A0">
            <w:pPr>
              <w:spacing w:before="60" w:after="60" w:line="360" w:lineRule="auto"/>
              <w:rPr>
                <w:b/>
                <w:sz w:val="28"/>
                <w:szCs w:val="28"/>
              </w:rPr>
            </w:pPr>
            <w:r>
              <w:rPr>
                <w:b/>
              </w:rPr>
              <w:t>Screening</w:t>
            </w:r>
            <w:r w:rsidRPr="00C31C1D">
              <w:rPr>
                <w:b/>
              </w:rPr>
              <w:t xml:space="preserve"> Criteria</w:t>
            </w:r>
          </w:p>
        </w:tc>
        <w:tc>
          <w:tcPr>
            <w:tcW w:w="1350" w:type="dxa"/>
            <w:shd w:val="clear" w:color="auto" w:fill="D9D9D9" w:themeFill="background1" w:themeFillShade="D9"/>
            <w:vAlign w:val="center"/>
          </w:tcPr>
          <w:p w14:paraId="00C56B01" w14:textId="77777777" w:rsidR="003B32F0" w:rsidRPr="002A512F" w:rsidRDefault="003B32F0" w:rsidP="006D46A0">
            <w:pPr>
              <w:spacing w:before="60" w:after="60"/>
              <w:jc w:val="center"/>
              <w:rPr>
                <w:b/>
                <w:sz w:val="28"/>
                <w:szCs w:val="28"/>
              </w:rPr>
            </w:pPr>
          </w:p>
        </w:tc>
      </w:tr>
      <w:tr w:rsidR="003B32F0" w14:paraId="018FBB2E" w14:textId="77777777" w:rsidTr="006D46A0">
        <w:tc>
          <w:tcPr>
            <w:tcW w:w="8365" w:type="dxa"/>
          </w:tcPr>
          <w:p w14:paraId="087DD13A" w14:textId="77777777" w:rsidR="003B32F0" w:rsidRPr="00616F23" w:rsidRDefault="003B32F0" w:rsidP="006D46A0">
            <w:pPr>
              <w:spacing w:before="120"/>
              <w:ind w:left="360"/>
              <w:rPr>
                <w:b/>
              </w:rPr>
            </w:pPr>
            <w:r>
              <w:rPr>
                <w:b/>
              </w:rPr>
              <w:t>Applicant</w:t>
            </w:r>
            <w:r w:rsidRPr="00616F23">
              <w:rPr>
                <w:b/>
              </w:rPr>
              <w:t xml:space="preserve"> Past Performance with Energy Commission</w:t>
            </w:r>
          </w:p>
          <w:p w14:paraId="5DD06630" w14:textId="77777777" w:rsidR="003B32F0" w:rsidRPr="00616F23" w:rsidRDefault="003B32F0" w:rsidP="006D46A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1EED25E7" w14:textId="77777777" w:rsidR="003B32F0" w:rsidRDefault="003B32F0" w:rsidP="00DC65CB">
            <w:pPr>
              <w:pStyle w:val="ListParagraph"/>
              <w:numPr>
                <w:ilvl w:val="0"/>
                <w:numId w:val="52"/>
              </w:numPr>
              <w:spacing w:after="0"/>
            </w:pPr>
            <w:r>
              <w:t>S</w:t>
            </w:r>
            <w:r w:rsidRPr="00616F23">
              <w:t>ignificant deviation from agreement requirements</w:t>
            </w:r>
            <w:r>
              <w:t>;</w:t>
            </w:r>
          </w:p>
          <w:p w14:paraId="0AD3E4A4" w14:textId="77777777" w:rsidR="003B32F0" w:rsidRDefault="003B32F0" w:rsidP="00DC65CB">
            <w:pPr>
              <w:pStyle w:val="ListParagraph"/>
              <w:numPr>
                <w:ilvl w:val="0"/>
                <w:numId w:val="52"/>
              </w:numPr>
              <w:spacing w:after="0"/>
            </w:pPr>
            <w:r>
              <w:t>T</w:t>
            </w:r>
            <w:r w:rsidRPr="00616F23">
              <w:t>ermination with cause</w:t>
            </w:r>
            <w:r>
              <w:t>;</w:t>
            </w:r>
          </w:p>
          <w:p w14:paraId="7DF71342" w14:textId="77777777" w:rsidR="003B32F0" w:rsidRPr="004849ED" w:rsidRDefault="003B32F0" w:rsidP="00DC65CB">
            <w:pPr>
              <w:pStyle w:val="ListParagraph"/>
              <w:numPr>
                <w:ilvl w:val="0"/>
                <w:numId w:val="52"/>
              </w:numPr>
              <w:spacing w:after="0"/>
              <w:rPr>
                <w:sz w:val="24"/>
              </w:rPr>
            </w:pPr>
            <w:r>
              <w:t xml:space="preserve">Demonstrated poor communication, project management, and/or </w:t>
            </w:r>
            <w:r w:rsidRPr="004849ED">
              <w:rPr>
                <w:rFonts w:ascii="Calibri" w:hAnsi="Calibri" w:cs="Calibri"/>
                <w:color w:val="000000"/>
                <w:shd w:val="clear" w:color="auto" w:fill="FFFFFF"/>
              </w:rPr>
              <w:t>inability, due to circumstances within its control, from materially completing the project</w:t>
            </w:r>
            <w:r>
              <w:t>;</w:t>
            </w:r>
          </w:p>
          <w:p w14:paraId="0AAAC736" w14:textId="77777777" w:rsidR="003B32F0" w:rsidRDefault="003B32F0" w:rsidP="00DC65CB">
            <w:pPr>
              <w:pStyle w:val="ListParagraph"/>
              <w:numPr>
                <w:ilvl w:val="0"/>
                <w:numId w:val="52"/>
              </w:numPr>
              <w:spacing w:after="0"/>
            </w:pPr>
            <w:r>
              <w:t>Quality issues with deliverables including poorly written final report that prevents publishing; and</w:t>
            </w:r>
          </w:p>
          <w:p w14:paraId="54A91C63" w14:textId="77777777" w:rsidR="003B32F0" w:rsidRDefault="003B32F0" w:rsidP="00DC65CB">
            <w:pPr>
              <w:pStyle w:val="ListParagraph"/>
              <w:numPr>
                <w:ilvl w:val="0"/>
                <w:numId w:val="52"/>
              </w:numPr>
              <w:spacing w:after="0"/>
            </w:pPr>
            <w:r>
              <w:t>S</w:t>
            </w:r>
            <w:r w:rsidRPr="00616F23">
              <w:t xml:space="preserve">evere </w:t>
            </w:r>
            <w:r>
              <w:t xml:space="preserve">unresolved </w:t>
            </w:r>
            <w:r w:rsidRPr="00616F23">
              <w:t>negative audit findings.</w:t>
            </w:r>
          </w:p>
          <w:p w14:paraId="76B2DD86" w14:textId="77777777" w:rsidR="003B32F0" w:rsidRDefault="003B32F0" w:rsidP="006D46A0">
            <w:pPr>
              <w:pStyle w:val="ListParagraph"/>
              <w:spacing w:after="0"/>
              <w:ind w:left="1080"/>
            </w:pPr>
          </w:p>
        </w:tc>
        <w:tc>
          <w:tcPr>
            <w:tcW w:w="1350" w:type="dxa"/>
          </w:tcPr>
          <w:p w14:paraId="46E95C88" w14:textId="77777777" w:rsidR="003B32F0" w:rsidRPr="006779DC" w:rsidRDefault="003B32F0" w:rsidP="006D46A0">
            <w:pPr>
              <w:spacing w:before="120"/>
              <w:jc w:val="center"/>
              <w:rPr>
                <w:b/>
              </w:rPr>
            </w:pPr>
          </w:p>
        </w:tc>
      </w:tr>
      <w:tr w:rsidR="003B32F0" w14:paraId="52DD1944" w14:textId="77777777" w:rsidTr="006D46A0">
        <w:trPr>
          <w:trHeight w:val="674"/>
        </w:trPr>
        <w:tc>
          <w:tcPr>
            <w:tcW w:w="8365" w:type="dxa"/>
            <w:tcBorders>
              <w:bottom w:val="single" w:sz="4" w:space="0" w:color="auto"/>
            </w:tcBorders>
            <w:shd w:val="clear" w:color="auto" w:fill="D9D9D9" w:themeFill="background1" w:themeFillShade="D9"/>
            <w:vAlign w:val="center"/>
          </w:tcPr>
          <w:p w14:paraId="020C8B29" w14:textId="77777777" w:rsidR="003B32F0" w:rsidRPr="00291F8E" w:rsidRDefault="003B32F0" w:rsidP="006D46A0">
            <w:pPr>
              <w:spacing w:before="60" w:after="0"/>
              <w:jc w:val="both"/>
              <w:rPr>
                <w:b/>
                <w:szCs w:val="22"/>
              </w:rPr>
            </w:pPr>
            <w:r w:rsidRPr="00291F8E">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36436742" w14:textId="77777777" w:rsidR="003B32F0" w:rsidRPr="00291F8E" w:rsidRDefault="003B32F0" w:rsidP="006D46A0">
            <w:pPr>
              <w:spacing w:after="0"/>
              <w:jc w:val="center"/>
              <w:rPr>
                <w:b/>
                <w:szCs w:val="22"/>
              </w:rPr>
            </w:pPr>
            <w:r w:rsidRPr="00291F8E">
              <w:rPr>
                <w:b/>
                <w:szCs w:val="22"/>
              </w:rPr>
              <w:t>Pass/Fail</w:t>
            </w:r>
          </w:p>
        </w:tc>
      </w:tr>
      <w:tr w:rsidR="003B32F0" w14:paraId="681BCD12" w14:textId="77777777" w:rsidTr="006D46A0">
        <w:trPr>
          <w:cantSplit/>
          <w:trHeight w:val="683"/>
        </w:trPr>
        <w:tc>
          <w:tcPr>
            <w:tcW w:w="9715" w:type="dxa"/>
            <w:gridSpan w:val="2"/>
            <w:tcBorders>
              <w:left w:val="nil"/>
              <w:bottom w:val="nil"/>
              <w:right w:val="nil"/>
            </w:tcBorders>
            <w:shd w:val="clear" w:color="auto" w:fill="auto"/>
          </w:tcPr>
          <w:p w14:paraId="071F1F79" w14:textId="77777777" w:rsidR="003B32F0" w:rsidRDefault="003B32F0" w:rsidP="006D46A0">
            <w:pPr>
              <w:tabs>
                <w:tab w:val="left" w:pos="1530"/>
              </w:tabs>
              <w:jc w:val="both"/>
              <w:rPr>
                <w:b/>
              </w:rPr>
            </w:pPr>
          </w:p>
          <w:p w14:paraId="5007094C" w14:textId="77777777" w:rsidR="003B32F0" w:rsidRDefault="003B32F0" w:rsidP="006D46A0">
            <w:pPr>
              <w:tabs>
                <w:tab w:val="left" w:pos="1530"/>
              </w:tabs>
              <w:jc w:val="both"/>
              <w:rPr>
                <w:b/>
              </w:rPr>
            </w:pPr>
          </w:p>
          <w:p w14:paraId="38FC861F" w14:textId="77777777" w:rsidR="003B32F0" w:rsidRDefault="003B32F0" w:rsidP="006D46A0">
            <w:pPr>
              <w:tabs>
                <w:tab w:val="left" w:pos="1530"/>
              </w:tabs>
              <w:jc w:val="center"/>
              <w:rPr>
                <w:b/>
              </w:rPr>
            </w:pPr>
            <w:r w:rsidRPr="00EA02BA">
              <w:rPr>
                <w:b/>
                <w:caps/>
                <w:sz w:val="28"/>
                <w:u w:val="single"/>
              </w:rPr>
              <w:t>Scoring CRITERIA</w:t>
            </w:r>
          </w:p>
          <w:p w14:paraId="4AB2211D" w14:textId="77777777" w:rsidR="003B32F0" w:rsidRDefault="003B32F0" w:rsidP="006D46A0">
            <w:pPr>
              <w:spacing w:before="180" w:after="0"/>
              <w:jc w:val="both"/>
            </w:pPr>
            <w:r w:rsidRPr="00616F23">
              <w:rPr>
                <w:b/>
              </w:rPr>
              <w:t xml:space="preserve">The Project Narrative (Attachment) </w:t>
            </w:r>
            <w:r w:rsidRPr="00616F23">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p w14:paraId="2EAD24D0" w14:textId="77777777" w:rsidR="003B32F0" w:rsidRDefault="003B32F0" w:rsidP="006D46A0">
            <w:pPr>
              <w:spacing w:before="180" w:after="0"/>
              <w:jc w:val="both"/>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3B32F0" w:rsidRPr="00616F23" w14:paraId="47A9FBE3" w14:textId="77777777" w:rsidTr="006D46A0">
              <w:trPr>
                <w:trHeight w:val="550"/>
                <w:tblHeader/>
              </w:trPr>
              <w:tc>
                <w:tcPr>
                  <w:tcW w:w="8362" w:type="dxa"/>
                  <w:shd w:val="clear" w:color="auto" w:fill="D9D9D9"/>
                  <w:vAlign w:val="bottom"/>
                </w:tcPr>
                <w:p w14:paraId="4369F9C8" w14:textId="77777777" w:rsidR="003B32F0" w:rsidRPr="00616F23" w:rsidRDefault="003B32F0" w:rsidP="006D46A0">
                  <w:pPr>
                    <w:jc w:val="both"/>
                    <w:rPr>
                      <w:b/>
                      <w:i/>
                      <w:sz w:val="20"/>
                    </w:rPr>
                  </w:pPr>
                  <w:r w:rsidRPr="00616F23">
                    <w:rPr>
                      <w:b/>
                    </w:rPr>
                    <w:t>Scoring Criteria</w:t>
                  </w:r>
                </w:p>
              </w:tc>
              <w:tc>
                <w:tcPr>
                  <w:tcW w:w="1342" w:type="dxa"/>
                  <w:shd w:val="clear" w:color="auto" w:fill="D9D9D9"/>
                  <w:vAlign w:val="center"/>
                </w:tcPr>
                <w:p w14:paraId="53A04CAA" w14:textId="77777777" w:rsidR="003B32F0" w:rsidRPr="00616F23" w:rsidRDefault="003B32F0" w:rsidP="006D46A0">
                  <w:pPr>
                    <w:spacing w:after="0"/>
                    <w:jc w:val="center"/>
                    <w:rPr>
                      <w:b/>
                    </w:rPr>
                  </w:pPr>
                  <w:r w:rsidRPr="00616F23">
                    <w:rPr>
                      <w:b/>
                    </w:rPr>
                    <w:t>Maximum Points</w:t>
                  </w:r>
                </w:p>
              </w:tc>
            </w:tr>
            <w:tr w:rsidR="003B32F0" w:rsidRPr="00616F23" w14:paraId="7DDFD784" w14:textId="77777777" w:rsidTr="006D46A0">
              <w:tc>
                <w:tcPr>
                  <w:tcW w:w="8362" w:type="dxa"/>
                </w:tcPr>
                <w:p w14:paraId="5F30FD0B" w14:textId="77777777" w:rsidR="003B32F0" w:rsidRPr="00616F23" w:rsidRDefault="003B32F0" w:rsidP="00DC65CB">
                  <w:pPr>
                    <w:numPr>
                      <w:ilvl w:val="0"/>
                      <w:numId w:val="38"/>
                    </w:numPr>
                    <w:spacing w:before="120"/>
                    <w:jc w:val="both"/>
                    <w:rPr>
                      <w:rFonts w:cs="Times New Roman"/>
                      <w:b/>
                      <w:bCs/>
                      <w:smallCaps/>
                    </w:rPr>
                  </w:pPr>
                  <w:r w:rsidRPr="00616F23">
                    <w:rPr>
                      <w:b/>
                    </w:rPr>
                    <w:t xml:space="preserve">Technical Merit </w:t>
                  </w:r>
                </w:p>
                <w:p w14:paraId="75687712" w14:textId="77777777" w:rsidR="003B32F0" w:rsidRPr="00616F23" w:rsidRDefault="003B32F0" w:rsidP="00DC65CB">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43ACD2D8" w14:textId="77777777" w:rsidR="003B32F0" w:rsidRPr="00616F23" w:rsidRDefault="003B32F0" w:rsidP="00DC65CB">
                  <w:pPr>
                    <w:numPr>
                      <w:ilvl w:val="0"/>
                      <w:numId w:val="15"/>
                    </w:numPr>
                    <w:ind w:left="1140"/>
                    <w:jc w:val="both"/>
                  </w:pPr>
                  <w:r w:rsidRPr="00616F23">
                    <w:t>Describe how the proposed model/tool/study will be used by key stakeholders (e.g. policymakers, project developers, other researchers, etc.).</w:t>
                  </w:r>
                </w:p>
                <w:p w14:paraId="5821721F" w14:textId="77777777" w:rsidR="003B32F0" w:rsidRPr="00616F23" w:rsidRDefault="003B32F0" w:rsidP="00DC65CB">
                  <w:pPr>
                    <w:numPr>
                      <w:ilvl w:val="0"/>
                      <w:numId w:val="15"/>
                    </w:numPr>
                    <w:ind w:left="1140"/>
                    <w:jc w:val="both"/>
                  </w:pPr>
                  <w:r w:rsidRPr="00616F23">
                    <w:t>Describes the advantage of the proposed model/tool/study over that currently being used by key stakeholders.</w:t>
                  </w:r>
                </w:p>
              </w:tc>
              <w:tc>
                <w:tcPr>
                  <w:tcW w:w="1342" w:type="dxa"/>
                </w:tcPr>
                <w:p w14:paraId="1623FE4F" w14:textId="77777777" w:rsidR="003B32F0" w:rsidRPr="00616F23" w:rsidRDefault="003B32F0" w:rsidP="006D46A0">
                  <w:pPr>
                    <w:spacing w:before="120"/>
                    <w:jc w:val="center"/>
                    <w:rPr>
                      <w:b/>
                    </w:rPr>
                  </w:pPr>
                  <w:r w:rsidRPr="00616F23">
                    <w:rPr>
                      <w:b/>
                    </w:rPr>
                    <w:t>15</w:t>
                  </w:r>
                </w:p>
              </w:tc>
            </w:tr>
            <w:tr w:rsidR="003B32F0" w:rsidRPr="00616F23" w14:paraId="13F74AAE" w14:textId="77777777" w:rsidTr="006D46A0">
              <w:tc>
                <w:tcPr>
                  <w:tcW w:w="8362" w:type="dxa"/>
                </w:tcPr>
                <w:p w14:paraId="0F5BD359" w14:textId="77777777" w:rsidR="003B32F0" w:rsidRPr="00616F23" w:rsidRDefault="003B32F0" w:rsidP="00DC65CB">
                  <w:pPr>
                    <w:numPr>
                      <w:ilvl w:val="0"/>
                      <w:numId w:val="38"/>
                    </w:numPr>
                    <w:spacing w:before="120"/>
                    <w:jc w:val="both"/>
                    <w:rPr>
                      <w:rFonts w:cs="Times New Roman"/>
                      <w:b/>
                      <w:bCs/>
                      <w:smallCaps/>
                    </w:rPr>
                  </w:pPr>
                  <w:r w:rsidRPr="00616F23">
                    <w:rPr>
                      <w:b/>
                    </w:rPr>
                    <w:t xml:space="preserve">Technical Approach </w:t>
                  </w:r>
                </w:p>
                <w:p w14:paraId="50C7C27D" w14:textId="77777777" w:rsidR="003B32F0" w:rsidRPr="00616F23" w:rsidRDefault="003B32F0" w:rsidP="00DC65CB">
                  <w:pPr>
                    <w:numPr>
                      <w:ilvl w:val="0"/>
                      <w:numId w:val="53"/>
                    </w:numPr>
                    <w:ind w:left="1140"/>
                    <w:jc w:val="both"/>
                  </w:pPr>
                  <w:r w:rsidRPr="00616F23">
                    <w:t xml:space="preserve">Proposal describes the technique, approach, and methods to be used in performing the work described in the Scope of Work. </w:t>
                  </w:r>
                </w:p>
                <w:p w14:paraId="1A7D285A" w14:textId="77777777" w:rsidR="003B32F0" w:rsidRPr="00616F23" w:rsidRDefault="003B32F0" w:rsidP="00DC65CB">
                  <w:pPr>
                    <w:numPr>
                      <w:ilvl w:val="0"/>
                      <w:numId w:val="53"/>
                    </w:numPr>
                    <w:ind w:left="1140"/>
                    <w:jc w:val="both"/>
                  </w:pPr>
                  <w:r w:rsidRPr="00616F23">
                    <w:t>The Scope of Work identifies goals, objectives, and deliverables, details the work to be performed, and aligns with the information presented in Project Narrative.</w:t>
                  </w:r>
                </w:p>
                <w:p w14:paraId="4E81D099" w14:textId="77777777" w:rsidR="003B32F0" w:rsidRPr="00616F23" w:rsidRDefault="003B32F0" w:rsidP="00DC65CB">
                  <w:pPr>
                    <w:numPr>
                      <w:ilvl w:val="0"/>
                      <w:numId w:val="53"/>
                    </w:numPr>
                    <w:ind w:left="1140"/>
                    <w:jc w:val="both"/>
                  </w:pPr>
                  <w:r w:rsidRPr="00616F23">
                    <w:t>Proposal identifies the reliability that the project and site recommendations as described will be carried out if funds are awarded.</w:t>
                  </w:r>
                </w:p>
                <w:p w14:paraId="652C577E" w14:textId="77777777" w:rsidR="003B32F0" w:rsidRPr="00616F23" w:rsidRDefault="003B32F0" w:rsidP="00DC65CB">
                  <w:pPr>
                    <w:numPr>
                      <w:ilvl w:val="0"/>
                      <w:numId w:val="53"/>
                    </w:numPr>
                    <w:ind w:left="1140"/>
                    <w:jc w:val="both"/>
                  </w:pPr>
                  <w:r w:rsidRPr="00616F23">
                    <w:t xml:space="preserve">Identifies and discusses factors critical for success, in addition to risks, barriers, and limitations (e.g. loss of demonstration site, key subcontractor).  Provides a plan to address them. </w:t>
                  </w:r>
                </w:p>
                <w:p w14:paraId="71257BC6" w14:textId="77777777" w:rsidR="003B32F0" w:rsidRPr="00616F23" w:rsidRDefault="003B32F0" w:rsidP="00DC65CB">
                  <w:pPr>
                    <w:numPr>
                      <w:ilvl w:val="0"/>
                      <w:numId w:val="53"/>
                    </w:numPr>
                    <w:ind w:left="1140"/>
                    <w:jc w:val="both"/>
                  </w:pPr>
                  <w:r w:rsidRPr="00616F23">
                    <w:t xml:space="preserve">Discusses the degree to which the proposed work is technically feasible and achievable within the proposed Project Schedule and the key activities schedule in Section </w:t>
                  </w:r>
                  <w:r w:rsidRPr="00F11144">
                    <w:t>I.E.</w:t>
                  </w:r>
                </w:p>
                <w:p w14:paraId="460A5690" w14:textId="77777777" w:rsidR="003B32F0" w:rsidRPr="0080554B" w:rsidRDefault="003B32F0" w:rsidP="00DC65CB">
                  <w:pPr>
                    <w:numPr>
                      <w:ilvl w:val="0"/>
                      <w:numId w:val="53"/>
                    </w:numPr>
                    <w:ind w:left="1140"/>
                    <w:jc w:val="both"/>
                  </w:pPr>
                  <w:r w:rsidRPr="00616F23">
                    <w:t>Describes the knowledge transfer plan, including how key stakeholders and potential users will be engaged, and the plan to disseminate knowledge of the project’s results to those stakeholders and users.</w:t>
                  </w:r>
                </w:p>
              </w:tc>
              <w:tc>
                <w:tcPr>
                  <w:tcW w:w="1342" w:type="dxa"/>
                </w:tcPr>
                <w:p w14:paraId="15A7A111" w14:textId="77777777" w:rsidR="003B32F0" w:rsidRPr="00616F23" w:rsidRDefault="003B32F0" w:rsidP="006D46A0">
                  <w:pPr>
                    <w:spacing w:before="120"/>
                    <w:jc w:val="center"/>
                    <w:rPr>
                      <w:b/>
                    </w:rPr>
                  </w:pPr>
                  <w:r w:rsidRPr="00616F23">
                    <w:rPr>
                      <w:b/>
                    </w:rPr>
                    <w:t>25</w:t>
                  </w:r>
                </w:p>
                <w:p w14:paraId="5ADAB8FB" w14:textId="77777777" w:rsidR="003B32F0" w:rsidRPr="00616F23" w:rsidRDefault="003B32F0" w:rsidP="006D46A0">
                  <w:pPr>
                    <w:keepNext/>
                    <w:keepLines/>
                    <w:spacing w:before="60" w:after="60"/>
                    <w:jc w:val="center"/>
                    <w:outlineLvl w:val="2"/>
                    <w:rPr>
                      <w:b/>
                      <w:sz w:val="18"/>
                      <w:szCs w:val="18"/>
                    </w:rPr>
                  </w:pPr>
                </w:p>
              </w:tc>
            </w:tr>
            <w:tr w:rsidR="003B32F0" w:rsidRPr="00616F23" w14:paraId="460F555C" w14:textId="77777777" w:rsidTr="006D46A0">
              <w:trPr>
                <w:trHeight w:val="422"/>
              </w:trPr>
              <w:tc>
                <w:tcPr>
                  <w:tcW w:w="8362" w:type="dxa"/>
                </w:tcPr>
                <w:p w14:paraId="10F8B25B" w14:textId="77777777" w:rsidR="003B32F0" w:rsidRPr="00616F23" w:rsidRDefault="003B32F0" w:rsidP="00DC65CB">
                  <w:pPr>
                    <w:numPr>
                      <w:ilvl w:val="0"/>
                      <w:numId w:val="38"/>
                    </w:numPr>
                    <w:spacing w:before="120"/>
                    <w:jc w:val="both"/>
                    <w:rPr>
                      <w:rFonts w:cs="Times New Roman"/>
                      <w:b/>
                      <w:bCs/>
                      <w:smallCaps/>
                    </w:rPr>
                  </w:pPr>
                  <w:r w:rsidRPr="00616F23">
                    <w:rPr>
                      <w:b/>
                    </w:rPr>
                    <w:t xml:space="preserve">Impacts and Benefits for California IOU Ratepayers </w:t>
                  </w:r>
                </w:p>
                <w:p w14:paraId="2FDF08ED" w14:textId="77777777" w:rsidR="003B32F0" w:rsidRPr="00284D57" w:rsidRDefault="003B32F0" w:rsidP="00DC65CB">
                  <w:pPr>
                    <w:numPr>
                      <w:ilvl w:val="0"/>
                      <w:numId w:val="16"/>
                    </w:numPr>
                    <w:spacing w:after="60"/>
                    <w:ind w:left="1140"/>
                    <w:jc w:val="both"/>
                  </w:pPr>
                  <w:r w:rsidRPr="00616F23">
                    <w:t xml:space="preserve">Explains how the proposed project will benefit California Investor-Owned Utility (IOU) ratepayers and provides clear, plausible, and justifiable </w:t>
                  </w:r>
                  <w:r w:rsidRPr="00616F23">
                    <w:lastRenderedPageBreak/>
                    <w:t xml:space="preserve">(quantitative preferred) potential benefits. Estimates the energy benefits </w:t>
                  </w:r>
                  <w:r w:rsidRPr="00284D57">
                    <w:t xml:space="preserve">including: </w:t>
                  </w:r>
                </w:p>
                <w:p w14:paraId="1A664AF6" w14:textId="77777777" w:rsidR="003B32F0" w:rsidRPr="00284D57" w:rsidRDefault="003B32F0" w:rsidP="00DC65CB">
                  <w:pPr>
                    <w:numPr>
                      <w:ilvl w:val="1"/>
                      <w:numId w:val="70"/>
                    </w:numPr>
                    <w:spacing w:after="60"/>
                    <w:jc w:val="both"/>
                  </w:pPr>
                  <w:r w:rsidRPr="00284D57">
                    <w:t>annual electricity (EPIC) and thermal savings (PIER NG) (kilowatt-hour and therms), energy cost reductions, peak load reduction and/or shifting, infrastructure resiliency, infrastructure reliability.</w:t>
                  </w:r>
                </w:p>
                <w:p w14:paraId="61567131" w14:textId="77777777" w:rsidR="003B32F0" w:rsidRPr="00616F23" w:rsidRDefault="003B32F0" w:rsidP="00DC65CB">
                  <w:pPr>
                    <w:numPr>
                      <w:ilvl w:val="0"/>
                      <w:numId w:val="16"/>
                    </w:numPr>
                    <w:spacing w:after="60"/>
                    <w:ind w:left="1140"/>
                    <w:jc w:val="both"/>
                  </w:pPr>
                  <w:r w:rsidRPr="00284D57">
                    <w:t xml:space="preserve">States the timeframe, assumptions with sources, and calculations </w:t>
                  </w:r>
                  <w:r w:rsidRPr="00616F23">
                    <w:t xml:space="preserve">for the estimated benefits, and explains their reasonableness. Include baseline or “business as usual” over timeframe. </w:t>
                  </w:r>
                </w:p>
                <w:p w14:paraId="4C415CFC" w14:textId="77777777" w:rsidR="003B32F0" w:rsidRPr="00616F23" w:rsidRDefault="003B32F0" w:rsidP="00DC65CB">
                  <w:pPr>
                    <w:numPr>
                      <w:ilvl w:val="0"/>
                      <w:numId w:val="16"/>
                    </w:numPr>
                    <w:spacing w:after="60"/>
                    <w:ind w:left="1140"/>
                    <w:jc w:val="both"/>
                  </w:pPr>
                  <w:r w:rsidRPr="00616F23">
                    <w:t xml:space="preserve">Identifies how outputs of the </w:t>
                  </w:r>
                  <w:r w:rsidRPr="00274068">
                    <w:t xml:space="preserve">model/tool/study </w:t>
                  </w:r>
                  <w:r w:rsidRPr="00616F23">
                    <w:t>will benefit key stakeholders (e.g., streamline planning, help eliminate barriers, stimulate growth of applicable market sectors).</w:t>
                  </w:r>
                </w:p>
              </w:tc>
              <w:tc>
                <w:tcPr>
                  <w:tcW w:w="1342" w:type="dxa"/>
                </w:tcPr>
                <w:p w14:paraId="029916E1" w14:textId="77777777" w:rsidR="003B32F0" w:rsidRPr="00616F23" w:rsidRDefault="003B32F0" w:rsidP="006D46A0">
                  <w:pPr>
                    <w:spacing w:before="120"/>
                    <w:jc w:val="center"/>
                  </w:pPr>
                  <w:r w:rsidRPr="00616F23">
                    <w:rPr>
                      <w:b/>
                    </w:rPr>
                    <w:lastRenderedPageBreak/>
                    <w:t>20</w:t>
                  </w:r>
                </w:p>
              </w:tc>
            </w:tr>
            <w:tr w:rsidR="003B32F0" w:rsidRPr="00616F23" w14:paraId="1D0011F1" w14:textId="77777777" w:rsidTr="006D46A0">
              <w:trPr>
                <w:trHeight w:val="3248"/>
              </w:trPr>
              <w:tc>
                <w:tcPr>
                  <w:tcW w:w="8362" w:type="dxa"/>
                </w:tcPr>
                <w:p w14:paraId="554A76ED" w14:textId="77777777" w:rsidR="003B32F0" w:rsidRPr="00616F23" w:rsidRDefault="003B32F0" w:rsidP="00DC65CB">
                  <w:pPr>
                    <w:numPr>
                      <w:ilvl w:val="0"/>
                      <w:numId w:val="38"/>
                    </w:numPr>
                    <w:spacing w:before="120"/>
                    <w:jc w:val="both"/>
                    <w:rPr>
                      <w:rFonts w:cs="Times New Roman"/>
                      <w:b/>
                      <w:bCs/>
                      <w:smallCaps/>
                    </w:rPr>
                  </w:pPr>
                  <w:r w:rsidRPr="00616F23">
                    <w:rPr>
                      <w:b/>
                    </w:rPr>
                    <w:t>Team Qualifications, Capabilities, and Resources</w:t>
                  </w:r>
                </w:p>
                <w:p w14:paraId="24C13E09" w14:textId="77777777" w:rsidR="003B32F0" w:rsidRPr="00616F23" w:rsidRDefault="003B32F0" w:rsidP="006D46A0">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p w14:paraId="2475B43D" w14:textId="77777777" w:rsidR="003B32F0" w:rsidRPr="00616F23" w:rsidRDefault="003B32F0" w:rsidP="00DC65CB">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52906140" w14:textId="77777777" w:rsidR="003B32F0" w:rsidRPr="00616F23" w:rsidRDefault="003B32F0" w:rsidP="00DC65CB">
                  <w:pPr>
                    <w:numPr>
                      <w:ilvl w:val="0"/>
                      <w:numId w:val="17"/>
                    </w:numPr>
                    <w:ind w:left="1140"/>
                    <w:jc w:val="both"/>
                  </w:pPr>
                  <w:r w:rsidRPr="00616F23">
                    <w:t>Demonstrates that the project team</w:t>
                  </w:r>
                  <w:r w:rsidRPr="00616F23">
                    <w:rPr>
                      <w:color w:val="00B0F0"/>
                    </w:rPr>
                    <w:t xml:space="preserve"> </w:t>
                  </w:r>
                  <w:r w:rsidRPr="00616F23">
                    <w:t>has appropriate qualifications, experience, financial stability and capability to complete the project.</w:t>
                  </w:r>
                </w:p>
                <w:p w14:paraId="07EFACF8" w14:textId="77777777" w:rsidR="003B32F0" w:rsidRPr="00616F23" w:rsidRDefault="003B32F0" w:rsidP="00DC65CB">
                  <w:pPr>
                    <w:numPr>
                      <w:ilvl w:val="0"/>
                      <w:numId w:val="17"/>
                    </w:numPr>
                    <w:ind w:left="1140"/>
                    <w:jc w:val="both"/>
                  </w:pPr>
                  <w:r w:rsidRPr="00616F23">
                    <w:t>Explains the team structure and how various tasks will be managed and coordinated.</w:t>
                  </w:r>
                </w:p>
                <w:p w14:paraId="10CB5BF8" w14:textId="77777777" w:rsidR="003B32F0" w:rsidRPr="00616F23" w:rsidRDefault="003B32F0" w:rsidP="00DC65CB">
                  <w:pPr>
                    <w:numPr>
                      <w:ilvl w:val="0"/>
                      <w:numId w:val="17"/>
                    </w:numPr>
                    <w:ind w:left="1140"/>
                    <w:jc w:val="both"/>
                  </w:pPr>
                  <w:r w:rsidRPr="00616F23">
                    <w:t>Describes the facilities, infrastructure, and resources available that directly support the project.</w:t>
                  </w:r>
                </w:p>
                <w:p w14:paraId="64940392" w14:textId="77777777" w:rsidR="003B32F0" w:rsidRPr="00616F23" w:rsidRDefault="003B32F0" w:rsidP="00DC65CB">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D59E703" w14:textId="77777777" w:rsidR="003B32F0" w:rsidRPr="00616F23" w:rsidRDefault="003B32F0" w:rsidP="006D46A0">
                  <w:pPr>
                    <w:spacing w:before="120"/>
                    <w:jc w:val="center"/>
                    <w:rPr>
                      <w:b/>
                    </w:rPr>
                  </w:pPr>
                  <w:r w:rsidRPr="00616F23">
                    <w:rPr>
                      <w:b/>
                    </w:rPr>
                    <w:t>15</w:t>
                  </w:r>
                </w:p>
              </w:tc>
            </w:tr>
            <w:tr w:rsidR="003B32F0" w:rsidRPr="00616F23" w14:paraId="6EE002C6" w14:textId="77777777" w:rsidTr="006D46A0">
              <w:trPr>
                <w:cantSplit/>
                <w:trHeight w:val="485"/>
              </w:trPr>
              <w:tc>
                <w:tcPr>
                  <w:tcW w:w="8362" w:type="dxa"/>
                  <w:shd w:val="clear" w:color="auto" w:fill="D9D9D9"/>
                </w:tcPr>
                <w:p w14:paraId="26BD18B4" w14:textId="77777777" w:rsidR="003B32F0" w:rsidRPr="00616F23" w:rsidRDefault="003B32F0" w:rsidP="006D46A0">
                  <w:pPr>
                    <w:spacing w:before="60" w:after="0"/>
                    <w:ind w:left="360"/>
                    <w:jc w:val="both"/>
                    <w:rPr>
                      <w:b/>
                    </w:rPr>
                  </w:pPr>
                  <w:r w:rsidRPr="00616F23">
                    <w:rPr>
                      <w:b/>
                    </w:rPr>
                    <w:t xml:space="preserve">Total Possible Points for criteria 1− </w:t>
                  </w:r>
                  <w:r>
                    <w:rPr>
                      <w:b/>
                    </w:rPr>
                    <w:t>4</w:t>
                  </w:r>
                </w:p>
                <w:p w14:paraId="3F69762D" w14:textId="77777777" w:rsidR="003B32F0" w:rsidRPr="00616F23" w:rsidRDefault="003B32F0" w:rsidP="006D46A0">
                  <w:pPr>
                    <w:spacing w:after="0"/>
                    <w:ind w:left="36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42" w:type="dxa"/>
                  <w:shd w:val="clear" w:color="auto" w:fill="D9D9D9"/>
                </w:tcPr>
                <w:p w14:paraId="4BE76C72" w14:textId="77777777" w:rsidR="003B32F0" w:rsidRPr="00616F23" w:rsidRDefault="003B32F0" w:rsidP="006D46A0">
                  <w:pPr>
                    <w:spacing w:after="0"/>
                    <w:jc w:val="both"/>
                    <w:rPr>
                      <w:b/>
                    </w:rPr>
                  </w:pPr>
                </w:p>
                <w:p w14:paraId="083831ED" w14:textId="77777777" w:rsidR="003B32F0" w:rsidRPr="00616F23" w:rsidRDefault="003B32F0" w:rsidP="006D46A0">
                  <w:pPr>
                    <w:jc w:val="center"/>
                    <w:rPr>
                      <w:b/>
                    </w:rPr>
                  </w:pPr>
                  <w:r>
                    <w:rPr>
                      <w:b/>
                    </w:rPr>
                    <w:t>75</w:t>
                  </w:r>
                </w:p>
              </w:tc>
            </w:tr>
            <w:tr w:rsidR="003B32F0" w:rsidRPr="00616F23" w14:paraId="6F8E3A1F" w14:textId="77777777" w:rsidTr="006D46A0">
              <w:tc>
                <w:tcPr>
                  <w:tcW w:w="8362" w:type="dxa"/>
                  <w:tcBorders>
                    <w:bottom w:val="single" w:sz="4" w:space="0" w:color="auto"/>
                  </w:tcBorders>
                </w:tcPr>
                <w:p w14:paraId="22D7502E" w14:textId="77777777" w:rsidR="003B32F0" w:rsidRPr="00616F23" w:rsidRDefault="003B32F0" w:rsidP="00DC65CB">
                  <w:pPr>
                    <w:numPr>
                      <w:ilvl w:val="0"/>
                      <w:numId w:val="38"/>
                    </w:numPr>
                    <w:spacing w:before="120"/>
                    <w:jc w:val="both"/>
                    <w:rPr>
                      <w:rFonts w:cs="Times New Roman"/>
                      <w:b/>
                      <w:bCs/>
                      <w:smallCaps/>
                    </w:rPr>
                  </w:pPr>
                  <w:r w:rsidRPr="00616F23">
                    <w:rPr>
                      <w:b/>
                    </w:rPr>
                    <w:t>Budget and Cost-Effectiveness</w:t>
                  </w:r>
                </w:p>
                <w:p w14:paraId="392BBE11" w14:textId="77777777" w:rsidR="003B32F0" w:rsidRPr="00616F23" w:rsidRDefault="003B32F0" w:rsidP="00DC65CB">
                  <w:pPr>
                    <w:numPr>
                      <w:ilvl w:val="0"/>
                      <w:numId w:val="18"/>
                    </w:numPr>
                    <w:spacing w:before="120" w:after="0"/>
                    <w:ind w:left="1140"/>
                    <w:jc w:val="both"/>
                  </w:pPr>
                  <w:r w:rsidRPr="00616F23">
                    <w:t>Budget forms are complete for the applicant and all subcontractors, as described in the Budget instructions.</w:t>
                  </w:r>
                </w:p>
                <w:p w14:paraId="5E276558" w14:textId="77777777" w:rsidR="003B32F0" w:rsidRPr="00616F23" w:rsidRDefault="003B32F0" w:rsidP="00DC65CB">
                  <w:pPr>
                    <w:numPr>
                      <w:ilvl w:val="0"/>
                      <w:numId w:val="18"/>
                    </w:numPr>
                    <w:spacing w:before="120" w:after="0"/>
                    <w:ind w:left="1140"/>
                    <w:jc w:val="both"/>
                  </w:pPr>
                  <w:r w:rsidRPr="00616F23">
                    <w:t>Justifies the reasonableness of the requested funds relative to the project goals, objectives, and tasks.</w:t>
                  </w:r>
                </w:p>
                <w:p w14:paraId="2867D2A3" w14:textId="77777777" w:rsidR="003B32F0" w:rsidRPr="00616F23" w:rsidRDefault="003B32F0" w:rsidP="00DC65CB">
                  <w:pPr>
                    <w:numPr>
                      <w:ilvl w:val="0"/>
                      <w:numId w:val="18"/>
                    </w:numPr>
                    <w:spacing w:before="120" w:after="0"/>
                    <w:ind w:left="1140"/>
                    <w:jc w:val="both"/>
                  </w:pPr>
                  <w:r w:rsidRPr="00616F23">
                    <w:t>Justifies the reasonableness of direct costs (e.g., labor, fringe benefits, equipment, materials &amp; misc. travel, and subcontractors).</w:t>
                  </w:r>
                </w:p>
                <w:p w14:paraId="32087FBF" w14:textId="77777777" w:rsidR="003B32F0" w:rsidRPr="00616F23" w:rsidRDefault="003B32F0" w:rsidP="00DC65CB">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0B1995A3" w14:textId="77777777" w:rsidR="003B32F0" w:rsidRPr="00616F23" w:rsidRDefault="003B32F0" w:rsidP="006D46A0">
                  <w:pPr>
                    <w:spacing w:before="120"/>
                    <w:jc w:val="center"/>
                    <w:rPr>
                      <w:b/>
                    </w:rPr>
                  </w:pPr>
                  <w:r w:rsidRPr="00616F23">
                    <w:rPr>
                      <w:b/>
                    </w:rPr>
                    <w:t>10</w:t>
                  </w:r>
                </w:p>
              </w:tc>
            </w:tr>
            <w:tr w:rsidR="003B32F0" w:rsidRPr="00616F23" w14:paraId="6C7EF3F6" w14:textId="77777777" w:rsidTr="006D46A0">
              <w:tc>
                <w:tcPr>
                  <w:tcW w:w="8362" w:type="dxa"/>
                  <w:tcBorders>
                    <w:top w:val="single" w:sz="4" w:space="0" w:color="auto"/>
                    <w:bottom w:val="single" w:sz="4" w:space="0" w:color="auto"/>
                  </w:tcBorders>
                </w:tcPr>
                <w:p w14:paraId="3E58A209" w14:textId="77777777" w:rsidR="003B32F0" w:rsidRPr="00616F23" w:rsidRDefault="003B32F0" w:rsidP="00DC65CB">
                  <w:pPr>
                    <w:numPr>
                      <w:ilvl w:val="0"/>
                      <w:numId w:val="38"/>
                    </w:numPr>
                    <w:spacing w:before="120"/>
                    <w:jc w:val="both"/>
                    <w:rPr>
                      <w:rFonts w:cs="Times New Roman"/>
                      <w:b/>
                      <w:bCs/>
                      <w:smallCaps/>
                    </w:rPr>
                  </w:pPr>
                  <w:r w:rsidRPr="00616F23">
                    <w:rPr>
                      <w:b/>
                    </w:rPr>
                    <w:t>CEC Funds Spent in California</w:t>
                  </w:r>
                </w:p>
                <w:p w14:paraId="694D06F6" w14:textId="77777777" w:rsidR="003B32F0" w:rsidRPr="00616F23" w:rsidRDefault="003B32F0" w:rsidP="006D46A0">
                  <w:pPr>
                    <w:tabs>
                      <w:tab w:val="left" w:pos="1170"/>
                    </w:tabs>
                    <w:autoSpaceDE w:val="0"/>
                    <w:autoSpaceDN w:val="0"/>
                    <w:adjustRightInd w:val="0"/>
                    <w:spacing w:after="0"/>
                    <w:ind w:left="360"/>
                    <w:jc w:val="both"/>
                    <w:rPr>
                      <w:szCs w:val="22"/>
                    </w:rPr>
                  </w:pPr>
                  <w:r w:rsidRPr="00616F23">
                    <w:lastRenderedPageBreak/>
                    <w:t>Projects that maximize the spending of CEC funds in California will receive points as indicated in the table below (see CEC Funds Spent in California section for more details).</w:t>
                  </w:r>
                </w:p>
                <w:p w14:paraId="4B110773" w14:textId="77777777" w:rsidR="003B32F0" w:rsidRPr="00616F23" w:rsidRDefault="003B32F0" w:rsidP="006D46A0">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3B32F0" w:rsidRPr="00616F23" w14:paraId="43983999" w14:textId="77777777" w:rsidTr="006D46A0">
                    <w:tc>
                      <w:tcPr>
                        <w:tcW w:w="3685" w:type="dxa"/>
                        <w:tcBorders>
                          <w:top w:val="single" w:sz="4" w:space="0" w:color="auto"/>
                          <w:left w:val="single" w:sz="4" w:space="0" w:color="auto"/>
                          <w:bottom w:val="single" w:sz="4" w:space="0" w:color="auto"/>
                          <w:right w:val="single" w:sz="4" w:space="0" w:color="auto"/>
                        </w:tcBorders>
                      </w:tcPr>
                      <w:p w14:paraId="675798D2" w14:textId="77777777" w:rsidR="003B32F0" w:rsidRPr="00616F23" w:rsidRDefault="003B32F0" w:rsidP="006D46A0">
                        <w:pPr>
                          <w:widowControl w:val="0"/>
                          <w:spacing w:after="0"/>
                          <w:jc w:val="both"/>
                          <w:rPr>
                            <w:b/>
                            <w:sz w:val="18"/>
                            <w:szCs w:val="18"/>
                          </w:rPr>
                        </w:pPr>
                        <w:r w:rsidRPr="00616F23">
                          <w:rPr>
                            <w:b/>
                            <w:sz w:val="18"/>
                            <w:szCs w:val="18"/>
                          </w:rPr>
                          <w:t>Percentage of CEC funds spent in CA</w:t>
                        </w:r>
                        <w:r>
                          <w:rPr>
                            <w:b/>
                            <w:sz w:val="18"/>
                            <w:szCs w:val="18"/>
                          </w:rPr>
                          <w:t xml:space="preserve"> </w:t>
                        </w:r>
                        <w:r w:rsidRPr="00F600DC">
                          <w:rPr>
                            <w:b/>
                            <w:sz w:val="18"/>
                            <w:szCs w:val="18"/>
                          </w:rPr>
                          <w:t>vs Total CEC funds requested</w:t>
                        </w:r>
                      </w:p>
                      <w:p w14:paraId="268EAC86" w14:textId="063B11D1"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 xml:space="preserve">(derived from budget </w:t>
                        </w:r>
                        <w:r w:rsidR="00284D57" w:rsidRPr="00616F23">
                          <w:rPr>
                            <w:sz w:val="18"/>
                            <w:szCs w:val="18"/>
                          </w:rPr>
                          <w:t>Attachment)</w:t>
                        </w:r>
                      </w:p>
                    </w:tc>
                    <w:tc>
                      <w:tcPr>
                        <w:tcW w:w="2880" w:type="dxa"/>
                        <w:tcBorders>
                          <w:top w:val="single" w:sz="4" w:space="0" w:color="auto"/>
                          <w:left w:val="single" w:sz="4" w:space="0" w:color="auto"/>
                          <w:bottom w:val="single" w:sz="4" w:space="0" w:color="auto"/>
                          <w:right w:val="single" w:sz="4" w:space="0" w:color="auto"/>
                        </w:tcBorders>
                      </w:tcPr>
                      <w:p w14:paraId="4A7D4A4D"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3B32F0" w:rsidRPr="00616F23" w14:paraId="4F8A079C" w14:textId="77777777" w:rsidTr="006D46A0">
                    <w:tc>
                      <w:tcPr>
                        <w:tcW w:w="3685" w:type="dxa"/>
                        <w:tcBorders>
                          <w:top w:val="single" w:sz="4" w:space="0" w:color="auto"/>
                          <w:left w:val="single" w:sz="4" w:space="0" w:color="auto"/>
                          <w:bottom w:val="single" w:sz="4" w:space="0" w:color="auto"/>
                          <w:right w:val="single" w:sz="4" w:space="0" w:color="auto"/>
                        </w:tcBorders>
                      </w:tcPr>
                      <w:p w14:paraId="41E68351"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43488102"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20%</w:t>
                        </w:r>
                      </w:p>
                    </w:tc>
                  </w:tr>
                  <w:tr w:rsidR="003B32F0" w:rsidRPr="00616F23" w14:paraId="25448075" w14:textId="77777777" w:rsidTr="006D46A0">
                    <w:tc>
                      <w:tcPr>
                        <w:tcW w:w="3685" w:type="dxa"/>
                        <w:tcBorders>
                          <w:top w:val="single" w:sz="4" w:space="0" w:color="auto"/>
                          <w:left w:val="single" w:sz="4" w:space="0" w:color="auto"/>
                          <w:bottom w:val="single" w:sz="4" w:space="0" w:color="auto"/>
                          <w:right w:val="single" w:sz="4" w:space="0" w:color="auto"/>
                        </w:tcBorders>
                      </w:tcPr>
                      <w:p w14:paraId="7D52DC5C"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6EDCBCD1"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30%</w:t>
                        </w:r>
                      </w:p>
                    </w:tc>
                  </w:tr>
                  <w:tr w:rsidR="003B32F0" w:rsidRPr="00616F23" w14:paraId="617B73D7" w14:textId="77777777" w:rsidTr="006D46A0">
                    <w:tc>
                      <w:tcPr>
                        <w:tcW w:w="3685" w:type="dxa"/>
                        <w:tcBorders>
                          <w:top w:val="single" w:sz="4" w:space="0" w:color="auto"/>
                          <w:left w:val="single" w:sz="4" w:space="0" w:color="auto"/>
                          <w:bottom w:val="single" w:sz="4" w:space="0" w:color="auto"/>
                          <w:right w:val="single" w:sz="4" w:space="0" w:color="auto"/>
                        </w:tcBorders>
                      </w:tcPr>
                      <w:p w14:paraId="5000DCF3"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4C2924F4"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40%</w:t>
                        </w:r>
                      </w:p>
                    </w:tc>
                  </w:tr>
                  <w:tr w:rsidR="003B32F0" w:rsidRPr="00616F23" w14:paraId="67734F35" w14:textId="77777777" w:rsidTr="006D46A0">
                    <w:tc>
                      <w:tcPr>
                        <w:tcW w:w="3685" w:type="dxa"/>
                        <w:tcBorders>
                          <w:top w:val="single" w:sz="4" w:space="0" w:color="auto"/>
                          <w:left w:val="single" w:sz="4" w:space="0" w:color="auto"/>
                          <w:bottom w:val="single" w:sz="4" w:space="0" w:color="auto"/>
                          <w:right w:val="single" w:sz="4" w:space="0" w:color="auto"/>
                        </w:tcBorders>
                      </w:tcPr>
                      <w:p w14:paraId="5817D8B8"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25E1EDFA"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50%</w:t>
                        </w:r>
                      </w:p>
                    </w:tc>
                  </w:tr>
                  <w:tr w:rsidR="003B32F0" w:rsidRPr="00616F23" w14:paraId="7C0ABC52" w14:textId="77777777" w:rsidTr="006D46A0">
                    <w:tc>
                      <w:tcPr>
                        <w:tcW w:w="3685" w:type="dxa"/>
                        <w:tcBorders>
                          <w:top w:val="single" w:sz="4" w:space="0" w:color="auto"/>
                          <w:left w:val="single" w:sz="4" w:space="0" w:color="auto"/>
                          <w:bottom w:val="single" w:sz="4" w:space="0" w:color="auto"/>
                          <w:right w:val="single" w:sz="4" w:space="0" w:color="auto"/>
                        </w:tcBorders>
                      </w:tcPr>
                      <w:p w14:paraId="4DB297B8"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57734429"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60%</w:t>
                        </w:r>
                      </w:p>
                    </w:tc>
                  </w:tr>
                  <w:tr w:rsidR="003B32F0" w:rsidRPr="00616F23" w14:paraId="652772F7" w14:textId="77777777" w:rsidTr="006D46A0">
                    <w:tc>
                      <w:tcPr>
                        <w:tcW w:w="3685" w:type="dxa"/>
                        <w:tcBorders>
                          <w:top w:val="single" w:sz="4" w:space="0" w:color="auto"/>
                          <w:left w:val="single" w:sz="4" w:space="0" w:color="auto"/>
                          <w:bottom w:val="single" w:sz="4" w:space="0" w:color="auto"/>
                          <w:right w:val="single" w:sz="4" w:space="0" w:color="auto"/>
                        </w:tcBorders>
                      </w:tcPr>
                      <w:p w14:paraId="42E7976A"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49A8A0A3"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70%</w:t>
                        </w:r>
                      </w:p>
                    </w:tc>
                  </w:tr>
                  <w:tr w:rsidR="003B32F0" w:rsidRPr="00616F23" w14:paraId="3D64FF1D" w14:textId="77777777" w:rsidTr="006D46A0">
                    <w:tc>
                      <w:tcPr>
                        <w:tcW w:w="3685" w:type="dxa"/>
                        <w:tcBorders>
                          <w:top w:val="single" w:sz="4" w:space="0" w:color="auto"/>
                          <w:left w:val="single" w:sz="4" w:space="0" w:color="auto"/>
                          <w:bottom w:val="single" w:sz="4" w:space="0" w:color="auto"/>
                          <w:right w:val="single" w:sz="4" w:space="0" w:color="auto"/>
                        </w:tcBorders>
                      </w:tcPr>
                      <w:p w14:paraId="35726132"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0007917C"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80%</w:t>
                        </w:r>
                      </w:p>
                    </w:tc>
                  </w:tr>
                  <w:tr w:rsidR="003B32F0" w:rsidRPr="00616F23" w14:paraId="369BF9A3" w14:textId="77777777" w:rsidTr="006D46A0">
                    <w:tc>
                      <w:tcPr>
                        <w:tcW w:w="3685" w:type="dxa"/>
                        <w:tcBorders>
                          <w:top w:val="single" w:sz="4" w:space="0" w:color="auto"/>
                          <w:left w:val="single" w:sz="4" w:space="0" w:color="auto"/>
                          <w:bottom w:val="single" w:sz="4" w:space="0" w:color="auto"/>
                          <w:right w:val="single" w:sz="4" w:space="0" w:color="auto"/>
                        </w:tcBorders>
                      </w:tcPr>
                      <w:p w14:paraId="669BD6CC"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038C40BB"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90%</w:t>
                        </w:r>
                      </w:p>
                    </w:tc>
                  </w:tr>
                  <w:tr w:rsidR="003B32F0" w:rsidRPr="00616F23" w14:paraId="49831342" w14:textId="77777777" w:rsidTr="006D46A0">
                    <w:tc>
                      <w:tcPr>
                        <w:tcW w:w="3685" w:type="dxa"/>
                        <w:tcBorders>
                          <w:top w:val="single" w:sz="4" w:space="0" w:color="auto"/>
                          <w:left w:val="single" w:sz="4" w:space="0" w:color="auto"/>
                          <w:bottom w:val="single" w:sz="4" w:space="0" w:color="auto"/>
                          <w:right w:val="single" w:sz="4" w:space="0" w:color="auto"/>
                        </w:tcBorders>
                      </w:tcPr>
                      <w:p w14:paraId="18C4A26E"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4A9822FD" w14:textId="77777777" w:rsidR="003B32F0" w:rsidRPr="00616F23" w:rsidRDefault="003B32F0" w:rsidP="006D46A0">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4486B287" w14:textId="77777777" w:rsidR="003B32F0" w:rsidRPr="00616F23" w:rsidRDefault="003B32F0" w:rsidP="006D46A0">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7E7BBFED" w14:textId="77777777" w:rsidR="003B32F0" w:rsidRPr="00616F23" w:rsidRDefault="003B32F0" w:rsidP="006D46A0">
                  <w:pPr>
                    <w:spacing w:before="120"/>
                    <w:jc w:val="center"/>
                    <w:rPr>
                      <w:b/>
                    </w:rPr>
                  </w:pPr>
                  <w:r w:rsidRPr="00616F23">
                    <w:rPr>
                      <w:b/>
                    </w:rPr>
                    <w:lastRenderedPageBreak/>
                    <w:t>10</w:t>
                  </w:r>
                </w:p>
              </w:tc>
            </w:tr>
            <w:tr w:rsidR="003B32F0" w:rsidRPr="00616F23" w14:paraId="0A30A7D7" w14:textId="77777777" w:rsidTr="006D46A0">
              <w:tc>
                <w:tcPr>
                  <w:tcW w:w="8362" w:type="dxa"/>
                  <w:tcBorders>
                    <w:top w:val="single" w:sz="4" w:space="0" w:color="auto"/>
                    <w:bottom w:val="nil"/>
                  </w:tcBorders>
                </w:tcPr>
                <w:p w14:paraId="5D6210C9" w14:textId="77777777" w:rsidR="003B32F0" w:rsidRPr="00616F23" w:rsidRDefault="003B32F0" w:rsidP="00DC65CB">
                  <w:pPr>
                    <w:numPr>
                      <w:ilvl w:val="0"/>
                      <w:numId w:val="38"/>
                    </w:numPr>
                    <w:spacing w:before="120"/>
                    <w:jc w:val="both"/>
                    <w:rPr>
                      <w:rFonts w:cs="Times New Roman"/>
                      <w:b/>
                      <w:bCs/>
                      <w:smallCaps/>
                    </w:rPr>
                  </w:pPr>
                  <w:r w:rsidRPr="00616F23">
                    <w:rPr>
                      <w:b/>
                    </w:rPr>
                    <w:t>Ratio of Direct Labor to Indirect Costs</w:t>
                  </w:r>
                </w:p>
                <w:p w14:paraId="162AE8EE" w14:textId="77777777" w:rsidR="003B32F0" w:rsidRPr="00616F23" w:rsidRDefault="003B32F0" w:rsidP="006D46A0">
                  <w:pPr>
                    <w:spacing w:before="120"/>
                    <w:ind w:left="330"/>
                    <w:jc w:val="both"/>
                  </w:pPr>
                  <w:r w:rsidRPr="00616F23">
                    <w:t>The score for this criterion will be calculated by the following formula:</w:t>
                  </w:r>
                </w:p>
                <w:p w14:paraId="0736BA3F" w14:textId="77777777" w:rsidR="003B32F0" w:rsidRPr="00616F23" w:rsidRDefault="003B32F0" w:rsidP="006D46A0">
                  <w:pPr>
                    <w:spacing w:before="120"/>
                    <w:ind w:left="330"/>
                    <w:jc w:val="center"/>
                  </w:pPr>
                </w:p>
                <w:p w14:paraId="5993B6D0" w14:textId="77777777" w:rsidR="003B32F0" w:rsidRPr="00616F23" w:rsidRDefault="00F03762" w:rsidP="006D46A0">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12D91EAF" w14:textId="77777777" w:rsidR="003B32F0" w:rsidRPr="00616F23" w:rsidRDefault="003B32F0" w:rsidP="006D46A0">
                  <w:pPr>
                    <w:spacing w:before="120"/>
                    <w:ind w:left="330"/>
                    <w:jc w:val="both"/>
                  </w:pPr>
                  <w:r w:rsidRPr="00616F23">
                    <w:br/>
                    <w:t>This ratio will then be multiplied by the maximum possible points for this criterion and rounded to two decimal places.</w:t>
                  </w:r>
                </w:p>
                <w:p w14:paraId="2E7AE03D" w14:textId="77777777" w:rsidR="003B32F0" w:rsidRPr="00616F23" w:rsidRDefault="003B32F0" w:rsidP="006D46A0">
                  <w:pPr>
                    <w:spacing w:before="120"/>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3AF954A2" w14:textId="77777777" w:rsidR="003B32F0" w:rsidRPr="00616F23" w:rsidRDefault="003B32F0" w:rsidP="006D46A0">
                  <w:pPr>
                    <w:spacing w:before="120"/>
                    <w:jc w:val="center"/>
                    <w:rPr>
                      <w:b/>
                    </w:rPr>
                  </w:pPr>
                  <w:r w:rsidRPr="00616F23">
                    <w:rPr>
                      <w:b/>
                    </w:rPr>
                    <w:t>5</w:t>
                  </w:r>
                </w:p>
              </w:tc>
            </w:tr>
            <w:tr w:rsidR="003B32F0" w:rsidRPr="00616F23" w14:paraId="476B62F0" w14:textId="77777777" w:rsidTr="006D46A0">
              <w:trPr>
                <w:trHeight w:val="647"/>
              </w:trPr>
              <w:tc>
                <w:tcPr>
                  <w:tcW w:w="8362" w:type="dxa"/>
                  <w:tcBorders>
                    <w:top w:val="nil"/>
                    <w:bottom w:val="single" w:sz="4" w:space="0" w:color="auto"/>
                  </w:tcBorders>
                  <w:shd w:val="clear" w:color="auto" w:fill="D9D9D9"/>
                </w:tcPr>
                <w:p w14:paraId="07A3A68B" w14:textId="77777777" w:rsidR="003B32F0" w:rsidRPr="00616F23" w:rsidRDefault="003B32F0" w:rsidP="006D46A0">
                  <w:pPr>
                    <w:spacing w:before="120" w:after="0"/>
                    <w:jc w:val="both"/>
                    <w:rPr>
                      <w:b/>
                    </w:rPr>
                  </w:pPr>
                  <w:r w:rsidRPr="00616F23">
                    <w:rPr>
                      <w:b/>
                    </w:rPr>
                    <w:t>Total Possible Points</w:t>
                  </w:r>
                </w:p>
                <w:p w14:paraId="2C38E842" w14:textId="77777777" w:rsidR="003B32F0" w:rsidRPr="00616F23" w:rsidRDefault="003B32F0" w:rsidP="006D46A0">
                  <w:pPr>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42" w:type="dxa"/>
                  <w:tcBorders>
                    <w:top w:val="nil"/>
                    <w:bottom w:val="single" w:sz="4" w:space="0" w:color="auto"/>
                  </w:tcBorders>
                  <w:shd w:val="clear" w:color="auto" w:fill="D9D9D9"/>
                </w:tcPr>
                <w:p w14:paraId="1E32E393" w14:textId="77777777" w:rsidR="003B32F0" w:rsidRPr="00616F23" w:rsidRDefault="003B32F0" w:rsidP="006D46A0">
                  <w:pPr>
                    <w:spacing w:after="0"/>
                    <w:jc w:val="both"/>
                    <w:rPr>
                      <w:b/>
                    </w:rPr>
                  </w:pPr>
                </w:p>
                <w:p w14:paraId="21514FB4" w14:textId="77777777" w:rsidR="003B32F0" w:rsidRPr="00616F23" w:rsidRDefault="003B32F0" w:rsidP="006D46A0">
                  <w:pPr>
                    <w:jc w:val="center"/>
                    <w:rPr>
                      <w:b/>
                    </w:rPr>
                  </w:pPr>
                  <w:r w:rsidRPr="00616F23">
                    <w:rPr>
                      <w:b/>
                    </w:rPr>
                    <w:t>1</w:t>
                  </w:r>
                  <w:r>
                    <w:rPr>
                      <w:b/>
                    </w:rPr>
                    <w:t>00</w:t>
                  </w:r>
                </w:p>
              </w:tc>
            </w:tr>
            <w:tr w:rsidR="003B32F0" w:rsidRPr="00616F23" w14:paraId="115E6367" w14:textId="77777777" w:rsidTr="006D46A0">
              <w:trPr>
                <w:trHeight w:val="647"/>
              </w:trPr>
              <w:tc>
                <w:tcPr>
                  <w:tcW w:w="8362" w:type="dxa"/>
                  <w:tcBorders>
                    <w:bottom w:val="single" w:sz="4" w:space="0" w:color="auto"/>
                  </w:tcBorders>
                  <w:shd w:val="clear" w:color="auto" w:fill="BFBFBF"/>
                  <w:vAlign w:val="center"/>
                </w:tcPr>
                <w:p w14:paraId="7DBF7404" w14:textId="77777777" w:rsidR="003B32F0" w:rsidRPr="00616F23" w:rsidRDefault="003B32F0" w:rsidP="006D46A0">
                  <w:pPr>
                    <w:keepNext/>
                    <w:spacing w:before="120"/>
                    <w:jc w:val="both"/>
                    <w:rPr>
                      <w:b/>
                      <w:szCs w:val="22"/>
                    </w:rPr>
                  </w:pPr>
                  <w:r w:rsidRPr="00616F23">
                    <w:rPr>
                      <w:b/>
                      <w:sz w:val="28"/>
                      <w:u w:val="single"/>
                    </w:rPr>
                    <w:t>Total Possible Points</w:t>
                  </w:r>
                </w:p>
              </w:tc>
              <w:tc>
                <w:tcPr>
                  <w:tcW w:w="1342" w:type="dxa"/>
                  <w:shd w:val="pct25" w:color="auto" w:fill="auto"/>
                </w:tcPr>
                <w:p w14:paraId="34D2ADB2" w14:textId="77777777" w:rsidR="003B32F0" w:rsidRPr="005E5E17" w:rsidRDefault="003B32F0" w:rsidP="006D46A0">
                  <w:pPr>
                    <w:keepNext/>
                    <w:spacing w:before="120" w:after="0"/>
                    <w:jc w:val="center"/>
                    <w:rPr>
                      <w:b/>
                      <w:bCs/>
                    </w:rPr>
                  </w:pPr>
                  <w:r w:rsidRPr="005E5E17">
                    <w:rPr>
                      <w:b/>
                      <w:bCs/>
                      <w:color w:val="000000"/>
                      <w:szCs w:val="22"/>
                    </w:rPr>
                    <w:t>1</w:t>
                  </w:r>
                  <w:r>
                    <w:rPr>
                      <w:b/>
                      <w:bCs/>
                      <w:color w:val="000000"/>
                      <w:szCs w:val="22"/>
                    </w:rPr>
                    <w:t>0</w:t>
                  </w:r>
                  <w:r w:rsidRPr="005E5E17">
                    <w:rPr>
                      <w:b/>
                      <w:bCs/>
                      <w:color w:val="000000"/>
                      <w:szCs w:val="22"/>
                    </w:rPr>
                    <w:t>0</w:t>
                  </w:r>
                </w:p>
              </w:tc>
            </w:tr>
            <w:tr w:rsidR="003B32F0" w:rsidRPr="00616F23" w14:paraId="51FC4879" w14:textId="77777777" w:rsidTr="006D46A0">
              <w:trPr>
                <w:trHeight w:val="647"/>
              </w:trPr>
              <w:tc>
                <w:tcPr>
                  <w:tcW w:w="9704" w:type="dxa"/>
                  <w:gridSpan w:val="2"/>
                  <w:tcBorders>
                    <w:top w:val="single" w:sz="4" w:space="0" w:color="auto"/>
                  </w:tcBorders>
                  <w:shd w:val="clear" w:color="auto" w:fill="D9D9D9"/>
                  <w:vAlign w:val="center"/>
                </w:tcPr>
                <w:p w14:paraId="6D1822CF" w14:textId="77777777" w:rsidR="003B32F0" w:rsidRPr="00616F23" w:rsidRDefault="003B32F0" w:rsidP="006D46A0">
                  <w:pPr>
                    <w:keepNext/>
                    <w:spacing w:before="120" w:after="0"/>
                    <w:rPr>
                      <w:b/>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p>
              </w:tc>
            </w:tr>
          </w:tbl>
          <w:p w14:paraId="56752BBD" w14:textId="77777777" w:rsidR="003B32F0" w:rsidRPr="00585EA8" w:rsidRDefault="003B32F0" w:rsidP="006D46A0">
            <w:pPr>
              <w:spacing w:before="180" w:after="0"/>
              <w:jc w:val="both"/>
              <w:rPr>
                <w:b/>
              </w:rPr>
            </w:pPr>
          </w:p>
        </w:tc>
      </w:tr>
    </w:tbl>
    <w:p w14:paraId="0D971C76" w14:textId="77777777" w:rsidR="003B32F0" w:rsidRDefault="003B32F0" w:rsidP="003B32F0">
      <w:pPr>
        <w:rPr>
          <w:b/>
          <w:caps/>
          <w:u w:val="single"/>
        </w:rPr>
      </w:pPr>
      <w:r>
        <w:rPr>
          <w:b/>
          <w:caps/>
          <w:u w:val="single"/>
        </w:rPr>
        <w:lastRenderedPageBreak/>
        <w:t xml:space="preserve"> </w:t>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3B32F0" w:rsidRPr="00734FF3" w14:paraId="09179D06" w14:textId="77777777" w:rsidTr="006D46A0">
        <w:trPr>
          <w:tblHeader/>
        </w:trPr>
        <w:tc>
          <w:tcPr>
            <w:tcW w:w="8365" w:type="dxa"/>
            <w:shd w:val="clear" w:color="auto" w:fill="D9D9D9" w:themeFill="background1" w:themeFillShade="D9"/>
            <w:vAlign w:val="bottom"/>
          </w:tcPr>
          <w:p w14:paraId="792B8413" w14:textId="77777777" w:rsidR="003B32F0" w:rsidRPr="00F845BD" w:rsidRDefault="003B32F0" w:rsidP="006D46A0">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1576C95C" w14:textId="77777777" w:rsidR="003B32F0" w:rsidRPr="002A512F" w:rsidRDefault="003B32F0" w:rsidP="006D46A0">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3B32F0" w:rsidRPr="00CE5562" w14:paraId="4D256B96" w14:textId="77777777" w:rsidTr="006D46A0">
        <w:trPr>
          <w:trHeight w:val="4850"/>
        </w:trPr>
        <w:tc>
          <w:tcPr>
            <w:tcW w:w="8362" w:type="dxa"/>
            <w:tcBorders>
              <w:bottom w:val="single" w:sz="4" w:space="0" w:color="auto"/>
            </w:tcBorders>
            <w:shd w:val="clear" w:color="auto" w:fill="auto"/>
          </w:tcPr>
          <w:p w14:paraId="69EFB769" w14:textId="77777777" w:rsidR="003B32F0" w:rsidRPr="00CE5562" w:rsidRDefault="003B32F0" w:rsidP="00DC65CB">
            <w:pPr>
              <w:keepNext/>
              <w:numPr>
                <w:ilvl w:val="0"/>
                <w:numId w:val="38"/>
              </w:numPr>
              <w:spacing w:before="120"/>
              <w:jc w:val="both"/>
              <w:rPr>
                <w:b/>
                <w:szCs w:val="22"/>
              </w:rPr>
            </w:pPr>
            <w:r w:rsidRPr="00CE5562">
              <w:rPr>
                <w:b/>
                <w:szCs w:val="22"/>
              </w:rPr>
              <w:t xml:space="preserve">Match Funds </w:t>
            </w:r>
          </w:p>
          <w:p w14:paraId="2C5C14E2" w14:textId="77777777" w:rsidR="003B32F0" w:rsidRPr="00CE5562" w:rsidRDefault="003B32F0" w:rsidP="00DC65CB">
            <w:pPr>
              <w:keepNext/>
              <w:numPr>
                <w:ilvl w:val="0"/>
                <w:numId w:val="49"/>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olor w:val="000000"/>
              </w:rPr>
              <w:t xml:space="preserve"> </w:t>
            </w:r>
            <w:r w:rsidRPr="00CE5562">
              <w:rPr>
                <w:color w:val="000000"/>
                <w:szCs w:val="22"/>
              </w:rPr>
              <w:t xml:space="preserve">for solicitation match requirements. Points for this criterion will be evaluated based on the proposed </w:t>
            </w:r>
            <w:r>
              <w:rPr>
                <w:color w:val="000000"/>
                <w:szCs w:val="22"/>
              </w:rPr>
              <w:t xml:space="preserve">cash match relative to the total match (cash + in-kind) contributions using the </w:t>
            </w:r>
            <w:r w:rsidRPr="00CE5562">
              <w:rPr>
                <w:color w:val="000000"/>
                <w:szCs w:val="22"/>
              </w:rPr>
              <w:t>Cash</w:t>
            </w:r>
            <w:r>
              <w:rPr>
                <w:color w:val="000000"/>
                <w:szCs w:val="22"/>
              </w:rPr>
              <w:t xml:space="preserve"> </w:t>
            </w:r>
            <w:r w:rsidRPr="00CE5562">
              <w:rPr>
                <w:color w:val="000000"/>
                <w:szCs w:val="22"/>
              </w:rPr>
              <w:t>Match Scoring Table:</w:t>
            </w:r>
          </w:p>
          <w:p w14:paraId="6399DE7E" w14:textId="77777777" w:rsidR="003B32F0" w:rsidRPr="00CE5562" w:rsidRDefault="003B32F0" w:rsidP="006D46A0">
            <w:pPr>
              <w:keepNext/>
              <w:spacing w:after="0" w:line="280" w:lineRule="atLeast"/>
              <w:jc w:val="center"/>
              <w:rPr>
                <w:color w:val="000000"/>
                <w:szCs w:val="22"/>
              </w:rPr>
            </w:pPr>
            <w:r>
              <w:rPr>
                <w:b/>
                <w:sz w:val="28"/>
                <w:szCs w:val="22"/>
              </w:rPr>
              <w:t xml:space="preserve">Cash </w:t>
            </w:r>
            <w:r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3B32F0" w:rsidRPr="00CE5562" w14:paraId="787F4F9E" w14:textId="77777777" w:rsidTr="006D46A0">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vAlign w:val="top"/>
                </w:tcPr>
                <w:p w14:paraId="20F9710D" w14:textId="77777777" w:rsidR="003B32F0" w:rsidRPr="00CE5562" w:rsidRDefault="003B32F0" w:rsidP="006D46A0">
                  <w:pPr>
                    <w:keepNext/>
                    <w:spacing w:after="60" w:line="280" w:lineRule="atLeast"/>
                    <w:rPr>
                      <w:szCs w:val="22"/>
                    </w:rPr>
                  </w:pPr>
                  <w:r w:rsidRPr="00CE5562">
                    <w:rPr>
                      <w:szCs w:val="22"/>
                    </w:rPr>
                    <w:t>Percentage of Proposed Cash Match Funds</w:t>
                  </w:r>
                </w:p>
              </w:tc>
              <w:tc>
                <w:tcPr>
                  <w:tcW w:w="975" w:type="dxa"/>
                  <w:shd w:val="clear" w:color="auto" w:fill="BFBFBF"/>
                  <w:vAlign w:val="top"/>
                </w:tcPr>
                <w:p w14:paraId="1C72BB12" w14:textId="77777777" w:rsidR="003B32F0" w:rsidRPr="00CE5562" w:rsidRDefault="003B32F0" w:rsidP="006D46A0">
                  <w:pPr>
                    <w:keepNext/>
                    <w:spacing w:after="0" w:line="280" w:lineRule="atLeast"/>
                    <w:rPr>
                      <w:szCs w:val="22"/>
                    </w:rPr>
                  </w:pPr>
                  <w:r w:rsidRPr="00CE5562">
                    <w:rPr>
                      <w:szCs w:val="22"/>
                    </w:rPr>
                    <w:t>Score</w:t>
                  </w:r>
                </w:p>
              </w:tc>
            </w:tr>
            <w:tr w:rsidR="003B32F0" w:rsidRPr="00CE5562" w14:paraId="7FF035D1" w14:textId="77777777" w:rsidTr="006D46A0">
              <w:trPr>
                <w:trHeight w:val="344"/>
                <w:jc w:val="center"/>
              </w:trPr>
              <w:tc>
                <w:tcPr>
                  <w:tcW w:w="2500" w:type="dxa"/>
                  <w:vAlign w:val="bottom"/>
                </w:tcPr>
                <w:p w14:paraId="471E5570" w14:textId="77777777" w:rsidR="003B32F0" w:rsidRPr="00CE5562" w:rsidRDefault="003B32F0" w:rsidP="006D46A0">
                  <w:pPr>
                    <w:keepNext/>
                    <w:spacing w:after="60"/>
                    <w:jc w:val="center"/>
                    <w:rPr>
                      <w:szCs w:val="22"/>
                    </w:rPr>
                  </w:pPr>
                  <w:r w:rsidRPr="00CE5562">
                    <w:rPr>
                      <w:szCs w:val="22"/>
                    </w:rPr>
                    <w:t>80</w:t>
                  </w:r>
                  <w:r>
                    <w:rPr>
                      <w:szCs w:val="22"/>
                    </w:rPr>
                    <w:t xml:space="preserve"> to 100</w:t>
                  </w:r>
                  <w:r w:rsidRPr="00CE5562">
                    <w:rPr>
                      <w:szCs w:val="22"/>
                    </w:rPr>
                    <w:t>%</w:t>
                  </w:r>
                </w:p>
              </w:tc>
              <w:tc>
                <w:tcPr>
                  <w:tcW w:w="975" w:type="dxa"/>
                  <w:vAlign w:val="bottom"/>
                </w:tcPr>
                <w:p w14:paraId="71C07909" w14:textId="77777777" w:rsidR="003B32F0" w:rsidRPr="00CE5562" w:rsidRDefault="003B32F0" w:rsidP="006D46A0">
                  <w:pPr>
                    <w:keepNext/>
                    <w:spacing w:after="60"/>
                    <w:ind w:left="58"/>
                    <w:jc w:val="center"/>
                    <w:rPr>
                      <w:szCs w:val="22"/>
                    </w:rPr>
                  </w:pPr>
                  <w:r w:rsidRPr="00CE5562">
                    <w:rPr>
                      <w:szCs w:val="22"/>
                    </w:rPr>
                    <w:t>5</w:t>
                  </w:r>
                </w:p>
              </w:tc>
            </w:tr>
            <w:tr w:rsidR="003B32F0" w:rsidRPr="00CE5562" w14:paraId="0C64ECE9" w14:textId="77777777" w:rsidTr="006D46A0">
              <w:trPr>
                <w:trHeight w:val="372"/>
                <w:jc w:val="center"/>
              </w:trPr>
              <w:tc>
                <w:tcPr>
                  <w:tcW w:w="2500" w:type="dxa"/>
                  <w:vAlign w:val="bottom"/>
                </w:tcPr>
                <w:p w14:paraId="3D4D9454" w14:textId="77777777" w:rsidR="003B32F0" w:rsidRPr="00CE5562" w:rsidRDefault="003B32F0" w:rsidP="006D46A0">
                  <w:pPr>
                    <w:keepNext/>
                    <w:spacing w:after="60"/>
                    <w:ind w:left="61"/>
                    <w:jc w:val="center"/>
                    <w:rPr>
                      <w:szCs w:val="22"/>
                    </w:rPr>
                  </w:pPr>
                  <w:r w:rsidRPr="00CE5562">
                    <w:rPr>
                      <w:szCs w:val="22"/>
                    </w:rPr>
                    <w:t>60 to &lt;80%</w:t>
                  </w:r>
                </w:p>
              </w:tc>
              <w:tc>
                <w:tcPr>
                  <w:tcW w:w="975" w:type="dxa"/>
                  <w:vAlign w:val="bottom"/>
                </w:tcPr>
                <w:p w14:paraId="644028AA" w14:textId="77777777" w:rsidR="003B32F0" w:rsidRPr="00CE5562" w:rsidRDefault="003B32F0" w:rsidP="006D46A0">
                  <w:pPr>
                    <w:keepNext/>
                    <w:spacing w:after="60"/>
                    <w:ind w:left="61"/>
                    <w:jc w:val="center"/>
                    <w:rPr>
                      <w:szCs w:val="22"/>
                    </w:rPr>
                  </w:pPr>
                  <w:r w:rsidRPr="00CE5562">
                    <w:rPr>
                      <w:szCs w:val="22"/>
                    </w:rPr>
                    <w:t>4</w:t>
                  </w:r>
                </w:p>
              </w:tc>
            </w:tr>
            <w:tr w:rsidR="003B32F0" w:rsidRPr="00CE5562" w14:paraId="04AC6C6E" w14:textId="77777777" w:rsidTr="006D46A0">
              <w:trPr>
                <w:trHeight w:val="363"/>
                <w:jc w:val="center"/>
              </w:trPr>
              <w:tc>
                <w:tcPr>
                  <w:tcW w:w="2500" w:type="dxa"/>
                  <w:vAlign w:val="bottom"/>
                </w:tcPr>
                <w:p w14:paraId="16E15062" w14:textId="77777777" w:rsidR="003B32F0" w:rsidRPr="00CE5562" w:rsidRDefault="003B32F0" w:rsidP="006D46A0">
                  <w:pPr>
                    <w:keepNext/>
                    <w:spacing w:after="60"/>
                    <w:ind w:left="61"/>
                    <w:jc w:val="center"/>
                    <w:rPr>
                      <w:szCs w:val="22"/>
                    </w:rPr>
                  </w:pPr>
                  <w:r w:rsidRPr="00CE5562">
                    <w:rPr>
                      <w:szCs w:val="22"/>
                    </w:rPr>
                    <w:t>40 to &lt;60%</w:t>
                  </w:r>
                </w:p>
              </w:tc>
              <w:tc>
                <w:tcPr>
                  <w:tcW w:w="975" w:type="dxa"/>
                  <w:vAlign w:val="bottom"/>
                </w:tcPr>
                <w:p w14:paraId="5CD579BF" w14:textId="77777777" w:rsidR="003B32F0" w:rsidRPr="00CE5562" w:rsidRDefault="003B32F0" w:rsidP="006D46A0">
                  <w:pPr>
                    <w:keepNext/>
                    <w:spacing w:after="60"/>
                    <w:ind w:left="61"/>
                    <w:jc w:val="center"/>
                    <w:rPr>
                      <w:szCs w:val="22"/>
                    </w:rPr>
                  </w:pPr>
                  <w:r w:rsidRPr="00CE5562">
                    <w:rPr>
                      <w:szCs w:val="22"/>
                    </w:rPr>
                    <w:t>3</w:t>
                  </w:r>
                </w:p>
              </w:tc>
            </w:tr>
            <w:tr w:rsidR="003B32F0" w:rsidRPr="00CE5562" w14:paraId="664F2DDD" w14:textId="77777777" w:rsidTr="006D46A0">
              <w:trPr>
                <w:trHeight w:val="363"/>
                <w:jc w:val="center"/>
              </w:trPr>
              <w:tc>
                <w:tcPr>
                  <w:tcW w:w="2500" w:type="dxa"/>
                  <w:vAlign w:val="bottom"/>
                </w:tcPr>
                <w:p w14:paraId="65C87BD8" w14:textId="77777777" w:rsidR="003B32F0" w:rsidRPr="00CE5562" w:rsidRDefault="003B32F0" w:rsidP="006D46A0">
                  <w:pPr>
                    <w:keepNext/>
                    <w:spacing w:after="60"/>
                    <w:ind w:left="58"/>
                    <w:jc w:val="center"/>
                    <w:rPr>
                      <w:szCs w:val="22"/>
                    </w:rPr>
                  </w:pPr>
                  <w:r w:rsidRPr="00CE5562">
                    <w:rPr>
                      <w:szCs w:val="22"/>
                    </w:rPr>
                    <w:t>20 to &lt;40%</w:t>
                  </w:r>
                </w:p>
              </w:tc>
              <w:tc>
                <w:tcPr>
                  <w:tcW w:w="975" w:type="dxa"/>
                  <w:vAlign w:val="bottom"/>
                </w:tcPr>
                <w:p w14:paraId="5743FD09" w14:textId="77777777" w:rsidR="003B32F0" w:rsidRPr="00CE5562" w:rsidRDefault="003B32F0" w:rsidP="006D46A0">
                  <w:pPr>
                    <w:keepNext/>
                    <w:spacing w:after="60"/>
                    <w:ind w:left="58"/>
                    <w:jc w:val="center"/>
                    <w:rPr>
                      <w:szCs w:val="22"/>
                    </w:rPr>
                  </w:pPr>
                  <w:r w:rsidRPr="00CE5562">
                    <w:rPr>
                      <w:szCs w:val="22"/>
                    </w:rPr>
                    <w:t>2</w:t>
                  </w:r>
                </w:p>
              </w:tc>
            </w:tr>
            <w:tr w:rsidR="003B32F0" w:rsidRPr="00CE5562" w14:paraId="2C68E834" w14:textId="77777777" w:rsidTr="006D46A0">
              <w:trPr>
                <w:trHeight w:val="363"/>
                <w:jc w:val="center"/>
              </w:trPr>
              <w:tc>
                <w:tcPr>
                  <w:tcW w:w="2500" w:type="dxa"/>
                  <w:vAlign w:val="bottom"/>
                </w:tcPr>
                <w:p w14:paraId="069F7133" w14:textId="77777777" w:rsidR="003B32F0" w:rsidRPr="00CE5562" w:rsidRDefault="003B32F0" w:rsidP="006D46A0">
                  <w:pPr>
                    <w:keepNext/>
                    <w:spacing w:after="60"/>
                    <w:ind w:left="58"/>
                    <w:jc w:val="center"/>
                    <w:rPr>
                      <w:szCs w:val="22"/>
                    </w:rPr>
                  </w:pPr>
                  <w:r w:rsidRPr="00CE5562">
                    <w:rPr>
                      <w:szCs w:val="22"/>
                    </w:rPr>
                    <w:t>10 to &lt;20%</w:t>
                  </w:r>
                </w:p>
              </w:tc>
              <w:tc>
                <w:tcPr>
                  <w:tcW w:w="975" w:type="dxa"/>
                  <w:vAlign w:val="bottom"/>
                </w:tcPr>
                <w:p w14:paraId="2DC652F2" w14:textId="77777777" w:rsidR="003B32F0" w:rsidRPr="00CE5562" w:rsidRDefault="003B32F0" w:rsidP="006D46A0">
                  <w:pPr>
                    <w:keepNext/>
                    <w:spacing w:after="60"/>
                    <w:ind w:left="58"/>
                    <w:jc w:val="center"/>
                    <w:rPr>
                      <w:szCs w:val="22"/>
                    </w:rPr>
                  </w:pPr>
                  <w:r w:rsidRPr="00CE5562">
                    <w:rPr>
                      <w:szCs w:val="22"/>
                    </w:rPr>
                    <w:t>1</w:t>
                  </w:r>
                </w:p>
              </w:tc>
            </w:tr>
          </w:tbl>
          <w:p w14:paraId="4FA0E802" w14:textId="77777777" w:rsidR="003B32F0" w:rsidRPr="00CE5562" w:rsidRDefault="003B32F0" w:rsidP="006D46A0">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6AF17BC0" w14:textId="77777777" w:rsidR="003B32F0" w:rsidRPr="00CE5562" w:rsidRDefault="003B32F0" w:rsidP="006D46A0">
            <w:pPr>
              <w:keepNext/>
              <w:spacing w:before="120" w:after="0"/>
              <w:jc w:val="center"/>
              <w:rPr>
                <w:b/>
                <w:szCs w:val="22"/>
              </w:rPr>
            </w:pPr>
            <w:r w:rsidRPr="00CE5562">
              <w:rPr>
                <w:b/>
                <w:szCs w:val="22"/>
              </w:rPr>
              <w:t>5</w:t>
            </w:r>
          </w:p>
        </w:tc>
      </w:tr>
      <w:tr w:rsidR="003B32F0" w:rsidRPr="00CE5562" w14:paraId="6637B89A" w14:textId="77777777" w:rsidTr="006D46A0">
        <w:trPr>
          <w:trHeight w:val="647"/>
        </w:trPr>
        <w:tc>
          <w:tcPr>
            <w:tcW w:w="8362" w:type="dxa"/>
            <w:tcBorders>
              <w:bottom w:val="single" w:sz="4" w:space="0" w:color="auto"/>
            </w:tcBorders>
            <w:shd w:val="clear" w:color="auto" w:fill="auto"/>
          </w:tcPr>
          <w:p w14:paraId="2F9D36A1" w14:textId="77777777" w:rsidR="003B32F0" w:rsidRPr="00CE5562" w:rsidRDefault="003B32F0" w:rsidP="00DC65CB">
            <w:pPr>
              <w:keepLines/>
              <w:numPr>
                <w:ilvl w:val="0"/>
                <w:numId w:val="49"/>
              </w:numPr>
              <w:spacing w:before="120"/>
              <w:jc w:val="both"/>
            </w:pPr>
            <w:r w:rsidRPr="00CE5562">
              <w:t xml:space="preserve">Additional points will be awarded to applications that exceed the minimum match requirements </w:t>
            </w:r>
            <w:r>
              <w:t xml:space="preserve">based on the percentage amount above minimum </w:t>
            </w:r>
            <w:r w:rsidRPr="00CE5562">
              <w:t>using the Exceeds Minimum Match Scoring table:</w:t>
            </w:r>
          </w:p>
          <w:p w14:paraId="3D458FDC" w14:textId="77777777" w:rsidR="003B32F0" w:rsidRPr="00CE5562" w:rsidRDefault="003B32F0" w:rsidP="006D46A0">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3B32F0" w:rsidRPr="00CE5562" w14:paraId="70176E53" w14:textId="77777777" w:rsidTr="006D46A0">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vAlign w:val="top"/>
                </w:tcPr>
                <w:p w14:paraId="30ACCECD" w14:textId="77777777" w:rsidR="003B32F0" w:rsidRPr="00CE5562" w:rsidRDefault="003B32F0" w:rsidP="006D46A0">
                  <w:pPr>
                    <w:spacing w:after="60" w:line="280" w:lineRule="atLeast"/>
                    <w:rPr>
                      <w:szCs w:val="22"/>
                    </w:rPr>
                  </w:pPr>
                  <w:r w:rsidRPr="00CE5562">
                    <w:rPr>
                      <w:szCs w:val="22"/>
                    </w:rPr>
                    <w:t xml:space="preserve">Percentage above Minimum Match </w:t>
                  </w:r>
                  <w:r w:rsidRPr="00CE5562">
                    <w:rPr>
                      <w:rFonts w:ascii="Calibri" w:eastAsia="Calibri" w:hAnsi="Calibri"/>
                      <w:szCs w:val="22"/>
                    </w:rPr>
                    <w:t>(cash and in-kind)</w:t>
                  </w:r>
                </w:p>
              </w:tc>
              <w:tc>
                <w:tcPr>
                  <w:tcW w:w="990" w:type="dxa"/>
                  <w:shd w:val="clear" w:color="auto" w:fill="BFBFBF"/>
                  <w:vAlign w:val="top"/>
                </w:tcPr>
                <w:p w14:paraId="70866D2E" w14:textId="77777777" w:rsidR="003B32F0" w:rsidRPr="00CE5562" w:rsidRDefault="003B32F0" w:rsidP="006D46A0">
                  <w:pPr>
                    <w:spacing w:after="0" w:line="280" w:lineRule="atLeast"/>
                    <w:rPr>
                      <w:szCs w:val="22"/>
                    </w:rPr>
                  </w:pPr>
                  <w:r w:rsidRPr="00CE5562">
                    <w:rPr>
                      <w:szCs w:val="22"/>
                    </w:rPr>
                    <w:t>Score</w:t>
                  </w:r>
                </w:p>
              </w:tc>
            </w:tr>
            <w:tr w:rsidR="003B32F0" w:rsidRPr="00CE5562" w14:paraId="6127A0C1" w14:textId="77777777" w:rsidTr="006D46A0">
              <w:trPr>
                <w:trHeight w:val="344"/>
                <w:jc w:val="center"/>
              </w:trPr>
              <w:tc>
                <w:tcPr>
                  <w:tcW w:w="2590" w:type="dxa"/>
                  <w:vAlign w:val="bottom"/>
                </w:tcPr>
                <w:p w14:paraId="4DF066A7" w14:textId="77777777" w:rsidR="003B32F0" w:rsidRPr="00CE5562" w:rsidRDefault="003B32F0" w:rsidP="006D46A0">
                  <w:pPr>
                    <w:spacing w:after="60"/>
                    <w:jc w:val="center"/>
                    <w:rPr>
                      <w:szCs w:val="22"/>
                    </w:rPr>
                  </w:pPr>
                  <m:oMath>
                    <m:r>
                      <w:rPr>
                        <w:rFonts w:ascii="Cambria Math" w:hAnsi="Cambria Math"/>
                        <w:szCs w:val="22"/>
                      </w:rPr>
                      <m:t>≥</m:t>
                    </m:r>
                  </m:oMath>
                  <w:r w:rsidRPr="00CE5562">
                    <w:rPr>
                      <w:szCs w:val="22"/>
                    </w:rPr>
                    <w:t xml:space="preserve"> 80%</w:t>
                  </w:r>
                </w:p>
              </w:tc>
              <w:tc>
                <w:tcPr>
                  <w:tcW w:w="990" w:type="dxa"/>
                  <w:vAlign w:val="bottom"/>
                </w:tcPr>
                <w:p w14:paraId="1A9F024A" w14:textId="77777777" w:rsidR="003B32F0" w:rsidRPr="00CE5562" w:rsidRDefault="003B32F0" w:rsidP="006D46A0">
                  <w:pPr>
                    <w:spacing w:after="60"/>
                    <w:ind w:left="58"/>
                    <w:jc w:val="center"/>
                    <w:rPr>
                      <w:szCs w:val="22"/>
                    </w:rPr>
                  </w:pPr>
                  <w:r w:rsidRPr="00CE5562">
                    <w:rPr>
                      <w:szCs w:val="22"/>
                    </w:rPr>
                    <w:t>5</w:t>
                  </w:r>
                </w:p>
              </w:tc>
            </w:tr>
            <w:tr w:rsidR="003B32F0" w:rsidRPr="00CE5562" w14:paraId="65296E3E" w14:textId="77777777" w:rsidTr="006D46A0">
              <w:trPr>
                <w:trHeight w:val="372"/>
                <w:jc w:val="center"/>
              </w:trPr>
              <w:tc>
                <w:tcPr>
                  <w:tcW w:w="2590" w:type="dxa"/>
                  <w:vAlign w:val="bottom"/>
                </w:tcPr>
                <w:p w14:paraId="484EFE14" w14:textId="77777777" w:rsidR="003B32F0" w:rsidRPr="00CE5562" w:rsidRDefault="003B32F0" w:rsidP="006D46A0">
                  <w:pPr>
                    <w:spacing w:after="60"/>
                    <w:ind w:left="61"/>
                    <w:jc w:val="center"/>
                    <w:rPr>
                      <w:szCs w:val="22"/>
                    </w:rPr>
                  </w:pPr>
                  <w:r w:rsidRPr="00CE5562">
                    <w:rPr>
                      <w:szCs w:val="22"/>
                    </w:rPr>
                    <w:t>60 to &lt;80%</w:t>
                  </w:r>
                </w:p>
              </w:tc>
              <w:tc>
                <w:tcPr>
                  <w:tcW w:w="990" w:type="dxa"/>
                  <w:vAlign w:val="bottom"/>
                </w:tcPr>
                <w:p w14:paraId="197629AC" w14:textId="77777777" w:rsidR="003B32F0" w:rsidRPr="00CE5562" w:rsidRDefault="003B32F0" w:rsidP="006D46A0">
                  <w:pPr>
                    <w:spacing w:after="60"/>
                    <w:ind w:left="61"/>
                    <w:jc w:val="center"/>
                    <w:rPr>
                      <w:szCs w:val="22"/>
                    </w:rPr>
                  </w:pPr>
                  <w:r w:rsidRPr="00CE5562">
                    <w:rPr>
                      <w:szCs w:val="22"/>
                    </w:rPr>
                    <w:t>4</w:t>
                  </w:r>
                </w:p>
              </w:tc>
            </w:tr>
            <w:tr w:rsidR="003B32F0" w:rsidRPr="00CE5562" w14:paraId="0FBE2FC6" w14:textId="77777777" w:rsidTr="006D46A0">
              <w:trPr>
                <w:trHeight w:val="363"/>
                <w:jc w:val="center"/>
              </w:trPr>
              <w:tc>
                <w:tcPr>
                  <w:tcW w:w="2590" w:type="dxa"/>
                  <w:vAlign w:val="bottom"/>
                </w:tcPr>
                <w:p w14:paraId="01773AA9" w14:textId="77777777" w:rsidR="003B32F0" w:rsidRPr="00CE5562" w:rsidRDefault="003B32F0" w:rsidP="006D46A0">
                  <w:pPr>
                    <w:spacing w:after="60"/>
                    <w:ind w:left="61"/>
                    <w:jc w:val="center"/>
                    <w:rPr>
                      <w:szCs w:val="22"/>
                    </w:rPr>
                  </w:pPr>
                  <w:r w:rsidRPr="00CE5562">
                    <w:rPr>
                      <w:szCs w:val="22"/>
                    </w:rPr>
                    <w:t>40 to &lt;60%</w:t>
                  </w:r>
                </w:p>
              </w:tc>
              <w:tc>
                <w:tcPr>
                  <w:tcW w:w="990" w:type="dxa"/>
                  <w:vAlign w:val="bottom"/>
                </w:tcPr>
                <w:p w14:paraId="56121BB7" w14:textId="77777777" w:rsidR="003B32F0" w:rsidRPr="00CE5562" w:rsidRDefault="003B32F0" w:rsidP="006D46A0">
                  <w:pPr>
                    <w:spacing w:after="60"/>
                    <w:ind w:left="61"/>
                    <w:jc w:val="center"/>
                    <w:rPr>
                      <w:szCs w:val="22"/>
                    </w:rPr>
                  </w:pPr>
                  <w:r w:rsidRPr="00CE5562">
                    <w:rPr>
                      <w:szCs w:val="22"/>
                    </w:rPr>
                    <w:t>3</w:t>
                  </w:r>
                </w:p>
              </w:tc>
            </w:tr>
            <w:tr w:rsidR="003B32F0" w:rsidRPr="00CE5562" w14:paraId="0471970E" w14:textId="77777777" w:rsidTr="006D46A0">
              <w:trPr>
                <w:trHeight w:val="363"/>
                <w:jc w:val="center"/>
              </w:trPr>
              <w:tc>
                <w:tcPr>
                  <w:tcW w:w="2590" w:type="dxa"/>
                  <w:vAlign w:val="bottom"/>
                </w:tcPr>
                <w:p w14:paraId="0E3B7A47" w14:textId="77777777" w:rsidR="003B32F0" w:rsidRPr="00CE5562" w:rsidRDefault="003B32F0" w:rsidP="006D46A0">
                  <w:pPr>
                    <w:spacing w:after="60"/>
                    <w:ind w:left="58"/>
                    <w:jc w:val="center"/>
                    <w:rPr>
                      <w:szCs w:val="22"/>
                    </w:rPr>
                  </w:pPr>
                  <w:r w:rsidRPr="00CE5562">
                    <w:rPr>
                      <w:szCs w:val="22"/>
                    </w:rPr>
                    <w:t>20 to &lt;40%</w:t>
                  </w:r>
                </w:p>
              </w:tc>
              <w:tc>
                <w:tcPr>
                  <w:tcW w:w="990" w:type="dxa"/>
                  <w:vAlign w:val="bottom"/>
                </w:tcPr>
                <w:p w14:paraId="1ACEA3E0" w14:textId="77777777" w:rsidR="003B32F0" w:rsidRPr="00CE5562" w:rsidRDefault="003B32F0" w:rsidP="006D46A0">
                  <w:pPr>
                    <w:spacing w:after="60"/>
                    <w:ind w:left="58"/>
                    <w:jc w:val="center"/>
                    <w:rPr>
                      <w:szCs w:val="22"/>
                    </w:rPr>
                  </w:pPr>
                  <w:r w:rsidRPr="00CE5562">
                    <w:rPr>
                      <w:szCs w:val="22"/>
                    </w:rPr>
                    <w:t>2</w:t>
                  </w:r>
                </w:p>
              </w:tc>
            </w:tr>
            <w:tr w:rsidR="003B32F0" w:rsidRPr="00CE5562" w14:paraId="0F0AB077" w14:textId="77777777" w:rsidTr="006D46A0">
              <w:trPr>
                <w:trHeight w:val="363"/>
                <w:jc w:val="center"/>
              </w:trPr>
              <w:tc>
                <w:tcPr>
                  <w:tcW w:w="2590" w:type="dxa"/>
                  <w:tcBorders>
                    <w:bottom w:val="single" w:sz="4" w:space="0" w:color="auto"/>
                  </w:tcBorders>
                  <w:vAlign w:val="bottom"/>
                </w:tcPr>
                <w:p w14:paraId="14BC9CED" w14:textId="77777777" w:rsidR="003B32F0" w:rsidRPr="00CE5562" w:rsidRDefault="003B32F0" w:rsidP="006D46A0">
                  <w:pPr>
                    <w:spacing w:after="60"/>
                    <w:ind w:left="58"/>
                    <w:jc w:val="center"/>
                    <w:rPr>
                      <w:szCs w:val="22"/>
                    </w:rPr>
                  </w:pPr>
                  <w:r w:rsidRPr="00CE5562">
                    <w:rPr>
                      <w:szCs w:val="22"/>
                    </w:rPr>
                    <w:t>10</w:t>
                  </w:r>
                  <w:r>
                    <w:rPr>
                      <w:szCs w:val="22"/>
                    </w:rPr>
                    <w:t xml:space="preserve"> to </w:t>
                  </w:r>
                  <w:r w:rsidRPr="00CE5562">
                    <w:rPr>
                      <w:szCs w:val="22"/>
                    </w:rPr>
                    <w:t>&lt;</w:t>
                  </w:r>
                  <w:r>
                    <w:rPr>
                      <w:szCs w:val="22"/>
                    </w:rPr>
                    <w:t xml:space="preserve">20 </w:t>
                  </w:r>
                  <w:r w:rsidRPr="00CE5562">
                    <w:rPr>
                      <w:szCs w:val="22"/>
                    </w:rPr>
                    <w:t>%</w:t>
                  </w:r>
                </w:p>
              </w:tc>
              <w:tc>
                <w:tcPr>
                  <w:tcW w:w="990" w:type="dxa"/>
                  <w:tcBorders>
                    <w:bottom w:val="single" w:sz="4" w:space="0" w:color="auto"/>
                  </w:tcBorders>
                  <w:vAlign w:val="bottom"/>
                </w:tcPr>
                <w:p w14:paraId="22DCE35A" w14:textId="77777777" w:rsidR="003B32F0" w:rsidRPr="00CE5562" w:rsidRDefault="003B32F0" w:rsidP="006D46A0">
                  <w:pPr>
                    <w:spacing w:after="60"/>
                    <w:ind w:left="58"/>
                    <w:jc w:val="center"/>
                    <w:rPr>
                      <w:szCs w:val="22"/>
                    </w:rPr>
                  </w:pPr>
                  <w:r w:rsidRPr="00CE5562">
                    <w:rPr>
                      <w:szCs w:val="22"/>
                    </w:rPr>
                    <w:t>1</w:t>
                  </w:r>
                </w:p>
              </w:tc>
            </w:tr>
          </w:tbl>
          <w:p w14:paraId="2820849F" w14:textId="77777777" w:rsidR="003B32F0" w:rsidRPr="00CE5562" w:rsidRDefault="003B32F0" w:rsidP="006D46A0">
            <w:pPr>
              <w:keepLines/>
              <w:spacing w:before="120"/>
              <w:jc w:val="both"/>
            </w:pPr>
            <w:r w:rsidRPr="00CE5562">
              <w:t xml:space="preserve"> </w:t>
            </w:r>
          </w:p>
        </w:tc>
        <w:tc>
          <w:tcPr>
            <w:tcW w:w="1342" w:type="dxa"/>
            <w:tcBorders>
              <w:bottom w:val="single" w:sz="4" w:space="0" w:color="auto"/>
            </w:tcBorders>
            <w:shd w:val="clear" w:color="auto" w:fill="auto"/>
          </w:tcPr>
          <w:p w14:paraId="028C94DE" w14:textId="77777777" w:rsidR="003B32F0" w:rsidRPr="00CE5562" w:rsidRDefault="003B32F0" w:rsidP="006D46A0">
            <w:pPr>
              <w:spacing w:before="120" w:after="0"/>
              <w:jc w:val="center"/>
              <w:rPr>
                <w:b/>
                <w:szCs w:val="22"/>
              </w:rPr>
            </w:pPr>
            <w:r w:rsidRPr="00CE5562">
              <w:rPr>
                <w:b/>
                <w:szCs w:val="22"/>
              </w:rPr>
              <w:t>5</w:t>
            </w:r>
          </w:p>
        </w:tc>
      </w:tr>
    </w:tbl>
    <w:p w14:paraId="60DB7EF7" w14:textId="77777777" w:rsidR="00C23FA7" w:rsidRPr="00284D57" w:rsidRDefault="00C23FA7" w:rsidP="00284D57">
      <w:pPr>
        <w:tabs>
          <w:tab w:val="left" w:pos="1530"/>
        </w:tabs>
        <w:rPr>
          <w:szCs w:val="22"/>
        </w:rPr>
      </w:pPr>
    </w:p>
    <w:sectPr w:rsidR="00C23FA7" w:rsidRPr="00284D57" w:rsidSect="006D46A0">
      <w:headerReference w:type="default" r:id="rId49"/>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12ED" w14:textId="77777777" w:rsidR="00F03762" w:rsidRDefault="00F03762" w:rsidP="003B32F0">
      <w:pPr>
        <w:spacing w:after="0"/>
      </w:pPr>
      <w:r>
        <w:separator/>
      </w:r>
    </w:p>
  </w:endnote>
  <w:endnote w:type="continuationSeparator" w:id="0">
    <w:p w14:paraId="01C3F1F1" w14:textId="77777777" w:rsidR="00F03762" w:rsidRDefault="00F03762" w:rsidP="003B32F0">
      <w:pPr>
        <w:spacing w:after="0"/>
      </w:pPr>
      <w:r>
        <w:continuationSeparator/>
      </w:r>
    </w:p>
  </w:endnote>
  <w:endnote w:id="1">
    <w:p w14:paraId="38A0069A" w14:textId="77777777" w:rsidR="00C23FA7" w:rsidRDefault="00C23FA7" w:rsidP="003B32F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89A0" w14:textId="47AE27D9" w:rsidR="006D46A0" w:rsidRPr="00122853" w:rsidRDefault="006D46A0">
    <w:pPr>
      <w:pStyle w:val="Footer"/>
      <w:rPr>
        <w:color w:val="0070C0"/>
      </w:rPr>
    </w:pPr>
    <w:r w:rsidRPr="00122853">
      <w:rPr>
        <w:color w:val="0070C0"/>
      </w:rPr>
      <w:t xml:space="preserve">EPIC Template Version </w:t>
    </w:r>
    <w:r>
      <w:rPr>
        <w:color w:val="0070C0"/>
      </w:rPr>
      <w:t>March</w:t>
    </w:r>
    <w:r w:rsidRPr="00122853">
      <w:rPr>
        <w:color w:val="0070C0"/>
      </w:rPr>
      <w:t xml:space="preserve"> 202</w:t>
    </w:r>
    <w:r>
      <w:rPr>
        <w:color w:val="0070C0"/>
      </w:rPr>
      <w:t>1</w:t>
    </w:r>
    <w:r w:rsidRPr="00122853">
      <w:rPr>
        <w:color w:val="0070C0"/>
      </w:rPr>
      <w:t xml:space="preserve"> Q</w:t>
    </w:r>
    <w:r>
      <w:rPr>
        <w:color w:val="0070C0"/>
      </w:rPr>
      <w:t>2</w:t>
    </w:r>
    <w:r w:rsidR="00284D57">
      <w:rPr>
        <w:color w:val="0070C0"/>
      </w:rPr>
      <w:tab/>
    </w:r>
    <w:r w:rsidR="00284D57">
      <w:rPr>
        <w:color w:val="0070C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89FE" w14:textId="77777777" w:rsidR="006D46A0" w:rsidRDefault="006D46A0">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83AE" w14:textId="5E0EA53D" w:rsidR="006D46A0" w:rsidRDefault="00284D57" w:rsidP="00F80949">
    <w:pPr>
      <w:tabs>
        <w:tab w:val="left" w:pos="0"/>
        <w:tab w:val="center" w:pos="4680"/>
        <w:tab w:val="right" w:pos="9360"/>
      </w:tabs>
      <w:spacing w:after="0"/>
      <w:rPr>
        <w:sz w:val="20"/>
        <w:szCs w:val="16"/>
      </w:rPr>
    </w:pPr>
    <w:r>
      <w:rPr>
        <w:sz w:val="20"/>
        <w:szCs w:val="16"/>
      </w:rPr>
      <w:t>October 2021</w:t>
    </w:r>
    <w:r w:rsidR="006D46A0" w:rsidRPr="00122853">
      <w:rPr>
        <w:sz w:val="20"/>
        <w:szCs w:val="16"/>
      </w:rPr>
      <w:tab/>
      <w:t xml:space="preserve">Page </w:t>
    </w:r>
    <w:r w:rsidR="006D46A0" w:rsidRPr="00122853">
      <w:rPr>
        <w:color w:val="2B579A"/>
        <w:sz w:val="20"/>
        <w:szCs w:val="16"/>
        <w:shd w:val="clear" w:color="auto" w:fill="E6E6E6"/>
      </w:rPr>
      <w:fldChar w:fldCharType="begin"/>
    </w:r>
    <w:r w:rsidR="006D46A0" w:rsidRPr="00122853">
      <w:rPr>
        <w:sz w:val="20"/>
        <w:szCs w:val="16"/>
      </w:rPr>
      <w:instrText xml:space="preserve"> PAGE   \* MERGEFORMAT </w:instrText>
    </w:r>
    <w:r w:rsidR="006D46A0" w:rsidRPr="00122853">
      <w:rPr>
        <w:color w:val="2B579A"/>
        <w:sz w:val="20"/>
        <w:szCs w:val="16"/>
        <w:shd w:val="clear" w:color="auto" w:fill="E6E6E6"/>
      </w:rPr>
      <w:fldChar w:fldCharType="separate"/>
    </w:r>
    <w:r w:rsidR="006D46A0">
      <w:rPr>
        <w:noProof/>
        <w:sz w:val="20"/>
        <w:szCs w:val="16"/>
      </w:rPr>
      <w:t>5</w:t>
    </w:r>
    <w:r w:rsidR="006D46A0" w:rsidRPr="00122853">
      <w:rPr>
        <w:color w:val="2B579A"/>
        <w:sz w:val="20"/>
        <w:szCs w:val="16"/>
        <w:shd w:val="clear" w:color="auto" w:fill="E6E6E6"/>
      </w:rPr>
      <w:fldChar w:fldCharType="end"/>
    </w:r>
    <w:r w:rsidR="006D46A0" w:rsidRPr="00122853">
      <w:rPr>
        <w:sz w:val="20"/>
        <w:szCs w:val="16"/>
      </w:rPr>
      <w:tab/>
      <w:t>GFO-</w:t>
    </w:r>
    <w:r w:rsidR="006D46A0">
      <w:rPr>
        <w:sz w:val="20"/>
        <w:szCs w:val="16"/>
      </w:rPr>
      <w:t>21</w:t>
    </w:r>
    <w:r w:rsidR="006D46A0" w:rsidRPr="00122853">
      <w:rPr>
        <w:sz w:val="20"/>
        <w:szCs w:val="16"/>
      </w:rPr>
      <w:t>-</w:t>
    </w:r>
    <w:r w:rsidR="006D46A0">
      <w:rPr>
        <w:sz w:val="20"/>
        <w:szCs w:val="16"/>
      </w:rPr>
      <w:t>302</w:t>
    </w:r>
  </w:p>
  <w:p w14:paraId="67ECD86B" w14:textId="77777777" w:rsidR="00F80949" w:rsidRDefault="00F80949" w:rsidP="00F80949">
    <w:pPr>
      <w:tabs>
        <w:tab w:val="left" w:pos="0"/>
        <w:tab w:val="center" w:pos="4680"/>
        <w:tab w:val="right" w:pos="9360"/>
      </w:tabs>
      <w:spacing w:after="0"/>
      <w:jc w:val="right"/>
      <w:rPr>
        <w:sz w:val="20"/>
        <w:szCs w:val="16"/>
      </w:rPr>
    </w:pPr>
    <w:r>
      <w:rPr>
        <w:sz w:val="20"/>
        <w:szCs w:val="16"/>
      </w:rPr>
      <w:t xml:space="preserve">Research to Support a Climate Resilient </w:t>
    </w:r>
  </w:p>
  <w:p w14:paraId="72E5FCEF" w14:textId="5B690B8C" w:rsidR="00F80949" w:rsidRPr="00122853" w:rsidRDefault="00F80949" w:rsidP="00F80949">
    <w:pPr>
      <w:tabs>
        <w:tab w:val="left" w:pos="0"/>
        <w:tab w:val="center" w:pos="4680"/>
        <w:tab w:val="right" w:pos="9360"/>
      </w:tabs>
      <w:spacing w:after="0"/>
      <w:jc w:val="right"/>
      <w:rPr>
        <w:sz w:val="20"/>
        <w:szCs w:val="16"/>
      </w:rPr>
    </w:pPr>
    <w:r>
      <w:rPr>
        <w:sz w:val="20"/>
        <w:szCs w:val="16"/>
      </w:rPr>
      <w:t>Transition to a Clean Electricity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7FD2" w14:textId="77777777" w:rsidR="00F03762" w:rsidRDefault="00F03762" w:rsidP="003B32F0">
      <w:pPr>
        <w:spacing w:after="0"/>
      </w:pPr>
      <w:r>
        <w:separator/>
      </w:r>
    </w:p>
  </w:footnote>
  <w:footnote w:type="continuationSeparator" w:id="0">
    <w:p w14:paraId="0D24C10B" w14:textId="77777777" w:rsidR="00F03762" w:rsidRDefault="00F03762" w:rsidP="003B32F0">
      <w:pPr>
        <w:spacing w:after="0"/>
      </w:pPr>
      <w:r>
        <w:continuationSeparator/>
      </w:r>
    </w:p>
  </w:footnote>
  <w:footnote w:id="1">
    <w:p w14:paraId="622CE152" w14:textId="77777777" w:rsidR="006D46A0" w:rsidRPr="0017036A" w:rsidRDefault="006D46A0" w:rsidP="003B32F0">
      <w:pPr>
        <w:pStyle w:val="FootnoteText"/>
      </w:pPr>
      <w:r w:rsidRPr="0017036A">
        <w:rPr>
          <w:rStyle w:val="FootnoteReference"/>
        </w:rPr>
        <w:footnoteRef/>
      </w:r>
      <w:r w:rsidRPr="0017036A">
        <w:t xml:space="preserve"> The Scope of Work for EPC-20-006 is available in the back-up materials (item 5a) for the January 25, 2021 Business Meeting of the California energy Commission: </w:t>
      </w:r>
      <w:hyperlink r:id="rId1" w:history="1">
        <w:r w:rsidRPr="0017036A">
          <w:rPr>
            <w:rStyle w:val="Hyperlink"/>
            <w:color w:val="auto"/>
          </w:rPr>
          <w:t>https://www.energy.ca.gov/filebrowser/download/2855</w:t>
        </w:r>
      </w:hyperlink>
    </w:p>
  </w:footnote>
  <w:footnote w:id="2">
    <w:p w14:paraId="6ECCEDAA" w14:textId="77777777" w:rsidR="006D46A0" w:rsidRDefault="006D46A0" w:rsidP="003B32F0">
      <w:pPr>
        <w:pStyle w:val="FootnoteText"/>
      </w:pPr>
      <w:r w:rsidRPr="0017036A">
        <w:rPr>
          <w:rStyle w:val="FootnoteReference"/>
        </w:rPr>
        <w:footnoteRef/>
      </w:r>
      <w:r w:rsidRPr="0017036A">
        <w:t xml:space="preserve"> The Scope of Work for EPC-20-007 is available in the back-up materials (item 5b) for the January 25, 2021 Business Meeting of the California Energy Commission: </w:t>
      </w:r>
      <w:hyperlink r:id="rId2" w:history="1">
        <w:r w:rsidRPr="0017036A">
          <w:rPr>
            <w:rStyle w:val="Hyperlink"/>
            <w:color w:val="auto"/>
          </w:rPr>
          <w:t>https://www.energy.ca.gov/filebrowser/download/2856</w:t>
        </w:r>
      </w:hyperlink>
    </w:p>
  </w:footnote>
  <w:footnote w:id="3">
    <w:p w14:paraId="46C67BA8" w14:textId="77777777" w:rsidR="006D46A0" w:rsidRDefault="006D46A0" w:rsidP="003B32F0">
      <w:pPr>
        <w:pStyle w:val="FootnoteText"/>
      </w:pPr>
      <w:r w:rsidRPr="006D46A0">
        <w:rPr>
          <w:rStyle w:val="FootnoteReference"/>
        </w:rPr>
        <w:footnoteRef/>
      </w:r>
      <w:r w:rsidRPr="006D46A0">
        <w:t xml:space="preserve"> The Scope of Work for EPC-20-006 is available in the back-up materials (item 5a) for the January 25, 2021 Business Meeting of the California energy Commission: </w:t>
      </w:r>
      <w:hyperlink r:id="rId3" w:history="1">
        <w:r w:rsidRPr="006D46A0">
          <w:rPr>
            <w:rStyle w:val="Hyperlink"/>
            <w:color w:val="auto"/>
          </w:rPr>
          <w:t>https://www.energy.ca.gov/filebrowser/download/2855</w:t>
        </w:r>
      </w:hyperlink>
    </w:p>
  </w:footnote>
  <w:footnote w:id="4">
    <w:p w14:paraId="4782C142" w14:textId="77777777" w:rsidR="006D46A0" w:rsidRPr="006D46A0" w:rsidRDefault="006D46A0" w:rsidP="003B32F0">
      <w:pPr>
        <w:pStyle w:val="FootnoteText"/>
      </w:pPr>
      <w:r w:rsidRPr="006D46A0">
        <w:rPr>
          <w:rStyle w:val="FootnoteReference"/>
        </w:rPr>
        <w:footnoteRef/>
      </w:r>
      <w:r w:rsidRPr="006D46A0">
        <w:t xml:space="preserve"> EPC-19-056. Assessing Long-duration Energy Storage Deployment Scenarios to Meet California’s Energy Goals. Energy and Environment Economics Inc. (E3)</w:t>
      </w:r>
    </w:p>
    <w:p w14:paraId="7E3CEA06" w14:textId="77777777" w:rsidR="006D46A0" w:rsidRDefault="006D46A0" w:rsidP="003B32F0">
      <w:pPr>
        <w:pStyle w:val="FootnoteText"/>
      </w:pPr>
      <w:r w:rsidRPr="006D46A0">
        <w:t>EPC-19-060. Modeling of Long-duration Storage for Decarbonization of California Energy System. The Regents of the University of California, Merced.</w:t>
      </w:r>
    </w:p>
  </w:footnote>
  <w:footnote w:id="5">
    <w:p w14:paraId="01EADB59" w14:textId="77777777" w:rsidR="006D46A0" w:rsidRDefault="006D46A0" w:rsidP="003B32F0">
      <w:pPr>
        <w:pStyle w:val="FootnoteText"/>
      </w:pPr>
      <w:r w:rsidRPr="006D46A0">
        <w:rPr>
          <w:rStyle w:val="FootnoteReference"/>
        </w:rPr>
        <w:footnoteRef/>
      </w:r>
      <w:r w:rsidRPr="006D46A0">
        <w:t xml:space="preserve"> The Scope of Work for EPC-20-006 is available in the back-up materials (item 5a) for the January 25, 2021 Business Meeting of the California energy Commission: </w:t>
      </w:r>
      <w:hyperlink r:id="rId4" w:history="1">
        <w:r w:rsidRPr="006D46A0">
          <w:rPr>
            <w:rStyle w:val="Hyperlink"/>
            <w:color w:val="auto"/>
          </w:rPr>
          <w:t>https://www.energy.ca.gov/filebrowser/download/2855</w:t>
        </w:r>
      </w:hyperlink>
    </w:p>
  </w:footnote>
  <w:footnote w:id="6">
    <w:p w14:paraId="29ED9FDA" w14:textId="77777777" w:rsidR="006D46A0" w:rsidRDefault="006D46A0" w:rsidP="003B32F0">
      <w:pPr>
        <w:pStyle w:val="FootnoteText"/>
      </w:pPr>
      <w:r w:rsidRPr="0017036A">
        <w:rPr>
          <w:rStyle w:val="FootnoteReference"/>
        </w:rPr>
        <w:footnoteRef/>
      </w:r>
      <w:r w:rsidRPr="0017036A">
        <w:t xml:space="preserve"> Both grants are led by the Geospatial Innovation Facility at the University of California, Berkeley: “Building on the Cal-Adapt Platform to Deliver Actionable Information in Support of Electricity Sector Resilience”, EPC-17-033; and “Developing Next-generation Cal-Adapt Features to Support Natural Gas Sector Resilience”, PIR-17-012.</w:t>
      </w:r>
    </w:p>
  </w:footnote>
  <w:footnote w:id="7">
    <w:p w14:paraId="1C1A42B8" w14:textId="77777777" w:rsidR="006D46A0" w:rsidRDefault="006D46A0" w:rsidP="003B32F0">
      <w:pPr>
        <w:pStyle w:val="FootnoteText"/>
      </w:pPr>
      <w:r>
        <w:rPr>
          <w:rStyle w:val="FootnoteReference"/>
        </w:rPr>
        <w:footnoteRef/>
      </w:r>
      <w:r>
        <w:t xml:space="preserve"> Pacific Standard Time or Pacific Daylight Time, whichever is being observed.</w:t>
      </w:r>
    </w:p>
  </w:footnote>
  <w:footnote w:id="8">
    <w:p w14:paraId="367E5321" w14:textId="77777777" w:rsidR="006D46A0" w:rsidRDefault="006D46A0" w:rsidP="003B32F0">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9">
    <w:p w14:paraId="2747DB00" w14:textId="77777777" w:rsidR="006D46A0" w:rsidRDefault="006D46A0" w:rsidP="003B32F0">
      <w:pPr>
        <w:pStyle w:val="FootnoteText"/>
      </w:pPr>
      <w:r>
        <w:rPr>
          <w:rStyle w:val="FootnoteReference"/>
        </w:rPr>
        <w:footnoteRef/>
      </w:r>
      <w:r>
        <w:t xml:space="preserve"> See CPUC “Phase 1” Decision 11-12-035, December 15, 2011, </w:t>
      </w:r>
      <w:r w:rsidRPr="00995BF7">
        <w:t>http://docs.cpuc.ca.gov/PublishedDocs/WORD_PDF/FINAL_DECISION/156050.PDF</w:t>
      </w:r>
      <w:r>
        <w:t>.</w:t>
      </w:r>
    </w:p>
  </w:footnote>
  <w:footnote w:id="10">
    <w:p w14:paraId="0AA969D1" w14:textId="77777777" w:rsidR="006D46A0" w:rsidRDefault="006D46A0" w:rsidP="003B32F0">
      <w:pPr>
        <w:pStyle w:val="FootnoteText"/>
      </w:pPr>
      <w:r>
        <w:rPr>
          <w:rStyle w:val="FootnoteReference"/>
        </w:rPr>
        <w:footnoteRef/>
      </w:r>
      <w:r>
        <w:t xml:space="preserve"> See CPUC “Phase 2” Decision 12-05-037, May 24, 2012, </w:t>
      </w:r>
      <w:r w:rsidRPr="00995BF7">
        <w:t>http://docs.cpuc.ca.gov/PublishedDocs/WORD_PDF/FINAL_DECISION/167664.PDF</w:t>
      </w:r>
      <w:r>
        <w:t>.</w:t>
      </w:r>
    </w:p>
  </w:footnote>
  <w:footnote w:id="11">
    <w:p w14:paraId="204D3019" w14:textId="77777777" w:rsidR="006D46A0" w:rsidRDefault="006D46A0" w:rsidP="003B32F0">
      <w:pPr>
        <w:pStyle w:val="FootnoteText"/>
      </w:pPr>
      <w:r>
        <w:rPr>
          <w:rStyle w:val="FootnoteReference"/>
        </w:rPr>
        <w:footnoteRef/>
      </w:r>
      <w:r>
        <w:t xml:space="preserve"> California Public Resources Code, Section 25711.5(a), </w:t>
      </w:r>
      <w:r w:rsidRPr="00995BF7">
        <w:t>http://www.leginfo.ca.gov/cgi-bin/displaycode?section=prc&amp;group=25001-26000&amp;file=25710-25712</w:t>
      </w:r>
      <w:r>
        <w:t>.</w:t>
      </w:r>
    </w:p>
  </w:footnote>
  <w:footnote w:id="12">
    <w:p w14:paraId="4C3AF943" w14:textId="77777777" w:rsidR="006D46A0" w:rsidRDefault="006D46A0" w:rsidP="003B32F0">
      <w:pPr>
        <w:pStyle w:val="FootnoteText"/>
      </w:pPr>
      <w:r>
        <w:rPr>
          <w:rStyle w:val="FootnoteReference"/>
        </w:rPr>
        <w:footnoteRef/>
      </w:r>
      <w:r>
        <w:t xml:space="preserve"> 2012-14 EPIC Triennial Investment Plan, </w:t>
      </w:r>
      <w:r w:rsidRPr="00995BF7">
        <w:t>http://www.energy.ca.gov/research/epic/documents/final_documents_submitted_to_CPUC/2012-11-01_EPIC_Application_to_CPUC.pdf</w:t>
      </w:r>
      <w:r>
        <w:t xml:space="preserve"> (Attachment 1), as modified and approved by CPUC Decision 13-11-025, </w:t>
      </w:r>
      <w:r w:rsidRPr="00995BF7">
        <w:t>http://docs.cpuc.ca.gov/PublishedDocs/Published/G000/M081/K773/81773445.PDF</w:t>
      </w:r>
      <w:r>
        <w:rPr>
          <w:color w:val="1F497D"/>
        </w:rPr>
        <w:t xml:space="preserve">. </w:t>
      </w:r>
      <w:r>
        <w:t xml:space="preserve"> </w:t>
      </w:r>
    </w:p>
  </w:footnote>
  <w:footnote w:id="13">
    <w:p w14:paraId="0D795270" w14:textId="77777777" w:rsidR="006D46A0" w:rsidRDefault="006D46A0" w:rsidP="003B32F0">
      <w:pPr>
        <w:pStyle w:val="FootnoteText"/>
      </w:pPr>
      <w:r>
        <w:rPr>
          <w:rStyle w:val="FootnoteReference"/>
        </w:rPr>
        <w:footnoteRef/>
      </w:r>
      <w:r>
        <w:t xml:space="preserve"> 2015-17 EPIC Triennial Investment Plan, </w:t>
      </w:r>
      <w:r w:rsidRPr="00995BF7">
        <w:t>http://www.energy.ca.gov/2014publications/CEC-500-2014-038/CEC-500-2014-038-CMF.pdf</w:t>
      </w:r>
      <w:r>
        <w:t xml:space="preserve">, as modified and approved by CPUC Decision 15-04-020, </w:t>
      </w:r>
      <w:r w:rsidRPr="00995BF7">
        <w:t>http://docs.cpuc.ca.gov/PublishedDocs/Published/G000/M151/K183/151183650.PDF</w:t>
      </w:r>
      <w:r>
        <w:t xml:space="preserve">.   </w:t>
      </w:r>
    </w:p>
  </w:footnote>
  <w:footnote w:id="14">
    <w:p w14:paraId="025C5707" w14:textId="77777777" w:rsidR="006D46A0" w:rsidRDefault="006D46A0" w:rsidP="003B32F0">
      <w:pPr>
        <w:pStyle w:val="FootnoteText"/>
      </w:pPr>
      <w:r>
        <w:rPr>
          <w:rStyle w:val="FootnoteReference"/>
        </w:rPr>
        <w:footnoteRef/>
      </w:r>
      <w:r>
        <w:t xml:space="preserve"> AB 32 (Statutes of 2006, chapter 488)</w:t>
      </w:r>
    </w:p>
  </w:footnote>
  <w:footnote w:id="15">
    <w:p w14:paraId="2B834DD5" w14:textId="77777777" w:rsidR="006D46A0" w:rsidRDefault="006D46A0" w:rsidP="003B32F0">
      <w:pPr>
        <w:pStyle w:val="FootnoteText"/>
      </w:pPr>
      <w:r>
        <w:rPr>
          <w:rStyle w:val="FootnoteReference"/>
        </w:rPr>
        <w:footnoteRef/>
      </w:r>
      <w:r>
        <w:t xml:space="preserve"> A local publicly owned electric utility is an entity as defined in California Public Utilities Code section 224.3.</w:t>
      </w:r>
    </w:p>
  </w:footnote>
  <w:footnote w:id="16">
    <w:p w14:paraId="674DB740" w14:textId="7A91E251" w:rsidR="006D46A0" w:rsidRPr="0098110E" w:rsidRDefault="006D46A0" w:rsidP="003B32F0">
      <w:pPr>
        <w:pStyle w:val="FootnoteText"/>
        <w:rPr>
          <w:lang w:val="fr-FR"/>
        </w:rPr>
      </w:pPr>
      <w:r>
        <w:rPr>
          <w:rStyle w:val="FootnoteReference"/>
        </w:rPr>
        <w:footnoteRef/>
      </w:r>
      <w:r w:rsidRPr="0098110E">
        <w:rPr>
          <w:lang w:val="fr-FR"/>
        </w:rPr>
        <w:t xml:space="preserve"> Public </w:t>
      </w:r>
      <w:r w:rsidR="00284D57" w:rsidRPr="0098110E">
        <w:rPr>
          <w:lang w:val="fr-FR"/>
        </w:rPr>
        <w:t>Resource</w:t>
      </w:r>
      <w:r w:rsidR="00284D57">
        <w:rPr>
          <w:lang w:val="fr-FR"/>
        </w:rPr>
        <w:t>s</w:t>
      </w:r>
      <w:r w:rsidRPr="0098110E">
        <w:rPr>
          <w:lang w:val="fr-FR"/>
        </w:rPr>
        <w:t xml:space="preserve"> Code § 25711.6.  </w:t>
      </w:r>
    </w:p>
  </w:footnote>
  <w:footnote w:id="17">
    <w:p w14:paraId="2B7BFF0C" w14:textId="77777777" w:rsidR="006D46A0" w:rsidRPr="0098110E" w:rsidRDefault="006D46A0" w:rsidP="003B32F0">
      <w:pPr>
        <w:pStyle w:val="FootnoteText"/>
        <w:rPr>
          <w:lang w:val="fr-FR"/>
        </w:rPr>
      </w:pPr>
      <w:r>
        <w:rPr>
          <w:rStyle w:val="FootnoteReference"/>
        </w:rPr>
        <w:footnoteRef/>
      </w:r>
      <w:r w:rsidRPr="0098110E">
        <w:rPr>
          <w:lang w:val="fr-FR"/>
        </w:rPr>
        <w:t xml:space="preserve"> Public Resources Code § 25711.5. </w:t>
      </w:r>
    </w:p>
  </w:footnote>
  <w:footnote w:id="18">
    <w:p w14:paraId="4EF43F4F" w14:textId="77777777" w:rsidR="006D46A0" w:rsidRDefault="006D46A0" w:rsidP="003B32F0">
      <w:pPr>
        <w:pStyle w:val="FootnoteText"/>
      </w:pPr>
      <w:r>
        <w:rPr>
          <w:rStyle w:val="FootnoteReference"/>
        </w:rPr>
        <w:footnoteRef/>
      </w:r>
      <w:r>
        <w:t xml:space="preserve"> Public Resources Code § 25711.6.  </w:t>
      </w:r>
    </w:p>
  </w:footnote>
  <w:footnote w:id="19">
    <w:p w14:paraId="0B2D8C46" w14:textId="77777777" w:rsidR="006D46A0" w:rsidRDefault="006D46A0" w:rsidP="003B32F0">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20">
    <w:p w14:paraId="6D6B1359" w14:textId="77777777" w:rsidR="006D46A0" w:rsidRDefault="006D46A0" w:rsidP="003B32F0">
      <w:pPr>
        <w:pStyle w:val="FootnoteText"/>
      </w:pPr>
      <w:r>
        <w:rPr>
          <w:rStyle w:val="FootnoteReference"/>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2BF8" w14:textId="77777777" w:rsidR="006D46A0" w:rsidRPr="00970719" w:rsidRDefault="006D46A0" w:rsidP="006D4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34D4" w14:textId="77777777" w:rsidR="006D46A0" w:rsidRPr="00C53E15" w:rsidRDefault="006D46A0" w:rsidP="006D46A0">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7E32"/>
    <w:multiLevelType w:val="hybridMultilevel"/>
    <w:tmpl w:val="54E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hybridMultilevel"/>
    <w:tmpl w:val="17EC227A"/>
    <w:lvl w:ilvl="0" w:tplc="7C623408">
      <w:start w:val="1"/>
      <w:numFmt w:val="upperLetter"/>
      <w:pStyle w:val="Heading4"/>
      <w:lvlText w:val="%1."/>
      <w:lvlJc w:val="left"/>
      <w:pPr>
        <w:tabs>
          <w:tab w:val="num" w:pos="720"/>
        </w:tabs>
        <w:ind w:left="720" w:hanging="720"/>
      </w:pPr>
      <w:rPr>
        <w:rFonts w:cs="Times New Roman"/>
      </w:rPr>
    </w:lvl>
    <w:lvl w:ilvl="1" w:tplc="A5845C1C">
      <w:numFmt w:val="decimal"/>
      <w:lvlText w:val=""/>
      <w:lvlJc w:val="left"/>
    </w:lvl>
    <w:lvl w:ilvl="2" w:tplc="F95E4FEA">
      <w:numFmt w:val="decimal"/>
      <w:lvlText w:val=""/>
      <w:lvlJc w:val="left"/>
    </w:lvl>
    <w:lvl w:ilvl="3" w:tplc="5A365054">
      <w:numFmt w:val="decimal"/>
      <w:lvlText w:val=""/>
      <w:lvlJc w:val="left"/>
    </w:lvl>
    <w:lvl w:ilvl="4" w:tplc="1C60EA18">
      <w:numFmt w:val="decimal"/>
      <w:lvlText w:val=""/>
      <w:lvlJc w:val="left"/>
    </w:lvl>
    <w:lvl w:ilvl="5" w:tplc="2B5A64C8">
      <w:numFmt w:val="decimal"/>
      <w:lvlText w:val=""/>
      <w:lvlJc w:val="left"/>
    </w:lvl>
    <w:lvl w:ilvl="6" w:tplc="EA7E956E">
      <w:numFmt w:val="decimal"/>
      <w:lvlText w:val=""/>
      <w:lvlJc w:val="left"/>
    </w:lvl>
    <w:lvl w:ilvl="7" w:tplc="2E8E4230">
      <w:numFmt w:val="decimal"/>
      <w:lvlText w:val=""/>
      <w:lvlJc w:val="left"/>
    </w:lvl>
    <w:lvl w:ilvl="8" w:tplc="A7002C20">
      <w:numFmt w:val="decimal"/>
      <w:lvlText w:val=""/>
      <w:lvlJc w:val="left"/>
    </w:lvl>
  </w:abstractNum>
  <w:abstractNum w:abstractNumId="5" w15:restartNumberingAfterBreak="0">
    <w:nsid w:val="05CF77FB"/>
    <w:multiLevelType w:val="hybridMultilevel"/>
    <w:tmpl w:val="5BC890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111647"/>
    <w:multiLevelType w:val="hybridMultilevel"/>
    <w:tmpl w:val="CE90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16707"/>
    <w:multiLevelType w:val="hybridMultilevel"/>
    <w:tmpl w:val="6D38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8477D"/>
    <w:multiLevelType w:val="hybridMultilevel"/>
    <w:tmpl w:val="881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14767"/>
    <w:multiLevelType w:val="hybridMultilevel"/>
    <w:tmpl w:val="FE8A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5328B"/>
    <w:multiLevelType w:val="hybridMultilevel"/>
    <w:tmpl w:val="76FE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64FD6"/>
    <w:multiLevelType w:val="hybridMultilevel"/>
    <w:tmpl w:val="159E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4" w15:restartNumberingAfterBreak="0">
    <w:nsid w:val="341E1545"/>
    <w:multiLevelType w:val="multilevel"/>
    <w:tmpl w:val="22E29234"/>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35844963"/>
    <w:multiLevelType w:val="hybridMultilevel"/>
    <w:tmpl w:val="982420A4"/>
    <w:lvl w:ilvl="0" w:tplc="83304E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E4423"/>
    <w:multiLevelType w:val="hybridMultilevel"/>
    <w:tmpl w:val="2344659A"/>
    <w:styleLink w:val="RFP2"/>
    <w:lvl w:ilvl="0" w:tplc="3C3ADDB2">
      <w:start w:val="1"/>
      <w:numFmt w:val="upperLetter"/>
      <w:lvlText w:val="%1."/>
      <w:lvlJc w:val="left"/>
      <w:pPr>
        <w:ind w:left="720" w:hanging="720"/>
      </w:pPr>
      <w:rPr>
        <w:rFonts w:ascii="Arial" w:hAnsi="Arial" w:cs="Times New Roman" w:hint="default"/>
        <w:b w:val="0"/>
        <w:i w:val="0"/>
        <w:sz w:val="24"/>
      </w:rPr>
    </w:lvl>
    <w:lvl w:ilvl="1" w:tplc="8C143FAE">
      <w:start w:val="1"/>
      <w:numFmt w:val="decimal"/>
      <w:lvlText w:val="%2."/>
      <w:lvlJc w:val="left"/>
      <w:pPr>
        <w:ind w:left="1080" w:hanging="720"/>
      </w:pPr>
      <w:rPr>
        <w:rFonts w:cs="Times New Roman" w:hint="default"/>
      </w:rPr>
    </w:lvl>
    <w:lvl w:ilvl="2" w:tplc="6F7EB004">
      <w:start w:val="1"/>
      <w:numFmt w:val="lowerRoman"/>
      <w:lvlText w:val="%3)"/>
      <w:lvlJc w:val="left"/>
      <w:pPr>
        <w:ind w:left="1440" w:hanging="720"/>
      </w:pPr>
      <w:rPr>
        <w:rFonts w:cs="Times New Roman" w:hint="default"/>
      </w:rPr>
    </w:lvl>
    <w:lvl w:ilvl="3" w:tplc="27066BDA">
      <w:start w:val="1"/>
      <w:numFmt w:val="decimal"/>
      <w:lvlText w:val="(%4)"/>
      <w:lvlJc w:val="left"/>
      <w:pPr>
        <w:ind w:left="1440" w:hanging="360"/>
      </w:pPr>
      <w:rPr>
        <w:rFonts w:cs="Times New Roman" w:hint="default"/>
      </w:rPr>
    </w:lvl>
    <w:lvl w:ilvl="4" w:tplc="ED08DFC8">
      <w:start w:val="1"/>
      <w:numFmt w:val="lowerLetter"/>
      <w:lvlText w:val="(%5)"/>
      <w:lvlJc w:val="left"/>
      <w:pPr>
        <w:ind w:left="1800" w:hanging="360"/>
      </w:pPr>
      <w:rPr>
        <w:rFonts w:cs="Times New Roman" w:hint="default"/>
      </w:rPr>
    </w:lvl>
    <w:lvl w:ilvl="5" w:tplc="848A4208">
      <w:start w:val="1"/>
      <w:numFmt w:val="lowerRoman"/>
      <w:lvlText w:val="(%6)"/>
      <w:lvlJc w:val="left"/>
      <w:pPr>
        <w:ind w:left="2160" w:hanging="360"/>
      </w:pPr>
      <w:rPr>
        <w:rFonts w:cs="Times New Roman" w:hint="default"/>
      </w:rPr>
    </w:lvl>
    <w:lvl w:ilvl="6" w:tplc="A3325D98">
      <w:start w:val="1"/>
      <w:numFmt w:val="decimal"/>
      <w:lvlText w:val="%7."/>
      <w:lvlJc w:val="left"/>
      <w:pPr>
        <w:ind w:left="2520" w:hanging="360"/>
      </w:pPr>
      <w:rPr>
        <w:rFonts w:cs="Times New Roman" w:hint="default"/>
      </w:rPr>
    </w:lvl>
    <w:lvl w:ilvl="7" w:tplc="F74A91BE">
      <w:start w:val="1"/>
      <w:numFmt w:val="lowerLetter"/>
      <w:lvlText w:val="%8."/>
      <w:lvlJc w:val="left"/>
      <w:pPr>
        <w:ind w:left="2880" w:hanging="360"/>
      </w:pPr>
      <w:rPr>
        <w:rFonts w:cs="Times New Roman" w:hint="default"/>
      </w:rPr>
    </w:lvl>
    <w:lvl w:ilvl="8" w:tplc="B086AD04">
      <w:start w:val="1"/>
      <w:numFmt w:val="lowerRoman"/>
      <w:lvlText w:val="%9."/>
      <w:lvlJc w:val="left"/>
      <w:pPr>
        <w:ind w:left="3240" w:hanging="360"/>
      </w:pPr>
      <w:rPr>
        <w:rFonts w:cs="Times New Roman" w:hint="default"/>
      </w:rPr>
    </w:lvl>
  </w:abstractNum>
  <w:abstractNum w:abstractNumId="2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F7A63"/>
    <w:multiLevelType w:val="hybridMultilevel"/>
    <w:tmpl w:val="67B2A482"/>
    <w:lvl w:ilvl="0" w:tplc="D0748824">
      <w:start w:val="1"/>
      <w:numFmt w:val="decimal"/>
      <w:lvlText w:val="%1."/>
      <w:lvlJc w:val="left"/>
      <w:pPr>
        <w:tabs>
          <w:tab w:val="num" w:pos="720"/>
        </w:tabs>
        <w:ind w:left="720" w:hanging="720"/>
      </w:pPr>
      <w:rPr>
        <w:rFonts w:hint="default"/>
        <w:b/>
        <w:color w:val="auto"/>
      </w:rPr>
    </w:lvl>
    <w:lvl w:ilvl="1" w:tplc="73E486A8">
      <w:start w:val="1"/>
      <w:numFmt w:val="bullet"/>
      <w:lvlText w:val="o"/>
      <w:lvlJc w:val="left"/>
      <w:pPr>
        <w:tabs>
          <w:tab w:val="num" w:pos="1440"/>
        </w:tabs>
        <w:ind w:left="1440" w:hanging="720"/>
      </w:pPr>
      <w:rPr>
        <w:rFonts w:ascii="Courier New" w:hAnsi="Courier New" w:cs="Courier New" w:hint="default"/>
        <w:color w:val="auto"/>
      </w:rPr>
    </w:lvl>
    <w:lvl w:ilvl="2" w:tplc="57E68826">
      <w:start w:val="1"/>
      <w:numFmt w:val="decimal"/>
      <w:lvlText w:val="%3."/>
      <w:lvlJc w:val="left"/>
      <w:pPr>
        <w:tabs>
          <w:tab w:val="num" w:pos="2160"/>
        </w:tabs>
        <w:ind w:left="2160" w:hanging="720"/>
      </w:pPr>
    </w:lvl>
    <w:lvl w:ilvl="3" w:tplc="AF54D6B2">
      <w:start w:val="1"/>
      <w:numFmt w:val="decimal"/>
      <w:lvlText w:val="%4."/>
      <w:lvlJc w:val="left"/>
      <w:pPr>
        <w:tabs>
          <w:tab w:val="num" w:pos="2880"/>
        </w:tabs>
        <w:ind w:left="2880" w:hanging="720"/>
      </w:pPr>
    </w:lvl>
    <w:lvl w:ilvl="4" w:tplc="14043236">
      <w:start w:val="1"/>
      <w:numFmt w:val="decimal"/>
      <w:lvlText w:val="%5."/>
      <w:lvlJc w:val="left"/>
      <w:pPr>
        <w:tabs>
          <w:tab w:val="num" w:pos="3600"/>
        </w:tabs>
        <w:ind w:left="3600" w:hanging="720"/>
      </w:pPr>
    </w:lvl>
    <w:lvl w:ilvl="5" w:tplc="AACCE30E">
      <w:start w:val="1"/>
      <w:numFmt w:val="decimal"/>
      <w:lvlText w:val="%6."/>
      <w:lvlJc w:val="left"/>
      <w:pPr>
        <w:tabs>
          <w:tab w:val="num" w:pos="4320"/>
        </w:tabs>
        <w:ind w:left="4320" w:hanging="720"/>
      </w:pPr>
    </w:lvl>
    <w:lvl w:ilvl="6" w:tplc="20DABF04">
      <w:start w:val="1"/>
      <w:numFmt w:val="decimal"/>
      <w:lvlText w:val="%7."/>
      <w:lvlJc w:val="left"/>
      <w:pPr>
        <w:tabs>
          <w:tab w:val="num" w:pos="5040"/>
        </w:tabs>
        <w:ind w:left="5040" w:hanging="720"/>
      </w:pPr>
    </w:lvl>
    <w:lvl w:ilvl="7" w:tplc="796C8CA2">
      <w:start w:val="1"/>
      <w:numFmt w:val="decimal"/>
      <w:lvlText w:val="%8."/>
      <w:lvlJc w:val="left"/>
      <w:pPr>
        <w:tabs>
          <w:tab w:val="num" w:pos="5760"/>
        </w:tabs>
        <w:ind w:left="5760" w:hanging="720"/>
      </w:pPr>
    </w:lvl>
    <w:lvl w:ilvl="8" w:tplc="873227F6">
      <w:start w:val="1"/>
      <w:numFmt w:val="decimal"/>
      <w:lvlText w:val="%9."/>
      <w:lvlJc w:val="left"/>
      <w:pPr>
        <w:tabs>
          <w:tab w:val="num" w:pos="6480"/>
        </w:tabs>
        <w:ind w:left="6480" w:hanging="720"/>
      </w:pPr>
    </w:lvl>
  </w:abstractNum>
  <w:abstractNum w:abstractNumId="29" w15:restartNumberingAfterBreak="0">
    <w:nsid w:val="3E3D69BC"/>
    <w:multiLevelType w:val="hybridMultilevel"/>
    <w:tmpl w:val="213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D014C3"/>
    <w:multiLevelType w:val="hybridMultilevel"/>
    <w:tmpl w:val="62F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E85B00"/>
    <w:multiLevelType w:val="hybridMultilevel"/>
    <w:tmpl w:val="1748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22C1C40"/>
    <w:multiLevelType w:val="hybridMultilevel"/>
    <w:tmpl w:val="E2F4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3B3D83"/>
    <w:multiLevelType w:val="hybridMultilevel"/>
    <w:tmpl w:val="C6066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5E6673"/>
    <w:multiLevelType w:val="hybridMultilevel"/>
    <w:tmpl w:val="D928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E23235"/>
    <w:multiLevelType w:val="hybridMultilevel"/>
    <w:tmpl w:val="FFFFFFFF"/>
    <w:lvl w:ilvl="0" w:tplc="8BAA9650">
      <w:start w:val="1"/>
      <w:numFmt w:val="bullet"/>
      <w:lvlText w:val=""/>
      <w:lvlJc w:val="left"/>
      <w:pPr>
        <w:ind w:left="720" w:hanging="360"/>
      </w:pPr>
      <w:rPr>
        <w:rFonts w:ascii="Symbol" w:hAnsi="Symbol" w:hint="default"/>
      </w:rPr>
    </w:lvl>
    <w:lvl w:ilvl="1" w:tplc="2A509C18">
      <w:start w:val="1"/>
      <w:numFmt w:val="bullet"/>
      <w:lvlText w:val="o"/>
      <w:lvlJc w:val="left"/>
      <w:pPr>
        <w:ind w:left="1440" w:hanging="360"/>
      </w:pPr>
      <w:rPr>
        <w:rFonts w:ascii="Courier New" w:hAnsi="Courier New" w:hint="default"/>
      </w:rPr>
    </w:lvl>
    <w:lvl w:ilvl="2" w:tplc="F5C4F350">
      <w:start w:val="1"/>
      <w:numFmt w:val="bullet"/>
      <w:lvlText w:val=""/>
      <w:lvlJc w:val="left"/>
      <w:pPr>
        <w:ind w:left="2160" w:hanging="360"/>
      </w:pPr>
      <w:rPr>
        <w:rFonts w:ascii="Wingdings" w:hAnsi="Wingdings" w:hint="default"/>
      </w:rPr>
    </w:lvl>
    <w:lvl w:ilvl="3" w:tplc="D2F0E210">
      <w:start w:val="1"/>
      <w:numFmt w:val="bullet"/>
      <w:lvlText w:val=""/>
      <w:lvlJc w:val="left"/>
      <w:pPr>
        <w:ind w:left="2880" w:hanging="360"/>
      </w:pPr>
      <w:rPr>
        <w:rFonts w:ascii="Symbol" w:hAnsi="Symbol" w:hint="default"/>
      </w:rPr>
    </w:lvl>
    <w:lvl w:ilvl="4" w:tplc="00D2D4BA">
      <w:start w:val="1"/>
      <w:numFmt w:val="bullet"/>
      <w:lvlText w:val="o"/>
      <w:lvlJc w:val="left"/>
      <w:pPr>
        <w:ind w:left="3600" w:hanging="360"/>
      </w:pPr>
      <w:rPr>
        <w:rFonts w:ascii="Courier New" w:hAnsi="Courier New" w:hint="default"/>
      </w:rPr>
    </w:lvl>
    <w:lvl w:ilvl="5" w:tplc="7C0A3048">
      <w:start w:val="1"/>
      <w:numFmt w:val="bullet"/>
      <w:lvlText w:val=""/>
      <w:lvlJc w:val="left"/>
      <w:pPr>
        <w:ind w:left="4320" w:hanging="360"/>
      </w:pPr>
      <w:rPr>
        <w:rFonts w:ascii="Wingdings" w:hAnsi="Wingdings" w:hint="default"/>
      </w:rPr>
    </w:lvl>
    <w:lvl w:ilvl="6" w:tplc="87487F2E">
      <w:start w:val="1"/>
      <w:numFmt w:val="bullet"/>
      <w:lvlText w:val=""/>
      <w:lvlJc w:val="left"/>
      <w:pPr>
        <w:ind w:left="5040" w:hanging="360"/>
      </w:pPr>
      <w:rPr>
        <w:rFonts w:ascii="Symbol" w:hAnsi="Symbol" w:hint="default"/>
      </w:rPr>
    </w:lvl>
    <w:lvl w:ilvl="7" w:tplc="A70E414A">
      <w:start w:val="1"/>
      <w:numFmt w:val="bullet"/>
      <w:lvlText w:val="o"/>
      <w:lvlJc w:val="left"/>
      <w:pPr>
        <w:ind w:left="5760" w:hanging="360"/>
      </w:pPr>
      <w:rPr>
        <w:rFonts w:ascii="Courier New" w:hAnsi="Courier New" w:hint="default"/>
      </w:rPr>
    </w:lvl>
    <w:lvl w:ilvl="8" w:tplc="23F01FCE">
      <w:start w:val="1"/>
      <w:numFmt w:val="bullet"/>
      <w:lvlText w:val=""/>
      <w:lvlJc w:val="left"/>
      <w:pPr>
        <w:ind w:left="6480" w:hanging="360"/>
      </w:pPr>
      <w:rPr>
        <w:rFonts w:ascii="Wingdings" w:hAnsi="Wingdings" w:hint="default"/>
      </w:rPr>
    </w:lvl>
  </w:abstractNum>
  <w:abstractNum w:abstractNumId="47" w15:restartNumberingAfterBreak="0">
    <w:nsid w:val="5E801C04"/>
    <w:multiLevelType w:val="hybridMultilevel"/>
    <w:tmpl w:val="DB5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9"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4F31CA1"/>
    <w:multiLevelType w:val="hybridMultilevel"/>
    <w:tmpl w:val="FA14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4F12C5"/>
    <w:multiLevelType w:val="hybridMultilevel"/>
    <w:tmpl w:val="9C7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7"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FB08A8"/>
    <w:multiLevelType w:val="hybridMultilevel"/>
    <w:tmpl w:val="928A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4" w15:restartNumberingAfterBreak="0">
    <w:nsid w:val="75E9424D"/>
    <w:multiLevelType w:val="hybridMultilevel"/>
    <w:tmpl w:val="4068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C76FFD"/>
    <w:multiLevelType w:val="hybridMultilevel"/>
    <w:tmpl w:val="02EC9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2C0579"/>
    <w:multiLevelType w:val="hybridMultilevel"/>
    <w:tmpl w:val="E120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6"/>
  </w:num>
  <w:num w:numId="4">
    <w:abstractNumId w:val="48"/>
  </w:num>
  <w:num w:numId="5">
    <w:abstractNumId w:val="26"/>
  </w:num>
  <w:num w:numId="6">
    <w:abstractNumId w:val="27"/>
  </w:num>
  <w:num w:numId="7">
    <w:abstractNumId w:val="65"/>
  </w:num>
  <w:num w:numId="8">
    <w:abstractNumId w:val="8"/>
  </w:num>
  <w:num w:numId="9">
    <w:abstractNumId w:val="21"/>
  </w:num>
  <w:num w:numId="10">
    <w:abstractNumId w:val="43"/>
  </w:num>
  <w:num w:numId="11">
    <w:abstractNumId w:val="7"/>
  </w:num>
  <w:num w:numId="12">
    <w:abstractNumId w:val="22"/>
  </w:num>
  <w:num w:numId="13">
    <w:abstractNumId w:val="66"/>
  </w:num>
  <w:num w:numId="14">
    <w:abstractNumId w:val="41"/>
  </w:num>
  <w:num w:numId="15">
    <w:abstractNumId w:val="34"/>
  </w:num>
  <w:num w:numId="16">
    <w:abstractNumId w:val="57"/>
  </w:num>
  <w:num w:numId="17">
    <w:abstractNumId w:val="67"/>
  </w:num>
  <w:num w:numId="18">
    <w:abstractNumId w:val="68"/>
  </w:num>
  <w:num w:numId="19">
    <w:abstractNumId w:val="61"/>
  </w:num>
  <w:num w:numId="20">
    <w:abstractNumId w:val="52"/>
  </w:num>
  <w:num w:numId="21">
    <w:abstractNumId w:val="69"/>
  </w:num>
  <w:num w:numId="22">
    <w:abstractNumId w:val="32"/>
  </w:num>
  <w:num w:numId="23">
    <w:abstractNumId w:val="42"/>
  </w:num>
  <w:num w:numId="24">
    <w:abstractNumId w:val="38"/>
  </w:num>
  <w:num w:numId="25">
    <w:abstractNumId w:val="58"/>
  </w:num>
  <w:num w:numId="26">
    <w:abstractNumId w:val="60"/>
  </w:num>
  <w:num w:numId="27">
    <w:abstractNumId w:val="10"/>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4"/>
  </w:num>
  <w:num w:numId="33">
    <w:abstractNumId w:val="25"/>
  </w:num>
  <w:num w:numId="34">
    <w:abstractNumId w:val="58"/>
    <w:lvlOverride w:ilvl="0">
      <w:startOverride w:val="1"/>
    </w:lvlOverride>
  </w:num>
  <w:num w:numId="35">
    <w:abstractNumId w:val="2"/>
  </w:num>
  <w:num w:numId="36">
    <w:abstractNumId w:val="53"/>
  </w:num>
  <w:num w:numId="37">
    <w:abstractNumId w:val="14"/>
  </w:num>
  <w:num w:numId="38">
    <w:abstractNumId w:val="24"/>
  </w:num>
  <w:num w:numId="39">
    <w:abstractNumId w:val="0"/>
  </w:num>
  <w:num w:numId="40">
    <w:abstractNumId w:val="40"/>
  </w:num>
  <w:num w:numId="41">
    <w:abstractNumId w:val="15"/>
  </w:num>
  <w:num w:numId="42">
    <w:abstractNumId w:val="11"/>
  </w:num>
  <w:num w:numId="43">
    <w:abstractNumId w:val="28"/>
  </w:num>
  <w:num w:numId="44">
    <w:abstractNumId w:val="35"/>
  </w:num>
  <w:num w:numId="45">
    <w:abstractNumId w:val="59"/>
  </w:num>
  <w:num w:numId="46">
    <w:abstractNumId w:val="31"/>
  </w:num>
  <w:num w:numId="47">
    <w:abstractNumId w:val="30"/>
  </w:num>
  <w:num w:numId="48">
    <w:abstractNumId w:val="49"/>
  </w:num>
  <w:num w:numId="49">
    <w:abstractNumId w:val="51"/>
  </w:num>
  <w:num w:numId="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8"/>
  </w:num>
  <w:num w:numId="54">
    <w:abstractNumId w:val="47"/>
  </w:num>
  <w:num w:numId="55">
    <w:abstractNumId w:val="64"/>
  </w:num>
  <w:num w:numId="56">
    <w:abstractNumId w:val="29"/>
  </w:num>
  <w:num w:numId="57">
    <w:abstractNumId w:val="17"/>
  </w:num>
  <w:num w:numId="58">
    <w:abstractNumId w:val="1"/>
  </w:num>
  <w:num w:numId="59">
    <w:abstractNumId w:val="16"/>
  </w:num>
  <w:num w:numId="60">
    <w:abstractNumId w:val="62"/>
  </w:num>
  <w:num w:numId="61">
    <w:abstractNumId w:val="55"/>
  </w:num>
  <w:num w:numId="62">
    <w:abstractNumId w:val="13"/>
  </w:num>
  <w:num w:numId="63">
    <w:abstractNumId w:val="36"/>
  </w:num>
  <w:num w:numId="64">
    <w:abstractNumId w:val="12"/>
  </w:num>
  <w:num w:numId="65">
    <w:abstractNumId w:val="45"/>
  </w:num>
  <w:num w:numId="66">
    <w:abstractNumId w:val="70"/>
  </w:num>
  <w:num w:numId="67">
    <w:abstractNumId w:val="37"/>
  </w:num>
  <w:num w:numId="68">
    <w:abstractNumId w:val="44"/>
  </w:num>
  <w:num w:numId="69">
    <w:abstractNumId w:val="5"/>
  </w:num>
  <w:num w:numId="70">
    <w:abstractNumId w:val="6"/>
  </w:num>
  <w:num w:numId="71">
    <w:abstractNumId w:val="20"/>
  </w:num>
  <w:num w:numId="72">
    <w:abstractNumId w:val="46"/>
  </w:num>
  <w:num w:numId="73">
    <w:abstractNumId w:val="19"/>
  </w:num>
  <w:num w:numId="74">
    <w:abstractNumId w:val="39"/>
  </w:num>
  <w:num w:numId="75">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F0"/>
    <w:rsid w:val="000955F8"/>
    <w:rsid w:val="0017036A"/>
    <w:rsid w:val="001E272D"/>
    <w:rsid w:val="0023394E"/>
    <w:rsid w:val="00281191"/>
    <w:rsid w:val="00284D57"/>
    <w:rsid w:val="002C588C"/>
    <w:rsid w:val="002F038D"/>
    <w:rsid w:val="00381046"/>
    <w:rsid w:val="003A0E80"/>
    <w:rsid w:val="003A3145"/>
    <w:rsid w:val="003B32F0"/>
    <w:rsid w:val="003C6CB2"/>
    <w:rsid w:val="00403F54"/>
    <w:rsid w:val="004A130A"/>
    <w:rsid w:val="004F246B"/>
    <w:rsid w:val="006D46A0"/>
    <w:rsid w:val="009F6A0C"/>
    <w:rsid w:val="00A30087"/>
    <w:rsid w:val="00B34AD2"/>
    <w:rsid w:val="00B41172"/>
    <w:rsid w:val="00B570C0"/>
    <w:rsid w:val="00BA4992"/>
    <w:rsid w:val="00C23FA7"/>
    <w:rsid w:val="00CE0D56"/>
    <w:rsid w:val="00DA0234"/>
    <w:rsid w:val="00DC65CB"/>
    <w:rsid w:val="00ED69A7"/>
    <w:rsid w:val="00F03762"/>
    <w:rsid w:val="00F27BFC"/>
    <w:rsid w:val="00F7099E"/>
    <w:rsid w:val="00F80949"/>
    <w:rsid w:val="045A9A30"/>
    <w:rsid w:val="0B3B07C9"/>
    <w:rsid w:val="1476FDCB"/>
    <w:rsid w:val="533DC611"/>
    <w:rsid w:val="53EBA1A4"/>
    <w:rsid w:val="69CB18E5"/>
    <w:rsid w:val="6F76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F655"/>
  <w15:chartTrackingRefBased/>
  <w15:docId w15:val="{DB493263-C205-C844-ACCF-9A171EE6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F0"/>
    <w:pPr>
      <w:spacing w:after="120"/>
    </w:pPr>
    <w:rPr>
      <w:rFonts w:ascii="Arial" w:eastAsia="Times New Roman" w:hAnsi="Arial" w:cs="Arial"/>
      <w:sz w:val="22"/>
      <w:szCs w:val="20"/>
    </w:rPr>
  </w:style>
  <w:style w:type="paragraph" w:styleId="Heading1">
    <w:name w:val="heading 1"/>
    <w:basedOn w:val="Normal"/>
    <w:next w:val="Heading2"/>
    <w:link w:val="Heading1Char"/>
    <w:uiPriority w:val="99"/>
    <w:qFormat/>
    <w:rsid w:val="003B32F0"/>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B32F0"/>
    <w:pPr>
      <w:keepNext/>
      <w:spacing w:before="120"/>
      <w:outlineLvl w:val="1"/>
    </w:pPr>
    <w:rPr>
      <w:b/>
      <w:smallCaps/>
      <w:sz w:val="28"/>
    </w:rPr>
  </w:style>
  <w:style w:type="paragraph" w:styleId="Heading3">
    <w:name w:val="heading 3"/>
    <w:aliases w:val="Section"/>
    <w:basedOn w:val="Normal"/>
    <w:link w:val="Heading3Char"/>
    <w:uiPriority w:val="99"/>
    <w:qFormat/>
    <w:rsid w:val="003B32F0"/>
    <w:pPr>
      <w:keepNext/>
      <w:keepLines/>
      <w:spacing w:before="60" w:after="60"/>
      <w:jc w:val="both"/>
      <w:outlineLvl w:val="2"/>
    </w:pPr>
    <w:rPr>
      <w:b/>
    </w:rPr>
  </w:style>
  <w:style w:type="paragraph" w:styleId="Heading4">
    <w:name w:val="heading 4"/>
    <w:basedOn w:val="Normal"/>
    <w:next w:val="Normal"/>
    <w:link w:val="Heading4Char"/>
    <w:uiPriority w:val="99"/>
    <w:qFormat/>
    <w:rsid w:val="003B32F0"/>
    <w:pPr>
      <w:numPr>
        <w:numId w:val="1"/>
      </w:numPr>
      <w:outlineLvl w:val="3"/>
    </w:pPr>
    <w:rPr>
      <w:b/>
      <w:smallCaps/>
    </w:rPr>
  </w:style>
  <w:style w:type="paragraph" w:styleId="Heading5">
    <w:name w:val="heading 5"/>
    <w:basedOn w:val="Normal"/>
    <w:next w:val="Normal"/>
    <w:link w:val="Heading5Char"/>
    <w:uiPriority w:val="99"/>
    <w:qFormat/>
    <w:rsid w:val="003B32F0"/>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3B32F0"/>
    <w:pPr>
      <w:keepNext/>
      <w:ind w:left="1440"/>
      <w:jc w:val="right"/>
      <w:outlineLvl w:val="5"/>
    </w:pPr>
    <w:rPr>
      <w:i/>
      <w:sz w:val="20"/>
    </w:rPr>
  </w:style>
  <w:style w:type="paragraph" w:styleId="Heading7">
    <w:name w:val="heading 7"/>
    <w:basedOn w:val="Normal"/>
    <w:next w:val="Normal"/>
    <w:link w:val="Heading7Char"/>
    <w:uiPriority w:val="99"/>
    <w:qFormat/>
    <w:rsid w:val="003B32F0"/>
    <w:pPr>
      <w:keepNext/>
      <w:ind w:left="882"/>
      <w:outlineLvl w:val="6"/>
    </w:pPr>
    <w:rPr>
      <w:b/>
    </w:rPr>
  </w:style>
  <w:style w:type="paragraph" w:styleId="Heading8">
    <w:name w:val="heading 8"/>
    <w:basedOn w:val="Normal"/>
    <w:next w:val="Normal"/>
    <w:link w:val="Heading8Char"/>
    <w:uiPriority w:val="99"/>
    <w:qFormat/>
    <w:rsid w:val="003B32F0"/>
    <w:pPr>
      <w:keepNext/>
      <w:ind w:right="-14"/>
      <w:jc w:val="center"/>
      <w:outlineLvl w:val="7"/>
    </w:pPr>
    <w:rPr>
      <w:b/>
    </w:rPr>
  </w:style>
  <w:style w:type="paragraph" w:styleId="Heading9">
    <w:name w:val="heading 9"/>
    <w:basedOn w:val="Normal"/>
    <w:next w:val="Normal"/>
    <w:link w:val="Heading9Char"/>
    <w:uiPriority w:val="99"/>
    <w:qFormat/>
    <w:rsid w:val="003B32F0"/>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2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2F0"/>
    <w:rPr>
      <w:rFonts w:ascii="Times New Roman" w:hAnsi="Times New Roman" w:cs="Times New Roman"/>
      <w:sz w:val="18"/>
      <w:szCs w:val="18"/>
    </w:rPr>
  </w:style>
  <w:style w:type="character" w:customStyle="1" w:styleId="Heading1Char">
    <w:name w:val="Heading 1 Char"/>
    <w:basedOn w:val="DefaultParagraphFont"/>
    <w:link w:val="Heading1"/>
    <w:uiPriority w:val="99"/>
    <w:rsid w:val="003B32F0"/>
    <w:rPr>
      <w:rFonts w:ascii="Arial" w:eastAsia="Times New Roman" w:hAnsi="Arial" w:cs="Arial"/>
      <w:b/>
      <w:kern w:val="28"/>
      <w:sz w:val="32"/>
      <w:szCs w:val="20"/>
      <w:shd w:val="pct15" w:color="000000" w:fill="FFFFFF"/>
    </w:rPr>
  </w:style>
  <w:style w:type="character" w:customStyle="1" w:styleId="Heading2Char">
    <w:name w:val="Heading 2 Char"/>
    <w:aliases w:val="Heading 2 Char1 Char,Heading 2 Char Char Char"/>
    <w:basedOn w:val="DefaultParagraphFont"/>
    <w:link w:val="Heading2"/>
    <w:uiPriority w:val="99"/>
    <w:rsid w:val="003B32F0"/>
    <w:rPr>
      <w:rFonts w:ascii="Arial" w:eastAsia="Times New Roman" w:hAnsi="Arial" w:cs="Arial"/>
      <w:b/>
      <w:smallCaps/>
      <w:sz w:val="28"/>
      <w:szCs w:val="20"/>
    </w:rPr>
  </w:style>
  <w:style w:type="character" w:customStyle="1" w:styleId="Heading3Char">
    <w:name w:val="Heading 3 Char"/>
    <w:aliases w:val="Section Char"/>
    <w:basedOn w:val="DefaultParagraphFont"/>
    <w:link w:val="Heading3"/>
    <w:uiPriority w:val="99"/>
    <w:rsid w:val="003B32F0"/>
    <w:rPr>
      <w:rFonts w:ascii="Arial" w:eastAsia="Times New Roman" w:hAnsi="Arial" w:cs="Arial"/>
      <w:b/>
      <w:sz w:val="22"/>
      <w:szCs w:val="20"/>
    </w:rPr>
  </w:style>
  <w:style w:type="character" w:customStyle="1" w:styleId="Heading4Char">
    <w:name w:val="Heading 4 Char"/>
    <w:basedOn w:val="DefaultParagraphFont"/>
    <w:link w:val="Heading4"/>
    <w:uiPriority w:val="99"/>
    <w:rsid w:val="003B32F0"/>
    <w:rPr>
      <w:rFonts w:ascii="Arial" w:eastAsia="Times New Roman" w:hAnsi="Arial" w:cs="Arial"/>
      <w:b/>
      <w:smallCaps/>
      <w:sz w:val="22"/>
      <w:szCs w:val="20"/>
    </w:rPr>
  </w:style>
  <w:style w:type="character" w:customStyle="1" w:styleId="Heading5Char">
    <w:name w:val="Heading 5 Char"/>
    <w:basedOn w:val="DefaultParagraphFont"/>
    <w:link w:val="Heading5"/>
    <w:uiPriority w:val="99"/>
    <w:rsid w:val="003B32F0"/>
    <w:rPr>
      <w:rFonts w:ascii="Arial" w:eastAsia="Times New Roman" w:hAnsi="Arial" w:cs="Arial"/>
      <w:b/>
      <w:sz w:val="32"/>
      <w:szCs w:val="20"/>
      <w:shd w:val="pct15" w:color="auto" w:fill="auto"/>
    </w:rPr>
  </w:style>
  <w:style w:type="character" w:customStyle="1" w:styleId="Heading6Char">
    <w:name w:val="Heading 6 Char"/>
    <w:basedOn w:val="DefaultParagraphFont"/>
    <w:link w:val="Heading6"/>
    <w:uiPriority w:val="99"/>
    <w:rsid w:val="003B32F0"/>
    <w:rPr>
      <w:rFonts w:ascii="Arial" w:eastAsia="Times New Roman" w:hAnsi="Arial" w:cs="Arial"/>
      <w:i/>
      <w:sz w:val="20"/>
      <w:szCs w:val="20"/>
    </w:rPr>
  </w:style>
  <w:style w:type="character" w:customStyle="1" w:styleId="Heading7Char">
    <w:name w:val="Heading 7 Char"/>
    <w:basedOn w:val="DefaultParagraphFont"/>
    <w:link w:val="Heading7"/>
    <w:uiPriority w:val="99"/>
    <w:rsid w:val="003B32F0"/>
    <w:rPr>
      <w:rFonts w:ascii="Arial" w:eastAsia="Times New Roman" w:hAnsi="Arial" w:cs="Arial"/>
      <w:b/>
      <w:sz w:val="22"/>
      <w:szCs w:val="20"/>
    </w:rPr>
  </w:style>
  <w:style w:type="character" w:customStyle="1" w:styleId="Heading8Char">
    <w:name w:val="Heading 8 Char"/>
    <w:basedOn w:val="DefaultParagraphFont"/>
    <w:link w:val="Heading8"/>
    <w:uiPriority w:val="99"/>
    <w:rsid w:val="003B32F0"/>
    <w:rPr>
      <w:rFonts w:ascii="Arial" w:eastAsia="Times New Roman" w:hAnsi="Arial" w:cs="Arial"/>
      <w:b/>
      <w:sz w:val="22"/>
      <w:szCs w:val="20"/>
    </w:rPr>
  </w:style>
  <w:style w:type="character" w:customStyle="1" w:styleId="Heading9Char">
    <w:name w:val="Heading 9 Char"/>
    <w:basedOn w:val="DefaultParagraphFont"/>
    <w:link w:val="Heading9"/>
    <w:uiPriority w:val="99"/>
    <w:rsid w:val="003B32F0"/>
    <w:rPr>
      <w:rFonts w:ascii="Arial" w:eastAsia="Times New Roman" w:hAnsi="Arial" w:cs="Arial"/>
      <w:sz w:val="22"/>
      <w:szCs w:val="20"/>
    </w:rPr>
  </w:style>
  <w:style w:type="paragraph" w:customStyle="1" w:styleId="ContinuedOnNextPa">
    <w:name w:val="Continued On Next Pa"/>
    <w:basedOn w:val="Normal"/>
    <w:next w:val="Normal"/>
    <w:uiPriority w:val="99"/>
    <w:rsid w:val="003B32F0"/>
    <w:pPr>
      <w:pBdr>
        <w:top w:val="single" w:sz="6" w:space="1" w:color="auto"/>
        <w:between w:val="single" w:sz="6" w:space="1" w:color="auto"/>
      </w:pBdr>
      <w:ind w:left="1700"/>
      <w:jc w:val="right"/>
    </w:pPr>
    <w:rPr>
      <w:i/>
      <w:sz w:val="20"/>
    </w:rPr>
  </w:style>
  <w:style w:type="paragraph" w:styleId="BlockText">
    <w:name w:val="Block Text"/>
    <w:basedOn w:val="Normal"/>
    <w:uiPriority w:val="99"/>
    <w:rsid w:val="003B32F0"/>
    <w:pPr>
      <w:ind w:left="1440"/>
      <w:jc w:val="center"/>
    </w:pPr>
    <w:rPr>
      <w:b/>
      <w:sz w:val="32"/>
    </w:rPr>
  </w:style>
  <w:style w:type="paragraph" w:styleId="Header">
    <w:name w:val="header"/>
    <w:basedOn w:val="Normal"/>
    <w:link w:val="HeaderChar"/>
    <w:uiPriority w:val="99"/>
    <w:rsid w:val="003B32F0"/>
    <w:pPr>
      <w:tabs>
        <w:tab w:val="center" w:pos="4320"/>
        <w:tab w:val="right" w:pos="8640"/>
      </w:tabs>
    </w:pPr>
  </w:style>
  <w:style w:type="character" w:customStyle="1" w:styleId="HeaderChar">
    <w:name w:val="Header Char"/>
    <w:basedOn w:val="DefaultParagraphFont"/>
    <w:link w:val="Header"/>
    <w:uiPriority w:val="99"/>
    <w:rsid w:val="003B32F0"/>
    <w:rPr>
      <w:rFonts w:ascii="Arial" w:eastAsia="Times New Roman" w:hAnsi="Arial" w:cs="Arial"/>
      <w:sz w:val="22"/>
      <w:szCs w:val="20"/>
    </w:rPr>
  </w:style>
  <w:style w:type="paragraph" w:styleId="Footer">
    <w:name w:val="footer"/>
    <w:basedOn w:val="Normal"/>
    <w:link w:val="FooterChar"/>
    <w:uiPriority w:val="99"/>
    <w:rsid w:val="003B32F0"/>
    <w:pPr>
      <w:tabs>
        <w:tab w:val="center" w:pos="4320"/>
        <w:tab w:val="right" w:pos="8640"/>
      </w:tabs>
    </w:pPr>
  </w:style>
  <w:style w:type="character" w:customStyle="1" w:styleId="FooterChar">
    <w:name w:val="Footer Char"/>
    <w:basedOn w:val="DefaultParagraphFont"/>
    <w:link w:val="Footer"/>
    <w:uiPriority w:val="99"/>
    <w:rsid w:val="003B32F0"/>
    <w:rPr>
      <w:rFonts w:ascii="Arial" w:eastAsia="Times New Roman" w:hAnsi="Arial" w:cs="Arial"/>
      <w:sz w:val="22"/>
      <w:szCs w:val="20"/>
    </w:rPr>
  </w:style>
  <w:style w:type="paragraph" w:styleId="BodyText">
    <w:name w:val="Body Text"/>
    <w:aliases w:val="Body 1,Body Text Char1,Body Text Char Char,bt"/>
    <w:basedOn w:val="Normal"/>
    <w:link w:val="BodyTextChar"/>
    <w:uiPriority w:val="99"/>
    <w:rsid w:val="003B32F0"/>
    <w:pPr>
      <w:spacing w:before="240" w:after="240"/>
      <w:ind w:right="-14"/>
    </w:pPr>
  </w:style>
  <w:style w:type="character" w:customStyle="1" w:styleId="BodyTextChar">
    <w:name w:val="Body Text Char"/>
    <w:aliases w:val="Body 1 Char,Body Text Char1 Char,Body Text Char Char Char,bt Char"/>
    <w:basedOn w:val="DefaultParagraphFont"/>
    <w:link w:val="BodyText"/>
    <w:uiPriority w:val="99"/>
    <w:rsid w:val="003B32F0"/>
    <w:rPr>
      <w:rFonts w:ascii="Arial" w:eastAsia="Times New Roman" w:hAnsi="Arial" w:cs="Arial"/>
      <w:sz w:val="22"/>
      <w:szCs w:val="20"/>
    </w:rPr>
  </w:style>
  <w:style w:type="character" w:styleId="PageNumber">
    <w:name w:val="page number"/>
    <w:basedOn w:val="DefaultParagraphFont"/>
    <w:uiPriority w:val="99"/>
    <w:rsid w:val="003B32F0"/>
    <w:rPr>
      <w:rFonts w:cs="Times New Roman"/>
    </w:rPr>
  </w:style>
  <w:style w:type="paragraph" w:styleId="MacroText">
    <w:name w:val="macro"/>
    <w:link w:val="MacroTextChar"/>
    <w:uiPriority w:val="99"/>
    <w:semiHidden/>
    <w:rsid w:val="003B32F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Arial"/>
      <w:szCs w:val="20"/>
    </w:rPr>
  </w:style>
  <w:style w:type="character" w:customStyle="1" w:styleId="MacroTextChar">
    <w:name w:val="Macro Text Char"/>
    <w:basedOn w:val="DefaultParagraphFont"/>
    <w:link w:val="MacroText"/>
    <w:uiPriority w:val="99"/>
    <w:semiHidden/>
    <w:rsid w:val="003B32F0"/>
    <w:rPr>
      <w:rFonts w:ascii="Courier New" w:eastAsia="Times New Roman" w:hAnsi="Courier New" w:cs="Arial"/>
      <w:szCs w:val="20"/>
    </w:rPr>
  </w:style>
  <w:style w:type="paragraph" w:styleId="TOC2">
    <w:name w:val="toc 2"/>
    <w:basedOn w:val="Normal"/>
    <w:next w:val="Normal"/>
    <w:autoRedefine/>
    <w:uiPriority w:val="39"/>
    <w:qFormat/>
    <w:rsid w:val="003B32F0"/>
    <w:pPr>
      <w:ind w:left="220"/>
    </w:pPr>
    <w:rPr>
      <w:rFonts w:ascii="Calibri" w:hAnsi="Calibri"/>
      <w:smallCaps/>
      <w:sz w:val="20"/>
    </w:rPr>
  </w:style>
  <w:style w:type="paragraph" w:styleId="TOC1">
    <w:name w:val="toc 1"/>
    <w:basedOn w:val="Normal"/>
    <w:next w:val="Normal"/>
    <w:autoRedefine/>
    <w:uiPriority w:val="39"/>
    <w:qFormat/>
    <w:rsid w:val="003B32F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3B32F0"/>
    <w:pPr>
      <w:ind w:left="440"/>
    </w:pPr>
    <w:rPr>
      <w:rFonts w:ascii="Calibri" w:hAnsi="Calibri"/>
      <w:i/>
      <w:iCs/>
      <w:sz w:val="20"/>
    </w:rPr>
  </w:style>
  <w:style w:type="paragraph" w:styleId="TOC4">
    <w:name w:val="toc 4"/>
    <w:basedOn w:val="Normal"/>
    <w:next w:val="Normal"/>
    <w:autoRedefine/>
    <w:uiPriority w:val="99"/>
    <w:rsid w:val="003B32F0"/>
    <w:pPr>
      <w:ind w:left="660"/>
    </w:pPr>
    <w:rPr>
      <w:rFonts w:ascii="Calibri" w:hAnsi="Calibri"/>
      <w:sz w:val="18"/>
      <w:szCs w:val="18"/>
    </w:rPr>
  </w:style>
  <w:style w:type="paragraph" w:styleId="TOC5">
    <w:name w:val="toc 5"/>
    <w:basedOn w:val="Normal"/>
    <w:next w:val="Normal"/>
    <w:autoRedefine/>
    <w:uiPriority w:val="99"/>
    <w:rsid w:val="003B32F0"/>
    <w:pPr>
      <w:ind w:left="880"/>
    </w:pPr>
    <w:rPr>
      <w:rFonts w:ascii="Calibri" w:hAnsi="Calibri"/>
      <w:sz w:val="18"/>
      <w:szCs w:val="18"/>
    </w:rPr>
  </w:style>
  <w:style w:type="paragraph" w:styleId="TOC6">
    <w:name w:val="toc 6"/>
    <w:basedOn w:val="Normal"/>
    <w:next w:val="Normal"/>
    <w:autoRedefine/>
    <w:uiPriority w:val="99"/>
    <w:rsid w:val="003B32F0"/>
    <w:pPr>
      <w:ind w:left="1100"/>
    </w:pPr>
    <w:rPr>
      <w:rFonts w:ascii="Calibri" w:hAnsi="Calibri"/>
      <w:sz w:val="18"/>
      <w:szCs w:val="18"/>
    </w:rPr>
  </w:style>
  <w:style w:type="paragraph" w:styleId="TOC7">
    <w:name w:val="toc 7"/>
    <w:basedOn w:val="Normal"/>
    <w:next w:val="Normal"/>
    <w:autoRedefine/>
    <w:uiPriority w:val="99"/>
    <w:rsid w:val="003B32F0"/>
    <w:pPr>
      <w:ind w:left="1320"/>
    </w:pPr>
    <w:rPr>
      <w:rFonts w:ascii="Calibri" w:hAnsi="Calibri"/>
      <w:sz w:val="18"/>
      <w:szCs w:val="18"/>
    </w:rPr>
  </w:style>
  <w:style w:type="paragraph" w:styleId="TOC8">
    <w:name w:val="toc 8"/>
    <w:basedOn w:val="Normal"/>
    <w:next w:val="Normal"/>
    <w:autoRedefine/>
    <w:uiPriority w:val="99"/>
    <w:rsid w:val="003B32F0"/>
    <w:pPr>
      <w:ind w:left="1540"/>
    </w:pPr>
    <w:rPr>
      <w:rFonts w:ascii="Calibri" w:hAnsi="Calibri"/>
      <w:sz w:val="18"/>
      <w:szCs w:val="18"/>
    </w:rPr>
  </w:style>
  <w:style w:type="paragraph" w:styleId="TOC9">
    <w:name w:val="toc 9"/>
    <w:basedOn w:val="Normal"/>
    <w:next w:val="Normal"/>
    <w:autoRedefine/>
    <w:uiPriority w:val="99"/>
    <w:rsid w:val="003B32F0"/>
    <w:pPr>
      <w:ind w:left="1760"/>
    </w:pPr>
    <w:rPr>
      <w:rFonts w:ascii="Calibri" w:hAnsi="Calibri"/>
      <w:sz w:val="18"/>
      <w:szCs w:val="18"/>
    </w:rPr>
  </w:style>
  <w:style w:type="paragraph" w:customStyle="1" w:styleId="TableHeaderText">
    <w:name w:val="Table Header Text"/>
    <w:basedOn w:val="TableText"/>
    <w:uiPriority w:val="99"/>
    <w:rsid w:val="003B32F0"/>
    <w:pPr>
      <w:jc w:val="center"/>
    </w:pPr>
    <w:rPr>
      <w:b/>
    </w:rPr>
  </w:style>
  <w:style w:type="paragraph" w:customStyle="1" w:styleId="TableText">
    <w:name w:val="Table Text"/>
    <w:basedOn w:val="Normal"/>
    <w:uiPriority w:val="99"/>
    <w:rsid w:val="003B32F0"/>
  </w:style>
  <w:style w:type="character" w:styleId="CommentReference">
    <w:name w:val="annotation reference"/>
    <w:basedOn w:val="DefaultParagraphFont"/>
    <w:uiPriority w:val="99"/>
    <w:rsid w:val="003B32F0"/>
    <w:rPr>
      <w:rFonts w:cs="Times New Roman"/>
      <w:sz w:val="16"/>
    </w:rPr>
  </w:style>
  <w:style w:type="character" w:styleId="Hyperlink">
    <w:name w:val="Hyperlink"/>
    <w:basedOn w:val="DefaultParagraphFont"/>
    <w:uiPriority w:val="99"/>
    <w:rsid w:val="003B32F0"/>
    <w:rPr>
      <w:rFonts w:cs="Times New Roman"/>
      <w:color w:val="0000FF"/>
      <w:u w:val="single"/>
    </w:rPr>
  </w:style>
  <w:style w:type="paragraph" w:customStyle="1" w:styleId="NoteText">
    <w:name w:val="Note Text"/>
    <w:basedOn w:val="BlockText"/>
    <w:uiPriority w:val="99"/>
    <w:rsid w:val="003B32F0"/>
    <w:pPr>
      <w:ind w:left="0"/>
      <w:jc w:val="left"/>
    </w:pPr>
    <w:rPr>
      <w:b w:val="0"/>
      <w:sz w:val="22"/>
    </w:rPr>
  </w:style>
  <w:style w:type="paragraph" w:styleId="BodyTextIndent">
    <w:name w:val="Body Text Indent"/>
    <w:basedOn w:val="Normal"/>
    <w:link w:val="BodyTextIndentChar"/>
    <w:uiPriority w:val="99"/>
    <w:rsid w:val="003B32F0"/>
    <w:pPr>
      <w:ind w:left="1440"/>
      <w:jc w:val="both"/>
    </w:pPr>
  </w:style>
  <w:style w:type="character" w:customStyle="1" w:styleId="BodyTextIndentChar">
    <w:name w:val="Body Text Indent Char"/>
    <w:basedOn w:val="DefaultParagraphFont"/>
    <w:link w:val="BodyTextIndent"/>
    <w:uiPriority w:val="99"/>
    <w:rsid w:val="003B32F0"/>
    <w:rPr>
      <w:rFonts w:ascii="Arial" w:eastAsia="Times New Roman" w:hAnsi="Arial" w:cs="Arial"/>
      <w:sz w:val="22"/>
      <w:szCs w:val="20"/>
    </w:rPr>
  </w:style>
  <w:style w:type="paragraph" w:styleId="BodyText2">
    <w:name w:val="Body Text 2"/>
    <w:basedOn w:val="Normal"/>
    <w:link w:val="BodyText2Char"/>
    <w:uiPriority w:val="99"/>
    <w:rsid w:val="003B32F0"/>
  </w:style>
  <w:style w:type="character" w:customStyle="1" w:styleId="BodyText2Char">
    <w:name w:val="Body Text 2 Char"/>
    <w:basedOn w:val="DefaultParagraphFont"/>
    <w:link w:val="BodyText2"/>
    <w:uiPriority w:val="99"/>
    <w:rsid w:val="003B32F0"/>
    <w:rPr>
      <w:rFonts w:ascii="Arial" w:eastAsia="Times New Roman" w:hAnsi="Arial" w:cs="Arial"/>
      <w:sz w:val="22"/>
      <w:szCs w:val="20"/>
    </w:rPr>
  </w:style>
  <w:style w:type="paragraph" w:styleId="BodyTextIndent2">
    <w:name w:val="Body Text Indent 2"/>
    <w:basedOn w:val="Normal"/>
    <w:link w:val="BodyTextIndent2Char"/>
    <w:uiPriority w:val="99"/>
    <w:rsid w:val="003B32F0"/>
    <w:pPr>
      <w:ind w:left="2160"/>
    </w:pPr>
  </w:style>
  <w:style w:type="character" w:customStyle="1" w:styleId="BodyTextIndent2Char">
    <w:name w:val="Body Text Indent 2 Char"/>
    <w:basedOn w:val="DefaultParagraphFont"/>
    <w:link w:val="BodyTextIndent2"/>
    <w:uiPriority w:val="99"/>
    <w:rsid w:val="003B32F0"/>
    <w:rPr>
      <w:rFonts w:ascii="Arial" w:eastAsia="Times New Roman" w:hAnsi="Arial" w:cs="Arial"/>
      <w:sz w:val="22"/>
      <w:szCs w:val="20"/>
    </w:rPr>
  </w:style>
  <w:style w:type="paragraph" w:styleId="DocumentMap">
    <w:name w:val="Document Map"/>
    <w:basedOn w:val="Normal"/>
    <w:link w:val="DocumentMapChar"/>
    <w:uiPriority w:val="99"/>
    <w:semiHidden/>
    <w:rsid w:val="003B32F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B32F0"/>
    <w:rPr>
      <w:rFonts w:ascii="Tahoma" w:eastAsia="Times New Roman" w:hAnsi="Tahoma" w:cs="Arial"/>
      <w:sz w:val="22"/>
      <w:szCs w:val="20"/>
      <w:shd w:val="clear" w:color="auto" w:fill="000080"/>
    </w:rPr>
  </w:style>
  <w:style w:type="paragraph" w:styleId="CommentText">
    <w:name w:val="annotation text"/>
    <w:basedOn w:val="Normal"/>
    <w:link w:val="CommentTextChar"/>
    <w:uiPriority w:val="99"/>
    <w:semiHidden/>
    <w:rsid w:val="003B32F0"/>
    <w:rPr>
      <w:sz w:val="20"/>
    </w:rPr>
  </w:style>
  <w:style w:type="character" w:customStyle="1" w:styleId="CommentTextChar">
    <w:name w:val="Comment Text Char"/>
    <w:basedOn w:val="DefaultParagraphFont"/>
    <w:link w:val="CommentText"/>
    <w:uiPriority w:val="99"/>
    <w:semiHidden/>
    <w:rsid w:val="003B32F0"/>
    <w:rPr>
      <w:rFonts w:ascii="Arial" w:eastAsia="Times New Roman" w:hAnsi="Arial" w:cs="Arial"/>
      <w:sz w:val="20"/>
      <w:szCs w:val="20"/>
    </w:rPr>
  </w:style>
  <w:style w:type="paragraph" w:styleId="Title">
    <w:name w:val="Title"/>
    <w:basedOn w:val="Normal"/>
    <w:link w:val="TitleChar"/>
    <w:uiPriority w:val="99"/>
    <w:qFormat/>
    <w:rsid w:val="003B32F0"/>
    <w:pPr>
      <w:jc w:val="center"/>
    </w:pPr>
    <w:rPr>
      <w:b/>
      <w:sz w:val="32"/>
    </w:rPr>
  </w:style>
  <w:style w:type="character" w:customStyle="1" w:styleId="TitleChar">
    <w:name w:val="Title Char"/>
    <w:basedOn w:val="DefaultParagraphFont"/>
    <w:link w:val="Title"/>
    <w:uiPriority w:val="99"/>
    <w:rsid w:val="003B32F0"/>
    <w:rPr>
      <w:rFonts w:ascii="Arial" w:eastAsia="Times New Roman" w:hAnsi="Arial" w:cs="Arial"/>
      <w:b/>
      <w:sz w:val="32"/>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3B32F0"/>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B32F0"/>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3B32F0"/>
    <w:rPr>
      <w:rFonts w:cs="Times New Roman"/>
      <w:vertAlign w:val="superscript"/>
    </w:rPr>
  </w:style>
  <w:style w:type="paragraph" w:styleId="BodyText3">
    <w:name w:val="Body Text 3"/>
    <w:basedOn w:val="Normal"/>
    <w:link w:val="BodyText3Char"/>
    <w:uiPriority w:val="99"/>
    <w:rsid w:val="003B32F0"/>
    <w:pPr>
      <w:suppressAutoHyphens/>
      <w:jc w:val="both"/>
    </w:pPr>
  </w:style>
  <w:style w:type="character" w:customStyle="1" w:styleId="BodyText3Char">
    <w:name w:val="Body Text 3 Char"/>
    <w:basedOn w:val="DefaultParagraphFont"/>
    <w:link w:val="BodyText3"/>
    <w:uiPriority w:val="99"/>
    <w:rsid w:val="003B32F0"/>
    <w:rPr>
      <w:rFonts w:ascii="Arial" w:eastAsia="Times New Roman" w:hAnsi="Arial" w:cs="Arial"/>
      <w:sz w:val="22"/>
      <w:szCs w:val="20"/>
    </w:rPr>
  </w:style>
  <w:style w:type="paragraph" w:styleId="BodyTextIndent3">
    <w:name w:val="Body Text Indent 3"/>
    <w:basedOn w:val="Normal"/>
    <w:link w:val="BodyTextIndent3Char"/>
    <w:uiPriority w:val="99"/>
    <w:rsid w:val="003B32F0"/>
    <w:pPr>
      <w:tabs>
        <w:tab w:val="left" w:pos="-720"/>
        <w:tab w:val="left" w:pos="0"/>
      </w:tabs>
      <w:suppressAutoHyphens/>
      <w:spacing w:before="120"/>
      <w:ind w:left="-14" w:firstLine="14"/>
      <w:jc w:val="both"/>
    </w:pPr>
  </w:style>
  <w:style w:type="character" w:customStyle="1" w:styleId="BodyTextIndent3Char">
    <w:name w:val="Body Text Indent 3 Char"/>
    <w:basedOn w:val="DefaultParagraphFont"/>
    <w:link w:val="BodyTextIndent3"/>
    <w:uiPriority w:val="99"/>
    <w:rsid w:val="003B32F0"/>
    <w:rPr>
      <w:rFonts w:ascii="Arial" w:eastAsia="Times New Roman" w:hAnsi="Arial" w:cs="Arial"/>
      <w:sz w:val="22"/>
      <w:szCs w:val="20"/>
    </w:rPr>
  </w:style>
  <w:style w:type="paragraph" w:styleId="NormalWeb">
    <w:name w:val="Normal (Web)"/>
    <w:basedOn w:val="Normal"/>
    <w:link w:val="NormalWebChar"/>
    <w:uiPriority w:val="99"/>
    <w:rsid w:val="003B32F0"/>
    <w:pPr>
      <w:spacing w:before="100" w:beforeAutospacing="1" w:after="100" w:afterAutospacing="1"/>
    </w:pPr>
  </w:style>
  <w:style w:type="table" w:styleId="TableGrid">
    <w:name w:val="Table Grid"/>
    <w:basedOn w:val="TableNormal"/>
    <w:uiPriority w:val="59"/>
    <w:rsid w:val="003B32F0"/>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3B32F0"/>
    <w:rPr>
      <w:rFonts w:cs="Times New Roman"/>
      <w:color w:val="800080"/>
      <w:u w:val="single"/>
    </w:rPr>
  </w:style>
  <w:style w:type="character" w:styleId="IntenseEmphasis">
    <w:name w:val="Intense Emphasis"/>
    <w:basedOn w:val="DefaultParagraphFont"/>
    <w:uiPriority w:val="99"/>
    <w:qFormat/>
    <w:rsid w:val="003B32F0"/>
    <w:rPr>
      <w:rFonts w:cs="Times New Roman"/>
      <w:b/>
      <w:i/>
      <w:color w:val="4F81BD"/>
    </w:rPr>
  </w:style>
  <w:style w:type="character" w:styleId="Strong">
    <w:name w:val="Strong"/>
    <w:basedOn w:val="DefaultParagraphFont"/>
    <w:uiPriority w:val="99"/>
    <w:qFormat/>
    <w:rsid w:val="003B32F0"/>
    <w:rPr>
      <w:rFonts w:cs="Times New Roman"/>
      <w:b/>
    </w:rPr>
  </w:style>
  <w:style w:type="paragraph" w:customStyle="1" w:styleId="Technical4">
    <w:name w:val="Technical 4"/>
    <w:uiPriority w:val="99"/>
    <w:rsid w:val="003B32F0"/>
    <w:pPr>
      <w:tabs>
        <w:tab w:val="left" w:pos="-720"/>
      </w:tabs>
      <w:suppressAutoHyphens/>
    </w:pPr>
    <w:rPr>
      <w:rFonts w:ascii="Courier New" w:eastAsia="Times New Roman" w:hAnsi="Courier New" w:cs="Times New Roman"/>
      <w:b/>
      <w:szCs w:val="20"/>
    </w:rPr>
  </w:style>
  <w:style w:type="paragraph" w:styleId="ListBullet">
    <w:name w:val="List Bullet"/>
    <w:basedOn w:val="Normal"/>
    <w:autoRedefine/>
    <w:uiPriority w:val="99"/>
    <w:rsid w:val="003B32F0"/>
    <w:pPr>
      <w:keepLines/>
      <w:widowControl w:val="0"/>
      <w:ind w:left="360"/>
    </w:pPr>
    <w:rPr>
      <w:szCs w:val="22"/>
    </w:rPr>
  </w:style>
  <w:style w:type="paragraph" w:styleId="TOCHeading">
    <w:name w:val="TOC Heading"/>
    <w:basedOn w:val="Heading1"/>
    <w:next w:val="Normal"/>
    <w:uiPriority w:val="39"/>
    <w:qFormat/>
    <w:rsid w:val="003B32F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3B32F0"/>
    <w:rPr>
      <w:rFonts w:cs="Times New Roman"/>
    </w:rPr>
  </w:style>
  <w:style w:type="paragraph" w:customStyle="1" w:styleId="StyleHeading2Heading2Char1Heading2CharCharAfter3pt">
    <w:name w:val="Style Heading 2Heading 2 Char1Heading 2 Char Char + After:  3 pt"/>
    <w:basedOn w:val="Heading2"/>
    <w:uiPriority w:val="99"/>
    <w:rsid w:val="003B32F0"/>
    <w:rPr>
      <w:bCs/>
    </w:rPr>
  </w:style>
  <w:style w:type="paragraph" w:customStyle="1" w:styleId="StyleHeading2Heading2Char1Heading2CharCharAfter3pt1">
    <w:name w:val="Style Heading 2Heading 2 Char1Heading 2 Char Char + After:  3 pt1"/>
    <w:basedOn w:val="Heading2"/>
    <w:uiPriority w:val="99"/>
    <w:rsid w:val="003B32F0"/>
    <w:rPr>
      <w:bCs/>
    </w:rPr>
  </w:style>
  <w:style w:type="paragraph" w:styleId="ListParagraph">
    <w:name w:val="List Paragraph"/>
    <w:basedOn w:val="Normal"/>
    <w:uiPriority w:val="34"/>
    <w:qFormat/>
    <w:rsid w:val="003B32F0"/>
    <w:pPr>
      <w:ind w:left="720"/>
    </w:pPr>
  </w:style>
  <w:style w:type="paragraph" w:styleId="CommentSubject">
    <w:name w:val="annotation subject"/>
    <w:basedOn w:val="CommentText"/>
    <w:next w:val="CommentText"/>
    <w:link w:val="CommentSubjectChar"/>
    <w:uiPriority w:val="99"/>
    <w:semiHidden/>
    <w:rsid w:val="003B32F0"/>
    <w:rPr>
      <w:b/>
      <w:bCs/>
    </w:rPr>
  </w:style>
  <w:style w:type="character" w:customStyle="1" w:styleId="CommentSubjectChar">
    <w:name w:val="Comment Subject Char"/>
    <w:basedOn w:val="CommentTextChar"/>
    <w:link w:val="CommentSubject"/>
    <w:uiPriority w:val="99"/>
    <w:semiHidden/>
    <w:rsid w:val="003B32F0"/>
    <w:rPr>
      <w:rFonts w:ascii="Arial" w:eastAsia="Times New Roman" w:hAnsi="Arial" w:cs="Arial"/>
      <w:b/>
      <w:bCs/>
      <w:sz w:val="20"/>
      <w:szCs w:val="20"/>
    </w:rPr>
  </w:style>
  <w:style w:type="paragraph" w:customStyle="1" w:styleId="BulletedList">
    <w:name w:val="Bulleted List"/>
    <w:basedOn w:val="Normal"/>
    <w:uiPriority w:val="99"/>
    <w:rsid w:val="003B32F0"/>
    <w:pPr>
      <w:tabs>
        <w:tab w:val="left" w:pos="288"/>
      </w:tabs>
      <w:ind w:left="1008" w:hanging="360"/>
    </w:pPr>
  </w:style>
  <w:style w:type="paragraph" w:customStyle="1" w:styleId="Default">
    <w:name w:val="Default"/>
    <w:uiPriority w:val="99"/>
    <w:rsid w:val="003B32F0"/>
    <w:pPr>
      <w:autoSpaceDE w:val="0"/>
      <w:autoSpaceDN w:val="0"/>
      <w:adjustRightInd w:val="0"/>
    </w:pPr>
    <w:rPr>
      <w:rFonts w:ascii="Arial" w:eastAsia="Times New Roman" w:hAnsi="Arial" w:cs="Arial"/>
      <w:color w:val="000000"/>
    </w:rPr>
  </w:style>
  <w:style w:type="paragraph" w:styleId="Subtitle">
    <w:name w:val="Subtitle"/>
    <w:basedOn w:val="Normal"/>
    <w:next w:val="Normal"/>
    <w:link w:val="SubtitleChar"/>
    <w:uiPriority w:val="99"/>
    <w:qFormat/>
    <w:rsid w:val="003B32F0"/>
    <w:pPr>
      <w:autoSpaceDE w:val="0"/>
      <w:autoSpaceDN w:val="0"/>
      <w:adjustRightInd w:val="0"/>
    </w:pPr>
  </w:style>
  <w:style w:type="character" w:customStyle="1" w:styleId="SubtitleChar">
    <w:name w:val="Subtitle Char"/>
    <w:basedOn w:val="DefaultParagraphFont"/>
    <w:link w:val="Subtitle"/>
    <w:uiPriority w:val="99"/>
    <w:rsid w:val="003B32F0"/>
    <w:rPr>
      <w:rFonts w:ascii="Arial" w:eastAsia="Times New Roman" w:hAnsi="Arial" w:cs="Arial"/>
      <w:sz w:val="22"/>
      <w:szCs w:val="20"/>
    </w:rPr>
  </w:style>
  <w:style w:type="paragraph" w:customStyle="1" w:styleId="CECDelNumber">
    <w:name w:val="CEC Del. Number"/>
    <w:basedOn w:val="Normal"/>
    <w:autoRedefine/>
    <w:uiPriority w:val="99"/>
    <w:rsid w:val="003B32F0"/>
    <w:pPr>
      <w:widowControl w:val="0"/>
      <w:tabs>
        <w:tab w:val="left" w:pos="720"/>
      </w:tabs>
      <w:suppressAutoHyphens/>
      <w:ind w:left="360"/>
      <w:jc w:val="both"/>
    </w:pPr>
    <w:rPr>
      <w:szCs w:val="22"/>
    </w:rPr>
  </w:style>
  <w:style w:type="paragraph" w:customStyle="1" w:styleId="Attachment">
    <w:name w:val="Attachment"/>
    <w:basedOn w:val="Normal"/>
    <w:uiPriority w:val="99"/>
    <w:rsid w:val="003B32F0"/>
    <w:pPr>
      <w:jc w:val="center"/>
      <w:outlineLvl w:val="0"/>
    </w:pPr>
    <w:rPr>
      <w:b/>
      <w:sz w:val="32"/>
      <w:szCs w:val="32"/>
    </w:rPr>
  </w:style>
  <w:style w:type="paragraph" w:customStyle="1" w:styleId="1AutoList1">
    <w:name w:val="1AutoList1"/>
    <w:uiPriority w:val="99"/>
    <w:rsid w:val="003B32F0"/>
    <w:pPr>
      <w:widowControl w:val="0"/>
      <w:tabs>
        <w:tab w:val="left" w:pos="720"/>
      </w:tabs>
      <w:ind w:left="720" w:hanging="720"/>
      <w:jc w:val="both"/>
    </w:pPr>
    <w:rPr>
      <w:rFonts w:ascii="CG Times" w:eastAsia="Times New Roman" w:hAnsi="CG Times" w:cs="Times New Roman"/>
      <w:szCs w:val="20"/>
    </w:rPr>
  </w:style>
  <w:style w:type="character" w:customStyle="1" w:styleId="NormalWebChar">
    <w:name w:val="Normal (Web) Char"/>
    <w:link w:val="NormalWeb"/>
    <w:uiPriority w:val="99"/>
    <w:locked/>
    <w:rsid w:val="003B32F0"/>
    <w:rPr>
      <w:rFonts w:ascii="Arial" w:eastAsia="Times New Roman" w:hAnsi="Arial" w:cs="Arial"/>
      <w:sz w:val="22"/>
      <w:szCs w:val="20"/>
    </w:rPr>
  </w:style>
  <w:style w:type="paragraph" w:styleId="Closing">
    <w:name w:val="Closing"/>
    <w:basedOn w:val="Normal"/>
    <w:link w:val="ClosingChar"/>
    <w:uiPriority w:val="99"/>
    <w:rsid w:val="003B32F0"/>
    <w:pPr>
      <w:keepLines/>
      <w:ind w:left="4320"/>
    </w:pPr>
    <w:rPr>
      <w:sz w:val="20"/>
    </w:rPr>
  </w:style>
  <w:style w:type="character" w:customStyle="1" w:styleId="ClosingChar">
    <w:name w:val="Closing Char"/>
    <w:basedOn w:val="DefaultParagraphFont"/>
    <w:link w:val="Closing"/>
    <w:uiPriority w:val="99"/>
    <w:rsid w:val="003B32F0"/>
    <w:rPr>
      <w:rFonts w:ascii="Arial" w:eastAsia="Times New Roman" w:hAnsi="Arial" w:cs="Arial"/>
      <w:sz w:val="20"/>
      <w:szCs w:val="20"/>
    </w:rPr>
  </w:style>
  <w:style w:type="paragraph" w:styleId="ListBullet2">
    <w:name w:val="List Bullet 2"/>
    <w:basedOn w:val="Normal"/>
    <w:uiPriority w:val="99"/>
    <w:semiHidden/>
    <w:rsid w:val="003B32F0"/>
    <w:pPr>
      <w:keepLines/>
      <w:numPr>
        <w:numId w:val="6"/>
      </w:numPr>
      <w:tabs>
        <w:tab w:val="num" w:pos="720"/>
      </w:tabs>
      <w:contextualSpacing/>
    </w:pPr>
    <w:rPr>
      <w:szCs w:val="22"/>
    </w:rPr>
  </w:style>
  <w:style w:type="paragraph" w:styleId="Revision">
    <w:name w:val="Revision"/>
    <w:hidden/>
    <w:uiPriority w:val="99"/>
    <w:semiHidden/>
    <w:rsid w:val="003B32F0"/>
    <w:rPr>
      <w:rFonts w:ascii="Arial" w:eastAsia="Times New Roman" w:hAnsi="Arial" w:cs="Arial"/>
      <w:sz w:val="22"/>
      <w:szCs w:val="20"/>
    </w:rPr>
  </w:style>
  <w:style w:type="character" w:customStyle="1" w:styleId="answerbagvibrant">
    <w:name w:val="answerbag_vibrant"/>
    <w:basedOn w:val="DefaultParagraphFont"/>
    <w:uiPriority w:val="99"/>
    <w:rsid w:val="003B32F0"/>
    <w:rPr>
      <w:rFonts w:cs="Times New Roman"/>
    </w:rPr>
  </w:style>
  <w:style w:type="character" w:customStyle="1" w:styleId="Style10pt">
    <w:name w:val="Style 10 pt"/>
    <w:basedOn w:val="DefaultParagraphFont"/>
    <w:uiPriority w:val="99"/>
    <w:rsid w:val="003B32F0"/>
    <w:rPr>
      <w:rFonts w:ascii="Arial" w:hAnsi="Arial" w:cs="Times New Roman"/>
      <w:sz w:val="22"/>
    </w:rPr>
  </w:style>
  <w:style w:type="numbering" w:customStyle="1" w:styleId="StyleNumbered11ptLeft025Hanging05">
    <w:name w:val="Style Numbered 11 pt Left:  0.25&quot; Hanging:  0.5&quot;"/>
    <w:rsid w:val="003B32F0"/>
    <w:pPr>
      <w:numPr>
        <w:numId w:val="2"/>
      </w:numPr>
    </w:pPr>
  </w:style>
  <w:style w:type="numbering" w:customStyle="1" w:styleId="RFP2">
    <w:name w:val="RFP2"/>
    <w:rsid w:val="003B32F0"/>
    <w:pPr>
      <w:numPr>
        <w:numId w:val="5"/>
      </w:numPr>
    </w:pPr>
  </w:style>
  <w:style w:type="numbering" w:customStyle="1" w:styleId="RFP">
    <w:name w:val="RFP"/>
    <w:rsid w:val="003B32F0"/>
    <w:pPr>
      <w:numPr>
        <w:numId w:val="4"/>
      </w:numPr>
    </w:pPr>
  </w:style>
  <w:style w:type="numbering" w:customStyle="1" w:styleId="StyleNumberedLeft25Hanging075">
    <w:name w:val="Style Numbered Left: .25&quot; Hanging:  0.75&quot;"/>
    <w:rsid w:val="003B32F0"/>
    <w:pPr>
      <w:numPr>
        <w:numId w:val="3"/>
      </w:numPr>
    </w:pPr>
  </w:style>
  <w:style w:type="paragraph" w:customStyle="1" w:styleId="0PIERNormal">
    <w:name w:val="0  PIER Normal"/>
    <w:link w:val="0PIERNormalChar"/>
    <w:qFormat/>
    <w:rsid w:val="003B32F0"/>
    <w:pPr>
      <w:spacing w:after="160" w:line="280" w:lineRule="atLeast"/>
    </w:pPr>
    <w:rPr>
      <w:rFonts w:ascii="Palatino Linotype" w:eastAsia="Times New Roman" w:hAnsi="Palatino Linotype" w:cs="Times New Roman"/>
      <w:color w:val="000000"/>
      <w:sz w:val="22"/>
      <w:szCs w:val="20"/>
    </w:rPr>
  </w:style>
  <w:style w:type="character" w:customStyle="1" w:styleId="0PIERNormalChar">
    <w:name w:val="0  PIER Normal Char"/>
    <w:basedOn w:val="DefaultParagraphFont"/>
    <w:link w:val="0PIERNormal"/>
    <w:locked/>
    <w:rsid w:val="003B32F0"/>
    <w:rPr>
      <w:rFonts w:ascii="Palatino Linotype" w:eastAsia="Times New Roman" w:hAnsi="Palatino Linotype" w:cs="Times New Roman"/>
      <w:color w:val="000000"/>
      <w:sz w:val="22"/>
      <w:szCs w:val="20"/>
    </w:rPr>
  </w:style>
  <w:style w:type="paragraph" w:customStyle="1" w:styleId="HeadingNew1">
    <w:name w:val="Heading_New1"/>
    <w:basedOn w:val="Normal"/>
    <w:link w:val="HeadingNew1Char"/>
    <w:qFormat/>
    <w:rsid w:val="003B32F0"/>
    <w:pPr>
      <w:numPr>
        <w:numId w:val="25"/>
      </w:numPr>
      <w:jc w:val="both"/>
    </w:pPr>
    <w:rPr>
      <w:b/>
      <w:szCs w:val="22"/>
    </w:rPr>
  </w:style>
  <w:style w:type="character" w:customStyle="1" w:styleId="HeadingNew1Char">
    <w:name w:val="Heading_New1 Char"/>
    <w:basedOn w:val="DefaultParagraphFont"/>
    <w:link w:val="HeadingNew1"/>
    <w:rsid w:val="003B32F0"/>
    <w:rPr>
      <w:rFonts w:ascii="Arial" w:eastAsia="Times New Roman" w:hAnsi="Arial" w:cs="Arial"/>
      <w:b/>
      <w:sz w:val="22"/>
      <w:szCs w:val="22"/>
    </w:rPr>
  </w:style>
  <w:style w:type="paragraph" w:customStyle="1" w:styleId="FillIn">
    <w:name w:val="Fill In"/>
    <w:basedOn w:val="Normal"/>
    <w:rsid w:val="003B32F0"/>
    <w:pPr>
      <w:overflowPunct w:val="0"/>
      <w:autoSpaceDE w:val="0"/>
      <w:autoSpaceDN w:val="0"/>
      <w:adjustRightInd w:val="0"/>
      <w:spacing w:line="240" w:lineRule="exact"/>
      <w:textAlignment w:val="baseline"/>
    </w:pPr>
    <w:rPr>
      <w:color w:val="000000"/>
      <w:sz w:val="20"/>
    </w:rPr>
  </w:style>
  <w:style w:type="character" w:customStyle="1" w:styleId="apple-converted-space">
    <w:name w:val="apple-converted-space"/>
    <w:basedOn w:val="DefaultParagraphFont"/>
    <w:rsid w:val="003B32F0"/>
  </w:style>
  <w:style w:type="paragraph" w:styleId="HTMLPreformatted">
    <w:name w:val="HTML Preformatted"/>
    <w:basedOn w:val="Normal"/>
    <w:link w:val="HTMLPreformattedChar"/>
    <w:rsid w:val="003B3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B32F0"/>
    <w:rPr>
      <w:rFonts w:ascii="Courier New" w:eastAsia="Times New Roman" w:hAnsi="Courier New" w:cs="Courier New"/>
      <w:sz w:val="20"/>
      <w:szCs w:val="20"/>
    </w:rPr>
  </w:style>
  <w:style w:type="table" w:customStyle="1" w:styleId="TableGrid1">
    <w:name w:val="Table Grid1"/>
    <w:basedOn w:val="TableNormal"/>
    <w:next w:val="TableGrid"/>
    <w:uiPriority w:val="59"/>
    <w:rsid w:val="003B32F0"/>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B32F0"/>
    <w:rPr>
      <w:rFonts w:ascii="Arial" w:eastAsia="Times New Roman" w:hAnsi="Arial" w:cs="Arial"/>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3B32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3B32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3B32F0"/>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3B32F0"/>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rsid w:val="003B32F0"/>
    <w:rPr>
      <w:sz w:val="20"/>
    </w:rPr>
  </w:style>
  <w:style w:type="character" w:customStyle="1" w:styleId="EndnoteTextChar">
    <w:name w:val="Endnote Text Char"/>
    <w:basedOn w:val="DefaultParagraphFont"/>
    <w:link w:val="EndnoteText"/>
    <w:uiPriority w:val="99"/>
    <w:semiHidden/>
    <w:rsid w:val="003B32F0"/>
    <w:rPr>
      <w:rFonts w:ascii="Arial" w:eastAsia="Times New Roman" w:hAnsi="Arial" w:cs="Arial"/>
      <w:sz w:val="20"/>
      <w:szCs w:val="20"/>
    </w:rPr>
  </w:style>
  <w:style w:type="character" w:styleId="EndnoteReference">
    <w:name w:val="endnote reference"/>
    <w:basedOn w:val="DefaultParagraphFont"/>
    <w:uiPriority w:val="99"/>
    <w:semiHidden/>
    <w:unhideWhenUsed/>
    <w:rsid w:val="003B32F0"/>
    <w:rPr>
      <w:vertAlign w:val="superscript"/>
    </w:rPr>
  </w:style>
  <w:style w:type="table" w:customStyle="1" w:styleId="ListTable33">
    <w:name w:val="List Table 33"/>
    <w:basedOn w:val="TableNormal"/>
    <w:next w:val="ListTable3"/>
    <w:uiPriority w:val="48"/>
    <w:rsid w:val="003B32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3B32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3B32F0"/>
    <w:pPr>
      <w:spacing w:before="100" w:beforeAutospacing="1" w:after="100" w:afterAutospacing="1"/>
    </w:pPr>
  </w:style>
  <w:style w:type="character" w:customStyle="1" w:styleId="normaltextrun">
    <w:name w:val="normaltextrun"/>
    <w:basedOn w:val="DefaultParagraphFont"/>
    <w:rsid w:val="003B32F0"/>
  </w:style>
  <w:style w:type="character" w:customStyle="1" w:styleId="eop">
    <w:name w:val="eop"/>
    <w:basedOn w:val="DefaultParagraphFont"/>
    <w:rsid w:val="003B32F0"/>
  </w:style>
  <w:style w:type="character" w:customStyle="1" w:styleId="superscript">
    <w:name w:val="superscript"/>
    <w:basedOn w:val="DefaultParagraphFont"/>
    <w:rsid w:val="003B32F0"/>
  </w:style>
  <w:style w:type="character" w:customStyle="1" w:styleId="spellingerror">
    <w:name w:val="spellingerror"/>
    <w:basedOn w:val="DefaultParagraphFont"/>
    <w:rsid w:val="003B32F0"/>
  </w:style>
  <w:style w:type="paragraph" w:styleId="NoSpacing">
    <w:name w:val="No Spacing"/>
    <w:uiPriority w:val="1"/>
    <w:qFormat/>
    <w:rsid w:val="003B32F0"/>
    <w:rPr>
      <w:rFonts w:ascii="Arial" w:eastAsia="Times New Roman" w:hAnsi="Arial" w:cs="Arial"/>
      <w:sz w:val="22"/>
      <w:szCs w:val="20"/>
    </w:rPr>
  </w:style>
  <w:style w:type="character" w:styleId="UnresolvedMention">
    <w:name w:val="Unresolved Mention"/>
    <w:basedOn w:val="DefaultParagraphFont"/>
    <w:uiPriority w:val="99"/>
    <w:unhideWhenUsed/>
    <w:rsid w:val="003B32F0"/>
    <w:rPr>
      <w:color w:val="605E5C"/>
      <w:shd w:val="clear" w:color="auto" w:fill="E1DFDD"/>
    </w:rPr>
  </w:style>
  <w:style w:type="character" w:customStyle="1" w:styleId="tabchar">
    <w:name w:val="tabchar"/>
    <w:basedOn w:val="DefaultParagraphFont"/>
    <w:rsid w:val="003B32F0"/>
  </w:style>
  <w:style w:type="character" w:styleId="Mention">
    <w:name w:val="Mention"/>
    <w:basedOn w:val="DefaultParagraphFont"/>
    <w:uiPriority w:val="99"/>
    <w:unhideWhenUsed/>
    <w:rsid w:val="003B32F0"/>
    <w:rPr>
      <w:color w:val="2B579A"/>
      <w:shd w:val="clear" w:color="auto" w:fill="E6E6E6"/>
    </w:rPr>
  </w:style>
  <w:style w:type="paragraph" w:customStyle="1" w:styleId="xmsolistparagraph">
    <w:name w:val="x_msolistparagraph"/>
    <w:basedOn w:val="Normal"/>
    <w:rsid w:val="003B32F0"/>
    <w:pPr>
      <w:ind w:left="7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580662">
      <w:bodyDiv w:val="1"/>
      <w:marLeft w:val="0"/>
      <w:marRight w:val="0"/>
      <w:marTop w:val="0"/>
      <w:marBottom w:val="0"/>
      <w:divBdr>
        <w:top w:val="none" w:sz="0" w:space="0" w:color="auto"/>
        <w:left w:val="none" w:sz="0" w:space="0" w:color="auto"/>
        <w:bottom w:val="none" w:sz="0" w:space="0" w:color="auto"/>
        <w:right w:val="none" w:sz="0" w:space="0" w:color="auto"/>
      </w:divBdr>
    </w:div>
    <w:div w:id="19510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nergy.ca.gov/research/contractors.html" TargetMode="External"/><Relationship Id="rId26" Type="http://schemas.openxmlformats.org/officeDocument/2006/relationships/hyperlink" Target="https://www.gov.ca.gov/wp-content/uploads/2019/09/9.20.19-Climate-EO-N-19-19.pdf" TargetMode="External"/><Relationship Id="rId39" Type="http://schemas.openxmlformats.org/officeDocument/2006/relationships/hyperlink" Target="https://efiling.energy.ca.gov/GetDocument.aspx?tn=230888" TargetMode="External"/><Relationship Id="rId21" Type="http://schemas.openxmlformats.org/officeDocument/2006/relationships/hyperlink" Target="http://www.leginfo.ca.gov/pub/15-16/bill/sen/sb_0001-0050/sb_32_bill_20160908_chaptered.htm" TargetMode="External"/><Relationship Id="rId34" Type="http://schemas.openxmlformats.org/officeDocument/2006/relationships/hyperlink" Target="https://www.energy.ca.gov/news/2021-03/california-releases-report-charting-path-100-percent-clean-electricity" TargetMode="External"/><Relationship Id="rId42" Type="http://schemas.openxmlformats.org/officeDocument/2006/relationships/hyperlink" Target="http://www.caiso.com/Documents/Final-Root-Cause-Analysis-Mid-August-2020-Extreme-Heat-Wave.pdf" TargetMode="External"/><Relationship Id="rId47" Type="http://schemas.openxmlformats.org/officeDocument/2006/relationships/hyperlink" Target="https://esd.dof.ca.gov/Documents/bcp/2021/FY2021_ORG0650_BCP3734.pdf"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2.lbl.gov/dir/assets/docs/TRL%20guide.pdf" TargetMode="External"/><Relationship Id="rId29" Type="http://schemas.openxmlformats.org/officeDocument/2006/relationships/hyperlink" Target="https://www.agu.org/Share-and-Advocate/Share/Policymakers/Position-Statements/Position_Data" TargetMode="External"/><Relationship Id="rId11" Type="http://schemas.openxmlformats.org/officeDocument/2006/relationships/footer" Target="footer1.xml"/><Relationship Id="rId24" Type="http://schemas.openxmlformats.org/officeDocument/2006/relationships/hyperlink" Target="http://docs.cpuc.ca.gov/PublishedDocs/Published/G000/M319/K075/319075453.PDF" TargetMode="External"/><Relationship Id="rId32" Type="http://schemas.openxmlformats.org/officeDocument/2006/relationships/hyperlink" Target="https://www.worldcat.org/search?q=au%3ACalifornia+Energy+Committee.+Technology+Evaluation+Office.+Intergovernmental+Relations+Committee.&amp;qt=hot_author" TargetMode="External"/><Relationship Id="rId37" Type="http://schemas.openxmlformats.org/officeDocument/2006/relationships/hyperlink" Target="https://efiling.energy.ca.gov/Lists/DocketLog.aspx?docketnumber=19-ERDD-01" TargetMode="External"/><Relationship Id="rId40" Type="http://schemas.openxmlformats.org/officeDocument/2006/relationships/hyperlink" Target="https://efiling.energy.ca.gov/Lists/DocketLog.aspx?docketnumber=19-ERDD-01" TargetMode="External"/><Relationship Id="rId45" Type="http://schemas.openxmlformats.org/officeDocument/2006/relationships/hyperlink" Target="https://www.energy.ca.gov/filebrowser/download/2855" TargetMode="External"/><Relationship Id="rId5" Type="http://schemas.openxmlformats.org/officeDocument/2006/relationships/styles" Target="styles.xml"/><Relationship Id="rId15" Type="http://schemas.openxmlformats.org/officeDocument/2006/relationships/hyperlink" Target="http://www.empowerinnovation.net/" TargetMode="External"/><Relationship Id="rId23" Type="http://schemas.openxmlformats.org/officeDocument/2006/relationships/hyperlink" Target="http://www.energy.ca.gov/energypolicy" TargetMode="External"/><Relationship Id="rId28" Type="http://schemas.openxmlformats.org/officeDocument/2006/relationships/hyperlink" Target="https://efiling.energy.ca.gov/EFiling/GetFile.aspx?tn=237167&amp;DocumentContentId=70349" TargetMode="External"/><Relationship Id="rId36" Type="http://schemas.openxmlformats.org/officeDocument/2006/relationships/hyperlink" Target="https://ww2.energy.ca.gov/research/notices/" TargetMode="External"/><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leginfo.legislature.ca.gov/faces/billNavClient.xhtml?bill_id=200520060AB32" TargetMode="External"/><Relationship Id="rId31" Type="http://schemas.openxmlformats.org/officeDocument/2006/relationships/hyperlink" Target="https://efiling.energy.ca.gov/GetDocument.aspx?tn=232882&amp;DocumentContentId=65318" TargetMode="External"/><Relationship Id="rId44" Type="http://schemas.openxmlformats.org/officeDocument/2006/relationships/hyperlink" Target="https://www.eia.gov/todayinenergy/detail.php?id=453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leginfo.legislature.ca.gov/faces/billTextClient.xhtml?bill_id=201720180SB100" TargetMode="External"/><Relationship Id="rId27" Type="http://schemas.openxmlformats.org/officeDocument/2006/relationships/hyperlink" Target="https://cawaterlibrary.net/wp-content/uploads/2017/10/CAT_research_plan_2015.pdf" TargetMode="External"/><Relationship Id="rId30" Type="http://schemas.openxmlformats.org/officeDocument/2006/relationships/hyperlink" Target="https://www.mckinsey.com/~/media/McKinsey/Business%20Functions/Organization/Our%20Insights/Reimagining%20the%20office%20and%20work%20life%20after%20COVID%2019/Reimagining-the-office-and-work-life-after-COVID-19-final.pdf" TargetMode="External"/><Relationship Id="rId35" Type="http://schemas.openxmlformats.org/officeDocument/2006/relationships/hyperlink" Target="https://efiling.energy.ca.gov/GetDocument.aspx?tn=230888" TargetMode="External"/><Relationship Id="rId43" Type="http://schemas.openxmlformats.org/officeDocument/2006/relationships/hyperlink" Target="https://www.eia.gov/outlooks/aeo/pdf/AEO_Narrative_2021.pdf" TargetMode="External"/><Relationship Id="rId48" Type="http://schemas.openxmlformats.org/officeDocument/2006/relationships/hyperlink" Target="https://doi.org/10.1016/j.apenergy.2018.12.079"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energy.zoom.us/j/91698621267?pwd=Vk1LRFZIbWxFcUNyUVR4dzBOdHVGQT09" TargetMode="External"/><Relationship Id="rId25" Type="http://schemas.openxmlformats.org/officeDocument/2006/relationships/hyperlink" Target="https://www.ca.gov/archive/gov39/2015/04/29/news18938/index.html" TargetMode="External"/><Relationship Id="rId33" Type="http://schemas.openxmlformats.org/officeDocument/2006/relationships/hyperlink" Target="https://cepsym.org/documents/Impacts-Global-Warming-CEC-June-1989.pdf" TargetMode="External"/><Relationship Id="rId38" Type="http://schemas.openxmlformats.org/officeDocument/2006/relationships/hyperlink" Target="https://efiling.energy.ca.gov/Lists/DocketLog.aspx?docketnumber=19-ERDD-01" TargetMode="External"/><Relationship Id="rId46" Type="http://schemas.openxmlformats.org/officeDocument/2006/relationships/hyperlink" Target="https://www.energy.ca.gov/filebrowser/download/2856" TargetMode="External"/><Relationship Id="rId20" Type="http://schemas.openxmlformats.org/officeDocument/2006/relationships/hyperlink" Target="https://ww3.arb.ca.gov/cc/scopingplan/scopingplan.htm" TargetMode="External"/><Relationship Id="rId41" Type="http://schemas.openxmlformats.org/officeDocument/2006/relationships/hyperlink" Target="https://efiling.energy.ca.gov/Lists/DocketLog.aspx?docketnumber=19-ERDD-01"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ca.gov/filebrowser/download/2855" TargetMode="External"/><Relationship Id="rId2" Type="http://schemas.openxmlformats.org/officeDocument/2006/relationships/hyperlink" Target="https://www.energy.ca.gov/filebrowser/download/2856" TargetMode="External"/><Relationship Id="rId1" Type="http://schemas.openxmlformats.org/officeDocument/2006/relationships/hyperlink" Target="https://www.energy.ca.gov/filebrowser/download/2855" TargetMode="External"/><Relationship Id="rId4" Type="http://schemas.openxmlformats.org/officeDocument/2006/relationships/hyperlink" Target="https://www.energy.ca.gov/filebrowser/download/2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9" ma:contentTypeDescription="Create a new document." ma:contentTypeScope="" ma:versionID="106cde7d063811188d14965e36666954">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759116f53910a0d64bdfbc9aaa88806a"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29F23-94B3-48D7-B673-8A9A453FC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7CFC6-CDE9-4044-AAED-63AD138116FB}">
  <ds:schemaRefs>
    <ds:schemaRef ds:uri="http://schemas.microsoft.com/sharepoint/v3/contenttype/forms"/>
  </ds:schemaRefs>
</ds:datastoreItem>
</file>

<file path=customXml/itemProps3.xml><?xml version="1.0" encoding="utf-8"?>
<ds:datastoreItem xmlns:ds="http://schemas.openxmlformats.org/officeDocument/2006/customXml" ds:itemID="{4B65D078-BF3D-4B9E-938B-70326153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18084</Words>
  <Characters>103081</Characters>
  <Application>Microsoft Office Word</Application>
  <DocSecurity>0</DocSecurity>
  <Lines>859</Lines>
  <Paragraphs>241</Paragraphs>
  <ScaleCrop>false</ScaleCrop>
  <Company/>
  <LinksUpToDate>false</LinksUpToDate>
  <CharactersWithSpaces>120924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Kovalick, Alexandra@Energy</dc:creator>
  <cp:keywords/>
  <dc:description/>
  <cp:lastModifiedBy>Kovalick, Alexandra@Energy</cp:lastModifiedBy>
  <cp:revision>13</cp:revision>
  <dcterms:created xsi:type="dcterms:W3CDTF">2021-10-11T19:13:00Z</dcterms:created>
  <dcterms:modified xsi:type="dcterms:W3CDTF">2021-10-19T17:02:00Z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ies>
</file>