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0076" w14:textId="77777777" w:rsidR="0020790B" w:rsidRPr="000062D2" w:rsidRDefault="0020790B" w:rsidP="0038142A">
      <w:pPr>
        <w:pStyle w:val="NoSpacing"/>
        <w:jc w:val="center"/>
        <w:rPr>
          <w:rFonts w:ascii="Arial" w:hAnsi="Arial" w:cs="Arial"/>
          <w:color w:val="000000" w:themeColor="text1"/>
          <w:sz w:val="28"/>
          <w:szCs w:val="28"/>
        </w:rPr>
      </w:pPr>
      <w:r w:rsidRPr="000062D2">
        <w:rPr>
          <w:rStyle w:val="normaltextrun"/>
          <w:rFonts w:ascii="Arial" w:hAnsi="Arial" w:cs="Arial"/>
          <w:b/>
          <w:bCs/>
          <w:color w:val="000000" w:themeColor="text1"/>
          <w:sz w:val="28"/>
          <w:szCs w:val="28"/>
        </w:rPr>
        <w:t>Questions and Answers</w:t>
      </w:r>
    </w:p>
    <w:p w14:paraId="698B6410" w14:textId="74F5406A" w:rsidR="0020790B" w:rsidRPr="000062D2" w:rsidRDefault="00A32615" w:rsidP="0038142A">
      <w:pPr>
        <w:pStyle w:val="NoSpacing"/>
        <w:jc w:val="center"/>
        <w:rPr>
          <w:rStyle w:val="normaltextrun"/>
          <w:rFonts w:ascii="Arial" w:hAnsi="Arial" w:cs="Arial"/>
          <w:b/>
          <w:bCs/>
          <w:color w:val="000000" w:themeColor="text1"/>
          <w:sz w:val="28"/>
          <w:szCs w:val="28"/>
        </w:rPr>
      </w:pPr>
      <w:r w:rsidRPr="000062D2">
        <w:rPr>
          <w:rStyle w:val="normaltextrun"/>
          <w:rFonts w:ascii="Arial" w:hAnsi="Arial" w:cs="Arial"/>
          <w:b/>
          <w:bCs/>
          <w:color w:val="000000" w:themeColor="text1"/>
          <w:sz w:val="28"/>
          <w:szCs w:val="28"/>
        </w:rPr>
        <w:t>Technical Support to SB100 Modeling</w:t>
      </w:r>
    </w:p>
    <w:p w14:paraId="238AB8AB" w14:textId="1924F865" w:rsidR="0020790B" w:rsidRPr="000062D2" w:rsidRDefault="0020790B" w:rsidP="0038142A">
      <w:pPr>
        <w:pStyle w:val="NoSpacing"/>
        <w:jc w:val="center"/>
        <w:rPr>
          <w:rFonts w:ascii="Arial" w:hAnsi="Arial" w:cs="Arial"/>
          <w:color w:val="000000" w:themeColor="text1"/>
          <w:sz w:val="28"/>
          <w:szCs w:val="28"/>
        </w:rPr>
      </w:pPr>
      <w:r w:rsidRPr="000062D2">
        <w:rPr>
          <w:rStyle w:val="normaltextrun"/>
          <w:rFonts w:ascii="Arial" w:hAnsi="Arial" w:cs="Arial"/>
          <w:b/>
          <w:bCs/>
          <w:color w:val="000000" w:themeColor="text1"/>
          <w:sz w:val="28"/>
          <w:szCs w:val="28"/>
        </w:rPr>
        <w:t>RFP-21-</w:t>
      </w:r>
      <w:r w:rsidR="00A32615" w:rsidRPr="000062D2">
        <w:rPr>
          <w:rStyle w:val="normaltextrun"/>
          <w:rFonts w:ascii="Arial" w:hAnsi="Arial" w:cs="Arial"/>
          <w:b/>
          <w:bCs/>
          <w:color w:val="000000" w:themeColor="text1"/>
          <w:sz w:val="28"/>
          <w:szCs w:val="28"/>
        </w:rPr>
        <w:t>801</w:t>
      </w:r>
    </w:p>
    <w:p w14:paraId="1BDB3F75" w14:textId="77777777" w:rsidR="0020790B" w:rsidRPr="00A47FC7" w:rsidRDefault="0020790B" w:rsidP="0038142A">
      <w:pPr>
        <w:pStyle w:val="NoSpacing"/>
        <w:jc w:val="center"/>
        <w:rPr>
          <w:rFonts w:ascii="Arial" w:hAnsi="Arial" w:cs="Arial"/>
          <w:color w:val="000000" w:themeColor="text1"/>
          <w:sz w:val="24"/>
          <w:szCs w:val="24"/>
        </w:rPr>
      </w:pPr>
    </w:p>
    <w:p w14:paraId="451E1BFC" w14:textId="05083E57" w:rsidR="0020790B" w:rsidRPr="00A47FC7" w:rsidRDefault="00A32615" w:rsidP="0038142A">
      <w:pPr>
        <w:pStyle w:val="NoSpacing"/>
        <w:jc w:val="center"/>
        <w:rPr>
          <w:rFonts w:ascii="Arial" w:hAnsi="Arial" w:cs="Arial"/>
          <w:color w:val="000000" w:themeColor="text1"/>
          <w:sz w:val="24"/>
          <w:szCs w:val="24"/>
        </w:rPr>
      </w:pPr>
      <w:r w:rsidRPr="00A47FC7">
        <w:rPr>
          <w:rStyle w:val="normaltextrun"/>
          <w:rFonts w:ascii="Arial" w:hAnsi="Arial" w:cs="Arial"/>
          <w:b/>
          <w:bCs/>
          <w:color w:val="000000" w:themeColor="text1"/>
          <w:sz w:val="24"/>
          <w:szCs w:val="24"/>
        </w:rPr>
        <w:t>March</w:t>
      </w:r>
      <w:r w:rsidR="6781D536" w:rsidRPr="00A47FC7">
        <w:rPr>
          <w:rStyle w:val="normaltextrun"/>
          <w:rFonts w:ascii="Arial" w:hAnsi="Arial" w:cs="Arial"/>
          <w:b/>
          <w:bCs/>
          <w:color w:val="000000" w:themeColor="text1"/>
          <w:sz w:val="24"/>
          <w:szCs w:val="24"/>
        </w:rPr>
        <w:t xml:space="preserve"> </w:t>
      </w:r>
      <w:r w:rsidRPr="00A47FC7">
        <w:rPr>
          <w:rStyle w:val="normaltextrun"/>
          <w:rFonts w:ascii="Arial" w:hAnsi="Arial" w:cs="Arial"/>
          <w:b/>
          <w:bCs/>
          <w:color w:val="000000" w:themeColor="text1"/>
          <w:sz w:val="24"/>
          <w:szCs w:val="24"/>
        </w:rPr>
        <w:t>18</w:t>
      </w:r>
      <w:r w:rsidR="6781D536" w:rsidRPr="00A47FC7">
        <w:rPr>
          <w:rStyle w:val="normaltextrun"/>
          <w:rFonts w:ascii="Arial" w:hAnsi="Arial" w:cs="Arial"/>
          <w:b/>
          <w:bCs/>
          <w:color w:val="000000" w:themeColor="text1"/>
          <w:sz w:val="24"/>
          <w:szCs w:val="24"/>
        </w:rPr>
        <w:t>, 202</w:t>
      </w:r>
      <w:r w:rsidRPr="00A47FC7">
        <w:rPr>
          <w:rStyle w:val="normaltextrun"/>
          <w:rFonts w:ascii="Arial" w:hAnsi="Arial" w:cs="Arial"/>
          <w:b/>
          <w:bCs/>
          <w:color w:val="000000" w:themeColor="text1"/>
          <w:sz w:val="24"/>
          <w:szCs w:val="24"/>
        </w:rPr>
        <w:t>2</w:t>
      </w:r>
    </w:p>
    <w:p w14:paraId="2F245A08" w14:textId="77777777" w:rsidR="0020790B" w:rsidRPr="00A47FC7" w:rsidRDefault="0020790B" w:rsidP="0038142A">
      <w:pPr>
        <w:pStyle w:val="NoSpacing"/>
        <w:jc w:val="center"/>
        <w:rPr>
          <w:rFonts w:ascii="Arial" w:hAnsi="Arial" w:cs="Arial"/>
          <w:color w:val="000000" w:themeColor="text1"/>
          <w:sz w:val="24"/>
          <w:szCs w:val="24"/>
        </w:rPr>
      </w:pPr>
    </w:p>
    <w:p w14:paraId="45DF9241" w14:textId="1CA6DC35" w:rsidR="42FF6CAF" w:rsidRPr="00A47FC7" w:rsidRDefault="0020790B" w:rsidP="42FF6CAF">
      <w:pPr>
        <w:pStyle w:val="NoSpacing"/>
        <w:rPr>
          <w:rFonts w:ascii="Arial" w:hAnsi="Arial" w:cs="Arial"/>
          <w:color w:val="000000" w:themeColor="text1"/>
          <w:sz w:val="24"/>
          <w:szCs w:val="24"/>
        </w:rPr>
      </w:pPr>
      <w:r w:rsidRPr="00A47FC7">
        <w:rPr>
          <w:rStyle w:val="normaltextrun"/>
          <w:rFonts w:ascii="Arial" w:hAnsi="Arial" w:cs="Arial"/>
          <w:color w:val="000000" w:themeColor="text1"/>
          <w:sz w:val="24"/>
          <w:szCs w:val="24"/>
        </w:rPr>
        <w:t xml:space="preserve">The following answers are based on California Energy Commission (CEC) staff’s interpretation of the questions received. It is the Bidder’s responsibility to review the purpose of the solicitation and to determine </w:t>
      </w:r>
      <w:proofErr w:type="gramStart"/>
      <w:r w:rsidRPr="00A47FC7">
        <w:rPr>
          <w:rStyle w:val="normaltextrun"/>
          <w:rFonts w:ascii="Arial" w:hAnsi="Arial" w:cs="Arial"/>
          <w:color w:val="000000" w:themeColor="text1"/>
          <w:sz w:val="24"/>
          <w:szCs w:val="24"/>
        </w:rPr>
        <w:t>whether or not</w:t>
      </w:r>
      <w:proofErr w:type="gramEnd"/>
      <w:r w:rsidRPr="00A47FC7">
        <w:rPr>
          <w:rStyle w:val="normaltextrun"/>
          <w:rFonts w:ascii="Arial" w:hAnsi="Arial" w:cs="Arial"/>
          <w:color w:val="000000" w:themeColor="text1"/>
          <w:sz w:val="24"/>
          <w:szCs w:val="24"/>
        </w:rPr>
        <w:t xml:space="preserve"> their proposed project is eligible for funding by reviewing the Eligibility Requirements within the solicitation. The CEC cannot give advice as to </w:t>
      </w:r>
      <w:proofErr w:type="gramStart"/>
      <w:r w:rsidRPr="00A47FC7">
        <w:rPr>
          <w:rStyle w:val="normaltextrun"/>
          <w:rFonts w:ascii="Arial" w:hAnsi="Arial" w:cs="Arial"/>
          <w:color w:val="000000" w:themeColor="text1"/>
          <w:sz w:val="24"/>
          <w:szCs w:val="24"/>
        </w:rPr>
        <w:t>whether or not</w:t>
      </w:r>
      <w:proofErr w:type="gramEnd"/>
      <w:r w:rsidRPr="00A47FC7">
        <w:rPr>
          <w:rStyle w:val="normaltextrun"/>
          <w:rFonts w:ascii="Arial" w:hAnsi="Arial" w:cs="Arial"/>
          <w:color w:val="000000" w:themeColor="text1"/>
          <w:sz w:val="24"/>
          <w:szCs w:val="24"/>
        </w:rPr>
        <w:t xml:space="preserve"> a particular project is eligible for funding, because not all proposal details are known.</w:t>
      </w:r>
    </w:p>
    <w:p w14:paraId="00EC6665" w14:textId="77777777" w:rsidR="0020790B" w:rsidRPr="00A47FC7" w:rsidRDefault="0020790B" w:rsidP="0038142A">
      <w:pPr>
        <w:pStyle w:val="NoSpacing"/>
        <w:rPr>
          <w:rFonts w:ascii="Arial" w:eastAsia="Times New Roman" w:hAnsi="Arial" w:cs="Arial"/>
          <w:color w:val="000000" w:themeColor="text1"/>
          <w:sz w:val="24"/>
          <w:szCs w:val="24"/>
        </w:rPr>
      </w:pPr>
    </w:p>
    <w:p w14:paraId="0820EFDC" w14:textId="77777777" w:rsidR="0020790B" w:rsidRPr="00A47FC7" w:rsidRDefault="0020790B" w:rsidP="0038142A">
      <w:pPr>
        <w:pStyle w:val="NoSpacing"/>
        <w:rPr>
          <w:rFonts w:ascii="Arial" w:eastAsiaTheme="minorEastAsia" w:hAnsi="Arial" w:cs="Arial"/>
          <w:b/>
          <w:bCs/>
          <w:i/>
          <w:iCs/>
          <w:color w:val="000000" w:themeColor="text1"/>
          <w:sz w:val="24"/>
          <w:szCs w:val="24"/>
          <w:u w:val="single"/>
        </w:rPr>
      </w:pPr>
      <w:r w:rsidRPr="00A47FC7">
        <w:rPr>
          <w:rFonts w:ascii="Arial" w:eastAsiaTheme="minorEastAsia" w:hAnsi="Arial" w:cs="Arial"/>
          <w:b/>
          <w:bCs/>
          <w:i/>
          <w:iCs/>
          <w:color w:val="000000" w:themeColor="text1"/>
          <w:sz w:val="24"/>
          <w:szCs w:val="24"/>
          <w:u w:val="single"/>
        </w:rPr>
        <w:t>Applicant Eligibility</w:t>
      </w:r>
    </w:p>
    <w:p w14:paraId="729E831E" w14:textId="77777777" w:rsidR="0020790B" w:rsidRPr="00A47FC7" w:rsidRDefault="0020790B" w:rsidP="0038142A">
      <w:pPr>
        <w:pStyle w:val="NoSpacing"/>
        <w:rPr>
          <w:rFonts w:ascii="Arial" w:eastAsiaTheme="minorEastAsia" w:hAnsi="Arial" w:cs="Arial"/>
          <w:b/>
          <w:bCs/>
          <w:i/>
          <w:iCs/>
          <w:color w:val="000000" w:themeColor="text1"/>
          <w:sz w:val="24"/>
          <w:szCs w:val="24"/>
        </w:rPr>
      </w:pPr>
    </w:p>
    <w:p w14:paraId="2A9EFF59" w14:textId="34B5A9C3" w:rsidR="00FF7B44" w:rsidRPr="00A47FC7" w:rsidRDefault="56E4216E" w:rsidP="00A32615">
      <w:pPr>
        <w:spacing w:after="0"/>
        <w:ind w:left="540" w:hanging="540"/>
        <w:rPr>
          <w:rFonts w:ascii="Arial" w:hAnsi="Arial" w:cs="Arial"/>
          <w:b/>
          <w:bCs/>
          <w:sz w:val="24"/>
          <w:szCs w:val="24"/>
        </w:rPr>
      </w:pPr>
      <w:r w:rsidRPr="00A47FC7">
        <w:rPr>
          <w:rFonts w:ascii="Arial" w:hAnsi="Arial" w:cs="Arial"/>
          <w:b/>
          <w:bCs/>
          <w:sz w:val="24"/>
          <w:szCs w:val="24"/>
        </w:rPr>
        <w:t>Q1:</w:t>
      </w:r>
      <w:r w:rsidR="00A32615" w:rsidRPr="00A47FC7">
        <w:rPr>
          <w:rFonts w:ascii="Arial" w:hAnsi="Arial" w:cs="Arial"/>
          <w:b/>
          <w:bCs/>
          <w:sz w:val="24"/>
          <w:szCs w:val="24"/>
        </w:rPr>
        <w:t xml:space="preserve"> RFP states this solicitation is open to public and private entities. Is this    solicitation also open to nonprofit organizations?</w:t>
      </w:r>
      <w:r w:rsidR="00C67347" w:rsidRPr="00A47FC7">
        <w:rPr>
          <w:rFonts w:ascii="Arial" w:hAnsi="Arial" w:cs="Arial"/>
          <w:sz w:val="24"/>
          <w:szCs w:val="24"/>
        </w:rPr>
        <w:tab/>
      </w:r>
    </w:p>
    <w:p w14:paraId="3279937B" w14:textId="77777777" w:rsidR="0038142A" w:rsidRPr="00A47FC7" w:rsidRDefault="0038142A" w:rsidP="0038142A">
      <w:pPr>
        <w:spacing w:after="0"/>
        <w:rPr>
          <w:rFonts w:ascii="Arial" w:hAnsi="Arial" w:cs="Arial"/>
          <w:b/>
          <w:bCs/>
          <w:sz w:val="24"/>
          <w:szCs w:val="24"/>
        </w:rPr>
      </w:pPr>
    </w:p>
    <w:p w14:paraId="21DFA893" w14:textId="1CB29482" w:rsidR="56E4216E" w:rsidRPr="00A47FC7" w:rsidRDefault="56E4216E" w:rsidP="6E224E3A">
      <w:pPr>
        <w:spacing w:after="0"/>
        <w:ind w:left="720" w:hanging="720"/>
        <w:rPr>
          <w:rFonts w:ascii="Arial" w:hAnsi="Arial" w:cs="Arial"/>
          <w:sz w:val="24"/>
          <w:szCs w:val="24"/>
        </w:rPr>
      </w:pPr>
      <w:r w:rsidRPr="00A47FC7">
        <w:rPr>
          <w:rFonts w:ascii="Arial" w:hAnsi="Arial" w:cs="Arial"/>
          <w:sz w:val="24"/>
          <w:szCs w:val="24"/>
        </w:rPr>
        <w:t xml:space="preserve">A1: </w:t>
      </w:r>
      <w:r w:rsidR="6E224E3A" w:rsidRPr="00A47FC7">
        <w:rPr>
          <w:rFonts w:ascii="Arial" w:hAnsi="Arial" w:cs="Arial"/>
          <w:sz w:val="24"/>
          <w:szCs w:val="24"/>
        </w:rPr>
        <w:t>This solicitation is open to nonprofit organizations.</w:t>
      </w:r>
    </w:p>
    <w:p w14:paraId="3360E758" w14:textId="2797E23A" w:rsidR="00A32615" w:rsidRPr="00A47FC7" w:rsidRDefault="00A32615" w:rsidP="00A32615">
      <w:pPr>
        <w:spacing w:after="0"/>
        <w:ind w:left="720" w:hanging="720"/>
        <w:rPr>
          <w:rFonts w:ascii="Arial" w:hAnsi="Arial" w:cs="Arial"/>
          <w:sz w:val="24"/>
          <w:szCs w:val="24"/>
        </w:rPr>
      </w:pPr>
    </w:p>
    <w:p w14:paraId="08CE9AF3" w14:textId="104791E5" w:rsidR="00A32615" w:rsidRPr="00A47FC7" w:rsidRDefault="00A32615" w:rsidP="005F7A3A">
      <w:pPr>
        <w:spacing w:after="0"/>
        <w:ind w:left="540" w:hanging="540"/>
        <w:rPr>
          <w:rFonts w:ascii="Arial" w:hAnsi="Arial" w:cs="Arial"/>
          <w:b/>
          <w:bCs/>
          <w:sz w:val="24"/>
          <w:szCs w:val="24"/>
        </w:rPr>
      </w:pPr>
      <w:r w:rsidRPr="00A47FC7">
        <w:rPr>
          <w:rFonts w:ascii="Arial" w:hAnsi="Arial" w:cs="Arial"/>
          <w:b/>
          <w:bCs/>
          <w:sz w:val="24"/>
          <w:szCs w:val="24"/>
        </w:rPr>
        <w:t>Q2: If a nonprofit is eligible, are they eligible to act as the Applicant and the Prime Recipient of the grant award?</w:t>
      </w:r>
    </w:p>
    <w:p w14:paraId="24B4B6D7" w14:textId="77777777" w:rsidR="00A32615" w:rsidRPr="00A47FC7" w:rsidRDefault="00A32615" w:rsidP="00A32615">
      <w:pPr>
        <w:spacing w:after="0"/>
        <w:ind w:left="360" w:hanging="360"/>
        <w:rPr>
          <w:rFonts w:ascii="Arial" w:hAnsi="Arial" w:cs="Arial"/>
          <w:b/>
          <w:bCs/>
          <w:sz w:val="24"/>
          <w:szCs w:val="24"/>
        </w:rPr>
      </w:pPr>
    </w:p>
    <w:p w14:paraId="09F7E1C7" w14:textId="5B662957" w:rsidR="00A32615" w:rsidRPr="00A47FC7" w:rsidRDefault="00A32615" w:rsidP="00A32615">
      <w:pPr>
        <w:spacing w:after="0"/>
        <w:ind w:left="360" w:hanging="360"/>
        <w:rPr>
          <w:rFonts w:ascii="Arial" w:hAnsi="Arial" w:cs="Arial"/>
          <w:sz w:val="24"/>
          <w:szCs w:val="24"/>
        </w:rPr>
      </w:pPr>
      <w:r w:rsidRPr="00A47FC7">
        <w:rPr>
          <w:rFonts w:ascii="Arial" w:hAnsi="Arial" w:cs="Arial"/>
          <w:sz w:val="24"/>
          <w:szCs w:val="24"/>
        </w:rPr>
        <w:t>A2: Nonprofits can be the prime bidder; however, this is a contract and not a grant</w:t>
      </w:r>
    </w:p>
    <w:p w14:paraId="2D6ED598" w14:textId="1004E9EF" w:rsidR="00A32615" w:rsidRPr="00A47FC7" w:rsidRDefault="00A32615" w:rsidP="00A32615">
      <w:pPr>
        <w:spacing w:after="0"/>
        <w:ind w:left="360" w:hanging="360"/>
        <w:rPr>
          <w:rFonts w:ascii="Arial" w:hAnsi="Arial" w:cs="Arial"/>
          <w:sz w:val="24"/>
          <w:szCs w:val="24"/>
        </w:rPr>
      </w:pPr>
    </w:p>
    <w:p w14:paraId="278F34C4" w14:textId="024EDD38" w:rsidR="00A32615" w:rsidRPr="00A47FC7" w:rsidRDefault="00A32615" w:rsidP="00D11F1D">
      <w:pPr>
        <w:spacing w:after="0"/>
        <w:ind w:left="540" w:hanging="540"/>
        <w:rPr>
          <w:rFonts w:ascii="Arial" w:hAnsi="Arial" w:cs="Arial"/>
          <w:b/>
          <w:bCs/>
          <w:sz w:val="24"/>
          <w:szCs w:val="24"/>
        </w:rPr>
      </w:pPr>
      <w:r w:rsidRPr="00A47FC7">
        <w:rPr>
          <w:rFonts w:ascii="Arial" w:hAnsi="Arial" w:cs="Arial"/>
          <w:b/>
          <w:bCs/>
          <w:sz w:val="24"/>
          <w:szCs w:val="24"/>
        </w:rPr>
        <w:t>Q3: Is a Community Choice Aggregator (CCA) eligible to be a subcontractor if deemed their services are necessary for the work to be performed?</w:t>
      </w:r>
    </w:p>
    <w:p w14:paraId="26894E2A" w14:textId="7C886A29" w:rsidR="00A32615" w:rsidRPr="00A47FC7" w:rsidRDefault="00A32615" w:rsidP="00A32615">
      <w:pPr>
        <w:spacing w:after="0"/>
        <w:ind w:left="360" w:hanging="360"/>
        <w:rPr>
          <w:rFonts w:ascii="Arial" w:hAnsi="Arial" w:cs="Arial"/>
          <w:b/>
          <w:bCs/>
          <w:sz w:val="24"/>
          <w:szCs w:val="24"/>
        </w:rPr>
      </w:pPr>
    </w:p>
    <w:p w14:paraId="185DB3FD" w14:textId="170B36B1" w:rsidR="00A32615" w:rsidRPr="00A47FC7" w:rsidRDefault="00A32615" w:rsidP="00D74CAC">
      <w:pPr>
        <w:spacing w:after="480"/>
        <w:ind w:left="360" w:hanging="360"/>
        <w:rPr>
          <w:rFonts w:ascii="Arial" w:hAnsi="Arial" w:cs="Arial"/>
          <w:sz w:val="24"/>
          <w:szCs w:val="24"/>
        </w:rPr>
      </w:pPr>
      <w:r w:rsidRPr="00A47FC7">
        <w:rPr>
          <w:rFonts w:ascii="Arial" w:hAnsi="Arial" w:cs="Arial"/>
          <w:sz w:val="24"/>
          <w:szCs w:val="24"/>
        </w:rPr>
        <w:t>A3: CCAs are eligible to be subcontractors.</w:t>
      </w:r>
    </w:p>
    <w:p w14:paraId="0E0EFF3B" w14:textId="41F10490" w:rsidR="00AF5E3F" w:rsidRPr="00A47FC7" w:rsidRDefault="00AF5E3F" w:rsidP="00AF5E3F">
      <w:pPr>
        <w:spacing w:after="0"/>
        <w:ind w:left="720"/>
        <w:rPr>
          <w:rFonts w:ascii="Arial" w:hAnsi="Arial" w:cs="Arial"/>
          <w:sz w:val="24"/>
          <w:szCs w:val="24"/>
        </w:rPr>
      </w:pPr>
    </w:p>
    <w:p w14:paraId="26340147" w14:textId="06F02BD3" w:rsidR="0010168D" w:rsidRPr="00A47FC7" w:rsidRDefault="0010168D" w:rsidP="0038142A">
      <w:pPr>
        <w:spacing w:after="0"/>
        <w:rPr>
          <w:rFonts w:ascii="Arial" w:hAnsi="Arial" w:cs="Arial"/>
          <w:b/>
          <w:bCs/>
          <w:i/>
          <w:iCs/>
          <w:sz w:val="24"/>
          <w:szCs w:val="24"/>
          <w:u w:val="single"/>
        </w:rPr>
      </w:pPr>
      <w:r w:rsidRPr="00A47FC7">
        <w:rPr>
          <w:rFonts w:ascii="Arial" w:hAnsi="Arial" w:cs="Arial"/>
          <w:b/>
          <w:bCs/>
          <w:i/>
          <w:iCs/>
          <w:sz w:val="24"/>
          <w:szCs w:val="24"/>
          <w:u w:val="single"/>
        </w:rPr>
        <w:t>Project Requirements</w:t>
      </w:r>
    </w:p>
    <w:p w14:paraId="46CDE8D0" w14:textId="77777777" w:rsidR="0038142A" w:rsidRPr="00A47FC7" w:rsidRDefault="0038142A" w:rsidP="0038142A">
      <w:pPr>
        <w:spacing w:after="0"/>
        <w:rPr>
          <w:rFonts w:ascii="Arial" w:hAnsi="Arial" w:cs="Arial"/>
          <w:b/>
          <w:bCs/>
          <w:i/>
          <w:iCs/>
          <w:sz w:val="24"/>
          <w:szCs w:val="24"/>
          <w:u w:val="single"/>
        </w:rPr>
      </w:pPr>
    </w:p>
    <w:p w14:paraId="40B69004" w14:textId="3F2F75DD" w:rsidR="00FF7B44" w:rsidRPr="00A47FC7" w:rsidRDefault="00C67347" w:rsidP="00800E00">
      <w:pPr>
        <w:spacing w:after="0"/>
        <w:ind w:left="540" w:hanging="540"/>
        <w:rPr>
          <w:rFonts w:ascii="Arial" w:hAnsi="Arial" w:cs="Arial"/>
          <w:b/>
          <w:bCs/>
          <w:sz w:val="24"/>
          <w:szCs w:val="24"/>
        </w:rPr>
      </w:pPr>
      <w:r w:rsidRPr="00A47FC7">
        <w:rPr>
          <w:rFonts w:ascii="Arial" w:hAnsi="Arial" w:cs="Arial"/>
          <w:b/>
          <w:bCs/>
          <w:sz w:val="24"/>
          <w:szCs w:val="24"/>
        </w:rPr>
        <w:t>Q</w:t>
      </w:r>
      <w:r w:rsidR="00A32615" w:rsidRPr="00A47FC7">
        <w:rPr>
          <w:rFonts w:ascii="Arial" w:hAnsi="Arial" w:cs="Arial"/>
          <w:b/>
          <w:bCs/>
          <w:sz w:val="24"/>
          <w:szCs w:val="24"/>
        </w:rPr>
        <w:t>4</w:t>
      </w:r>
      <w:r w:rsidRPr="00A47FC7">
        <w:rPr>
          <w:rFonts w:ascii="Arial" w:hAnsi="Arial" w:cs="Arial"/>
          <w:b/>
          <w:bCs/>
          <w:sz w:val="24"/>
          <w:szCs w:val="24"/>
        </w:rPr>
        <w:t>:</w:t>
      </w:r>
      <w:r w:rsidR="00A32615" w:rsidRPr="00A47FC7">
        <w:rPr>
          <w:rFonts w:ascii="Arial" w:hAnsi="Arial" w:cs="Arial"/>
          <w:b/>
          <w:bCs/>
          <w:sz w:val="24"/>
          <w:szCs w:val="24"/>
        </w:rPr>
        <w:t xml:space="preserve"> Are resumes included in the page count for the technical proposal?</w:t>
      </w:r>
    </w:p>
    <w:p w14:paraId="1E001353" w14:textId="77777777" w:rsidR="0038142A" w:rsidRPr="00A47FC7" w:rsidRDefault="0038142A" w:rsidP="0038142A">
      <w:pPr>
        <w:spacing w:after="0"/>
        <w:ind w:left="720" w:hanging="720"/>
        <w:rPr>
          <w:rFonts w:ascii="Arial" w:hAnsi="Arial" w:cs="Arial"/>
          <w:b/>
          <w:bCs/>
          <w:sz w:val="24"/>
          <w:szCs w:val="24"/>
        </w:rPr>
      </w:pPr>
    </w:p>
    <w:p w14:paraId="77B0AF06" w14:textId="55FBBF34" w:rsidR="00FF7B44" w:rsidRPr="00A47FC7" w:rsidRDefault="56E4216E" w:rsidP="00800E00">
      <w:pPr>
        <w:spacing w:after="0"/>
        <w:ind w:left="540" w:hanging="540"/>
        <w:rPr>
          <w:rFonts w:ascii="Arial" w:hAnsi="Arial" w:cs="Arial"/>
          <w:sz w:val="24"/>
          <w:szCs w:val="24"/>
        </w:rPr>
      </w:pPr>
      <w:r w:rsidRPr="00A47FC7">
        <w:rPr>
          <w:rFonts w:ascii="Arial" w:hAnsi="Arial" w:cs="Arial"/>
          <w:sz w:val="24"/>
          <w:szCs w:val="24"/>
        </w:rPr>
        <w:t>A</w:t>
      </w:r>
      <w:r w:rsidR="00A32615" w:rsidRPr="00A47FC7">
        <w:rPr>
          <w:rFonts w:ascii="Arial" w:hAnsi="Arial" w:cs="Arial"/>
          <w:sz w:val="24"/>
          <w:szCs w:val="24"/>
        </w:rPr>
        <w:t>4</w:t>
      </w:r>
      <w:r w:rsidRPr="00A47FC7">
        <w:rPr>
          <w:rFonts w:ascii="Arial" w:hAnsi="Arial" w:cs="Arial"/>
          <w:sz w:val="24"/>
          <w:szCs w:val="24"/>
        </w:rPr>
        <w:t>:</w:t>
      </w:r>
      <w:r w:rsidRPr="00A47FC7">
        <w:rPr>
          <w:rFonts w:ascii="Arial" w:hAnsi="Arial" w:cs="Arial"/>
          <w:sz w:val="24"/>
          <w:szCs w:val="24"/>
        </w:rPr>
        <w:tab/>
      </w:r>
      <w:r w:rsidR="6E224E3A" w:rsidRPr="00A47FC7">
        <w:rPr>
          <w:rFonts w:ascii="Arial" w:hAnsi="Arial" w:cs="Arial"/>
          <w:sz w:val="24"/>
          <w:szCs w:val="24"/>
        </w:rPr>
        <w:t>Resumes are not counted in the page limits of the technical proposal.</w:t>
      </w:r>
    </w:p>
    <w:p w14:paraId="4762BD0C" w14:textId="1AC9554B" w:rsidR="00FF7B44" w:rsidRPr="00A47FC7" w:rsidRDefault="00C67347" w:rsidP="009D2BA3">
      <w:pPr>
        <w:spacing w:before="240" w:after="0"/>
        <w:ind w:left="720" w:hanging="720"/>
        <w:rPr>
          <w:rFonts w:ascii="Arial" w:hAnsi="Arial" w:cs="Arial"/>
          <w:b/>
          <w:bCs/>
          <w:sz w:val="24"/>
          <w:szCs w:val="24"/>
        </w:rPr>
      </w:pPr>
      <w:r w:rsidRPr="00A47FC7">
        <w:rPr>
          <w:rFonts w:ascii="Arial" w:hAnsi="Arial" w:cs="Arial"/>
          <w:b/>
          <w:bCs/>
          <w:sz w:val="24"/>
          <w:szCs w:val="24"/>
        </w:rPr>
        <w:t>Q</w:t>
      </w:r>
      <w:r w:rsidR="00A32615" w:rsidRPr="00A47FC7">
        <w:rPr>
          <w:rFonts w:ascii="Arial" w:hAnsi="Arial" w:cs="Arial"/>
          <w:b/>
          <w:bCs/>
          <w:sz w:val="24"/>
          <w:szCs w:val="24"/>
        </w:rPr>
        <w:t>5</w:t>
      </w:r>
      <w:r w:rsidRPr="00A47FC7">
        <w:rPr>
          <w:rFonts w:ascii="Arial" w:hAnsi="Arial" w:cs="Arial"/>
          <w:b/>
          <w:bCs/>
          <w:sz w:val="24"/>
          <w:szCs w:val="24"/>
        </w:rPr>
        <w:t>:</w:t>
      </w:r>
      <w:r w:rsidR="00A32615" w:rsidRPr="00A47FC7">
        <w:rPr>
          <w:rFonts w:ascii="Arial" w:hAnsi="Arial" w:cs="Arial"/>
          <w:b/>
          <w:bCs/>
          <w:sz w:val="24"/>
          <w:szCs w:val="24"/>
        </w:rPr>
        <w:t xml:space="preserve"> Work products for prime only or prime plus major subs? Included in page count?</w:t>
      </w:r>
    </w:p>
    <w:p w14:paraId="2651ECC4" w14:textId="77777777" w:rsidR="0038142A" w:rsidRPr="00A47FC7" w:rsidRDefault="0038142A" w:rsidP="0038142A">
      <w:pPr>
        <w:spacing w:after="0"/>
        <w:ind w:left="720" w:hanging="720"/>
        <w:rPr>
          <w:rFonts w:ascii="Arial" w:hAnsi="Arial" w:cs="Arial"/>
          <w:b/>
          <w:bCs/>
          <w:sz w:val="24"/>
          <w:szCs w:val="24"/>
        </w:rPr>
      </w:pPr>
    </w:p>
    <w:p w14:paraId="31FB478F" w14:textId="0811D288" w:rsidR="00FF7B44" w:rsidRPr="00A47FC7" w:rsidRDefault="56E4216E" w:rsidP="001900D4">
      <w:pPr>
        <w:spacing w:after="0"/>
        <w:ind w:left="540" w:hanging="540"/>
        <w:rPr>
          <w:rFonts w:ascii="Arial" w:hAnsi="Arial" w:cs="Arial"/>
          <w:sz w:val="24"/>
          <w:szCs w:val="24"/>
        </w:rPr>
      </w:pPr>
      <w:r w:rsidRPr="00A47FC7">
        <w:rPr>
          <w:rFonts w:ascii="Arial" w:hAnsi="Arial" w:cs="Arial"/>
          <w:sz w:val="24"/>
          <w:szCs w:val="24"/>
        </w:rPr>
        <w:t>A</w:t>
      </w:r>
      <w:r w:rsidR="00A32615" w:rsidRPr="00A47FC7">
        <w:rPr>
          <w:rFonts w:ascii="Arial" w:hAnsi="Arial" w:cs="Arial"/>
          <w:sz w:val="24"/>
          <w:szCs w:val="24"/>
        </w:rPr>
        <w:t>5</w:t>
      </w:r>
      <w:r w:rsidRPr="00A47FC7">
        <w:rPr>
          <w:rFonts w:ascii="Arial" w:hAnsi="Arial" w:cs="Arial"/>
          <w:sz w:val="24"/>
          <w:szCs w:val="24"/>
        </w:rPr>
        <w:t>:</w:t>
      </w:r>
      <w:r w:rsidRPr="00A47FC7">
        <w:rPr>
          <w:rFonts w:ascii="Arial" w:hAnsi="Arial" w:cs="Arial"/>
          <w:sz w:val="24"/>
          <w:szCs w:val="24"/>
        </w:rPr>
        <w:tab/>
      </w:r>
      <w:r w:rsidR="6E224E3A" w:rsidRPr="00A47FC7">
        <w:rPr>
          <w:rFonts w:ascii="Arial" w:hAnsi="Arial" w:cs="Arial"/>
          <w:sz w:val="24"/>
          <w:szCs w:val="24"/>
        </w:rPr>
        <w:t xml:space="preserve">Work product is only required of the prime bidder.  Bidders may elect to provide work products of </w:t>
      </w:r>
      <w:proofErr w:type="gramStart"/>
      <w:r w:rsidR="6E224E3A" w:rsidRPr="00A47FC7">
        <w:rPr>
          <w:rFonts w:ascii="Arial" w:hAnsi="Arial" w:cs="Arial"/>
          <w:sz w:val="24"/>
          <w:szCs w:val="24"/>
        </w:rPr>
        <w:t>subcontractors</w:t>
      </w:r>
      <w:proofErr w:type="gramEnd"/>
      <w:r w:rsidR="6E224E3A" w:rsidRPr="00A47FC7">
        <w:rPr>
          <w:rFonts w:ascii="Arial" w:hAnsi="Arial" w:cs="Arial"/>
          <w:sz w:val="24"/>
          <w:szCs w:val="24"/>
        </w:rPr>
        <w:t xml:space="preserve"> but these products are not required.  Work products are not included in the page count.</w:t>
      </w:r>
    </w:p>
    <w:p w14:paraId="6252A536" w14:textId="77777777" w:rsidR="0038142A" w:rsidRPr="00A47FC7" w:rsidRDefault="0038142A" w:rsidP="0038142A">
      <w:pPr>
        <w:spacing w:after="0"/>
        <w:ind w:left="720" w:hanging="720"/>
        <w:rPr>
          <w:rFonts w:ascii="Arial" w:hAnsi="Arial" w:cs="Arial"/>
          <w:sz w:val="24"/>
          <w:szCs w:val="24"/>
        </w:rPr>
      </w:pPr>
    </w:p>
    <w:p w14:paraId="0FF4F665" w14:textId="2B807E41" w:rsidR="00FF7B44" w:rsidRPr="00A47FC7" w:rsidRDefault="00D07A37" w:rsidP="002003C7">
      <w:pPr>
        <w:keepNext/>
        <w:keepLines/>
        <w:spacing w:after="0"/>
        <w:ind w:left="720" w:hanging="720"/>
        <w:rPr>
          <w:rFonts w:ascii="Arial" w:hAnsi="Arial" w:cs="Arial"/>
          <w:b/>
          <w:bCs/>
          <w:sz w:val="24"/>
          <w:szCs w:val="24"/>
        </w:rPr>
      </w:pPr>
      <w:r w:rsidRPr="00A47FC7">
        <w:rPr>
          <w:rFonts w:ascii="Arial" w:hAnsi="Arial" w:cs="Arial"/>
          <w:b/>
          <w:bCs/>
          <w:sz w:val="24"/>
          <w:szCs w:val="24"/>
        </w:rPr>
        <w:t>Q</w:t>
      </w:r>
      <w:r w:rsidR="00A32615" w:rsidRPr="00A47FC7">
        <w:rPr>
          <w:rFonts w:ascii="Arial" w:hAnsi="Arial" w:cs="Arial"/>
          <w:b/>
          <w:bCs/>
          <w:sz w:val="24"/>
          <w:szCs w:val="24"/>
        </w:rPr>
        <w:t>6</w:t>
      </w:r>
      <w:r w:rsidRPr="00A47FC7">
        <w:rPr>
          <w:rFonts w:ascii="Arial" w:hAnsi="Arial" w:cs="Arial"/>
          <w:b/>
          <w:bCs/>
          <w:sz w:val="24"/>
          <w:szCs w:val="24"/>
        </w:rPr>
        <w:t>:</w:t>
      </w:r>
      <w:r w:rsidR="00A32615" w:rsidRPr="00A47FC7">
        <w:rPr>
          <w:rFonts w:ascii="Arial" w:hAnsi="Arial" w:cs="Arial"/>
          <w:b/>
          <w:bCs/>
          <w:sz w:val="24"/>
          <w:szCs w:val="24"/>
        </w:rPr>
        <w:t xml:space="preserve"> Will subcontractor references be considered in proposal evaluation?</w:t>
      </w:r>
    </w:p>
    <w:p w14:paraId="618D3925" w14:textId="77777777" w:rsidR="0038142A" w:rsidRPr="00A47FC7" w:rsidRDefault="0038142A" w:rsidP="002003C7">
      <w:pPr>
        <w:keepNext/>
        <w:keepLines/>
        <w:spacing w:after="0"/>
        <w:ind w:left="720" w:hanging="720"/>
        <w:rPr>
          <w:rFonts w:ascii="Arial" w:hAnsi="Arial" w:cs="Arial"/>
          <w:b/>
          <w:bCs/>
          <w:sz w:val="24"/>
          <w:szCs w:val="24"/>
        </w:rPr>
      </w:pPr>
    </w:p>
    <w:p w14:paraId="439D3212" w14:textId="711905AF" w:rsidR="00FF7B44" w:rsidRPr="00A47FC7" w:rsidRDefault="00D07A37" w:rsidP="00286B53">
      <w:pPr>
        <w:keepNext/>
        <w:keepLines/>
        <w:spacing w:after="0"/>
        <w:ind w:left="450" w:hanging="450"/>
        <w:rPr>
          <w:rFonts w:ascii="Arial" w:hAnsi="Arial" w:cs="Arial"/>
          <w:sz w:val="24"/>
          <w:szCs w:val="24"/>
        </w:rPr>
      </w:pPr>
      <w:r w:rsidRPr="00A47FC7">
        <w:rPr>
          <w:rFonts w:ascii="Arial" w:hAnsi="Arial" w:cs="Arial"/>
          <w:sz w:val="24"/>
          <w:szCs w:val="24"/>
        </w:rPr>
        <w:t>A</w:t>
      </w:r>
      <w:r w:rsidR="00A32615" w:rsidRPr="00A47FC7">
        <w:rPr>
          <w:rFonts w:ascii="Arial" w:hAnsi="Arial" w:cs="Arial"/>
          <w:sz w:val="24"/>
          <w:szCs w:val="24"/>
        </w:rPr>
        <w:t>6</w:t>
      </w:r>
      <w:r w:rsidRPr="00A47FC7">
        <w:rPr>
          <w:rFonts w:ascii="Arial" w:hAnsi="Arial" w:cs="Arial"/>
          <w:sz w:val="24"/>
          <w:szCs w:val="24"/>
        </w:rPr>
        <w:t xml:space="preserve">: The evaluation team may consider references of subcontractors; however, they are not </w:t>
      </w:r>
      <w:proofErr w:type="gramStart"/>
      <w:r w:rsidRPr="00A47FC7">
        <w:rPr>
          <w:rFonts w:ascii="Arial" w:hAnsi="Arial" w:cs="Arial"/>
          <w:sz w:val="24"/>
          <w:szCs w:val="24"/>
        </w:rPr>
        <w:t>required</w:t>
      </w:r>
      <w:proofErr w:type="gramEnd"/>
      <w:r w:rsidRPr="00A47FC7">
        <w:rPr>
          <w:rFonts w:ascii="Arial" w:hAnsi="Arial" w:cs="Arial"/>
          <w:sz w:val="24"/>
          <w:szCs w:val="24"/>
        </w:rPr>
        <w:t xml:space="preserve"> and the primary consideration will be on the prime bidder references.</w:t>
      </w:r>
    </w:p>
    <w:p w14:paraId="10D18A44" w14:textId="77777777" w:rsidR="0038142A" w:rsidRPr="00A47FC7" w:rsidRDefault="0038142A" w:rsidP="0038142A">
      <w:pPr>
        <w:spacing w:after="0"/>
        <w:ind w:left="720" w:hanging="720"/>
        <w:rPr>
          <w:rFonts w:ascii="Arial" w:hAnsi="Arial" w:cs="Arial"/>
          <w:sz w:val="24"/>
          <w:szCs w:val="24"/>
        </w:rPr>
      </w:pPr>
    </w:p>
    <w:p w14:paraId="5156E772" w14:textId="7E5E9907" w:rsidR="00F05EF8" w:rsidRPr="00A47FC7" w:rsidRDefault="00D07A37" w:rsidP="00286B53">
      <w:pPr>
        <w:spacing w:after="0"/>
        <w:ind w:left="540" w:hanging="540"/>
        <w:rPr>
          <w:rFonts w:ascii="Arial" w:hAnsi="Arial" w:cs="Arial"/>
          <w:b/>
          <w:bCs/>
          <w:sz w:val="24"/>
          <w:szCs w:val="24"/>
        </w:rPr>
      </w:pPr>
      <w:r w:rsidRPr="00A47FC7">
        <w:rPr>
          <w:rFonts w:ascii="Arial" w:hAnsi="Arial" w:cs="Arial"/>
          <w:b/>
          <w:bCs/>
          <w:sz w:val="24"/>
          <w:szCs w:val="24"/>
        </w:rPr>
        <w:t>Q</w:t>
      </w:r>
      <w:r w:rsidR="00A32615" w:rsidRPr="00A47FC7">
        <w:rPr>
          <w:rFonts w:ascii="Arial" w:hAnsi="Arial" w:cs="Arial"/>
          <w:b/>
          <w:bCs/>
          <w:sz w:val="24"/>
          <w:szCs w:val="24"/>
        </w:rPr>
        <w:t>7</w:t>
      </w:r>
      <w:r w:rsidRPr="00A47FC7">
        <w:rPr>
          <w:rFonts w:ascii="Arial" w:hAnsi="Arial" w:cs="Arial"/>
          <w:b/>
          <w:bCs/>
          <w:sz w:val="24"/>
          <w:szCs w:val="24"/>
        </w:rPr>
        <w:t>:</w:t>
      </w:r>
      <w:r w:rsidR="00A32615" w:rsidRPr="00A47FC7">
        <w:rPr>
          <w:rFonts w:ascii="Arial" w:hAnsi="Arial" w:cs="Arial"/>
          <w:sz w:val="24"/>
          <w:szCs w:val="24"/>
        </w:rPr>
        <w:t xml:space="preserve"> </w:t>
      </w:r>
      <w:r w:rsidR="00A32615" w:rsidRPr="00A47FC7">
        <w:rPr>
          <w:rFonts w:ascii="Arial" w:hAnsi="Arial" w:cs="Arial"/>
          <w:b/>
          <w:bCs/>
          <w:sz w:val="24"/>
          <w:szCs w:val="24"/>
        </w:rPr>
        <w:t xml:space="preserve"> Is there an anticipated amount of travel required for the scope of services, such as in-person meetings in Sacramento or elsewhere?</w:t>
      </w:r>
      <w:r w:rsidR="00F05EF8" w:rsidRPr="00A47FC7">
        <w:rPr>
          <w:rFonts w:ascii="Arial" w:hAnsi="Arial" w:cs="Arial"/>
          <w:b/>
          <w:bCs/>
          <w:sz w:val="24"/>
          <w:szCs w:val="24"/>
        </w:rPr>
        <w:t xml:space="preserve"> </w:t>
      </w:r>
    </w:p>
    <w:p w14:paraId="38363DC5" w14:textId="77777777" w:rsidR="0038142A" w:rsidRPr="00A47FC7" w:rsidRDefault="0038142A" w:rsidP="0038142A">
      <w:pPr>
        <w:spacing w:after="0"/>
        <w:ind w:left="720" w:hanging="720"/>
        <w:rPr>
          <w:rFonts w:ascii="Arial" w:hAnsi="Arial" w:cs="Arial"/>
          <w:b/>
          <w:bCs/>
          <w:sz w:val="24"/>
          <w:szCs w:val="24"/>
        </w:rPr>
      </w:pPr>
    </w:p>
    <w:p w14:paraId="45D7BA0B" w14:textId="2F95EF50" w:rsidR="00F05EF8" w:rsidRPr="00A47FC7" w:rsidRDefault="00D07A37" w:rsidP="00A47FC7">
      <w:pPr>
        <w:spacing w:after="480"/>
        <w:ind w:left="360" w:hanging="360"/>
        <w:rPr>
          <w:rFonts w:ascii="Arial" w:hAnsi="Arial" w:cs="Arial"/>
          <w:sz w:val="24"/>
          <w:szCs w:val="24"/>
        </w:rPr>
      </w:pPr>
      <w:r w:rsidRPr="00A47FC7">
        <w:rPr>
          <w:rFonts w:ascii="Arial" w:hAnsi="Arial" w:cs="Arial"/>
          <w:sz w:val="24"/>
          <w:szCs w:val="24"/>
        </w:rPr>
        <w:t>A</w:t>
      </w:r>
      <w:r w:rsidR="00A32615" w:rsidRPr="00A47FC7">
        <w:rPr>
          <w:rFonts w:ascii="Arial" w:hAnsi="Arial" w:cs="Arial"/>
          <w:sz w:val="24"/>
          <w:szCs w:val="24"/>
        </w:rPr>
        <w:t>7</w:t>
      </w:r>
      <w:r w:rsidRPr="00A47FC7">
        <w:rPr>
          <w:rFonts w:ascii="Arial" w:hAnsi="Arial" w:cs="Arial"/>
          <w:sz w:val="24"/>
          <w:szCs w:val="24"/>
        </w:rPr>
        <w:t>: The CEC does not anticipate that travel will be required.</w:t>
      </w:r>
    </w:p>
    <w:p w14:paraId="1ADC3E88" w14:textId="77777777" w:rsidR="00606E24" w:rsidRPr="00A47FC7" w:rsidRDefault="00606E24" w:rsidP="0038142A">
      <w:pPr>
        <w:spacing w:after="0"/>
        <w:rPr>
          <w:rFonts w:ascii="Arial" w:hAnsi="Arial" w:cs="Arial"/>
          <w:b/>
          <w:bCs/>
          <w:i/>
          <w:iCs/>
          <w:sz w:val="24"/>
          <w:szCs w:val="24"/>
          <w:u w:val="single"/>
        </w:rPr>
      </w:pPr>
    </w:p>
    <w:p w14:paraId="16120068" w14:textId="3644C338" w:rsidR="00606E24" w:rsidRPr="00A47FC7" w:rsidRDefault="00606E24" w:rsidP="0038142A">
      <w:pPr>
        <w:spacing w:after="0"/>
        <w:rPr>
          <w:rFonts w:ascii="Arial" w:hAnsi="Arial" w:cs="Arial"/>
          <w:b/>
          <w:bCs/>
          <w:i/>
          <w:iCs/>
          <w:sz w:val="24"/>
          <w:szCs w:val="24"/>
          <w:u w:val="single"/>
        </w:rPr>
      </w:pPr>
      <w:r w:rsidRPr="00A47FC7">
        <w:rPr>
          <w:rFonts w:ascii="Arial" w:hAnsi="Arial" w:cs="Arial"/>
          <w:b/>
          <w:bCs/>
          <w:i/>
          <w:iCs/>
          <w:sz w:val="24"/>
          <w:szCs w:val="24"/>
          <w:u w:val="single"/>
        </w:rPr>
        <w:t>Project Costs</w:t>
      </w:r>
    </w:p>
    <w:p w14:paraId="0702030E" w14:textId="77777777" w:rsidR="0038142A" w:rsidRPr="00A47FC7" w:rsidRDefault="0038142A" w:rsidP="0038142A">
      <w:pPr>
        <w:spacing w:after="0"/>
        <w:rPr>
          <w:rFonts w:ascii="Arial" w:hAnsi="Arial" w:cs="Arial"/>
          <w:b/>
          <w:bCs/>
          <w:i/>
          <w:iCs/>
          <w:sz w:val="24"/>
          <w:szCs w:val="24"/>
          <w:u w:val="single"/>
        </w:rPr>
      </w:pPr>
    </w:p>
    <w:p w14:paraId="1ADA9AAF" w14:textId="5BE1ADA6" w:rsidR="00A32615" w:rsidRPr="00A47FC7" w:rsidRDefault="005F014F" w:rsidP="00A32615">
      <w:pPr>
        <w:spacing w:after="0"/>
        <w:ind w:left="540" w:hanging="540"/>
        <w:rPr>
          <w:rFonts w:ascii="Arial" w:hAnsi="Arial" w:cs="Arial"/>
          <w:b/>
          <w:sz w:val="24"/>
          <w:szCs w:val="24"/>
        </w:rPr>
      </w:pPr>
      <w:r w:rsidRPr="00A47FC7">
        <w:rPr>
          <w:rFonts w:ascii="Arial" w:hAnsi="Arial" w:cs="Arial"/>
          <w:b/>
          <w:bCs/>
          <w:sz w:val="24"/>
          <w:szCs w:val="24"/>
        </w:rPr>
        <w:t>Q</w:t>
      </w:r>
      <w:r w:rsidR="00A32615" w:rsidRPr="00A47FC7">
        <w:rPr>
          <w:rFonts w:ascii="Arial" w:hAnsi="Arial" w:cs="Arial"/>
          <w:b/>
          <w:bCs/>
          <w:sz w:val="24"/>
          <w:szCs w:val="24"/>
        </w:rPr>
        <w:t>8</w:t>
      </w:r>
      <w:r w:rsidRPr="00A47FC7">
        <w:rPr>
          <w:rFonts w:ascii="Arial" w:hAnsi="Arial" w:cs="Arial"/>
          <w:b/>
          <w:bCs/>
          <w:sz w:val="24"/>
          <w:szCs w:val="24"/>
        </w:rPr>
        <w:t>:</w:t>
      </w:r>
      <w:r w:rsidRPr="00A47FC7">
        <w:rPr>
          <w:rFonts w:ascii="Arial" w:hAnsi="Arial" w:cs="Arial"/>
          <w:b/>
          <w:bCs/>
          <w:sz w:val="24"/>
          <w:szCs w:val="24"/>
        </w:rPr>
        <w:tab/>
      </w:r>
      <w:r w:rsidR="00A32615" w:rsidRPr="00A47FC7">
        <w:rPr>
          <w:rFonts w:ascii="Arial" w:hAnsi="Arial" w:cs="Arial"/>
          <w:b/>
          <w:sz w:val="24"/>
          <w:szCs w:val="24"/>
        </w:rPr>
        <w:t>There is $250,000 available for the contract resulting from this RFP.  This is an hourly rate plus cost reimbursement contract and the award will be made to the responsible Bidder receiving the highest points.”</w:t>
      </w:r>
    </w:p>
    <w:p w14:paraId="4F6CE20C" w14:textId="77777777" w:rsidR="00A32615" w:rsidRPr="00A47FC7" w:rsidRDefault="00A32615" w:rsidP="00A32615">
      <w:pPr>
        <w:spacing w:after="0"/>
        <w:ind w:left="360" w:hanging="360"/>
        <w:rPr>
          <w:rFonts w:ascii="Arial" w:hAnsi="Arial" w:cs="Arial"/>
          <w:b/>
          <w:sz w:val="24"/>
          <w:szCs w:val="24"/>
        </w:rPr>
      </w:pPr>
    </w:p>
    <w:p w14:paraId="1F28C239" w14:textId="08752082" w:rsidR="00A32615" w:rsidRPr="00A47FC7" w:rsidRDefault="007067D5" w:rsidP="00A32615">
      <w:pPr>
        <w:spacing w:after="0"/>
        <w:ind w:left="540"/>
        <w:rPr>
          <w:rFonts w:ascii="Arial" w:hAnsi="Arial" w:cs="Arial"/>
          <w:b/>
          <w:sz w:val="24"/>
          <w:szCs w:val="24"/>
        </w:rPr>
      </w:pPr>
      <w:r>
        <w:rPr>
          <w:rFonts w:ascii="Arial" w:hAnsi="Arial" w:cs="Arial"/>
          <w:b/>
          <w:sz w:val="24"/>
          <w:szCs w:val="24"/>
        </w:rPr>
        <w:t>Our company</w:t>
      </w:r>
      <w:r w:rsidR="00A32615" w:rsidRPr="00A47FC7">
        <w:rPr>
          <w:rFonts w:ascii="Arial" w:hAnsi="Arial" w:cs="Arial"/>
          <w:b/>
          <w:sz w:val="24"/>
          <w:szCs w:val="24"/>
        </w:rPr>
        <w:t xml:space="preserve"> would like to propose a fixed price proposal with a budget of under $100,000 for this work. We are a small California 501c3, with small subcontractors who are primarily sole proprietors. The administrative burden of an hourly rate plus cost reimbursement contract is onerous for our organization and subcontractors. We would develop a detailed set of at least 5 milestones for this scope of work. Would this approach be acceptable to the CEC?</w:t>
      </w:r>
    </w:p>
    <w:p w14:paraId="5A9BC83C" w14:textId="77777777" w:rsidR="0038142A" w:rsidRPr="00A47FC7" w:rsidRDefault="0038142A" w:rsidP="0038142A">
      <w:pPr>
        <w:spacing w:after="0"/>
        <w:ind w:left="720" w:hanging="720"/>
        <w:rPr>
          <w:rFonts w:ascii="Arial" w:hAnsi="Arial" w:cs="Arial"/>
          <w:b/>
          <w:bCs/>
          <w:sz w:val="24"/>
          <w:szCs w:val="24"/>
        </w:rPr>
      </w:pPr>
    </w:p>
    <w:p w14:paraId="59D0226C" w14:textId="02FC1577" w:rsidR="00606E24" w:rsidRPr="00A47FC7" w:rsidRDefault="005F014F" w:rsidP="00A47FC7">
      <w:pPr>
        <w:spacing w:after="480"/>
        <w:ind w:left="360" w:hanging="360"/>
        <w:rPr>
          <w:rFonts w:ascii="Arial" w:hAnsi="Arial" w:cs="Arial"/>
          <w:sz w:val="24"/>
          <w:szCs w:val="24"/>
        </w:rPr>
      </w:pPr>
      <w:r w:rsidRPr="00A47FC7">
        <w:rPr>
          <w:rFonts w:ascii="Arial" w:hAnsi="Arial" w:cs="Arial"/>
          <w:sz w:val="24"/>
          <w:szCs w:val="24"/>
        </w:rPr>
        <w:t>A</w:t>
      </w:r>
      <w:r w:rsidR="00A32615" w:rsidRPr="00A47FC7">
        <w:rPr>
          <w:rFonts w:ascii="Arial" w:hAnsi="Arial" w:cs="Arial"/>
          <w:sz w:val="24"/>
          <w:szCs w:val="24"/>
        </w:rPr>
        <w:t>8</w:t>
      </w:r>
      <w:r w:rsidRPr="00A47FC7">
        <w:rPr>
          <w:rFonts w:ascii="Arial" w:hAnsi="Arial" w:cs="Arial"/>
          <w:sz w:val="24"/>
          <w:szCs w:val="24"/>
        </w:rPr>
        <w:t>:</w:t>
      </w:r>
      <w:r w:rsidRPr="00A47FC7">
        <w:rPr>
          <w:rFonts w:ascii="Arial" w:hAnsi="Arial" w:cs="Arial"/>
          <w:sz w:val="24"/>
          <w:szCs w:val="24"/>
        </w:rPr>
        <w:tab/>
      </w:r>
      <w:r w:rsidR="6E224E3A" w:rsidRPr="00A47FC7">
        <w:rPr>
          <w:rFonts w:ascii="Arial" w:hAnsi="Arial" w:cs="Arial"/>
          <w:sz w:val="24"/>
          <w:szCs w:val="24"/>
        </w:rPr>
        <w:t>This approach does not meet the requirements of the RFP.</w:t>
      </w:r>
    </w:p>
    <w:p w14:paraId="72C8391A" w14:textId="75663749" w:rsidR="313F2677" w:rsidRPr="00A47FC7" w:rsidRDefault="313F2677" w:rsidP="313F2677">
      <w:pPr>
        <w:spacing w:after="0"/>
        <w:ind w:left="720" w:hanging="720"/>
        <w:rPr>
          <w:rFonts w:ascii="Arial" w:hAnsi="Arial" w:cs="Arial"/>
          <w:sz w:val="24"/>
          <w:szCs w:val="24"/>
        </w:rPr>
      </w:pPr>
    </w:p>
    <w:p w14:paraId="2569A0E3" w14:textId="2547D82C" w:rsidR="313F2677" w:rsidRPr="00A47FC7" w:rsidRDefault="313F2677" w:rsidP="313F2677">
      <w:pPr>
        <w:spacing w:after="0"/>
        <w:ind w:left="720" w:hanging="720"/>
        <w:rPr>
          <w:rFonts w:ascii="Arial" w:hAnsi="Arial" w:cs="Arial"/>
          <w:b/>
          <w:bCs/>
          <w:i/>
          <w:iCs/>
          <w:sz w:val="24"/>
          <w:szCs w:val="24"/>
          <w:u w:val="single"/>
        </w:rPr>
      </w:pPr>
      <w:r w:rsidRPr="00A47FC7">
        <w:rPr>
          <w:rFonts w:ascii="Arial" w:hAnsi="Arial" w:cs="Arial"/>
          <w:b/>
          <w:bCs/>
          <w:i/>
          <w:iCs/>
          <w:sz w:val="24"/>
          <w:szCs w:val="24"/>
          <w:u w:val="single"/>
        </w:rPr>
        <w:t xml:space="preserve">Questions asked during the workshop </w:t>
      </w:r>
    </w:p>
    <w:p w14:paraId="215BEFB6" w14:textId="0C838716" w:rsidR="313F2677" w:rsidRPr="00A47FC7" w:rsidRDefault="313F2677" w:rsidP="313F2677">
      <w:pPr>
        <w:spacing w:after="0"/>
        <w:ind w:left="720" w:hanging="720"/>
        <w:rPr>
          <w:rFonts w:ascii="Arial" w:hAnsi="Arial" w:cs="Arial"/>
          <w:b/>
          <w:bCs/>
          <w:i/>
          <w:iCs/>
          <w:sz w:val="24"/>
          <w:szCs w:val="24"/>
        </w:rPr>
      </w:pPr>
    </w:p>
    <w:p w14:paraId="3C32B303" w14:textId="35A1DBE2" w:rsidR="313F2677" w:rsidRPr="00A47FC7" w:rsidRDefault="313F2677" w:rsidP="313F2677">
      <w:pPr>
        <w:spacing w:after="0"/>
        <w:ind w:left="720" w:hanging="720"/>
        <w:rPr>
          <w:rFonts w:ascii="Arial" w:hAnsi="Arial" w:cs="Arial"/>
          <w:b/>
          <w:bCs/>
          <w:sz w:val="24"/>
          <w:szCs w:val="24"/>
        </w:rPr>
      </w:pPr>
      <w:r w:rsidRPr="00A47FC7">
        <w:rPr>
          <w:rFonts w:ascii="Arial" w:hAnsi="Arial" w:cs="Arial"/>
          <w:b/>
          <w:bCs/>
          <w:sz w:val="24"/>
          <w:szCs w:val="24"/>
        </w:rPr>
        <w:t xml:space="preserve">Q9: </w:t>
      </w:r>
      <w:r w:rsidR="00B84758" w:rsidRPr="00A47FC7">
        <w:rPr>
          <w:rFonts w:ascii="Arial" w:hAnsi="Arial" w:cs="Arial"/>
          <w:b/>
          <w:bCs/>
          <w:sz w:val="24"/>
          <w:szCs w:val="24"/>
        </w:rPr>
        <w:t>Will the slides be posted to the website?</w:t>
      </w:r>
    </w:p>
    <w:p w14:paraId="21923798" w14:textId="77777777" w:rsidR="00CB3C0C" w:rsidRPr="00A47FC7" w:rsidRDefault="00CB3C0C" w:rsidP="313F2677">
      <w:pPr>
        <w:spacing w:after="0"/>
        <w:ind w:left="720" w:hanging="720"/>
        <w:rPr>
          <w:rFonts w:ascii="Arial" w:hAnsi="Arial" w:cs="Arial"/>
          <w:b/>
          <w:bCs/>
          <w:sz w:val="24"/>
          <w:szCs w:val="24"/>
        </w:rPr>
      </w:pPr>
    </w:p>
    <w:p w14:paraId="173DA969" w14:textId="198B2C75" w:rsidR="00CB3C0C" w:rsidRPr="00A47FC7" w:rsidRDefault="00CB3C0C" w:rsidP="313F2677">
      <w:pPr>
        <w:spacing w:after="0"/>
        <w:ind w:left="720" w:hanging="720"/>
        <w:rPr>
          <w:rFonts w:ascii="Arial" w:hAnsi="Arial" w:cs="Arial"/>
          <w:sz w:val="24"/>
          <w:szCs w:val="24"/>
        </w:rPr>
      </w:pPr>
      <w:r w:rsidRPr="00A47FC7">
        <w:rPr>
          <w:rFonts w:ascii="Arial" w:hAnsi="Arial" w:cs="Arial"/>
          <w:sz w:val="24"/>
          <w:szCs w:val="24"/>
        </w:rPr>
        <w:t xml:space="preserve">A9: </w:t>
      </w:r>
      <w:r w:rsidR="007A05C5" w:rsidRPr="00A47FC7">
        <w:rPr>
          <w:rFonts w:ascii="Arial" w:hAnsi="Arial" w:cs="Arial"/>
          <w:sz w:val="24"/>
          <w:szCs w:val="24"/>
        </w:rPr>
        <w:t xml:space="preserve">Yes, slides will be posted to the website. </w:t>
      </w:r>
      <w:hyperlink r:id="rId11" w:history="1">
        <w:r w:rsidR="72138757" w:rsidRPr="00A47FC7">
          <w:rPr>
            <w:rStyle w:val="Hyperlink"/>
            <w:rFonts w:ascii="Arial" w:eastAsia="Tahoma" w:hAnsi="Arial" w:cs="Arial"/>
            <w:sz w:val="24"/>
            <w:szCs w:val="24"/>
          </w:rPr>
          <w:t>RFP-21-801 - Technical Support to SB 100 Modeling</w:t>
        </w:r>
      </w:hyperlink>
    </w:p>
    <w:p w14:paraId="2926BDD0" w14:textId="77777777" w:rsidR="007A05C5" w:rsidRPr="00A47FC7" w:rsidRDefault="007A05C5" w:rsidP="313F2677">
      <w:pPr>
        <w:spacing w:after="0"/>
        <w:ind w:left="720" w:hanging="720"/>
        <w:rPr>
          <w:rFonts w:ascii="Arial" w:hAnsi="Arial" w:cs="Arial"/>
          <w:sz w:val="24"/>
          <w:szCs w:val="24"/>
        </w:rPr>
      </w:pPr>
    </w:p>
    <w:p w14:paraId="6D75667A" w14:textId="25EFA139" w:rsidR="007A05C5" w:rsidRPr="00A47FC7" w:rsidRDefault="007A05C5" w:rsidP="313F2677">
      <w:pPr>
        <w:spacing w:after="0"/>
        <w:ind w:left="720" w:hanging="720"/>
        <w:rPr>
          <w:rFonts w:ascii="Arial" w:hAnsi="Arial" w:cs="Arial"/>
          <w:b/>
          <w:bCs/>
          <w:sz w:val="24"/>
          <w:szCs w:val="24"/>
        </w:rPr>
      </w:pPr>
      <w:r w:rsidRPr="00A47FC7">
        <w:rPr>
          <w:rFonts w:ascii="Arial" w:hAnsi="Arial" w:cs="Arial"/>
          <w:b/>
          <w:bCs/>
          <w:sz w:val="24"/>
          <w:szCs w:val="24"/>
        </w:rPr>
        <w:t xml:space="preserve">Q10: </w:t>
      </w:r>
      <w:r w:rsidR="00D03E07" w:rsidRPr="00A47FC7">
        <w:rPr>
          <w:rFonts w:ascii="Arial" w:hAnsi="Arial" w:cs="Arial"/>
          <w:b/>
          <w:bCs/>
          <w:sz w:val="24"/>
          <w:szCs w:val="24"/>
        </w:rPr>
        <w:t>Are subcontractors required to break out their costs into categories or does that only apply to the prime contractor?</w:t>
      </w:r>
    </w:p>
    <w:p w14:paraId="6D26D30B" w14:textId="77777777" w:rsidR="00D03E07" w:rsidRPr="00A47FC7" w:rsidRDefault="00D03E07" w:rsidP="313F2677">
      <w:pPr>
        <w:spacing w:after="0"/>
        <w:ind w:left="720" w:hanging="720"/>
        <w:rPr>
          <w:rFonts w:ascii="Arial" w:hAnsi="Arial" w:cs="Arial"/>
          <w:b/>
          <w:bCs/>
          <w:sz w:val="24"/>
          <w:szCs w:val="24"/>
        </w:rPr>
      </w:pPr>
    </w:p>
    <w:p w14:paraId="63455231" w14:textId="44E5C67E" w:rsidR="00D03E07" w:rsidRPr="00A47FC7" w:rsidRDefault="00D03E07" w:rsidP="313F2677">
      <w:pPr>
        <w:spacing w:after="0"/>
        <w:ind w:left="720" w:hanging="720"/>
        <w:rPr>
          <w:rFonts w:ascii="Arial" w:hAnsi="Arial" w:cs="Arial"/>
          <w:sz w:val="24"/>
          <w:szCs w:val="24"/>
        </w:rPr>
      </w:pPr>
      <w:r w:rsidRPr="00A47FC7">
        <w:rPr>
          <w:rFonts w:ascii="Arial" w:hAnsi="Arial" w:cs="Arial"/>
          <w:sz w:val="24"/>
          <w:szCs w:val="24"/>
        </w:rPr>
        <w:t>A10:</w:t>
      </w:r>
      <w:r w:rsidR="00F41B21" w:rsidRPr="00A47FC7">
        <w:rPr>
          <w:rFonts w:ascii="Arial" w:hAnsi="Arial" w:cs="Arial"/>
          <w:sz w:val="24"/>
          <w:szCs w:val="24"/>
        </w:rPr>
        <w:t xml:space="preserve"> </w:t>
      </w:r>
      <w:r w:rsidR="008826DF" w:rsidRPr="00A47FC7">
        <w:rPr>
          <w:rFonts w:ascii="Arial" w:hAnsi="Arial" w:cs="Arial"/>
          <w:sz w:val="24"/>
          <w:szCs w:val="24"/>
        </w:rPr>
        <w:t>Yes</w:t>
      </w:r>
      <w:r w:rsidR="002F5D3D">
        <w:rPr>
          <w:rFonts w:ascii="Arial" w:hAnsi="Arial" w:cs="Arial"/>
          <w:sz w:val="24"/>
          <w:szCs w:val="24"/>
        </w:rPr>
        <w:t>.</w:t>
      </w:r>
      <w:r w:rsidR="00A47FC7" w:rsidRPr="00A47FC7">
        <w:rPr>
          <w:rFonts w:ascii="Arial" w:hAnsi="Arial" w:cs="Arial"/>
          <w:sz w:val="24"/>
          <w:szCs w:val="24"/>
        </w:rPr>
        <w:t xml:space="preserve"> The contractor and the subcontractors, regardless of their tier, are required to do so.  </w:t>
      </w:r>
    </w:p>
    <w:p w14:paraId="7238EEB5" w14:textId="77777777" w:rsidR="00D03E07" w:rsidRPr="00A47FC7" w:rsidRDefault="00D03E07" w:rsidP="313F2677">
      <w:pPr>
        <w:spacing w:after="0"/>
        <w:ind w:left="720" w:hanging="720"/>
        <w:rPr>
          <w:rFonts w:ascii="Arial" w:hAnsi="Arial" w:cs="Arial"/>
          <w:sz w:val="24"/>
          <w:szCs w:val="24"/>
        </w:rPr>
      </w:pPr>
    </w:p>
    <w:p w14:paraId="328BCEFF" w14:textId="43521F2D" w:rsidR="00D03E07" w:rsidRPr="00A47FC7" w:rsidRDefault="00D03E07" w:rsidP="313F2677">
      <w:pPr>
        <w:spacing w:after="0"/>
        <w:ind w:left="720" w:hanging="720"/>
        <w:rPr>
          <w:rFonts w:ascii="Arial" w:hAnsi="Arial" w:cs="Arial"/>
          <w:b/>
          <w:bCs/>
          <w:sz w:val="24"/>
          <w:szCs w:val="24"/>
        </w:rPr>
      </w:pPr>
      <w:r w:rsidRPr="00A47FC7">
        <w:rPr>
          <w:rFonts w:ascii="Arial" w:hAnsi="Arial" w:cs="Arial"/>
          <w:b/>
          <w:bCs/>
          <w:sz w:val="24"/>
          <w:szCs w:val="24"/>
        </w:rPr>
        <w:t xml:space="preserve">Q11: </w:t>
      </w:r>
      <w:r w:rsidR="00724F63" w:rsidRPr="00A47FC7">
        <w:rPr>
          <w:rFonts w:ascii="Arial" w:hAnsi="Arial" w:cs="Arial"/>
          <w:b/>
          <w:bCs/>
          <w:sz w:val="24"/>
          <w:szCs w:val="24"/>
        </w:rPr>
        <w:t xml:space="preserve">The scope of the RFP is very broad. Do you anticipate awarding multiple contracts </w:t>
      </w:r>
      <w:proofErr w:type="gramStart"/>
      <w:r w:rsidR="00724F63" w:rsidRPr="00A47FC7">
        <w:rPr>
          <w:rFonts w:ascii="Arial" w:hAnsi="Arial" w:cs="Arial"/>
          <w:b/>
          <w:bCs/>
          <w:sz w:val="24"/>
          <w:szCs w:val="24"/>
        </w:rPr>
        <w:t>in order to</w:t>
      </w:r>
      <w:proofErr w:type="gramEnd"/>
      <w:r w:rsidR="00724F63" w:rsidRPr="00A47FC7">
        <w:rPr>
          <w:rFonts w:ascii="Arial" w:hAnsi="Arial" w:cs="Arial"/>
          <w:b/>
          <w:bCs/>
          <w:sz w:val="24"/>
          <w:szCs w:val="24"/>
        </w:rPr>
        <w:t xml:space="preserve"> allow specialists to the opportunity to provide support to CEC without having expertise in all areas?</w:t>
      </w:r>
    </w:p>
    <w:p w14:paraId="484C17BA" w14:textId="1BA14E24" w:rsidR="008845C1" w:rsidRPr="00A47FC7" w:rsidRDefault="008845C1" w:rsidP="313F2677">
      <w:pPr>
        <w:spacing w:after="0"/>
        <w:ind w:left="720" w:hanging="720"/>
        <w:rPr>
          <w:rFonts w:ascii="Arial" w:hAnsi="Arial" w:cs="Arial"/>
          <w:sz w:val="24"/>
          <w:szCs w:val="24"/>
        </w:rPr>
      </w:pPr>
    </w:p>
    <w:p w14:paraId="1D750D3F" w14:textId="20CDE6C9" w:rsidR="008845C1" w:rsidRPr="00A47FC7" w:rsidRDefault="008845C1" w:rsidP="313F2677">
      <w:pPr>
        <w:spacing w:after="0"/>
        <w:ind w:left="720" w:hanging="720"/>
        <w:rPr>
          <w:rFonts w:ascii="Arial" w:hAnsi="Arial" w:cs="Arial"/>
          <w:sz w:val="24"/>
          <w:szCs w:val="24"/>
        </w:rPr>
      </w:pPr>
      <w:r w:rsidRPr="00A47FC7">
        <w:rPr>
          <w:rFonts w:ascii="Arial" w:hAnsi="Arial" w:cs="Arial"/>
          <w:sz w:val="24"/>
          <w:szCs w:val="24"/>
        </w:rPr>
        <w:t xml:space="preserve">A11: </w:t>
      </w:r>
      <w:r w:rsidR="00BC084E" w:rsidRPr="00A47FC7">
        <w:rPr>
          <w:rFonts w:ascii="Arial" w:hAnsi="Arial" w:cs="Arial"/>
          <w:sz w:val="24"/>
          <w:szCs w:val="24"/>
        </w:rPr>
        <w:t xml:space="preserve">No, </w:t>
      </w:r>
      <w:r w:rsidR="0098589F" w:rsidRPr="00A47FC7">
        <w:rPr>
          <w:rFonts w:ascii="Arial" w:hAnsi="Arial" w:cs="Arial"/>
          <w:sz w:val="24"/>
          <w:szCs w:val="24"/>
        </w:rPr>
        <w:t>only one award will result from this solicitation.</w:t>
      </w:r>
      <w:r w:rsidR="00DB1FCD" w:rsidRPr="00A47FC7">
        <w:rPr>
          <w:rFonts w:ascii="Arial" w:hAnsi="Arial" w:cs="Arial"/>
          <w:sz w:val="24"/>
          <w:szCs w:val="24"/>
        </w:rPr>
        <w:t xml:space="preserve"> </w:t>
      </w:r>
    </w:p>
    <w:p w14:paraId="209DD10A" w14:textId="77777777" w:rsidR="008845C1" w:rsidRPr="00A47FC7" w:rsidRDefault="008845C1" w:rsidP="313F2677">
      <w:pPr>
        <w:spacing w:after="0"/>
        <w:ind w:left="720" w:hanging="720"/>
        <w:rPr>
          <w:rFonts w:ascii="Arial" w:hAnsi="Arial" w:cs="Arial"/>
          <w:sz w:val="24"/>
          <w:szCs w:val="24"/>
        </w:rPr>
      </w:pPr>
    </w:p>
    <w:p w14:paraId="1DBBCD66" w14:textId="68C4E742" w:rsidR="008845C1" w:rsidRPr="00A47FC7" w:rsidRDefault="008845C1" w:rsidP="313F2677">
      <w:pPr>
        <w:spacing w:after="0"/>
        <w:ind w:left="720" w:hanging="720"/>
        <w:rPr>
          <w:rFonts w:ascii="Arial" w:hAnsi="Arial" w:cs="Arial"/>
          <w:b/>
          <w:sz w:val="24"/>
          <w:szCs w:val="24"/>
        </w:rPr>
      </w:pPr>
      <w:r w:rsidRPr="00A47FC7">
        <w:rPr>
          <w:rFonts w:ascii="Arial" w:hAnsi="Arial" w:cs="Arial"/>
          <w:b/>
          <w:sz w:val="24"/>
          <w:szCs w:val="24"/>
        </w:rPr>
        <w:t xml:space="preserve">Q12: </w:t>
      </w:r>
      <w:r w:rsidR="00336F24" w:rsidRPr="00A47FC7">
        <w:rPr>
          <w:rFonts w:ascii="Arial" w:hAnsi="Arial" w:cs="Arial"/>
          <w:b/>
          <w:sz w:val="24"/>
          <w:szCs w:val="24"/>
        </w:rPr>
        <w:t>We are a disabled Veteran firm. How do we let folks know we are available to work as contractors?</w:t>
      </w:r>
    </w:p>
    <w:p w14:paraId="4E9DF4B5" w14:textId="77777777" w:rsidR="00336F24" w:rsidRPr="00A47FC7" w:rsidRDefault="00336F24" w:rsidP="313F2677">
      <w:pPr>
        <w:spacing w:after="0"/>
        <w:ind w:left="720" w:hanging="720"/>
        <w:rPr>
          <w:rFonts w:ascii="Arial" w:hAnsi="Arial" w:cs="Arial"/>
          <w:b/>
          <w:sz w:val="24"/>
          <w:szCs w:val="24"/>
        </w:rPr>
      </w:pPr>
    </w:p>
    <w:p w14:paraId="4A90A5C6" w14:textId="23C2583B" w:rsidR="00C7198A" w:rsidRPr="00A47FC7" w:rsidRDefault="00336F24" w:rsidP="00467A33">
      <w:pPr>
        <w:spacing w:after="0"/>
        <w:ind w:left="540" w:hanging="540"/>
        <w:rPr>
          <w:rFonts w:ascii="Arial" w:hAnsi="Arial" w:cs="Arial"/>
          <w:bCs/>
          <w:sz w:val="24"/>
          <w:szCs w:val="24"/>
        </w:rPr>
      </w:pPr>
      <w:r w:rsidRPr="00A47FC7">
        <w:rPr>
          <w:rFonts w:ascii="Arial" w:hAnsi="Arial" w:cs="Arial"/>
          <w:bCs/>
          <w:sz w:val="24"/>
          <w:szCs w:val="24"/>
        </w:rPr>
        <w:t xml:space="preserve">A12: </w:t>
      </w:r>
      <w:r w:rsidR="00693FAE" w:rsidRPr="00A47FC7">
        <w:rPr>
          <w:rFonts w:ascii="Arial" w:hAnsi="Arial" w:cs="Arial"/>
          <w:bCs/>
          <w:sz w:val="24"/>
          <w:szCs w:val="24"/>
        </w:rPr>
        <w:t>The attendee list for this pre-bid workshop will be posted publicly at:</w:t>
      </w:r>
      <w:r w:rsidR="00C7198A" w:rsidRPr="00A47FC7">
        <w:rPr>
          <w:rFonts w:ascii="Arial" w:hAnsi="Arial" w:cs="Arial"/>
          <w:bCs/>
          <w:sz w:val="24"/>
          <w:szCs w:val="24"/>
        </w:rPr>
        <w:t xml:space="preserve"> </w:t>
      </w:r>
      <w:hyperlink r:id="rId12" w:history="1">
        <w:r w:rsidR="005A4A35" w:rsidRPr="00A47FC7">
          <w:rPr>
            <w:rStyle w:val="Hyperlink"/>
            <w:rFonts w:ascii="Arial" w:eastAsia="Tahoma" w:hAnsi="Arial" w:cs="Arial"/>
            <w:sz w:val="24"/>
            <w:szCs w:val="24"/>
          </w:rPr>
          <w:t>RFP-21-801 - Technical Support to SB 100 Modeling</w:t>
        </w:r>
      </w:hyperlink>
      <w:r w:rsidR="00E60B2F" w:rsidRPr="00A47FC7">
        <w:rPr>
          <w:rFonts w:ascii="Arial" w:hAnsi="Arial" w:cs="Arial"/>
          <w:bCs/>
          <w:sz w:val="24"/>
          <w:szCs w:val="24"/>
        </w:rPr>
        <w:t>.</w:t>
      </w:r>
      <w:r w:rsidR="00C7198A" w:rsidRPr="00A47FC7">
        <w:rPr>
          <w:rFonts w:ascii="Arial" w:hAnsi="Arial" w:cs="Arial"/>
          <w:sz w:val="24"/>
          <w:szCs w:val="24"/>
        </w:rPr>
        <w:br/>
      </w:r>
      <w:r w:rsidR="00C7198A" w:rsidRPr="00A47FC7">
        <w:rPr>
          <w:rFonts w:ascii="Arial" w:hAnsi="Arial" w:cs="Arial"/>
          <w:bCs/>
          <w:sz w:val="24"/>
          <w:szCs w:val="24"/>
        </w:rPr>
        <w:t xml:space="preserve">The CEC does not facilitate </w:t>
      </w:r>
      <w:r w:rsidR="0052052A" w:rsidRPr="00A47FC7">
        <w:rPr>
          <w:rFonts w:ascii="Arial" w:hAnsi="Arial" w:cs="Arial"/>
          <w:bCs/>
          <w:sz w:val="24"/>
          <w:szCs w:val="24"/>
        </w:rPr>
        <w:t xml:space="preserve">connections between contractors and subcontractors, and cannot provide specific guidance on this topic. </w:t>
      </w:r>
    </w:p>
    <w:p w14:paraId="202AF762" w14:textId="77777777" w:rsidR="00336F24" w:rsidRPr="00A47FC7" w:rsidRDefault="00336F24" w:rsidP="313F2677">
      <w:pPr>
        <w:spacing w:after="0"/>
        <w:ind w:left="720" w:hanging="720"/>
        <w:rPr>
          <w:rFonts w:ascii="Arial" w:hAnsi="Arial" w:cs="Arial"/>
          <w:bCs/>
          <w:sz w:val="24"/>
          <w:szCs w:val="24"/>
        </w:rPr>
      </w:pPr>
    </w:p>
    <w:p w14:paraId="4C8020C0" w14:textId="5CAC7C20" w:rsidR="00336F24" w:rsidRPr="00A47FC7" w:rsidRDefault="00336F24" w:rsidP="313F2677">
      <w:pPr>
        <w:spacing w:after="0"/>
        <w:ind w:left="720" w:hanging="720"/>
        <w:rPr>
          <w:rFonts w:ascii="Arial" w:hAnsi="Arial" w:cs="Arial"/>
          <w:b/>
          <w:sz w:val="24"/>
          <w:szCs w:val="24"/>
        </w:rPr>
      </w:pPr>
      <w:r w:rsidRPr="00A47FC7">
        <w:rPr>
          <w:rFonts w:ascii="Arial" w:hAnsi="Arial" w:cs="Arial"/>
          <w:b/>
          <w:sz w:val="24"/>
          <w:szCs w:val="24"/>
        </w:rPr>
        <w:t xml:space="preserve">Q13: </w:t>
      </w:r>
      <w:r w:rsidR="00037F1A" w:rsidRPr="00A47FC7">
        <w:rPr>
          <w:rFonts w:ascii="Arial" w:hAnsi="Arial" w:cs="Arial"/>
          <w:b/>
          <w:sz w:val="24"/>
          <w:szCs w:val="24"/>
        </w:rPr>
        <w:t>Can you disclose who performed the earlier study?</w:t>
      </w:r>
    </w:p>
    <w:p w14:paraId="2D5DFB25" w14:textId="77777777" w:rsidR="00037F1A" w:rsidRPr="00A47FC7" w:rsidRDefault="00037F1A" w:rsidP="313F2677">
      <w:pPr>
        <w:spacing w:after="0"/>
        <w:ind w:left="720" w:hanging="720"/>
        <w:rPr>
          <w:rFonts w:ascii="Arial" w:hAnsi="Arial" w:cs="Arial"/>
          <w:b/>
          <w:sz w:val="24"/>
          <w:szCs w:val="24"/>
        </w:rPr>
      </w:pPr>
    </w:p>
    <w:p w14:paraId="54268B76" w14:textId="797C10D2" w:rsidR="00123497" w:rsidRPr="00A47FC7" w:rsidRDefault="00037F1A" w:rsidP="00A47FC7">
      <w:pPr>
        <w:spacing w:after="240"/>
        <w:ind w:left="634" w:hanging="634"/>
        <w:rPr>
          <w:rFonts w:ascii="Arial" w:hAnsi="Arial" w:cs="Arial"/>
          <w:sz w:val="24"/>
          <w:szCs w:val="24"/>
        </w:rPr>
      </w:pPr>
      <w:r w:rsidRPr="00A47FC7">
        <w:rPr>
          <w:rFonts w:ascii="Arial" w:hAnsi="Arial" w:cs="Arial"/>
          <w:sz w:val="24"/>
          <w:szCs w:val="24"/>
        </w:rPr>
        <w:t xml:space="preserve">A13: </w:t>
      </w:r>
      <w:r w:rsidR="006D1F28" w:rsidRPr="00A47FC7">
        <w:rPr>
          <w:rFonts w:ascii="Arial" w:hAnsi="Arial" w:cs="Arial"/>
          <w:sz w:val="24"/>
          <w:szCs w:val="24"/>
        </w:rPr>
        <w:t>This contract is not for the execution of a specific study</w:t>
      </w:r>
      <w:r w:rsidR="00784B61" w:rsidRPr="00A47FC7">
        <w:rPr>
          <w:rFonts w:ascii="Arial" w:hAnsi="Arial" w:cs="Arial"/>
          <w:sz w:val="24"/>
          <w:szCs w:val="24"/>
        </w:rPr>
        <w:t xml:space="preserve">. </w:t>
      </w:r>
      <w:r w:rsidR="00123497" w:rsidRPr="00A47FC7">
        <w:rPr>
          <w:rFonts w:ascii="Arial" w:hAnsi="Arial" w:cs="Arial"/>
          <w:sz w:val="24"/>
          <w:szCs w:val="24"/>
        </w:rPr>
        <w:t>This RFP is to select a contractor team with experience and expertise in market research and analytic methods that can provide technical assistance to the Energy Assessment Division (EAD). The focus of the support will be in relation to EAD’s role to evaluate and compare different pathways for achieving California’s clean energy goals as established in the 100 Percent Clean Energy Act of 2018 (Senate Bill 100, De León, Chapter 312, Statutes of 2018) and related legislation (e.g., SB 423 requiring assessment of zero-carbon resources). Specifically, the awardee will pr</w:t>
      </w:r>
      <w:r w:rsidR="00585B50" w:rsidRPr="00A47FC7">
        <w:rPr>
          <w:rFonts w:ascii="Arial" w:hAnsi="Arial" w:cs="Arial"/>
          <w:sz w:val="24"/>
          <w:szCs w:val="24"/>
        </w:rPr>
        <w:t>ovide technical expertise to support EAD in the development of an approach to evaluating the reliability of different resource portfolios to meet SB 100 goals.</w:t>
      </w:r>
      <w:r w:rsidR="00123497" w:rsidRPr="00A47FC7">
        <w:rPr>
          <w:rFonts w:ascii="Arial" w:hAnsi="Arial" w:cs="Arial"/>
          <w:sz w:val="24"/>
          <w:szCs w:val="24"/>
        </w:rPr>
        <w:br/>
      </w:r>
      <w:r w:rsidR="00123497" w:rsidRPr="00A47FC7">
        <w:rPr>
          <w:rFonts w:ascii="Arial" w:hAnsi="Arial" w:cs="Arial"/>
          <w:sz w:val="24"/>
          <w:szCs w:val="24"/>
        </w:rPr>
        <w:br/>
      </w:r>
      <w:r w:rsidR="004256A0" w:rsidRPr="00A47FC7">
        <w:rPr>
          <w:rFonts w:ascii="Arial" w:hAnsi="Arial" w:cs="Arial"/>
          <w:sz w:val="24"/>
          <w:szCs w:val="24"/>
        </w:rPr>
        <w:t xml:space="preserve">The </w:t>
      </w:r>
      <w:r w:rsidR="00AA0216" w:rsidRPr="00A47FC7">
        <w:rPr>
          <w:rFonts w:ascii="Arial" w:hAnsi="Arial" w:cs="Arial"/>
          <w:sz w:val="24"/>
          <w:szCs w:val="24"/>
        </w:rPr>
        <w:t xml:space="preserve">capacity expansion modeling work used for </w:t>
      </w:r>
      <w:r w:rsidR="003D5F33" w:rsidRPr="00A47FC7">
        <w:rPr>
          <w:rFonts w:ascii="Arial" w:hAnsi="Arial" w:cs="Arial"/>
          <w:sz w:val="24"/>
          <w:szCs w:val="24"/>
        </w:rPr>
        <w:t xml:space="preserve">2021 SB 100 Joint Agency Report </w:t>
      </w:r>
      <w:r w:rsidR="00BC084E" w:rsidRPr="00A47FC7">
        <w:rPr>
          <w:rFonts w:ascii="Arial" w:hAnsi="Arial" w:cs="Arial"/>
          <w:sz w:val="24"/>
          <w:szCs w:val="24"/>
        </w:rPr>
        <w:t>(</w:t>
      </w:r>
      <w:hyperlink r:id="rId13" w:history="1">
        <w:r w:rsidR="00BC084E" w:rsidRPr="00A47FC7">
          <w:rPr>
            <w:rFonts w:ascii="Arial" w:hAnsi="Arial" w:cs="Arial"/>
            <w:color w:val="0070C0"/>
            <w:sz w:val="24"/>
            <w:szCs w:val="24"/>
          </w:rPr>
          <w:t>https://www.energy.ca.gov/publications/2021/2021-sb-100-joint-agency-report-achieving-100-percent-clean-electricity</w:t>
        </w:r>
      </w:hyperlink>
      <w:r w:rsidR="00BC084E" w:rsidRPr="00A47FC7">
        <w:rPr>
          <w:rFonts w:ascii="Arial" w:hAnsi="Arial" w:cs="Arial"/>
          <w:sz w:val="24"/>
          <w:szCs w:val="24"/>
        </w:rPr>
        <w:t xml:space="preserve">) </w:t>
      </w:r>
      <w:r w:rsidR="003D5F33" w:rsidRPr="00A47FC7">
        <w:rPr>
          <w:rFonts w:ascii="Arial" w:hAnsi="Arial" w:cs="Arial"/>
          <w:sz w:val="24"/>
          <w:szCs w:val="24"/>
        </w:rPr>
        <w:t xml:space="preserve">was performed primarily by Energy and Environmental Economics, Inc. (E3). </w:t>
      </w:r>
    </w:p>
    <w:p w14:paraId="1B79F799" w14:textId="337C24AA" w:rsidR="00012107" w:rsidRPr="00A47FC7" w:rsidRDefault="00012107" w:rsidP="0062029A">
      <w:pPr>
        <w:spacing w:after="0"/>
        <w:rPr>
          <w:rFonts w:ascii="Arial" w:hAnsi="Arial" w:cs="Arial"/>
          <w:b/>
          <w:sz w:val="24"/>
          <w:szCs w:val="24"/>
        </w:rPr>
      </w:pPr>
      <w:r w:rsidRPr="00A47FC7">
        <w:rPr>
          <w:rFonts w:ascii="Arial" w:hAnsi="Arial" w:cs="Arial"/>
          <w:b/>
          <w:sz w:val="24"/>
          <w:szCs w:val="24"/>
        </w:rPr>
        <w:t>Q14: Do you have a preferred modeling tool?</w:t>
      </w:r>
    </w:p>
    <w:p w14:paraId="147D0C24" w14:textId="77777777" w:rsidR="00A87B51" w:rsidRPr="00A47FC7" w:rsidRDefault="00A87B51" w:rsidP="313F2677">
      <w:pPr>
        <w:spacing w:after="0"/>
        <w:ind w:left="720" w:hanging="720"/>
        <w:rPr>
          <w:rFonts w:ascii="Arial" w:hAnsi="Arial" w:cs="Arial"/>
          <w:b/>
          <w:sz w:val="24"/>
          <w:szCs w:val="24"/>
        </w:rPr>
      </w:pPr>
    </w:p>
    <w:p w14:paraId="7D12B476" w14:textId="5FF79D01" w:rsidR="00A87B51" w:rsidRPr="00A47FC7" w:rsidRDefault="00A87B51" w:rsidP="00467A33">
      <w:pPr>
        <w:spacing w:after="0"/>
        <w:ind w:left="540" w:hanging="540"/>
        <w:rPr>
          <w:rFonts w:ascii="Arial" w:hAnsi="Arial" w:cs="Arial"/>
          <w:sz w:val="24"/>
          <w:szCs w:val="24"/>
        </w:rPr>
      </w:pPr>
      <w:r w:rsidRPr="00A47FC7">
        <w:rPr>
          <w:rFonts w:ascii="Arial" w:hAnsi="Arial" w:cs="Arial"/>
          <w:sz w:val="24"/>
          <w:szCs w:val="24"/>
        </w:rPr>
        <w:t xml:space="preserve">A14: </w:t>
      </w:r>
      <w:r w:rsidR="0015628B" w:rsidRPr="00A47FC7">
        <w:rPr>
          <w:rFonts w:ascii="Arial" w:hAnsi="Arial" w:cs="Arial"/>
          <w:sz w:val="24"/>
          <w:szCs w:val="24"/>
        </w:rPr>
        <w:t>No</w:t>
      </w:r>
      <w:r w:rsidR="008220CA" w:rsidRPr="00A47FC7">
        <w:rPr>
          <w:rFonts w:ascii="Arial" w:hAnsi="Arial" w:cs="Arial"/>
          <w:sz w:val="24"/>
          <w:szCs w:val="24"/>
        </w:rPr>
        <w:t>. The CEC makes use of the PLEXOS</w:t>
      </w:r>
      <w:r w:rsidR="001A6277" w:rsidRPr="00A47FC7">
        <w:rPr>
          <w:rFonts w:ascii="Arial" w:hAnsi="Arial" w:cs="Arial"/>
          <w:sz w:val="24"/>
          <w:szCs w:val="24"/>
        </w:rPr>
        <w:t xml:space="preserve"> software</w:t>
      </w:r>
      <w:r w:rsidR="008220CA" w:rsidRPr="00A47FC7">
        <w:rPr>
          <w:rFonts w:ascii="Arial" w:hAnsi="Arial" w:cs="Arial"/>
          <w:sz w:val="24"/>
          <w:szCs w:val="24"/>
        </w:rPr>
        <w:t xml:space="preserve"> published by Energy Exempla</w:t>
      </w:r>
      <w:r w:rsidR="00083347" w:rsidRPr="00A47FC7">
        <w:rPr>
          <w:rFonts w:ascii="Arial" w:hAnsi="Arial" w:cs="Arial"/>
          <w:sz w:val="24"/>
          <w:szCs w:val="24"/>
        </w:rPr>
        <w:t>r</w:t>
      </w:r>
      <w:r w:rsidR="001A6277" w:rsidRPr="00A47FC7">
        <w:rPr>
          <w:rFonts w:ascii="Arial" w:hAnsi="Arial" w:cs="Arial"/>
          <w:sz w:val="24"/>
          <w:szCs w:val="24"/>
        </w:rPr>
        <w:t xml:space="preserve"> for its existing production cost model work.</w:t>
      </w:r>
      <w:r w:rsidR="00083347" w:rsidRPr="00A47FC7">
        <w:rPr>
          <w:rFonts w:ascii="Arial" w:hAnsi="Arial" w:cs="Arial"/>
          <w:sz w:val="24"/>
          <w:szCs w:val="24"/>
        </w:rPr>
        <w:t xml:space="preserve"> </w:t>
      </w:r>
      <w:r w:rsidR="001A6277" w:rsidRPr="00A47FC7">
        <w:rPr>
          <w:rFonts w:ascii="Arial" w:hAnsi="Arial" w:cs="Arial"/>
          <w:sz w:val="24"/>
          <w:szCs w:val="24"/>
        </w:rPr>
        <w:t>T</w:t>
      </w:r>
      <w:r w:rsidR="00083347" w:rsidRPr="00A47FC7">
        <w:rPr>
          <w:rFonts w:ascii="Arial" w:hAnsi="Arial" w:cs="Arial"/>
          <w:sz w:val="24"/>
          <w:szCs w:val="24"/>
        </w:rPr>
        <w:t xml:space="preserve">he </w:t>
      </w:r>
      <w:r w:rsidR="001A6277" w:rsidRPr="00A47FC7">
        <w:rPr>
          <w:rFonts w:ascii="Arial" w:hAnsi="Arial" w:cs="Arial"/>
          <w:sz w:val="24"/>
          <w:szCs w:val="24"/>
        </w:rPr>
        <w:t>scope of work, as published in the solicitation manual,</w:t>
      </w:r>
      <w:r w:rsidR="00083347" w:rsidRPr="00A47FC7">
        <w:rPr>
          <w:rFonts w:ascii="Arial" w:hAnsi="Arial" w:cs="Arial"/>
          <w:sz w:val="24"/>
          <w:szCs w:val="24"/>
        </w:rPr>
        <w:t xml:space="preserve"> does require the consideration of PLEXOS </w:t>
      </w:r>
      <w:r w:rsidR="00601269" w:rsidRPr="00A47FC7">
        <w:rPr>
          <w:rFonts w:ascii="Arial" w:hAnsi="Arial" w:cs="Arial"/>
          <w:sz w:val="24"/>
          <w:szCs w:val="24"/>
        </w:rPr>
        <w:t xml:space="preserve">and RESOLVE </w:t>
      </w:r>
      <w:r w:rsidR="00CA08AC" w:rsidRPr="00A47FC7">
        <w:rPr>
          <w:rFonts w:ascii="Arial" w:hAnsi="Arial" w:cs="Arial"/>
          <w:sz w:val="24"/>
          <w:szCs w:val="24"/>
        </w:rPr>
        <w:t xml:space="preserve">when </w:t>
      </w:r>
      <w:r w:rsidR="001A6277" w:rsidRPr="00A47FC7">
        <w:rPr>
          <w:rFonts w:ascii="Arial" w:hAnsi="Arial" w:cs="Arial"/>
          <w:sz w:val="24"/>
          <w:szCs w:val="24"/>
        </w:rPr>
        <w:t xml:space="preserve">evaluating and comparing different approaches </w:t>
      </w:r>
      <w:r w:rsidR="0014314B" w:rsidRPr="00A47FC7">
        <w:rPr>
          <w:rFonts w:ascii="Arial" w:hAnsi="Arial" w:cs="Arial"/>
          <w:sz w:val="24"/>
          <w:szCs w:val="24"/>
        </w:rPr>
        <w:t>to capacity expansion modeling</w:t>
      </w:r>
      <w:r w:rsidR="00601269" w:rsidRPr="00A47FC7">
        <w:rPr>
          <w:rFonts w:ascii="Arial" w:hAnsi="Arial" w:cs="Arial"/>
          <w:sz w:val="24"/>
          <w:szCs w:val="24"/>
        </w:rPr>
        <w:t>. The awardee will also be required to consider PLEXOS when evaluating and comparing different approaches</w:t>
      </w:r>
      <w:r w:rsidR="006D1F28" w:rsidRPr="00A47FC7">
        <w:rPr>
          <w:rFonts w:ascii="Arial" w:hAnsi="Arial" w:cs="Arial"/>
          <w:sz w:val="24"/>
          <w:szCs w:val="24"/>
        </w:rPr>
        <w:t xml:space="preserve"> to</w:t>
      </w:r>
      <w:r w:rsidR="0014314B" w:rsidRPr="00A47FC7">
        <w:rPr>
          <w:rFonts w:ascii="Arial" w:hAnsi="Arial" w:cs="Arial"/>
          <w:sz w:val="24"/>
          <w:szCs w:val="24"/>
        </w:rPr>
        <w:t xml:space="preserve"> reliability and resource adequacy analysis. </w:t>
      </w:r>
      <w:r w:rsidR="006D1F28" w:rsidRPr="00A47FC7">
        <w:rPr>
          <w:rFonts w:ascii="Arial" w:hAnsi="Arial" w:cs="Arial"/>
          <w:sz w:val="24"/>
          <w:szCs w:val="24"/>
        </w:rPr>
        <w:t xml:space="preserve">See pages 7 and 8 of the solicitation </w:t>
      </w:r>
      <w:proofErr w:type="gramStart"/>
      <w:r w:rsidR="006D1F28" w:rsidRPr="00A47FC7">
        <w:rPr>
          <w:rFonts w:ascii="Arial" w:hAnsi="Arial" w:cs="Arial"/>
          <w:sz w:val="24"/>
          <w:szCs w:val="24"/>
        </w:rPr>
        <w:t>manual</w:t>
      </w:r>
      <w:proofErr w:type="gramEnd"/>
      <w:r w:rsidR="006D1F28" w:rsidRPr="00A47FC7">
        <w:rPr>
          <w:rFonts w:ascii="Arial" w:hAnsi="Arial" w:cs="Arial"/>
          <w:sz w:val="24"/>
          <w:szCs w:val="24"/>
        </w:rPr>
        <w:t>.</w:t>
      </w:r>
    </w:p>
    <w:p w14:paraId="79C9EEA0" w14:textId="77777777" w:rsidR="00A87B51" w:rsidRPr="00A47FC7" w:rsidRDefault="00A87B51" w:rsidP="313F2677">
      <w:pPr>
        <w:spacing w:after="0"/>
        <w:ind w:left="720" w:hanging="720"/>
        <w:rPr>
          <w:rFonts w:ascii="Arial" w:hAnsi="Arial" w:cs="Arial"/>
          <w:sz w:val="24"/>
          <w:szCs w:val="24"/>
        </w:rPr>
      </w:pPr>
    </w:p>
    <w:p w14:paraId="13F5011B" w14:textId="77777777" w:rsidR="00A47FC7" w:rsidRDefault="00A47FC7">
      <w:pPr>
        <w:rPr>
          <w:rFonts w:ascii="Arial" w:hAnsi="Arial" w:cs="Arial"/>
          <w:b/>
          <w:bCs/>
          <w:sz w:val="24"/>
          <w:szCs w:val="24"/>
        </w:rPr>
      </w:pPr>
      <w:r>
        <w:rPr>
          <w:rFonts w:ascii="Arial" w:hAnsi="Arial" w:cs="Arial"/>
          <w:b/>
          <w:bCs/>
          <w:sz w:val="24"/>
          <w:szCs w:val="24"/>
        </w:rPr>
        <w:br w:type="page"/>
      </w:r>
    </w:p>
    <w:p w14:paraId="3B30D4E7" w14:textId="4C7DDF86" w:rsidR="00A87B51" w:rsidRPr="00A47FC7" w:rsidRDefault="00A87B51" w:rsidP="313F2677">
      <w:pPr>
        <w:spacing w:after="0"/>
        <w:ind w:left="720" w:hanging="720"/>
        <w:rPr>
          <w:rFonts w:ascii="Arial" w:hAnsi="Arial" w:cs="Arial"/>
          <w:b/>
          <w:bCs/>
          <w:sz w:val="24"/>
          <w:szCs w:val="24"/>
        </w:rPr>
      </w:pPr>
      <w:r w:rsidRPr="00A47FC7">
        <w:rPr>
          <w:rFonts w:ascii="Arial" w:hAnsi="Arial" w:cs="Arial"/>
          <w:b/>
          <w:bCs/>
          <w:sz w:val="24"/>
          <w:szCs w:val="24"/>
        </w:rPr>
        <w:t>Q15: Would CEC be willing to negotiate terms and conditions?</w:t>
      </w:r>
    </w:p>
    <w:p w14:paraId="0269F0C2" w14:textId="77777777" w:rsidR="00A87B51" w:rsidRPr="00A47FC7" w:rsidRDefault="00A87B51" w:rsidP="313F2677">
      <w:pPr>
        <w:spacing w:after="0"/>
        <w:ind w:left="720" w:hanging="720"/>
        <w:rPr>
          <w:rFonts w:ascii="Arial" w:hAnsi="Arial" w:cs="Arial"/>
          <w:b/>
          <w:bCs/>
          <w:sz w:val="24"/>
          <w:szCs w:val="24"/>
        </w:rPr>
      </w:pPr>
    </w:p>
    <w:p w14:paraId="57CB6562" w14:textId="2676C665" w:rsidR="00A87B51" w:rsidRPr="00A47FC7" w:rsidRDefault="00A87B51" w:rsidP="313F2677">
      <w:pPr>
        <w:spacing w:after="0"/>
        <w:ind w:left="720" w:hanging="720"/>
        <w:rPr>
          <w:rFonts w:ascii="Arial" w:hAnsi="Arial" w:cs="Arial"/>
          <w:bCs/>
          <w:sz w:val="24"/>
          <w:szCs w:val="24"/>
        </w:rPr>
      </w:pPr>
      <w:r w:rsidRPr="00A47FC7">
        <w:rPr>
          <w:rFonts w:ascii="Arial" w:hAnsi="Arial" w:cs="Arial"/>
          <w:bCs/>
          <w:sz w:val="24"/>
          <w:szCs w:val="24"/>
        </w:rPr>
        <w:t>A</w:t>
      </w:r>
      <w:r w:rsidR="00F04C27" w:rsidRPr="00A47FC7">
        <w:rPr>
          <w:rFonts w:ascii="Arial" w:hAnsi="Arial" w:cs="Arial"/>
          <w:bCs/>
          <w:sz w:val="24"/>
          <w:szCs w:val="24"/>
        </w:rPr>
        <w:t xml:space="preserve">15: </w:t>
      </w:r>
      <w:r w:rsidR="006B2708" w:rsidRPr="00A47FC7">
        <w:rPr>
          <w:rFonts w:ascii="Arial" w:hAnsi="Arial" w:cs="Arial"/>
          <w:bCs/>
          <w:sz w:val="24"/>
          <w:szCs w:val="24"/>
        </w:rPr>
        <w:t xml:space="preserve">No, The CEC does not negotiate terms or conditions </w:t>
      </w:r>
      <w:r w:rsidR="0015628B" w:rsidRPr="00A47FC7">
        <w:rPr>
          <w:rFonts w:ascii="Arial" w:hAnsi="Arial" w:cs="Arial"/>
          <w:bCs/>
          <w:sz w:val="24"/>
          <w:szCs w:val="24"/>
        </w:rPr>
        <w:t xml:space="preserve">for individual contracts. </w:t>
      </w:r>
      <w:r w:rsidR="0065021A" w:rsidRPr="0065021A">
        <w:rPr>
          <w:rFonts w:ascii="Arial" w:hAnsi="Arial" w:cs="Arial"/>
          <w:bCs/>
          <w:sz w:val="24"/>
          <w:szCs w:val="24"/>
        </w:rPr>
        <w:t>As part of the Contractor Status Form (Attachment 1), bidders must certify that they are willing to enter into an agreement with the Commission according to the terms and conditions without negotiation.</w:t>
      </w:r>
    </w:p>
    <w:p w14:paraId="4A825B2A" w14:textId="0813AD5A" w:rsidR="7DCC02E4" w:rsidRPr="00A47FC7" w:rsidRDefault="7DCC02E4" w:rsidP="7DCC02E4">
      <w:pPr>
        <w:spacing w:after="0"/>
        <w:ind w:left="720" w:hanging="720"/>
        <w:rPr>
          <w:rFonts w:ascii="Arial" w:hAnsi="Arial" w:cs="Arial"/>
          <w:sz w:val="24"/>
          <w:szCs w:val="24"/>
        </w:rPr>
      </w:pPr>
    </w:p>
    <w:p w14:paraId="3D3A4DCF" w14:textId="3DFCA39E" w:rsidR="7DCC02E4" w:rsidRPr="00A47FC7" w:rsidRDefault="7DCC02E4" w:rsidP="7DCC02E4">
      <w:pPr>
        <w:spacing w:after="0"/>
        <w:ind w:left="720" w:hanging="720"/>
        <w:rPr>
          <w:rFonts w:ascii="Arial" w:hAnsi="Arial" w:cs="Arial"/>
          <w:b/>
          <w:bCs/>
          <w:sz w:val="24"/>
          <w:szCs w:val="24"/>
        </w:rPr>
      </w:pPr>
      <w:r w:rsidRPr="00A47FC7">
        <w:rPr>
          <w:rFonts w:ascii="Arial" w:hAnsi="Arial" w:cs="Arial"/>
          <w:b/>
          <w:bCs/>
          <w:sz w:val="24"/>
          <w:szCs w:val="24"/>
        </w:rPr>
        <w:t>Q16: Will the winning bidder be restricted from participating in future CEC solicitations that may relate to analysis of SB100 pathways or resource planning?</w:t>
      </w:r>
      <w:r w:rsidR="00A47FC7" w:rsidRPr="00A47FC7">
        <w:rPr>
          <w:rFonts w:ascii="Arial" w:hAnsi="Arial" w:cs="Arial"/>
          <w:b/>
          <w:bCs/>
          <w:sz w:val="24"/>
          <w:szCs w:val="24"/>
        </w:rPr>
        <w:br/>
      </w:r>
    </w:p>
    <w:p w14:paraId="583981FD" w14:textId="0D7BE060" w:rsidR="7DCC02E4" w:rsidRPr="00A47FC7" w:rsidRDefault="7DCC02E4" w:rsidP="7DCC02E4">
      <w:pPr>
        <w:spacing w:after="0"/>
        <w:ind w:left="720" w:hanging="720"/>
        <w:rPr>
          <w:rStyle w:val="normaltextrun"/>
          <w:rFonts w:ascii="Arial" w:hAnsi="Arial" w:cs="Arial"/>
          <w:color w:val="000000" w:themeColor="text1"/>
          <w:sz w:val="24"/>
          <w:szCs w:val="24"/>
        </w:rPr>
      </w:pPr>
      <w:r w:rsidRPr="00A47FC7">
        <w:rPr>
          <w:rFonts w:ascii="Arial" w:hAnsi="Arial" w:cs="Arial"/>
          <w:sz w:val="24"/>
          <w:szCs w:val="24"/>
        </w:rPr>
        <w:t xml:space="preserve">A16: </w:t>
      </w:r>
      <w:r w:rsidR="38B565AC" w:rsidRPr="00A47FC7">
        <w:rPr>
          <w:rStyle w:val="normaltextrun"/>
          <w:rFonts w:ascii="Arial" w:hAnsi="Arial" w:cs="Arial"/>
          <w:color w:val="000000" w:themeColor="text1"/>
          <w:sz w:val="24"/>
          <w:szCs w:val="24"/>
        </w:rPr>
        <w:t xml:space="preserve">The selected contractor and its subcontractors are precluded from bidding on future solicitations that are recommended by or arise out of the work under this contract. If the selected contractor, and its subcontractors receiving more than 10% of the contract value, they could also be prohibited under Public Contract Code section 10365.5 from bidding on future contract solicitations. However, the selected contractor and its subcontractors are not precluded from bidding on future solicitations under SB 100 that are not related to or the result of their work under this contract. </w:t>
      </w:r>
      <w:proofErr w:type="gramStart"/>
      <w:r w:rsidR="38B565AC" w:rsidRPr="00A47FC7">
        <w:rPr>
          <w:rStyle w:val="normaltextrun"/>
          <w:rFonts w:ascii="Arial" w:hAnsi="Arial" w:cs="Arial"/>
          <w:color w:val="000000" w:themeColor="text1"/>
          <w:sz w:val="24"/>
          <w:szCs w:val="24"/>
        </w:rPr>
        <w:t>At this time</w:t>
      </w:r>
      <w:proofErr w:type="gramEnd"/>
      <w:r w:rsidR="38B565AC" w:rsidRPr="00A47FC7">
        <w:rPr>
          <w:rStyle w:val="normaltextrun"/>
          <w:rFonts w:ascii="Arial" w:hAnsi="Arial" w:cs="Arial"/>
          <w:color w:val="000000" w:themeColor="text1"/>
          <w:sz w:val="24"/>
          <w:szCs w:val="24"/>
        </w:rPr>
        <w:t>, we do not expect the work under the contract to result in recommendations on future solicitations.</w:t>
      </w:r>
    </w:p>
    <w:p w14:paraId="4BCCF0B1" w14:textId="4BB65F75" w:rsidR="00A87B51" w:rsidRDefault="00A87B51" w:rsidP="313F2677">
      <w:pPr>
        <w:spacing w:after="0"/>
        <w:ind w:left="720" w:hanging="720"/>
        <w:rPr>
          <w:rFonts w:ascii="Tahoma" w:hAnsi="Tahoma" w:cs="Tahoma"/>
          <w:b/>
          <w:sz w:val="24"/>
          <w:szCs w:val="24"/>
        </w:rPr>
      </w:pPr>
    </w:p>
    <w:sectPr w:rsidR="00A87B5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EBBB" w14:textId="77777777" w:rsidR="009E2DA0" w:rsidRDefault="009E2DA0" w:rsidP="00345257">
      <w:pPr>
        <w:spacing w:after="0" w:line="240" w:lineRule="auto"/>
      </w:pPr>
      <w:r>
        <w:separator/>
      </w:r>
    </w:p>
  </w:endnote>
  <w:endnote w:type="continuationSeparator" w:id="0">
    <w:p w14:paraId="1EC3C03E" w14:textId="77777777" w:rsidR="009E2DA0" w:rsidRDefault="009E2DA0" w:rsidP="00345257">
      <w:pPr>
        <w:spacing w:after="0" w:line="240" w:lineRule="auto"/>
      </w:pPr>
      <w:r>
        <w:continuationSeparator/>
      </w:r>
    </w:p>
  </w:endnote>
  <w:endnote w:type="continuationNotice" w:id="1">
    <w:p w14:paraId="234F4ABE" w14:textId="77777777" w:rsidR="009E2DA0" w:rsidRDefault="009E2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C05B" w14:textId="27D733F0" w:rsidR="00345257" w:rsidRDefault="00A32615" w:rsidP="00A47FC7">
    <w:pPr>
      <w:tabs>
        <w:tab w:val="left" w:pos="0"/>
        <w:tab w:val="center" w:pos="4680"/>
        <w:tab w:val="right" w:pos="9360"/>
      </w:tabs>
      <w:spacing w:after="0" w:line="240" w:lineRule="auto"/>
      <w:rPr>
        <w:rFonts w:ascii="Arial" w:hAnsi="Arial" w:cs="Arial"/>
        <w:szCs w:val="24"/>
      </w:rPr>
    </w:pPr>
    <w:r w:rsidRPr="00A47FC7">
      <w:rPr>
        <w:rFonts w:ascii="Arial" w:hAnsi="Arial" w:cs="Arial"/>
        <w:szCs w:val="24"/>
      </w:rPr>
      <w:t>March</w:t>
    </w:r>
    <w:r w:rsidR="00345257" w:rsidRPr="00A47FC7">
      <w:rPr>
        <w:rFonts w:ascii="Arial" w:hAnsi="Arial" w:cs="Arial"/>
        <w:szCs w:val="24"/>
      </w:rPr>
      <w:t xml:space="preserve"> 202</w:t>
    </w:r>
    <w:r w:rsidRPr="00A47FC7">
      <w:rPr>
        <w:rFonts w:ascii="Arial" w:hAnsi="Arial" w:cs="Arial"/>
        <w:szCs w:val="24"/>
      </w:rPr>
      <w:t>2</w:t>
    </w:r>
    <w:r w:rsidR="00345257" w:rsidRPr="00A47FC7">
      <w:rPr>
        <w:rFonts w:ascii="Arial" w:hAnsi="Arial" w:cs="Arial"/>
        <w:szCs w:val="24"/>
      </w:rPr>
      <w:tab/>
      <w:t xml:space="preserve">Page </w:t>
    </w:r>
    <w:r w:rsidR="00345257" w:rsidRPr="00A47FC7">
      <w:rPr>
        <w:rFonts w:ascii="Arial" w:hAnsi="Arial" w:cs="Arial"/>
        <w:szCs w:val="24"/>
      </w:rPr>
      <w:fldChar w:fldCharType="begin"/>
    </w:r>
    <w:r w:rsidR="00345257" w:rsidRPr="00A47FC7">
      <w:rPr>
        <w:rFonts w:ascii="Arial" w:hAnsi="Arial" w:cs="Arial"/>
        <w:szCs w:val="24"/>
      </w:rPr>
      <w:instrText xml:space="preserve"> PAGE </w:instrText>
    </w:r>
    <w:r w:rsidR="00345257" w:rsidRPr="00A47FC7">
      <w:rPr>
        <w:rFonts w:ascii="Arial" w:hAnsi="Arial" w:cs="Arial"/>
        <w:szCs w:val="24"/>
      </w:rPr>
      <w:fldChar w:fldCharType="separate"/>
    </w:r>
    <w:r w:rsidR="00345257" w:rsidRPr="00A47FC7">
      <w:rPr>
        <w:rFonts w:ascii="Arial" w:hAnsi="Arial" w:cs="Arial"/>
      </w:rPr>
      <w:t>42</w:t>
    </w:r>
    <w:r w:rsidR="00345257" w:rsidRPr="00A47FC7">
      <w:rPr>
        <w:rFonts w:ascii="Arial" w:hAnsi="Arial" w:cs="Arial"/>
        <w:szCs w:val="24"/>
      </w:rPr>
      <w:fldChar w:fldCharType="end"/>
    </w:r>
    <w:r w:rsidR="00345257" w:rsidRPr="00A47FC7">
      <w:rPr>
        <w:rFonts w:ascii="Arial" w:hAnsi="Arial" w:cs="Arial"/>
        <w:szCs w:val="24"/>
      </w:rPr>
      <w:t xml:space="preserve"> </w:t>
    </w:r>
    <w:r w:rsidR="00345257" w:rsidRPr="00A47FC7">
      <w:rPr>
        <w:rFonts w:ascii="Arial" w:hAnsi="Arial" w:cs="Arial"/>
        <w:szCs w:val="24"/>
      </w:rPr>
      <w:tab/>
      <w:t>RFP-21-</w:t>
    </w:r>
    <w:r w:rsidRPr="00A47FC7">
      <w:rPr>
        <w:rFonts w:ascii="Arial" w:hAnsi="Arial" w:cs="Arial"/>
        <w:szCs w:val="24"/>
      </w:rPr>
      <w:t>8</w:t>
    </w:r>
    <w:r w:rsidR="00345257" w:rsidRPr="00A47FC7">
      <w:rPr>
        <w:rFonts w:ascii="Arial" w:hAnsi="Arial" w:cs="Arial"/>
        <w:szCs w:val="24"/>
      </w:rPr>
      <w:t>01</w:t>
    </w:r>
  </w:p>
  <w:p w14:paraId="0F46B183" w14:textId="13E0D006" w:rsidR="00A47FC7" w:rsidRDefault="00A47FC7" w:rsidP="00A47FC7">
    <w:pPr>
      <w:tabs>
        <w:tab w:val="left" w:pos="0"/>
        <w:tab w:val="center" w:pos="4680"/>
        <w:tab w:val="right" w:pos="9360"/>
      </w:tabs>
      <w:spacing w:after="0" w:line="240" w:lineRule="auto"/>
      <w:jc w:val="right"/>
      <w:rPr>
        <w:rFonts w:ascii="Arial" w:hAnsi="Arial" w:cs="Arial"/>
      </w:rPr>
    </w:pPr>
    <w:r>
      <w:rPr>
        <w:rFonts w:ascii="Arial" w:hAnsi="Arial" w:cs="Arial"/>
      </w:rPr>
      <w:t>Questions and Answers</w:t>
    </w:r>
    <w:r>
      <w:rPr>
        <w:rFonts w:ascii="Arial" w:hAnsi="Arial" w:cs="Arial"/>
      </w:rPr>
      <w:tab/>
    </w:r>
    <w:r w:rsidRPr="00A47FC7">
      <w:rPr>
        <w:rFonts w:ascii="Arial" w:hAnsi="Arial" w:cs="Arial"/>
      </w:rPr>
      <w:t xml:space="preserve">Technical Support to </w:t>
    </w:r>
  </w:p>
  <w:p w14:paraId="05F03723" w14:textId="4664420C" w:rsidR="00A47FC7" w:rsidRPr="00A47FC7" w:rsidRDefault="00A47FC7" w:rsidP="00A47FC7">
    <w:pPr>
      <w:tabs>
        <w:tab w:val="left" w:pos="0"/>
        <w:tab w:val="center" w:pos="4680"/>
        <w:tab w:val="right" w:pos="9360"/>
      </w:tabs>
      <w:spacing w:after="0" w:line="240" w:lineRule="auto"/>
      <w:jc w:val="right"/>
      <w:rPr>
        <w:rFonts w:ascii="Arial" w:hAnsi="Arial" w:cs="Arial"/>
      </w:rPr>
    </w:pPr>
    <w:r w:rsidRPr="00A47FC7">
      <w:rPr>
        <w:rFonts w:ascii="Arial" w:hAnsi="Arial" w:cs="Arial"/>
      </w:rPr>
      <w:t>SB100 Modeling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548C" w14:textId="77777777" w:rsidR="009E2DA0" w:rsidRDefault="009E2DA0" w:rsidP="00345257">
      <w:pPr>
        <w:spacing w:after="0" w:line="240" w:lineRule="auto"/>
      </w:pPr>
      <w:r>
        <w:separator/>
      </w:r>
    </w:p>
  </w:footnote>
  <w:footnote w:type="continuationSeparator" w:id="0">
    <w:p w14:paraId="2980747E" w14:textId="77777777" w:rsidR="009E2DA0" w:rsidRDefault="009E2DA0" w:rsidP="00345257">
      <w:pPr>
        <w:spacing w:after="0" w:line="240" w:lineRule="auto"/>
      </w:pPr>
      <w:r>
        <w:continuationSeparator/>
      </w:r>
    </w:p>
  </w:footnote>
  <w:footnote w:type="continuationNotice" w:id="1">
    <w:p w14:paraId="1FEFBE1C" w14:textId="77777777" w:rsidR="009E2DA0" w:rsidRDefault="009E2D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0D6"/>
    <w:multiLevelType w:val="hybridMultilevel"/>
    <w:tmpl w:val="136C5E1E"/>
    <w:lvl w:ilvl="0" w:tplc="C37E5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76662"/>
    <w:multiLevelType w:val="hybridMultilevel"/>
    <w:tmpl w:val="83CA68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F855AF"/>
    <w:multiLevelType w:val="hybridMultilevel"/>
    <w:tmpl w:val="650E2726"/>
    <w:lvl w:ilvl="0" w:tplc="454E5508">
      <w:start w:val="1"/>
      <w:numFmt w:val="lowerLetter"/>
      <w:lvlText w:val="%1."/>
      <w:lvlJc w:val="left"/>
      <w:pPr>
        <w:ind w:left="1080" w:hanging="360"/>
      </w:pPr>
      <w:rPr>
        <w:b w:val="0"/>
      </w:rPr>
    </w:lvl>
    <w:lvl w:ilvl="1" w:tplc="A9FE0144">
      <w:start w:val="1"/>
      <w:numFmt w:val="decimal"/>
      <w:lvlText w:val="%2."/>
      <w:lvlJc w:val="left"/>
      <w:pPr>
        <w:ind w:left="1440" w:hanging="360"/>
      </w:pPr>
      <w:rPr>
        <w:b/>
      </w:rPr>
    </w:lvl>
    <w:lvl w:ilvl="2" w:tplc="DED2B72A">
      <w:start w:val="1"/>
      <w:numFmt w:val="lowerLetter"/>
      <w:lvlText w:val="%3."/>
      <w:lvlJc w:val="right"/>
      <w:pPr>
        <w:ind w:left="1800" w:hanging="360"/>
      </w:pPr>
    </w:lvl>
    <w:lvl w:ilvl="3" w:tplc="4154B43A">
      <w:start w:val="1"/>
      <w:numFmt w:val="lowerRoman"/>
      <w:lvlText w:val="%4."/>
      <w:lvlJc w:val="left"/>
      <w:pPr>
        <w:ind w:left="2160" w:hanging="360"/>
      </w:pPr>
    </w:lvl>
    <w:lvl w:ilvl="4" w:tplc="B290CD26">
      <w:start w:val="1"/>
      <w:numFmt w:val="lowerLetter"/>
      <w:lvlText w:val="%5."/>
      <w:lvlJc w:val="left"/>
      <w:pPr>
        <w:ind w:left="3960" w:hanging="360"/>
      </w:pPr>
    </w:lvl>
    <w:lvl w:ilvl="5" w:tplc="B10C8F26">
      <w:start w:val="1"/>
      <w:numFmt w:val="lowerRoman"/>
      <w:lvlText w:val="%6."/>
      <w:lvlJc w:val="right"/>
      <w:pPr>
        <w:ind w:left="4680" w:hanging="180"/>
      </w:pPr>
    </w:lvl>
    <w:lvl w:ilvl="6" w:tplc="21807B60">
      <w:start w:val="1"/>
      <w:numFmt w:val="decimal"/>
      <w:lvlText w:val="%7."/>
      <w:lvlJc w:val="left"/>
      <w:pPr>
        <w:ind w:left="5400" w:hanging="360"/>
      </w:pPr>
    </w:lvl>
    <w:lvl w:ilvl="7" w:tplc="7CDC72C4">
      <w:start w:val="1"/>
      <w:numFmt w:val="lowerLetter"/>
      <w:lvlText w:val="%8."/>
      <w:lvlJc w:val="left"/>
      <w:pPr>
        <w:ind w:left="6120" w:hanging="360"/>
      </w:pPr>
    </w:lvl>
    <w:lvl w:ilvl="8" w:tplc="2B5845C0">
      <w:start w:val="1"/>
      <w:numFmt w:val="lowerRoman"/>
      <w:lvlText w:val="%9."/>
      <w:lvlJc w:val="right"/>
      <w:pPr>
        <w:ind w:left="6840" w:hanging="180"/>
      </w:pPr>
    </w:lvl>
  </w:abstractNum>
  <w:abstractNum w:abstractNumId="3" w15:restartNumberingAfterBreak="0">
    <w:nsid w:val="497C4DCE"/>
    <w:multiLevelType w:val="hybridMultilevel"/>
    <w:tmpl w:val="5E08E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390709"/>
    <w:rsid w:val="000062D2"/>
    <w:rsid w:val="00012107"/>
    <w:rsid w:val="00012836"/>
    <w:rsid w:val="00027A3D"/>
    <w:rsid w:val="00033B0B"/>
    <w:rsid w:val="00037F1A"/>
    <w:rsid w:val="00052B7E"/>
    <w:rsid w:val="0005562F"/>
    <w:rsid w:val="000675FA"/>
    <w:rsid w:val="000822F1"/>
    <w:rsid w:val="00083347"/>
    <w:rsid w:val="000857B9"/>
    <w:rsid w:val="0008646C"/>
    <w:rsid w:val="0009617F"/>
    <w:rsid w:val="000A1529"/>
    <w:rsid w:val="000B5304"/>
    <w:rsid w:val="000B5642"/>
    <w:rsid w:val="000B5C48"/>
    <w:rsid w:val="0010168D"/>
    <w:rsid w:val="00102CAD"/>
    <w:rsid w:val="00104903"/>
    <w:rsid w:val="00110FFF"/>
    <w:rsid w:val="0011400A"/>
    <w:rsid w:val="00123497"/>
    <w:rsid w:val="00124240"/>
    <w:rsid w:val="00127751"/>
    <w:rsid w:val="00133C75"/>
    <w:rsid w:val="0014314B"/>
    <w:rsid w:val="0014797D"/>
    <w:rsid w:val="001555D6"/>
    <w:rsid w:val="0015628B"/>
    <w:rsid w:val="001570E1"/>
    <w:rsid w:val="001763CF"/>
    <w:rsid w:val="0018202B"/>
    <w:rsid w:val="001838A7"/>
    <w:rsid w:val="001900D4"/>
    <w:rsid w:val="00193292"/>
    <w:rsid w:val="00194DB0"/>
    <w:rsid w:val="00197821"/>
    <w:rsid w:val="001A3047"/>
    <w:rsid w:val="001A6277"/>
    <w:rsid w:val="001C5996"/>
    <w:rsid w:val="001C5ECA"/>
    <w:rsid w:val="001C6674"/>
    <w:rsid w:val="001F01CD"/>
    <w:rsid w:val="001F3AF8"/>
    <w:rsid w:val="002003C7"/>
    <w:rsid w:val="00200CA2"/>
    <w:rsid w:val="0020790B"/>
    <w:rsid w:val="00207CAF"/>
    <w:rsid w:val="00211B3F"/>
    <w:rsid w:val="00215620"/>
    <w:rsid w:val="00215A6B"/>
    <w:rsid w:val="00216475"/>
    <w:rsid w:val="002179BE"/>
    <w:rsid w:val="00220CD5"/>
    <w:rsid w:val="00233264"/>
    <w:rsid w:val="00237CAE"/>
    <w:rsid w:val="00240A4E"/>
    <w:rsid w:val="00247B19"/>
    <w:rsid w:val="002544BF"/>
    <w:rsid w:val="0026401D"/>
    <w:rsid w:val="00267215"/>
    <w:rsid w:val="00272728"/>
    <w:rsid w:val="00274B99"/>
    <w:rsid w:val="00286B53"/>
    <w:rsid w:val="002903B3"/>
    <w:rsid w:val="00294E3D"/>
    <w:rsid w:val="002A0584"/>
    <w:rsid w:val="002B3D84"/>
    <w:rsid w:val="002E3840"/>
    <w:rsid w:val="002E5905"/>
    <w:rsid w:val="002F5D3D"/>
    <w:rsid w:val="00303EF9"/>
    <w:rsid w:val="003128C7"/>
    <w:rsid w:val="00315171"/>
    <w:rsid w:val="00315199"/>
    <w:rsid w:val="00336F24"/>
    <w:rsid w:val="00345257"/>
    <w:rsid w:val="00350B97"/>
    <w:rsid w:val="003518AA"/>
    <w:rsid w:val="0037302E"/>
    <w:rsid w:val="00373AF1"/>
    <w:rsid w:val="00374764"/>
    <w:rsid w:val="00375AB3"/>
    <w:rsid w:val="0038142A"/>
    <w:rsid w:val="003852A4"/>
    <w:rsid w:val="003970E2"/>
    <w:rsid w:val="003B3A5F"/>
    <w:rsid w:val="003B4209"/>
    <w:rsid w:val="003B5E82"/>
    <w:rsid w:val="003B66D0"/>
    <w:rsid w:val="003D0563"/>
    <w:rsid w:val="003D2A70"/>
    <w:rsid w:val="003D43D0"/>
    <w:rsid w:val="003D5F33"/>
    <w:rsid w:val="003E163A"/>
    <w:rsid w:val="003F3C61"/>
    <w:rsid w:val="00402F11"/>
    <w:rsid w:val="004077D0"/>
    <w:rsid w:val="00420AF2"/>
    <w:rsid w:val="00422516"/>
    <w:rsid w:val="004256A0"/>
    <w:rsid w:val="00430124"/>
    <w:rsid w:val="004357DB"/>
    <w:rsid w:val="004442EF"/>
    <w:rsid w:val="004464E3"/>
    <w:rsid w:val="00447561"/>
    <w:rsid w:val="0045185B"/>
    <w:rsid w:val="00454DEC"/>
    <w:rsid w:val="004617C7"/>
    <w:rsid w:val="004648DC"/>
    <w:rsid w:val="00467A33"/>
    <w:rsid w:val="004702AC"/>
    <w:rsid w:val="00471CCD"/>
    <w:rsid w:val="004838C4"/>
    <w:rsid w:val="004844B3"/>
    <w:rsid w:val="004932E2"/>
    <w:rsid w:val="004C7A56"/>
    <w:rsid w:val="004D0F03"/>
    <w:rsid w:val="004D55B5"/>
    <w:rsid w:val="004E33EF"/>
    <w:rsid w:val="00505614"/>
    <w:rsid w:val="00507DED"/>
    <w:rsid w:val="00511898"/>
    <w:rsid w:val="00515ECD"/>
    <w:rsid w:val="0052052A"/>
    <w:rsid w:val="00520C02"/>
    <w:rsid w:val="00522A1F"/>
    <w:rsid w:val="00530348"/>
    <w:rsid w:val="00534402"/>
    <w:rsid w:val="00547821"/>
    <w:rsid w:val="00561DC4"/>
    <w:rsid w:val="005657D0"/>
    <w:rsid w:val="00582CAB"/>
    <w:rsid w:val="00585B50"/>
    <w:rsid w:val="00593F13"/>
    <w:rsid w:val="005A4A35"/>
    <w:rsid w:val="005A4D4D"/>
    <w:rsid w:val="005B66BA"/>
    <w:rsid w:val="005C491E"/>
    <w:rsid w:val="005F014F"/>
    <w:rsid w:val="005F3A6B"/>
    <w:rsid w:val="005F77EF"/>
    <w:rsid w:val="005F7A3A"/>
    <w:rsid w:val="00601269"/>
    <w:rsid w:val="00604874"/>
    <w:rsid w:val="00606E24"/>
    <w:rsid w:val="00611F51"/>
    <w:rsid w:val="006142AB"/>
    <w:rsid w:val="00617BBC"/>
    <w:rsid w:val="0062029A"/>
    <w:rsid w:val="00621F64"/>
    <w:rsid w:val="006306C2"/>
    <w:rsid w:val="00631D3C"/>
    <w:rsid w:val="00634767"/>
    <w:rsid w:val="00635603"/>
    <w:rsid w:val="00637E8C"/>
    <w:rsid w:val="0065021A"/>
    <w:rsid w:val="006765E4"/>
    <w:rsid w:val="0068555F"/>
    <w:rsid w:val="00690FCB"/>
    <w:rsid w:val="00691C85"/>
    <w:rsid w:val="00693FAE"/>
    <w:rsid w:val="006958B1"/>
    <w:rsid w:val="006A0779"/>
    <w:rsid w:val="006B0DB9"/>
    <w:rsid w:val="006B2708"/>
    <w:rsid w:val="006B2E26"/>
    <w:rsid w:val="006C638F"/>
    <w:rsid w:val="006C7E73"/>
    <w:rsid w:val="006D1F28"/>
    <w:rsid w:val="006F1784"/>
    <w:rsid w:val="006F6EF1"/>
    <w:rsid w:val="006F743E"/>
    <w:rsid w:val="007067D5"/>
    <w:rsid w:val="00707428"/>
    <w:rsid w:val="00707CE2"/>
    <w:rsid w:val="00713E23"/>
    <w:rsid w:val="00724F63"/>
    <w:rsid w:val="0073075D"/>
    <w:rsid w:val="007342C2"/>
    <w:rsid w:val="0073731E"/>
    <w:rsid w:val="007445FD"/>
    <w:rsid w:val="00747B6B"/>
    <w:rsid w:val="00750624"/>
    <w:rsid w:val="007725F0"/>
    <w:rsid w:val="00775607"/>
    <w:rsid w:val="0077651A"/>
    <w:rsid w:val="00781E99"/>
    <w:rsid w:val="00784B61"/>
    <w:rsid w:val="00796637"/>
    <w:rsid w:val="007A05C5"/>
    <w:rsid w:val="007C07E8"/>
    <w:rsid w:val="007C571D"/>
    <w:rsid w:val="00800E00"/>
    <w:rsid w:val="008016D3"/>
    <w:rsid w:val="008031C0"/>
    <w:rsid w:val="00812029"/>
    <w:rsid w:val="00812A1B"/>
    <w:rsid w:val="00814F2F"/>
    <w:rsid w:val="008220CA"/>
    <w:rsid w:val="00824515"/>
    <w:rsid w:val="008273CA"/>
    <w:rsid w:val="00833E7D"/>
    <w:rsid w:val="00871AAF"/>
    <w:rsid w:val="008758C3"/>
    <w:rsid w:val="008826DF"/>
    <w:rsid w:val="008845C1"/>
    <w:rsid w:val="00897645"/>
    <w:rsid w:val="008B6294"/>
    <w:rsid w:val="008D23B1"/>
    <w:rsid w:val="008D450F"/>
    <w:rsid w:val="008F166F"/>
    <w:rsid w:val="008F5394"/>
    <w:rsid w:val="008F56DA"/>
    <w:rsid w:val="00926AB9"/>
    <w:rsid w:val="00930686"/>
    <w:rsid w:val="0093204A"/>
    <w:rsid w:val="00950D21"/>
    <w:rsid w:val="00952165"/>
    <w:rsid w:val="009666DF"/>
    <w:rsid w:val="0096692A"/>
    <w:rsid w:val="00970E06"/>
    <w:rsid w:val="0097757C"/>
    <w:rsid w:val="0098083E"/>
    <w:rsid w:val="0098104D"/>
    <w:rsid w:val="00981D66"/>
    <w:rsid w:val="00982F07"/>
    <w:rsid w:val="0098589F"/>
    <w:rsid w:val="009B4204"/>
    <w:rsid w:val="009D2BA3"/>
    <w:rsid w:val="009D658B"/>
    <w:rsid w:val="009E15D0"/>
    <w:rsid w:val="009E2DA0"/>
    <w:rsid w:val="009E7BCB"/>
    <w:rsid w:val="009F1006"/>
    <w:rsid w:val="00A13F2E"/>
    <w:rsid w:val="00A20759"/>
    <w:rsid w:val="00A32615"/>
    <w:rsid w:val="00A36416"/>
    <w:rsid w:val="00A3797C"/>
    <w:rsid w:val="00A47FC7"/>
    <w:rsid w:val="00A70611"/>
    <w:rsid w:val="00A71A94"/>
    <w:rsid w:val="00A81F71"/>
    <w:rsid w:val="00A84135"/>
    <w:rsid w:val="00A87B51"/>
    <w:rsid w:val="00A95BA5"/>
    <w:rsid w:val="00AA0216"/>
    <w:rsid w:val="00AA337C"/>
    <w:rsid w:val="00AA3C92"/>
    <w:rsid w:val="00AC3401"/>
    <w:rsid w:val="00AD52CF"/>
    <w:rsid w:val="00AF057A"/>
    <w:rsid w:val="00AF5E3F"/>
    <w:rsid w:val="00AF5EDE"/>
    <w:rsid w:val="00AF632F"/>
    <w:rsid w:val="00AF64E6"/>
    <w:rsid w:val="00AF6619"/>
    <w:rsid w:val="00B12669"/>
    <w:rsid w:val="00B144ED"/>
    <w:rsid w:val="00B158B8"/>
    <w:rsid w:val="00B215F4"/>
    <w:rsid w:val="00B229A9"/>
    <w:rsid w:val="00B525E6"/>
    <w:rsid w:val="00B541CE"/>
    <w:rsid w:val="00B579A6"/>
    <w:rsid w:val="00B70139"/>
    <w:rsid w:val="00B71D4A"/>
    <w:rsid w:val="00B75550"/>
    <w:rsid w:val="00B80E92"/>
    <w:rsid w:val="00B812AC"/>
    <w:rsid w:val="00B84758"/>
    <w:rsid w:val="00B94666"/>
    <w:rsid w:val="00BB6748"/>
    <w:rsid w:val="00BC084E"/>
    <w:rsid w:val="00BD199B"/>
    <w:rsid w:val="00BE36F8"/>
    <w:rsid w:val="00BF00D0"/>
    <w:rsid w:val="00C14F9C"/>
    <w:rsid w:val="00C540B0"/>
    <w:rsid w:val="00C644CF"/>
    <w:rsid w:val="00C67347"/>
    <w:rsid w:val="00C7198A"/>
    <w:rsid w:val="00C71B67"/>
    <w:rsid w:val="00C72AD4"/>
    <w:rsid w:val="00C73C51"/>
    <w:rsid w:val="00C82696"/>
    <w:rsid w:val="00C830B7"/>
    <w:rsid w:val="00C96DD1"/>
    <w:rsid w:val="00CA08AC"/>
    <w:rsid w:val="00CA0E46"/>
    <w:rsid w:val="00CB3C0C"/>
    <w:rsid w:val="00CB70AE"/>
    <w:rsid w:val="00CB78B4"/>
    <w:rsid w:val="00CC527F"/>
    <w:rsid w:val="00CD55C4"/>
    <w:rsid w:val="00CE318A"/>
    <w:rsid w:val="00CF2CD2"/>
    <w:rsid w:val="00CF539D"/>
    <w:rsid w:val="00D03E07"/>
    <w:rsid w:val="00D07A37"/>
    <w:rsid w:val="00D07B83"/>
    <w:rsid w:val="00D10269"/>
    <w:rsid w:val="00D11F1D"/>
    <w:rsid w:val="00D2320E"/>
    <w:rsid w:val="00D26441"/>
    <w:rsid w:val="00D313DD"/>
    <w:rsid w:val="00D479FF"/>
    <w:rsid w:val="00D47DD8"/>
    <w:rsid w:val="00D55EDF"/>
    <w:rsid w:val="00D6251B"/>
    <w:rsid w:val="00D6598C"/>
    <w:rsid w:val="00D6635C"/>
    <w:rsid w:val="00D74CAC"/>
    <w:rsid w:val="00D754F6"/>
    <w:rsid w:val="00D77871"/>
    <w:rsid w:val="00DB1FCD"/>
    <w:rsid w:val="00DD2913"/>
    <w:rsid w:val="00DE14A3"/>
    <w:rsid w:val="00DF2E2C"/>
    <w:rsid w:val="00E175FC"/>
    <w:rsid w:val="00E36F5A"/>
    <w:rsid w:val="00E53B70"/>
    <w:rsid w:val="00E54CFD"/>
    <w:rsid w:val="00E60B2F"/>
    <w:rsid w:val="00E756AC"/>
    <w:rsid w:val="00E827D1"/>
    <w:rsid w:val="00E84159"/>
    <w:rsid w:val="00E90883"/>
    <w:rsid w:val="00E96AB0"/>
    <w:rsid w:val="00EB3108"/>
    <w:rsid w:val="00EB518B"/>
    <w:rsid w:val="00EC21EF"/>
    <w:rsid w:val="00EC3E58"/>
    <w:rsid w:val="00ED09F9"/>
    <w:rsid w:val="00ED1D67"/>
    <w:rsid w:val="00F03F37"/>
    <w:rsid w:val="00F04C27"/>
    <w:rsid w:val="00F05EF8"/>
    <w:rsid w:val="00F07934"/>
    <w:rsid w:val="00F24541"/>
    <w:rsid w:val="00F25BC2"/>
    <w:rsid w:val="00F3188B"/>
    <w:rsid w:val="00F32125"/>
    <w:rsid w:val="00F336C5"/>
    <w:rsid w:val="00F36A17"/>
    <w:rsid w:val="00F4141F"/>
    <w:rsid w:val="00F41B21"/>
    <w:rsid w:val="00F42D7E"/>
    <w:rsid w:val="00F455DD"/>
    <w:rsid w:val="00F51213"/>
    <w:rsid w:val="00F5198C"/>
    <w:rsid w:val="00F74F1E"/>
    <w:rsid w:val="00F87080"/>
    <w:rsid w:val="00F87F7E"/>
    <w:rsid w:val="00F92EDB"/>
    <w:rsid w:val="00FA4607"/>
    <w:rsid w:val="00FB1202"/>
    <w:rsid w:val="00FC01A1"/>
    <w:rsid w:val="00FC38CB"/>
    <w:rsid w:val="00FE485A"/>
    <w:rsid w:val="00FF0BF5"/>
    <w:rsid w:val="00FF3444"/>
    <w:rsid w:val="00FF7B44"/>
    <w:rsid w:val="0112111C"/>
    <w:rsid w:val="01BC29D2"/>
    <w:rsid w:val="01BCCAE6"/>
    <w:rsid w:val="01FA22FD"/>
    <w:rsid w:val="0256575E"/>
    <w:rsid w:val="02817A4E"/>
    <w:rsid w:val="028AD9D8"/>
    <w:rsid w:val="02B85E74"/>
    <w:rsid w:val="02BF4E00"/>
    <w:rsid w:val="032982EC"/>
    <w:rsid w:val="033011BB"/>
    <w:rsid w:val="04926D25"/>
    <w:rsid w:val="04EC3558"/>
    <w:rsid w:val="0519CD32"/>
    <w:rsid w:val="0587AEC4"/>
    <w:rsid w:val="05E6E8B7"/>
    <w:rsid w:val="0696CBD6"/>
    <w:rsid w:val="0774E2D8"/>
    <w:rsid w:val="07847F80"/>
    <w:rsid w:val="0792BF23"/>
    <w:rsid w:val="07B0FB8D"/>
    <w:rsid w:val="07D44D78"/>
    <w:rsid w:val="082A7386"/>
    <w:rsid w:val="08EC3ADB"/>
    <w:rsid w:val="096A31E5"/>
    <w:rsid w:val="097AD7C5"/>
    <w:rsid w:val="097AE25D"/>
    <w:rsid w:val="097F04A0"/>
    <w:rsid w:val="09816FA6"/>
    <w:rsid w:val="09C0DA8A"/>
    <w:rsid w:val="0A7A31A4"/>
    <w:rsid w:val="0A803A36"/>
    <w:rsid w:val="0AF00398"/>
    <w:rsid w:val="0B79E118"/>
    <w:rsid w:val="0BD47C48"/>
    <w:rsid w:val="0C482E6A"/>
    <w:rsid w:val="0C6ADDB2"/>
    <w:rsid w:val="0CB1EBA7"/>
    <w:rsid w:val="0D4B67B5"/>
    <w:rsid w:val="0D68A436"/>
    <w:rsid w:val="0E635795"/>
    <w:rsid w:val="0E73B887"/>
    <w:rsid w:val="0E86911E"/>
    <w:rsid w:val="0E8BC28B"/>
    <w:rsid w:val="0F1E07D9"/>
    <w:rsid w:val="0F2964D6"/>
    <w:rsid w:val="0F65E275"/>
    <w:rsid w:val="0F96D218"/>
    <w:rsid w:val="1000EE5E"/>
    <w:rsid w:val="102DAE77"/>
    <w:rsid w:val="103FD4FA"/>
    <w:rsid w:val="104DCBFC"/>
    <w:rsid w:val="107B0CBF"/>
    <w:rsid w:val="1134D4F7"/>
    <w:rsid w:val="11B05E79"/>
    <w:rsid w:val="11EB8597"/>
    <w:rsid w:val="11EBDA27"/>
    <w:rsid w:val="123971E3"/>
    <w:rsid w:val="12F300B9"/>
    <w:rsid w:val="13196CF3"/>
    <w:rsid w:val="131FC0D2"/>
    <w:rsid w:val="13608959"/>
    <w:rsid w:val="136C7276"/>
    <w:rsid w:val="14535B48"/>
    <w:rsid w:val="145D0DAF"/>
    <w:rsid w:val="158B4AE1"/>
    <w:rsid w:val="163ED16C"/>
    <w:rsid w:val="168FA20C"/>
    <w:rsid w:val="16BD0D80"/>
    <w:rsid w:val="174072F4"/>
    <w:rsid w:val="17456DA3"/>
    <w:rsid w:val="18E0CDCA"/>
    <w:rsid w:val="18FD75CF"/>
    <w:rsid w:val="1907D550"/>
    <w:rsid w:val="192B8AF1"/>
    <w:rsid w:val="198BB913"/>
    <w:rsid w:val="19958E1B"/>
    <w:rsid w:val="199F410E"/>
    <w:rsid w:val="1A08E84E"/>
    <w:rsid w:val="1A207140"/>
    <w:rsid w:val="1A387185"/>
    <w:rsid w:val="1A4F78DF"/>
    <w:rsid w:val="1A809991"/>
    <w:rsid w:val="1A925B09"/>
    <w:rsid w:val="1AEAB149"/>
    <w:rsid w:val="1B608131"/>
    <w:rsid w:val="1B6F6F97"/>
    <w:rsid w:val="1C2D4587"/>
    <w:rsid w:val="1C351691"/>
    <w:rsid w:val="1C4EF737"/>
    <w:rsid w:val="1D2A83E0"/>
    <w:rsid w:val="1DAF5CBC"/>
    <w:rsid w:val="1DBB0150"/>
    <w:rsid w:val="1E028B78"/>
    <w:rsid w:val="1E5792F4"/>
    <w:rsid w:val="1EABC943"/>
    <w:rsid w:val="1ED36F27"/>
    <w:rsid w:val="1F06D24D"/>
    <w:rsid w:val="201F7279"/>
    <w:rsid w:val="2089F820"/>
    <w:rsid w:val="20AE6ACD"/>
    <w:rsid w:val="2183E9A8"/>
    <w:rsid w:val="2211FCF9"/>
    <w:rsid w:val="22AB61E5"/>
    <w:rsid w:val="22B6DDFF"/>
    <w:rsid w:val="23D18841"/>
    <w:rsid w:val="23EBDE75"/>
    <w:rsid w:val="23ECA49E"/>
    <w:rsid w:val="2433A0FD"/>
    <w:rsid w:val="24508986"/>
    <w:rsid w:val="254A0659"/>
    <w:rsid w:val="254C3904"/>
    <w:rsid w:val="25F22734"/>
    <w:rsid w:val="2625AE41"/>
    <w:rsid w:val="263A2FA0"/>
    <w:rsid w:val="268A0512"/>
    <w:rsid w:val="269606A5"/>
    <w:rsid w:val="26DB7CB1"/>
    <w:rsid w:val="28543C02"/>
    <w:rsid w:val="2856C308"/>
    <w:rsid w:val="286B8C2B"/>
    <w:rsid w:val="28A01B08"/>
    <w:rsid w:val="28C6114A"/>
    <w:rsid w:val="28E7A0E6"/>
    <w:rsid w:val="28EF1621"/>
    <w:rsid w:val="28F2A032"/>
    <w:rsid w:val="2A68BD4E"/>
    <w:rsid w:val="2AD69587"/>
    <w:rsid w:val="2ADCC015"/>
    <w:rsid w:val="2B489468"/>
    <w:rsid w:val="2B821B0B"/>
    <w:rsid w:val="2C03B3F8"/>
    <w:rsid w:val="2C9DB981"/>
    <w:rsid w:val="2CCBB068"/>
    <w:rsid w:val="2CD636DC"/>
    <w:rsid w:val="2DC8A7E2"/>
    <w:rsid w:val="2E822B7E"/>
    <w:rsid w:val="2EC67B89"/>
    <w:rsid w:val="2EE52C52"/>
    <w:rsid w:val="2EEA8BB4"/>
    <w:rsid w:val="2FB4EC4E"/>
    <w:rsid w:val="2FB7349E"/>
    <w:rsid w:val="2FC8BB0F"/>
    <w:rsid w:val="2FCF3E85"/>
    <w:rsid w:val="3003F716"/>
    <w:rsid w:val="300938AE"/>
    <w:rsid w:val="3048AC90"/>
    <w:rsid w:val="308A9414"/>
    <w:rsid w:val="30FFB12C"/>
    <w:rsid w:val="31342BFA"/>
    <w:rsid w:val="313F2677"/>
    <w:rsid w:val="319F3F46"/>
    <w:rsid w:val="31CF562B"/>
    <w:rsid w:val="31DDD892"/>
    <w:rsid w:val="33D925F9"/>
    <w:rsid w:val="356C8D50"/>
    <w:rsid w:val="35CB9A6B"/>
    <w:rsid w:val="3693B60A"/>
    <w:rsid w:val="36EDE812"/>
    <w:rsid w:val="370D325F"/>
    <w:rsid w:val="37285732"/>
    <w:rsid w:val="373CC772"/>
    <w:rsid w:val="379D8DC7"/>
    <w:rsid w:val="37A5714F"/>
    <w:rsid w:val="37AAC74D"/>
    <w:rsid w:val="37AFB146"/>
    <w:rsid w:val="37BFB6F8"/>
    <w:rsid w:val="38475DB3"/>
    <w:rsid w:val="38B565AC"/>
    <w:rsid w:val="38CBBFA4"/>
    <w:rsid w:val="391E21E8"/>
    <w:rsid w:val="3937291B"/>
    <w:rsid w:val="39A33495"/>
    <w:rsid w:val="3A9783AA"/>
    <w:rsid w:val="3AA98CA6"/>
    <w:rsid w:val="3AEA5DB9"/>
    <w:rsid w:val="3AEFB9E8"/>
    <w:rsid w:val="3AFD9350"/>
    <w:rsid w:val="3B7A9514"/>
    <w:rsid w:val="3CBAC82C"/>
    <w:rsid w:val="3D2FCDD2"/>
    <w:rsid w:val="3DD0F0F0"/>
    <w:rsid w:val="3F067C8D"/>
    <w:rsid w:val="3F55F02C"/>
    <w:rsid w:val="3F9DC3A2"/>
    <w:rsid w:val="411BC367"/>
    <w:rsid w:val="415F8B66"/>
    <w:rsid w:val="418DEC54"/>
    <w:rsid w:val="4213E1D0"/>
    <w:rsid w:val="428D90EE"/>
    <w:rsid w:val="428F9D69"/>
    <w:rsid w:val="42B05F16"/>
    <w:rsid w:val="42FF6CAF"/>
    <w:rsid w:val="4313F288"/>
    <w:rsid w:val="43611379"/>
    <w:rsid w:val="43BC72BA"/>
    <w:rsid w:val="444BD789"/>
    <w:rsid w:val="449EFD32"/>
    <w:rsid w:val="452AC131"/>
    <w:rsid w:val="4535F153"/>
    <w:rsid w:val="45469580"/>
    <w:rsid w:val="45AC3CB0"/>
    <w:rsid w:val="46032B3C"/>
    <w:rsid w:val="460604E3"/>
    <w:rsid w:val="46CBC28E"/>
    <w:rsid w:val="46E69B6B"/>
    <w:rsid w:val="471F7CDD"/>
    <w:rsid w:val="473DE9E4"/>
    <w:rsid w:val="47CAC018"/>
    <w:rsid w:val="48332271"/>
    <w:rsid w:val="48F908C5"/>
    <w:rsid w:val="4AA7C292"/>
    <w:rsid w:val="4B2B5CDA"/>
    <w:rsid w:val="4B46EAA3"/>
    <w:rsid w:val="4B9A09C1"/>
    <w:rsid w:val="4C2DAFD4"/>
    <w:rsid w:val="4C431128"/>
    <w:rsid w:val="4CC84667"/>
    <w:rsid w:val="4D55B904"/>
    <w:rsid w:val="4D70B87C"/>
    <w:rsid w:val="4D947CBE"/>
    <w:rsid w:val="4DC3045E"/>
    <w:rsid w:val="4DF42628"/>
    <w:rsid w:val="4E8273C1"/>
    <w:rsid w:val="4EC44179"/>
    <w:rsid w:val="4F40E705"/>
    <w:rsid w:val="50788270"/>
    <w:rsid w:val="50D2AA60"/>
    <w:rsid w:val="50DD65D2"/>
    <w:rsid w:val="512D3273"/>
    <w:rsid w:val="516F3B59"/>
    <w:rsid w:val="5306F923"/>
    <w:rsid w:val="5322018E"/>
    <w:rsid w:val="53336133"/>
    <w:rsid w:val="53431951"/>
    <w:rsid w:val="5346F4F5"/>
    <w:rsid w:val="53911D39"/>
    <w:rsid w:val="539CF266"/>
    <w:rsid w:val="53AEEE19"/>
    <w:rsid w:val="53DA6DC3"/>
    <w:rsid w:val="5464345D"/>
    <w:rsid w:val="54864201"/>
    <w:rsid w:val="552FEE99"/>
    <w:rsid w:val="554E6838"/>
    <w:rsid w:val="55B3AA0D"/>
    <w:rsid w:val="5637C900"/>
    <w:rsid w:val="56E4216E"/>
    <w:rsid w:val="5826022C"/>
    <w:rsid w:val="5836C7A0"/>
    <w:rsid w:val="58B29331"/>
    <w:rsid w:val="5905823F"/>
    <w:rsid w:val="5971ECDE"/>
    <w:rsid w:val="59C04DF8"/>
    <w:rsid w:val="59E5CC11"/>
    <w:rsid w:val="59FA9D55"/>
    <w:rsid w:val="5A1F64B6"/>
    <w:rsid w:val="5A5F4866"/>
    <w:rsid w:val="5B2C0720"/>
    <w:rsid w:val="5C14F7C8"/>
    <w:rsid w:val="5CB0ADF9"/>
    <w:rsid w:val="5CDD0D2C"/>
    <w:rsid w:val="5D0F0D1D"/>
    <w:rsid w:val="5D253194"/>
    <w:rsid w:val="5D2E0B5A"/>
    <w:rsid w:val="5D5A97B6"/>
    <w:rsid w:val="5DF15466"/>
    <w:rsid w:val="5DF7BDD3"/>
    <w:rsid w:val="5E176DB1"/>
    <w:rsid w:val="5F10479C"/>
    <w:rsid w:val="5F17DA9B"/>
    <w:rsid w:val="5F42C622"/>
    <w:rsid w:val="5FF4C33A"/>
    <w:rsid w:val="616D1736"/>
    <w:rsid w:val="616F840E"/>
    <w:rsid w:val="61CABA4F"/>
    <w:rsid w:val="61E3FE76"/>
    <w:rsid w:val="626FE4BB"/>
    <w:rsid w:val="62B40FCC"/>
    <w:rsid w:val="62D67BCD"/>
    <w:rsid w:val="6328E629"/>
    <w:rsid w:val="632DA080"/>
    <w:rsid w:val="6374E7BB"/>
    <w:rsid w:val="63E1D164"/>
    <w:rsid w:val="640DEA67"/>
    <w:rsid w:val="6486BAC6"/>
    <w:rsid w:val="65544D4A"/>
    <w:rsid w:val="65CD78AF"/>
    <w:rsid w:val="663D143A"/>
    <w:rsid w:val="6655DA50"/>
    <w:rsid w:val="67131337"/>
    <w:rsid w:val="672E242E"/>
    <w:rsid w:val="675DD9B0"/>
    <w:rsid w:val="6781D536"/>
    <w:rsid w:val="681F2F32"/>
    <w:rsid w:val="6829E366"/>
    <w:rsid w:val="686A1465"/>
    <w:rsid w:val="688CBE54"/>
    <w:rsid w:val="692B4962"/>
    <w:rsid w:val="69BCC5FB"/>
    <w:rsid w:val="69DCA6B5"/>
    <w:rsid w:val="6A6B8B28"/>
    <w:rsid w:val="6ADEA9CD"/>
    <w:rsid w:val="6B11418D"/>
    <w:rsid w:val="6B56387C"/>
    <w:rsid w:val="6B77DA44"/>
    <w:rsid w:val="6BF25B84"/>
    <w:rsid w:val="6C350975"/>
    <w:rsid w:val="6C81CDF2"/>
    <w:rsid w:val="6C9B09F7"/>
    <w:rsid w:val="6CAED856"/>
    <w:rsid w:val="6CDB986F"/>
    <w:rsid w:val="6D32FE85"/>
    <w:rsid w:val="6DE6C7EF"/>
    <w:rsid w:val="6E224E3A"/>
    <w:rsid w:val="6E383DE8"/>
    <w:rsid w:val="6EA5309B"/>
    <w:rsid w:val="6F673562"/>
    <w:rsid w:val="6FAE29E8"/>
    <w:rsid w:val="6FCDAACA"/>
    <w:rsid w:val="702221BB"/>
    <w:rsid w:val="70DBB666"/>
    <w:rsid w:val="715F1A03"/>
    <w:rsid w:val="717AC195"/>
    <w:rsid w:val="71D489C8"/>
    <w:rsid w:val="72138757"/>
    <w:rsid w:val="723934D9"/>
    <w:rsid w:val="72881369"/>
    <w:rsid w:val="72E96117"/>
    <w:rsid w:val="730256A3"/>
    <w:rsid w:val="747DF3D2"/>
    <w:rsid w:val="752B4734"/>
    <w:rsid w:val="75606BB4"/>
    <w:rsid w:val="76390709"/>
    <w:rsid w:val="764B579B"/>
    <w:rsid w:val="767247C5"/>
    <w:rsid w:val="7702DC90"/>
    <w:rsid w:val="77391685"/>
    <w:rsid w:val="77865522"/>
    <w:rsid w:val="77D85808"/>
    <w:rsid w:val="782A9D13"/>
    <w:rsid w:val="788204A0"/>
    <w:rsid w:val="78D7F51F"/>
    <w:rsid w:val="7932A51C"/>
    <w:rsid w:val="797DB41E"/>
    <w:rsid w:val="79C56D08"/>
    <w:rsid w:val="79D86DD8"/>
    <w:rsid w:val="79D9A184"/>
    <w:rsid w:val="79F1A118"/>
    <w:rsid w:val="7A214916"/>
    <w:rsid w:val="7A3C2762"/>
    <w:rsid w:val="7D0041B7"/>
    <w:rsid w:val="7D37E218"/>
    <w:rsid w:val="7DBCACAF"/>
    <w:rsid w:val="7DCC02E4"/>
    <w:rsid w:val="7DFABF02"/>
    <w:rsid w:val="7E0606A8"/>
    <w:rsid w:val="7E383669"/>
    <w:rsid w:val="7ED73649"/>
    <w:rsid w:val="7EDBBD91"/>
    <w:rsid w:val="7EE331EF"/>
    <w:rsid w:val="7F7498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90709"/>
  <w15:chartTrackingRefBased/>
  <w15:docId w15:val="{8F882986-2268-419F-9F13-4042FDA8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0790B"/>
  </w:style>
  <w:style w:type="paragraph" w:styleId="NoSpacing">
    <w:name w:val="No Spacing"/>
    <w:uiPriority w:val="1"/>
    <w:qFormat/>
    <w:rsid w:val="0020790B"/>
    <w:pPr>
      <w:spacing w:after="0" w:line="240" w:lineRule="auto"/>
    </w:pPr>
  </w:style>
  <w:style w:type="character" w:styleId="CommentReference">
    <w:name w:val="annotation reference"/>
    <w:basedOn w:val="DefaultParagraphFont"/>
    <w:uiPriority w:val="99"/>
    <w:semiHidden/>
    <w:unhideWhenUsed/>
    <w:rsid w:val="002E3840"/>
    <w:rPr>
      <w:sz w:val="16"/>
      <w:szCs w:val="16"/>
    </w:rPr>
  </w:style>
  <w:style w:type="paragraph" w:styleId="CommentText">
    <w:name w:val="annotation text"/>
    <w:basedOn w:val="Normal"/>
    <w:link w:val="CommentTextChar"/>
    <w:uiPriority w:val="99"/>
    <w:semiHidden/>
    <w:unhideWhenUsed/>
    <w:rsid w:val="002E3840"/>
    <w:pPr>
      <w:spacing w:line="240" w:lineRule="auto"/>
    </w:pPr>
    <w:rPr>
      <w:sz w:val="20"/>
      <w:szCs w:val="20"/>
    </w:rPr>
  </w:style>
  <w:style w:type="character" w:customStyle="1" w:styleId="CommentTextChar">
    <w:name w:val="Comment Text Char"/>
    <w:basedOn w:val="DefaultParagraphFont"/>
    <w:link w:val="CommentText"/>
    <w:uiPriority w:val="99"/>
    <w:semiHidden/>
    <w:rsid w:val="002E3840"/>
    <w:rPr>
      <w:sz w:val="20"/>
      <w:szCs w:val="20"/>
    </w:rPr>
  </w:style>
  <w:style w:type="paragraph" w:styleId="CommentSubject">
    <w:name w:val="annotation subject"/>
    <w:basedOn w:val="CommentText"/>
    <w:next w:val="CommentText"/>
    <w:link w:val="CommentSubjectChar"/>
    <w:uiPriority w:val="99"/>
    <w:semiHidden/>
    <w:unhideWhenUsed/>
    <w:rsid w:val="002E3840"/>
    <w:rPr>
      <w:b/>
      <w:bCs/>
    </w:rPr>
  </w:style>
  <w:style w:type="character" w:customStyle="1" w:styleId="CommentSubjectChar">
    <w:name w:val="Comment Subject Char"/>
    <w:basedOn w:val="CommentTextChar"/>
    <w:link w:val="CommentSubject"/>
    <w:uiPriority w:val="99"/>
    <w:semiHidden/>
    <w:rsid w:val="002E3840"/>
    <w:rPr>
      <w:b/>
      <w:bCs/>
      <w:sz w:val="20"/>
      <w:szCs w:val="20"/>
    </w:rPr>
  </w:style>
  <w:style w:type="paragraph" w:styleId="ListParagraph">
    <w:name w:val="List Paragraph"/>
    <w:basedOn w:val="Normal"/>
    <w:uiPriority w:val="34"/>
    <w:qFormat/>
    <w:rsid w:val="00F87F7E"/>
    <w:pPr>
      <w:ind w:left="720"/>
      <w:contextualSpacing/>
    </w:pPr>
  </w:style>
  <w:style w:type="character" w:styleId="UnresolvedMention">
    <w:name w:val="Unresolved Mention"/>
    <w:basedOn w:val="DefaultParagraphFont"/>
    <w:uiPriority w:val="99"/>
    <w:unhideWhenUsed/>
    <w:rsid w:val="003128C7"/>
    <w:rPr>
      <w:color w:val="605E5C"/>
      <w:shd w:val="clear" w:color="auto" w:fill="E1DFDD"/>
    </w:rPr>
  </w:style>
  <w:style w:type="character" w:styleId="Mention">
    <w:name w:val="Mention"/>
    <w:basedOn w:val="DefaultParagraphFont"/>
    <w:uiPriority w:val="99"/>
    <w:unhideWhenUsed/>
    <w:rsid w:val="003128C7"/>
    <w:rPr>
      <w:color w:val="2B579A"/>
      <w:shd w:val="clear" w:color="auto" w:fill="E1DFDD"/>
    </w:rPr>
  </w:style>
  <w:style w:type="paragraph" w:styleId="Revision">
    <w:name w:val="Revision"/>
    <w:hidden/>
    <w:uiPriority w:val="99"/>
    <w:semiHidden/>
    <w:rsid w:val="00BE36F8"/>
    <w:pPr>
      <w:spacing w:after="0" w:line="240" w:lineRule="auto"/>
    </w:pPr>
  </w:style>
  <w:style w:type="paragraph" w:styleId="Header">
    <w:name w:val="header"/>
    <w:basedOn w:val="Normal"/>
    <w:link w:val="HeaderChar"/>
    <w:uiPriority w:val="99"/>
    <w:unhideWhenUsed/>
    <w:rsid w:val="00345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257"/>
  </w:style>
  <w:style w:type="paragraph" w:styleId="Footer">
    <w:name w:val="footer"/>
    <w:basedOn w:val="Normal"/>
    <w:link w:val="FooterChar"/>
    <w:uiPriority w:val="99"/>
    <w:unhideWhenUsed/>
    <w:rsid w:val="00345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257"/>
  </w:style>
  <w:style w:type="character" w:styleId="Hyperlink">
    <w:name w:val="Hyperlink"/>
    <w:basedOn w:val="DefaultParagraphFont"/>
    <w:uiPriority w:val="99"/>
    <w:unhideWhenUsed/>
    <w:rsid w:val="00B229A9"/>
    <w:rPr>
      <w:color w:val="0563C1" w:themeColor="hyperlink"/>
      <w:u w:val="single"/>
    </w:rPr>
  </w:style>
  <w:style w:type="character" w:styleId="FollowedHyperlink">
    <w:name w:val="FollowedHyperlink"/>
    <w:basedOn w:val="DefaultParagraphFont"/>
    <w:uiPriority w:val="99"/>
    <w:semiHidden/>
    <w:unhideWhenUsed/>
    <w:rsid w:val="00B229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512">
      <w:bodyDiv w:val="1"/>
      <w:marLeft w:val="0"/>
      <w:marRight w:val="0"/>
      <w:marTop w:val="0"/>
      <w:marBottom w:val="0"/>
      <w:divBdr>
        <w:top w:val="none" w:sz="0" w:space="0" w:color="auto"/>
        <w:left w:val="none" w:sz="0" w:space="0" w:color="auto"/>
        <w:bottom w:val="none" w:sz="0" w:space="0" w:color="auto"/>
        <w:right w:val="none" w:sz="0" w:space="0" w:color="auto"/>
      </w:divBdr>
    </w:div>
    <w:div w:id="272832289">
      <w:bodyDiv w:val="1"/>
      <w:marLeft w:val="0"/>
      <w:marRight w:val="0"/>
      <w:marTop w:val="0"/>
      <w:marBottom w:val="0"/>
      <w:divBdr>
        <w:top w:val="none" w:sz="0" w:space="0" w:color="auto"/>
        <w:left w:val="none" w:sz="0" w:space="0" w:color="auto"/>
        <w:bottom w:val="none" w:sz="0" w:space="0" w:color="auto"/>
        <w:right w:val="none" w:sz="0" w:space="0" w:color="auto"/>
      </w:divBdr>
    </w:div>
    <w:div w:id="342321364">
      <w:bodyDiv w:val="1"/>
      <w:marLeft w:val="0"/>
      <w:marRight w:val="0"/>
      <w:marTop w:val="0"/>
      <w:marBottom w:val="0"/>
      <w:divBdr>
        <w:top w:val="none" w:sz="0" w:space="0" w:color="auto"/>
        <w:left w:val="none" w:sz="0" w:space="0" w:color="auto"/>
        <w:bottom w:val="none" w:sz="0" w:space="0" w:color="auto"/>
        <w:right w:val="none" w:sz="0" w:space="0" w:color="auto"/>
      </w:divBdr>
    </w:div>
    <w:div w:id="399712056">
      <w:bodyDiv w:val="1"/>
      <w:marLeft w:val="0"/>
      <w:marRight w:val="0"/>
      <w:marTop w:val="0"/>
      <w:marBottom w:val="0"/>
      <w:divBdr>
        <w:top w:val="none" w:sz="0" w:space="0" w:color="auto"/>
        <w:left w:val="none" w:sz="0" w:space="0" w:color="auto"/>
        <w:bottom w:val="none" w:sz="0" w:space="0" w:color="auto"/>
        <w:right w:val="none" w:sz="0" w:space="0" w:color="auto"/>
      </w:divBdr>
    </w:div>
    <w:div w:id="686372537">
      <w:bodyDiv w:val="1"/>
      <w:marLeft w:val="0"/>
      <w:marRight w:val="0"/>
      <w:marTop w:val="0"/>
      <w:marBottom w:val="0"/>
      <w:divBdr>
        <w:top w:val="none" w:sz="0" w:space="0" w:color="auto"/>
        <w:left w:val="none" w:sz="0" w:space="0" w:color="auto"/>
        <w:bottom w:val="none" w:sz="0" w:space="0" w:color="auto"/>
        <w:right w:val="none" w:sz="0" w:space="0" w:color="auto"/>
      </w:divBdr>
    </w:div>
    <w:div w:id="881869681">
      <w:bodyDiv w:val="1"/>
      <w:marLeft w:val="0"/>
      <w:marRight w:val="0"/>
      <w:marTop w:val="0"/>
      <w:marBottom w:val="0"/>
      <w:divBdr>
        <w:top w:val="none" w:sz="0" w:space="0" w:color="auto"/>
        <w:left w:val="none" w:sz="0" w:space="0" w:color="auto"/>
        <w:bottom w:val="none" w:sz="0" w:space="0" w:color="auto"/>
        <w:right w:val="none" w:sz="0" w:space="0" w:color="auto"/>
      </w:divBdr>
    </w:div>
    <w:div w:id="1165049654">
      <w:bodyDiv w:val="1"/>
      <w:marLeft w:val="0"/>
      <w:marRight w:val="0"/>
      <w:marTop w:val="0"/>
      <w:marBottom w:val="0"/>
      <w:divBdr>
        <w:top w:val="none" w:sz="0" w:space="0" w:color="auto"/>
        <w:left w:val="none" w:sz="0" w:space="0" w:color="auto"/>
        <w:bottom w:val="none" w:sz="0" w:space="0" w:color="auto"/>
        <w:right w:val="none" w:sz="0" w:space="0" w:color="auto"/>
      </w:divBdr>
    </w:div>
    <w:div w:id="1568496304">
      <w:bodyDiv w:val="1"/>
      <w:marLeft w:val="0"/>
      <w:marRight w:val="0"/>
      <w:marTop w:val="0"/>
      <w:marBottom w:val="0"/>
      <w:divBdr>
        <w:top w:val="none" w:sz="0" w:space="0" w:color="auto"/>
        <w:left w:val="none" w:sz="0" w:space="0" w:color="auto"/>
        <w:bottom w:val="none" w:sz="0" w:space="0" w:color="auto"/>
        <w:right w:val="none" w:sz="0" w:space="0" w:color="auto"/>
      </w:divBdr>
    </w:div>
    <w:div w:id="1610241097">
      <w:bodyDiv w:val="1"/>
      <w:marLeft w:val="0"/>
      <w:marRight w:val="0"/>
      <w:marTop w:val="0"/>
      <w:marBottom w:val="0"/>
      <w:divBdr>
        <w:top w:val="none" w:sz="0" w:space="0" w:color="auto"/>
        <w:left w:val="none" w:sz="0" w:space="0" w:color="auto"/>
        <w:bottom w:val="none" w:sz="0" w:space="0" w:color="auto"/>
        <w:right w:val="none" w:sz="0" w:space="0" w:color="auto"/>
      </w:divBdr>
    </w:div>
    <w:div w:id="1635015566">
      <w:bodyDiv w:val="1"/>
      <w:marLeft w:val="0"/>
      <w:marRight w:val="0"/>
      <w:marTop w:val="0"/>
      <w:marBottom w:val="0"/>
      <w:divBdr>
        <w:top w:val="none" w:sz="0" w:space="0" w:color="auto"/>
        <w:left w:val="none" w:sz="0" w:space="0" w:color="auto"/>
        <w:bottom w:val="none" w:sz="0" w:space="0" w:color="auto"/>
        <w:right w:val="none" w:sz="0" w:space="0" w:color="auto"/>
      </w:divBdr>
    </w:div>
    <w:div w:id="1919165450">
      <w:bodyDiv w:val="1"/>
      <w:marLeft w:val="0"/>
      <w:marRight w:val="0"/>
      <w:marTop w:val="0"/>
      <w:marBottom w:val="0"/>
      <w:divBdr>
        <w:top w:val="none" w:sz="0" w:space="0" w:color="auto"/>
        <w:left w:val="none" w:sz="0" w:space="0" w:color="auto"/>
        <w:bottom w:val="none" w:sz="0" w:space="0" w:color="auto"/>
        <w:right w:val="none" w:sz="0" w:space="0" w:color="auto"/>
      </w:divBdr>
    </w:div>
    <w:div w:id="1960531841">
      <w:bodyDiv w:val="1"/>
      <w:marLeft w:val="0"/>
      <w:marRight w:val="0"/>
      <w:marTop w:val="0"/>
      <w:marBottom w:val="0"/>
      <w:divBdr>
        <w:top w:val="none" w:sz="0" w:space="0" w:color="auto"/>
        <w:left w:val="none" w:sz="0" w:space="0" w:color="auto"/>
        <w:bottom w:val="none" w:sz="0" w:space="0" w:color="auto"/>
        <w:right w:val="none" w:sz="0" w:space="0" w:color="auto"/>
      </w:divBdr>
    </w:div>
    <w:div w:id="2044595139">
      <w:bodyDiv w:val="1"/>
      <w:marLeft w:val="0"/>
      <w:marRight w:val="0"/>
      <w:marTop w:val="0"/>
      <w:marBottom w:val="0"/>
      <w:divBdr>
        <w:top w:val="none" w:sz="0" w:space="0" w:color="auto"/>
        <w:left w:val="none" w:sz="0" w:space="0" w:color="auto"/>
        <w:bottom w:val="none" w:sz="0" w:space="0" w:color="auto"/>
        <w:right w:val="none" w:sz="0" w:space="0" w:color="auto"/>
      </w:divBdr>
    </w:div>
    <w:div w:id="21417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publications/2021/2021-sb-100-joint-agency-report-achieving-100-percent-clean-electric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solicitations/2022-03/rfp-21-801-technical-support-sb-100-modelin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2-03/rfp-21-801-technical-support-sb-100-model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302B56AA-1CDF-4B26-8AB7-3099FEA98270}">
    <t:Anchor>
      <t:Comment id="621967367"/>
    </t:Anchor>
    <t:History>
      <t:Event id="{D11EBABD-8CCF-4AB5-86AD-CF69F91AF160}" time="2021-10-19T23:19:41.88Z">
        <t:Attribution userId="S::mark.wenzel@energy.ca.gov::3213d739-7711-4f5a-b980-b0ef3d6eada0" userProvider="AD" userName="Wenzel, Mark@Energy"/>
        <t:Anchor>
          <t:Comment id="1855090832"/>
        </t:Anchor>
        <t:Create/>
      </t:Event>
      <t:Event id="{425D4008-ECFC-45B1-881D-761C51B3068C}" time="2021-10-19T23:19:41.88Z">
        <t:Attribution userId="S::mark.wenzel@energy.ca.gov::3213d739-7711-4f5a-b980-b0ef3d6eada0" userProvider="AD" userName="Wenzel, Mark@Energy"/>
        <t:Anchor>
          <t:Comment id="1855090832"/>
        </t:Anchor>
        <t:Assign userId="S::Matt.Alexander@energy.ca.gov::ad4eb2bf-3f04-423c-ac7a-a3a3cc60b005" userProvider="AD" userName="Alexander, Matt@Energy"/>
      </t:Event>
      <t:Event id="{65AA055F-AF3C-44C6-A9E0-8FF1FC3BCCC2}" time="2021-10-19T23:19:41.88Z">
        <t:Attribution userId="S::mark.wenzel@energy.ca.gov::3213d739-7711-4f5a-b980-b0ef3d6eada0" userProvider="AD" userName="Wenzel, Mark@Energy"/>
        <t:Anchor>
          <t:Comment id="1855090832"/>
        </t:Anchor>
        <t:SetTitle title="@Alexander, Matt@Energy Let's find a way to clarify, either here or in the manual if need be. I think we can say something like the edits but please improve where you can"/>
      </t:Event>
      <t:Event id="{E2CAA791-F6A7-43B4-99A4-AE38CAD818F8}" time="2021-10-22T01:35:01.354Z">
        <t:Attribution userId="S::mark.wenzel@energy.ca.gov::3213d739-7711-4f5a-b980-b0ef3d6eada0" userProvider="AD" userName="Wenzel, Mark@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1a223442d1cd2c226f61fd983236b04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3ec917311d3ccc031421ee7af616bc5"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7EAB4-74C6-4EDC-A981-FF66C4D91FDA}">
  <ds:schemaRefs>
    <ds:schemaRef ds:uri="http://schemas.microsoft.com/sharepoint/v3/contenttype/forms"/>
  </ds:schemaRefs>
</ds:datastoreItem>
</file>

<file path=customXml/itemProps2.xml><?xml version="1.0" encoding="utf-8"?>
<ds:datastoreItem xmlns:ds="http://schemas.openxmlformats.org/officeDocument/2006/customXml" ds:itemID="{AD802BB0-6594-4B4B-8903-5DBDB3BAAE1E}">
  <ds:schemaRefs>
    <ds:schemaRef ds:uri="http://schemas.openxmlformats.org/officeDocument/2006/bibliography"/>
  </ds:schemaRefs>
</ds:datastoreItem>
</file>

<file path=customXml/itemProps3.xml><?xml version="1.0" encoding="utf-8"?>
<ds:datastoreItem xmlns:ds="http://schemas.openxmlformats.org/officeDocument/2006/customXml" ds:itemID="{E4D56154-4D3E-49F9-966B-7E33BF65EA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9B0BB8-CDD4-4665-9DD2-4D763F07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1119</Words>
  <Characters>5999</Characters>
  <Application>Microsoft Office Word</Application>
  <DocSecurity>0</DocSecurity>
  <Lines>153</Lines>
  <Paragraphs>52</Paragraphs>
  <ScaleCrop>false</ScaleCrop>
  <HeadingPairs>
    <vt:vector size="2" baseType="variant">
      <vt:variant>
        <vt:lpstr>Title</vt:lpstr>
      </vt:variant>
      <vt:variant>
        <vt:i4>1</vt:i4>
      </vt:variant>
    </vt:vector>
  </HeadingPairs>
  <TitlesOfParts>
    <vt:vector size="1" baseType="lpstr">
      <vt:lpstr>RFP-21-801 Questions and Answers</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RFP-21-801 Questions and Answers</dc:title>
  <dc:subject/>
  <dc:creator>Alexander, Matt@Energy</dc:creator>
  <cp:keywords/>
  <dc:description/>
  <cp:lastModifiedBy>Dyer, Phil@Energy</cp:lastModifiedBy>
  <cp:revision>2</cp:revision>
  <dcterms:created xsi:type="dcterms:W3CDTF">2022-03-18T22:14:00Z</dcterms:created>
  <dcterms:modified xsi:type="dcterms:W3CDTF">2022-03-18T22:14:00Z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