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146F06">
      <w:pPr>
        <w:jc w:val="left"/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5E33AE77" w14:textId="68DA194A" w:rsidR="00E45742" w:rsidRPr="008B4D47" w:rsidRDefault="00E45742" w:rsidP="00146F06">
      <w:pPr>
        <w:jc w:val="left"/>
      </w:pPr>
    </w:p>
    <w:p w14:paraId="6898A937" w14:textId="3C4BA1F1" w:rsidR="00625091" w:rsidRDefault="00625091" w:rsidP="00146F06">
      <w:pPr>
        <w:jc w:val="left"/>
      </w:pPr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146F06">
      <w:pPr>
        <w:jc w:val="left"/>
      </w:pPr>
    </w:p>
    <w:p w14:paraId="7FB8F015" w14:textId="6D118F12" w:rsidR="00E45742" w:rsidRPr="00FD4970" w:rsidRDefault="00E45742" w:rsidP="00146F06">
      <w:pPr>
        <w:jc w:val="left"/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146F06">
      <w:pPr>
        <w:jc w:val="left"/>
      </w:pPr>
    </w:p>
    <w:p w14:paraId="2C486403" w14:textId="4EB5CE97" w:rsidR="008B4D47" w:rsidRPr="002C1625" w:rsidRDefault="008B4D47" w:rsidP="00146F06">
      <w:pPr>
        <w:numPr>
          <w:ilvl w:val="0"/>
          <w:numId w:val="3"/>
        </w:numPr>
        <w:spacing w:after="120"/>
        <w:jc w:val="left"/>
      </w:pPr>
      <w:r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0318547" w14:textId="4B8031BB" w:rsidR="008B4D47" w:rsidRDefault="008B4D47" w:rsidP="00146F06">
      <w:pPr>
        <w:numPr>
          <w:ilvl w:val="0"/>
          <w:numId w:val="3"/>
        </w:numPr>
        <w:spacing w:after="120"/>
        <w:jc w:val="left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146F06">
      <w:pPr>
        <w:spacing w:after="120"/>
        <w:ind w:left="720"/>
        <w:jc w:val="left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146F06">
      <w:pPr>
        <w:spacing w:after="120"/>
        <w:ind w:left="720"/>
        <w:jc w:val="left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146F06">
            <w:pPr>
              <w:spacing w:after="120"/>
              <w:jc w:val="left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146F06">
            <w:pPr>
              <w:spacing w:after="120"/>
              <w:jc w:val="left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146F06">
            <w:pPr>
              <w:spacing w:after="120"/>
              <w:jc w:val="left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146F06">
            <w:pPr>
              <w:spacing w:after="120"/>
              <w:jc w:val="left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77777777" w:rsidR="00964872" w:rsidRDefault="00964872" w:rsidP="00146F06">
            <w:pPr>
              <w:spacing w:after="120"/>
              <w:jc w:val="left"/>
            </w:pPr>
            <w:r w:rsidRPr="0035101C">
              <w:rPr>
                <w:color w:val="0000CC"/>
              </w:rPr>
              <w:t xml:space="preserve">Example: </w:t>
            </w:r>
            <w:r>
              <w:t>Electrical efficiency</w:t>
            </w:r>
          </w:p>
        </w:tc>
        <w:tc>
          <w:tcPr>
            <w:tcW w:w="2466" w:type="dxa"/>
          </w:tcPr>
          <w:p w14:paraId="6453D089" w14:textId="77777777" w:rsidR="00964872" w:rsidRDefault="00964872" w:rsidP="00146F06">
            <w:pPr>
              <w:spacing w:after="120"/>
              <w:jc w:val="left"/>
            </w:pPr>
            <w:r>
              <w:t>(1 unit)</w:t>
            </w:r>
          </w:p>
        </w:tc>
        <w:tc>
          <w:tcPr>
            <w:tcW w:w="2214" w:type="dxa"/>
          </w:tcPr>
          <w:p w14:paraId="7E741319" w14:textId="77777777" w:rsidR="00964872" w:rsidRDefault="00964872" w:rsidP="00146F06">
            <w:pPr>
              <w:spacing w:after="120"/>
              <w:jc w:val="left"/>
            </w:pPr>
            <w:r>
              <w:t>(3 units)</w:t>
            </w:r>
          </w:p>
        </w:tc>
        <w:tc>
          <w:tcPr>
            <w:tcW w:w="2012" w:type="dxa"/>
          </w:tcPr>
          <w:p w14:paraId="460DA589" w14:textId="77777777" w:rsidR="00964872" w:rsidRDefault="00964872" w:rsidP="00146F06">
            <w:pPr>
              <w:spacing w:after="120"/>
              <w:jc w:val="left"/>
            </w:pPr>
            <w:r>
              <w:t>(2 units)</w:t>
            </w:r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7777777" w:rsidR="00964872" w:rsidRDefault="00964872" w:rsidP="00146F06">
            <w:pPr>
              <w:spacing w:after="120"/>
              <w:jc w:val="left"/>
            </w:pPr>
            <w:r w:rsidRPr="0035101C">
              <w:rPr>
                <w:color w:val="0000CC"/>
              </w:rPr>
              <w:t xml:space="preserve">Example: </w:t>
            </w:r>
            <w:r>
              <w:t>Temperature range</w:t>
            </w:r>
          </w:p>
        </w:tc>
        <w:tc>
          <w:tcPr>
            <w:tcW w:w="2466" w:type="dxa"/>
          </w:tcPr>
          <w:p w14:paraId="25D0CAE4" w14:textId="77777777" w:rsidR="00964872" w:rsidRDefault="00964872" w:rsidP="00146F06">
            <w:pPr>
              <w:spacing w:after="120"/>
              <w:jc w:val="left"/>
            </w:pPr>
            <w:r>
              <w:t>(20 units)</w:t>
            </w:r>
          </w:p>
        </w:tc>
        <w:tc>
          <w:tcPr>
            <w:tcW w:w="2214" w:type="dxa"/>
          </w:tcPr>
          <w:p w14:paraId="560455CF" w14:textId="77777777" w:rsidR="00964872" w:rsidRDefault="00964872" w:rsidP="00146F06">
            <w:pPr>
              <w:spacing w:after="120"/>
              <w:jc w:val="left"/>
            </w:pPr>
            <w:r>
              <w:t>(10 units)</w:t>
            </w:r>
          </w:p>
        </w:tc>
        <w:tc>
          <w:tcPr>
            <w:tcW w:w="2012" w:type="dxa"/>
          </w:tcPr>
          <w:p w14:paraId="7F5CBCE3" w14:textId="77777777" w:rsidR="00964872" w:rsidRDefault="00964872" w:rsidP="00146F06">
            <w:pPr>
              <w:spacing w:after="120"/>
              <w:jc w:val="left"/>
            </w:pPr>
            <w:r>
              <w:t>(10 units)</w:t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77777777" w:rsidR="00964872" w:rsidRDefault="00964872" w:rsidP="00146F06">
            <w:pPr>
              <w:spacing w:after="120"/>
              <w:jc w:val="left"/>
            </w:pPr>
          </w:p>
        </w:tc>
        <w:tc>
          <w:tcPr>
            <w:tcW w:w="2466" w:type="dxa"/>
          </w:tcPr>
          <w:p w14:paraId="7EBDA347" w14:textId="77777777" w:rsidR="00964872" w:rsidRDefault="00964872" w:rsidP="00146F06">
            <w:pPr>
              <w:spacing w:after="120"/>
              <w:jc w:val="left"/>
            </w:pPr>
          </w:p>
        </w:tc>
        <w:tc>
          <w:tcPr>
            <w:tcW w:w="2214" w:type="dxa"/>
          </w:tcPr>
          <w:p w14:paraId="4C2DC75D" w14:textId="77777777" w:rsidR="00964872" w:rsidRDefault="00964872" w:rsidP="00146F06">
            <w:pPr>
              <w:spacing w:after="120"/>
              <w:jc w:val="left"/>
            </w:pPr>
          </w:p>
        </w:tc>
        <w:tc>
          <w:tcPr>
            <w:tcW w:w="2012" w:type="dxa"/>
          </w:tcPr>
          <w:p w14:paraId="13461C45" w14:textId="77777777" w:rsidR="00964872" w:rsidRDefault="00964872" w:rsidP="00146F06">
            <w:pPr>
              <w:spacing w:after="120"/>
              <w:jc w:val="left"/>
            </w:pP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7777777" w:rsidR="00964872" w:rsidRDefault="00964872" w:rsidP="00146F06">
            <w:pPr>
              <w:spacing w:after="120"/>
              <w:jc w:val="left"/>
            </w:pPr>
          </w:p>
        </w:tc>
        <w:tc>
          <w:tcPr>
            <w:tcW w:w="2466" w:type="dxa"/>
          </w:tcPr>
          <w:p w14:paraId="46F09768" w14:textId="77777777" w:rsidR="00964872" w:rsidRDefault="00964872" w:rsidP="00146F06">
            <w:pPr>
              <w:spacing w:after="120"/>
              <w:jc w:val="left"/>
            </w:pPr>
          </w:p>
        </w:tc>
        <w:tc>
          <w:tcPr>
            <w:tcW w:w="2214" w:type="dxa"/>
          </w:tcPr>
          <w:p w14:paraId="16ED54F7" w14:textId="77777777" w:rsidR="00964872" w:rsidRDefault="00964872" w:rsidP="00146F06">
            <w:pPr>
              <w:spacing w:after="120"/>
              <w:jc w:val="left"/>
            </w:pPr>
          </w:p>
        </w:tc>
        <w:tc>
          <w:tcPr>
            <w:tcW w:w="2012" w:type="dxa"/>
          </w:tcPr>
          <w:p w14:paraId="29E13597" w14:textId="77777777" w:rsidR="00964872" w:rsidRDefault="00964872" w:rsidP="00146F06">
            <w:pPr>
              <w:spacing w:after="120"/>
              <w:jc w:val="left"/>
            </w:pPr>
          </w:p>
        </w:tc>
      </w:tr>
    </w:tbl>
    <w:p w14:paraId="21F3F620" w14:textId="77777777" w:rsidR="00964872" w:rsidRDefault="00964872" w:rsidP="00146F06">
      <w:pPr>
        <w:spacing w:after="120"/>
        <w:ind w:left="1440"/>
        <w:jc w:val="left"/>
      </w:pPr>
    </w:p>
    <w:p w14:paraId="36D2EBDB" w14:textId="77777777" w:rsidR="008B4D47" w:rsidRPr="002C1625" w:rsidRDefault="008B4D47" w:rsidP="00146F06">
      <w:pPr>
        <w:numPr>
          <w:ilvl w:val="0"/>
          <w:numId w:val="3"/>
        </w:numPr>
        <w:spacing w:after="120"/>
        <w:jc w:val="left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33EAD1D1" w14:textId="36F6AF8F" w:rsidR="008B4D47" w:rsidRDefault="008B4D47" w:rsidP="00146F06">
      <w:pPr>
        <w:numPr>
          <w:ilvl w:val="0"/>
          <w:numId w:val="3"/>
        </w:numPr>
        <w:spacing w:after="120"/>
        <w:jc w:val="left"/>
      </w:pPr>
      <w:r>
        <w:t>Describes the technology readiness level (TRL) the proposed technology has achieved and the expected TRL by the end of the project.</w:t>
      </w:r>
    </w:p>
    <w:p w14:paraId="528005A8" w14:textId="23100467" w:rsidR="008B4D47" w:rsidRDefault="008B4D47" w:rsidP="00146F06">
      <w:pPr>
        <w:numPr>
          <w:ilvl w:val="0"/>
          <w:numId w:val="3"/>
        </w:numPr>
        <w:spacing w:after="120"/>
        <w:jc w:val="left"/>
      </w:pPr>
      <w:r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146F06">
      <w:pPr>
        <w:jc w:val="left"/>
      </w:pPr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146F06">
      <w:pPr>
        <w:jc w:val="left"/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146F06">
      <w:pPr>
        <w:jc w:val="left"/>
      </w:pPr>
    </w:p>
    <w:p w14:paraId="4528DB9F" w14:textId="77777777" w:rsidR="008B4D47" w:rsidRPr="002C1625" w:rsidRDefault="008B4D47" w:rsidP="00146F06">
      <w:pPr>
        <w:numPr>
          <w:ilvl w:val="0"/>
          <w:numId w:val="4"/>
        </w:numPr>
        <w:spacing w:after="120"/>
        <w:jc w:val="left"/>
      </w:pPr>
      <w:r w:rsidRPr="002C1625">
        <w:t xml:space="preserve">Proposal describes the technique, approach, and methods to be used in performing the work described in the Scope of Work </w:t>
      </w:r>
    </w:p>
    <w:p w14:paraId="4B7E2D51" w14:textId="77777777" w:rsidR="008B4D47" w:rsidRDefault="008B4D47" w:rsidP="00146F06">
      <w:pPr>
        <w:numPr>
          <w:ilvl w:val="0"/>
          <w:numId w:val="4"/>
        </w:numPr>
        <w:spacing w:after="120"/>
        <w:jc w:val="left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77777777" w:rsidR="008B4D47" w:rsidRPr="002C1625" w:rsidRDefault="008B4D47" w:rsidP="00146F06">
      <w:pPr>
        <w:numPr>
          <w:ilvl w:val="0"/>
          <w:numId w:val="4"/>
        </w:numPr>
        <w:spacing w:after="120"/>
        <w:jc w:val="left"/>
      </w:pPr>
      <w:r>
        <w:t>Proposal identifies the reliability that the project and site recommendations as described will be carried out if funds are awarded.</w:t>
      </w:r>
    </w:p>
    <w:p w14:paraId="27797218" w14:textId="77777777" w:rsidR="008B4D47" w:rsidRPr="002C1625" w:rsidRDefault="008B4D47" w:rsidP="00146F06">
      <w:pPr>
        <w:numPr>
          <w:ilvl w:val="0"/>
          <w:numId w:val="4"/>
        </w:numPr>
        <w:spacing w:after="120"/>
        <w:jc w:val="left"/>
      </w:pPr>
      <w:r w:rsidRPr="002C1625">
        <w:t>Identifies and discusses factors critical for success, in addition to risks, barriers, and limitations</w:t>
      </w:r>
      <w:r>
        <w:t xml:space="preserve"> (</w:t>
      </w:r>
      <w:proofErr w:type="gramStart"/>
      <w:r>
        <w:t>e.g.</w:t>
      </w:r>
      <w:proofErr w:type="gramEnd"/>
      <w:r>
        <w:t xml:space="preserve"> loss of demonstration site, key subcontractor)</w:t>
      </w:r>
      <w:r w:rsidRPr="002C1625">
        <w:t xml:space="preserve">.  Provides a plan to address them. </w:t>
      </w:r>
    </w:p>
    <w:p w14:paraId="14DA1F27" w14:textId="269D4161" w:rsidR="008B4D47" w:rsidRPr="002C1625" w:rsidRDefault="008B4D47" w:rsidP="00146F06">
      <w:pPr>
        <w:numPr>
          <w:ilvl w:val="0"/>
          <w:numId w:val="4"/>
        </w:numPr>
        <w:spacing w:after="120"/>
        <w:jc w:val="left"/>
      </w:pPr>
      <w:r>
        <w:t>Discusses the degree to which the proposed work is technically feasible and achievable within the proposed p</w:t>
      </w:r>
      <w:r w:rsidR="009234DB">
        <w:t xml:space="preserve">roject schedule </w:t>
      </w:r>
      <w:r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43DBA9A7" w14:textId="137F7C76" w:rsidR="008B4D47" w:rsidRPr="008B4D47" w:rsidRDefault="008B4D47" w:rsidP="00146F06">
      <w:pPr>
        <w:pStyle w:val="ListParagraph"/>
        <w:numPr>
          <w:ilvl w:val="0"/>
          <w:numId w:val="4"/>
        </w:numPr>
        <w:jc w:val="left"/>
      </w:pPr>
      <w:r>
        <w:lastRenderedPageBreak/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146F06">
      <w:pPr>
        <w:pStyle w:val="ListParagraph"/>
        <w:jc w:val="left"/>
      </w:pPr>
    </w:p>
    <w:p w14:paraId="23FFFFA3" w14:textId="78B73AD1" w:rsidR="00E45742" w:rsidRPr="00FD4970" w:rsidRDefault="00E45742" w:rsidP="00146F06">
      <w:pPr>
        <w:jc w:val="left"/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3F6DDA31" w:rsidR="008B4D47" w:rsidRPr="002C1625" w:rsidRDefault="008B4D47" w:rsidP="00146F06">
      <w:pPr>
        <w:jc w:val="left"/>
      </w:pPr>
    </w:p>
    <w:p w14:paraId="7EE4EE76" w14:textId="77777777" w:rsidR="008B4D47" w:rsidRPr="002C1625" w:rsidRDefault="008B4D47" w:rsidP="00146F06">
      <w:pPr>
        <w:numPr>
          <w:ilvl w:val="0"/>
          <w:numId w:val="5"/>
        </w:numPr>
        <w:spacing w:after="60"/>
        <w:jc w:val="left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12D1BBC9" w:rsidR="008B4D47" w:rsidRPr="00272322" w:rsidRDefault="008B4D47" w:rsidP="00146F06">
      <w:pPr>
        <w:numPr>
          <w:ilvl w:val="1"/>
          <w:numId w:val="7"/>
        </w:numPr>
        <w:spacing w:after="60"/>
        <w:jc w:val="left"/>
        <w:rPr>
          <w:color w:val="0000CC"/>
        </w:rPr>
      </w:pPr>
      <w:r w:rsidRPr="00272322">
        <w:rPr>
          <w:color w:val="0000CC"/>
        </w:rPr>
        <w:t xml:space="preserve">annual electricity (kilowatt-hour and </w:t>
      </w:r>
      <w:proofErr w:type="spellStart"/>
      <w:r w:rsidRPr="00272322">
        <w:rPr>
          <w:color w:val="0000CC"/>
        </w:rPr>
        <w:t>therms</w:t>
      </w:r>
      <w:proofErr w:type="spellEnd"/>
      <w:r w:rsidRPr="00272322">
        <w:rPr>
          <w:color w:val="0000CC"/>
        </w:rPr>
        <w:t>), energy cost reductions, peak load reduction and/or shifting, infrastructure resiliency, infrastructure reliability.</w:t>
      </w:r>
    </w:p>
    <w:p w14:paraId="38650F27" w14:textId="77777777" w:rsidR="008B4D47" w:rsidRPr="00272322" w:rsidRDefault="008B4D47" w:rsidP="00146F06">
      <w:pPr>
        <w:spacing w:after="60"/>
        <w:ind w:left="720"/>
        <w:jc w:val="left"/>
        <w:rPr>
          <w:b/>
          <w:color w:val="0000CC"/>
        </w:rPr>
      </w:pPr>
      <w:r w:rsidRPr="00272322">
        <w:rPr>
          <w:b/>
          <w:color w:val="0000CC"/>
        </w:rPr>
        <w:t xml:space="preserve">In addition, estimates the non-energy benefits including: </w:t>
      </w:r>
    </w:p>
    <w:p w14:paraId="180317BF" w14:textId="77777777" w:rsidR="008B4D47" w:rsidRPr="00272322" w:rsidRDefault="008B4D47" w:rsidP="00146F06">
      <w:pPr>
        <w:pStyle w:val="ListParagraph"/>
        <w:numPr>
          <w:ilvl w:val="0"/>
          <w:numId w:val="6"/>
        </w:numPr>
        <w:spacing w:after="60"/>
        <w:jc w:val="left"/>
        <w:rPr>
          <w:color w:val="0000CC"/>
        </w:rPr>
      </w:pPr>
      <w:r w:rsidRPr="00272322">
        <w:rPr>
          <w:color w:val="0000CC"/>
        </w:rPr>
        <w:t>greenhouse gas emission reductions, air emission reductions (</w:t>
      </w:r>
      <w:proofErr w:type="gramStart"/>
      <w:r w:rsidRPr="00272322">
        <w:rPr>
          <w:color w:val="0000CC"/>
        </w:rPr>
        <w:t>e.g.</w:t>
      </w:r>
      <w:proofErr w:type="gramEnd"/>
      <w:r w:rsidRPr="00272322">
        <w:rPr>
          <w:color w:val="0000CC"/>
        </w:rPr>
        <w:t xml:space="preserve"> NOx), water savings and cost reduction, and/or increased safety.</w:t>
      </w:r>
    </w:p>
    <w:p w14:paraId="49B2C64A" w14:textId="77777777" w:rsidR="008B4D47" w:rsidRPr="002C1625" w:rsidRDefault="008B4D47" w:rsidP="00146F06">
      <w:pPr>
        <w:numPr>
          <w:ilvl w:val="0"/>
          <w:numId w:val="5"/>
        </w:numPr>
        <w:spacing w:after="120"/>
        <w:jc w:val="left"/>
      </w:pPr>
      <w:r>
        <w:t xml:space="preserve">States the timeframe, assumptions with sources, and calculations for the estimated benefits, and explains their reasonableness. Include baseline or “business as usual” over timeframe. </w:t>
      </w:r>
    </w:p>
    <w:p w14:paraId="021A6D6C" w14:textId="77777777" w:rsidR="008B4D47" w:rsidRPr="002C1625" w:rsidRDefault="008B4D47" w:rsidP="00146F06">
      <w:pPr>
        <w:pStyle w:val="ListParagraph"/>
        <w:numPr>
          <w:ilvl w:val="0"/>
          <w:numId w:val="5"/>
        </w:numPr>
        <w:jc w:val="left"/>
      </w:pPr>
      <w:r>
        <w:t>Explains the path-to-market strategy including near-term (</w:t>
      </w:r>
      <w:proofErr w:type="gramStart"/>
      <w:r>
        <w:t>i.e.</w:t>
      </w:r>
      <w:proofErr w:type="gramEnd"/>
      <w:r>
        <w:t xml:space="preserve"> initial target markets), mid-term, and long-term markets for the technology, size and penetration or deployment rates, and underlying assumptions.</w:t>
      </w:r>
    </w:p>
    <w:p w14:paraId="6D19FCAE" w14:textId="77777777" w:rsidR="008B4D47" w:rsidRPr="00E45742" w:rsidRDefault="008B4D47" w:rsidP="00146F06">
      <w:pPr>
        <w:jc w:val="left"/>
      </w:pPr>
    </w:p>
    <w:p w14:paraId="18FF9ED1" w14:textId="77777777" w:rsidR="00E45742" w:rsidRPr="00FD4970" w:rsidRDefault="00E45742" w:rsidP="00146F06">
      <w:pPr>
        <w:jc w:val="left"/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146F06">
      <w:pPr>
        <w:jc w:val="left"/>
      </w:pPr>
    </w:p>
    <w:p w14:paraId="3F1F89D9" w14:textId="77777777" w:rsidR="008B4D47" w:rsidRPr="00941FBA" w:rsidRDefault="008B4D47" w:rsidP="00146F06">
      <w:pPr>
        <w:numPr>
          <w:ilvl w:val="0"/>
          <w:numId w:val="1"/>
        </w:numPr>
        <w:spacing w:after="120"/>
        <w:ind w:left="720"/>
        <w:jc w:val="left"/>
      </w:pPr>
      <w:r w:rsidRPr="00941FBA">
        <w:t xml:space="preserve">Identifies credentials of prime and any subcontractor core personnel, including the project manager and principal investigator </w:t>
      </w:r>
      <w:r w:rsidRPr="00941FBA">
        <w:rPr>
          <w:i/>
        </w:rPr>
        <w:t>(include this information in Attachment 5, Project Team Form).</w:t>
      </w:r>
    </w:p>
    <w:p w14:paraId="37F810F1" w14:textId="01CB15C6" w:rsidR="008B4D47" w:rsidRDefault="00FD4970" w:rsidP="00146F06">
      <w:pPr>
        <w:numPr>
          <w:ilvl w:val="0"/>
          <w:numId w:val="1"/>
        </w:numPr>
        <w:spacing w:after="120"/>
        <w:ind w:left="720"/>
        <w:jc w:val="left"/>
      </w:pPr>
      <w:r>
        <w:t>Demonstrates that the project team</w:t>
      </w:r>
      <w:r w:rsidRPr="1F82E3C4">
        <w:rPr>
          <w:color w:val="00B0F0"/>
        </w:rPr>
        <w:t xml:space="preserve"> </w:t>
      </w:r>
      <w:r>
        <w:t xml:space="preserve">has appropriate qualifications, experience, financial </w:t>
      </w:r>
      <w:proofErr w:type="gramStart"/>
      <w:r>
        <w:t>stability</w:t>
      </w:r>
      <w:proofErr w:type="gramEnd"/>
      <w:r>
        <w:t xml:space="preserve"> and capability to complete the project.</w:t>
      </w:r>
    </w:p>
    <w:p w14:paraId="42AEAF7D" w14:textId="06C66FA4" w:rsidR="008B4D47" w:rsidRDefault="008B4D47" w:rsidP="00146F06">
      <w:pPr>
        <w:numPr>
          <w:ilvl w:val="0"/>
          <w:numId w:val="1"/>
        </w:numPr>
        <w:spacing w:after="120"/>
        <w:ind w:left="720"/>
        <w:jc w:val="left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146F06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146F06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2D228C06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146F06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146F06">
      <w:pPr>
        <w:spacing w:after="120"/>
        <w:ind w:left="720"/>
        <w:jc w:val="left"/>
      </w:pPr>
    </w:p>
    <w:p w14:paraId="428F2241" w14:textId="77777777" w:rsidR="008B4D47" w:rsidRPr="00B73640" w:rsidRDefault="008B4D47" w:rsidP="00146F06">
      <w:pPr>
        <w:numPr>
          <w:ilvl w:val="0"/>
          <w:numId w:val="1"/>
        </w:numPr>
        <w:spacing w:after="120"/>
        <w:ind w:left="720"/>
        <w:jc w:val="left"/>
      </w:pPr>
      <w:r w:rsidRPr="00941FBA">
        <w:lastRenderedPageBreak/>
        <w:t>Describes the facilities, infrastructure, and resources available that directly support the project.</w:t>
      </w:r>
    </w:p>
    <w:p w14:paraId="0821FB46" w14:textId="77777777" w:rsidR="008B4D47" w:rsidRPr="00941FBA" w:rsidRDefault="008B4D47" w:rsidP="00146F06">
      <w:pPr>
        <w:numPr>
          <w:ilvl w:val="0"/>
          <w:numId w:val="1"/>
        </w:numPr>
        <w:spacing w:after="120"/>
        <w:ind w:left="720"/>
        <w:jc w:val="left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146F06">
      <w:pPr>
        <w:jc w:val="left"/>
      </w:pPr>
    </w:p>
    <w:p w14:paraId="26229D6E" w14:textId="77777777" w:rsidR="00E45742" w:rsidRPr="00FD4970" w:rsidRDefault="00E45742" w:rsidP="00146F06">
      <w:pPr>
        <w:jc w:val="left"/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146F06">
      <w:pPr>
        <w:jc w:val="left"/>
      </w:pPr>
    </w:p>
    <w:p w14:paraId="6F45EA23" w14:textId="7C536514" w:rsidR="008B4D47" w:rsidRDefault="008B4D47" w:rsidP="00146F06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146F06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146F06">
            <w:pPr>
              <w:spacing w:after="120"/>
              <w:jc w:val="left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146F06">
            <w:pPr>
              <w:spacing w:after="120"/>
              <w:jc w:val="left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146F06">
            <w:pPr>
              <w:spacing w:after="120"/>
              <w:jc w:val="left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146F06">
            <w:pPr>
              <w:spacing w:after="120"/>
              <w:jc w:val="left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146F06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146F06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146F06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146F06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146F06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146F06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146F06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146F06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146F06">
            <w:pPr>
              <w:spacing w:after="120"/>
              <w:jc w:val="left"/>
            </w:pPr>
            <w:r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146F06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146F06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146F06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77777777" w:rsidR="00A56963" w:rsidRDefault="00A56963" w:rsidP="00146F06">
            <w:pPr>
              <w:spacing w:after="120"/>
              <w:jc w:val="left"/>
            </w:pPr>
            <w:r>
              <w:t>Task [TBD-2]: Technology/ 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146F06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146F06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146F06">
            <w:pPr>
              <w:spacing w:after="120"/>
              <w:jc w:val="left"/>
            </w:pPr>
          </w:p>
        </w:tc>
      </w:tr>
    </w:tbl>
    <w:p w14:paraId="220E95C8" w14:textId="0C044135" w:rsidR="00A56963" w:rsidRPr="00964872" w:rsidRDefault="00A56963" w:rsidP="00146F06">
      <w:pPr>
        <w:spacing w:before="120"/>
        <w:ind w:firstLine="720"/>
        <w:jc w:val="left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146F06">
      <w:pPr>
        <w:spacing w:before="120"/>
        <w:jc w:val="left"/>
      </w:pPr>
    </w:p>
    <w:p w14:paraId="683430CE" w14:textId="77777777" w:rsidR="008B4D47" w:rsidRPr="00C31C1D" w:rsidRDefault="008B4D47" w:rsidP="00146F06">
      <w:pPr>
        <w:numPr>
          <w:ilvl w:val="0"/>
          <w:numId w:val="14"/>
        </w:numPr>
        <w:spacing w:before="120"/>
        <w:jc w:val="left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146F06">
      <w:pPr>
        <w:numPr>
          <w:ilvl w:val="0"/>
          <w:numId w:val="14"/>
        </w:numPr>
        <w:spacing w:before="120"/>
        <w:jc w:val="left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146F06">
      <w:pPr>
        <w:numPr>
          <w:ilvl w:val="0"/>
          <w:numId w:val="14"/>
        </w:numPr>
        <w:spacing w:before="120"/>
        <w:jc w:val="left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146F06">
      <w:pPr>
        <w:ind w:firstLine="720"/>
        <w:jc w:val="left"/>
      </w:pPr>
    </w:p>
    <w:p w14:paraId="45196B7D" w14:textId="77777777" w:rsidR="00FD4970" w:rsidRDefault="00F2487B" w:rsidP="00146F06">
      <w:pPr>
        <w:jc w:val="left"/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146F06">
      <w:pPr>
        <w:jc w:val="left"/>
        <w:rPr>
          <w:b/>
        </w:rPr>
      </w:pPr>
    </w:p>
    <w:p w14:paraId="6D55EDFC" w14:textId="38BB19DD" w:rsidR="00CF137E" w:rsidRDefault="00C508A6" w:rsidP="00146F06">
      <w:pPr>
        <w:ind w:left="360"/>
        <w:jc w:val="left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146F06">
      <w:pPr>
        <w:jc w:val="left"/>
        <w:rPr>
          <w:highlight w:val="yellow"/>
        </w:rPr>
      </w:pPr>
    </w:p>
    <w:p w14:paraId="7E52B083" w14:textId="77777777" w:rsidR="00FD4970" w:rsidRDefault="00FD4970" w:rsidP="00146F06">
      <w:pPr>
        <w:jc w:val="left"/>
        <w:rPr>
          <w:strike/>
          <w:color w:val="0070C0"/>
        </w:rPr>
      </w:pPr>
    </w:p>
    <w:p w14:paraId="1D045E25" w14:textId="56BE6619" w:rsidR="00E42C1D" w:rsidRPr="00CF137E" w:rsidRDefault="00CF137E" w:rsidP="00146F06">
      <w:pPr>
        <w:jc w:val="left"/>
      </w:pPr>
      <w:r w:rsidRPr="1F82E3C4">
        <w:rPr>
          <w:b/>
          <w:bCs/>
        </w:rPr>
        <w:t>Disadvantaged Communities</w:t>
      </w:r>
      <w:r w:rsidR="00E42C1D">
        <w:t xml:space="preserve"> </w:t>
      </w:r>
    </w:p>
    <w:p w14:paraId="4B9C8283" w14:textId="77777777" w:rsidR="00CF137E" w:rsidRPr="002858B3" w:rsidRDefault="00CF137E" w:rsidP="00146F06">
      <w:pPr>
        <w:pStyle w:val="ListParagraph"/>
        <w:numPr>
          <w:ilvl w:val="0"/>
          <w:numId w:val="16"/>
        </w:numPr>
        <w:jc w:val="left"/>
      </w:pPr>
      <w:r w:rsidRPr="002858B3">
        <w:t>Proposal identifies how the target market(s) will benefit disadvantage</w:t>
      </w:r>
      <w:r>
        <w:t>d</w:t>
      </w:r>
      <w:r w:rsidRPr="002858B3">
        <w:t xml:space="preserve"> and low-income communities.</w:t>
      </w:r>
    </w:p>
    <w:p w14:paraId="4E47C9F5" w14:textId="77777777" w:rsidR="00CF137E" w:rsidRPr="002858B3" w:rsidRDefault="00CF137E" w:rsidP="00146F06">
      <w:pPr>
        <w:pStyle w:val="ListParagraph"/>
        <w:numPr>
          <w:ilvl w:val="0"/>
          <w:numId w:val="16"/>
        </w:numPr>
        <w:jc w:val="left"/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146F06">
      <w:pPr>
        <w:pStyle w:val="ListParagraph"/>
        <w:numPr>
          <w:ilvl w:val="0"/>
          <w:numId w:val="16"/>
        </w:numPr>
        <w:jc w:val="left"/>
      </w:pPr>
      <w:r w:rsidRPr="002858B3">
        <w:lastRenderedPageBreak/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12167236" w:rsidR="009C0C1C" w:rsidRPr="00CF137E" w:rsidRDefault="00CF137E" w:rsidP="00146F06">
      <w:pPr>
        <w:pStyle w:val="ListParagraph"/>
        <w:numPr>
          <w:ilvl w:val="0"/>
          <w:numId w:val="16"/>
        </w:numPr>
        <w:jc w:val="left"/>
      </w:pPr>
      <w:r w:rsidRPr="002858B3">
        <w:t>Applicants have letters of support from technology partners, community</w:t>
      </w:r>
      <w:r w:rsidR="00146F06">
        <w:t>-</w:t>
      </w:r>
      <w:r w:rsidRPr="002858B3">
        <w:t>based organizations, environmental justice organizations, or other partners that demonstrate equity, feasibility, and commercial viability in low-income and disadvantaged communities.</w:t>
      </w:r>
    </w:p>
    <w:sectPr w:rsidR="009C0C1C" w:rsidRPr="00CF137E" w:rsidSect="0044036C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A4E7" w14:textId="77777777" w:rsidR="007A2660" w:rsidRDefault="007A2660" w:rsidP="008B4D47">
      <w:r>
        <w:separator/>
      </w:r>
    </w:p>
    <w:p w14:paraId="6E9F0E4E" w14:textId="77777777" w:rsidR="00A84C13" w:rsidRDefault="00A84C13" w:rsidP="008B4D47"/>
  </w:endnote>
  <w:endnote w:type="continuationSeparator" w:id="0">
    <w:p w14:paraId="54ED8AD9" w14:textId="77777777" w:rsidR="007A2660" w:rsidRDefault="007A2660" w:rsidP="008B4D47">
      <w:r>
        <w:continuationSeparator/>
      </w:r>
    </w:p>
    <w:p w14:paraId="37F48997" w14:textId="77777777" w:rsidR="00A84C13" w:rsidRDefault="00A84C13" w:rsidP="008B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7994B758" w:rsidR="00AA55F3" w:rsidRPr="0035101C" w:rsidRDefault="0035101C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August 202</w:t>
    </w:r>
    <w:r w:rsidR="00AB18F8">
      <w:rPr>
        <w:sz w:val="20"/>
        <w:szCs w:val="20"/>
      </w:rPr>
      <w:t>2</w:t>
    </w:r>
    <w:r w:rsidR="00390361" w:rsidRPr="0035101C">
      <w:rPr>
        <w:sz w:val="20"/>
        <w:szCs w:val="20"/>
      </w:rPr>
      <w:tab/>
    </w:r>
    <w:r w:rsidR="00C10EB7" w:rsidRPr="0035101C">
      <w:rPr>
        <w:sz w:val="20"/>
        <w:szCs w:val="20"/>
      </w:rPr>
      <w:t xml:space="preserve">Page </w:t>
    </w:r>
    <w:r w:rsidR="00AC5E7A" w:rsidRPr="0035101C">
      <w:rPr>
        <w:sz w:val="20"/>
        <w:szCs w:val="20"/>
      </w:rPr>
      <w:fldChar w:fldCharType="begin"/>
    </w:r>
    <w:r w:rsidR="00C10EB7" w:rsidRPr="0035101C">
      <w:rPr>
        <w:sz w:val="20"/>
        <w:szCs w:val="20"/>
      </w:rPr>
      <w:instrText xml:space="preserve"> PAGE </w:instrText>
    </w:r>
    <w:r w:rsidR="00AC5E7A" w:rsidRPr="0035101C">
      <w:rPr>
        <w:sz w:val="20"/>
        <w:szCs w:val="20"/>
      </w:rPr>
      <w:fldChar w:fldCharType="separate"/>
    </w:r>
    <w:r w:rsidR="007433B8" w:rsidRPr="0035101C">
      <w:rPr>
        <w:noProof/>
        <w:sz w:val="20"/>
        <w:szCs w:val="20"/>
      </w:rPr>
      <w:t>2</w:t>
    </w:r>
    <w:r w:rsidR="00AC5E7A" w:rsidRPr="0035101C">
      <w:rPr>
        <w:sz w:val="20"/>
        <w:szCs w:val="20"/>
      </w:rPr>
      <w:fldChar w:fldCharType="end"/>
    </w:r>
    <w:r w:rsidR="00C10EB7" w:rsidRPr="0035101C">
      <w:rPr>
        <w:sz w:val="20"/>
        <w:szCs w:val="20"/>
      </w:rPr>
      <w:t xml:space="preserve"> of </w:t>
    </w:r>
    <w:r w:rsidR="00AC5E7A" w:rsidRPr="0035101C">
      <w:rPr>
        <w:sz w:val="20"/>
        <w:szCs w:val="20"/>
      </w:rPr>
      <w:fldChar w:fldCharType="begin"/>
    </w:r>
    <w:r w:rsidR="00C10EB7" w:rsidRPr="0035101C">
      <w:rPr>
        <w:sz w:val="20"/>
        <w:szCs w:val="20"/>
      </w:rPr>
      <w:instrText xml:space="preserve"> NUMPAGES  </w:instrText>
    </w:r>
    <w:r w:rsidR="00AC5E7A" w:rsidRPr="0035101C">
      <w:rPr>
        <w:sz w:val="20"/>
        <w:szCs w:val="20"/>
      </w:rPr>
      <w:fldChar w:fldCharType="separate"/>
    </w:r>
    <w:r w:rsidR="007433B8" w:rsidRPr="0035101C">
      <w:rPr>
        <w:noProof/>
        <w:sz w:val="20"/>
        <w:szCs w:val="20"/>
      </w:rPr>
      <w:t>6</w:t>
    </w:r>
    <w:r w:rsidR="00AC5E7A" w:rsidRPr="0035101C">
      <w:rPr>
        <w:sz w:val="20"/>
        <w:szCs w:val="20"/>
      </w:rPr>
      <w:fldChar w:fldCharType="end"/>
    </w:r>
    <w:r w:rsidR="00FF743A" w:rsidRPr="0035101C">
      <w:rPr>
        <w:sz w:val="20"/>
        <w:szCs w:val="20"/>
      </w:rPr>
      <w:tab/>
    </w:r>
    <w:r w:rsidR="008853D3" w:rsidRPr="0035101C">
      <w:rPr>
        <w:sz w:val="20"/>
        <w:szCs w:val="20"/>
      </w:rPr>
      <w:t>GFO</w:t>
    </w:r>
    <w:r w:rsidR="00FF743A" w:rsidRPr="0035101C">
      <w:rPr>
        <w:sz w:val="20"/>
        <w:szCs w:val="20"/>
      </w:rPr>
      <w:t>-</w:t>
    </w:r>
    <w:r w:rsidR="00272322">
      <w:rPr>
        <w:sz w:val="20"/>
        <w:szCs w:val="20"/>
      </w:rPr>
      <w:t>22-401</w:t>
    </w:r>
  </w:p>
  <w:p w14:paraId="0553F744" w14:textId="4E353E7D" w:rsidR="00242758" w:rsidRPr="0035101C" w:rsidRDefault="00242758" w:rsidP="00242758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35101C">
      <w:rPr>
        <w:sz w:val="20"/>
        <w:szCs w:val="20"/>
      </w:rPr>
      <w:t>Rev. 01/2021</w:t>
    </w:r>
    <w:r w:rsidRPr="0035101C">
      <w:rPr>
        <w:sz w:val="20"/>
        <w:szCs w:val="20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15A6" w14:textId="77777777" w:rsidR="007A2660" w:rsidRDefault="007A2660" w:rsidP="008B4D47">
      <w:r>
        <w:separator/>
      </w:r>
    </w:p>
    <w:p w14:paraId="598962A3" w14:textId="77777777" w:rsidR="00A84C13" w:rsidRDefault="00A84C13" w:rsidP="008B4D47"/>
  </w:footnote>
  <w:footnote w:type="continuationSeparator" w:id="0">
    <w:p w14:paraId="5813CAFD" w14:textId="77777777" w:rsidR="007A2660" w:rsidRDefault="007A2660" w:rsidP="008B4D47">
      <w:r>
        <w:continuationSeparator/>
      </w:r>
    </w:p>
    <w:p w14:paraId="0A5F3F9A" w14:textId="77777777" w:rsidR="00A84C13" w:rsidRDefault="00A84C13" w:rsidP="008B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64561624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834712">
      <w:rPr>
        <w:b/>
        <w:sz w:val="26"/>
        <w:szCs w:val="26"/>
      </w:rPr>
      <w:t>3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15"/>
  </w:num>
  <w:num w:numId="13">
    <w:abstractNumId w:val="8"/>
  </w:num>
  <w:num w:numId="14">
    <w:abstractNumId w:val="4"/>
  </w:num>
  <w:num w:numId="15">
    <w:abstractNumId w:val="6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FC3"/>
    <w:rsid w:val="0002180D"/>
    <w:rsid w:val="000221F1"/>
    <w:rsid w:val="00026255"/>
    <w:rsid w:val="00026C30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46F06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554D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2758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2322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31547"/>
    <w:rsid w:val="003346FE"/>
    <w:rsid w:val="00341D4F"/>
    <w:rsid w:val="0034404B"/>
    <w:rsid w:val="00347785"/>
    <w:rsid w:val="0034784D"/>
    <w:rsid w:val="0035101C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036C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22799"/>
    <w:rsid w:val="005263CC"/>
    <w:rsid w:val="005414C4"/>
    <w:rsid w:val="00542F64"/>
    <w:rsid w:val="0055392C"/>
    <w:rsid w:val="00556B62"/>
    <w:rsid w:val="00557105"/>
    <w:rsid w:val="00561D29"/>
    <w:rsid w:val="00565391"/>
    <w:rsid w:val="00572153"/>
    <w:rsid w:val="0057450F"/>
    <w:rsid w:val="0057592B"/>
    <w:rsid w:val="005826A7"/>
    <w:rsid w:val="00593EC1"/>
    <w:rsid w:val="005A10E6"/>
    <w:rsid w:val="005A6041"/>
    <w:rsid w:val="005B5BD1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34DB"/>
    <w:rsid w:val="0092501E"/>
    <w:rsid w:val="009316C2"/>
    <w:rsid w:val="0093231E"/>
    <w:rsid w:val="0094278C"/>
    <w:rsid w:val="00950DDD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B18F8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941"/>
    <w:rsid w:val="00AF5961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34B75"/>
    <w:rsid w:val="00B4504A"/>
    <w:rsid w:val="00B458BE"/>
    <w:rsid w:val="00B47AED"/>
    <w:rsid w:val="00B70988"/>
    <w:rsid w:val="00B712F4"/>
    <w:rsid w:val="00B74A9C"/>
    <w:rsid w:val="00B75B8E"/>
    <w:rsid w:val="00B76A54"/>
    <w:rsid w:val="00B8231A"/>
    <w:rsid w:val="00B8729A"/>
    <w:rsid w:val="00B87F88"/>
    <w:rsid w:val="00B9426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11BED"/>
    <w:rsid w:val="00F1414D"/>
    <w:rsid w:val="00F15EE2"/>
    <w:rsid w:val="00F2487B"/>
    <w:rsid w:val="00F2733F"/>
    <w:rsid w:val="00F303D9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7078F"/>
    <w:rsid w:val="00F724DE"/>
    <w:rsid w:val="00F75DAB"/>
    <w:rsid w:val="00F814E2"/>
    <w:rsid w:val="00F90600"/>
    <w:rsid w:val="00F9309F"/>
    <w:rsid w:val="00FA2DAC"/>
    <w:rsid w:val="00FB23E1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1F82E3C4"/>
    <w:rsid w:val="205AE624"/>
    <w:rsid w:val="3E022020"/>
    <w:rsid w:val="6232917B"/>
    <w:rsid w:val="6A816B5F"/>
    <w:rsid w:val="6C1D3BC0"/>
    <w:rsid w:val="713D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AA6FF-BD63-49D2-B3B4-DBCB0C1D5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067c814-4b34-462c-a21d-c185ff6548d2"/>
    <ds:schemaRef ds:uri="http://www.w3.org/XML/1998/namespace"/>
    <ds:schemaRef ds:uri="http://purl.org/dc/elements/1.1/"/>
    <ds:schemaRef ds:uri="b4180f15-fbd5-4f1c-a958-ef9266d90db7"/>
    <ds:schemaRef ds:uri="http://purl.org/dc/terms/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1</TotalTime>
  <Pages>4</Pages>
  <Words>835</Words>
  <Characters>4761</Characters>
  <Application>Microsoft Office Word</Application>
  <DocSecurity>0</DocSecurity>
  <Lines>39</Lines>
  <Paragraphs>11</Paragraphs>
  <ScaleCrop>false</ScaleCrop>
  <Company>California Energy Commission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rgrant</dc:creator>
  <cp:lastModifiedBy>Dyer, Phil@Energy</cp:lastModifiedBy>
  <cp:revision>2</cp:revision>
  <cp:lastPrinted>2014-04-11T22:56:00Z</cp:lastPrinted>
  <dcterms:created xsi:type="dcterms:W3CDTF">2022-08-17T19:05:00Z</dcterms:created>
  <dcterms:modified xsi:type="dcterms:W3CDTF">2022-08-17T19:05:00Z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