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7EF06443" w:rsidR="009E6C35" w:rsidRDefault="00B1122A" w:rsidP="00D33013">
      <w:pPr>
        <w:pStyle w:val="paragraph"/>
        <w:ind w:left="4320"/>
        <w:textAlignment w:val="baseline"/>
        <w:rPr>
          <w:rStyle w:val="normaltextrun"/>
          <w:rFonts w:ascii="Arial" w:hAnsi="Arial" w:cs="Arial"/>
        </w:rPr>
      </w:pPr>
      <w:r>
        <w:rPr>
          <w:rStyle w:val="normaltextrun"/>
          <w:rFonts w:ascii="Arial" w:hAnsi="Arial" w:cs="Arial"/>
        </w:rPr>
        <w:t>September 2</w:t>
      </w:r>
      <w:r w:rsidR="00DB53FE">
        <w:rPr>
          <w:rStyle w:val="normaltextrun"/>
          <w:rFonts w:ascii="Arial" w:hAnsi="Arial" w:cs="Arial"/>
        </w:rPr>
        <w:t>9</w:t>
      </w:r>
      <w:r>
        <w:rPr>
          <w:rStyle w:val="normaltextrun"/>
          <w:rFonts w:ascii="Arial" w:hAnsi="Arial" w:cs="Arial"/>
        </w:rPr>
        <w:t>, 2022</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3049D69B" w14:textId="77777777" w:rsidR="00B1122A" w:rsidRPr="00B1122A" w:rsidRDefault="00B1122A" w:rsidP="00B1122A">
      <w:pPr>
        <w:jc w:val="center"/>
        <w:rPr>
          <w:rFonts w:ascii="Arial" w:hAnsi="Arial" w:cs="Arial"/>
          <w:b/>
          <w:bCs/>
        </w:rPr>
      </w:pPr>
      <w:r w:rsidRPr="00B1122A">
        <w:rPr>
          <w:rFonts w:ascii="Arial" w:hAnsi="Arial" w:cs="Arial"/>
          <w:b/>
          <w:bCs/>
        </w:rPr>
        <w:t>GFO-22-401</w:t>
      </w:r>
    </w:p>
    <w:p w14:paraId="1BBABA3F" w14:textId="77777777"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Advancing Environmental Monitoring Technologies for Floating Offshore Wind</w:t>
      </w:r>
    </w:p>
    <w:p w14:paraId="6587D6BB" w14:textId="77777777"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Addendum 1</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77777777"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purpose of this addendum is to notify potential applicants of changes that have been made to GFO-22-401. 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6794AA0D" w14:textId="77777777" w:rsidR="00B1122A" w:rsidRPr="00B1122A" w:rsidRDefault="00B1122A" w:rsidP="00B1122A">
      <w:pPr>
        <w:keepNext/>
        <w:keepLines/>
        <w:numPr>
          <w:ilvl w:val="0"/>
          <w:numId w:val="2"/>
        </w:numPr>
        <w:spacing w:before="40"/>
        <w:ind w:left="360"/>
        <w:outlineLvl w:val="2"/>
        <w:rPr>
          <w:color w:val="000000" w:themeColor="text1"/>
        </w:rPr>
      </w:pPr>
      <w:r w:rsidRPr="00B1122A">
        <w:rPr>
          <w:rFonts w:ascii="Arial" w:eastAsiaTheme="majorEastAsia" w:hAnsi="Arial" w:cs="Arial"/>
          <w:b/>
          <w:bCs/>
        </w:rPr>
        <w:t>Page 6, Section I.C. Project Focus</w:t>
      </w:r>
    </w:p>
    <w:p w14:paraId="4D4CB274" w14:textId="77777777" w:rsidR="00B1122A" w:rsidRPr="00B1122A" w:rsidRDefault="00B1122A" w:rsidP="00B1122A">
      <w:pPr>
        <w:ind w:firstLine="360"/>
        <w:rPr>
          <w:rFonts w:ascii="Arial" w:hAnsi="Arial" w:cs="Arial"/>
        </w:rPr>
      </w:pPr>
    </w:p>
    <w:p w14:paraId="1266DE0A" w14:textId="374AF0B9" w:rsidR="00B1122A" w:rsidRPr="00B1122A" w:rsidRDefault="00B1122A" w:rsidP="00803E15">
      <w:pPr>
        <w:tabs>
          <w:tab w:val="left" w:pos="270"/>
        </w:tabs>
        <w:rPr>
          <w:rFonts w:ascii="Arial" w:eastAsia="Arial" w:hAnsi="Arial" w:cs="Arial"/>
        </w:rPr>
      </w:pPr>
      <w:r w:rsidRPr="00B1122A">
        <w:rPr>
          <w:rFonts w:ascii="Arial" w:eastAsia="Arial" w:hAnsi="Arial" w:cs="Arial"/>
        </w:rPr>
        <w:t>Proposed project activities cannot be tested in state waters</w:t>
      </w:r>
      <w:r w:rsidRPr="00B1122A">
        <w:rPr>
          <w:rFonts w:ascii="Arial" w:eastAsia="Arial" w:hAnsi="Arial" w:cs="Arial"/>
          <w:b/>
          <w:bCs/>
        </w:rPr>
        <w:t>,</w:t>
      </w:r>
      <w:r w:rsidRPr="00B1122A">
        <w:rPr>
          <w:rFonts w:ascii="Arial" w:eastAsia="Arial" w:hAnsi="Arial" w:cs="Arial"/>
        </w:rPr>
        <w:t xml:space="preserve"> [</w:t>
      </w:r>
      <w:r w:rsidRPr="00B1122A">
        <w:rPr>
          <w:rFonts w:ascii="Arial" w:eastAsia="Arial" w:hAnsi="Arial" w:cs="Arial"/>
          <w:strike/>
        </w:rPr>
        <w:t>or current</w:t>
      </w:r>
      <w:r w:rsidRPr="00B1122A">
        <w:rPr>
          <w:rFonts w:ascii="Arial" w:eastAsia="Arial" w:hAnsi="Arial" w:cs="Arial"/>
        </w:rPr>
        <w:t>] federal [</w:t>
      </w:r>
      <w:r w:rsidRPr="00B1122A">
        <w:rPr>
          <w:rFonts w:ascii="Arial" w:eastAsia="Arial" w:hAnsi="Arial" w:cs="Arial"/>
          <w:strike/>
        </w:rPr>
        <w:t>WEAs</w:t>
      </w:r>
      <w:r w:rsidRPr="00B1122A">
        <w:rPr>
          <w:rFonts w:ascii="Arial" w:eastAsia="Arial" w:hAnsi="Arial" w:cs="Arial"/>
        </w:rPr>
        <w:t xml:space="preserve">] </w:t>
      </w:r>
      <w:r w:rsidRPr="00B1122A">
        <w:rPr>
          <w:rFonts w:ascii="Arial" w:eastAsia="Arial" w:hAnsi="Arial" w:cs="Arial"/>
          <w:b/>
          <w:bCs/>
          <w:u w:val="single"/>
        </w:rPr>
        <w:t>waters, or any other ocean or lake environments</w:t>
      </w:r>
      <w:r w:rsidRPr="00B1122A">
        <w:rPr>
          <w:rFonts w:ascii="Arial" w:eastAsia="Arial" w:hAnsi="Arial" w:cs="Arial"/>
          <w:u w:val="single"/>
        </w:rPr>
        <w:t>.</w:t>
      </w:r>
    </w:p>
    <w:p w14:paraId="0F60ED91" w14:textId="77777777" w:rsidR="00B1122A" w:rsidRPr="00B1122A" w:rsidRDefault="00B1122A" w:rsidP="00B1122A">
      <w:pPr>
        <w:tabs>
          <w:tab w:val="left" w:pos="270"/>
        </w:tabs>
        <w:ind w:left="1350" w:hanging="990"/>
        <w:rPr>
          <w:rFonts w:ascii="Arial" w:eastAsia="Arial" w:hAnsi="Arial" w:cs="Arial"/>
        </w:rPr>
      </w:pPr>
    </w:p>
    <w:p w14:paraId="395BE626" w14:textId="77777777" w:rsidR="00B1122A" w:rsidRPr="00B1122A" w:rsidRDefault="00B1122A" w:rsidP="00B1122A">
      <w:pPr>
        <w:keepNext/>
        <w:keepLines/>
        <w:numPr>
          <w:ilvl w:val="0"/>
          <w:numId w:val="2"/>
        </w:numPr>
        <w:spacing w:before="40"/>
        <w:ind w:left="360"/>
        <w:outlineLvl w:val="2"/>
        <w:rPr>
          <w:rFonts w:ascii="Arial" w:eastAsia="Calibri" w:hAnsi="Arial" w:cs="Arial"/>
          <w:color w:val="000000"/>
        </w:rPr>
      </w:pPr>
      <w:r w:rsidRPr="00B1122A">
        <w:rPr>
          <w:rFonts w:ascii="Arial" w:eastAsiaTheme="majorEastAsia" w:hAnsi="Arial" w:cs="Arial"/>
          <w:b/>
        </w:rPr>
        <w:t>Page 23, Section III.C.3.</w:t>
      </w:r>
      <w:r w:rsidRPr="00B1122A">
        <w:rPr>
          <w:rFonts w:ascii="Arial" w:eastAsiaTheme="majorEastAsia" w:hAnsi="Arial" w:cs="Arial"/>
        </w:rPr>
        <w:t xml:space="preserve"> </w:t>
      </w:r>
      <w:r w:rsidRPr="00B1122A">
        <w:rPr>
          <w:rFonts w:ascii="Arial" w:eastAsia="Calibri" w:hAnsi="Arial" w:cs="Arial"/>
          <w:color w:val="000000"/>
        </w:rPr>
        <w:t xml:space="preserve">“Project Narrative Form (Attachment 3)” </w:t>
      </w:r>
    </w:p>
    <w:p w14:paraId="159908B6" w14:textId="77777777" w:rsidR="00B1122A" w:rsidRPr="00B1122A" w:rsidRDefault="00B1122A" w:rsidP="00B1122A">
      <w:pPr>
        <w:ind w:left="360"/>
        <w:contextualSpacing/>
        <w:rPr>
          <w:rFonts w:ascii="Arial" w:eastAsia="Calibri" w:hAnsi="Arial" w:cs="Arial"/>
          <w:color w:val="000000"/>
        </w:rPr>
      </w:pPr>
    </w:p>
    <w:p w14:paraId="53EA0522" w14:textId="77777777" w:rsidR="00B1122A" w:rsidRPr="00B1122A" w:rsidRDefault="00B1122A" w:rsidP="00F92C5E">
      <w:pPr>
        <w:spacing w:after="120"/>
        <w:contextualSpacing/>
        <w:rPr>
          <w:rFonts w:ascii="Arial" w:eastAsia="Times New Roman" w:hAnsi="Arial" w:cs="Arial"/>
          <w:b/>
          <w:u w:val="single"/>
        </w:rPr>
      </w:pPr>
      <w:r w:rsidRPr="00B1122A">
        <w:rPr>
          <w:rFonts w:ascii="Arial" w:eastAsia="Times New Roman" w:hAnsi="Arial" w:cs="Arial"/>
          <w:b/>
          <w:u w:val="single"/>
        </w:rPr>
        <w:t>b. Conflicts of Interest</w:t>
      </w:r>
    </w:p>
    <w:p w14:paraId="53D3D5FF" w14:textId="77777777" w:rsidR="00B1122A" w:rsidRPr="00B1122A" w:rsidRDefault="00B1122A" w:rsidP="00F92C5E">
      <w:pPr>
        <w:spacing w:after="120"/>
        <w:rPr>
          <w:rFonts w:ascii="Arial" w:eastAsia="Times New Roman" w:hAnsi="Arial" w:cs="Arial"/>
          <w:b/>
          <w:bCs/>
          <w:u w:val="single"/>
        </w:rPr>
      </w:pPr>
      <w:r w:rsidRPr="00B1122A">
        <w:rPr>
          <w:rFonts w:ascii="Arial" w:eastAsia="Times New Roman" w:hAnsi="Arial" w:cs="Arial"/>
          <w:b/>
          <w:bCs/>
          <w:u w:val="single"/>
        </w:rPr>
        <w:t xml:space="preserve">In the Technical Approach section, identify any actual or potential conflicts of interest that might impact the applicant’s ability to perform the proposed project and describe actions that would be taken to avoid or mitigate the conflicts.  For example, if an individual participated as a consultant as defined under the Political Reform Act (Gov. Code § 81000 et seq.) in a CEC agreement that is related to the work under the proposed project, the individual </w:t>
      </w:r>
      <w:r w:rsidRPr="00B1122A">
        <w:rPr>
          <w:rFonts w:ascii="Arial" w:eastAsia="Times New Roman" w:hAnsi="Arial" w:cs="Arial"/>
          <w:b/>
          <w:bCs/>
          <w:i/>
          <w:iCs/>
          <w:u w:val="single"/>
        </w:rPr>
        <w:t>might be</w:t>
      </w:r>
      <w:r w:rsidRPr="00B1122A">
        <w:rPr>
          <w:rFonts w:ascii="Arial" w:eastAsia="Times New Roman" w:hAnsi="Arial" w:cs="Arial"/>
          <w:b/>
          <w:bCs/>
          <w:u w:val="single"/>
        </w:rPr>
        <w:t xml:space="preserv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p>
    <w:p w14:paraId="00C58004" w14:textId="77777777" w:rsidR="00B1122A" w:rsidRDefault="00B1122A" w:rsidP="00B1122A">
      <w:pPr>
        <w:rPr>
          <w:rFonts w:ascii="Arial" w:eastAsia="Calibri" w:hAnsi="Arial" w:cs="Arial"/>
          <w:color w:val="000000"/>
        </w:rPr>
      </w:pP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77777777" w:rsidR="00B1122A" w:rsidRPr="00B1122A" w:rsidRDefault="00B1122A" w:rsidP="00B1122A">
      <w:pPr>
        <w:rPr>
          <w:rFonts w:ascii="Arial" w:hAnsi="Arial" w:cs="Arial"/>
          <w:b/>
          <w:bCs/>
        </w:rPr>
      </w:pPr>
      <w:r w:rsidRPr="00B1122A">
        <w:rPr>
          <w:rFonts w:ascii="Arial" w:hAnsi="Arial" w:cs="Arial"/>
          <w:b/>
          <w:bCs/>
        </w:rPr>
        <w:t>Phil Dyer,</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2D11A5">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ACD6" w14:textId="77777777" w:rsidR="00BB2CCD" w:rsidRDefault="00BB2CCD" w:rsidP="00F86D2B">
      <w:r>
        <w:separator/>
      </w:r>
    </w:p>
  </w:endnote>
  <w:endnote w:type="continuationSeparator" w:id="0">
    <w:p w14:paraId="2B9224DD" w14:textId="77777777" w:rsidR="00BB2CCD" w:rsidRDefault="00BB2CCD" w:rsidP="00F86D2B">
      <w:r>
        <w:continuationSeparator/>
      </w:r>
    </w:p>
  </w:endnote>
  <w:endnote w:type="continuationNotice" w:id="1">
    <w:p w14:paraId="42D305B6" w14:textId="77777777" w:rsidR="00BB2CCD" w:rsidRDefault="00BB2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BBAE" w14:textId="77777777" w:rsidR="00BB2CCD" w:rsidRDefault="00BB2CCD" w:rsidP="00F86D2B">
      <w:r>
        <w:separator/>
      </w:r>
    </w:p>
  </w:footnote>
  <w:footnote w:type="continuationSeparator" w:id="0">
    <w:p w14:paraId="08919477" w14:textId="77777777" w:rsidR="00BB2CCD" w:rsidRDefault="00BB2CCD" w:rsidP="00F86D2B">
      <w:r>
        <w:continuationSeparator/>
      </w:r>
    </w:p>
  </w:footnote>
  <w:footnote w:type="continuationNotice" w:id="1">
    <w:p w14:paraId="1CC45BA7" w14:textId="77777777" w:rsidR="00BB2CCD" w:rsidRDefault="00BB2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39B107C">
          <wp:extent cx="7465625" cy="9780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3B9D"/>
    <w:rsid w:val="0009064B"/>
    <w:rsid w:val="000A6CE7"/>
    <w:rsid w:val="000C16AE"/>
    <w:rsid w:val="000E31D6"/>
    <w:rsid w:val="0012428F"/>
    <w:rsid w:val="0014043C"/>
    <w:rsid w:val="0014731B"/>
    <w:rsid w:val="001F62F3"/>
    <w:rsid w:val="00203587"/>
    <w:rsid w:val="00235167"/>
    <w:rsid w:val="002747CF"/>
    <w:rsid w:val="002A5F7A"/>
    <w:rsid w:val="002D11A5"/>
    <w:rsid w:val="00300FB1"/>
    <w:rsid w:val="00306C82"/>
    <w:rsid w:val="003E0AD6"/>
    <w:rsid w:val="003E0D2D"/>
    <w:rsid w:val="003E404F"/>
    <w:rsid w:val="00410AC7"/>
    <w:rsid w:val="00415DE9"/>
    <w:rsid w:val="00430859"/>
    <w:rsid w:val="004379A5"/>
    <w:rsid w:val="00437D5F"/>
    <w:rsid w:val="004504D5"/>
    <w:rsid w:val="00475B35"/>
    <w:rsid w:val="00493781"/>
    <w:rsid w:val="004A1AAA"/>
    <w:rsid w:val="004A4C18"/>
    <w:rsid w:val="004D128F"/>
    <w:rsid w:val="005100D5"/>
    <w:rsid w:val="00524EA9"/>
    <w:rsid w:val="00525E2C"/>
    <w:rsid w:val="00527817"/>
    <w:rsid w:val="00534797"/>
    <w:rsid w:val="00544461"/>
    <w:rsid w:val="005568CA"/>
    <w:rsid w:val="00566D9C"/>
    <w:rsid w:val="00577D95"/>
    <w:rsid w:val="0059609D"/>
    <w:rsid w:val="005E6FA2"/>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717"/>
    <w:rsid w:val="007C6C8A"/>
    <w:rsid w:val="007D545A"/>
    <w:rsid w:val="00803E15"/>
    <w:rsid w:val="0081533B"/>
    <w:rsid w:val="00846985"/>
    <w:rsid w:val="00874988"/>
    <w:rsid w:val="00891290"/>
    <w:rsid w:val="00891410"/>
    <w:rsid w:val="008E1433"/>
    <w:rsid w:val="008E3926"/>
    <w:rsid w:val="008E7852"/>
    <w:rsid w:val="008F7BB2"/>
    <w:rsid w:val="0090646F"/>
    <w:rsid w:val="00910710"/>
    <w:rsid w:val="009407F5"/>
    <w:rsid w:val="00950AF4"/>
    <w:rsid w:val="009E6C35"/>
    <w:rsid w:val="009E754B"/>
    <w:rsid w:val="00A15FA8"/>
    <w:rsid w:val="00A17202"/>
    <w:rsid w:val="00A3384C"/>
    <w:rsid w:val="00A36CF5"/>
    <w:rsid w:val="00A73089"/>
    <w:rsid w:val="00A90DC6"/>
    <w:rsid w:val="00AD21FC"/>
    <w:rsid w:val="00AD5870"/>
    <w:rsid w:val="00AE05B9"/>
    <w:rsid w:val="00B03AD3"/>
    <w:rsid w:val="00B1122A"/>
    <w:rsid w:val="00B80E72"/>
    <w:rsid w:val="00B84D31"/>
    <w:rsid w:val="00B906E9"/>
    <w:rsid w:val="00BA1317"/>
    <w:rsid w:val="00BA3F4C"/>
    <w:rsid w:val="00BB2CCD"/>
    <w:rsid w:val="00BB5DCD"/>
    <w:rsid w:val="00C01C97"/>
    <w:rsid w:val="00C03527"/>
    <w:rsid w:val="00C2336E"/>
    <w:rsid w:val="00C67037"/>
    <w:rsid w:val="00C96BDD"/>
    <w:rsid w:val="00CA6B2B"/>
    <w:rsid w:val="00D2465B"/>
    <w:rsid w:val="00D32C3D"/>
    <w:rsid w:val="00D33013"/>
    <w:rsid w:val="00D431C2"/>
    <w:rsid w:val="00D43B83"/>
    <w:rsid w:val="00DB53FE"/>
    <w:rsid w:val="00E210F6"/>
    <w:rsid w:val="00E62715"/>
    <w:rsid w:val="00E95AA9"/>
    <w:rsid w:val="00EA7BDE"/>
    <w:rsid w:val="00ED18F1"/>
    <w:rsid w:val="00F053EC"/>
    <w:rsid w:val="00F10DFF"/>
    <w:rsid w:val="00F220FC"/>
    <w:rsid w:val="00F22AD4"/>
    <w:rsid w:val="00F7696E"/>
    <w:rsid w:val="00F86D2B"/>
    <w:rsid w:val="00F90F6B"/>
    <w:rsid w:val="00F92C5E"/>
    <w:rsid w:val="00F947AC"/>
    <w:rsid w:val="00F95D8D"/>
    <w:rsid w:val="00F967DF"/>
    <w:rsid w:val="00FE5320"/>
    <w:rsid w:val="00FF7303"/>
    <w:rsid w:val="0CDE3617"/>
    <w:rsid w:val="1C1F3A18"/>
    <w:rsid w:val="2407BBC1"/>
    <w:rsid w:val="3340129D"/>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E51247CA-3A2D-4429-B766-FB5E5995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8</cp:revision>
  <cp:lastPrinted>2019-04-08T16:38:00Z</cp:lastPrinted>
  <dcterms:created xsi:type="dcterms:W3CDTF">2022-09-28T19:39:00Z</dcterms:created>
  <dcterms:modified xsi:type="dcterms:W3CDTF">2022-09-29T20:37:00Z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y fmtid="{D5CDD505-2E9C-101B-9397-08002B2CF9AE}" pid="3" name="MediaServiceImageTags">
    <vt:lpwstr/>
  </property>
</Properties>
</file>