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6FE1" w14:textId="2C8E0C41"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0312C8">
        <w:rPr>
          <w:rFonts w:ascii="Arial" w:hAnsi="Arial" w:cs="Arial"/>
          <w:b/>
          <w:sz w:val="28"/>
          <w:szCs w:val="28"/>
        </w:rPr>
        <w:t>5</w:t>
      </w:r>
    </w:p>
    <w:p w14:paraId="0FC2C749"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3E63E601"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197B8DD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33FCD33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22857CC4"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053F8641"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710E1199"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43C61E4E"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2D17344D"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6102A4A"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653356D6"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D97369E"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72A41968"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E3E2CD6"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624AF6CA"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0EA96B2"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4CD5A569"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1C6F969B"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7FF17A77"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6DF4365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49D7FC17"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3B378616"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5C1FC4C5"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49CC9E0C"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D6FA8BE"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DEECE00"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4D61D96C"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3DDEF52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EB7FFC8"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2FA9571E"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0E7FE86D"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C045EDC"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304F0E61" w14:textId="77777777" w:rsidTr="001607DA">
        <w:tc>
          <w:tcPr>
            <w:tcW w:w="918" w:type="dxa"/>
            <w:tcBorders>
              <w:top w:val="single" w:sz="4" w:space="0" w:color="auto"/>
              <w:left w:val="single" w:sz="4" w:space="0" w:color="auto"/>
              <w:bottom w:val="single" w:sz="4" w:space="0" w:color="auto"/>
              <w:right w:val="single" w:sz="4" w:space="0" w:color="auto"/>
            </w:tcBorders>
          </w:tcPr>
          <w:p w14:paraId="63DC57AC"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171C4E48"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33F3F01B"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63E77F8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4313FAD1"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0CBA5C23"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7089F42C"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77692A6D"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188D8DEA"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0989F64B"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11E57A88"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646D69BA"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547DFB8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0028618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283199C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4C27F2A9"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2B9A7259"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5F2189F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4B7779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2D73BD0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B2ED5A2"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339528EB"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7C4F8BF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2B8B52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30B7FB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394BDD87"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4EC69F5D"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34DC81D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0A6DBA6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2E95863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2E7E583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400A029A"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52C4F229"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5B12ADA1"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769BD19A"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14:paraId="71E5B2AD"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688AFA6A"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36B5A773"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191657" w:rsidRPr="00D73356" w14:paraId="52ED28F8" w14:textId="77777777" w:rsidTr="00F152CF">
        <w:tc>
          <w:tcPr>
            <w:tcW w:w="1800" w:type="dxa"/>
            <w:tcBorders>
              <w:top w:val="single" w:sz="4" w:space="0" w:color="auto"/>
              <w:left w:val="single" w:sz="4" w:space="0" w:color="auto"/>
              <w:bottom w:val="single" w:sz="4" w:space="0" w:color="auto"/>
              <w:right w:val="single" w:sz="4" w:space="0" w:color="auto"/>
            </w:tcBorders>
          </w:tcPr>
          <w:p w14:paraId="14049721"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0F267F45"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5542B" w:rsidRPr="00D73356" w14:paraId="04C59AF3" w14:textId="77777777" w:rsidTr="00F152CF">
        <w:tc>
          <w:tcPr>
            <w:tcW w:w="1800" w:type="dxa"/>
            <w:tcBorders>
              <w:top w:val="single" w:sz="4" w:space="0" w:color="auto"/>
              <w:left w:val="single" w:sz="4" w:space="0" w:color="auto"/>
              <w:bottom w:val="single" w:sz="4" w:space="0" w:color="auto"/>
              <w:right w:val="single" w:sz="4" w:space="0" w:color="auto"/>
            </w:tcBorders>
          </w:tcPr>
          <w:p w14:paraId="6F49A70E"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830" w:type="dxa"/>
            <w:tcBorders>
              <w:top w:val="single" w:sz="4" w:space="0" w:color="auto"/>
              <w:left w:val="single" w:sz="4" w:space="0" w:color="auto"/>
              <w:bottom w:val="single" w:sz="4" w:space="0" w:color="auto"/>
              <w:right w:val="single" w:sz="4" w:space="0" w:color="auto"/>
            </w:tcBorders>
          </w:tcPr>
          <w:p w14:paraId="779AB2AD"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9E59AE" w:rsidRPr="00D73356" w14:paraId="01890B4B" w14:textId="77777777" w:rsidTr="00F152CF">
        <w:tc>
          <w:tcPr>
            <w:tcW w:w="1800" w:type="dxa"/>
            <w:tcBorders>
              <w:top w:val="single" w:sz="4" w:space="0" w:color="auto"/>
              <w:left w:val="single" w:sz="4" w:space="0" w:color="auto"/>
              <w:bottom w:val="single" w:sz="4" w:space="0" w:color="auto"/>
              <w:right w:val="single" w:sz="4" w:space="0" w:color="auto"/>
            </w:tcBorders>
          </w:tcPr>
          <w:p w14:paraId="2BD618BF"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lastRenderedPageBreak/>
              <w:t>CTP</w:t>
            </w:r>
          </w:p>
        </w:tc>
        <w:tc>
          <w:tcPr>
            <w:tcW w:w="7830" w:type="dxa"/>
            <w:tcBorders>
              <w:top w:val="single" w:sz="4" w:space="0" w:color="auto"/>
              <w:left w:val="single" w:sz="4" w:space="0" w:color="auto"/>
              <w:bottom w:val="single" w:sz="4" w:space="0" w:color="auto"/>
              <w:right w:val="single" w:sz="4" w:space="0" w:color="auto"/>
            </w:tcBorders>
          </w:tcPr>
          <w:p w14:paraId="4F802144"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9E59AE" w:rsidRPr="00D73356" w14:paraId="4C37AEF4"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0182EAB5"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1672C68C"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9E59AE" w:rsidRPr="00D73356" w14:paraId="5D69E74C" w14:textId="77777777" w:rsidTr="00F152CF">
        <w:tc>
          <w:tcPr>
            <w:tcW w:w="1800" w:type="dxa"/>
            <w:tcBorders>
              <w:top w:val="single" w:sz="4" w:space="0" w:color="auto"/>
              <w:left w:val="single" w:sz="4" w:space="0" w:color="auto"/>
              <w:bottom w:val="single" w:sz="4" w:space="0" w:color="auto"/>
              <w:right w:val="single" w:sz="4" w:space="0" w:color="auto"/>
            </w:tcBorders>
          </w:tcPr>
          <w:p w14:paraId="0F3F99C7" w14:textId="77777777" w:rsidR="009E59AE" w:rsidRPr="009467AB" w:rsidRDefault="009E59AE" w:rsidP="009E59A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15FB1BE5"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8B51CA" w:rsidRPr="00D73356" w14:paraId="30A70B11" w14:textId="77777777" w:rsidTr="00F152CF">
        <w:tc>
          <w:tcPr>
            <w:tcW w:w="1800" w:type="dxa"/>
            <w:tcBorders>
              <w:top w:val="single" w:sz="4" w:space="0" w:color="auto"/>
              <w:left w:val="single" w:sz="4" w:space="0" w:color="auto"/>
              <w:bottom w:val="single" w:sz="4" w:space="0" w:color="auto"/>
              <w:right w:val="single" w:sz="4" w:space="0" w:color="auto"/>
            </w:tcBorders>
          </w:tcPr>
          <w:p w14:paraId="42DB36E9"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6ED65C7D" w14:textId="77777777" w:rsidR="008B51CA" w:rsidRPr="00052EA5" w:rsidRDefault="008B51CA" w:rsidP="008B51CA">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008B51CA" w:rsidRPr="00D73356" w14:paraId="56C42031" w14:textId="77777777" w:rsidTr="00F152CF">
        <w:tc>
          <w:tcPr>
            <w:tcW w:w="1800" w:type="dxa"/>
            <w:tcBorders>
              <w:top w:val="single" w:sz="4" w:space="0" w:color="auto"/>
              <w:left w:val="single" w:sz="4" w:space="0" w:color="auto"/>
              <w:bottom w:val="single" w:sz="4" w:space="0" w:color="auto"/>
              <w:right w:val="single" w:sz="4" w:space="0" w:color="auto"/>
            </w:tcBorders>
          </w:tcPr>
          <w:p w14:paraId="13605522" w14:textId="77777777" w:rsidR="008B51CA" w:rsidRPr="00D73356" w:rsidRDefault="008B51CA" w:rsidP="008B51CA">
            <w:pPr>
              <w:pStyle w:val="BodyText"/>
              <w:keepLines/>
              <w:widowControl w:val="0"/>
              <w:spacing w:after="120"/>
              <w:jc w:val="left"/>
              <w:rPr>
                <w:rFonts w:ascii="Arial" w:hAnsi="Arial" w:cs="Arial"/>
                <w:i w:val="0"/>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14:paraId="71AEB78A"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3D13E9C4"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3FFBE89B"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3E176B6F"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23815519"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20C842EA" w14:textId="77777777" w:rsidR="00021B64" w:rsidRPr="00021B64" w:rsidRDefault="00021B64" w:rsidP="4EDD51C2">
      <w:pPr>
        <w:pStyle w:val="paragraph"/>
        <w:spacing w:before="0" w:beforeAutospacing="0" w:after="0" w:afterAutospacing="0"/>
        <w:textAlignment w:val="baseline"/>
        <w:rPr>
          <w:rStyle w:val="normaltextrun"/>
          <w:rFonts w:ascii="Arial" w:hAnsi="Arial" w:cs="Arial"/>
          <w:b/>
          <w:bCs/>
          <w:sz w:val="22"/>
          <w:szCs w:val="22"/>
        </w:rPr>
      </w:pPr>
      <w:r w:rsidRPr="00021B64">
        <w:rPr>
          <w:rStyle w:val="normaltextrun"/>
          <w:rFonts w:ascii="Arial" w:hAnsi="Arial" w:cs="Arial"/>
          <w:b/>
          <w:bCs/>
          <w:sz w:val="22"/>
          <w:szCs w:val="22"/>
          <w:highlight w:val="yellow"/>
        </w:rPr>
        <w:t>ZVI Agreements</w:t>
      </w:r>
    </w:p>
    <w:p w14:paraId="3DBBC707" w14:textId="77777777" w:rsidR="00021B64" w:rsidRDefault="009309C6" w:rsidP="4EDD51C2">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 Budget Act of 2021 (AB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p>
    <w:p w14:paraId="67CF1DF9"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63183BB1" w14:textId="77777777" w:rsidR="001F45A7" w:rsidRDefault="00021B64" w:rsidP="00021B64">
      <w:pPr>
        <w:spacing w:line="259" w:lineRule="auto"/>
        <w:rPr>
          <w:rFonts w:ascii="Arial" w:eastAsiaTheme="minorHAnsi" w:hAnsi="Arial" w:cs="Arial"/>
          <w:color w:val="000000"/>
          <w:sz w:val="22"/>
          <w:szCs w:val="22"/>
          <w:shd w:val="clear" w:color="auto" w:fill="FFFFFF"/>
        </w:rPr>
      </w:pPr>
      <w:r w:rsidRPr="00021B64">
        <w:rPr>
          <w:rFonts w:ascii="Arial" w:eastAsiaTheme="minorHAnsi" w:hAnsi="Arial" w:cs="Arial"/>
          <w:color w:val="000000"/>
          <w:sz w:val="22"/>
          <w:szCs w:val="22"/>
          <w:shd w:val="clear" w:color="auto" w:fill="FFFFFF"/>
        </w:rPr>
        <w:t xml:space="preserve">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the CEC released</w:t>
      </w:r>
      <w:r w:rsidR="00573A96">
        <w:rPr>
          <w:rFonts w:ascii="Arial" w:eastAsiaTheme="minorHAnsi" w:hAnsi="Arial" w:cs="Arial"/>
          <w:color w:val="000000"/>
          <w:sz w:val="22"/>
          <w:szCs w:val="22"/>
          <w:shd w:val="clear" w:color="auto" w:fill="FFFFFF"/>
        </w:rPr>
        <w:t xml:space="preserve"> a</w:t>
      </w:r>
      <w:r w:rsidRPr="00021B64">
        <w:rPr>
          <w:rFonts w:ascii="Arial" w:eastAsiaTheme="minorHAnsi" w:hAnsi="Arial" w:cs="Arial"/>
          <w:color w:val="000000"/>
          <w:sz w:val="22"/>
          <w:szCs w:val="22"/>
          <w:shd w:val="clear" w:color="auto" w:fill="FFFFFF"/>
        </w:rPr>
        <w:t xml:space="preserve"> Grant Funding Opportunity entitled </w:t>
      </w:r>
      <w:r w:rsidRPr="00021B64">
        <w:rPr>
          <w:rFonts w:ascii="Arial" w:eastAsiaTheme="minorHAnsi" w:hAnsi="Arial" w:cs="Arial"/>
          <w:sz w:val="22"/>
          <w:szCs w:val="22"/>
        </w:rPr>
        <w:t>“</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GFO title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This competitive grant solicitation was to </w:t>
      </w:r>
      <w:r w:rsidRPr="00021B64">
        <w:rPr>
          <w:rFonts w:ascii="Arial" w:eastAsiaTheme="minorHAnsi" w:hAnsi="Arial" w:cs="Arial"/>
          <w:sz w:val="22"/>
          <w:szCs w:val="22"/>
        </w:rPr>
        <w:t>[</w:t>
      </w:r>
      <w:r w:rsidRPr="00021B64">
        <w:rPr>
          <w:rFonts w:ascii="Arial" w:eastAsiaTheme="minorHAnsi" w:hAnsi="Arial" w:cs="Arial"/>
          <w:b/>
          <w:bCs/>
          <w:i/>
          <w:iCs/>
          <w:sz w:val="22"/>
          <w:szCs w:val="22"/>
          <w:highlight w:val="yellow"/>
        </w:rPr>
        <w:t>insert brief goals of GFO</w:t>
      </w:r>
      <w:r w:rsidRPr="00021B64">
        <w:rPr>
          <w:rFonts w:ascii="Arial" w:eastAsiaTheme="minorHAnsi" w:hAnsi="Arial" w:cs="Arial"/>
          <w:sz w:val="22"/>
          <w:szCs w:val="22"/>
        </w:rPr>
        <w:t>]</w:t>
      </w:r>
      <w:r w:rsidRPr="00021B64">
        <w:rPr>
          <w:rFonts w:ascii="Arial" w:eastAsiaTheme="minorHAnsi" w:hAnsi="Arial" w:cs="Arial"/>
          <w:color w:val="000000"/>
          <w:sz w:val="22"/>
          <w:szCs w:val="22"/>
          <w:shd w:val="clear" w:color="auto" w:fill="FFFFFF"/>
        </w:rPr>
        <w:t>. In response to GFO-</w:t>
      </w:r>
      <w:r w:rsidRPr="00021B64">
        <w:rPr>
          <w:rFonts w:ascii="Arial" w:eastAsiaTheme="minorHAnsi" w:hAnsi="Arial" w:cs="Arial"/>
          <w:color w:val="000000"/>
          <w:sz w:val="22"/>
          <w:szCs w:val="22"/>
          <w:highlight w:val="yellow"/>
          <w:shd w:val="clear" w:color="auto" w:fill="FFFFFF"/>
        </w:rPr>
        <w:t>XX-XXX</w:t>
      </w:r>
      <w:r w:rsidRPr="00021B64">
        <w:rPr>
          <w:rFonts w:ascii="Arial" w:eastAsiaTheme="minorHAnsi" w:hAnsi="Arial" w:cs="Arial"/>
          <w:color w:val="000000"/>
          <w:sz w:val="22"/>
          <w:szCs w:val="22"/>
          <w:shd w:val="clear" w:color="auto" w:fill="FFFFFF"/>
        </w:rPr>
        <w:t>, the Recipient submitted application #</w:t>
      </w:r>
      <w:r w:rsidRPr="00021B64">
        <w:rPr>
          <w:rFonts w:ascii="Arial" w:eastAsiaTheme="minorHAnsi" w:hAnsi="Arial" w:cs="Arial"/>
          <w:color w:val="000000"/>
          <w:sz w:val="22"/>
          <w:szCs w:val="22"/>
          <w:highlight w:val="yellow"/>
          <w:shd w:val="clear" w:color="auto" w:fill="FFFFFF"/>
        </w:rPr>
        <w:t>XX</w:t>
      </w:r>
      <w:r w:rsidRPr="00021B64">
        <w:rPr>
          <w:rFonts w:ascii="Arial" w:eastAsiaTheme="minorHAnsi" w:hAnsi="Arial" w:cs="Arial"/>
          <w:color w:val="000000"/>
          <w:sz w:val="22"/>
          <w:szCs w:val="22"/>
          <w:shd w:val="clear" w:color="auto" w:fill="FFFFFF"/>
        </w:rPr>
        <w:t> which was proposed for funding in the CEC’s Notice of Proposed Awards 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GFO-</w:t>
      </w:r>
      <w:r w:rsidRPr="00021B64">
        <w:rPr>
          <w:rFonts w:ascii="Arial" w:eastAsiaTheme="minorHAnsi" w:hAnsi="Arial" w:cs="Arial"/>
          <w:color w:val="000000"/>
          <w:sz w:val="22"/>
          <w:szCs w:val="22"/>
          <w:highlight w:val="yellow"/>
          <w:shd w:val="clear" w:color="auto" w:fill="FFFFFF"/>
        </w:rPr>
        <w:t>XX-XXX</w:t>
      </w:r>
      <w:r w:rsidRPr="00021B64">
        <w:rPr>
          <w:rFonts w:ascii="Arial" w:eastAsiaTheme="minorHAnsi" w:hAnsi="Arial" w:cs="Arial"/>
          <w:color w:val="000000"/>
          <w:sz w:val="22"/>
          <w:szCs w:val="22"/>
          <w:shd w:val="clear" w:color="auto" w:fill="FFFFFF"/>
        </w:rPr>
        <w:t> and Recipient’s application are hereby incorporated by reference into this Agreement in their entirety.</w:t>
      </w:r>
    </w:p>
    <w:p w14:paraId="33B6F115"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0C4B8F2B"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49C0249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6B495327"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7708013E"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09248DF4"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5A6688CE"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2A9B2566"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1CF67660"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3627FCD2"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371AC3C1"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18D4972F"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lastRenderedPageBreak/>
        <w:t>The Recipient shall:</w:t>
      </w:r>
    </w:p>
    <w:p w14:paraId="2EB8B846"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7F8212DE"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3C1ACCC1"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6B2DD690"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588D32F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3BE93A39"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7D6B664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1C3FE699"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5A7E3A9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79AD035"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493245D0"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28AD1E1F"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146951C6"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2772C97C"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79A8687E"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CBDB0CB"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243441E0"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03CFF7F5"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5C6833B7"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2494D8C9"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7D4D60AC"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1C829588"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58AF3D60"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55D263D7"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lastRenderedPageBreak/>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034D1264"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3EC72D4B"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7A215B1B"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6CB108E0"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5EAE7322"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6583BFA2"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0A5B935B"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7630B3F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57412FF"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1099097"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36FC9D10"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14224F19"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03413539"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77A37597"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54E3104D"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25F540DA"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4CC5ADBB"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lastRenderedPageBreak/>
        <w:t>Task 1.3 Final Meeting</w:t>
      </w:r>
    </w:p>
    <w:p w14:paraId="56A6C429"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6C041F1"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28AEADB8"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504B264A"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6E08B26E"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EB2261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736C0B35"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12F6DBB4"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23574E27"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675DE5C3"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1844618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125D486A"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FAFC6FA"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35712EB3"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219669D"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338269DB"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2D23C1B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4FCB4413"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43FF6864"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385495DA"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200597A6"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lastRenderedPageBreak/>
        <w:t>Provide questions to the Recipient prior to the monthly call.</w:t>
      </w:r>
    </w:p>
    <w:p w14:paraId="119791C6"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7EC023EE"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C2F5AD9"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2FBCF433"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7EF1194C"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02647179"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6261E1FB"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60274EC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5F05E4AF"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0022F6DA"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864C48A"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2CD4B694"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776D28D3"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31C4176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4AC34BF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41456838"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1EBBF600"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document. If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2BD926AF"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lastRenderedPageBreak/>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44ADC265"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590766B8"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0BFC8C5F"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72A1BEB9"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14:paraId="421EB179"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E8B48F3"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307A4B86"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5EB024D3"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2681A7FE"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57167FFB"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1538AFAE"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3AB8647A"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EF373FC"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6CB57850"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08D5993D"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lastRenderedPageBreak/>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05647C86"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7B09DF77"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44CEE0AD"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4F8E1DD8"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1A1BCEDF"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37DC0DF7"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1010851D"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64CF6ED8"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04DC2EFC"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0E033D36"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2D4FF4EB"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6F73ACF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43BF7884"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237F324D"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1B97F59"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24576F32"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4951A04A"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lastRenderedPageBreak/>
        <w:t>Name, address and telephone number of the permitting jurisdictions or lead agencies</w:t>
      </w:r>
    </w:p>
    <w:p w14:paraId="5B7F0987"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339D674C"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38908DA0"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1C9603C0"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421AA14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12AB3542"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4D26EB7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6924CAF6"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438B342E"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4E5DA95E"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7A37611F"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3995EAA2"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475712CE"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72794D63"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29AC607"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76ABC625"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36DD5DD9"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65661097"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17976AFE"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26F04899"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6B1DE381"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lastRenderedPageBreak/>
        <w:t>Draft subcontracts</w:t>
      </w:r>
      <w:r>
        <w:rPr>
          <w:rFonts w:ascii="Arial" w:hAnsi="Arial" w:cs="Arial"/>
          <w:sz w:val="22"/>
          <w:szCs w:val="22"/>
        </w:rPr>
        <w:t xml:space="preserve"> (if requested)</w:t>
      </w:r>
    </w:p>
    <w:p w14:paraId="74ADC877"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49F08021"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2A70586B"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32FCBFF6"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255D17F6"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7F6CF8CD"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1291D8C5"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0035C0A2"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292BA9C5"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0B1CB6C6"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679C8160"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A1C2998"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574B7BD"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09B98988"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DDDDEE7"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3BD1C1C"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78EC2FFE"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17FA0A9A"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6E757C00"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C2305D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56A3A3B4"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&lt;Insert verb in active tense ... complete the sentence.&gt;</w:t>
      </w:r>
    </w:p>
    <w:p w14:paraId="5ECC1CBC"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7774B29"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168B4F3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969E8D5"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F16320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41894FAB"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4BC21DF9"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7104C4E7"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r w:rsidR="0028052B">
        <w:rPr>
          <w:rFonts w:ascii="Arial" w:hAnsi="Arial" w:cs="Arial"/>
          <w:bCs/>
          <w:sz w:val="22"/>
          <w:szCs w:val="22"/>
        </w:rPr>
        <w:t xml:space="preserve"> </w:t>
      </w:r>
    </w:p>
    <w:p w14:paraId="073BA3EE"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7CBA6159" w14:textId="2E6A1EC6" w:rsidR="00C0792F" w:rsidRPr="009802D4" w:rsidRDefault="009802D4"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Collect and provide the following data:</w:t>
      </w:r>
    </w:p>
    <w:p w14:paraId="15357D95" w14:textId="382B5C8F" w:rsidR="00420AA4"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F54275" w:rsidRPr="00865EFC">
        <w:rPr>
          <w:rFonts w:ascii="Arial" w:hAnsi="Arial" w:cs="Arial"/>
          <w:sz w:val="22"/>
          <w:szCs w:val="22"/>
        </w:rPr>
        <w:t>umber, type, date and location of hydrogen refueling stations installed.</w:t>
      </w:r>
    </w:p>
    <w:p w14:paraId="401F867C" w14:textId="4DA1A3BF" w:rsidR="00F54275"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F54275" w:rsidRPr="00865EFC">
        <w:rPr>
          <w:rFonts w:ascii="Arial" w:hAnsi="Arial" w:cs="Arial"/>
          <w:sz w:val="22"/>
          <w:szCs w:val="22"/>
        </w:rPr>
        <w:t xml:space="preserve">ameplate capacity of the installed equipment, in </w:t>
      </w:r>
      <w:r w:rsidR="00723C14" w:rsidRPr="00865EFC">
        <w:rPr>
          <w:rFonts w:ascii="Arial" w:hAnsi="Arial" w:cs="Arial"/>
          <w:sz w:val="22"/>
          <w:szCs w:val="22"/>
        </w:rPr>
        <w:t>kg/day for hydrogen</w:t>
      </w:r>
      <w:r w:rsidR="00F54275" w:rsidRPr="00865EFC">
        <w:rPr>
          <w:rFonts w:ascii="Arial" w:hAnsi="Arial" w:cs="Arial"/>
          <w:sz w:val="22"/>
          <w:szCs w:val="22"/>
        </w:rPr>
        <w:t>.</w:t>
      </w:r>
    </w:p>
    <w:p w14:paraId="379C2DA6" w14:textId="77777777" w:rsidR="00A72292"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L</w:t>
      </w:r>
      <w:r w:rsidR="00A72292" w:rsidRPr="00865EFC">
        <w:rPr>
          <w:rFonts w:ascii="Arial" w:hAnsi="Arial" w:cs="Arial"/>
          <w:sz w:val="22"/>
          <w:szCs w:val="22"/>
        </w:rPr>
        <w:t>ocation type, such as street, parking lot, hotel, restaurant or multi-unit housing.</w:t>
      </w:r>
    </w:p>
    <w:p w14:paraId="7D9001D5" w14:textId="1A0925E3" w:rsidR="00FB532A"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T</w:t>
      </w:r>
      <w:r w:rsidR="00FB532A" w:rsidRPr="00865EFC">
        <w:rPr>
          <w:rFonts w:ascii="Arial" w:hAnsi="Arial" w:cs="Arial"/>
          <w:sz w:val="22"/>
          <w:szCs w:val="22"/>
        </w:rPr>
        <w:t xml:space="preserve">otal cost per refueling station, the subsidy from the </w:t>
      </w:r>
      <w:r w:rsidR="00BF735C" w:rsidRPr="00865EFC">
        <w:rPr>
          <w:rFonts w:ascii="Arial" w:hAnsi="Arial" w:cs="Arial"/>
          <w:sz w:val="22"/>
          <w:szCs w:val="22"/>
        </w:rPr>
        <w:t>CEC per refueling station, federal subsidy per refueling station, utility subsidy per refueling station, and privately funded share per refueling station</w:t>
      </w:r>
      <w:r w:rsidR="00FB532A" w:rsidRPr="00865EFC">
        <w:rPr>
          <w:rFonts w:ascii="Arial" w:hAnsi="Arial" w:cs="Arial"/>
          <w:sz w:val="22"/>
          <w:szCs w:val="22"/>
        </w:rPr>
        <w:t>.</w:t>
      </w:r>
    </w:p>
    <w:p w14:paraId="18A341FE" w14:textId="6BFF366D" w:rsidR="009E59AE" w:rsidRPr="0066397E" w:rsidRDefault="009830E1"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 xml:space="preserve">Collect </w:t>
      </w:r>
      <w:r w:rsidR="00F03CD4" w:rsidRPr="739851D4">
        <w:rPr>
          <w:rFonts w:ascii="Arial" w:hAnsi="Arial" w:cs="Arial"/>
          <w:sz w:val="22"/>
          <w:szCs w:val="22"/>
        </w:rPr>
        <w:t xml:space="preserve">and provide </w:t>
      </w:r>
      <w:r w:rsidR="00F37E07" w:rsidRPr="739851D4">
        <w:rPr>
          <w:rFonts w:ascii="Arial" w:hAnsi="Arial" w:cs="Arial"/>
          <w:sz w:val="22"/>
          <w:szCs w:val="22"/>
        </w:rPr>
        <w:t>12</w:t>
      </w:r>
      <w:r w:rsidRPr="739851D4">
        <w:rPr>
          <w:rFonts w:ascii="Arial" w:hAnsi="Arial" w:cs="Arial"/>
          <w:sz w:val="22"/>
          <w:szCs w:val="22"/>
        </w:rPr>
        <w:t xml:space="preserve"> months of throughput, usage, and operations data from the project including, but not limited to:</w:t>
      </w:r>
      <w:r w:rsidR="0026651D" w:rsidRPr="739851D4">
        <w:rPr>
          <w:rFonts w:ascii="Arial" w:hAnsi="Arial" w:cs="Arial"/>
          <w:sz w:val="22"/>
          <w:szCs w:val="22"/>
        </w:rPr>
        <w:t xml:space="preserve"> </w:t>
      </w:r>
    </w:p>
    <w:p w14:paraId="4A275942" w14:textId="4CB71391" w:rsidR="00E854EE" w:rsidRDefault="00E854EE"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Number of refueling sessions </w:t>
      </w:r>
    </w:p>
    <w:p w14:paraId="6298045A" w14:textId="2961F4A7" w:rsidR="000E5A96" w:rsidRDefault="00DD3B5E"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Average refueling station downtime</w:t>
      </w:r>
      <w:r w:rsidR="000E5A96" w:rsidRPr="739851D4">
        <w:rPr>
          <w:rFonts w:ascii="Arial" w:hAnsi="Arial" w:cs="Arial"/>
          <w:sz w:val="22"/>
          <w:szCs w:val="22"/>
        </w:rPr>
        <w:t xml:space="preserve"> </w:t>
      </w:r>
    </w:p>
    <w:p w14:paraId="296B641D" w14:textId="7EAFFD5A" w:rsidR="00BC5067" w:rsidRDefault="00BC5067"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session duration </w:t>
      </w:r>
    </w:p>
    <w:p w14:paraId="17EC7704"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(kWh)</w:t>
      </w:r>
    </w:p>
    <w:p w14:paraId="659E9D0F" w14:textId="0D2CA349" w:rsidR="00886033" w:rsidRDefault="00886033"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kg dispensed </w:t>
      </w:r>
    </w:p>
    <w:p w14:paraId="10FC22AB" w14:textId="0480DCDF"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 xml:space="preserve">Types of vehicles using the </w:t>
      </w:r>
      <w:r w:rsidR="005913B7">
        <w:rPr>
          <w:rFonts w:ascii="Arial" w:hAnsi="Arial" w:cs="Arial"/>
          <w:bCs/>
          <w:sz w:val="22"/>
          <w:szCs w:val="22"/>
        </w:rPr>
        <w:t>refueling</w:t>
      </w:r>
      <w:r w:rsidR="005913B7" w:rsidRPr="0066397E">
        <w:rPr>
          <w:rFonts w:ascii="Arial" w:hAnsi="Arial" w:cs="Arial"/>
          <w:bCs/>
          <w:sz w:val="22"/>
          <w:szCs w:val="22"/>
        </w:rPr>
        <w:t xml:space="preserve"> </w:t>
      </w:r>
      <w:r w:rsidRPr="0066397E">
        <w:rPr>
          <w:rFonts w:ascii="Arial" w:hAnsi="Arial" w:cs="Arial"/>
          <w:bCs/>
          <w:sz w:val="22"/>
          <w:szCs w:val="22"/>
        </w:rPr>
        <w:t>equipment</w:t>
      </w:r>
      <w:r w:rsidR="003F54C1">
        <w:rPr>
          <w:rFonts w:ascii="Arial" w:hAnsi="Arial" w:cs="Arial"/>
          <w:bCs/>
          <w:sz w:val="22"/>
          <w:szCs w:val="22"/>
        </w:rPr>
        <w:t xml:space="preserve"> </w:t>
      </w:r>
    </w:p>
    <w:p w14:paraId="6F5C4807" w14:textId="77777777" w:rsidR="009830E1"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Maximum capacity of the new fueling system</w:t>
      </w:r>
    </w:p>
    <w:p w14:paraId="424439FE" w14:textId="77777777" w:rsidR="0066397E" w:rsidRPr="00D73356" w:rsidRDefault="0066397E" w:rsidP="00173EA2">
      <w:pPr>
        <w:keepLines/>
        <w:widowControl w:val="0"/>
        <w:numPr>
          <w:ilvl w:val="1"/>
          <w:numId w:val="23"/>
        </w:numPr>
        <w:tabs>
          <w:tab w:val="clear" w:pos="1440"/>
        </w:tabs>
        <w:spacing w:after="120"/>
        <w:ind w:left="2160" w:hanging="720"/>
        <w:rPr>
          <w:rFonts w:ascii="Arial" w:hAnsi="Arial" w:cs="Arial"/>
          <w:bCs/>
          <w:sz w:val="22"/>
          <w:szCs w:val="22"/>
        </w:rPr>
      </w:pPr>
      <w:r>
        <w:rPr>
          <w:rFonts w:ascii="Arial" w:hAnsi="Arial" w:cs="Arial"/>
          <w:bCs/>
          <w:sz w:val="22"/>
          <w:szCs w:val="22"/>
        </w:rPr>
        <w:t>Normal operating hours, up time, downtime, and explanations of variations</w:t>
      </w:r>
    </w:p>
    <w:p w14:paraId="4E718C15"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14:paraId="7517CE0E"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14:paraId="2D48D36B"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5DE36BBD"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14:paraId="78A91084"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lastRenderedPageBreak/>
        <w:t>Particulate Matter</w:t>
      </w:r>
    </w:p>
    <w:p w14:paraId="08EB9683"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50F9CB1F"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Duty cycle of the current fleet and the expected duty cycle of future vehicle acquisitions</w:t>
      </w:r>
    </w:p>
    <w:p w14:paraId="19F2528F"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0055F9D1"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the source of the alternative fuel.</w:t>
      </w:r>
    </w:p>
    <w:p w14:paraId="7D5D6D6F"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14:paraId="043C4978"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14:paraId="17DB3220"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a quantified estimate of the project’s carbon intensity values for life-cycle greenhouse gas emissions.</w:t>
      </w:r>
    </w:p>
    <w:p w14:paraId="4F1EAB93"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Compare any project performance and expectations provided in the proposal to </w:t>
      </w:r>
      <w:r w:rsidR="00C67806">
        <w:rPr>
          <w:rFonts w:ascii="Arial" w:hAnsi="Arial" w:cs="Arial"/>
          <w:bCs/>
          <w:sz w:val="22"/>
          <w:szCs w:val="22"/>
        </w:rPr>
        <w:t>CEC</w:t>
      </w:r>
      <w:r w:rsidRPr="00D73356">
        <w:rPr>
          <w:rFonts w:ascii="Arial" w:hAnsi="Arial" w:cs="Arial"/>
          <w:bCs/>
          <w:sz w:val="22"/>
          <w:szCs w:val="22"/>
        </w:rPr>
        <w:t xml:space="preserve"> with actual project performance and accomplishments.</w:t>
      </w:r>
    </w:p>
    <w:p w14:paraId="66A8F7D9"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7B392AAD" w14:textId="77777777" w:rsidR="00446862" w:rsidRPr="00446862" w:rsidRDefault="00446862" w:rsidP="00173EA2">
      <w:pPr>
        <w:keepLines/>
        <w:widowControl w:val="0"/>
        <w:numPr>
          <w:ilvl w:val="0"/>
          <w:numId w:val="28"/>
        </w:numPr>
        <w:spacing w:after="120"/>
        <w:ind w:hanging="720"/>
        <w:rPr>
          <w:rFonts w:ascii="Arial" w:hAnsi="Arial" w:cs="Arial"/>
          <w:b/>
          <w:bCs/>
          <w:i/>
          <w:iCs/>
          <w:sz w:val="22"/>
          <w:szCs w:val="22"/>
        </w:rPr>
      </w:pPr>
      <w:r w:rsidRPr="0026651D">
        <w:rPr>
          <w:rFonts w:ascii="Arial" w:hAnsi="Arial" w:cs="Arial"/>
          <w:b/>
          <w:bCs/>
          <w:i/>
          <w:iCs/>
          <w:sz w:val="22"/>
          <w:szCs w:val="22"/>
          <w:highlight w:val="yellow"/>
        </w:rPr>
        <w:t>[Insert specific product(s) resulting from this task]</w:t>
      </w:r>
    </w:p>
    <w:p w14:paraId="5B272FCC" w14:textId="77777777" w:rsidR="00982F2A" w:rsidRPr="00052EA5" w:rsidRDefault="009830E1" w:rsidP="00173EA2">
      <w:pPr>
        <w:keepLines/>
        <w:widowControl w:val="0"/>
        <w:numPr>
          <w:ilvl w:val="0"/>
          <w:numId w:val="28"/>
        </w:numPr>
        <w:spacing w:after="120"/>
        <w:ind w:hanging="720"/>
        <w:rPr>
          <w:rFonts w:ascii="Arial" w:hAnsi="Arial" w:cs="Arial"/>
          <w:sz w:val="22"/>
          <w:szCs w:val="22"/>
        </w:rPr>
      </w:pPr>
      <w:r w:rsidRPr="00D73356">
        <w:rPr>
          <w:rFonts w:ascii="Arial" w:hAnsi="Arial" w:cs="Arial"/>
          <w:bCs/>
          <w:sz w:val="22"/>
          <w:szCs w:val="22"/>
        </w:rPr>
        <w:t>Data collection information and analysis will be included in the Final Report</w:t>
      </w:r>
    </w:p>
    <w:p w14:paraId="0961962E"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TASK </w:t>
      </w:r>
      <w:r w:rsidRPr="00052EA5">
        <w:rPr>
          <w:rFonts w:ascii="Arial" w:hAnsi="Arial" w:cs="Arial"/>
          <w:b/>
          <w:bCs/>
          <w:i/>
          <w:iCs/>
          <w:sz w:val="22"/>
          <w:szCs w:val="22"/>
        </w:rPr>
        <w:t>&lt;</w:t>
      </w:r>
      <w:r>
        <w:rPr>
          <w:rFonts w:ascii="Arial" w:hAnsi="Arial" w:cs="Arial"/>
          <w:b/>
          <w:bCs/>
          <w:i/>
          <w:iCs/>
          <w:color w:val="0000FF"/>
          <w:sz w:val="22"/>
          <w:szCs w:val="22"/>
        </w:rPr>
        <w:t>Last</w:t>
      </w:r>
      <w:r w:rsidRPr="00052EA5">
        <w:rPr>
          <w:rFonts w:ascii="Arial" w:hAnsi="Arial" w:cs="Arial"/>
          <w:b/>
          <w:bCs/>
          <w:i/>
          <w:iCs/>
          <w:sz w:val="22"/>
          <w:szCs w:val="22"/>
        </w:rPr>
        <w:t>&gt; </w:t>
      </w:r>
      <w:r w:rsidRPr="00052EA5">
        <w:rPr>
          <w:rFonts w:ascii="Arial" w:hAnsi="Arial" w:cs="Arial"/>
          <w:b/>
          <w:bCs/>
          <w:sz w:val="22"/>
          <w:szCs w:val="22"/>
        </w:rPr>
        <w:t>PROJECT FACT SHEET </w:t>
      </w:r>
      <w:r w:rsidRPr="00052EA5">
        <w:rPr>
          <w:rFonts w:ascii="Arial" w:hAnsi="Arial" w:cs="Arial"/>
          <w:sz w:val="22"/>
          <w:szCs w:val="22"/>
        </w:rPr>
        <w:t> </w:t>
      </w:r>
    </w:p>
    <w:p w14:paraId="7FCB19DB"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2DABDAC6"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34F4AD48"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29A86458"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3C1E5EDB"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7429DE0F"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0538D1E0"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6FD82B8E"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530BD4BB"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07ECE460"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05ED" w14:textId="77777777" w:rsidR="00844198" w:rsidRDefault="00844198" w:rsidP="00617E4E">
      <w:r>
        <w:separator/>
      </w:r>
    </w:p>
  </w:endnote>
  <w:endnote w:type="continuationSeparator" w:id="0">
    <w:p w14:paraId="26587475" w14:textId="77777777" w:rsidR="00844198" w:rsidRDefault="00844198" w:rsidP="00617E4E">
      <w:r>
        <w:continuationSeparator/>
      </w:r>
    </w:p>
  </w:endnote>
  <w:endnote w:type="continuationNotice" w:id="1">
    <w:p w14:paraId="6C5C546C" w14:textId="77777777" w:rsidR="00844198" w:rsidRDefault="0084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F12" w14:textId="77777777" w:rsidR="008F1F39" w:rsidRDefault="008F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322" w14:textId="65CF89BD" w:rsidR="00401E48" w:rsidRPr="001A2D43" w:rsidRDefault="001A2D43" w:rsidP="00867039">
    <w:pPr>
      <w:pStyle w:val="Footer"/>
      <w:rPr>
        <w:rFonts w:ascii="Arial" w:hAnsi="Arial" w:cs="Arial"/>
        <w:sz w:val="20"/>
      </w:rPr>
    </w:pPr>
    <w:r w:rsidRPr="001A2D43">
      <w:rPr>
        <w:rFonts w:ascii="Arial" w:hAnsi="Arial" w:cs="Arial"/>
        <w:sz w:val="20"/>
      </w:rPr>
      <w:t>October 2022</w:t>
    </w:r>
    <w:r w:rsidR="00401E48" w:rsidRPr="001A2D43">
      <w:rPr>
        <w:rFonts w:ascii="Arial" w:hAnsi="Arial" w:cs="Arial"/>
        <w:sz w:val="20"/>
      </w:rPr>
      <w:tab/>
      <w:t xml:space="preserve">Page </w:t>
    </w:r>
    <w:r w:rsidR="00401E48" w:rsidRPr="001A2D43">
      <w:rPr>
        <w:rFonts w:ascii="Arial" w:hAnsi="Arial" w:cs="Arial"/>
        <w:sz w:val="20"/>
      </w:rPr>
      <w:fldChar w:fldCharType="begin"/>
    </w:r>
    <w:r w:rsidR="00401E48" w:rsidRPr="001A2D43">
      <w:rPr>
        <w:rFonts w:ascii="Arial" w:hAnsi="Arial" w:cs="Arial"/>
        <w:sz w:val="20"/>
      </w:rPr>
      <w:instrText xml:space="preserve"> PAGE </w:instrText>
    </w:r>
    <w:r w:rsidR="00401E48" w:rsidRPr="001A2D43">
      <w:rPr>
        <w:rFonts w:ascii="Arial" w:hAnsi="Arial" w:cs="Arial"/>
        <w:sz w:val="20"/>
      </w:rPr>
      <w:fldChar w:fldCharType="separate"/>
    </w:r>
    <w:r w:rsidR="00543C8A" w:rsidRPr="001A2D43">
      <w:rPr>
        <w:rFonts w:ascii="Arial" w:hAnsi="Arial" w:cs="Arial"/>
        <w:noProof/>
        <w:sz w:val="20"/>
      </w:rPr>
      <w:t>1</w:t>
    </w:r>
    <w:r w:rsidR="00401E48" w:rsidRPr="001A2D43">
      <w:rPr>
        <w:rFonts w:ascii="Arial" w:hAnsi="Arial" w:cs="Arial"/>
        <w:sz w:val="20"/>
      </w:rPr>
      <w:fldChar w:fldCharType="end"/>
    </w:r>
    <w:r w:rsidR="00401E48" w:rsidRPr="001A2D43">
      <w:rPr>
        <w:rFonts w:ascii="Arial" w:hAnsi="Arial" w:cs="Arial"/>
        <w:sz w:val="20"/>
      </w:rPr>
      <w:t xml:space="preserve"> of </w:t>
    </w:r>
    <w:r w:rsidR="00401E48" w:rsidRPr="001A2D43">
      <w:rPr>
        <w:rFonts w:ascii="Arial" w:hAnsi="Arial" w:cs="Arial"/>
        <w:sz w:val="20"/>
      </w:rPr>
      <w:fldChar w:fldCharType="begin"/>
    </w:r>
    <w:r w:rsidR="00401E48" w:rsidRPr="001A2D43">
      <w:rPr>
        <w:rFonts w:ascii="Arial" w:hAnsi="Arial" w:cs="Arial"/>
        <w:sz w:val="20"/>
      </w:rPr>
      <w:instrText xml:space="preserve"> NUMPAGES  </w:instrText>
    </w:r>
    <w:r w:rsidR="00401E48" w:rsidRPr="001A2D43">
      <w:rPr>
        <w:rFonts w:ascii="Arial" w:hAnsi="Arial" w:cs="Arial"/>
        <w:sz w:val="20"/>
      </w:rPr>
      <w:fldChar w:fldCharType="separate"/>
    </w:r>
    <w:r w:rsidR="00543C8A" w:rsidRPr="001A2D43">
      <w:rPr>
        <w:rFonts w:ascii="Arial" w:hAnsi="Arial" w:cs="Arial"/>
        <w:noProof/>
        <w:sz w:val="20"/>
      </w:rPr>
      <w:t>12</w:t>
    </w:r>
    <w:r w:rsidR="00401E48" w:rsidRPr="001A2D43">
      <w:rPr>
        <w:rFonts w:ascii="Arial" w:hAnsi="Arial" w:cs="Arial"/>
        <w:sz w:val="20"/>
      </w:rPr>
      <w:fldChar w:fldCharType="end"/>
    </w:r>
    <w:r w:rsidR="00401E48" w:rsidRPr="001A2D43">
      <w:rPr>
        <w:rFonts w:ascii="Arial" w:hAnsi="Arial" w:cs="Arial"/>
        <w:sz w:val="20"/>
      </w:rPr>
      <w:tab/>
    </w:r>
    <w:r w:rsidR="006E5EDD" w:rsidRPr="001A2D43">
      <w:rPr>
        <w:rFonts w:ascii="Arial" w:hAnsi="Arial" w:cs="Arial"/>
        <w:sz w:val="20"/>
      </w:rPr>
      <w:t>GFO-</w:t>
    </w:r>
    <w:r w:rsidR="008F1F39">
      <w:rPr>
        <w:rFonts w:ascii="Arial" w:hAnsi="Arial" w:cs="Arial"/>
        <w:sz w:val="20"/>
      </w:rPr>
      <w:t>22</w:t>
    </w:r>
    <w:r w:rsidR="00B11B97" w:rsidRPr="001A2D43">
      <w:rPr>
        <w:rFonts w:ascii="Arial" w:hAnsi="Arial" w:cs="Arial"/>
        <w:sz w:val="20"/>
      </w:rPr>
      <w:t>-</w:t>
    </w:r>
    <w:r w:rsidR="008F1F39">
      <w:rPr>
        <w:rFonts w:ascii="Arial" w:hAnsi="Arial" w:cs="Arial"/>
        <w:sz w:val="20"/>
      </w:rPr>
      <w:t>502</w:t>
    </w:r>
  </w:p>
  <w:p w14:paraId="44B762A0" w14:textId="41A87C96" w:rsidR="00191657" w:rsidRPr="001A2D43" w:rsidRDefault="00401E48" w:rsidP="006E5EDD">
    <w:pPr>
      <w:pStyle w:val="Footer"/>
      <w:tabs>
        <w:tab w:val="center" w:pos="5040"/>
      </w:tabs>
      <w:rPr>
        <w:rFonts w:ascii="Arial" w:hAnsi="Arial" w:cs="Arial"/>
        <w:sz w:val="20"/>
      </w:rPr>
    </w:pPr>
    <w:r w:rsidRPr="001A2D43">
      <w:rPr>
        <w:rFonts w:ascii="Arial" w:hAnsi="Arial" w:cs="Arial"/>
        <w:sz w:val="20"/>
      </w:rPr>
      <w:tab/>
    </w:r>
    <w:r w:rsidR="00052EA5" w:rsidRPr="001A2D43">
      <w:rPr>
        <w:rFonts w:ascii="Arial" w:hAnsi="Arial" w:cs="Arial"/>
        <w:sz w:val="20"/>
      </w:rPr>
      <w:t xml:space="preserve">Attachment </w:t>
    </w:r>
    <w:r w:rsidR="000312C8">
      <w:rPr>
        <w:rFonts w:ascii="Arial" w:hAnsi="Arial" w:cs="Arial"/>
        <w:sz w:val="20"/>
      </w:rPr>
      <w:t>5</w:t>
    </w:r>
    <w:r w:rsidR="00052EA5" w:rsidRPr="001A2D43">
      <w:rPr>
        <w:rFonts w:ascii="Arial" w:hAnsi="Arial" w:cs="Arial"/>
        <w:sz w:val="20"/>
      </w:rPr>
      <w:t xml:space="preserve"> - </w:t>
    </w:r>
    <w:r w:rsidRPr="001A2D43">
      <w:rPr>
        <w:rFonts w:ascii="Arial" w:hAnsi="Arial" w:cs="Arial"/>
        <w:sz w:val="20"/>
      </w:rPr>
      <w:t>Scope of Work</w:t>
    </w:r>
    <w:r w:rsidR="000312C8">
      <w:rPr>
        <w:rFonts w:ascii="Arial" w:hAnsi="Arial" w:cs="Arial"/>
        <w:sz w:val="20"/>
      </w:rPr>
      <w:t xml:space="preserve"> (Group 3)</w:t>
    </w:r>
    <w:r w:rsidRPr="001A2D43">
      <w:rPr>
        <w:rFonts w:ascii="Arial" w:hAnsi="Arial" w:cs="Arial"/>
        <w:sz w:val="20"/>
      </w:rPr>
      <w:tab/>
    </w:r>
    <w:r w:rsidR="001A2D43" w:rsidRPr="001A2D43">
      <w:rPr>
        <w:rFonts w:ascii="Arial" w:hAnsi="Arial" w:cs="Arial"/>
        <w:sz w:val="20"/>
      </w:rPr>
      <w:t>Innovative Hydrogen Refueling</w:t>
    </w:r>
  </w:p>
  <w:p w14:paraId="4A4F76F5" w14:textId="1EBD0151" w:rsidR="006E5EDD" w:rsidRPr="008A7C67" w:rsidRDefault="00191657" w:rsidP="006E5EDD">
    <w:pPr>
      <w:pStyle w:val="Footer"/>
      <w:tabs>
        <w:tab w:val="center" w:pos="5040"/>
      </w:tabs>
      <w:rPr>
        <w:rFonts w:ascii="Arial" w:hAnsi="Arial" w:cs="Arial"/>
        <w:color w:val="FF0000"/>
        <w:sz w:val="20"/>
      </w:rPr>
    </w:pPr>
    <w:r w:rsidRPr="001A2D43">
      <w:rPr>
        <w:rFonts w:ascii="Arial" w:hAnsi="Arial" w:cs="Arial"/>
        <w:sz w:val="20"/>
      </w:rPr>
      <w:tab/>
    </w:r>
    <w:r w:rsidRPr="001A2D43">
      <w:rPr>
        <w:rFonts w:ascii="Arial" w:hAnsi="Arial" w:cs="Arial"/>
        <w:sz w:val="20"/>
      </w:rPr>
      <w:tab/>
    </w:r>
    <w:r w:rsidRPr="001A2D43">
      <w:rPr>
        <w:rFonts w:ascii="Arial" w:hAnsi="Arial" w:cs="Arial"/>
        <w:sz w:val="20"/>
      </w:rPr>
      <w:tab/>
    </w:r>
    <w:r w:rsidR="001A2D43" w:rsidRPr="001A2D43">
      <w:rPr>
        <w:rFonts w:ascii="Arial" w:hAnsi="Arial" w:cs="Arial"/>
        <w:sz w:val="20"/>
      </w:rPr>
      <w:t>Solutions for Heavy Transport</w:t>
    </w:r>
    <w:r w:rsidR="006E5EDD" w:rsidRPr="00CF760F">
      <w:rPr>
        <w:rFonts w:ascii="Arial" w:hAnsi="Arial" w:cs="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4B7" w14:textId="77777777" w:rsidR="008F1F39" w:rsidRDefault="008F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EE96" w14:textId="77777777" w:rsidR="00844198" w:rsidRDefault="00844198" w:rsidP="00617E4E">
      <w:r>
        <w:separator/>
      </w:r>
    </w:p>
  </w:footnote>
  <w:footnote w:type="continuationSeparator" w:id="0">
    <w:p w14:paraId="477989F4" w14:textId="77777777" w:rsidR="00844198" w:rsidRDefault="00844198" w:rsidP="00617E4E">
      <w:r>
        <w:continuationSeparator/>
      </w:r>
    </w:p>
  </w:footnote>
  <w:footnote w:type="continuationNotice" w:id="1">
    <w:p w14:paraId="644E9199" w14:textId="77777777" w:rsidR="00844198" w:rsidRDefault="0084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01B4" w14:textId="77777777" w:rsidR="008F1F39" w:rsidRDefault="008F1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87D3" w14:textId="77777777" w:rsidR="00714365" w:rsidRPr="00714365" w:rsidRDefault="00714365">
    <w:pPr>
      <w:pStyle w:val="Header"/>
      <w:rPr>
        <w:rFonts w:ascii="Arial" w:hAnsi="Arial" w:cs="Arial"/>
        <w:sz w:val="16"/>
        <w:szCs w:val="16"/>
      </w:rPr>
    </w:pPr>
    <w:r w:rsidRPr="00714365">
      <w:rPr>
        <w:rFonts w:ascii="Arial" w:hAnsi="Arial" w:cs="Arial"/>
        <w:sz w:val="16"/>
        <w:szCs w:val="16"/>
      </w:rPr>
      <w:t xml:space="preserve">Rev. </w:t>
    </w:r>
    <w:r w:rsidR="00283406">
      <w:rPr>
        <w:rFonts w:ascii="Arial" w:hAnsi="Arial" w:cs="Arial"/>
        <w:sz w:val="16"/>
        <w:szCs w:val="16"/>
      </w:rPr>
      <w:t>3/</w:t>
    </w:r>
    <w:r w:rsidRPr="00714365">
      <w:rPr>
        <w:rFonts w:ascii="Arial" w:hAnsi="Arial" w:cs="Arial"/>
        <w:sz w:val="16"/>
        <w:szCs w:val="16"/>
      </w:rPr>
      <w:t>2022</w:t>
    </w:r>
  </w:p>
  <w:p w14:paraId="449C6046"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315" w14:textId="77777777" w:rsidR="008F1F39" w:rsidRDefault="008F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1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6"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29"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0"/>
  </w:num>
  <w:num w:numId="2">
    <w:abstractNumId w:val="25"/>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6"/>
  </w:num>
  <w:num w:numId="24">
    <w:abstractNumId w:val="14"/>
  </w:num>
  <w:num w:numId="25">
    <w:abstractNumId w:val="17"/>
  </w:num>
  <w:num w:numId="26">
    <w:abstractNumId w:val="27"/>
  </w:num>
  <w:num w:numId="27">
    <w:abstractNumId w:val="32"/>
  </w:num>
  <w:num w:numId="28">
    <w:abstractNumId w:val="4"/>
  </w:num>
  <w:num w:numId="29">
    <w:abstractNumId w:val="3"/>
  </w:num>
  <w:num w:numId="30">
    <w:abstractNumId w:val="12"/>
  </w:num>
  <w:num w:numId="31">
    <w:abstractNumId w:val="22"/>
  </w:num>
  <w:num w:numId="32">
    <w:abstractNumId w:val="26"/>
  </w:num>
  <w:num w:numId="33">
    <w:abstractNumId w:val="0"/>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43"/>
    <w:rsid w:val="00002E71"/>
    <w:rsid w:val="000047BF"/>
    <w:rsid w:val="00007F1F"/>
    <w:rsid w:val="00014C15"/>
    <w:rsid w:val="000164D5"/>
    <w:rsid w:val="00021B64"/>
    <w:rsid w:val="00022781"/>
    <w:rsid w:val="000250EC"/>
    <w:rsid w:val="000312C8"/>
    <w:rsid w:val="00031B25"/>
    <w:rsid w:val="0003634A"/>
    <w:rsid w:val="00045F79"/>
    <w:rsid w:val="00052EA5"/>
    <w:rsid w:val="0005477D"/>
    <w:rsid w:val="0005542B"/>
    <w:rsid w:val="00055D5E"/>
    <w:rsid w:val="000A28C1"/>
    <w:rsid w:val="000A3D28"/>
    <w:rsid w:val="000A7B65"/>
    <w:rsid w:val="000B7397"/>
    <w:rsid w:val="000C6607"/>
    <w:rsid w:val="000D29BA"/>
    <w:rsid w:val="000D3068"/>
    <w:rsid w:val="000D3571"/>
    <w:rsid w:val="000E0C14"/>
    <w:rsid w:val="000E5A96"/>
    <w:rsid w:val="000F3CFB"/>
    <w:rsid w:val="001055E3"/>
    <w:rsid w:val="00124BE8"/>
    <w:rsid w:val="0012680A"/>
    <w:rsid w:val="001279FA"/>
    <w:rsid w:val="00146BDD"/>
    <w:rsid w:val="00157EBB"/>
    <w:rsid w:val="001607DA"/>
    <w:rsid w:val="001666C7"/>
    <w:rsid w:val="001714E8"/>
    <w:rsid w:val="0017286D"/>
    <w:rsid w:val="0017327C"/>
    <w:rsid w:val="00173EA2"/>
    <w:rsid w:val="0018046E"/>
    <w:rsid w:val="001812BB"/>
    <w:rsid w:val="00191657"/>
    <w:rsid w:val="0019381F"/>
    <w:rsid w:val="001954A7"/>
    <w:rsid w:val="001A2D43"/>
    <w:rsid w:val="001C285A"/>
    <w:rsid w:val="001C4C99"/>
    <w:rsid w:val="001E3F31"/>
    <w:rsid w:val="001F36D3"/>
    <w:rsid w:val="001F3DAB"/>
    <w:rsid w:val="001F45A7"/>
    <w:rsid w:val="001F54AC"/>
    <w:rsid w:val="001F791F"/>
    <w:rsid w:val="00215D6F"/>
    <w:rsid w:val="00216F92"/>
    <w:rsid w:val="00220CE5"/>
    <w:rsid w:val="00222ED6"/>
    <w:rsid w:val="0023362B"/>
    <w:rsid w:val="00244E60"/>
    <w:rsid w:val="00257D2B"/>
    <w:rsid w:val="00264ACA"/>
    <w:rsid w:val="0026651D"/>
    <w:rsid w:val="002773CD"/>
    <w:rsid w:val="00280069"/>
    <w:rsid w:val="0028052B"/>
    <w:rsid w:val="002807CA"/>
    <w:rsid w:val="0028140D"/>
    <w:rsid w:val="002819D6"/>
    <w:rsid w:val="00282393"/>
    <w:rsid w:val="00283406"/>
    <w:rsid w:val="00283D63"/>
    <w:rsid w:val="00285C26"/>
    <w:rsid w:val="0029600A"/>
    <w:rsid w:val="002A4D52"/>
    <w:rsid w:val="002B54F3"/>
    <w:rsid w:val="002C0B31"/>
    <w:rsid w:val="002C1BC2"/>
    <w:rsid w:val="002D2B89"/>
    <w:rsid w:val="002D667F"/>
    <w:rsid w:val="002F62E5"/>
    <w:rsid w:val="002F6368"/>
    <w:rsid w:val="003000C7"/>
    <w:rsid w:val="003041AD"/>
    <w:rsid w:val="00336148"/>
    <w:rsid w:val="0033647A"/>
    <w:rsid w:val="00354D5B"/>
    <w:rsid w:val="003665C0"/>
    <w:rsid w:val="003A2FE8"/>
    <w:rsid w:val="003B5D94"/>
    <w:rsid w:val="003C342E"/>
    <w:rsid w:val="003D65F1"/>
    <w:rsid w:val="003D719B"/>
    <w:rsid w:val="003F0F4D"/>
    <w:rsid w:val="003F164B"/>
    <w:rsid w:val="003F1AA0"/>
    <w:rsid w:val="003F54C1"/>
    <w:rsid w:val="00401E48"/>
    <w:rsid w:val="0040499F"/>
    <w:rsid w:val="00406096"/>
    <w:rsid w:val="0041351F"/>
    <w:rsid w:val="00420AA4"/>
    <w:rsid w:val="00421CA3"/>
    <w:rsid w:val="004238A7"/>
    <w:rsid w:val="00434318"/>
    <w:rsid w:val="0043532B"/>
    <w:rsid w:val="004430DA"/>
    <w:rsid w:val="00446862"/>
    <w:rsid w:val="00447EA3"/>
    <w:rsid w:val="00447FAB"/>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2C17"/>
    <w:rsid w:val="00573A96"/>
    <w:rsid w:val="00582938"/>
    <w:rsid w:val="00582B47"/>
    <w:rsid w:val="0059132E"/>
    <w:rsid w:val="005913B7"/>
    <w:rsid w:val="005926FF"/>
    <w:rsid w:val="00594D52"/>
    <w:rsid w:val="0059626C"/>
    <w:rsid w:val="00596483"/>
    <w:rsid w:val="005A2035"/>
    <w:rsid w:val="005B2127"/>
    <w:rsid w:val="005B2F35"/>
    <w:rsid w:val="005D06D0"/>
    <w:rsid w:val="005E3CFB"/>
    <w:rsid w:val="005F632B"/>
    <w:rsid w:val="00600224"/>
    <w:rsid w:val="00605DBF"/>
    <w:rsid w:val="006128D6"/>
    <w:rsid w:val="00617E4E"/>
    <w:rsid w:val="00623EA7"/>
    <w:rsid w:val="006242FC"/>
    <w:rsid w:val="006246DE"/>
    <w:rsid w:val="00625B22"/>
    <w:rsid w:val="00627D4C"/>
    <w:rsid w:val="00632E87"/>
    <w:rsid w:val="0064101B"/>
    <w:rsid w:val="00642D6F"/>
    <w:rsid w:val="006441EB"/>
    <w:rsid w:val="00644B2F"/>
    <w:rsid w:val="006459D4"/>
    <w:rsid w:val="00654487"/>
    <w:rsid w:val="0066397E"/>
    <w:rsid w:val="00670869"/>
    <w:rsid w:val="00672741"/>
    <w:rsid w:val="006739D1"/>
    <w:rsid w:val="00674248"/>
    <w:rsid w:val="006745D2"/>
    <w:rsid w:val="00674B7E"/>
    <w:rsid w:val="00674CC9"/>
    <w:rsid w:val="00697CFC"/>
    <w:rsid w:val="006B17EC"/>
    <w:rsid w:val="006B20EF"/>
    <w:rsid w:val="006B7002"/>
    <w:rsid w:val="006C68B3"/>
    <w:rsid w:val="006D277A"/>
    <w:rsid w:val="006D5DA1"/>
    <w:rsid w:val="006E24E2"/>
    <w:rsid w:val="006E5EDD"/>
    <w:rsid w:val="006F1874"/>
    <w:rsid w:val="006F4682"/>
    <w:rsid w:val="007037ED"/>
    <w:rsid w:val="00712C2B"/>
    <w:rsid w:val="00714365"/>
    <w:rsid w:val="00723C14"/>
    <w:rsid w:val="00737303"/>
    <w:rsid w:val="00741043"/>
    <w:rsid w:val="00741C85"/>
    <w:rsid w:val="007502AE"/>
    <w:rsid w:val="00750A3F"/>
    <w:rsid w:val="007722DF"/>
    <w:rsid w:val="007900AC"/>
    <w:rsid w:val="00790D90"/>
    <w:rsid w:val="007A020E"/>
    <w:rsid w:val="007A5F8A"/>
    <w:rsid w:val="007A792E"/>
    <w:rsid w:val="007C6E08"/>
    <w:rsid w:val="007D2F39"/>
    <w:rsid w:val="007E0A1E"/>
    <w:rsid w:val="007E2B3F"/>
    <w:rsid w:val="00804EBE"/>
    <w:rsid w:val="00807A4C"/>
    <w:rsid w:val="00807B35"/>
    <w:rsid w:val="00821FE1"/>
    <w:rsid w:val="00827795"/>
    <w:rsid w:val="00844198"/>
    <w:rsid w:val="0085711C"/>
    <w:rsid w:val="00861C24"/>
    <w:rsid w:val="008656F8"/>
    <w:rsid w:val="00865EFC"/>
    <w:rsid w:val="00867039"/>
    <w:rsid w:val="008778D8"/>
    <w:rsid w:val="00886033"/>
    <w:rsid w:val="008945A0"/>
    <w:rsid w:val="008A487B"/>
    <w:rsid w:val="008A6177"/>
    <w:rsid w:val="008A7C67"/>
    <w:rsid w:val="008B0437"/>
    <w:rsid w:val="008B16DA"/>
    <w:rsid w:val="008B51CA"/>
    <w:rsid w:val="008C133B"/>
    <w:rsid w:val="008C2475"/>
    <w:rsid w:val="008F1F39"/>
    <w:rsid w:val="008F4A28"/>
    <w:rsid w:val="008F6C91"/>
    <w:rsid w:val="008F7D67"/>
    <w:rsid w:val="00911C05"/>
    <w:rsid w:val="00912A92"/>
    <w:rsid w:val="00916E4E"/>
    <w:rsid w:val="00922D17"/>
    <w:rsid w:val="009238F3"/>
    <w:rsid w:val="009248B9"/>
    <w:rsid w:val="009309C6"/>
    <w:rsid w:val="0093510E"/>
    <w:rsid w:val="009400CB"/>
    <w:rsid w:val="009467AB"/>
    <w:rsid w:val="00953DE9"/>
    <w:rsid w:val="009545EA"/>
    <w:rsid w:val="00956BA8"/>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7BBE"/>
    <w:rsid w:val="009D213A"/>
    <w:rsid w:val="009E132D"/>
    <w:rsid w:val="009E59AE"/>
    <w:rsid w:val="00A0057C"/>
    <w:rsid w:val="00A16392"/>
    <w:rsid w:val="00A413B5"/>
    <w:rsid w:val="00A46F12"/>
    <w:rsid w:val="00A50B59"/>
    <w:rsid w:val="00A55A8D"/>
    <w:rsid w:val="00A56056"/>
    <w:rsid w:val="00A562ED"/>
    <w:rsid w:val="00A67D53"/>
    <w:rsid w:val="00A72292"/>
    <w:rsid w:val="00A750D2"/>
    <w:rsid w:val="00A806D4"/>
    <w:rsid w:val="00A8172F"/>
    <w:rsid w:val="00A8744D"/>
    <w:rsid w:val="00A96CAF"/>
    <w:rsid w:val="00AA1F8D"/>
    <w:rsid w:val="00AB2965"/>
    <w:rsid w:val="00AB4353"/>
    <w:rsid w:val="00AB622C"/>
    <w:rsid w:val="00AD0657"/>
    <w:rsid w:val="00AD5CFB"/>
    <w:rsid w:val="00AE049A"/>
    <w:rsid w:val="00AF093D"/>
    <w:rsid w:val="00AF2719"/>
    <w:rsid w:val="00B041B2"/>
    <w:rsid w:val="00B11B97"/>
    <w:rsid w:val="00B2426E"/>
    <w:rsid w:val="00B2627C"/>
    <w:rsid w:val="00B264B6"/>
    <w:rsid w:val="00B30685"/>
    <w:rsid w:val="00B31B73"/>
    <w:rsid w:val="00B33210"/>
    <w:rsid w:val="00B352EE"/>
    <w:rsid w:val="00B417B8"/>
    <w:rsid w:val="00B43BD5"/>
    <w:rsid w:val="00B47BD9"/>
    <w:rsid w:val="00B579B2"/>
    <w:rsid w:val="00B60F54"/>
    <w:rsid w:val="00B7278B"/>
    <w:rsid w:val="00B83597"/>
    <w:rsid w:val="00B935DE"/>
    <w:rsid w:val="00BA78A3"/>
    <w:rsid w:val="00BB7DA6"/>
    <w:rsid w:val="00BC12A3"/>
    <w:rsid w:val="00BC2CC8"/>
    <w:rsid w:val="00BC3A6A"/>
    <w:rsid w:val="00BC43D7"/>
    <w:rsid w:val="00BC5067"/>
    <w:rsid w:val="00BD3DC7"/>
    <w:rsid w:val="00BE0D3C"/>
    <w:rsid w:val="00BF6DA2"/>
    <w:rsid w:val="00BF730A"/>
    <w:rsid w:val="00BF735C"/>
    <w:rsid w:val="00C01F1B"/>
    <w:rsid w:val="00C07593"/>
    <w:rsid w:val="00C0792F"/>
    <w:rsid w:val="00C1059E"/>
    <w:rsid w:val="00C124FF"/>
    <w:rsid w:val="00C35003"/>
    <w:rsid w:val="00C46A4A"/>
    <w:rsid w:val="00C538BD"/>
    <w:rsid w:val="00C543EF"/>
    <w:rsid w:val="00C563BE"/>
    <w:rsid w:val="00C56BC2"/>
    <w:rsid w:val="00C65C53"/>
    <w:rsid w:val="00C67806"/>
    <w:rsid w:val="00C7307D"/>
    <w:rsid w:val="00C74DA9"/>
    <w:rsid w:val="00C952C9"/>
    <w:rsid w:val="00CA3D42"/>
    <w:rsid w:val="00CA5A82"/>
    <w:rsid w:val="00CC7461"/>
    <w:rsid w:val="00CD0279"/>
    <w:rsid w:val="00CD088A"/>
    <w:rsid w:val="00CD0D5A"/>
    <w:rsid w:val="00CE0408"/>
    <w:rsid w:val="00CF557A"/>
    <w:rsid w:val="00CF6918"/>
    <w:rsid w:val="00D058C3"/>
    <w:rsid w:val="00D06A5A"/>
    <w:rsid w:val="00D12ADF"/>
    <w:rsid w:val="00D1473A"/>
    <w:rsid w:val="00D30547"/>
    <w:rsid w:val="00D3261C"/>
    <w:rsid w:val="00D35B51"/>
    <w:rsid w:val="00D36146"/>
    <w:rsid w:val="00D50BC9"/>
    <w:rsid w:val="00D56A71"/>
    <w:rsid w:val="00D61D99"/>
    <w:rsid w:val="00D73356"/>
    <w:rsid w:val="00DA29A4"/>
    <w:rsid w:val="00DA5CD6"/>
    <w:rsid w:val="00DC13B5"/>
    <w:rsid w:val="00DD0F67"/>
    <w:rsid w:val="00DD32F3"/>
    <w:rsid w:val="00DD3B5E"/>
    <w:rsid w:val="00DE2501"/>
    <w:rsid w:val="00DE3012"/>
    <w:rsid w:val="00DE6787"/>
    <w:rsid w:val="00E0430E"/>
    <w:rsid w:val="00E0718A"/>
    <w:rsid w:val="00E32482"/>
    <w:rsid w:val="00E37217"/>
    <w:rsid w:val="00E475C5"/>
    <w:rsid w:val="00E5688F"/>
    <w:rsid w:val="00E56EF5"/>
    <w:rsid w:val="00E6304A"/>
    <w:rsid w:val="00E854EE"/>
    <w:rsid w:val="00EA3F2E"/>
    <w:rsid w:val="00EB581A"/>
    <w:rsid w:val="00EC0638"/>
    <w:rsid w:val="00ED1955"/>
    <w:rsid w:val="00ED2F77"/>
    <w:rsid w:val="00ED330A"/>
    <w:rsid w:val="00ED467B"/>
    <w:rsid w:val="00F02CA6"/>
    <w:rsid w:val="00F03CD4"/>
    <w:rsid w:val="00F06AF7"/>
    <w:rsid w:val="00F152CF"/>
    <w:rsid w:val="00F162DE"/>
    <w:rsid w:val="00F2161C"/>
    <w:rsid w:val="00F247E3"/>
    <w:rsid w:val="00F325FB"/>
    <w:rsid w:val="00F37E07"/>
    <w:rsid w:val="00F46587"/>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B532A"/>
    <w:rsid w:val="00FB6143"/>
    <w:rsid w:val="00FB7028"/>
    <w:rsid w:val="00FC1783"/>
    <w:rsid w:val="00FC1A01"/>
    <w:rsid w:val="00FD0B26"/>
    <w:rsid w:val="00FD48BF"/>
    <w:rsid w:val="00FE22AA"/>
    <w:rsid w:val="00FF2AEC"/>
    <w:rsid w:val="4EDD51C2"/>
    <w:rsid w:val="592B597F"/>
    <w:rsid w:val="739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0C81"/>
  <w15:chartTrackingRefBased/>
  <w15:docId w15:val="{1715F206-949D-4571-A3A7-63ECDC5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Attachment%2002%20-%20Scope%20of%20Work%20Template%202022-3-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Wenzel, Mark@Energy</DisplayName>
        <AccountId>25</AccountId>
        <AccountType/>
      </UserInfo>
      <UserInfo>
        <DisplayName>John, Elizabeth@Energy</DisplayName>
        <AccountId>27</AccountId>
        <AccountType/>
      </UserInfo>
      <UserInfo>
        <DisplayName>Haas, Tami@Energy</DisplayName>
        <AccountId>37</AccountId>
        <AccountType/>
      </UserInfo>
      <UserInfo>
        <DisplayName>Smith, Charles@Energy</DisplayName>
        <AccountId>38</AccountId>
        <AccountType/>
      </UserInfo>
      <UserInfo>
        <DisplayName>Rasool, Hannon@Energy</DisplayName>
        <AccountId>53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131D7F99-1C6F-4F0C-A94B-F4D30D5B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02 - Scope of Work Template 2022-3-9 (1).dotx</Template>
  <TotalTime>9</TotalTime>
  <Pages>12</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25436</CharactersWithSpaces>
  <SharedDoc>false</SharedDoc>
  <HLinks>
    <vt:vector size="6" baseType="variant">
      <vt:variant>
        <vt:i4>262172</vt:i4>
      </vt:variant>
      <vt:variant>
        <vt:i4>0</vt:i4>
      </vt:variant>
      <vt:variant>
        <vt:i4>0</vt:i4>
      </vt:variant>
      <vt:variant>
        <vt:i4>5</vt:i4>
      </vt:variant>
      <vt:variant>
        <vt:lpwstr>https://www.energy.ca.gov/media/4691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Worster, Brad@Energy</cp:lastModifiedBy>
  <cp:revision>10</cp:revision>
  <cp:lastPrinted>2013-04-19T22:34:00Z</cp:lastPrinted>
  <dcterms:created xsi:type="dcterms:W3CDTF">2022-08-18T21:55:00Z</dcterms:created>
  <dcterms:modified xsi:type="dcterms:W3CDTF">2022-09-30T22:27:00Z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