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13FC" w14:textId="47B6553C" w:rsidR="008B4D47" w:rsidRPr="002606E0" w:rsidRDefault="00F2487B" w:rsidP="008B4D47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5B7DED8D" w:rsidP="69A114A6">
      <w:pPr>
        <w:rPr>
          <w:b/>
          <w:bCs/>
        </w:rPr>
      </w:pPr>
      <w:r w:rsidRPr="3BE49423">
        <w:rPr>
          <w:b/>
          <w:bCs/>
        </w:rPr>
        <w:t>Technical Merit</w:t>
      </w:r>
    </w:p>
    <w:p w14:paraId="74DF4232" w14:textId="77777777" w:rsidR="00E45742" w:rsidRPr="00E45742" w:rsidRDefault="00E45742" w:rsidP="008B4D47"/>
    <w:p w14:paraId="3A777346" w14:textId="18A75632" w:rsidR="008B4D47" w:rsidRPr="002C1625" w:rsidRDefault="00DE98C1" w:rsidP="3BE49423">
      <w:pPr>
        <w:numPr>
          <w:ilvl w:val="0"/>
          <w:numId w:val="4"/>
        </w:numPr>
        <w:spacing w:after="120"/>
        <w:rPr>
          <w:rFonts w:eastAsia="Arial"/>
          <w:color w:val="000000" w:themeColor="text1"/>
        </w:rPr>
      </w:pPr>
      <w:r w:rsidRPr="3BE49423">
        <w:rPr>
          <w:rFonts w:eastAsia="Arial"/>
          <w:color w:val="000000" w:themeColor="text1"/>
        </w:rPr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31F030A5" w14:textId="43C7D97A" w:rsidR="008B4D47" w:rsidRPr="002C1625" w:rsidRDefault="00DE98C1" w:rsidP="002606E0">
      <w:pPr>
        <w:pStyle w:val="ListParagraph"/>
        <w:numPr>
          <w:ilvl w:val="0"/>
          <w:numId w:val="4"/>
        </w:numPr>
        <w:rPr>
          <w:rFonts w:eastAsia="Arial"/>
          <w:color w:val="000000" w:themeColor="text1"/>
        </w:rPr>
      </w:pPr>
      <w:r w:rsidRPr="3BE49423">
        <w:rPr>
          <w:rFonts w:eastAsia="Arial"/>
          <w:color w:val="000000" w:themeColor="text1"/>
          <w:szCs w:val="22"/>
        </w:rPr>
        <w:t xml:space="preserve">Describe how the </w:t>
      </w:r>
      <w:r w:rsidRPr="00894A1F">
        <w:rPr>
          <w:rFonts w:eastAsia="Arial"/>
          <w:szCs w:val="22"/>
        </w:rPr>
        <w:t xml:space="preserve">proposed model/tool/study will be </w:t>
      </w:r>
      <w:r w:rsidRPr="3BE49423">
        <w:rPr>
          <w:rFonts w:eastAsia="Arial"/>
          <w:color w:val="000000" w:themeColor="text1"/>
          <w:szCs w:val="22"/>
        </w:rPr>
        <w:t>used by key stakeholders (</w:t>
      </w:r>
      <w:proofErr w:type="gramStart"/>
      <w:r w:rsidRPr="3BE49423">
        <w:rPr>
          <w:rFonts w:eastAsia="Arial"/>
          <w:color w:val="000000" w:themeColor="text1"/>
          <w:szCs w:val="22"/>
        </w:rPr>
        <w:t>e.g.</w:t>
      </w:r>
      <w:proofErr w:type="gramEnd"/>
      <w:r w:rsidRPr="3BE49423">
        <w:rPr>
          <w:rFonts w:eastAsia="Arial"/>
          <w:color w:val="000000" w:themeColor="text1"/>
          <w:szCs w:val="22"/>
        </w:rPr>
        <w:t xml:space="preserve"> policymakers, project developers, other researchers, etc.).</w:t>
      </w:r>
    </w:p>
    <w:p w14:paraId="5B8222A4" w14:textId="137DE62A" w:rsidR="008B4D47" w:rsidRPr="002606E0" w:rsidRDefault="00DE98C1" w:rsidP="002606E0">
      <w:pPr>
        <w:pStyle w:val="ListParagraph"/>
        <w:numPr>
          <w:ilvl w:val="0"/>
          <w:numId w:val="4"/>
        </w:numPr>
        <w:rPr>
          <w:rFonts w:eastAsia="Arial"/>
          <w:color w:val="000000" w:themeColor="text1"/>
        </w:rPr>
      </w:pPr>
      <w:r w:rsidRPr="3BE49423">
        <w:rPr>
          <w:rFonts w:eastAsia="Arial"/>
          <w:color w:val="000000" w:themeColor="text1"/>
          <w:szCs w:val="22"/>
        </w:rPr>
        <w:t>Describes the advantage of the proposed model/tool/study over that currently being used by key stakeholders.</w:t>
      </w:r>
      <w:r>
        <w:t xml:space="preserve"> </w:t>
      </w:r>
    </w:p>
    <w:p w14:paraId="2A77CACA" w14:textId="0CF858AD" w:rsidR="008B4D47" w:rsidRDefault="24589DC5" w:rsidP="00A56963">
      <w:pPr>
        <w:numPr>
          <w:ilvl w:val="0"/>
          <w:numId w:val="4"/>
        </w:numPr>
        <w:spacing w:after="120"/>
      </w:pPr>
      <w:r>
        <w:t>Describe how the proposed model/tool/study will be used by key stakeholders (</w:t>
      </w:r>
      <w:r w:rsidR="002606E0">
        <w:t>e.g.,</w:t>
      </w:r>
      <w:r>
        <w:t xml:space="preserve"> </w:t>
      </w:r>
      <w:r w:rsidR="002606E0">
        <w:t>policymakers</w:t>
      </w:r>
      <w:r>
        <w:t>, project developers, other researchers, etc.)</w:t>
      </w:r>
    </w:p>
    <w:p w14:paraId="33EAD1D1" w14:textId="38950B45" w:rsidR="008B4D47" w:rsidRDefault="24589DC5" w:rsidP="002606E0">
      <w:pPr>
        <w:numPr>
          <w:ilvl w:val="0"/>
          <w:numId w:val="4"/>
        </w:numPr>
        <w:spacing w:after="120"/>
      </w:pPr>
      <w:r>
        <w:t>Describes the advantage of the proposed model/tool/study over that currently being used by key stakeholders.</w:t>
      </w:r>
    </w:p>
    <w:p w14:paraId="528005A8" w14:textId="432DBA77" w:rsidR="008B4D47" w:rsidRDefault="24589DC5" w:rsidP="00A56963">
      <w:pPr>
        <w:numPr>
          <w:ilvl w:val="0"/>
          <w:numId w:val="4"/>
        </w:numPr>
        <w:spacing w:after="120"/>
      </w:pPr>
      <w:r>
        <w:t>Provides informa</w:t>
      </w:r>
      <w:r w:rsidR="29157068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5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14DA1F27" w14:textId="240C2206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1D2C2A42" w14:textId="1DB7ADA8" w:rsidR="00FD4970" w:rsidRPr="002606E0" w:rsidRDefault="00FD4970" w:rsidP="002606E0">
      <w:pPr>
        <w:ind w:left="720"/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1851382E" w14:textId="77777777" w:rsidR="008B4D47" w:rsidRPr="002C1625" w:rsidRDefault="008B4D47" w:rsidP="008B4D47">
      <w:pPr>
        <w:ind w:left="720"/>
      </w:pPr>
    </w:p>
    <w:p w14:paraId="35281503" w14:textId="65033933" w:rsidR="002606E0" w:rsidRDefault="008B4D47" w:rsidP="002606E0">
      <w:pPr>
        <w:pStyle w:val="ListParagraph"/>
        <w:numPr>
          <w:ilvl w:val="0"/>
          <w:numId w:val="18"/>
        </w:numPr>
      </w:pPr>
      <w:r w:rsidRPr="002C1625">
        <w:t>Explains how the proposed project will benefit California Investor-Owned Utility (IOU) ratepayers and provides clear, plausible, and justifiable (quantitative preferred) potential benefits. Estimates the energy benefits including:</w:t>
      </w:r>
    </w:p>
    <w:p w14:paraId="68352A66" w14:textId="537E7C3F" w:rsidR="002606E0" w:rsidRPr="002606E0" w:rsidRDefault="002606E0" w:rsidP="002606E0">
      <w:pPr>
        <w:ind w:left="720"/>
      </w:pPr>
      <w:r>
        <w:t>S</w:t>
      </w:r>
      <w:r w:rsidR="008B4D47">
        <w:t>tates the timeframe, assumptions with sources, and calculations for the estimated benefits, and explains their reasonableness. Include baseline or “business as usual” over timeframe.</w:t>
      </w:r>
    </w:p>
    <w:p w14:paraId="4814E7BB" w14:textId="21516254" w:rsidR="008B4D47" w:rsidRPr="002606E0" w:rsidRDefault="008B4D47" w:rsidP="002606E0">
      <w:pPr>
        <w:pStyle w:val="ListParagraph"/>
        <w:numPr>
          <w:ilvl w:val="0"/>
          <w:numId w:val="18"/>
        </w:numPr>
      </w:pPr>
      <w:r>
        <w:lastRenderedPageBreak/>
        <w:t>Explains the path-to-market strategy including near-term (</w:t>
      </w:r>
      <w:r w:rsidR="002606E0">
        <w:t>i.e.,</w:t>
      </w:r>
      <w:r>
        <w:t xml:space="preserve"> initial target markets), mid-term, and long-term markets for the technology, size and penetration or deployment rates, and underlying assumptions.</w:t>
      </w:r>
    </w:p>
    <w:p w14:paraId="650ADF00" w14:textId="406951A3" w:rsidR="00E45742" w:rsidRDefault="008B4D47" w:rsidP="002606E0">
      <w:pPr>
        <w:pStyle w:val="ListParagraph"/>
        <w:numPr>
          <w:ilvl w:val="0"/>
          <w:numId w:val="18"/>
        </w:numPr>
      </w:pPr>
      <w:r>
        <w:t xml:space="preserve">Identifies how outputs </w:t>
      </w:r>
      <w:r w:rsidRPr="00894A1F">
        <w:t xml:space="preserve">of the model/tool/study will benefit key stakeholders (e.g., streamline planning, help eliminate barriers, stimulate </w:t>
      </w:r>
      <w:r>
        <w:t>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77777777" w:rsidR="008B4D47" w:rsidRPr="00941FBA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 xml:space="preserve">Identifies credentials of prime and any subcontractor core personnel, including the project manager and principal investigator </w:t>
      </w:r>
      <w:r w:rsidRPr="00941FBA">
        <w:rPr>
          <w:i/>
        </w:rPr>
        <w:t>(include this information in Attachment 5, Project Team Form).</w:t>
      </w:r>
    </w:p>
    <w:p w14:paraId="37F810F1" w14:textId="2F0C43EF" w:rsidR="008B4D47" w:rsidRDefault="00FD4970" w:rsidP="00A56963">
      <w:pPr>
        <w:numPr>
          <w:ilvl w:val="0"/>
          <w:numId w:val="2"/>
        </w:numPr>
        <w:spacing w:after="120"/>
        <w:ind w:left="720"/>
      </w:pPr>
      <w:r>
        <w:t xml:space="preserve">Demonstrates that the project </w:t>
      </w:r>
      <w:r w:rsidR="002606E0" w:rsidRPr="002606E0">
        <w:t>team has</w:t>
      </w:r>
      <w:r w:rsidRPr="002606E0">
        <w:t xml:space="preserve"> a</w:t>
      </w:r>
      <w:r>
        <w:t xml:space="preserve">ppropriate qualifications, experience, financial </w:t>
      </w:r>
      <w:r w:rsidR="002606E0">
        <w:t>stability,</w:t>
      </w:r>
      <w:r>
        <w:t xml:space="preserve"> and capability to complete the project.</w:t>
      </w:r>
    </w:p>
    <w:p w14:paraId="42AEAF7D" w14:textId="06C66FA4" w:rsidR="008B4D47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7C536514" w:rsidR="008B4D47" w:rsidRDefault="008B4D47" w:rsidP="00A56963">
      <w:pPr>
        <w:pStyle w:val="ListParagraph"/>
        <w:numPr>
          <w:ilvl w:val="0"/>
          <w:numId w:val="14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lastRenderedPageBreak/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5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5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5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7E52B083" w14:textId="77777777" w:rsidR="00FD4970" w:rsidRDefault="00FD4970" w:rsidP="00C508A6">
      <w:pPr>
        <w:rPr>
          <w:color w:val="0070C0"/>
        </w:rPr>
      </w:pPr>
    </w:p>
    <w:p w14:paraId="47838C48" w14:textId="122CB00F" w:rsidR="009C0C1C" w:rsidRPr="00CF137E" w:rsidRDefault="009C0C1C" w:rsidP="002606E0"/>
    <w:sectPr w:rsidR="009C0C1C" w:rsidRPr="00CF137E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C357" w14:textId="77777777" w:rsidR="00863D8E" w:rsidRDefault="00863D8E" w:rsidP="008B4D47">
      <w:r>
        <w:separator/>
      </w:r>
    </w:p>
    <w:p w14:paraId="21C0DA5E" w14:textId="77777777" w:rsidR="00863D8E" w:rsidRDefault="00863D8E" w:rsidP="008B4D47"/>
  </w:endnote>
  <w:endnote w:type="continuationSeparator" w:id="0">
    <w:p w14:paraId="76074FCD" w14:textId="77777777" w:rsidR="00863D8E" w:rsidRDefault="00863D8E" w:rsidP="008B4D47">
      <w:r>
        <w:continuationSeparator/>
      </w:r>
    </w:p>
    <w:p w14:paraId="118D6649" w14:textId="77777777" w:rsidR="00863D8E" w:rsidRDefault="00863D8E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AB3" w14:textId="77777777" w:rsidR="00F423DE" w:rsidRDefault="00F4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62B6B40A" w:rsidR="00AA55F3" w:rsidRPr="00F423DE" w:rsidRDefault="00F423DE" w:rsidP="00701F98">
    <w:pPr>
      <w:pStyle w:val="Footer"/>
      <w:tabs>
        <w:tab w:val="clear" w:pos="8640"/>
        <w:tab w:val="right" w:pos="9360"/>
      </w:tabs>
    </w:pPr>
    <w:r>
      <w:t>November 2022</w:t>
    </w:r>
    <w:r w:rsidR="00390361" w:rsidRPr="00894A1F">
      <w:tab/>
    </w:r>
    <w:r w:rsidR="00C10EB7" w:rsidRPr="00894A1F">
      <w:t xml:space="preserve">Page </w:t>
    </w:r>
    <w:r w:rsidR="00AC5E7A" w:rsidRPr="00894A1F">
      <w:fldChar w:fldCharType="begin"/>
    </w:r>
    <w:r w:rsidR="00C10EB7" w:rsidRPr="00894A1F">
      <w:instrText xml:space="preserve"> PAGE </w:instrText>
    </w:r>
    <w:r w:rsidR="00AC5E7A" w:rsidRPr="00894A1F">
      <w:fldChar w:fldCharType="separate"/>
    </w:r>
    <w:r w:rsidR="007433B8" w:rsidRPr="00894A1F">
      <w:rPr>
        <w:noProof/>
      </w:rPr>
      <w:t>2</w:t>
    </w:r>
    <w:r w:rsidR="00AC5E7A" w:rsidRPr="00894A1F">
      <w:fldChar w:fldCharType="end"/>
    </w:r>
    <w:r w:rsidR="00C10EB7" w:rsidRPr="00894A1F">
      <w:t xml:space="preserve"> of </w:t>
    </w:r>
    <w:r w:rsidR="00AC5E7A" w:rsidRPr="00894A1F">
      <w:fldChar w:fldCharType="begin"/>
    </w:r>
    <w:r w:rsidR="00C10EB7" w:rsidRPr="00894A1F">
      <w:instrText xml:space="preserve"> NUMPAGES  </w:instrText>
    </w:r>
    <w:r w:rsidR="00AC5E7A" w:rsidRPr="00894A1F">
      <w:fldChar w:fldCharType="separate"/>
    </w:r>
    <w:r w:rsidR="007433B8" w:rsidRPr="00894A1F">
      <w:rPr>
        <w:noProof/>
      </w:rPr>
      <w:t>6</w:t>
    </w:r>
    <w:r w:rsidR="00AC5E7A" w:rsidRPr="00894A1F">
      <w:fldChar w:fldCharType="end"/>
    </w:r>
    <w:r w:rsidR="00FF743A" w:rsidRPr="00894A1F">
      <w:tab/>
    </w:r>
    <w:r w:rsidR="008853D3" w:rsidRPr="00F423DE">
      <w:t>GFO</w:t>
    </w:r>
    <w:r w:rsidR="00FF743A" w:rsidRPr="00F423DE">
      <w:t>-</w:t>
    </w:r>
    <w:r w:rsidR="00894A1F" w:rsidRPr="00F423DE">
      <w:t>2</w:t>
    </w:r>
    <w:r w:rsidRPr="00F423DE">
      <w:t>2</w:t>
    </w:r>
    <w:r w:rsidR="00FF743A" w:rsidRPr="00F423DE">
      <w:t>-</w:t>
    </w:r>
    <w:r w:rsidR="00894A1F" w:rsidRPr="00F423DE">
      <w:t>302</w:t>
    </w:r>
  </w:p>
  <w:p w14:paraId="1625BCCD" w14:textId="481B81C6" w:rsidR="00F423DE" w:rsidRPr="00F423DE" w:rsidRDefault="00F423DE" w:rsidP="00701F98">
    <w:pPr>
      <w:pStyle w:val="Footer"/>
      <w:tabs>
        <w:tab w:val="clear" w:pos="8640"/>
        <w:tab w:val="right" w:pos="9360"/>
      </w:tabs>
    </w:pPr>
    <w:r w:rsidRPr="00F423DE">
      <w:tab/>
    </w:r>
    <w:r w:rsidRPr="00F423DE">
      <w:tab/>
      <w:t>Valuation of Investment in</w:t>
    </w:r>
  </w:p>
  <w:p w14:paraId="624E62C4" w14:textId="5ADB7D9A" w:rsidR="00F423DE" w:rsidRPr="00F423DE" w:rsidRDefault="00F423DE" w:rsidP="00701F98">
    <w:pPr>
      <w:pStyle w:val="Footer"/>
      <w:tabs>
        <w:tab w:val="clear" w:pos="8640"/>
        <w:tab w:val="right" w:pos="9360"/>
      </w:tabs>
    </w:pPr>
    <w:r w:rsidRPr="00F423DE">
      <w:tab/>
    </w:r>
    <w:r w:rsidRPr="00F423DE">
      <w:tab/>
      <w:t>Electricity Sector Resilience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210" w14:textId="77777777" w:rsidR="00F423DE" w:rsidRDefault="00F4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541F" w14:textId="77777777" w:rsidR="00863D8E" w:rsidRDefault="00863D8E" w:rsidP="008B4D47">
      <w:r>
        <w:separator/>
      </w:r>
    </w:p>
    <w:p w14:paraId="10BD055A" w14:textId="77777777" w:rsidR="00863D8E" w:rsidRDefault="00863D8E" w:rsidP="008B4D47"/>
  </w:footnote>
  <w:footnote w:type="continuationSeparator" w:id="0">
    <w:p w14:paraId="442C9702" w14:textId="77777777" w:rsidR="00863D8E" w:rsidRDefault="00863D8E" w:rsidP="008B4D47">
      <w:r>
        <w:continuationSeparator/>
      </w:r>
    </w:p>
    <w:p w14:paraId="7DAA0130" w14:textId="77777777" w:rsidR="00863D8E" w:rsidRDefault="00863D8E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C0F" w14:textId="77777777" w:rsidR="00F423DE" w:rsidRDefault="00F4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456162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8FF" w14:textId="77777777" w:rsidR="00F423DE" w:rsidRDefault="00F42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212"/>
    <w:multiLevelType w:val="hybridMultilevel"/>
    <w:tmpl w:val="4D5AD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F97247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84E08"/>
    <w:multiLevelType w:val="hybridMultilevel"/>
    <w:tmpl w:val="A1CA5712"/>
    <w:lvl w:ilvl="0" w:tplc="DAB4BA04">
      <w:start w:val="1"/>
      <w:numFmt w:val="lowerLetter"/>
      <w:lvlText w:val="%1."/>
      <w:lvlJc w:val="left"/>
      <w:pPr>
        <w:ind w:left="720" w:hanging="360"/>
      </w:pPr>
    </w:lvl>
    <w:lvl w:ilvl="1" w:tplc="CB6432F2">
      <w:start w:val="1"/>
      <w:numFmt w:val="lowerLetter"/>
      <w:lvlText w:val="%2."/>
      <w:lvlJc w:val="left"/>
      <w:pPr>
        <w:ind w:left="1440" w:hanging="360"/>
      </w:pPr>
    </w:lvl>
    <w:lvl w:ilvl="2" w:tplc="F6E665EA">
      <w:start w:val="1"/>
      <w:numFmt w:val="lowerRoman"/>
      <w:lvlText w:val="%3."/>
      <w:lvlJc w:val="right"/>
      <w:pPr>
        <w:ind w:left="2160" w:hanging="180"/>
      </w:pPr>
    </w:lvl>
    <w:lvl w:ilvl="3" w:tplc="57DCE878">
      <w:start w:val="1"/>
      <w:numFmt w:val="decimal"/>
      <w:lvlText w:val="%4."/>
      <w:lvlJc w:val="left"/>
      <w:pPr>
        <w:ind w:left="2880" w:hanging="360"/>
      </w:pPr>
    </w:lvl>
    <w:lvl w:ilvl="4" w:tplc="F4F4F76C">
      <w:start w:val="1"/>
      <w:numFmt w:val="lowerLetter"/>
      <w:lvlText w:val="%5."/>
      <w:lvlJc w:val="left"/>
      <w:pPr>
        <w:ind w:left="3600" w:hanging="360"/>
      </w:pPr>
    </w:lvl>
    <w:lvl w:ilvl="5" w:tplc="A078C376">
      <w:start w:val="1"/>
      <w:numFmt w:val="lowerRoman"/>
      <w:lvlText w:val="%6."/>
      <w:lvlJc w:val="right"/>
      <w:pPr>
        <w:ind w:left="4320" w:hanging="180"/>
      </w:pPr>
    </w:lvl>
    <w:lvl w:ilvl="6" w:tplc="1C3A26A2">
      <w:start w:val="1"/>
      <w:numFmt w:val="decimal"/>
      <w:lvlText w:val="%7."/>
      <w:lvlJc w:val="left"/>
      <w:pPr>
        <w:ind w:left="5040" w:hanging="360"/>
      </w:pPr>
    </w:lvl>
    <w:lvl w:ilvl="7" w:tplc="760C1552">
      <w:start w:val="1"/>
      <w:numFmt w:val="lowerLetter"/>
      <w:lvlText w:val="%8."/>
      <w:lvlJc w:val="left"/>
      <w:pPr>
        <w:ind w:left="5760" w:hanging="360"/>
      </w:pPr>
    </w:lvl>
    <w:lvl w:ilvl="8" w:tplc="6A6C3D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15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06E0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D418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63D8E"/>
    <w:rsid w:val="00876F21"/>
    <w:rsid w:val="00880BFE"/>
    <w:rsid w:val="008837A2"/>
    <w:rsid w:val="008837D0"/>
    <w:rsid w:val="008853D3"/>
    <w:rsid w:val="00885B8F"/>
    <w:rsid w:val="008906B8"/>
    <w:rsid w:val="008913A9"/>
    <w:rsid w:val="00894A1F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5A9C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281B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E98C1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3DE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EB33B42"/>
    <w:rsid w:val="0F633636"/>
    <w:rsid w:val="104F0BA3"/>
    <w:rsid w:val="24589DC5"/>
    <w:rsid w:val="27A099B2"/>
    <w:rsid w:val="29157068"/>
    <w:rsid w:val="3BE49423"/>
    <w:rsid w:val="3EEC594F"/>
    <w:rsid w:val="4F097400"/>
    <w:rsid w:val="5983F9F5"/>
    <w:rsid w:val="5B1FCA56"/>
    <w:rsid w:val="5B7DED8D"/>
    <w:rsid w:val="5E48F943"/>
    <w:rsid w:val="66F94F94"/>
    <w:rsid w:val="68F26CE2"/>
    <w:rsid w:val="69A114A6"/>
    <w:rsid w:val="78EF0BBE"/>
    <w:rsid w:val="790CCD22"/>
    <w:rsid w:val="7B5AF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3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</ds:schemaRefs>
</ds:datastoreItem>
</file>

<file path=customXml/itemProps3.xml><?xml version="1.0" encoding="utf-8"?>
<ds:datastoreItem xmlns:ds="http://schemas.openxmlformats.org/officeDocument/2006/customXml" ds:itemID="{17A726EE-D2C6-4BE1-8D4C-6ADC52B9AE65}"/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12</TotalTime>
  <Pages>3</Pages>
  <Words>675</Words>
  <Characters>3854</Characters>
  <Application>Microsoft Office Word</Application>
  <DocSecurity>0</DocSecurity>
  <Lines>32</Lines>
  <Paragraphs>9</Paragraphs>
  <ScaleCrop>false</ScaleCrop>
  <Company>California Energy Commission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Willis, Crystal@Energy</cp:lastModifiedBy>
  <cp:revision>4</cp:revision>
  <cp:lastPrinted>2014-04-11T22:56:00Z</cp:lastPrinted>
  <dcterms:created xsi:type="dcterms:W3CDTF">2021-08-23T23:04:00Z</dcterms:created>
  <dcterms:modified xsi:type="dcterms:W3CDTF">2022-10-20T15:22:00Z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