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C51" w14:textId="6DEA1C85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F46DB6" w:rsidRPr="00D40F89">
        <w:t>and page limit</w:t>
      </w:r>
      <w:r w:rsidR="00F46DB6" w:rsidRPr="00F46DB6">
        <w:t xml:space="preserve"> </w:t>
      </w:r>
      <w:r w:rsidR="00C26D0A" w:rsidRPr="00701F98">
        <w:t xml:space="preserve">recommendations </w:t>
      </w:r>
      <w:r w:rsidRPr="00701F98">
        <w:t>in Part III, Section A</w:t>
      </w:r>
      <w:r w:rsidR="00615DBC">
        <w:t xml:space="preserve"> </w:t>
      </w:r>
      <w:r w:rsidR="00615DBC" w:rsidRPr="00CA4B66">
        <w:t>of the Solicitation Manual</w:t>
      </w:r>
      <w:r w:rsidR="000B63D7" w:rsidRPr="00701F98">
        <w:t>.</w:t>
      </w:r>
    </w:p>
    <w:p w14:paraId="716113FC" w14:textId="77777777" w:rsidR="008B4D47" w:rsidRPr="008B4D47" w:rsidRDefault="008B4D47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33FB8003" w14:textId="77777777" w:rsidR="008B4D47" w:rsidRPr="002C1625" w:rsidRDefault="008B4D47" w:rsidP="00A56963">
      <w:pPr>
        <w:numPr>
          <w:ilvl w:val="0"/>
          <w:numId w:val="5"/>
        </w:numPr>
        <w:spacing w:after="120"/>
      </w:pPr>
      <w:r w:rsidRPr="002C1625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2A77CACA" w14:textId="47180A29" w:rsidR="008B4D47" w:rsidRDefault="008B4D47" w:rsidP="00A56963">
      <w:pPr>
        <w:numPr>
          <w:ilvl w:val="0"/>
          <w:numId w:val="5"/>
        </w:numPr>
        <w:spacing w:after="120"/>
      </w:pPr>
      <w:r w:rsidRPr="002C1625">
        <w:t>Describe how the proposed model/tool/study will be used by key stakeholders (e.g. policy-makers, project developers, other researchers, etc.)</w:t>
      </w:r>
      <w:r w:rsidR="00331309">
        <w:t>.</w:t>
      </w:r>
    </w:p>
    <w:p w14:paraId="50AB7FB9" w14:textId="77777777" w:rsidR="008B4D47" w:rsidRDefault="008B4D47" w:rsidP="00A56963">
      <w:pPr>
        <w:numPr>
          <w:ilvl w:val="0"/>
          <w:numId w:val="5"/>
        </w:numPr>
        <w:spacing w:after="120"/>
      </w:pPr>
      <w:r w:rsidRPr="002C1625">
        <w:t>Describe</w:t>
      </w:r>
      <w:r>
        <w:t>s</w:t>
      </w:r>
      <w:r w:rsidRPr="002C1625">
        <w:t xml:space="preserve"> the advantage of the proposed model/tool/study over that currently being used by key stakeholders.</w:t>
      </w:r>
    </w:p>
    <w:p w14:paraId="1465E9DB" w14:textId="52D8741A" w:rsidR="008B4D47" w:rsidRPr="00EA6333" w:rsidRDefault="008B4D47" w:rsidP="008B4D47"/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58D5B055" w:rsidR="008B4D47" w:rsidRPr="002C1625" w:rsidRDefault="008B4D47" w:rsidP="00A56963">
      <w:pPr>
        <w:numPr>
          <w:ilvl w:val="0"/>
          <w:numId w:val="6"/>
        </w:numPr>
        <w:spacing w:after="120"/>
      </w:pPr>
      <w:r w:rsidRPr="002C1625">
        <w:t>Proposal describes the technique, approach, and methods to be used in performing the work described in the Scope of Work</w:t>
      </w:r>
      <w:r w:rsidR="005F3FBE">
        <w:t>.</w:t>
      </w:r>
      <w:r w:rsidRPr="002C1625">
        <w:t xml:space="preserve"> </w:t>
      </w:r>
    </w:p>
    <w:p w14:paraId="4B7E2D51" w14:textId="7BDD76EE" w:rsidR="008B4D47" w:rsidRDefault="008B4D47" w:rsidP="00A56963">
      <w:pPr>
        <w:numPr>
          <w:ilvl w:val="0"/>
          <w:numId w:val="6"/>
        </w:numPr>
        <w:spacing w:after="120"/>
      </w:pPr>
      <w:r w:rsidRPr="002C1625">
        <w:t xml:space="preserve">The Scope of Work identifies goals, objectives, and deliverables, details the work to be performed, and aligns with the information presented in </w:t>
      </w:r>
      <w:r w:rsidR="00573D5E" w:rsidRPr="00CA4B66">
        <w:t xml:space="preserve">the </w:t>
      </w:r>
      <w:r w:rsidRPr="002C1625">
        <w:t>Project Narrative.</w:t>
      </w:r>
    </w:p>
    <w:p w14:paraId="27797218" w14:textId="17A2ACBF" w:rsidR="008B4D47" w:rsidRPr="002C1625" w:rsidRDefault="008B4D47" w:rsidP="00A56963">
      <w:pPr>
        <w:numPr>
          <w:ilvl w:val="0"/>
          <w:numId w:val="6"/>
        </w:numPr>
        <w:spacing w:after="120"/>
      </w:pPr>
      <w:r w:rsidRPr="002C1625">
        <w:t>Identifies and discusses factors critical for success, in addition to risks, barriers, and limitations</w:t>
      </w:r>
      <w:r>
        <w:t xml:space="preserve"> (e.g. loss of demonstration site, key subcontractor</w:t>
      </w:r>
      <w:r w:rsidR="007807DF" w:rsidRPr="00CA4B66">
        <w:t>, lack of data to support a case study analysis</w:t>
      </w:r>
      <w:r>
        <w:t>)</w:t>
      </w:r>
      <w:r w:rsidRPr="002C1625">
        <w:t xml:space="preserve">.  Provides a plan to address them. </w:t>
      </w:r>
    </w:p>
    <w:p w14:paraId="14DA1F27" w14:textId="31D6E8C6" w:rsidR="008B4D47" w:rsidRPr="002C1625" w:rsidRDefault="008B4D47" w:rsidP="00A56963">
      <w:pPr>
        <w:numPr>
          <w:ilvl w:val="0"/>
          <w:numId w:val="6"/>
        </w:numPr>
        <w:spacing w:after="120"/>
      </w:pPr>
      <w:r w:rsidRPr="002C1625">
        <w:t xml:space="preserve">Discusses the degree to which the proposed work is technically feasible and achievable within the proposed </w:t>
      </w:r>
      <w:r w:rsidR="006D176E" w:rsidRPr="002C1625">
        <w:t>P</w:t>
      </w:r>
      <w:r w:rsidR="006D176E">
        <w:t xml:space="preserve">roject Schedule </w:t>
      </w:r>
      <w:r w:rsidRPr="002C1625">
        <w:t>and the key ac</w:t>
      </w:r>
      <w:r w:rsidR="00FE5C43">
        <w:t>tivities schedule in Section I.</w:t>
      </w:r>
      <w:r w:rsidR="009234DB">
        <w:t>E</w:t>
      </w:r>
      <w:r w:rsidR="002D3C68">
        <w:t xml:space="preserve"> </w:t>
      </w:r>
      <w:r w:rsidR="002D3C68" w:rsidRPr="00CA4B66">
        <w:t>of the Solicitation Manual</w:t>
      </w:r>
      <w:r w:rsidR="00FE5C43">
        <w:t>.</w:t>
      </w:r>
    </w:p>
    <w:p w14:paraId="2EA3F089" w14:textId="3ED1629B" w:rsidR="00FD4970" w:rsidRDefault="00FD4970" w:rsidP="00207024">
      <w:pPr>
        <w:numPr>
          <w:ilvl w:val="0"/>
          <w:numId w:val="6"/>
        </w:numPr>
        <w:spacing w:after="120"/>
      </w:pPr>
      <w:r>
        <w:t>Describes the knowledge transfer plan, including how key stakeholders and potential users will be engaged, and the plan to disseminate knowledge of the project’s results to those stakeholders and users.</w:t>
      </w:r>
    </w:p>
    <w:p w14:paraId="798820E0" w14:textId="36E7B9CC" w:rsidR="008B4D47" w:rsidRPr="002C0D8E" w:rsidRDefault="008B4D47" w:rsidP="2191A22D">
      <w:pPr>
        <w:pStyle w:val="ListParagraph"/>
        <w:numPr>
          <w:ilvl w:val="0"/>
          <w:numId w:val="6"/>
        </w:numPr>
      </w:pPr>
      <w:r>
        <w:t>Provides informa</w:t>
      </w:r>
      <w:r w:rsidR="009234DB">
        <w:t>tion described in Section I.C</w:t>
      </w:r>
      <w:r w:rsidR="00C13E7C">
        <w:t xml:space="preserve"> </w:t>
      </w:r>
      <w:r w:rsidR="00C13E7C" w:rsidRPr="00CA4B66">
        <w:t>of the Solicitation Manual.</w:t>
      </w:r>
    </w:p>
    <w:p w14:paraId="050C2026" w14:textId="10CB98E3" w:rsidR="00803746" w:rsidRPr="002C0D8E" w:rsidRDefault="00803746" w:rsidP="00803746">
      <w:pPr>
        <w:pStyle w:val="ListParagraph"/>
      </w:pPr>
      <w:r w:rsidRPr="002C0D8E">
        <w:t xml:space="preserve">Provide </w:t>
      </w:r>
      <w:r w:rsidR="001E47E1" w:rsidRPr="002C0D8E">
        <w:t xml:space="preserve">a </w:t>
      </w:r>
      <w:r w:rsidRPr="002C0D8E">
        <w:t xml:space="preserve">detailed </w:t>
      </w:r>
      <w:r w:rsidR="001E47E1" w:rsidRPr="002C0D8E">
        <w:t>response</w:t>
      </w:r>
      <w:r w:rsidRPr="002C0D8E">
        <w:t xml:space="preserve"> to the following </w:t>
      </w:r>
      <w:r w:rsidR="001E47E1" w:rsidRPr="002C0D8E">
        <w:t>prompt</w:t>
      </w:r>
      <w:r w:rsidRPr="002C0D8E">
        <w:t>, from Section I.C</w:t>
      </w:r>
      <w:r w:rsidR="006A1391" w:rsidRPr="002C0D8E">
        <w:t xml:space="preserve"> of the Solicitation Manual</w:t>
      </w:r>
      <w:r w:rsidRPr="002C0D8E">
        <w:t>:</w:t>
      </w:r>
    </w:p>
    <w:p w14:paraId="31EF9540" w14:textId="0C045126" w:rsidR="00940256" w:rsidRPr="002C0D8E" w:rsidRDefault="00AE1CB8" w:rsidP="002C0D8E">
      <w:pPr>
        <w:ind w:left="720"/>
      </w:pPr>
      <w:r w:rsidRPr="002C0D8E">
        <w:t>A</w:t>
      </w:r>
      <w:r w:rsidR="00940256" w:rsidRPr="002C0D8E">
        <w:t>t a minimum, describe in detail how the applicant plans to answer the questions listed below over the term of the proposed project. The applicant may also address these questions elsewhere within th</w:t>
      </w:r>
      <w:r w:rsidR="003D5D1F" w:rsidRPr="002C0D8E">
        <w:t>is document</w:t>
      </w:r>
      <w:r w:rsidR="00940256" w:rsidRPr="002C0D8E">
        <w:t xml:space="preserve"> </w:t>
      </w:r>
      <w:r w:rsidR="008A2E43" w:rsidRPr="002C0D8E">
        <w:t>(</w:t>
      </w:r>
      <w:r w:rsidR="00940256" w:rsidRPr="002C0D8E">
        <w:t>Project Narrative</w:t>
      </w:r>
      <w:r w:rsidR="008A2E43" w:rsidRPr="002C0D8E">
        <w:t>)</w:t>
      </w:r>
      <w:r w:rsidR="00940256" w:rsidRPr="002C0D8E">
        <w:t xml:space="preserve"> as appropriate.</w:t>
      </w:r>
    </w:p>
    <w:p w14:paraId="4F3D966F" w14:textId="750DCDE6" w:rsidR="00940256" w:rsidRPr="002C0D8E" w:rsidRDefault="00940256" w:rsidP="002C0D8E">
      <w:pPr>
        <w:pStyle w:val="ListParagraph"/>
        <w:numPr>
          <w:ilvl w:val="0"/>
          <w:numId w:val="19"/>
        </w:numPr>
        <w:ind w:left="1440"/>
        <w:jc w:val="left"/>
        <w:rPr>
          <w:szCs w:val="22"/>
        </w:rPr>
      </w:pPr>
      <w:r w:rsidRPr="002C0D8E">
        <w:rPr>
          <w:szCs w:val="22"/>
        </w:rPr>
        <w:t xml:space="preserve">How can the </w:t>
      </w:r>
      <w:r w:rsidR="009458E5" w:rsidRPr="004F5093">
        <w:rPr>
          <w:b/>
          <w:bCs/>
          <w:szCs w:val="22"/>
          <w:u w:val="single"/>
        </w:rPr>
        <w:t>Electric Program Investment Charge (</w:t>
      </w:r>
      <w:r w:rsidRPr="002C0D8E">
        <w:rPr>
          <w:szCs w:val="22"/>
        </w:rPr>
        <w:t>EPIC</w:t>
      </w:r>
      <w:r w:rsidR="009458E5" w:rsidRPr="004F5093">
        <w:rPr>
          <w:b/>
          <w:bCs/>
          <w:szCs w:val="22"/>
          <w:u w:val="single"/>
        </w:rPr>
        <w:t>)</w:t>
      </w:r>
      <w:r w:rsidRPr="002C0D8E">
        <w:rPr>
          <w:szCs w:val="22"/>
        </w:rPr>
        <w:t xml:space="preserve"> Program best coordinate investments with complementary programs, including but not limited to the Hydrogen Program, the development of California’s proposed Renewable Hydrogen Hub, and other DOE hydrogen hubs?</w:t>
      </w:r>
    </w:p>
    <w:p w14:paraId="08C10688" w14:textId="77777777" w:rsidR="00940256" w:rsidRPr="002C0D8E" w:rsidRDefault="00940256" w:rsidP="002C0D8E">
      <w:pPr>
        <w:pStyle w:val="ListParagraph"/>
        <w:numPr>
          <w:ilvl w:val="0"/>
          <w:numId w:val="19"/>
        </w:numPr>
        <w:ind w:left="1440"/>
        <w:jc w:val="left"/>
        <w:rPr>
          <w:szCs w:val="22"/>
        </w:rPr>
      </w:pPr>
      <w:r w:rsidRPr="002C0D8E">
        <w:rPr>
          <w:szCs w:val="22"/>
        </w:rPr>
        <w:t>How is the competitiveness of hydrogen in electric sector applications impacted by adoption in other sectors such as transportation and industrial uses, and vice versa?</w:t>
      </w:r>
    </w:p>
    <w:p w14:paraId="70243997" w14:textId="34E1DE91" w:rsidR="00940256" w:rsidRPr="002C0D8E" w:rsidRDefault="00940256" w:rsidP="002C0D8E">
      <w:pPr>
        <w:pStyle w:val="ListParagraph"/>
        <w:numPr>
          <w:ilvl w:val="0"/>
          <w:numId w:val="19"/>
        </w:numPr>
        <w:ind w:left="1440"/>
        <w:jc w:val="left"/>
        <w:rPr>
          <w:szCs w:val="22"/>
        </w:rPr>
      </w:pPr>
      <w:r w:rsidRPr="002C0D8E">
        <w:rPr>
          <w:szCs w:val="22"/>
        </w:rPr>
        <w:t xml:space="preserve">Which electric sector applications </w:t>
      </w:r>
      <w:r w:rsidR="00A96535">
        <w:rPr>
          <w:szCs w:val="22"/>
        </w:rPr>
        <w:t>[</w:t>
      </w:r>
      <w:r w:rsidRPr="004F5093">
        <w:rPr>
          <w:strike/>
          <w:szCs w:val="22"/>
        </w:rPr>
        <w:t>could</w:t>
      </w:r>
      <w:r w:rsidR="00A96535">
        <w:rPr>
          <w:szCs w:val="22"/>
        </w:rPr>
        <w:t xml:space="preserve">] </w:t>
      </w:r>
      <w:r w:rsidR="00A96535" w:rsidRPr="004F5093">
        <w:rPr>
          <w:b/>
          <w:bCs/>
          <w:szCs w:val="22"/>
          <w:u w:val="single"/>
        </w:rPr>
        <w:t>can</w:t>
      </w:r>
      <w:r w:rsidRPr="002C0D8E">
        <w:rPr>
          <w:szCs w:val="22"/>
        </w:rPr>
        <w:t xml:space="preserve"> reach cost competitiveness in the near-term (within 5 years), mid-term (5-10 years), and long</w:t>
      </w:r>
      <w:r w:rsidR="00AF3E50" w:rsidRPr="004F5093">
        <w:rPr>
          <w:b/>
          <w:bCs/>
          <w:szCs w:val="22"/>
          <w:u w:val="single"/>
        </w:rPr>
        <w:t>-</w:t>
      </w:r>
      <w:r w:rsidRPr="002C0D8E">
        <w:rPr>
          <w:szCs w:val="22"/>
        </w:rPr>
        <w:t xml:space="preserve">term (10 or more </w:t>
      </w:r>
      <w:r w:rsidRPr="002C0D8E">
        <w:rPr>
          <w:szCs w:val="22"/>
        </w:rPr>
        <w:lastRenderedPageBreak/>
        <w:t>years)</w:t>
      </w:r>
      <w:r w:rsidR="00AF3E50" w:rsidRPr="004F5093">
        <w:rPr>
          <w:b/>
          <w:bCs/>
          <w:szCs w:val="22"/>
          <w:u w:val="single"/>
        </w:rPr>
        <w:t>,</w:t>
      </w:r>
      <w:r w:rsidRPr="002C0D8E">
        <w:rPr>
          <w:szCs w:val="22"/>
        </w:rPr>
        <w:t xml:space="preserve"> and what market conditions or thresholds must be met for their adoption in California?</w:t>
      </w:r>
    </w:p>
    <w:p w14:paraId="38C239D0" w14:textId="77777777" w:rsidR="00940256" w:rsidRPr="002C0D8E" w:rsidRDefault="00940256" w:rsidP="002C0D8E">
      <w:pPr>
        <w:pStyle w:val="ListParagraph"/>
        <w:numPr>
          <w:ilvl w:val="0"/>
          <w:numId w:val="19"/>
        </w:numPr>
        <w:ind w:left="1440"/>
        <w:jc w:val="left"/>
        <w:rPr>
          <w:szCs w:val="22"/>
        </w:rPr>
      </w:pPr>
      <w:r w:rsidRPr="002C0D8E">
        <w:rPr>
          <w:szCs w:val="22"/>
        </w:rPr>
        <w:t>What advancements in existing and emerging technologies, including key equipment and subcomponents, can enable cost-competitive hydrogen production from renewable electricity and end-use in electric sector applications?</w:t>
      </w:r>
    </w:p>
    <w:p w14:paraId="0E30A008" w14:textId="77777777" w:rsidR="00940256" w:rsidRPr="002C0D8E" w:rsidRDefault="00940256" w:rsidP="002C0D8E">
      <w:pPr>
        <w:pStyle w:val="ListParagraph"/>
        <w:numPr>
          <w:ilvl w:val="0"/>
          <w:numId w:val="19"/>
        </w:numPr>
        <w:ind w:left="1440"/>
        <w:jc w:val="left"/>
        <w:rPr>
          <w:szCs w:val="22"/>
        </w:rPr>
      </w:pPr>
      <w:r w:rsidRPr="002C0D8E">
        <w:rPr>
          <w:szCs w:val="22"/>
        </w:rPr>
        <w:t>What are the cost and performance metrics for different technologies, equipment, and key subcomponents for hydrogen production from renewable electricity and end-use in electric sector applications as achieved today as well as targets over the near-term, mid-term, and long-term?</w:t>
      </w:r>
    </w:p>
    <w:p w14:paraId="7A78009C" w14:textId="7F4A9E1D" w:rsidR="00940256" w:rsidRPr="002C0D8E" w:rsidRDefault="00940256" w:rsidP="002C0D8E">
      <w:pPr>
        <w:pStyle w:val="ListParagraph"/>
        <w:numPr>
          <w:ilvl w:val="0"/>
          <w:numId w:val="19"/>
        </w:numPr>
        <w:ind w:left="1440"/>
        <w:jc w:val="left"/>
        <w:rPr>
          <w:szCs w:val="22"/>
        </w:rPr>
      </w:pPr>
      <w:r w:rsidRPr="002C0D8E">
        <w:rPr>
          <w:szCs w:val="22"/>
        </w:rPr>
        <w:t>How does hydrogen in electric sector applications compare to other zero</w:t>
      </w:r>
      <w:r w:rsidR="00C12B0A">
        <w:rPr>
          <w:szCs w:val="22"/>
        </w:rPr>
        <w:t>-</w:t>
      </w:r>
      <w:r w:rsidRPr="002C0D8E">
        <w:rPr>
          <w:szCs w:val="22"/>
        </w:rPr>
        <w:t>carbon technologies (</w:t>
      </w:r>
      <w:r w:rsidR="000B74CF">
        <w:rPr>
          <w:szCs w:val="22"/>
        </w:rPr>
        <w:t>[</w:t>
      </w:r>
      <w:r w:rsidRPr="004F5093">
        <w:rPr>
          <w:strike/>
          <w:szCs w:val="22"/>
        </w:rPr>
        <w:t>for example</w:t>
      </w:r>
      <w:r w:rsidR="000B74CF">
        <w:rPr>
          <w:szCs w:val="22"/>
        </w:rPr>
        <w:t>]</w:t>
      </w:r>
      <w:r w:rsidR="00AF3E50" w:rsidRPr="004F5093">
        <w:rPr>
          <w:b/>
          <w:bCs/>
          <w:szCs w:val="22"/>
          <w:u w:val="single"/>
        </w:rPr>
        <w:t>e.g.</w:t>
      </w:r>
      <w:r w:rsidRPr="002C0D8E">
        <w:rPr>
          <w:szCs w:val="22"/>
        </w:rPr>
        <w:t>, flow batteries or alternative chemistries for long</w:t>
      </w:r>
      <w:r w:rsidR="00C12B0A">
        <w:rPr>
          <w:szCs w:val="22"/>
        </w:rPr>
        <w:t>-</w:t>
      </w:r>
      <w:r w:rsidRPr="002C0D8E">
        <w:rPr>
          <w:szCs w:val="22"/>
        </w:rPr>
        <w:t>duration energy storage) for meeting reliability requirements and achieving SB 100 targets?</w:t>
      </w:r>
    </w:p>
    <w:p w14:paraId="68BC593B" w14:textId="77777777" w:rsidR="00940256" w:rsidRPr="002C0D8E" w:rsidRDefault="00940256" w:rsidP="002C0D8E">
      <w:pPr>
        <w:pStyle w:val="ListParagraph"/>
        <w:numPr>
          <w:ilvl w:val="0"/>
          <w:numId w:val="19"/>
        </w:numPr>
        <w:ind w:left="1440"/>
        <w:jc w:val="left"/>
        <w:rPr>
          <w:szCs w:val="22"/>
        </w:rPr>
      </w:pPr>
      <w:r w:rsidRPr="002C0D8E">
        <w:rPr>
          <w:szCs w:val="22"/>
        </w:rPr>
        <w:t>What are the infrastructure requirements and associated costs of hydrogen storage and delivery for different electric sector applications?</w:t>
      </w:r>
    </w:p>
    <w:p w14:paraId="1CB81051" w14:textId="77777777" w:rsidR="00940256" w:rsidRPr="002C0D8E" w:rsidRDefault="00940256" w:rsidP="002C0D8E">
      <w:pPr>
        <w:pStyle w:val="ListParagraph"/>
        <w:numPr>
          <w:ilvl w:val="0"/>
          <w:numId w:val="19"/>
        </w:numPr>
        <w:ind w:left="1440"/>
        <w:jc w:val="left"/>
        <w:rPr>
          <w:szCs w:val="22"/>
        </w:rPr>
      </w:pPr>
      <w:r w:rsidRPr="002C0D8E">
        <w:rPr>
          <w:szCs w:val="22"/>
        </w:rPr>
        <w:t>What are the environmental impacts and available mitigation strategies for different technologies for hydrogen production from renewable electricity and end-use in electric sector applications, including potential hydrogen leakage and associated global warming potential, emissions of nitrogen oxides (NOx) from combustion, and water requirements for electrolysis?</w:t>
      </w:r>
    </w:p>
    <w:p w14:paraId="5C56ABC5" w14:textId="77777777" w:rsidR="00940256" w:rsidRPr="002C0D8E" w:rsidRDefault="00940256" w:rsidP="002C0D8E">
      <w:pPr>
        <w:pStyle w:val="ListParagraph"/>
        <w:numPr>
          <w:ilvl w:val="0"/>
          <w:numId w:val="19"/>
        </w:numPr>
        <w:ind w:left="1440"/>
        <w:jc w:val="left"/>
      </w:pPr>
      <w:r w:rsidRPr="002C0D8E">
        <w:t>What research recommendations, with associated metrics and targets, should be prioritized by the EPIC Program over the near-term, mid-term, and long-term to help enable cost-competitive hydrogen production from renewable electricity and end-use in electric sector applications?</w:t>
      </w:r>
    </w:p>
    <w:p w14:paraId="04089530" w14:textId="77777777" w:rsidR="00940256" w:rsidRPr="002C0D8E" w:rsidRDefault="00940256" w:rsidP="002C0D8E">
      <w:pPr>
        <w:pStyle w:val="ListParagraph"/>
        <w:ind w:left="1440"/>
        <w:rPr>
          <w:szCs w:val="22"/>
        </w:rPr>
      </w:pPr>
      <w:r w:rsidRPr="002C0D8E">
        <w:rPr>
          <w:szCs w:val="22"/>
        </w:rPr>
        <w:t>In developing research recommendations, note that projects funded by the EPIC Program fall into the following categories.</w:t>
      </w:r>
    </w:p>
    <w:p w14:paraId="58500623" w14:textId="77777777" w:rsidR="00940256" w:rsidRPr="002C0D8E" w:rsidRDefault="00940256" w:rsidP="002C0D8E">
      <w:pPr>
        <w:pStyle w:val="ListParagraph"/>
        <w:numPr>
          <w:ilvl w:val="1"/>
          <w:numId w:val="19"/>
        </w:numPr>
        <w:ind w:left="2160"/>
        <w:jc w:val="left"/>
        <w:rPr>
          <w:szCs w:val="22"/>
        </w:rPr>
      </w:pPr>
      <w:r w:rsidRPr="002C0D8E">
        <w:rPr>
          <w:szCs w:val="22"/>
        </w:rPr>
        <w:t xml:space="preserve">Applied Research and Development: Projects where the primary goal is to advance the state of a technology or set of technologies through the development of applications, processes, or products involving scientific or engineering interventions to optimize components, systems, or subsystems. </w:t>
      </w:r>
    </w:p>
    <w:p w14:paraId="1108534B" w14:textId="77777777" w:rsidR="00940256" w:rsidRPr="002C0D8E" w:rsidRDefault="00940256" w:rsidP="002C0D8E">
      <w:pPr>
        <w:pStyle w:val="ListParagraph"/>
        <w:numPr>
          <w:ilvl w:val="1"/>
          <w:numId w:val="19"/>
        </w:numPr>
        <w:ind w:left="2160"/>
        <w:jc w:val="left"/>
        <w:rPr>
          <w:szCs w:val="22"/>
        </w:rPr>
      </w:pPr>
      <w:r w:rsidRPr="002C0D8E">
        <w:rPr>
          <w:szCs w:val="22"/>
        </w:rPr>
        <w:t>Technology Demonstration and Deployment: Projects where the primary goal is to demonstrate and validate the performance of a final-form (or near final-form) technology or system in a real world, operational environment.</w:t>
      </w:r>
    </w:p>
    <w:p w14:paraId="07703147" w14:textId="77777777" w:rsidR="00940256" w:rsidRPr="002C0D8E" w:rsidRDefault="00940256" w:rsidP="002C0D8E">
      <w:pPr>
        <w:pStyle w:val="ListParagraph"/>
        <w:numPr>
          <w:ilvl w:val="1"/>
          <w:numId w:val="19"/>
        </w:numPr>
        <w:ind w:left="2160"/>
        <w:jc w:val="left"/>
        <w:rPr>
          <w:szCs w:val="22"/>
        </w:rPr>
      </w:pPr>
      <w:r w:rsidRPr="002C0D8E">
        <w:rPr>
          <w:szCs w:val="22"/>
        </w:rPr>
        <w:t xml:space="preserve">Scientific and Techno-Economic Analysis: Projects where the primary output is knowledge gained. These projects may generate new technical/scientific knowledge and/or provide publicly available tools that will primarily be used to optimize decision-making and inform energy policy, planning, and public services. </w:t>
      </w:r>
    </w:p>
    <w:p w14:paraId="761F19C7" w14:textId="77777777" w:rsidR="00940256" w:rsidRPr="002C0D8E" w:rsidRDefault="00940256" w:rsidP="002C0D8E">
      <w:pPr>
        <w:pStyle w:val="ListParagraph"/>
        <w:numPr>
          <w:ilvl w:val="1"/>
          <w:numId w:val="19"/>
        </w:numPr>
        <w:ind w:left="2160"/>
        <w:jc w:val="left"/>
        <w:rPr>
          <w:szCs w:val="22"/>
        </w:rPr>
      </w:pPr>
      <w:r w:rsidRPr="002C0D8E">
        <w:rPr>
          <w:szCs w:val="22"/>
        </w:rPr>
        <w:t>Market Facilitation: Projects where the primary goal is to identify and address non-technical barriers to deployment of clean energy products and services for the purpose of stimulating the creation and growth of markets.</w:t>
      </w:r>
    </w:p>
    <w:p w14:paraId="222CCED9" w14:textId="77777777" w:rsidR="00940256" w:rsidRPr="002C0D8E" w:rsidRDefault="00940256" w:rsidP="008A5DDA">
      <w:pPr>
        <w:pStyle w:val="ListParagraph"/>
        <w:numPr>
          <w:ilvl w:val="0"/>
          <w:numId w:val="19"/>
        </w:numPr>
        <w:ind w:left="1440"/>
        <w:jc w:val="left"/>
        <w:rPr>
          <w:szCs w:val="22"/>
        </w:rPr>
      </w:pPr>
      <w:r w:rsidRPr="002C0D8E">
        <w:rPr>
          <w:szCs w:val="22"/>
        </w:rPr>
        <w:lastRenderedPageBreak/>
        <w:t>How do the research recommendations align with EPIC Program goals and support other complementary hydrogen programs?</w:t>
      </w:r>
    </w:p>
    <w:p w14:paraId="5D08570A" w14:textId="31488DCE" w:rsidR="008B4D47" w:rsidRPr="008B4D47" w:rsidRDefault="008B4D47" w:rsidP="2191A22D"/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2EFEE45C" w14:textId="77777777" w:rsidR="00E45742" w:rsidRPr="00E45742" w:rsidRDefault="00E45742" w:rsidP="008B4D47"/>
    <w:p w14:paraId="7EE4EE76" w14:textId="77777777" w:rsidR="008B4D47" w:rsidRPr="002C1625" w:rsidRDefault="008B4D47" w:rsidP="00A56963">
      <w:pPr>
        <w:numPr>
          <w:ilvl w:val="0"/>
          <w:numId w:val="7"/>
        </w:numPr>
        <w:spacing w:after="60"/>
      </w:pPr>
      <w:r w:rsidRPr="002C1625">
        <w:t xml:space="preserve">Explains how the proposed project will benefit California Investor-Owned Utility (IOU) ratepayers and provides clear, plausible, and justifiable (quantitative preferred) potential benefits. Estimates the energy benefits including: </w:t>
      </w:r>
    </w:p>
    <w:p w14:paraId="2F9D1616" w14:textId="2040C784" w:rsidR="008B4D47" w:rsidRPr="003A3B0E" w:rsidRDefault="008B4D47" w:rsidP="00A56963">
      <w:pPr>
        <w:numPr>
          <w:ilvl w:val="1"/>
          <w:numId w:val="9"/>
        </w:numPr>
        <w:spacing w:after="60"/>
      </w:pPr>
      <w:r w:rsidRPr="002C0D8E">
        <w:t xml:space="preserve">annual electricity (EPIC) and thermal savings </w:t>
      </w:r>
      <w:r w:rsidR="00F3329E" w:rsidRPr="004F5093">
        <w:rPr>
          <w:b/>
          <w:bCs/>
          <w:u w:val="single"/>
        </w:rPr>
        <w:t>(</w:t>
      </w:r>
      <w:r w:rsidR="00E35FE2" w:rsidRPr="004F5093">
        <w:rPr>
          <w:b/>
          <w:bCs/>
          <w:u w:val="single"/>
        </w:rPr>
        <w:t xml:space="preserve">Public Interest Energy Research </w:t>
      </w:r>
      <w:r w:rsidR="0009223A" w:rsidRPr="004F5093">
        <w:rPr>
          <w:b/>
          <w:bCs/>
          <w:u w:val="single"/>
        </w:rPr>
        <w:t>Natural Gas</w:t>
      </w:r>
      <w:r w:rsidR="00AF5869" w:rsidRPr="004F5093">
        <w:rPr>
          <w:b/>
          <w:bCs/>
          <w:u w:val="single"/>
        </w:rPr>
        <w:t xml:space="preserve"> </w:t>
      </w:r>
      <w:r w:rsidR="00523A3D">
        <w:rPr>
          <w:b/>
          <w:bCs/>
          <w:u w:val="single"/>
        </w:rPr>
        <w:t>p</w:t>
      </w:r>
      <w:r w:rsidR="00F3329E" w:rsidRPr="004F5093">
        <w:rPr>
          <w:b/>
          <w:bCs/>
          <w:u w:val="single"/>
        </w:rPr>
        <w:t>rogram)</w:t>
      </w:r>
      <w:r w:rsidR="00F3329E">
        <w:t xml:space="preserve"> </w:t>
      </w:r>
      <w:r w:rsidR="00931FAF">
        <w:t>[</w:t>
      </w:r>
      <w:r w:rsidRPr="004F5093">
        <w:rPr>
          <w:strike/>
        </w:rPr>
        <w:t>(PIER NG)</w:t>
      </w:r>
      <w:r w:rsidR="00267B1B">
        <w:rPr>
          <w:strike/>
        </w:rPr>
        <w:t>]</w:t>
      </w:r>
      <w:r w:rsidRPr="002C0D8E">
        <w:t xml:space="preserve"> (kilowatt-hour and </w:t>
      </w:r>
      <w:proofErr w:type="spellStart"/>
      <w:r w:rsidRPr="002C0D8E">
        <w:t>therms</w:t>
      </w:r>
      <w:proofErr w:type="spellEnd"/>
      <w:r w:rsidRPr="002C0D8E">
        <w:t>), energy cost reductions, peak load reduction and/or shifting, infrastructure resiliency, infrastructure reliability.</w:t>
      </w:r>
    </w:p>
    <w:p w14:paraId="38650F27" w14:textId="77777777" w:rsidR="008B4D47" w:rsidRPr="002C0D8E" w:rsidRDefault="008B4D47" w:rsidP="008B4D47">
      <w:pPr>
        <w:spacing w:after="60"/>
        <w:ind w:left="720"/>
        <w:rPr>
          <w:b/>
        </w:rPr>
      </w:pPr>
      <w:r w:rsidRPr="002C0D8E">
        <w:rPr>
          <w:b/>
        </w:rPr>
        <w:t xml:space="preserve">In addition, estimates the non-energy benefits including: </w:t>
      </w:r>
    </w:p>
    <w:p w14:paraId="180317BF" w14:textId="3B374D41" w:rsidR="008B4D47" w:rsidRPr="003A3B0E" w:rsidRDefault="008B4D47" w:rsidP="00A56963">
      <w:pPr>
        <w:pStyle w:val="ListParagraph"/>
        <w:numPr>
          <w:ilvl w:val="0"/>
          <w:numId w:val="8"/>
        </w:numPr>
        <w:spacing w:after="60"/>
      </w:pPr>
      <w:r w:rsidRPr="002C0D8E">
        <w:t>greenhouse gas emission reductions, air emission reductions (e.g. NOx), water savings and cost reduction, and/or increased safety</w:t>
      </w:r>
      <w:r w:rsidRPr="003A3B0E">
        <w:t>.</w:t>
      </w:r>
    </w:p>
    <w:p w14:paraId="49B2C64A" w14:textId="4F323B84" w:rsidR="008B4D47" w:rsidRPr="002C1625" w:rsidRDefault="008B4D47" w:rsidP="00A56963">
      <w:pPr>
        <w:numPr>
          <w:ilvl w:val="0"/>
          <w:numId w:val="7"/>
        </w:numPr>
        <w:spacing w:after="120"/>
      </w:pPr>
      <w:r w:rsidRPr="002C1625">
        <w:t xml:space="preserve">States the timeframe, assumptions with </w:t>
      </w:r>
      <w:r>
        <w:t>sources</w:t>
      </w:r>
      <w:r w:rsidRPr="002C1625">
        <w:t>, and calculations for the estimated benefits, and explains their reasonableness. Include baseline</w:t>
      </w:r>
      <w:r>
        <w:t xml:space="preserve"> or “</w:t>
      </w:r>
      <w:r w:rsidRPr="002C1625">
        <w:t>business as usual</w:t>
      </w:r>
      <w:r>
        <w:t>” over timeframe.</w:t>
      </w:r>
      <w:r w:rsidRPr="002C1625">
        <w:t xml:space="preserve"> </w:t>
      </w:r>
    </w:p>
    <w:p w14:paraId="650ADF00" w14:textId="530FCC3E" w:rsidR="00E45742" w:rsidRPr="003A3B0E" w:rsidRDefault="008B4D47" w:rsidP="00A56963">
      <w:pPr>
        <w:pStyle w:val="ListParagraph"/>
        <w:numPr>
          <w:ilvl w:val="0"/>
          <w:numId w:val="7"/>
        </w:numPr>
      </w:pPr>
      <w:r w:rsidRPr="003A3B0E">
        <w:t xml:space="preserve">Identifies how outputs of the </w:t>
      </w:r>
      <w:r w:rsidRPr="002C0D8E">
        <w:t xml:space="preserve">model/tool/study </w:t>
      </w:r>
      <w:r w:rsidRPr="003A3B0E">
        <w:t>will benefit key stakeholders (e.g., streamline planning, help eliminate barriers, stimulate growth of applicable market sectors)</w:t>
      </w:r>
      <w:r w:rsidR="00113DDD" w:rsidRPr="003A3B0E">
        <w:t>.</w:t>
      </w:r>
    </w:p>
    <w:p w14:paraId="6D19FCAE" w14:textId="77777777" w:rsidR="008B4D47" w:rsidRPr="00E45742" w:rsidRDefault="008B4D47" w:rsidP="008B4D47"/>
    <w:p w14:paraId="18FF9ED1" w14:textId="6458D8BB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383369B6" w:rsidR="008B4D47" w:rsidRPr="00417F7F" w:rsidRDefault="008B4D47" w:rsidP="00A56963">
      <w:pPr>
        <w:numPr>
          <w:ilvl w:val="0"/>
          <w:numId w:val="3"/>
        </w:numPr>
        <w:spacing w:after="120"/>
        <w:ind w:left="720"/>
      </w:pPr>
      <w:r w:rsidRPr="00417F7F">
        <w:t xml:space="preserve">Identifies credentials of prime and any subcontractor </w:t>
      </w:r>
      <w:r w:rsidR="001C4797" w:rsidRPr="00417F7F">
        <w:t xml:space="preserve">key </w:t>
      </w:r>
      <w:r w:rsidRPr="00417F7F">
        <w:t>personnel, including the project manager</w:t>
      </w:r>
      <w:r w:rsidR="00653E5B" w:rsidRPr="00417F7F">
        <w:t>,</w:t>
      </w:r>
      <w:r w:rsidRPr="00417F7F">
        <w:t xml:space="preserve"> principal investigator</w:t>
      </w:r>
      <w:r w:rsidR="6F3A6B65" w:rsidRPr="00417F7F">
        <w:t>,</w:t>
      </w:r>
      <w:r w:rsidRPr="00417F7F">
        <w:t xml:space="preserve"> </w:t>
      </w:r>
      <w:r w:rsidR="00D62FFF" w:rsidRPr="00417F7F">
        <w:t xml:space="preserve">and technology and knowledge transfer lead </w:t>
      </w:r>
      <w:r w:rsidRPr="00417F7F">
        <w:rPr>
          <w:i/>
          <w:iCs/>
        </w:rPr>
        <w:t xml:space="preserve">(include this information in </w:t>
      </w:r>
      <w:r w:rsidR="00F64FF3" w:rsidRPr="00417F7F">
        <w:rPr>
          <w:i/>
          <w:iCs/>
        </w:rPr>
        <w:t xml:space="preserve">the </w:t>
      </w:r>
      <w:r w:rsidRPr="00417F7F">
        <w:rPr>
          <w:i/>
          <w:iCs/>
        </w:rPr>
        <w:t>Project Team Form).</w:t>
      </w:r>
    </w:p>
    <w:p w14:paraId="42AEAF7D" w14:textId="06C66FA4" w:rsidR="008B4D47" w:rsidRDefault="008B4D47" w:rsidP="00A56963">
      <w:pPr>
        <w:numPr>
          <w:ilvl w:val="0"/>
          <w:numId w:val="3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>an organization chart similar to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096BC9DA">
            <wp:extent cx="3574473" cy="2085109"/>
            <wp:effectExtent l="0" t="0" r="698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3"/>
        </w:numPr>
        <w:spacing w:after="120"/>
        <w:ind w:left="720"/>
      </w:pPr>
      <w:r w:rsidRPr="00941FBA">
        <w:lastRenderedPageBreak/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3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0F0854B3" w:rsidR="008B4D47" w:rsidRDefault="008B4D47" w:rsidP="00A56963">
      <w:pPr>
        <w:pStyle w:val="ListParagraph"/>
        <w:numPr>
          <w:ilvl w:val="0"/>
          <w:numId w:val="15"/>
        </w:numPr>
        <w:ind w:left="720"/>
        <w:jc w:val="left"/>
        <w:rPr>
          <w:i/>
        </w:rPr>
      </w:pPr>
      <w:r w:rsidRPr="00417F7F">
        <w:t xml:space="preserve">Budget forms are complete for the applicant and all subcontractors, as instructed in </w:t>
      </w:r>
      <w:r w:rsidR="00FC570F" w:rsidRPr="00417F7F">
        <w:t xml:space="preserve">the </w:t>
      </w:r>
      <w:r w:rsidR="00FE5ED9" w:rsidRPr="00417F7F">
        <w:t xml:space="preserve">Budget </w:t>
      </w:r>
      <w:r w:rsidR="00FC570F" w:rsidRPr="00417F7F">
        <w:t xml:space="preserve">Forms </w:t>
      </w:r>
      <w:r w:rsidRPr="00417F7F">
        <w:t>Attachment</w:t>
      </w:r>
      <w:r w:rsidR="00A56963" w:rsidRPr="00417F7F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si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701F98">
        <w:trPr>
          <w:jc w:val="center"/>
        </w:trPr>
        <w:tc>
          <w:tcPr>
            <w:tcW w:w="2695" w:type="dxa"/>
          </w:tcPr>
          <w:p w14:paraId="4862F76D" w14:textId="77777777" w:rsidR="00A56963" w:rsidRDefault="00A56963" w:rsidP="007628A9">
            <w:pPr>
              <w:spacing w:after="120"/>
              <w:jc w:val="left"/>
            </w:pPr>
            <w:r>
              <w:t>Task 1: General Project Tasks</w:t>
            </w:r>
          </w:p>
        </w:tc>
        <w:tc>
          <w:tcPr>
            <w:tcW w:w="2250" w:type="dxa"/>
          </w:tcPr>
          <w:p w14:paraId="17BAF454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7A3C0B49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C89E860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1F7CCAA2" w14:textId="77777777" w:rsidTr="00701F98">
        <w:trPr>
          <w:jc w:val="center"/>
        </w:trPr>
        <w:tc>
          <w:tcPr>
            <w:tcW w:w="2695" w:type="dxa"/>
          </w:tcPr>
          <w:p w14:paraId="2532B0CA" w14:textId="77777777" w:rsidR="00A56963" w:rsidRDefault="00A56963" w:rsidP="007628A9">
            <w:pPr>
              <w:spacing w:after="120"/>
              <w:jc w:val="left"/>
            </w:pPr>
            <w:r>
              <w:t>Task 2:</w:t>
            </w:r>
          </w:p>
        </w:tc>
        <w:tc>
          <w:tcPr>
            <w:tcW w:w="2250" w:type="dxa"/>
          </w:tcPr>
          <w:p w14:paraId="24B5081B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5004C72A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2598629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0DCC36BA" w14:textId="77777777" w:rsidTr="00701F98">
        <w:trPr>
          <w:jc w:val="center"/>
        </w:trPr>
        <w:tc>
          <w:tcPr>
            <w:tcW w:w="2695" w:type="dxa"/>
          </w:tcPr>
          <w:p w14:paraId="1176665F" w14:textId="77777777" w:rsidR="00A56963" w:rsidRDefault="00A56963" w:rsidP="007628A9">
            <w:pPr>
              <w:spacing w:after="120"/>
              <w:jc w:val="left"/>
            </w:pPr>
            <w:r>
              <w:t>Task [TBD-1]: Evaluation of Project Benefits</w:t>
            </w:r>
          </w:p>
        </w:tc>
        <w:tc>
          <w:tcPr>
            <w:tcW w:w="2250" w:type="dxa"/>
          </w:tcPr>
          <w:p w14:paraId="064202DD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2D747C2D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8CCA469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19AABB4A" w14:textId="77777777" w:rsidTr="00701F98">
        <w:trPr>
          <w:jc w:val="center"/>
        </w:trPr>
        <w:tc>
          <w:tcPr>
            <w:tcW w:w="2695" w:type="dxa"/>
          </w:tcPr>
          <w:p w14:paraId="6E5C243B" w14:textId="77777777" w:rsidR="00A56963" w:rsidRDefault="00A56963" w:rsidP="007628A9">
            <w:pPr>
              <w:spacing w:after="120"/>
              <w:jc w:val="left"/>
            </w:pPr>
            <w:r>
              <w:t>Task [TBD-2]: Technology/ Knowledge Transfer Activities *</w:t>
            </w:r>
          </w:p>
        </w:tc>
        <w:tc>
          <w:tcPr>
            <w:tcW w:w="2250" w:type="dxa"/>
          </w:tcPr>
          <w:p w14:paraId="5FE6E125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37583011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4D38DE08" w14:textId="77777777" w:rsidR="00A56963" w:rsidRDefault="00A56963" w:rsidP="007628A9">
            <w:pPr>
              <w:spacing w:after="120"/>
              <w:jc w:val="left"/>
            </w:pP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6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2753BE10" w:rsidR="008B4D47" w:rsidRDefault="008B4D47" w:rsidP="00A56963">
      <w:pPr>
        <w:numPr>
          <w:ilvl w:val="0"/>
          <w:numId w:val="16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subcontractors).</w:t>
      </w:r>
    </w:p>
    <w:p w14:paraId="7283BC98" w14:textId="0BB80801" w:rsidR="00EA6333" w:rsidRDefault="008B4D47" w:rsidP="00A56963">
      <w:pPr>
        <w:numPr>
          <w:ilvl w:val="0"/>
          <w:numId w:val="16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subcontractor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6FB40E80" w:rsidR="00FD4970" w:rsidRPr="00417F7F" w:rsidRDefault="00AF52BF" w:rsidP="00C508A6">
      <w:pPr>
        <w:rPr>
          <w:b/>
        </w:rPr>
      </w:pPr>
      <w:r w:rsidRPr="00417F7F">
        <w:rPr>
          <w:b/>
        </w:rPr>
        <w:t xml:space="preserve">CEC </w:t>
      </w:r>
      <w:r w:rsidR="00F2487B" w:rsidRPr="00417F7F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C508A6">
        <w:rPr>
          <w:u w:val="single"/>
        </w:rPr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1D045E25" w14:textId="7100C101" w:rsidR="00E42C1D" w:rsidRPr="00417F7F" w:rsidRDefault="00CF137E" w:rsidP="00C508A6">
      <w:r w:rsidRPr="00417F7F">
        <w:rPr>
          <w:b/>
          <w:bCs/>
        </w:rPr>
        <w:t xml:space="preserve">Disadvantaged </w:t>
      </w:r>
      <w:r w:rsidR="00782331" w:rsidRPr="00417F7F">
        <w:rPr>
          <w:b/>
          <w:bCs/>
        </w:rPr>
        <w:t xml:space="preserve">&amp; Low-Income </w:t>
      </w:r>
      <w:r w:rsidRPr="00417F7F">
        <w:rPr>
          <w:b/>
          <w:bCs/>
        </w:rPr>
        <w:t>Communities</w:t>
      </w:r>
      <w:r w:rsidR="00E42C1D" w:rsidRPr="00417F7F">
        <w:t xml:space="preserve"> </w:t>
      </w:r>
    </w:p>
    <w:p w14:paraId="4B9C8283" w14:textId="4920881B" w:rsidR="00CF137E" w:rsidRPr="00417F7F" w:rsidRDefault="00CF137E" w:rsidP="00701F98">
      <w:pPr>
        <w:pStyle w:val="ListParagraph"/>
        <w:numPr>
          <w:ilvl w:val="0"/>
          <w:numId w:val="18"/>
        </w:numPr>
      </w:pPr>
      <w:r w:rsidRPr="00417F7F">
        <w:t>Proposal identifies how the target market(s) will benefit disadvantaged and</w:t>
      </w:r>
      <w:r w:rsidR="000A4F15" w:rsidRPr="00417F7F">
        <w:t>/or</w:t>
      </w:r>
      <w:r w:rsidRPr="00417F7F">
        <w:t xml:space="preserve"> low-income communities.</w:t>
      </w:r>
    </w:p>
    <w:p w14:paraId="4E47C9F5" w14:textId="0158F413" w:rsidR="00CF137E" w:rsidRPr="00417F7F" w:rsidRDefault="00CF137E" w:rsidP="00701F98">
      <w:pPr>
        <w:pStyle w:val="ListParagraph"/>
        <w:numPr>
          <w:ilvl w:val="0"/>
          <w:numId w:val="18"/>
        </w:numPr>
      </w:pPr>
      <w:r w:rsidRPr="00417F7F">
        <w:t>Identifies economic impact on low-income and disadvantaged communities including customer bill savings, job creation, partnering and contracting with micro- and small-businesses, and economic development.</w:t>
      </w:r>
    </w:p>
    <w:p w14:paraId="331BAB33" w14:textId="04BCEEAA" w:rsidR="00CF137E" w:rsidRPr="00417F7F" w:rsidRDefault="00CF137E" w:rsidP="00701F98">
      <w:pPr>
        <w:pStyle w:val="ListParagraph"/>
        <w:numPr>
          <w:ilvl w:val="0"/>
          <w:numId w:val="18"/>
        </w:numPr>
      </w:pPr>
      <w:r w:rsidRPr="00417F7F">
        <w:lastRenderedPageBreak/>
        <w:t xml:space="preserve">Describes how the project will increase access to clean energy or sustainability technologies within disadvantaged </w:t>
      </w:r>
      <w:r w:rsidR="004F693E" w:rsidRPr="00417F7F">
        <w:t>and/</w:t>
      </w:r>
      <w:r w:rsidRPr="00417F7F">
        <w:t>or low-income communities and how the development will benefit the communities.</w:t>
      </w:r>
    </w:p>
    <w:p w14:paraId="47838C48" w14:textId="3F49512D" w:rsidR="009C0C1C" w:rsidRPr="002C0D8E" w:rsidRDefault="00CF137E" w:rsidP="00701F98">
      <w:pPr>
        <w:pStyle w:val="ListParagraph"/>
        <w:numPr>
          <w:ilvl w:val="0"/>
          <w:numId w:val="18"/>
        </w:numPr>
      </w:pPr>
      <w:r w:rsidRPr="002C0D8E">
        <w:t xml:space="preserve">Applicants have letters of support from technology partners, community based organizations, environmental justice organizations, or other partners that demonstrate </w:t>
      </w:r>
      <w:r w:rsidR="00174041" w:rsidRPr="002C0D8E">
        <w:t xml:space="preserve">their belief that the proposed project will lead to increased </w:t>
      </w:r>
      <w:r w:rsidRPr="002C0D8E">
        <w:t>equity,</w:t>
      </w:r>
      <w:r w:rsidR="00606A32" w:rsidRPr="002C0D8E">
        <w:t xml:space="preserve"> and is both feasible</w:t>
      </w:r>
      <w:r w:rsidRPr="002C0D8E">
        <w:t xml:space="preserve"> and commercial</w:t>
      </w:r>
      <w:r w:rsidR="00606A32" w:rsidRPr="002C0D8E">
        <w:t>ly</w:t>
      </w:r>
      <w:r w:rsidRPr="002C0D8E">
        <w:t xml:space="preserve"> </w:t>
      </w:r>
      <w:r w:rsidR="008E7EB2" w:rsidRPr="002C0D8E">
        <w:t xml:space="preserve">viable </w:t>
      </w:r>
      <w:r w:rsidRPr="002C0D8E">
        <w:t xml:space="preserve">in </w:t>
      </w:r>
      <w:r w:rsidR="00DF0E0F" w:rsidRPr="002C0D8E">
        <w:t xml:space="preserve">the identified </w:t>
      </w:r>
      <w:r w:rsidRPr="002C0D8E">
        <w:t>low-income and</w:t>
      </w:r>
      <w:r w:rsidR="00DF0E0F" w:rsidRPr="002C0D8E">
        <w:t>/or</w:t>
      </w:r>
      <w:r w:rsidRPr="002C0D8E">
        <w:t xml:space="preserve"> disadvantaged communities.</w:t>
      </w:r>
    </w:p>
    <w:sectPr w:rsidR="009C0C1C" w:rsidRPr="002C0D8E" w:rsidSect="0044036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1E98" w14:textId="77777777" w:rsidR="004262E9" w:rsidRDefault="004262E9" w:rsidP="008B4D47">
      <w:r>
        <w:separator/>
      </w:r>
    </w:p>
    <w:p w14:paraId="690F83C2" w14:textId="77777777" w:rsidR="004262E9" w:rsidRDefault="004262E9" w:rsidP="008B4D47"/>
  </w:endnote>
  <w:endnote w:type="continuationSeparator" w:id="0">
    <w:p w14:paraId="64D27776" w14:textId="77777777" w:rsidR="004262E9" w:rsidRDefault="004262E9" w:rsidP="008B4D47">
      <w:r>
        <w:continuationSeparator/>
      </w:r>
    </w:p>
    <w:p w14:paraId="793DCDF8" w14:textId="77777777" w:rsidR="004262E9" w:rsidRDefault="004262E9" w:rsidP="008B4D47"/>
  </w:endnote>
  <w:endnote w:type="continuationNotice" w:id="1">
    <w:p w14:paraId="31898216" w14:textId="77777777" w:rsidR="004262E9" w:rsidRDefault="00426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1CBE" w14:textId="77777777" w:rsidR="004904CC" w:rsidRDefault="00490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5DC0788E" w:rsidR="00AA55F3" w:rsidRPr="00FB2B6D" w:rsidRDefault="00932C53" w:rsidP="004904C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color w:val="0070C0"/>
        <w:sz w:val="20"/>
        <w:szCs w:val="20"/>
      </w:rPr>
    </w:pPr>
    <w:r w:rsidRPr="00FB2B6D">
      <w:rPr>
        <w:sz w:val="20"/>
        <w:szCs w:val="20"/>
      </w:rPr>
      <w:t xml:space="preserve">GFO Release </w:t>
    </w:r>
    <w:r w:rsidR="00FB2B6D">
      <w:rPr>
        <w:sz w:val="20"/>
        <w:szCs w:val="20"/>
      </w:rPr>
      <w:t xml:space="preserve">October 2022 </w:t>
    </w:r>
    <w:r w:rsidR="00390361" w:rsidRPr="00BC7629">
      <w:rPr>
        <w:sz w:val="20"/>
        <w:szCs w:val="20"/>
      </w:rPr>
      <w:tab/>
    </w:r>
    <w:r w:rsidR="00C10EB7" w:rsidRPr="00BC7629">
      <w:rPr>
        <w:sz w:val="20"/>
        <w:szCs w:val="20"/>
      </w:rPr>
      <w:t xml:space="preserve">Page </w:t>
    </w:r>
    <w:r w:rsidR="00AC5E7A" w:rsidRPr="00BC7629">
      <w:rPr>
        <w:sz w:val="20"/>
        <w:szCs w:val="20"/>
      </w:rPr>
      <w:fldChar w:fldCharType="begin"/>
    </w:r>
    <w:r w:rsidR="00C10EB7" w:rsidRPr="00BC7629">
      <w:rPr>
        <w:sz w:val="20"/>
        <w:szCs w:val="20"/>
      </w:rPr>
      <w:instrText xml:space="preserve"> PAGE </w:instrText>
    </w:r>
    <w:r w:rsidR="00AC5E7A" w:rsidRPr="00BC7629">
      <w:rPr>
        <w:sz w:val="20"/>
        <w:szCs w:val="20"/>
      </w:rPr>
      <w:fldChar w:fldCharType="separate"/>
    </w:r>
    <w:r w:rsidR="007433B8" w:rsidRPr="00BC7629">
      <w:rPr>
        <w:sz w:val="20"/>
        <w:szCs w:val="20"/>
      </w:rPr>
      <w:t>2</w:t>
    </w:r>
    <w:r w:rsidR="00AC5E7A" w:rsidRPr="00BC7629">
      <w:rPr>
        <w:sz w:val="20"/>
        <w:szCs w:val="20"/>
      </w:rPr>
      <w:fldChar w:fldCharType="end"/>
    </w:r>
    <w:r w:rsidR="00C10EB7" w:rsidRPr="00BC7629">
      <w:rPr>
        <w:sz w:val="20"/>
        <w:szCs w:val="20"/>
      </w:rPr>
      <w:t xml:space="preserve"> of </w:t>
    </w:r>
    <w:r w:rsidR="00AC5E7A" w:rsidRPr="00BC7629">
      <w:rPr>
        <w:sz w:val="20"/>
        <w:szCs w:val="20"/>
      </w:rPr>
      <w:fldChar w:fldCharType="begin"/>
    </w:r>
    <w:r w:rsidR="00C10EB7" w:rsidRPr="00BC7629">
      <w:rPr>
        <w:sz w:val="20"/>
        <w:szCs w:val="20"/>
      </w:rPr>
      <w:instrText xml:space="preserve"> NUMPAGES  </w:instrText>
    </w:r>
    <w:r w:rsidR="00AC5E7A" w:rsidRPr="00BC7629">
      <w:rPr>
        <w:sz w:val="20"/>
        <w:szCs w:val="20"/>
      </w:rPr>
      <w:fldChar w:fldCharType="separate"/>
    </w:r>
    <w:r w:rsidR="007433B8" w:rsidRPr="00BC7629">
      <w:rPr>
        <w:sz w:val="20"/>
        <w:szCs w:val="20"/>
      </w:rPr>
      <w:t>6</w:t>
    </w:r>
    <w:r w:rsidR="00AC5E7A" w:rsidRPr="00BC7629">
      <w:rPr>
        <w:sz w:val="20"/>
        <w:szCs w:val="20"/>
      </w:rPr>
      <w:fldChar w:fldCharType="end"/>
    </w:r>
    <w:r w:rsidR="00FF743A" w:rsidRPr="00BC7629">
      <w:rPr>
        <w:sz w:val="20"/>
        <w:szCs w:val="20"/>
      </w:rPr>
      <w:tab/>
    </w:r>
    <w:r w:rsidR="008853D3" w:rsidRPr="00BC7629">
      <w:rPr>
        <w:sz w:val="20"/>
        <w:szCs w:val="20"/>
      </w:rPr>
      <w:t>GFO</w:t>
    </w:r>
    <w:r w:rsidR="00FF743A" w:rsidRPr="00BC7629">
      <w:rPr>
        <w:sz w:val="20"/>
        <w:szCs w:val="20"/>
      </w:rPr>
      <w:t>-</w:t>
    </w:r>
    <w:r w:rsidR="00FB2B6D">
      <w:rPr>
        <w:sz w:val="20"/>
        <w:szCs w:val="20"/>
      </w:rPr>
      <w:t>22</w:t>
    </w:r>
    <w:r w:rsidR="00FF743A" w:rsidRPr="00FB2B6D">
      <w:rPr>
        <w:sz w:val="20"/>
        <w:szCs w:val="20"/>
      </w:rPr>
      <w:t>-</w:t>
    </w:r>
    <w:r w:rsidR="00FB2B6D">
      <w:rPr>
        <w:sz w:val="20"/>
        <w:szCs w:val="20"/>
      </w:rPr>
      <w:t>304</w:t>
    </w:r>
  </w:p>
  <w:p w14:paraId="30314663" w14:textId="77777777" w:rsidR="003D1D3B" w:rsidRDefault="00242758" w:rsidP="003D1D3B">
    <w:pPr>
      <w:pStyle w:val="Footer"/>
      <w:tabs>
        <w:tab w:val="clear" w:pos="4320"/>
        <w:tab w:val="clear" w:pos="8640"/>
        <w:tab w:val="right" w:pos="9360"/>
      </w:tabs>
      <w:jc w:val="right"/>
      <w:rPr>
        <w:sz w:val="20"/>
        <w:szCs w:val="20"/>
      </w:rPr>
    </w:pPr>
    <w:r w:rsidRPr="007341F0">
      <w:rPr>
        <w:sz w:val="20"/>
        <w:szCs w:val="20"/>
      </w:rPr>
      <w:t>Rev. 01/2021</w:t>
    </w:r>
    <w:r w:rsidRPr="00BC7629">
      <w:rPr>
        <w:color w:val="0070C0"/>
        <w:sz w:val="20"/>
        <w:szCs w:val="20"/>
      </w:rPr>
      <w:tab/>
    </w:r>
    <w:r w:rsidR="003D1D3B" w:rsidRPr="003D1D3B">
      <w:rPr>
        <w:sz w:val="20"/>
        <w:szCs w:val="20"/>
      </w:rPr>
      <w:t xml:space="preserve">Assessing the Role of Hydrogen in California’s </w:t>
    </w:r>
  </w:p>
  <w:p w14:paraId="0553F744" w14:textId="7E377285" w:rsidR="00242758" w:rsidRPr="00BC7629" w:rsidRDefault="003D1D3B" w:rsidP="003D1D3B">
    <w:pPr>
      <w:pStyle w:val="Footer"/>
      <w:tabs>
        <w:tab w:val="clear" w:pos="4320"/>
        <w:tab w:val="clear" w:pos="8640"/>
        <w:tab w:val="right" w:pos="9360"/>
      </w:tabs>
      <w:jc w:val="right"/>
      <w:rPr>
        <w:color w:val="0070C0"/>
        <w:sz w:val="20"/>
        <w:szCs w:val="20"/>
      </w:rPr>
    </w:pPr>
    <w:r w:rsidRPr="003D1D3B">
      <w:rPr>
        <w:sz w:val="20"/>
        <w:szCs w:val="20"/>
      </w:rPr>
      <w:t>Decarbonizing Electric System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D008" w14:textId="77777777" w:rsidR="004904CC" w:rsidRDefault="0049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E9A4" w14:textId="77777777" w:rsidR="004262E9" w:rsidRDefault="004262E9" w:rsidP="008B4D47">
      <w:r>
        <w:separator/>
      </w:r>
    </w:p>
    <w:p w14:paraId="7EBCFF28" w14:textId="77777777" w:rsidR="004262E9" w:rsidRDefault="004262E9" w:rsidP="008B4D47"/>
  </w:footnote>
  <w:footnote w:type="continuationSeparator" w:id="0">
    <w:p w14:paraId="0F05B410" w14:textId="77777777" w:rsidR="004262E9" w:rsidRDefault="004262E9" w:rsidP="008B4D47">
      <w:r>
        <w:continuationSeparator/>
      </w:r>
    </w:p>
    <w:p w14:paraId="68D98B73" w14:textId="77777777" w:rsidR="004262E9" w:rsidRDefault="004262E9" w:rsidP="008B4D47"/>
  </w:footnote>
  <w:footnote w:type="continuationNotice" w:id="1">
    <w:p w14:paraId="1049BB50" w14:textId="77777777" w:rsidR="004262E9" w:rsidRDefault="004262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55EB" w14:textId="77777777" w:rsidR="004904CC" w:rsidRDefault="00490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43AC8D3B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834712">
      <w:rPr>
        <w:b/>
        <w:sz w:val="26"/>
        <w:szCs w:val="26"/>
      </w:rPr>
      <w:t>3</w:t>
    </w:r>
    <w:r w:rsidR="00933896">
      <w:rPr>
        <w:b/>
        <w:sz w:val="26"/>
        <w:szCs w:val="26"/>
      </w:rPr>
      <w:t xml:space="preserve"> </w:t>
    </w:r>
    <w:r w:rsidR="00933896" w:rsidRPr="00934622">
      <w:rPr>
        <w:b/>
        <w:sz w:val="26"/>
        <w:szCs w:val="26"/>
        <w:u w:val="single"/>
      </w:rPr>
      <w:t>(Addendum #1)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338F" w14:textId="77777777" w:rsidR="004904CC" w:rsidRDefault="00490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36D8D"/>
    <w:multiLevelType w:val="hybridMultilevel"/>
    <w:tmpl w:val="745C699A"/>
    <w:lvl w:ilvl="0" w:tplc="D0ACD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650287C4">
      <w:start w:val="1"/>
      <w:numFmt w:val="lowerLetter"/>
      <w:lvlText w:val="%2."/>
      <w:lvlJc w:val="left"/>
      <w:pPr>
        <w:ind w:left="720" w:hanging="360"/>
      </w:pPr>
      <w:rPr>
        <w:b/>
        <w:bCs/>
        <w:u w:val="singl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2F34"/>
    <w:multiLevelType w:val="hybridMultilevel"/>
    <w:tmpl w:val="36B4E1F8"/>
    <w:lvl w:ilvl="0" w:tplc="724E89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762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0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8C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47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60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67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CF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8B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D7A7B"/>
    <w:multiLevelType w:val="hybridMultilevel"/>
    <w:tmpl w:val="25DA6C48"/>
    <w:lvl w:ilvl="0" w:tplc="7AD003D8">
      <w:start w:val="1"/>
      <w:numFmt w:val="decimal"/>
      <w:lvlText w:val="%1."/>
      <w:lvlJc w:val="left"/>
      <w:pPr>
        <w:ind w:left="720" w:hanging="360"/>
      </w:pPr>
    </w:lvl>
    <w:lvl w:ilvl="1" w:tplc="EFD0A2F4">
      <w:start w:val="1"/>
      <w:numFmt w:val="lowerLetter"/>
      <w:lvlText w:val="%2."/>
      <w:lvlJc w:val="left"/>
      <w:pPr>
        <w:ind w:left="1440" w:hanging="360"/>
      </w:pPr>
    </w:lvl>
    <w:lvl w:ilvl="2" w:tplc="0F0A4340">
      <w:start w:val="1"/>
      <w:numFmt w:val="bullet"/>
      <w:lvlText w:val="·"/>
      <w:lvlJc w:val="left"/>
      <w:pPr>
        <w:ind w:left="2160" w:hanging="180"/>
      </w:pPr>
    </w:lvl>
    <w:lvl w:ilvl="3" w:tplc="57527FA0">
      <w:start w:val="1"/>
      <w:numFmt w:val="decimal"/>
      <w:lvlText w:val="%4."/>
      <w:lvlJc w:val="left"/>
      <w:pPr>
        <w:ind w:left="2880" w:hanging="360"/>
      </w:pPr>
    </w:lvl>
    <w:lvl w:ilvl="4" w:tplc="9C5ADA3E">
      <w:start w:val="1"/>
      <w:numFmt w:val="lowerLetter"/>
      <w:lvlText w:val="%5."/>
      <w:lvlJc w:val="left"/>
      <w:pPr>
        <w:ind w:left="3600" w:hanging="360"/>
      </w:pPr>
    </w:lvl>
    <w:lvl w:ilvl="5" w:tplc="1408C772">
      <w:start w:val="1"/>
      <w:numFmt w:val="lowerRoman"/>
      <w:lvlText w:val="%6."/>
      <w:lvlJc w:val="right"/>
      <w:pPr>
        <w:ind w:left="4320" w:hanging="180"/>
      </w:pPr>
    </w:lvl>
    <w:lvl w:ilvl="6" w:tplc="D48EF0D8">
      <w:start w:val="1"/>
      <w:numFmt w:val="decimal"/>
      <w:lvlText w:val="%7."/>
      <w:lvlJc w:val="left"/>
      <w:pPr>
        <w:ind w:left="5040" w:hanging="360"/>
      </w:pPr>
    </w:lvl>
    <w:lvl w:ilvl="7" w:tplc="3FF64CD4">
      <w:start w:val="1"/>
      <w:numFmt w:val="lowerLetter"/>
      <w:lvlText w:val="%8."/>
      <w:lvlJc w:val="left"/>
      <w:pPr>
        <w:ind w:left="5760" w:hanging="360"/>
      </w:pPr>
    </w:lvl>
    <w:lvl w:ilvl="8" w:tplc="CAE899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0248477">
    <w:abstractNumId w:val="3"/>
  </w:num>
  <w:num w:numId="2" w16cid:durableId="685598284">
    <w:abstractNumId w:val="14"/>
  </w:num>
  <w:num w:numId="3" w16cid:durableId="824856471">
    <w:abstractNumId w:val="7"/>
  </w:num>
  <w:num w:numId="4" w16cid:durableId="2108651890">
    <w:abstractNumId w:val="11"/>
  </w:num>
  <w:num w:numId="5" w16cid:durableId="329063178">
    <w:abstractNumId w:val="13"/>
  </w:num>
  <w:num w:numId="6" w16cid:durableId="1772235900">
    <w:abstractNumId w:val="5"/>
  </w:num>
  <w:num w:numId="7" w16cid:durableId="1756434269">
    <w:abstractNumId w:val="17"/>
  </w:num>
  <w:num w:numId="8" w16cid:durableId="1675064962">
    <w:abstractNumId w:val="4"/>
  </w:num>
  <w:num w:numId="9" w16cid:durableId="596330649">
    <w:abstractNumId w:val="2"/>
  </w:num>
  <w:num w:numId="10" w16cid:durableId="1630934976">
    <w:abstractNumId w:val="12"/>
  </w:num>
  <w:num w:numId="11" w16cid:durableId="604188817">
    <w:abstractNumId w:val="9"/>
  </w:num>
  <w:num w:numId="12" w16cid:durableId="938870118">
    <w:abstractNumId w:val="15"/>
  </w:num>
  <w:num w:numId="13" w16cid:durableId="217398522">
    <w:abstractNumId w:val="0"/>
  </w:num>
  <w:num w:numId="14" w16cid:durableId="1812164844">
    <w:abstractNumId w:val="18"/>
  </w:num>
  <w:num w:numId="15" w16cid:durableId="1001354428">
    <w:abstractNumId w:val="10"/>
  </w:num>
  <w:num w:numId="16" w16cid:durableId="2126731479">
    <w:abstractNumId w:val="6"/>
  </w:num>
  <w:num w:numId="17" w16cid:durableId="827401579">
    <w:abstractNumId w:val="8"/>
  </w:num>
  <w:num w:numId="18" w16cid:durableId="1528257720">
    <w:abstractNumId w:val="16"/>
  </w:num>
  <w:num w:numId="19" w16cid:durableId="178403882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FC3"/>
    <w:rsid w:val="0002180D"/>
    <w:rsid w:val="000221F1"/>
    <w:rsid w:val="00026255"/>
    <w:rsid w:val="00026C30"/>
    <w:rsid w:val="00043BAA"/>
    <w:rsid w:val="00043F40"/>
    <w:rsid w:val="000454A8"/>
    <w:rsid w:val="00054793"/>
    <w:rsid w:val="00056E94"/>
    <w:rsid w:val="00060499"/>
    <w:rsid w:val="00060796"/>
    <w:rsid w:val="000607CF"/>
    <w:rsid w:val="000623A2"/>
    <w:rsid w:val="0006242F"/>
    <w:rsid w:val="00065E8D"/>
    <w:rsid w:val="00070867"/>
    <w:rsid w:val="00072C9D"/>
    <w:rsid w:val="0007601D"/>
    <w:rsid w:val="00084732"/>
    <w:rsid w:val="0008486E"/>
    <w:rsid w:val="00085FF7"/>
    <w:rsid w:val="0008677D"/>
    <w:rsid w:val="0009223A"/>
    <w:rsid w:val="00095DB4"/>
    <w:rsid w:val="000977B6"/>
    <w:rsid w:val="000A4F15"/>
    <w:rsid w:val="000A612A"/>
    <w:rsid w:val="000A64E1"/>
    <w:rsid w:val="000A6F8F"/>
    <w:rsid w:val="000A7B94"/>
    <w:rsid w:val="000B3E1D"/>
    <w:rsid w:val="000B63D7"/>
    <w:rsid w:val="000B74CF"/>
    <w:rsid w:val="000C0271"/>
    <w:rsid w:val="000C32EE"/>
    <w:rsid w:val="000C56C2"/>
    <w:rsid w:val="000C7E71"/>
    <w:rsid w:val="000D0DAA"/>
    <w:rsid w:val="000D302C"/>
    <w:rsid w:val="000D7152"/>
    <w:rsid w:val="000E089F"/>
    <w:rsid w:val="000E5E01"/>
    <w:rsid w:val="000F1368"/>
    <w:rsid w:val="000F1EC4"/>
    <w:rsid w:val="000F5A8B"/>
    <w:rsid w:val="000F79EA"/>
    <w:rsid w:val="00101391"/>
    <w:rsid w:val="00103474"/>
    <w:rsid w:val="00105F96"/>
    <w:rsid w:val="001063FA"/>
    <w:rsid w:val="00107656"/>
    <w:rsid w:val="001100FF"/>
    <w:rsid w:val="001121BF"/>
    <w:rsid w:val="00113DDD"/>
    <w:rsid w:val="00113EE3"/>
    <w:rsid w:val="0011608D"/>
    <w:rsid w:val="00116A89"/>
    <w:rsid w:val="00127E11"/>
    <w:rsid w:val="00130497"/>
    <w:rsid w:val="001321FC"/>
    <w:rsid w:val="001339C5"/>
    <w:rsid w:val="00134EB7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74041"/>
    <w:rsid w:val="00174297"/>
    <w:rsid w:val="00182B6F"/>
    <w:rsid w:val="001845A0"/>
    <w:rsid w:val="001851F1"/>
    <w:rsid w:val="00185366"/>
    <w:rsid w:val="00193FB4"/>
    <w:rsid w:val="0019554D"/>
    <w:rsid w:val="001A4B18"/>
    <w:rsid w:val="001B1AB5"/>
    <w:rsid w:val="001B1D71"/>
    <w:rsid w:val="001B2D80"/>
    <w:rsid w:val="001B4EAF"/>
    <w:rsid w:val="001B53A2"/>
    <w:rsid w:val="001C0C28"/>
    <w:rsid w:val="001C4797"/>
    <w:rsid w:val="001C6351"/>
    <w:rsid w:val="001D7089"/>
    <w:rsid w:val="001E47E1"/>
    <w:rsid w:val="001E5E07"/>
    <w:rsid w:val="001E614D"/>
    <w:rsid w:val="001E7B5E"/>
    <w:rsid w:val="001F08A3"/>
    <w:rsid w:val="001F7F01"/>
    <w:rsid w:val="00204CBE"/>
    <w:rsid w:val="00215BB4"/>
    <w:rsid w:val="00216535"/>
    <w:rsid w:val="00224E73"/>
    <w:rsid w:val="00227BDA"/>
    <w:rsid w:val="00236B4F"/>
    <w:rsid w:val="00242758"/>
    <w:rsid w:val="0024459C"/>
    <w:rsid w:val="002457BF"/>
    <w:rsid w:val="00246C50"/>
    <w:rsid w:val="00247C30"/>
    <w:rsid w:val="0025061E"/>
    <w:rsid w:val="002545E0"/>
    <w:rsid w:val="00254D03"/>
    <w:rsid w:val="00255AC4"/>
    <w:rsid w:val="00255CEF"/>
    <w:rsid w:val="00256F3E"/>
    <w:rsid w:val="00265185"/>
    <w:rsid w:val="00266A9C"/>
    <w:rsid w:val="0026790F"/>
    <w:rsid w:val="00267B1B"/>
    <w:rsid w:val="002746E9"/>
    <w:rsid w:val="00281E57"/>
    <w:rsid w:val="0028273B"/>
    <w:rsid w:val="002854DE"/>
    <w:rsid w:val="00285901"/>
    <w:rsid w:val="00290CB0"/>
    <w:rsid w:val="00291A59"/>
    <w:rsid w:val="00292520"/>
    <w:rsid w:val="00295969"/>
    <w:rsid w:val="00296ACF"/>
    <w:rsid w:val="002A0C8C"/>
    <w:rsid w:val="002A3DE2"/>
    <w:rsid w:val="002B2C05"/>
    <w:rsid w:val="002B3957"/>
    <w:rsid w:val="002B73A6"/>
    <w:rsid w:val="002C0C7E"/>
    <w:rsid w:val="002C0D8E"/>
    <w:rsid w:val="002C29E3"/>
    <w:rsid w:val="002C5C07"/>
    <w:rsid w:val="002C5D5A"/>
    <w:rsid w:val="002D02AF"/>
    <w:rsid w:val="002D28E9"/>
    <w:rsid w:val="002D3BD1"/>
    <w:rsid w:val="002D3C68"/>
    <w:rsid w:val="002E406E"/>
    <w:rsid w:val="002F21B1"/>
    <w:rsid w:val="002F6EA3"/>
    <w:rsid w:val="00307615"/>
    <w:rsid w:val="003142B2"/>
    <w:rsid w:val="00314F22"/>
    <w:rsid w:val="00325DF2"/>
    <w:rsid w:val="00331309"/>
    <w:rsid w:val="00331547"/>
    <w:rsid w:val="00332238"/>
    <w:rsid w:val="003346FE"/>
    <w:rsid w:val="00341D4F"/>
    <w:rsid w:val="0034404B"/>
    <w:rsid w:val="00347785"/>
    <w:rsid w:val="0034784D"/>
    <w:rsid w:val="00352120"/>
    <w:rsid w:val="00352FD4"/>
    <w:rsid w:val="00363F05"/>
    <w:rsid w:val="00363F06"/>
    <w:rsid w:val="00367871"/>
    <w:rsid w:val="00367BAF"/>
    <w:rsid w:val="003707CF"/>
    <w:rsid w:val="003760A4"/>
    <w:rsid w:val="003766BB"/>
    <w:rsid w:val="00380EC2"/>
    <w:rsid w:val="003823DF"/>
    <w:rsid w:val="00382720"/>
    <w:rsid w:val="00383969"/>
    <w:rsid w:val="003842EE"/>
    <w:rsid w:val="00385C2D"/>
    <w:rsid w:val="00390361"/>
    <w:rsid w:val="00395DDE"/>
    <w:rsid w:val="0039699B"/>
    <w:rsid w:val="003A06F5"/>
    <w:rsid w:val="003A216E"/>
    <w:rsid w:val="003A3AE5"/>
    <w:rsid w:val="003A3B0E"/>
    <w:rsid w:val="003A7678"/>
    <w:rsid w:val="003B5117"/>
    <w:rsid w:val="003C014C"/>
    <w:rsid w:val="003C043B"/>
    <w:rsid w:val="003C38A4"/>
    <w:rsid w:val="003C7D9E"/>
    <w:rsid w:val="003D1D3B"/>
    <w:rsid w:val="003D5D1F"/>
    <w:rsid w:val="003F45F3"/>
    <w:rsid w:val="003F4ED5"/>
    <w:rsid w:val="003F590C"/>
    <w:rsid w:val="003F6904"/>
    <w:rsid w:val="003F7177"/>
    <w:rsid w:val="004047A7"/>
    <w:rsid w:val="00406019"/>
    <w:rsid w:val="00412080"/>
    <w:rsid w:val="0041277E"/>
    <w:rsid w:val="00413486"/>
    <w:rsid w:val="0041646D"/>
    <w:rsid w:val="004176C0"/>
    <w:rsid w:val="00417F7F"/>
    <w:rsid w:val="004232EA"/>
    <w:rsid w:val="004262E9"/>
    <w:rsid w:val="00437239"/>
    <w:rsid w:val="0044036C"/>
    <w:rsid w:val="00441756"/>
    <w:rsid w:val="00441BB8"/>
    <w:rsid w:val="00441E24"/>
    <w:rsid w:val="0044221E"/>
    <w:rsid w:val="00442588"/>
    <w:rsid w:val="0044373F"/>
    <w:rsid w:val="0044621B"/>
    <w:rsid w:val="004527BA"/>
    <w:rsid w:val="00457861"/>
    <w:rsid w:val="00461688"/>
    <w:rsid w:val="0047542B"/>
    <w:rsid w:val="004779D5"/>
    <w:rsid w:val="00480324"/>
    <w:rsid w:val="0048038B"/>
    <w:rsid w:val="00485905"/>
    <w:rsid w:val="00487C0F"/>
    <w:rsid w:val="004904CC"/>
    <w:rsid w:val="004916A8"/>
    <w:rsid w:val="004922E4"/>
    <w:rsid w:val="0049676E"/>
    <w:rsid w:val="00496F3D"/>
    <w:rsid w:val="004A18AD"/>
    <w:rsid w:val="004A3E17"/>
    <w:rsid w:val="004A4E94"/>
    <w:rsid w:val="004A6BEF"/>
    <w:rsid w:val="004B4B6C"/>
    <w:rsid w:val="004B53F8"/>
    <w:rsid w:val="004B6206"/>
    <w:rsid w:val="004B6850"/>
    <w:rsid w:val="004B7D9B"/>
    <w:rsid w:val="004C6690"/>
    <w:rsid w:val="004C6DBA"/>
    <w:rsid w:val="004D268F"/>
    <w:rsid w:val="004D2B8C"/>
    <w:rsid w:val="004D35B8"/>
    <w:rsid w:val="004D59CA"/>
    <w:rsid w:val="004D633A"/>
    <w:rsid w:val="004D6E92"/>
    <w:rsid w:val="004D77AB"/>
    <w:rsid w:val="004E1183"/>
    <w:rsid w:val="004E2549"/>
    <w:rsid w:val="004E75FD"/>
    <w:rsid w:val="004E798D"/>
    <w:rsid w:val="004F2A23"/>
    <w:rsid w:val="004F3A32"/>
    <w:rsid w:val="004F5093"/>
    <w:rsid w:val="004F693E"/>
    <w:rsid w:val="004F7AB0"/>
    <w:rsid w:val="004F7C1E"/>
    <w:rsid w:val="00507F8A"/>
    <w:rsid w:val="005101C5"/>
    <w:rsid w:val="00522799"/>
    <w:rsid w:val="00523A3D"/>
    <w:rsid w:val="005263CC"/>
    <w:rsid w:val="005414C4"/>
    <w:rsid w:val="00542F64"/>
    <w:rsid w:val="00552BEC"/>
    <w:rsid w:val="0055392C"/>
    <w:rsid w:val="00554E33"/>
    <w:rsid w:val="00556B62"/>
    <w:rsid w:val="00557105"/>
    <w:rsid w:val="00561D29"/>
    <w:rsid w:val="00565391"/>
    <w:rsid w:val="00572153"/>
    <w:rsid w:val="0057311B"/>
    <w:rsid w:val="00573A50"/>
    <w:rsid w:val="00573D5E"/>
    <w:rsid w:val="0057450F"/>
    <w:rsid w:val="00575555"/>
    <w:rsid w:val="0057592B"/>
    <w:rsid w:val="00581E9E"/>
    <w:rsid w:val="005826A7"/>
    <w:rsid w:val="00593EC1"/>
    <w:rsid w:val="005A0081"/>
    <w:rsid w:val="005A10E6"/>
    <w:rsid w:val="005A6041"/>
    <w:rsid w:val="005A695B"/>
    <w:rsid w:val="005B5BD1"/>
    <w:rsid w:val="005C4FF5"/>
    <w:rsid w:val="005C5CA2"/>
    <w:rsid w:val="005D4018"/>
    <w:rsid w:val="005D4061"/>
    <w:rsid w:val="005D6685"/>
    <w:rsid w:val="005E0529"/>
    <w:rsid w:val="005E0B16"/>
    <w:rsid w:val="005E0FC2"/>
    <w:rsid w:val="005E3AE3"/>
    <w:rsid w:val="005E5133"/>
    <w:rsid w:val="005F0392"/>
    <w:rsid w:val="005F0909"/>
    <w:rsid w:val="005F196A"/>
    <w:rsid w:val="005F3FBE"/>
    <w:rsid w:val="005F4A07"/>
    <w:rsid w:val="005F7E32"/>
    <w:rsid w:val="00606873"/>
    <w:rsid w:val="00606A32"/>
    <w:rsid w:val="006143E0"/>
    <w:rsid w:val="00615B97"/>
    <w:rsid w:val="00615DBC"/>
    <w:rsid w:val="006224A5"/>
    <w:rsid w:val="0062441C"/>
    <w:rsid w:val="00625091"/>
    <w:rsid w:val="006261BD"/>
    <w:rsid w:val="006263A1"/>
    <w:rsid w:val="006305BF"/>
    <w:rsid w:val="00636B5E"/>
    <w:rsid w:val="00640704"/>
    <w:rsid w:val="00641FA8"/>
    <w:rsid w:val="00643419"/>
    <w:rsid w:val="00643E21"/>
    <w:rsid w:val="00650F36"/>
    <w:rsid w:val="0065323E"/>
    <w:rsid w:val="00653310"/>
    <w:rsid w:val="00653E5B"/>
    <w:rsid w:val="006624A4"/>
    <w:rsid w:val="00663D53"/>
    <w:rsid w:val="006674B2"/>
    <w:rsid w:val="006729BB"/>
    <w:rsid w:val="00672CF3"/>
    <w:rsid w:val="00676C2F"/>
    <w:rsid w:val="00677519"/>
    <w:rsid w:val="00681480"/>
    <w:rsid w:val="00681864"/>
    <w:rsid w:val="00682043"/>
    <w:rsid w:val="00683BD3"/>
    <w:rsid w:val="00684F13"/>
    <w:rsid w:val="0068642A"/>
    <w:rsid w:val="00690429"/>
    <w:rsid w:val="006909D7"/>
    <w:rsid w:val="0069191B"/>
    <w:rsid w:val="006939A5"/>
    <w:rsid w:val="006A1391"/>
    <w:rsid w:val="006A206A"/>
    <w:rsid w:val="006A2861"/>
    <w:rsid w:val="006A3E8A"/>
    <w:rsid w:val="006A58D0"/>
    <w:rsid w:val="006A5955"/>
    <w:rsid w:val="006C163D"/>
    <w:rsid w:val="006C190C"/>
    <w:rsid w:val="006D176E"/>
    <w:rsid w:val="006D202F"/>
    <w:rsid w:val="006D70BB"/>
    <w:rsid w:val="006E291E"/>
    <w:rsid w:val="006E43EC"/>
    <w:rsid w:val="006E45BF"/>
    <w:rsid w:val="006E5D57"/>
    <w:rsid w:val="006F3AF4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255AA"/>
    <w:rsid w:val="00731477"/>
    <w:rsid w:val="00731F72"/>
    <w:rsid w:val="007341F0"/>
    <w:rsid w:val="00734F98"/>
    <w:rsid w:val="00735A7C"/>
    <w:rsid w:val="007404FB"/>
    <w:rsid w:val="007428F8"/>
    <w:rsid w:val="007433B8"/>
    <w:rsid w:val="007442F2"/>
    <w:rsid w:val="00760F10"/>
    <w:rsid w:val="00761DEB"/>
    <w:rsid w:val="007628DD"/>
    <w:rsid w:val="00763039"/>
    <w:rsid w:val="00771474"/>
    <w:rsid w:val="00771F65"/>
    <w:rsid w:val="00773B03"/>
    <w:rsid w:val="00773B0B"/>
    <w:rsid w:val="00774164"/>
    <w:rsid w:val="00775599"/>
    <w:rsid w:val="00780556"/>
    <w:rsid w:val="007807DF"/>
    <w:rsid w:val="00782331"/>
    <w:rsid w:val="007835C7"/>
    <w:rsid w:val="00785C13"/>
    <w:rsid w:val="00786487"/>
    <w:rsid w:val="00787178"/>
    <w:rsid w:val="00787CD9"/>
    <w:rsid w:val="0079170D"/>
    <w:rsid w:val="007936A8"/>
    <w:rsid w:val="007963E5"/>
    <w:rsid w:val="007A2071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3746"/>
    <w:rsid w:val="008040BC"/>
    <w:rsid w:val="00806C34"/>
    <w:rsid w:val="0081112F"/>
    <w:rsid w:val="00812D61"/>
    <w:rsid w:val="008150A3"/>
    <w:rsid w:val="00815EB9"/>
    <w:rsid w:val="00816C7C"/>
    <w:rsid w:val="00820A7E"/>
    <w:rsid w:val="00821490"/>
    <w:rsid w:val="008218E7"/>
    <w:rsid w:val="0082261B"/>
    <w:rsid w:val="0082361A"/>
    <w:rsid w:val="00824E8A"/>
    <w:rsid w:val="00834712"/>
    <w:rsid w:val="008377F2"/>
    <w:rsid w:val="00840916"/>
    <w:rsid w:val="00843427"/>
    <w:rsid w:val="00844B7C"/>
    <w:rsid w:val="0084523A"/>
    <w:rsid w:val="00847DCB"/>
    <w:rsid w:val="00851A54"/>
    <w:rsid w:val="00855286"/>
    <w:rsid w:val="00856EC6"/>
    <w:rsid w:val="00862B25"/>
    <w:rsid w:val="0086384C"/>
    <w:rsid w:val="008708F8"/>
    <w:rsid w:val="008753BF"/>
    <w:rsid w:val="00876F21"/>
    <w:rsid w:val="00877025"/>
    <w:rsid w:val="00880BFE"/>
    <w:rsid w:val="008837A2"/>
    <w:rsid w:val="008837D0"/>
    <w:rsid w:val="008853D3"/>
    <w:rsid w:val="00885B8F"/>
    <w:rsid w:val="008906B8"/>
    <w:rsid w:val="008913A9"/>
    <w:rsid w:val="008A2E43"/>
    <w:rsid w:val="008A48F1"/>
    <w:rsid w:val="008A5DDA"/>
    <w:rsid w:val="008B27BE"/>
    <w:rsid w:val="008B28F3"/>
    <w:rsid w:val="008B4D47"/>
    <w:rsid w:val="008B4E29"/>
    <w:rsid w:val="008C1A9A"/>
    <w:rsid w:val="008C7C7F"/>
    <w:rsid w:val="008D7A3F"/>
    <w:rsid w:val="008E19AC"/>
    <w:rsid w:val="008E4074"/>
    <w:rsid w:val="008E5149"/>
    <w:rsid w:val="008E572D"/>
    <w:rsid w:val="008E6989"/>
    <w:rsid w:val="008E75CE"/>
    <w:rsid w:val="008E7C4F"/>
    <w:rsid w:val="008E7EB2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5C43"/>
    <w:rsid w:val="00921664"/>
    <w:rsid w:val="0092268F"/>
    <w:rsid w:val="00923005"/>
    <w:rsid w:val="009234DB"/>
    <w:rsid w:val="0092501E"/>
    <w:rsid w:val="009316C2"/>
    <w:rsid w:val="00931FAF"/>
    <w:rsid w:val="0093231E"/>
    <w:rsid w:val="00932C53"/>
    <w:rsid w:val="00933896"/>
    <w:rsid w:val="00935821"/>
    <w:rsid w:val="00940256"/>
    <w:rsid w:val="0094278C"/>
    <w:rsid w:val="0094314F"/>
    <w:rsid w:val="00943558"/>
    <w:rsid w:val="009458E5"/>
    <w:rsid w:val="00950DDD"/>
    <w:rsid w:val="00956EB4"/>
    <w:rsid w:val="00960FC0"/>
    <w:rsid w:val="009613AB"/>
    <w:rsid w:val="00964872"/>
    <w:rsid w:val="0096498A"/>
    <w:rsid w:val="00973440"/>
    <w:rsid w:val="0097432A"/>
    <w:rsid w:val="0097518A"/>
    <w:rsid w:val="00982083"/>
    <w:rsid w:val="009975FC"/>
    <w:rsid w:val="009A21C3"/>
    <w:rsid w:val="009A236F"/>
    <w:rsid w:val="009A3A19"/>
    <w:rsid w:val="009A467B"/>
    <w:rsid w:val="009A5124"/>
    <w:rsid w:val="009A678C"/>
    <w:rsid w:val="009A681A"/>
    <w:rsid w:val="009B6F3E"/>
    <w:rsid w:val="009C0C10"/>
    <w:rsid w:val="009C0C1C"/>
    <w:rsid w:val="009D0790"/>
    <w:rsid w:val="009D1CEB"/>
    <w:rsid w:val="009E6F5D"/>
    <w:rsid w:val="009E717D"/>
    <w:rsid w:val="009E7E53"/>
    <w:rsid w:val="009F2BAD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5313"/>
    <w:rsid w:val="00A56963"/>
    <w:rsid w:val="00A575DE"/>
    <w:rsid w:val="00A57D25"/>
    <w:rsid w:val="00A64B65"/>
    <w:rsid w:val="00A66349"/>
    <w:rsid w:val="00A66E34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953AA"/>
    <w:rsid w:val="00A96535"/>
    <w:rsid w:val="00AA0333"/>
    <w:rsid w:val="00AA55F3"/>
    <w:rsid w:val="00AB00C9"/>
    <w:rsid w:val="00AB6491"/>
    <w:rsid w:val="00AC1EA2"/>
    <w:rsid w:val="00AC5E7A"/>
    <w:rsid w:val="00AD053C"/>
    <w:rsid w:val="00AD29E1"/>
    <w:rsid w:val="00AD6239"/>
    <w:rsid w:val="00AE0F72"/>
    <w:rsid w:val="00AE1CB8"/>
    <w:rsid w:val="00AE1FE4"/>
    <w:rsid w:val="00AE2917"/>
    <w:rsid w:val="00AE69EE"/>
    <w:rsid w:val="00AF23C0"/>
    <w:rsid w:val="00AF31D3"/>
    <w:rsid w:val="00AF3E50"/>
    <w:rsid w:val="00AF4941"/>
    <w:rsid w:val="00AF52BF"/>
    <w:rsid w:val="00AF5869"/>
    <w:rsid w:val="00AF5961"/>
    <w:rsid w:val="00B034E1"/>
    <w:rsid w:val="00B071D7"/>
    <w:rsid w:val="00B07986"/>
    <w:rsid w:val="00B07D42"/>
    <w:rsid w:val="00B12510"/>
    <w:rsid w:val="00B128EC"/>
    <w:rsid w:val="00B17001"/>
    <w:rsid w:val="00B17A5E"/>
    <w:rsid w:val="00B20A2D"/>
    <w:rsid w:val="00B34B75"/>
    <w:rsid w:val="00B402FB"/>
    <w:rsid w:val="00B4504A"/>
    <w:rsid w:val="00B458BE"/>
    <w:rsid w:val="00B45F83"/>
    <w:rsid w:val="00B47AED"/>
    <w:rsid w:val="00B70988"/>
    <w:rsid w:val="00B712F4"/>
    <w:rsid w:val="00B74A9C"/>
    <w:rsid w:val="00B75B8E"/>
    <w:rsid w:val="00B76A54"/>
    <w:rsid w:val="00B8231A"/>
    <w:rsid w:val="00B83E19"/>
    <w:rsid w:val="00B87F88"/>
    <w:rsid w:val="00B9426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012F"/>
    <w:rsid w:val="00BC2535"/>
    <w:rsid w:val="00BC7629"/>
    <w:rsid w:val="00BD7F6D"/>
    <w:rsid w:val="00BE21D3"/>
    <w:rsid w:val="00BE7CD6"/>
    <w:rsid w:val="00BF0036"/>
    <w:rsid w:val="00BF1DF4"/>
    <w:rsid w:val="00BF23AD"/>
    <w:rsid w:val="00C02325"/>
    <w:rsid w:val="00C02821"/>
    <w:rsid w:val="00C029E0"/>
    <w:rsid w:val="00C049DB"/>
    <w:rsid w:val="00C05C16"/>
    <w:rsid w:val="00C063EA"/>
    <w:rsid w:val="00C06BEB"/>
    <w:rsid w:val="00C0783C"/>
    <w:rsid w:val="00C07D9B"/>
    <w:rsid w:val="00C10EB7"/>
    <w:rsid w:val="00C12AB0"/>
    <w:rsid w:val="00C12B0A"/>
    <w:rsid w:val="00C13E7C"/>
    <w:rsid w:val="00C14B4E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66790"/>
    <w:rsid w:val="00C67571"/>
    <w:rsid w:val="00C70AB5"/>
    <w:rsid w:val="00C77DBE"/>
    <w:rsid w:val="00C82178"/>
    <w:rsid w:val="00C900CF"/>
    <w:rsid w:val="00C9304A"/>
    <w:rsid w:val="00C93A20"/>
    <w:rsid w:val="00C95A01"/>
    <w:rsid w:val="00CA2869"/>
    <w:rsid w:val="00CA3965"/>
    <w:rsid w:val="00CA4B66"/>
    <w:rsid w:val="00CA4C12"/>
    <w:rsid w:val="00CA6D42"/>
    <w:rsid w:val="00CB35B7"/>
    <w:rsid w:val="00CB634C"/>
    <w:rsid w:val="00CB67F9"/>
    <w:rsid w:val="00CC2CB0"/>
    <w:rsid w:val="00CD3171"/>
    <w:rsid w:val="00CE2B54"/>
    <w:rsid w:val="00CE3DCB"/>
    <w:rsid w:val="00CE6C19"/>
    <w:rsid w:val="00CF00E4"/>
    <w:rsid w:val="00CF137E"/>
    <w:rsid w:val="00CF27EC"/>
    <w:rsid w:val="00CF5FE7"/>
    <w:rsid w:val="00CF6E5A"/>
    <w:rsid w:val="00D02132"/>
    <w:rsid w:val="00D02205"/>
    <w:rsid w:val="00D06C78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2FFF"/>
    <w:rsid w:val="00D631E2"/>
    <w:rsid w:val="00D63255"/>
    <w:rsid w:val="00D70641"/>
    <w:rsid w:val="00D739A3"/>
    <w:rsid w:val="00D747C8"/>
    <w:rsid w:val="00D76945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275F"/>
    <w:rsid w:val="00DA4578"/>
    <w:rsid w:val="00DA66BC"/>
    <w:rsid w:val="00DB16B5"/>
    <w:rsid w:val="00DB57C3"/>
    <w:rsid w:val="00DB6907"/>
    <w:rsid w:val="00DB6BA7"/>
    <w:rsid w:val="00DB7353"/>
    <w:rsid w:val="00DB7C8B"/>
    <w:rsid w:val="00DC1AA3"/>
    <w:rsid w:val="00DC6264"/>
    <w:rsid w:val="00DC64E7"/>
    <w:rsid w:val="00DC7B57"/>
    <w:rsid w:val="00DD1078"/>
    <w:rsid w:val="00DD1674"/>
    <w:rsid w:val="00DD2400"/>
    <w:rsid w:val="00DD245D"/>
    <w:rsid w:val="00DD2545"/>
    <w:rsid w:val="00DD2834"/>
    <w:rsid w:val="00DD51DD"/>
    <w:rsid w:val="00DE42A0"/>
    <w:rsid w:val="00DF0BF9"/>
    <w:rsid w:val="00DF0E0F"/>
    <w:rsid w:val="00DF16B2"/>
    <w:rsid w:val="00DF18ED"/>
    <w:rsid w:val="00DF204C"/>
    <w:rsid w:val="00DF229B"/>
    <w:rsid w:val="00DF4223"/>
    <w:rsid w:val="00DF6C4B"/>
    <w:rsid w:val="00E100C3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35FE2"/>
    <w:rsid w:val="00E42C1D"/>
    <w:rsid w:val="00E454CD"/>
    <w:rsid w:val="00E45742"/>
    <w:rsid w:val="00E527FD"/>
    <w:rsid w:val="00E62A3B"/>
    <w:rsid w:val="00E632B5"/>
    <w:rsid w:val="00E72D53"/>
    <w:rsid w:val="00E736F8"/>
    <w:rsid w:val="00E760A3"/>
    <w:rsid w:val="00E82C85"/>
    <w:rsid w:val="00E85119"/>
    <w:rsid w:val="00E920F6"/>
    <w:rsid w:val="00E949DD"/>
    <w:rsid w:val="00EA0B95"/>
    <w:rsid w:val="00EA1C5E"/>
    <w:rsid w:val="00EA6333"/>
    <w:rsid w:val="00EC27FC"/>
    <w:rsid w:val="00EC421C"/>
    <w:rsid w:val="00EC45E7"/>
    <w:rsid w:val="00EC49A5"/>
    <w:rsid w:val="00EC5F40"/>
    <w:rsid w:val="00ED4A22"/>
    <w:rsid w:val="00ED6899"/>
    <w:rsid w:val="00EE1AFE"/>
    <w:rsid w:val="00EE2816"/>
    <w:rsid w:val="00EE60EE"/>
    <w:rsid w:val="00EF1317"/>
    <w:rsid w:val="00EF1C60"/>
    <w:rsid w:val="00EF56E2"/>
    <w:rsid w:val="00F04F5E"/>
    <w:rsid w:val="00F0519A"/>
    <w:rsid w:val="00F11BED"/>
    <w:rsid w:val="00F1414D"/>
    <w:rsid w:val="00F15EE2"/>
    <w:rsid w:val="00F2487B"/>
    <w:rsid w:val="00F2733F"/>
    <w:rsid w:val="00F303D9"/>
    <w:rsid w:val="00F3186F"/>
    <w:rsid w:val="00F327C6"/>
    <w:rsid w:val="00F32D93"/>
    <w:rsid w:val="00F3329E"/>
    <w:rsid w:val="00F35B7B"/>
    <w:rsid w:val="00F42E60"/>
    <w:rsid w:val="00F46D0E"/>
    <w:rsid w:val="00F46DB6"/>
    <w:rsid w:val="00F470A0"/>
    <w:rsid w:val="00F47CD9"/>
    <w:rsid w:val="00F47FED"/>
    <w:rsid w:val="00F500C8"/>
    <w:rsid w:val="00F54AD0"/>
    <w:rsid w:val="00F54F6F"/>
    <w:rsid w:val="00F5780C"/>
    <w:rsid w:val="00F64FF3"/>
    <w:rsid w:val="00F678FA"/>
    <w:rsid w:val="00F7078F"/>
    <w:rsid w:val="00F724DE"/>
    <w:rsid w:val="00F75DAB"/>
    <w:rsid w:val="00F814E2"/>
    <w:rsid w:val="00F845C9"/>
    <w:rsid w:val="00F90600"/>
    <w:rsid w:val="00F9263A"/>
    <w:rsid w:val="00F9309F"/>
    <w:rsid w:val="00FA2DAC"/>
    <w:rsid w:val="00FB2B6D"/>
    <w:rsid w:val="00FB3C1E"/>
    <w:rsid w:val="00FB400E"/>
    <w:rsid w:val="00FC0654"/>
    <w:rsid w:val="00FC235F"/>
    <w:rsid w:val="00FC570F"/>
    <w:rsid w:val="00FC6A9D"/>
    <w:rsid w:val="00FC76EC"/>
    <w:rsid w:val="00FD4970"/>
    <w:rsid w:val="00FD761E"/>
    <w:rsid w:val="00FE0020"/>
    <w:rsid w:val="00FE0C54"/>
    <w:rsid w:val="00FE23D4"/>
    <w:rsid w:val="00FE5C43"/>
    <w:rsid w:val="00FE5ED9"/>
    <w:rsid w:val="00FF3748"/>
    <w:rsid w:val="00FF49A8"/>
    <w:rsid w:val="00FF5FA4"/>
    <w:rsid w:val="00FF743A"/>
    <w:rsid w:val="0A7BC33C"/>
    <w:rsid w:val="10EB04C0"/>
    <w:rsid w:val="2191A22D"/>
    <w:rsid w:val="2C32A05A"/>
    <w:rsid w:val="2DCE70BB"/>
    <w:rsid w:val="3DEC820B"/>
    <w:rsid w:val="5014B747"/>
    <w:rsid w:val="679548B1"/>
    <w:rsid w:val="68811E1E"/>
    <w:rsid w:val="6F3A6B65"/>
    <w:rsid w:val="713D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66992E2F-E21C-443E-B3A4-F1C623A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4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>
        <a:solidFill>
          <a:schemeClr val="tx2"/>
        </a:solidFill>
      </dgm:spPr>
      <dgm:t>
        <a:bodyPr/>
        <a:lstStyle/>
        <a:p>
          <a:pPr algn="ctr"/>
          <a:r>
            <a:rPr lang="en-US"/>
            <a:t>Prime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>
        <a:ln>
          <a:solidFill>
            <a:schemeClr val="tx2"/>
          </a:solidFill>
        </a:ln>
      </dgm:spPr>
      <dgm:t>
        <a:bodyPr/>
        <a:lstStyle/>
        <a:p>
          <a:pPr algn="ctr"/>
          <a:r>
            <a:rPr lang="en-US"/>
            <a:t>Prime Recipient</a:t>
          </a:r>
        </a:p>
      </dgm:t>
    </dgm:pt>
    <dgm:pt modelId="{BDB00880-4F1D-467A-B727-36D00E5C405C}" type="asst">
      <dgm:prSet phldrT="[Text]"/>
      <dgm:spPr>
        <a:solidFill>
          <a:schemeClr val="tx2"/>
        </a:solidFill>
      </dgm:spPr>
      <dgm:t>
        <a:bodyPr/>
        <a:lstStyle/>
        <a:p>
          <a:pPr algn="ctr"/>
          <a:r>
            <a:rPr lang="en-US"/>
            <a:t>Subcontractor Name</a:t>
          </a:r>
        </a:p>
      </dgm:t>
    </dgm:pt>
    <dgm:pt modelId="{ADC77B9C-9A9B-41C9-A684-F81AA0D8B42D}" type="parTrans" cxnId="{F69D4626-A62D-4B03-9602-636E515F1CFE}">
      <dgm:prSet/>
      <dgm:spPr>
        <a:ln>
          <a:solidFill>
            <a:schemeClr val="tx2"/>
          </a:solidFill>
        </a:ln>
      </dgm:spPr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>
        <a:ln>
          <a:solidFill>
            <a:schemeClr val="tx2"/>
          </a:solidFill>
        </a:ln>
      </dgm:spPr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>
        <a:solidFill>
          <a:schemeClr val="tx2"/>
        </a:solidFill>
      </dgm:spPr>
      <dgm:t>
        <a:bodyPr/>
        <a:lstStyle/>
        <a:p>
          <a:pPr algn="ctr"/>
          <a:r>
            <a:rPr lang="en-US"/>
            <a:t>Subcontractor Name</a:t>
          </a:r>
        </a:p>
      </dgm:t>
    </dgm:pt>
    <dgm:pt modelId="{A8EA2F64-E19C-45DC-92C6-7B171AF5F822}" type="parTrans" cxnId="{5AEEFFDB-F583-4FCF-A6F5-596C87063444}">
      <dgm:prSet/>
      <dgm:spPr>
        <a:ln>
          <a:solidFill>
            <a:schemeClr val="tx2"/>
          </a:solidFill>
        </a:ln>
      </dgm:spPr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>
        <a:ln>
          <a:solidFill>
            <a:schemeClr val="tx2"/>
          </a:solidFill>
        </a:ln>
      </dgm:spPr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>
        <a:solidFill>
          <a:schemeClr val="tx2"/>
        </a:solidFill>
      </dgm:spPr>
      <dgm:t>
        <a:bodyPr/>
        <a:lstStyle/>
        <a:p>
          <a:pPr algn="ctr"/>
          <a:r>
            <a:rPr lang="en-US"/>
            <a:t>Subcontractor Name</a:t>
          </a:r>
        </a:p>
      </dgm:t>
    </dgm:pt>
    <dgm:pt modelId="{A8894DFB-3BB2-4FC8-BA8F-80992089E7C4}" type="parTrans" cxnId="{70814C09-7F65-4517-B44B-3AABD8F15BB0}">
      <dgm:prSet/>
      <dgm:spPr>
        <a:ln>
          <a:solidFill>
            <a:schemeClr val="tx2"/>
          </a:solidFill>
        </a:ln>
      </dgm:spPr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>
        <a:ln>
          <a:solidFill>
            <a:schemeClr val="tx2"/>
          </a:solidFill>
        </a:ln>
      </dgm:spPr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>
        <a:solidFill>
          <a:schemeClr val="tx2"/>
        </a:solidFill>
      </dgm:spPr>
      <dgm:t>
        <a:bodyPr/>
        <a:lstStyle/>
        <a:p>
          <a:pPr algn="ctr"/>
          <a:r>
            <a:rPr lang="en-US"/>
            <a:t>Subcontractor Name</a:t>
          </a:r>
        </a:p>
      </dgm:t>
    </dgm:pt>
    <dgm:pt modelId="{4693E466-DFE9-44E7-B622-93889E7EEDBE}" type="parTrans" cxnId="{9DA7E6B5-320D-4736-8C7E-2CBF071C044C}">
      <dgm:prSet/>
      <dgm:spPr>
        <a:ln>
          <a:solidFill>
            <a:schemeClr val="tx2"/>
          </a:solidFill>
        </a:ln>
      </dgm:spPr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>
        <a:ln>
          <a:solidFill>
            <a:schemeClr val="tx2"/>
          </a:solidFill>
        </a:ln>
      </dgm:spPr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Prime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Prime Recipient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038410C6DC543B8D3FBA4ACC89650" ma:contentTypeVersion="13" ma:contentTypeDescription="Create a new document." ma:contentTypeScope="" ma:versionID="90145ac007c74be2fd3ff8686036a666">
  <xsd:schema xmlns:xsd="http://www.w3.org/2001/XMLSchema" xmlns:xs="http://www.w3.org/2001/XMLSchema" xmlns:p="http://schemas.microsoft.com/office/2006/metadata/properties" xmlns:ns1="http://schemas.microsoft.com/sharepoint/v3" xmlns:ns3="5bfaec93-3092-4921-8232-75eb7714f09e" xmlns:ns4="35712952-2fc6-4f4f-a924-f4d6513303be" targetNamespace="http://schemas.microsoft.com/office/2006/metadata/properties" ma:root="true" ma:fieldsID="9e2d3cda53271780e21d55744b2a7e88" ns1:_="" ns3:_="" ns4:_="">
    <xsd:import namespace="http://schemas.microsoft.com/sharepoint/v3"/>
    <xsd:import namespace="5bfaec93-3092-4921-8232-75eb7714f09e"/>
    <xsd:import namespace="35712952-2fc6-4f4f-a924-f4d6513303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aec93-3092-4921-8232-75eb7714f0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12952-2fc6-4f4f-a924-f4d651330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faec93-3092-4921-8232-75eb7714f0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64521-FFBB-4A2C-9D26-FEFCBF1C6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faec93-3092-4921-8232-75eb7714f09e"/>
    <ds:schemaRef ds:uri="35712952-2fc6-4f4f-a924-f4d651330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C9A0F-6AF0-464E-9604-B65188D1C4E0}">
  <ds:schemaRefs>
    <ds:schemaRef ds:uri="http://schemas.microsoft.com/sharepoint/v3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35712952-2fc6-4f4f-a924-f4d6513303b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bfaec93-3092-4921-8232-75eb7714f0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5</TotalTime>
  <Pages>5</Pages>
  <Words>1276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03 EPIC Project Narrative</vt:lpstr>
    </vt:vector>
  </TitlesOfParts>
  <Company>California Energy Commission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03 EPIC Project Narrative</dc:title>
  <dc:creator>rgrant</dc:creator>
  <cp:lastModifiedBy>Cary, Eilene@Energy</cp:lastModifiedBy>
  <cp:revision>11</cp:revision>
  <cp:lastPrinted>2014-04-11T22:56:00Z</cp:lastPrinted>
  <dcterms:created xsi:type="dcterms:W3CDTF">2022-12-27T20:55:00Z</dcterms:created>
  <dcterms:modified xsi:type="dcterms:W3CDTF">2022-12-27T21:46:00Z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0x010100E35038410C6DC543B8D3FBA4ACC89650</vt:lpwstr>
  </property>
  <property fmtid="{D5CDD505-2E9C-101B-9397-08002B2CF9AE}" pid="3" name="Order">
    <vt:r8>6500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GrammarlyDocumentId">
    <vt:lpwstr>82a4a8e93f7a7769f4c6da3dc4b62982c533fb82bf26aa81ac2b174dd6d561f0</vt:lpwstr>
  </property>
</Properties>
</file>