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6E3C" w14:textId="61480548" w:rsidR="00F14621" w:rsidRDefault="00F14621" w:rsidP="00F14621">
      <w:pPr>
        <w:pStyle w:val="Default"/>
        <w:jc w:val="center"/>
        <w:rPr>
          <w:b/>
          <w:bCs/>
          <w:sz w:val="22"/>
          <w:szCs w:val="22"/>
        </w:rPr>
      </w:pPr>
      <w:r>
        <w:rPr>
          <w:b/>
          <w:bCs/>
          <w:sz w:val="22"/>
          <w:szCs w:val="22"/>
        </w:rPr>
        <w:t>GFO-2</w:t>
      </w:r>
      <w:r w:rsidR="00A36787">
        <w:rPr>
          <w:b/>
          <w:bCs/>
          <w:sz w:val="22"/>
          <w:szCs w:val="22"/>
        </w:rPr>
        <w:t>2</w:t>
      </w:r>
      <w:r>
        <w:rPr>
          <w:b/>
          <w:bCs/>
          <w:sz w:val="22"/>
          <w:szCs w:val="22"/>
        </w:rPr>
        <w:t>-</w:t>
      </w:r>
      <w:r w:rsidR="009D6795">
        <w:rPr>
          <w:b/>
          <w:bCs/>
          <w:sz w:val="22"/>
          <w:szCs w:val="22"/>
        </w:rPr>
        <w:t>3</w:t>
      </w:r>
      <w:r>
        <w:rPr>
          <w:b/>
          <w:bCs/>
          <w:sz w:val="22"/>
          <w:szCs w:val="22"/>
        </w:rPr>
        <w:t>02</w:t>
      </w:r>
    </w:p>
    <w:p w14:paraId="0A60ACE8" w14:textId="77777777" w:rsidR="00A36787" w:rsidRPr="00A36787" w:rsidRDefault="00A36787" w:rsidP="00A36787">
      <w:pPr>
        <w:pStyle w:val="Default"/>
        <w:jc w:val="center"/>
        <w:rPr>
          <w:b/>
          <w:bCs/>
          <w:sz w:val="22"/>
          <w:szCs w:val="22"/>
        </w:rPr>
      </w:pPr>
      <w:r w:rsidRPr="00A36787">
        <w:rPr>
          <w:b/>
          <w:bCs/>
          <w:sz w:val="22"/>
          <w:szCs w:val="22"/>
        </w:rPr>
        <w:t>Valuation of Investments in Electricity Sector Resilience</w:t>
      </w:r>
    </w:p>
    <w:p w14:paraId="67B9BE47" w14:textId="47413098" w:rsidR="00F14621" w:rsidRPr="0098372D" w:rsidRDefault="00F14621" w:rsidP="00F14621">
      <w:pPr>
        <w:pStyle w:val="Default"/>
        <w:jc w:val="center"/>
        <w:rPr>
          <w:b/>
          <w:bCs/>
          <w:sz w:val="22"/>
          <w:szCs w:val="22"/>
        </w:rPr>
      </w:pPr>
      <w:r w:rsidRPr="714C56EB">
        <w:rPr>
          <w:b/>
          <w:bCs/>
          <w:sz w:val="22"/>
          <w:szCs w:val="22"/>
        </w:rPr>
        <w:t xml:space="preserve">Addendum </w:t>
      </w:r>
      <w:r w:rsidR="00C92608">
        <w:rPr>
          <w:b/>
          <w:bCs/>
          <w:sz w:val="22"/>
          <w:szCs w:val="22"/>
        </w:rPr>
        <w:t>2</w:t>
      </w:r>
    </w:p>
    <w:p w14:paraId="5BC58E45" w14:textId="2119FEBE" w:rsidR="00F14621" w:rsidRPr="0098372D" w:rsidRDefault="00A36787" w:rsidP="00F14621">
      <w:pPr>
        <w:pStyle w:val="Default"/>
        <w:jc w:val="center"/>
        <w:rPr>
          <w:b/>
          <w:bCs/>
          <w:sz w:val="22"/>
          <w:szCs w:val="22"/>
        </w:rPr>
      </w:pPr>
      <w:r>
        <w:rPr>
          <w:b/>
          <w:bCs/>
          <w:sz w:val="22"/>
          <w:szCs w:val="22"/>
        </w:rPr>
        <w:t>December</w:t>
      </w:r>
      <w:r w:rsidR="00F14621">
        <w:rPr>
          <w:b/>
          <w:bCs/>
          <w:sz w:val="22"/>
          <w:szCs w:val="22"/>
        </w:rPr>
        <w:t xml:space="preserve"> </w:t>
      </w:r>
      <w:r w:rsidR="003D45C6">
        <w:rPr>
          <w:b/>
          <w:bCs/>
          <w:sz w:val="22"/>
          <w:szCs w:val="22"/>
        </w:rPr>
        <w:t>2</w:t>
      </w:r>
      <w:r w:rsidR="005D6CE7">
        <w:rPr>
          <w:b/>
          <w:bCs/>
          <w:sz w:val="22"/>
          <w:szCs w:val="22"/>
        </w:rPr>
        <w:t>1</w:t>
      </w:r>
      <w:r w:rsidR="00F14621">
        <w:rPr>
          <w:b/>
          <w:bCs/>
          <w:sz w:val="22"/>
          <w:szCs w:val="22"/>
        </w:rPr>
        <w:t>, 202</w:t>
      </w:r>
      <w:r>
        <w:rPr>
          <w:b/>
          <w:bCs/>
          <w:sz w:val="22"/>
          <w:szCs w:val="22"/>
        </w:rPr>
        <w:t>2</w:t>
      </w:r>
    </w:p>
    <w:p w14:paraId="44EFDD29" w14:textId="77777777" w:rsidR="00F14621" w:rsidRPr="0098372D" w:rsidRDefault="00F14621" w:rsidP="00F14621">
      <w:pPr>
        <w:pStyle w:val="Default"/>
        <w:jc w:val="center"/>
        <w:rPr>
          <w:b/>
          <w:bCs/>
          <w:sz w:val="22"/>
          <w:szCs w:val="22"/>
        </w:rPr>
      </w:pPr>
    </w:p>
    <w:p w14:paraId="41043D8B" w14:textId="23B6DB20" w:rsidR="00F14621" w:rsidRPr="0098372D" w:rsidRDefault="00F14621" w:rsidP="3415719D">
      <w:pPr>
        <w:pStyle w:val="Default"/>
        <w:rPr>
          <w:sz w:val="22"/>
          <w:szCs w:val="22"/>
        </w:rPr>
      </w:pPr>
      <w:r w:rsidRPr="00B825FC">
        <w:rPr>
          <w:sz w:val="22"/>
          <w:szCs w:val="22"/>
        </w:rPr>
        <w:t>The purpose of this addendum is to notify potential applicants of changes that have been made to GFO-2</w:t>
      </w:r>
      <w:r w:rsidR="00A36787">
        <w:rPr>
          <w:sz w:val="22"/>
          <w:szCs w:val="22"/>
        </w:rPr>
        <w:t>2</w:t>
      </w:r>
      <w:r w:rsidRPr="00B825FC">
        <w:rPr>
          <w:sz w:val="22"/>
          <w:szCs w:val="22"/>
        </w:rPr>
        <w:t>-</w:t>
      </w:r>
      <w:r w:rsidR="0006083D">
        <w:rPr>
          <w:sz w:val="22"/>
          <w:szCs w:val="22"/>
        </w:rPr>
        <w:t>3</w:t>
      </w:r>
      <w:r w:rsidRPr="00B825FC">
        <w:rPr>
          <w:sz w:val="22"/>
          <w:szCs w:val="22"/>
        </w:rPr>
        <w:t>02.</w:t>
      </w:r>
      <w:r w:rsidRPr="006A6A0D">
        <w:t xml:space="preserve"> </w:t>
      </w:r>
      <w:r w:rsidRPr="006A6A0D">
        <w:rPr>
          <w:sz w:val="22"/>
          <w:szCs w:val="22"/>
        </w:rPr>
        <w:t>The addendum includes the following revisions to the Solicitation Manual</w:t>
      </w:r>
      <w:r>
        <w:rPr>
          <w:sz w:val="22"/>
          <w:szCs w:val="22"/>
        </w:rPr>
        <w:t xml:space="preserve">. </w:t>
      </w:r>
      <w:r w:rsidRPr="00F723FC">
        <w:rPr>
          <w:rStyle w:val="normaltextrun"/>
          <w:sz w:val="22"/>
          <w:szCs w:val="22"/>
          <w:shd w:val="clear" w:color="auto" w:fill="FFFFFF"/>
        </w:rPr>
        <w:t>Added language appears in </w:t>
      </w:r>
      <w:r w:rsidRPr="00F723FC">
        <w:rPr>
          <w:rStyle w:val="normaltextrun"/>
          <w:b/>
          <w:bCs/>
          <w:sz w:val="22"/>
          <w:szCs w:val="22"/>
          <w:u w:val="single"/>
          <w:shd w:val="clear" w:color="auto" w:fill="FFFFFF"/>
        </w:rPr>
        <w:t>bold underlined</w:t>
      </w:r>
      <w:r w:rsidRPr="00F723FC">
        <w:rPr>
          <w:rStyle w:val="normaltextrun"/>
          <w:sz w:val="22"/>
          <w:szCs w:val="22"/>
          <w:shd w:val="clear" w:color="auto" w:fill="FFFFFF"/>
        </w:rPr>
        <w:t> font. Deleted language appears in </w:t>
      </w:r>
      <w:r w:rsidRPr="00F723FC">
        <w:rPr>
          <w:rStyle w:val="normaltextrun"/>
          <w:strike/>
          <w:sz w:val="22"/>
          <w:szCs w:val="22"/>
          <w:shd w:val="clear" w:color="auto" w:fill="FFFFFF"/>
        </w:rPr>
        <w:t>strikethrough</w:t>
      </w:r>
      <w:r w:rsidRPr="00F723FC">
        <w:rPr>
          <w:rStyle w:val="normaltextrun"/>
          <w:sz w:val="22"/>
          <w:szCs w:val="22"/>
          <w:shd w:val="clear" w:color="auto" w:fill="FFFFFF"/>
        </w:rPr>
        <w:t> within brackets.</w:t>
      </w:r>
    </w:p>
    <w:p w14:paraId="27026A5B" w14:textId="77777777" w:rsidR="00F14621" w:rsidRDefault="00F14621" w:rsidP="00F14621">
      <w:pPr>
        <w:pStyle w:val="Default"/>
        <w:jc w:val="center"/>
        <w:rPr>
          <w:sz w:val="22"/>
          <w:szCs w:val="22"/>
        </w:rPr>
      </w:pPr>
    </w:p>
    <w:p w14:paraId="22B6E6B3" w14:textId="77777777" w:rsidR="00F14621" w:rsidRPr="00AB29CF" w:rsidRDefault="00F14621" w:rsidP="00F14621">
      <w:pPr>
        <w:pStyle w:val="Heading2"/>
        <w:spacing w:before="120" w:after="240"/>
        <w:rPr>
          <w:rFonts w:ascii="Arial" w:hAnsi="Arial" w:cs="Arial"/>
          <w:b/>
          <w:color w:val="auto"/>
          <w:sz w:val="24"/>
        </w:rPr>
      </w:pPr>
      <w:r w:rsidRPr="67CA79E2">
        <w:rPr>
          <w:rFonts w:ascii="Arial" w:hAnsi="Arial" w:cs="Arial"/>
          <w:b/>
          <w:bCs/>
          <w:color w:val="auto"/>
          <w:sz w:val="24"/>
          <w:szCs w:val="24"/>
        </w:rPr>
        <w:t xml:space="preserve">Solicitation Manual </w:t>
      </w:r>
    </w:p>
    <w:p w14:paraId="7CE5E385" w14:textId="725F353A" w:rsidR="00350847" w:rsidRDefault="00350847" w:rsidP="00F14621">
      <w:pPr>
        <w:pStyle w:val="ListParagraph"/>
        <w:numPr>
          <w:ilvl w:val="0"/>
          <w:numId w:val="2"/>
        </w:numPr>
        <w:rPr>
          <w:rFonts w:ascii="Arial" w:eastAsiaTheme="majorEastAsia" w:hAnsi="Arial" w:cs="Arial"/>
          <w:b/>
          <w:bCs/>
          <w:sz w:val="22"/>
          <w:szCs w:val="22"/>
        </w:rPr>
      </w:pPr>
      <w:r w:rsidRPr="00A36787">
        <w:rPr>
          <w:rFonts w:ascii="Arial" w:eastAsiaTheme="majorEastAsia" w:hAnsi="Arial" w:cs="Arial"/>
          <w:b/>
          <w:bCs/>
          <w:sz w:val="22"/>
          <w:szCs w:val="22"/>
        </w:rPr>
        <w:t>Pag</w:t>
      </w:r>
      <w:r w:rsidR="00C06D42">
        <w:rPr>
          <w:rFonts w:ascii="Arial" w:eastAsiaTheme="majorEastAsia" w:hAnsi="Arial" w:cs="Arial"/>
          <w:b/>
          <w:bCs/>
          <w:sz w:val="22"/>
          <w:szCs w:val="22"/>
        </w:rPr>
        <w:t>es 13-14</w:t>
      </w:r>
      <w:r w:rsidRPr="00A36787">
        <w:rPr>
          <w:rFonts w:ascii="Arial" w:eastAsiaTheme="majorEastAsia" w:hAnsi="Arial" w:cs="Arial"/>
          <w:b/>
          <w:bCs/>
          <w:sz w:val="22"/>
          <w:szCs w:val="22"/>
        </w:rPr>
        <w:t xml:space="preserve">, </w:t>
      </w:r>
      <w:r w:rsidR="00D711B6" w:rsidRPr="00A36787">
        <w:rPr>
          <w:rFonts w:ascii="Arial" w:eastAsiaTheme="majorEastAsia" w:hAnsi="Arial" w:cs="Arial"/>
          <w:b/>
          <w:bCs/>
          <w:sz w:val="22"/>
          <w:szCs w:val="22"/>
        </w:rPr>
        <w:t xml:space="preserve">Section </w:t>
      </w:r>
      <w:r w:rsidR="004155F6">
        <w:rPr>
          <w:rFonts w:ascii="Arial" w:eastAsiaTheme="majorEastAsia" w:hAnsi="Arial" w:cs="Arial"/>
          <w:b/>
          <w:bCs/>
          <w:sz w:val="22"/>
          <w:szCs w:val="22"/>
        </w:rPr>
        <w:t>I</w:t>
      </w:r>
      <w:r w:rsidR="00F74077">
        <w:rPr>
          <w:rFonts w:ascii="Arial" w:eastAsiaTheme="majorEastAsia" w:hAnsi="Arial" w:cs="Arial"/>
          <w:b/>
          <w:bCs/>
          <w:sz w:val="22"/>
          <w:szCs w:val="22"/>
        </w:rPr>
        <w:t>.</w:t>
      </w:r>
      <w:r w:rsidR="00271DE0">
        <w:rPr>
          <w:rFonts w:ascii="Arial" w:eastAsiaTheme="majorEastAsia" w:hAnsi="Arial" w:cs="Arial"/>
          <w:b/>
          <w:bCs/>
          <w:sz w:val="22"/>
          <w:szCs w:val="22"/>
        </w:rPr>
        <w:t>J.</w:t>
      </w:r>
      <w:r w:rsidR="00C01FD4">
        <w:rPr>
          <w:rFonts w:ascii="Arial" w:eastAsiaTheme="majorEastAsia" w:hAnsi="Arial" w:cs="Arial"/>
          <w:b/>
          <w:bCs/>
          <w:sz w:val="22"/>
          <w:szCs w:val="22"/>
        </w:rPr>
        <w:t>1</w:t>
      </w:r>
      <w:r w:rsidR="001C2A67" w:rsidRPr="00A36787">
        <w:rPr>
          <w:rFonts w:ascii="Arial" w:eastAsiaTheme="majorEastAsia" w:hAnsi="Arial" w:cs="Arial"/>
          <w:b/>
          <w:bCs/>
          <w:sz w:val="22"/>
          <w:szCs w:val="22"/>
        </w:rPr>
        <w:t>.</w:t>
      </w:r>
      <w:r w:rsidR="00C01FD4">
        <w:rPr>
          <w:rFonts w:ascii="Arial" w:eastAsiaTheme="majorEastAsia" w:hAnsi="Arial" w:cs="Arial"/>
          <w:b/>
          <w:bCs/>
          <w:sz w:val="22"/>
          <w:szCs w:val="22"/>
        </w:rPr>
        <w:t xml:space="preserve"> </w:t>
      </w:r>
      <w:r w:rsidR="006346E5">
        <w:rPr>
          <w:rFonts w:ascii="Arial" w:eastAsiaTheme="majorEastAsia" w:hAnsi="Arial" w:cs="Arial"/>
          <w:b/>
          <w:bCs/>
          <w:sz w:val="22"/>
          <w:szCs w:val="22"/>
        </w:rPr>
        <w:t xml:space="preserve">BACKGROUND. </w:t>
      </w:r>
      <w:r w:rsidR="00236175">
        <w:rPr>
          <w:rFonts w:ascii="Arial" w:eastAsiaTheme="majorEastAsia" w:hAnsi="Arial" w:cs="Arial"/>
          <w:b/>
          <w:bCs/>
          <w:sz w:val="22"/>
          <w:szCs w:val="22"/>
        </w:rPr>
        <w:t xml:space="preserve">Electric Program Investment Charge (EPIC) Program. </w:t>
      </w:r>
    </w:p>
    <w:p w14:paraId="5E2843C7" w14:textId="77777777" w:rsidR="006322A5" w:rsidRPr="00A36787" w:rsidRDefault="006322A5" w:rsidP="00076B03">
      <w:pPr>
        <w:pStyle w:val="ListParagraph"/>
        <w:ind w:left="360"/>
        <w:rPr>
          <w:rFonts w:ascii="Arial" w:eastAsiaTheme="majorEastAsia" w:hAnsi="Arial" w:cs="Arial"/>
          <w:b/>
          <w:bCs/>
          <w:sz w:val="22"/>
          <w:szCs w:val="22"/>
        </w:rPr>
      </w:pPr>
    </w:p>
    <w:p w14:paraId="2F0E41D1" w14:textId="1E5883FE" w:rsidR="00F14621" w:rsidRDefault="006322A5" w:rsidP="04865BC9">
      <w:pPr>
        <w:pStyle w:val="ListParagraph"/>
        <w:ind w:left="360"/>
        <w:rPr>
          <w:rFonts w:ascii="Arial" w:hAnsi="Arial" w:cs="Arial"/>
          <w:sz w:val="22"/>
          <w:szCs w:val="22"/>
        </w:rPr>
      </w:pPr>
      <w:r w:rsidRPr="04865BC9">
        <w:rPr>
          <w:rFonts w:ascii="Arial" w:hAnsi="Arial" w:cs="Arial"/>
          <w:sz w:val="22"/>
          <w:szCs w:val="22"/>
        </w:rPr>
        <w:t>This solicitation will award projects funded by the EPIC, an electricity ratepayer surcharge established by the California Public Utilities Commission (CPUC) in December 2011.</w:t>
      </w:r>
      <w:r w:rsidRPr="04865BC9">
        <w:rPr>
          <w:sz w:val="22"/>
          <w:szCs w:val="22"/>
          <w:vertAlign w:val="superscript"/>
        </w:rPr>
        <w:footnoteReference w:id="2"/>
      </w:r>
      <w:r w:rsidRPr="04865BC9">
        <w:rPr>
          <w:rFonts w:ascii="Arial" w:hAnsi="Arial" w:cs="Arial"/>
          <w:sz w:val="22"/>
          <w:szCs w:val="22"/>
        </w:rPr>
        <w:t xml:space="preserve"> The purpose of the EPIC program is to benefit the ratepayers of three investor-owned utilities (IOUs), including Pacific Gas and Electric Co., San Diego Gas and Electric Co., and Southern California Edison Co. The EPIC funds clean energy technology projects </w:t>
      </w:r>
      <w:r w:rsidRPr="04865BC9">
        <w:rPr>
          <w:rFonts w:ascii="Arial" w:hAnsi="Arial" w:cs="Arial"/>
          <w:b/>
          <w:bCs/>
          <w:sz w:val="22"/>
          <w:szCs w:val="22"/>
        </w:rPr>
        <w:t xml:space="preserve">that meet the guiding principles of (1) improving safety, (2) increasing reliability, (3) increasing affordability, (4) improving environmental sustainability, and (5) improving equity, all as related to California’s electric system </w:t>
      </w:r>
      <w:r w:rsidRPr="04865BC9">
        <w:rPr>
          <w:rFonts w:ascii="Arial" w:hAnsi="Arial" w:cs="Arial"/>
          <w:sz w:val="22"/>
          <w:szCs w:val="22"/>
        </w:rPr>
        <w:t>[</w:t>
      </w:r>
      <w:r w:rsidRPr="04865BC9">
        <w:rPr>
          <w:rFonts w:ascii="Arial" w:hAnsi="Arial" w:cs="Arial"/>
          <w:strike/>
          <w:sz w:val="22"/>
          <w:szCs w:val="22"/>
        </w:rPr>
        <w:t>promote greater electricity reliability, lower costs, and increased safety</w:t>
      </w:r>
      <w:r w:rsidRPr="04865BC9">
        <w:rPr>
          <w:rFonts w:ascii="Arial" w:hAnsi="Arial" w:cs="Arial"/>
          <w:sz w:val="22"/>
          <w:szCs w:val="22"/>
        </w:rPr>
        <w:t>].</w:t>
      </w:r>
      <w:r w:rsidRPr="04865BC9">
        <w:rPr>
          <w:sz w:val="22"/>
          <w:szCs w:val="22"/>
          <w:vertAlign w:val="superscript"/>
        </w:rPr>
        <w:footnoteReference w:id="3"/>
      </w:r>
    </w:p>
    <w:p w14:paraId="4EC020F4" w14:textId="77777777" w:rsidR="006322A5" w:rsidRPr="00592200" w:rsidRDefault="006322A5" w:rsidP="006322A5">
      <w:pPr>
        <w:pStyle w:val="ListParagraph"/>
        <w:rPr>
          <w:rFonts w:ascii="Arial" w:eastAsiaTheme="majorEastAsia" w:hAnsi="Arial" w:cs="Arial"/>
          <w:b/>
          <w:bCs/>
          <w:sz w:val="22"/>
          <w:szCs w:val="22"/>
        </w:rPr>
      </w:pPr>
    </w:p>
    <w:p w14:paraId="5507E43F" w14:textId="118AAEDE" w:rsidR="00F367EA" w:rsidRPr="000A6ED0" w:rsidRDefault="007719D8" w:rsidP="00F367EA">
      <w:pPr>
        <w:pStyle w:val="ListParagraph"/>
        <w:numPr>
          <w:ilvl w:val="0"/>
          <w:numId w:val="2"/>
        </w:numPr>
        <w:rPr>
          <w:rFonts w:ascii="Arial" w:eastAsiaTheme="majorEastAsia" w:hAnsi="Arial" w:cs="Arial"/>
          <w:b/>
          <w:bCs/>
          <w:sz w:val="22"/>
          <w:szCs w:val="22"/>
        </w:rPr>
      </w:pPr>
      <w:r>
        <w:rPr>
          <w:rFonts w:ascii="Arial" w:eastAsiaTheme="majorEastAsia" w:hAnsi="Arial" w:cs="Arial"/>
          <w:b/>
          <w:bCs/>
          <w:sz w:val="22"/>
          <w:szCs w:val="22"/>
        </w:rPr>
        <w:t>Page</w:t>
      </w:r>
      <w:r w:rsidR="000A6ED0">
        <w:rPr>
          <w:rFonts w:ascii="Arial" w:eastAsiaTheme="majorEastAsia" w:hAnsi="Arial" w:cs="Arial"/>
          <w:b/>
          <w:bCs/>
          <w:sz w:val="22"/>
          <w:szCs w:val="22"/>
        </w:rPr>
        <w:t xml:space="preserve"> 23</w:t>
      </w:r>
      <w:r w:rsidR="00AB4243">
        <w:rPr>
          <w:rFonts w:ascii="Arial" w:eastAsiaTheme="majorEastAsia" w:hAnsi="Arial" w:cs="Arial"/>
          <w:b/>
          <w:bCs/>
          <w:sz w:val="22"/>
          <w:szCs w:val="22"/>
        </w:rPr>
        <w:t>,</w:t>
      </w:r>
      <w:r>
        <w:rPr>
          <w:rFonts w:ascii="Arial" w:eastAsiaTheme="majorEastAsia" w:hAnsi="Arial" w:cs="Arial"/>
          <w:b/>
          <w:bCs/>
          <w:sz w:val="22"/>
          <w:szCs w:val="22"/>
        </w:rPr>
        <w:t xml:space="preserve"> </w:t>
      </w:r>
      <w:r w:rsidR="00055010">
        <w:rPr>
          <w:rFonts w:ascii="Arial" w:eastAsiaTheme="majorEastAsia" w:hAnsi="Arial" w:cs="Arial"/>
          <w:b/>
          <w:bCs/>
          <w:sz w:val="22"/>
          <w:szCs w:val="22"/>
        </w:rPr>
        <w:t xml:space="preserve">Section </w:t>
      </w:r>
      <w:r w:rsidR="00AB4243">
        <w:rPr>
          <w:rFonts w:ascii="Arial" w:eastAsiaTheme="majorEastAsia" w:hAnsi="Arial" w:cs="Arial"/>
          <w:b/>
          <w:bCs/>
          <w:sz w:val="22"/>
          <w:szCs w:val="22"/>
        </w:rPr>
        <w:t>II</w:t>
      </w:r>
      <w:r w:rsidR="00F74077">
        <w:rPr>
          <w:rFonts w:ascii="Arial" w:eastAsiaTheme="majorEastAsia" w:hAnsi="Arial" w:cs="Arial"/>
          <w:b/>
          <w:bCs/>
          <w:sz w:val="22"/>
          <w:szCs w:val="22"/>
        </w:rPr>
        <w:t>.</w:t>
      </w:r>
      <w:r w:rsidR="000A6ED0">
        <w:rPr>
          <w:rFonts w:ascii="Arial" w:eastAsiaTheme="majorEastAsia" w:hAnsi="Arial" w:cs="Arial"/>
          <w:b/>
          <w:bCs/>
          <w:sz w:val="22"/>
          <w:szCs w:val="22"/>
        </w:rPr>
        <w:t>B</w:t>
      </w:r>
      <w:r w:rsidR="00055010">
        <w:rPr>
          <w:rFonts w:ascii="Arial" w:eastAsiaTheme="majorEastAsia" w:hAnsi="Arial" w:cs="Arial"/>
          <w:b/>
          <w:bCs/>
          <w:sz w:val="22"/>
          <w:szCs w:val="22"/>
        </w:rPr>
        <w:t xml:space="preserve">. </w:t>
      </w:r>
      <w:r w:rsidR="000A6ED0" w:rsidRPr="000A6ED0">
        <w:rPr>
          <w:rFonts w:ascii="Arial" w:eastAsiaTheme="majorEastAsia" w:hAnsi="Arial" w:cs="Arial"/>
          <w:b/>
          <w:bCs/>
          <w:sz w:val="22"/>
          <w:szCs w:val="22"/>
        </w:rPr>
        <w:t>PROJECT REQUIREMENTS.</w:t>
      </w:r>
    </w:p>
    <w:p w14:paraId="3735109D" w14:textId="7EDA1FEE" w:rsidR="00226C17" w:rsidRDefault="00226C17" w:rsidP="00226C17">
      <w:pPr>
        <w:pStyle w:val="ListParagraph"/>
        <w:ind w:left="360"/>
        <w:rPr>
          <w:rFonts w:ascii="Arial" w:eastAsiaTheme="majorEastAsia" w:hAnsi="Arial" w:cs="Arial"/>
          <w:b/>
          <w:bCs/>
          <w:sz w:val="22"/>
          <w:szCs w:val="22"/>
        </w:rPr>
      </w:pPr>
    </w:p>
    <w:p w14:paraId="1C56FC0E" w14:textId="40147ADB" w:rsidR="00774196" w:rsidRPr="006834C0" w:rsidRDefault="00774196" w:rsidP="006834C0">
      <w:pPr>
        <w:pStyle w:val="ListParagraph"/>
        <w:numPr>
          <w:ilvl w:val="0"/>
          <w:numId w:val="11"/>
        </w:numPr>
        <w:spacing w:after="120"/>
        <w:jc w:val="both"/>
        <w:rPr>
          <w:rFonts w:ascii="Arial" w:hAnsi="Arial" w:cs="Arial"/>
          <w:b/>
          <w:sz w:val="22"/>
        </w:rPr>
      </w:pPr>
      <w:bookmarkStart w:id="0" w:name="_Toc381079916"/>
      <w:bookmarkStart w:id="1" w:name="_Toc382571178"/>
      <w:bookmarkStart w:id="2" w:name="_Toc395180687"/>
      <w:bookmarkStart w:id="3" w:name="_Toc433981316"/>
      <w:r w:rsidRPr="006834C0">
        <w:rPr>
          <w:rFonts w:ascii="Arial" w:hAnsi="Arial" w:cs="Arial"/>
          <w:b/>
          <w:sz w:val="22"/>
        </w:rPr>
        <w:t>Ratepayer Benefits, Technological Advancements, and Breakthroughs</w:t>
      </w:r>
      <w:bookmarkEnd w:id="0"/>
      <w:bookmarkEnd w:id="1"/>
      <w:bookmarkEnd w:id="2"/>
      <w:bookmarkEnd w:id="3"/>
    </w:p>
    <w:p w14:paraId="501066CC" w14:textId="77777777" w:rsidR="00774196" w:rsidRPr="00774196" w:rsidRDefault="00774196" w:rsidP="000642C0">
      <w:pPr>
        <w:spacing w:after="120"/>
        <w:rPr>
          <w:rFonts w:ascii="Arial" w:eastAsia="Times New Roman" w:hAnsi="Arial" w:cs="Arial"/>
          <w:sz w:val="22"/>
          <w:szCs w:val="20"/>
        </w:rPr>
      </w:pPr>
      <w:bookmarkStart w:id="4" w:name="_Toc381079917"/>
      <w:bookmarkStart w:id="5" w:name="_Toc382571179"/>
      <w:bookmarkStart w:id="6" w:name="_Toc395180688"/>
      <w:bookmarkStart w:id="7" w:name="_Toc433981317"/>
      <w:r w:rsidRPr="00774196">
        <w:rPr>
          <w:rFonts w:ascii="Arial" w:eastAsia="Times New Roman" w:hAnsi="Arial" w:cs="Arial"/>
          <w:sz w:val="22"/>
          <w:szCs w:val="20"/>
        </w:rPr>
        <w:t>California Public Resources Code Section 25711.5(a) requires EPIC-funded projects to:</w:t>
      </w:r>
      <w:bookmarkEnd w:id="4"/>
      <w:bookmarkEnd w:id="5"/>
      <w:bookmarkEnd w:id="6"/>
      <w:bookmarkEnd w:id="7"/>
    </w:p>
    <w:p w14:paraId="2044856A" w14:textId="77777777" w:rsidR="00774196" w:rsidRPr="00774196" w:rsidRDefault="00774196" w:rsidP="000642C0">
      <w:pPr>
        <w:numPr>
          <w:ilvl w:val="0"/>
          <w:numId w:val="9"/>
        </w:numPr>
        <w:spacing w:after="120"/>
        <w:ind w:left="1080"/>
        <w:rPr>
          <w:rFonts w:ascii="Arial" w:eastAsia="Times New Roman" w:hAnsi="Arial" w:cs="Arial"/>
          <w:sz w:val="22"/>
          <w:szCs w:val="20"/>
        </w:rPr>
      </w:pPr>
      <w:bookmarkStart w:id="8" w:name="_Toc381079918"/>
      <w:bookmarkStart w:id="9" w:name="_Toc382571180"/>
      <w:bookmarkStart w:id="10" w:name="_Toc395180689"/>
      <w:bookmarkStart w:id="11" w:name="_Toc433981318"/>
      <w:r w:rsidRPr="00774196">
        <w:rPr>
          <w:rFonts w:ascii="Arial" w:eastAsia="Times New Roman" w:hAnsi="Arial" w:cs="Arial"/>
          <w:sz w:val="22"/>
          <w:szCs w:val="20"/>
        </w:rPr>
        <w:t>Benefit electricity ratepayers; and</w:t>
      </w:r>
      <w:bookmarkEnd w:id="8"/>
      <w:bookmarkEnd w:id="9"/>
      <w:bookmarkEnd w:id="10"/>
      <w:bookmarkEnd w:id="11"/>
      <w:r w:rsidRPr="00774196">
        <w:rPr>
          <w:rFonts w:ascii="Arial" w:eastAsia="Times New Roman" w:hAnsi="Arial" w:cs="Arial"/>
          <w:sz w:val="22"/>
          <w:szCs w:val="20"/>
        </w:rPr>
        <w:t xml:space="preserve"> </w:t>
      </w:r>
    </w:p>
    <w:p w14:paraId="7FBEFD29" w14:textId="77777777" w:rsidR="00774196" w:rsidRPr="00774196" w:rsidRDefault="00774196" w:rsidP="000642C0">
      <w:pPr>
        <w:numPr>
          <w:ilvl w:val="0"/>
          <w:numId w:val="9"/>
        </w:numPr>
        <w:spacing w:after="120"/>
        <w:ind w:left="1080"/>
        <w:rPr>
          <w:rFonts w:ascii="Arial" w:eastAsia="Times New Roman" w:hAnsi="Arial" w:cs="Arial"/>
          <w:sz w:val="22"/>
          <w:szCs w:val="20"/>
        </w:rPr>
      </w:pPr>
      <w:bookmarkStart w:id="12" w:name="_Toc381079919"/>
      <w:bookmarkStart w:id="13" w:name="_Toc382571181"/>
      <w:bookmarkStart w:id="14" w:name="_Toc395180690"/>
      <w:bookmarkStart w:id="15" w:name="_Toc433981319"/>
      <w:r w:rsidRPr="00774196">
        <w:rPr>
          <w:rFonts w:ascii="Arial" w:eastAsia="Times New Roman" w:hAnsi="Arial" w:cs="Arial"/>
          <w:sz w:val="22"/>
          <w:szCs w:val="20"/>
        </w:rPr>
        <w:t>Lead to technological advancement and breakthroughs to overcome the barriers that prevent the achievement of the state’s statutory energy goals.</w:t>
      </w:r>
      <w:bookmarkEnd w:id="12"/>
      <w:bookmarkEnd w:id="13"/>
      <w:bookmarkEnd w:id="14"/>
      <w:bookmarkEnd w:id="15"/>
      <w:r w:rsidRPr="00774196">
        <w:rPr>
          <w:rFonts w:ascii="Arial" w:eastAsia="Times New Roman" w:hAnsi="Arial" w:cs="Arial"/>
          <w:sz w:val="22"/>
          <w:szCs w:val="20"/>
        </w:rPr>
        <w:t xml:space="preserve"> </w:t>
      </w:r>
    </w:p>
    <w:p w14:paraId="5D02FCF0" w14:textId="28A265E9" w:rsidR="00774196" w:rsidRPr="00774196" w:rsidRDefault="00774196" w:rsidP="006D6227">
      <w:pPr>
        <w:spacing w:after="120"/>
        <w:rPr>
          <w:rFonts w:ascii="Arial" w:eastAsia="Times New Roman" w:hAnsi="Arial" w:cs="Arial"/>
          <w:sz w:val="22"/>
          <w:szCs w:val="20"/>
        </w:rPr>
      </w:pPr>
      <w:bookmarkStart w:id="16" w:name="_Toc395180691"/>
      <w:bookmarkStart w:id="17" w:name="_Toc433981320"/>
      <w:bookmarkStart w:id="18" w:name="_Toc381079920"/>
      <w:bookmarkStart w:id="19" w:name="_Toc382571182"/>
      <w:r w:rsidRPr="00774196">
        <w:rPr>
          <w:rFonts w:ascii="Arial" w:eastAsia="Times New Roman" w:hAnsi="Arial" w:cs="Arial"/>
          <w:b/>
          <w:bCs/>
          <w:sz w:val="22"/>
          <w:szCs w:val="20"/>
        </w:rPr>
        <w:t xml:space="preserve">EPIC's mandatory guiding principle is to provide ratepayer benefits, which </w:t>
      </w:r>
      <w:r w:rsidR="00446D75">
        <w:rPr>
          <w:rFonts w:ascii="Arial" w:eastAsia="Times New Roman" w:hAnsi="Arial" w:cs="Arial"/>
          <w:b/>
          <w:bCs/>
          <w:sz w:val="22"/>
          <w:szCs w:val="20"/>
        </w:rPr>
        <w:t>are</w:t>
      </w:r>
      <w:r w:rsidRPr="00774196">
        <w:rPr>
          <w:rFonts w:ascii="Arial" w:eastAsia="Times New Roman" w:hAnsi="Arial" w:cs="Arial"/>
          <w:b/>
          <w:bCs/>
          <w:sz w:val="22"/>
          <w:szCs w:val="20"/>
        </w:rPr>
        <w:t xml:space="preserve"> defined as (1) improving safety, (2) increasing reliability, (3) increasing </w:t>
      </w:r>
      <w:r w:rsidRPr="00774196">
        <w:rPr>
          <w:rFonts w:ascii="Arial" w:eastAsia="Times New Roman" w:hAnsi="Arial" w:cs="Arial"/>
          <w:b/>
          <w:bCs/>
          <w:sz w:val="22"/>
          <w:szCs w:val="20"/>
        </w:rPr>
        <w:lastRenderedPageBreak/>
        <w:t>affordability, (4) improving environmental sustainability, and (5) improving equity, all as related to California's electric system.</w:t>
      </w:r>
      <w:r w:rsidRPr="00774196" w:rsidDel="008D4F40">
        <w:rPr>
          <w:rFonts w:ascii="Arial" w:eastAsia="Times New Roman" w:hAnsi="Arial" w:cs="Arial"/>
          <w:sz w:val="22"/>
          <w:szCs w:val="20"/>
        </w:rPr>
        <w:t xml:space="preserve"> </w:t>
      </w:r>
      <w:r w:rsidRPr="00774196">
        <w:rPr>
          <w:rFonts w:ascii="Arial" w:eastAsia="Times New Roman" w:hAnsi="Arial" w:cs="Arial"/>
          <w:sz w:val="22"/>
          <w:szCs w:val="20"/>
        </w:rPr>
        <w:t>[</w:t>
      </w:r>
      <w:r w:rsidRPr="00774196">
        <w:rPr>
          <w:rFonts w:ascii="Arial" w:eastAsia="Times New Roman" w:hAnsi="Arial" w:cs="Arial"/>
          <w:strike/>
          <w:sz w:val="22"/>
          <w:szCs w:val="20"/>
        </w:rPr>
        <w:t>The CPUC defines “ratepayer benefits” as greater reliability, lower costs, and increased safety.</w:t>
      </w:r>
      <w:r w:rsidRPr="00774196">
        <w:rPr>
          <w:rFonts w:ascii="Arial" w:eastAsia="Times New Roman" w:hAnsi="Arial" w:cs="Times New Roman"/>
          <w:b/>
          <w:strike/>
          <w:sz w:val="22"/>
          <w:szCs w:val="20"/>
          <w:vertAlign w:val="superscript"/>
        </w:rPr>
        <w:footnoteReference w:id="4"/>
      </w:r>
      <w:r w:rsidRPr="00774196">
        <w:rPr>
          <w:rFonts w:ascii="Arial" w:eastAsia="Times New Roman" w:hAnsi="Arial" w:cs="Arial"/>
          <w:strike/>
          <w:sz w:val="22"/>
          <w:szCs w:val="20"/>
        </w:rPr>
        <w:t xml:space="preserve"> The CPUC has also adopted the following guiding principles as complements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Pr="00774196">
        <w:rPr>
          <w:rFonts w:ascii="Arial" w:eastAsia="Times New Roman" w:hAnsi="Arial" w:cs="Times New Roman"/>
          <w:b/>
          <w:strike/>
          <w:sz w:val="22"/>
          <w:szCs w:val="20"/>
          <w:vertAlign w:val="superscript"/>
        </w:rPr>
        <w:footnoteReference w:id="5"/>
      </w:r>
      <w:bookmarkEnd w:id="16"/>
      <w:bookmarkEnd w:id="17"/>
      <w:r w:rsidRPr="00774196">
        <w:rPr>
          <w:rFonts w:ascii="Arial" w:eastAsia="Times New Roman" w:hAnsi="Arial" w:cs="Arial"/>
          <w:sz w:val="22"/>
          <w:szCs w:val="20"/>
        </w:rPr>
        <w:t>]</w:t>
      </w:r>
    </w:p>
    <w:p w14:paraId="7C0D91D4" w14:textId="4CCC033F" w:rsidR="00A36787" w:rsidRPr="00C6220A" w:rsidRDefault="00774196" w:rsidP="006D6227">
      <w:pPr>
        <w:spacing w:after="120"/>
        <w:rPr>
          <w:rFonts w:ascii="Arial" w:eastAsia="Times New Roman" w:hAnsi="Arial" w:cs="Arial"/>
          <w:sz w:val="22"/>
          <w:szCs w:val="20"/>
        </w:rPr>
      </w:pPr>
      <w:bookmarkStart w:id="20" w:name="_Toc395180692"/>
      <w:bookmarkStart w:id="21" w:name="_Toc433981321"/>
      <w:r w:rsidRPr="00774196">
        <w:rPr>
          <w:rFonts w:ascii="Arial" w:eastAsia="Times New Roman" w:hAnsi="Arial" w:cs="Arial"/>
          <w:sz w:val="22"/>
          <w:szCs w:val="20"/>
        </w:rPr>
        <w:t xml:space="preserve">Accordingly, the Project Narrative Form (Attachment and the “Goals and Objectives” section of the Scope of Work Template (Attachment) must describe how the project will: (1) benefit California IOU ratepayers by </w:t>
      </w:r>
      <w:r w:rsidRPr="00774196">
        <w:rPr>
          <w:rFonts w:ascii="Arial" w:eastAsia="Times New Roman" w:hAnsi="Arial" w:cs="Arial"/>
          <w:b/>
          <w:bCs/>
          <w:sz w:val="22"/>
          <w:szCs w:val="20"/>
        </w:rPr>
        <w:t>improving safety, increasing reliability, increasing affordability, improving environmental sustainability, and improving equity, all as related to California's electric system</w:t>
      </w:r>
      <w:r w:rsidRPr="00774196">
        <w:rPr>
          <w:rFonts w:ascii="Arial" w:eastAsia="Times New Roman" w:hAnsi="Arial" w:cs="Arial"/>
          <w:sz w:val="22"/>
          <w:szCs w:val="20"/>
        </w:rPr>
        <w:t xml:space="preserve"> [</w:t>
      </w:r>
      <w:r w:rsidRPr="00774196">
        <w:rPr>
          <w:rFonts w:ascii="Arial" w:eastAsia="Times New Roman" w:hAnsi="Arial" w:cs="Arial"/>
          <w:strike/>
          <w:sz w:val="22"/>
          <w:szCs w:val="20"/>
        </w:rPr>
        <w:t>increasing reliability, lowering costs, and/or increasing safety</w:t>
      </w:r>
      <w:r w:rsidRPr="00774196">
        <w:rPr>
          <w:rFonts w:ascii="Arial" w:eastAsia="Times New Roman" w:hAnsi="Arial" w:cs="Arial"/>
          <w:sz w:val="22"/>
          <w:szCs w:val="20"/>
        </w:rPr>
        <w:t>]; and (2) lead to technological advancement and breakthroughs to overcome barriers to achieving the state’s statutory energy goals.</w:t>
      </w:r>
      <w:bookmarkEnd w:id="18"/>
      <w:bookmarkEnd w:id="19"/>
      <w:bookmarkEnd w:id="20"/>
      <w:bookmarkEnd w:id="21"/>
      <w:r w:rsidRPr="00774196">
        <w:rPr>
          <w:rFonts w:ascii="Arial" w:eastAsia="Times New Roman" w:hAnsi="Arial" w:cs="Arial"/>
          <w:sz w:val="22"/>
          <w:szCs w:val="20"/>
        </w:rPr>
        <w:t xml:space="preserve">  Any estimates of energy and water savings or GHG impacts must be calculated using the References for Calculating Electricity End-Use, Electricity Demand, and GHG Emissions (Attachment</w:t>
      </w:r>
      <w:r w:rsidRPr="00774196">
        <w:rPr>
          <w:rFonts w:ascii="Arial" w:eastAsia="Times New Roman" w:hAnsi="Arial" w:cs="Arial"/>
          <w:b/>
          <w:bCs/>
          <w:sz w:val="22"/>
          <w:szCs w:val="20"/>
        </w:rPr>
        <w:t>)</w:t>
      </w:r>
      <w:r w:rsidR="00C6220A">
        <w:rPr>
          <w:rFonts w:ascii="Arial" w:eastAsia="Times New Roman" w:hAnsi="Arial" w:cs="Arial"/>
          <w:sz w:val="22"/>
          <w:szCs w:val="20"/>
        </w:rPr>
        <w:t xml:space="preserve">. </w:t>
      </w:r>
    </w:p>
    <w:p w14:paraId="137582A0" w14:textId="77777777" w:rsidR="00A36787" w:rsidRPr="00A36787" w:rsidRDefault="00A36787" w:rsidP="00A36787">
      <w:pPr>
        <w:spacing w:after="120"/>
        <w:rPr>
          <w:rFonts w:ascii="Arial" w:eastAsiaTheme="majorEastAsia" w:hAnsi="Arial" w:cs="Arial"/>
          <w:sz w:val="22"/>
          <w:szCs w:val="22"/>
        </w:rPr>
      </w:pPr>
    </w:p>
    <w:p w14:paraId="4FDCF5CB" w14:textId="77777777" w:rsidR="00F14621" w:rsidRPr="00AB29CF" w:rsidRDefault="00F14621" w:rsidP="00F14621">
      <w:pPr>
        <w:rPr>
          <w:rFonts w:ascii="Arial" w:eastAsia="Calibri" w:hAnsi="Arial" w:cs="Arial"/>
          <w:color w:val="000000"/>
          <w:sz w:val="22"/>
          <w:szCs w:val="22"/>
        </w:rPr>
      </w:pPr>
    </w:p>
    <w:p w14:paraId="0642FC7F" w14:textId="3A87BF68" w:rsidR="00F14621" w:rsidRPr="0098372D" w:rsidRDefault="00F14621" w:rsidP="6029295E">
      <w:pPr>
        <w:rPr>
          <w:rFonts w:ascii="Arial" w:hAnsi="Arial" w:cs="Arial"/>
          <w:b/>
          <w:bCs/>
          <w:sz w:val="22"/>
          <w:szCs w:val="22"/>
        </w:rPr>
      </w:pPr>
    </w:p>
    <w:p w14:paraId="52DD449D" w14:textId="61A6B99B" w:rsidR="00F14621" w:rsidRPr="00E82AA0" w:rsidRDefault="00A36787" w:rsidP="00F14621">
      <w:pPr>
        <w:rPr>
          <w:rFonts w:ascii="Arial" w:hAnsi="Arial" w:cs="Arial"/>
          <w:b/>
          <w:bCs/>
          <w:sz w:val="22"/>
          <w:szCs w:val="22"/>
        </w:rPr>
      </w:pPr>
      <w:r>
        <w:rPr>
          <w:rFonts w:ascii="Arial" w:hAnsi="Arial" w:cs="Arial"/>
          <w:b/>
          <w:bCs/>
          <w:sz w:val="22"/>
          <w:szCs w:val="22"/>
        </w:rPr>
        <w:t>Crystal Willis</w:t>
      </w:r>
    </w:p>
    <w:p w14:paraId="0D05B1EA" w14:textId="66EFC047" w:rsidR="00C6220A" w:rsidRDefault="00F14621">
      <w:pPr>
        <w:rPr>
          <w:rFonts w:ascii="Arial" w:hAnsi="Arial" w:cs="Arial"/>
          <w:b/>
          <w:bCs/>
          <w:sz w:val="22"/>
          <w:szCs w:val="22"/>
        </w:rPr>
      </w:pPr>
      <w:r w:rsidRPr="00E82AA0">
        <w:rPr>
          <w:rFonts w:ascii="Arial" w:hAnsi="Arial" w:cs="Arial"/>
          <w:b/>
          <w:bCs/>
          <w:sz w:val="22"/>
          <w:szCs w:val="22"/>
        </w:rPr>
        <w:t>Commission Agreement Officer</w:t>
      </w:r>
    </w:p>
    <w:p w14:paraId="16B0413B" w14:textId="48BCCD29" w:rsidR="00C6220A" w:rsidRDefault="00C6220A">
      <w:pPr>
        <w:rPr>
          <w:rFonts w:ascii="Arial" w:hAnsi="Arial" w:cs="Arial"/>
          <w:b/>
          <w:bCs/>
          <w:sz w:val="22"/>
          <w:szCs w:val="22"/>
        </w:rPr>
      </w:pPr>
    </w:p>
    <w:sectPr w:rsidR="00C6220A" w:rsidSect="002D11A5">
      <w:headerReference w:type="default" r:id="rId11"/>
      <w:headerReference w:type="first" r:id="rId12"/>
      <w:footerReference w:type="first" r:id="rId13"/>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1115" w14:textId="77777777" w:rsidR="00A876CA" w:rsidRDefault="00A876CA" w:rsidP="00F86D2B">
      <w:r>
        <w:separator/>
      </w:r>
    </w:p>
  </w:endnote>
  <w:endnote w:type="continuationSeparator" w:id="0">
    <w:p w14:paraId="7B2944AA" w14:textId="77777777" w:rsidR="00A876CA" w:rsidRDefault="00A876CA" w:rsidP="00F86D2B">
      <w:r>
        <w:continuationSeparator/>
      </w:r>
    </w:p>
  </w:endnote>
  <w:endnote w:type="continuationNotice" w:id="1">
    <w:p w14:paraId="125D8354" w14:textId="77777777" w:rsidR="00A876CA" w:rsidRDefault="00A87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CCAD" w14:textId="77777777" w:rsidR="00A876CA" w:rsidRDefault="00A876CA" w:rsidP="00F86D2B">
      <w:r>
        <w:separator/>
      </w:r>
    </w:p>
  </w:footnote>
  <w:footnote w:type="continuationSeparator" w:id="0">
    <w:p w14:paraId="3F071E16" w14:textId="77777777" w:rsidR="00A876CA" w:rsidRDefault="00A876CA" w:rsidP="00F86D2B">
      <w:r>
        <w:continuationSeparator/>
      </w:r>
    </w:p>
  </w:footnote>
  <w:footnote w:type="continuationNotice" w:id="1">
    <w:p w14:paraId="76477069" w14:textId="77777777" w:rsidR="00A876CA" w:rsidRDefault="00A876CA"/>
  </w:footnote>
  <w:footnote w:id="2">
    <w:p w14:paraId="44CC585A" w14:textId="77777777" w:rsidR="006322A5" w:rsidRDefault="006322A5" w:rsidP="006322A5">
      <w:pPr>
        <w:pStyle w:val="FootnoteText"/>
      </w:pPr>
      <w:r>
        <w:rPr>
          <w:rStyle w:val="FootnoteReference"/>
        </w:rPr>
        <w:footnoteRef/>
      </w:r>
      <w:r>
        <w:t xml:space="preserve"> </w:t>
      </w:r>
      <w:r w:rsidRPr="00076B03">
        <w:rPr>
          <w:rFonts w:ascii="Arial" w:hAnsi="Arial" w:cs="Arial"/>
        </w:rPr>
        <w:t>See CPUC “Phase 1” Decision 11-12-035, December 15, 2011, http://docs.cpuc.ca.gov/PublishedDocs/WORD_PDF/FINAL_DECISION/156050.PDF.</w:t>
      </w:r>
    </w:p>
  </w:footnote>
  <w:footnote w:id="3">
    <w:p w14:paraId="6E664D8F" w14:textId="3ABF854E" w:rsidR="006322A5" w:rsidRPr="00B14459" w:rsidRDefault="006322A5" w:rsidP="006322A5">
      <w:pPr>
        <w:pStyle w:val="FootnoteText"/>
        <w:rPr>
          <w:strike/>
        </w:rPr>
      </w:pPr>
      <w:r>
        <w:rPr>
          <w:rStyle w:val="FootnoteReference"/>
        </w:rPr>
        <w:footnoteRef/>
      </w:r>
      <w:r w:rsidR="00076B03">
        <w:rPr>
          <w:rFonts w:ascii="Arial" w:eastAsia="Arial" w:hAnsi="Arial" w:cs="Arial"/>
          <w:b/>
          <w:bCs/>
        </w:rPr>
        <w:t xml:space="preserve"> </w:t>
      </w:r>
      <w:r w:rsidRPr="00076B03">
        <w:rPr>
          <w:rFonts w:ascii="Arial" w:eastAsia="Arial" w:hAnsi="Arial" w:cs="Arial"/>
          <w:b/>
          <w:bCs/>
        </w:rPr>
        <w:t>CPUC Decision 21-11-028, Appendix A https://docs.cpuc.ca.gov/PublishedDocs/Published/G000/M425/K515/425515575.PDF (revising former guiding principles within CPUC “Phase 2” Decision 12-05-037, Ordering Paragraph 2</w:t>
      </w:r>
      <w:r w:rsidRPr="00076B03">
        <w:rPr>
          <w:rFonts w:ascii="Arial" w:eastAsia="Arial" w:hAnsi="Arial" w:cs="Arial"/>
        </w:rPr>
        <w:t xml:space="preserve"> </w:t>
      </w:r>
      <w:r w:rsidRPr="00076B03">
        <w:rPr>
          <w:rFonts w:ascii="Arial" w:hAnsi="Arial" w:cs="Arial"/>
          <w:b/>
          <w:bCs/>
        </w:rPr>
        <w:t>http://docs.cpuc.ca.gov/PublishedDocs/WORD_PDF/FINAL_DECISION/167664.PDF.</w:t>
      </w:r>
      <w:r w:rsidRPr="00076B03">
        <w:rPr>
          <w:rFonts w:ascii="Arial" w:eastAsia="Arial" w:hAnsi="Arial" w:cs="Arial"/>
          <w:b/>
          <w:bCs/>
        </w:rPr>
        <w:t>)</w:t>
      </w:r>
      <w:r w:rsidRPr="00076B03">
        <w:rPr>
          <w:rFonts w:ascii="Arial" w:hAnsi="Arial" w:cs="Arial"/>
        </w:rPr>
        <w:t xml:space="preserve"> [</w:t>
      </w:r>
      <w:r w:rsidRPr="00076B03">
        <w:rPr>
          <w:rFonts w:ascii="Arial" w:hAnsi="Arial" w:cs="Arial"/>
          <w:strike/>
        </w:rPr>
        <w:t>See CPUC “Phase 2” Decision 12-05-037, May 24, 2012, http://docs.cpuc.ca.gov/PublishedDocs/WORD_PDF/FINAL_DECISION/167664.PDF.]</w:t>
      </w:r>
    </w:p>
  </w:footnote>
  <w:footnote w:id="4">
    <w:p w14:paraId="7B531A47" w14:textId="77777777" w:rsidR="00774196" w:rsidRPr="003D78D5" w:rsidRDefault="00774196" w:rsidP="00774196">
      <w:pPr>
        <w:pStyle w:val="FootnoteText"/>
        <w:rPr>
          <w:strike/>
        </w:rPr>
      </w:pPr>
      <w:r w:rsidRPr="003D78D5">
        <w:rPr>
          <w:rStyle w:val="FootnoteReference"/>
          <w:rFonts w:cs="Arial"/>
          <w:strike/>
        </w:rPr>
        <w:footnoteRef/>
      </w:r>
      <w:r w:rsidRPr="003D78D5">
        <w:rPr>
          <w:strike/>
        </w:rPr>
        <w:t xml:space="preserve"> </w:t>
      </w:r>
      <w:r w:rsidRPr="003D78D5">
        <w:rPr>
          <w:i/>
          <w:strike/>
        </w:rPr>
        <w:t>Id.</w:t>
      </w:r>
      <w:r w:rsidRPr="003D78D5">
        <w:rPr>
          <w:strike/>
        </w:rPr>
        <w:t xml:space="preserve"> at p. 19.</w:t>
      </w:r>
    </w:p>
  </w:footnote>
  <w:footnote w:id="5">
    <w:p w14:paraId="3E241F70" w14:textId="77777777" w:rsidR="00774196" w:rsidRDefault="00774196" w:rsidP="00774196">
      <w:pPr>
        <w:pStyle w:val="FootnoteText"/>
      </w:pPr>
      <w:r w:rsidRPr="003D78D5">
        <w:rPr>
          <w:rStyle w:val="FootnoteReference"/>
          <w:strike/>
        </w:rPr>
        <w:footnoteRef/>
      </w:r>
      <w:r w:rsidRPr="003D78D5">
        <w:rPr>
          <w:strike/>
        </w:rPr>
        <w:t xml:space="preserve"> </w:t>
      </w:r>
      <w:r w:rsidRPr="003D78D5">
        <w:rPr>
          <w:i/>
          <w:strike/>
        </w:rPr>
        <w:t>Id.</w:t>
      </w:r>
      <w:r w:rsidRPr="003D78D5">
        <w:rPr>
          <w:strike/>
        </w:rPr>
        <w:t xml:space="preserve"> at pp. 19-20.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002D11A5" w:rsidP="002D11A5">
    <w:pPr>
      <w:pStyle w:val="Header"/>
      <w:ind w:hanging="1800"/>
    </w:pPr>
    <w:r>
      <w:rPr>
        <w:noProof/>
      </w:rPr>
      <w:drawing>
        <wp:inline distT="0" distB="0" distL="0" distR="0" wp14:anchorId="17DA7459" wp14:editId="6F18DD6C">
          <wp:extent cx="7801019" cy="1257300"/>
          <wp:effectExtent l="0" t="0" r="0" b="0"/>
          <wp:docPr id="1" name="Picture 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83110"/>
    <w:multiLevelType w:val="hybridMultilevel"/>
    <w:tmpl w:val="790C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03383"/>
    <w:multiLevelType w:val="hybridMultilevel"/>
    <w:tmpl w:val="B2281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275869"/>
    <w:multiLevelType w:val="hybridMultilevel"/>
    <w:tmpl w:val="5DE6C6D0"/>
    <w:lvl w:ilvl="0" w:tplc="24BA4176">
      <w:start w:val="1"/>
      <w:numFmt w:val="decimal"/>
      <w:lvlText w:val="%1."/>
      <w:lvlJc w:val="left"/>
      <w:pPr>
        <w:ind w:left="720" w:hanging="360"/>
      </w:pPr>
      <w:rPr>
        <w:rFonts w:cs="Times New Roman" w:hint="default"/>
        <w:b/>
      </w:rPr>
    </w:lvl>
    <w:lvl w:ilvl="1" w:tplc="32E04962">
      <w:start w:val="2"/>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B5E6673"/>
    <w:multiLevelType w:val="hybridMultilevel"/>
    <w:tmpl w:val="D9285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510F5"/>
    <w:multiLevelType w:val="hybridMultilevel"/>
    <w:tmpl w:val="6442D338"/>
    <w:lvl w:ilvl="0" w:tplc="C3BEF514">
      <w:start w:val="1"/>
      <w:numFmt w:val="decimal"/>
      <w:lvlText w:val="%1."/>
      <w:lvlJc w:val="left"/>
      <w:pPr>
        <w:ind w:left="360" w:hanging="360"/>
      </w:pPr>
      <w:rPr>
        <w:rFonts w:ascii="Arial" w:hAnsi="Arial" w:cs="Arial"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364CB"/>
    <w:multiLevelType w:val="hybridMultilevel"/>
    <w:tmpl w:val="A1748908"/>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CA31D5"/>
    <w:multiLevelType w:val="hybridMultilevel"/>
    <w:tmpl w:val="614ADB1E"/>
    <w:lvl w:ilvl="0" w:tplc="B8BE05BA">
      <w:start w:val="1"/>
      <w:numFmt w:val="decimal"/>
      <w:lvlText w:val="%1."/>
      <w:lvlJc w:val="left"/>
      <w:pPr>
        <w:tabs>
          <w:tab w:val="num" w:pos="720"/>
        </w:tabs>
        <w:ind w:left="720" w:hanging="720"/>
      </w:pPr>
      <w:rPr>
        <w:color w:val="auto"/>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num w:numId="1">
    <w:abstractNumId w:val="0"/>
  </w:num>
  <w:num w:numId="2">
    <w:abstractNumId w:val="6"/>
  </w:num>
  <w:num w:numId="3">
    <w:abstractNumId w:val="5"/>
  </w:num>
  <w:num w:numId="4">
    <w:abstractNumId w:val="2"/>
  </w:num>
  <w:num w:numId="5">
    <w:abstractNumId w:val="3"/>
  </w:num>
  <w:num w:numId="6">
    <w:abstractNumId w:val="3"/>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0FC5"/>
    <w:rsid w:val="0000445A"/>
    <w:rsid w:val="00015969"/>
    <w:rsid w:val="00026776"/>
    <w:rsid w:val="00027125"/>
    <w:rsid w:val="0003578D"/>
    <w:rsid w:val="00055010"/>
    <w:rsid w:val="000557AC"/>
    <w:rsid w:val="000565A8"/>
    <w:rsid w:val="0006083D"/>
    <w:rsid w:val="00062802"/>
    <w:rsid w:val="000642C0"/>
    <w:rsid w:val="000643B7"/>
    <w:rsid w:val="00076B03"/>
    <w:rsid w:val="00094FCE"/>
    <w:rsid w:val="000A6ED0"/>
    <w:rsid w:val="000B2776"/>
    <w:rsid w:val="000B41E1"/>
    <w:rsid w:val="000C0D34"/>
    <w:rsid w:val="000D5193"/>
    <w:rsid w:val="00111F83"/>
    <w:rsid w:val="00113D3D"/>
    <w:rsid w:val="0014731B"/>
    <w:rsid w:val="00182AB1"/>
    <w:rsid w:val="00184B52"/>
    <w:rsid w:val="00195861"/>
    <w:rsid w:val="001B0E15"/>
    <w:rsid w:val="001C1237"/>
    <w:rsid w:val="001C2A67"/>
    <w:rsid w:val="001C3464"/>
    <w:rsid w:val="001D4FC8"/>
    <w:rsid w:val="001E05A0"/>
    <w:rsid w:val="001F62F3"/>
    <w:rsid w:val="0020793D"/>
    <w:rsid w:val="00216D43"/>
    <w:rsid w:val="00224651"/>
    <w:rsid w:val="00226C17"/>
    <w:rsid w:val="00230D21"/>
    <w:rsid w:val="00236175"/>
    <w:rsid w:val="00241651"/>
    <w:rsid w:val="002654BB"/>
    <w:rsid w:val="00271DE0"/>
    <w:rsid w:val="002915F8"/>
    <w:rsid w:val="002A5F7A"/>
    <w:rsid w:val="002B25FC"/>
    <w:rsid w:val="002C7DEA"/>
    <w:rsid w:val="002D11A5"/>
    <w:rsid w:val="002D12E5"/>
    <w:rsid w:val="002D486A"/>
    <w:rsid w:val="002E0287"/>
    <w:rsid w:val="002F4370"/>
    <w:rsid w:val="0030098B"/>
    <w:rsid w:val="00300FB1"/>
    <w:rsid w:val="00301EB4"/>
    <w:rsid w:val="00314766"/>
    <w:rsid w:val="003276DD"/>
    <w:rsid w:val="00350847"/>
    <w:rsid w:val="00352E32"/>
    <w:rsid w:val="00355E69"/>
    <w:rsid w:val="00360BCA"/>
    <w:rsid w:val="00360F34"/>
    <w:rsid w:val="003A3E7E"/>
    <w:rsid w:val="003A6054"/>
    <w:rsid w:val="003B3D37"/>
    <w:rsid w:val="003B671F"/>
    <w:rsid w:val="003C6D26"/>
    <w:rsid w:val="003C7275"/>
    <w:rsid w:val="003D1F4B"/>
    <w:rsid w:val="003D326C"/>
    <w:rsid w:val="003D45C6"/>
    <w:rsid w:val="003D78D5"/>
    <w:rsid w:val="003E0D2D"/>
    <w:rsid w:val="003F587C"/>
    <w:rsid w:val="004038F2"/>
    <w:rsid w:val="00407EDC"/>
    <w:rsid w:val="004155F6"/>
    <w:rsid w:val="00415DE9"/>
    <w:rsid w:val="0042355D"/>
    <w:rsid w:val="0042717C"/>
    <w:rsid w:val="00430859"/>
    <w:rsid w:val="0043650A"/>
    <w:rsid w:val="00437D5F"/>
    <w:rsid w:val="00444D2B"/>
    <w:rsid w:val="00446D75"/>
    <w:rsid w:val="004500D2"/>
    <w:rsid w:val="004504D5"/>
    <w:rsid w:val="004517E9"/>
    <w:rsid w:val="00452775"/>
    <w:rsid w:val="004530B3"/>
    <w:rsid w:val="00474DA3"/>
    <w:rsid w:val="00483B40"/>
    <w:rsid w:val="00492DB8"/>
    <w:rsid w:val="0049389D"/>
    <w:rsid w:val="00497E4B"/>
    <w:rsid w:val="004A1AAA"/>
    <w:rsid w:val="004A4C18"/>
    <w:rsid w:val="004A6925"/>
    <w:rsid w:val="004A74D7"/>
    <w:rsid w:val="004C3138"/>
    <w:rsid w:val="004D128F"/>
    <w:rsid w:val="004D7CE9"/>
    <w:rsid w:val="00500AF8"/>
    <w:rsid w:val="00507F40"/>
    <w:rsid w:val="00513CD9"/>
    <w:rsid w:val="00524EA9"/>
    <w:rsid w:val="00525AB2"/>
    <w:rsid w:val="00527817"/>
    <w:rsid w:val="005341BD"/>
    <w:rsid w:val="00540943"/>
    <w:rsid w:val="00541387"/>
    <w:rsid w:val="005549C9"/>
    <w:rsid w:val="005568CA"/>
    <w:rsid w:val="00577D95"/>
    <w:rsid w:val="0058437D"/>
    <w:rsid w:val="00585D3B"/>
    <w:rsid w:val="005A13BD"/>
    <w:rsid w:val="005A67A7"/>
    <w:rsid w:val="005D2395"/>
    <w:rsid w:val="005D6A86"/>
    <w:rsid w:val="005D6CE7"/>
    <w:rsid w:val="005E4ECD"/>
    <w:rsid w:val="005E6FA2"/>
    <w:rsid w:val="005F40C6"/>
    <w:rsid w:val="00622E84"/>
    <w:rsid w:val="006237E4"/>
    <w:rsid w:val="0062607F"/>
    <w:rsid w:val="006322A5"/>
    <w:rsid w:val="006346E5"/>
    <w:rsid w:val="006429A4"/>
    <w:rsid w:val="006503AA"/>
    <w:rsid w:val="006511D6"/>
    <w:rsid w:val="00676996"/>
    <w:rsid w:val="006834C0"/>
    <w:rsid w:val="00690F13"/>
    <w:rsid w:val="006927A8"/>
    <w:rsid w:val="00695F6C"/>
    <w:rsid w:val="006A3207"/>
    <w:rsid w:val="006A57AF"/>
    <w:rsid w:val="006A7596"/>
    <w:rsid w:val="006D0F8C"/>
    <w:rsid w:val="006D3827"/>
    <w:rsid w:val="006D6227"/>
    <w:rsid w:val="006E146A"/>
    <w:rsid w:val="006F06F0"/>
    <w:rsid w:val="007104AF"/>
    <w:rsid w:val="007134AE"/>
    <w:rsid w:val="00715F12"/>
    <w:rsid w:val="007211FC"/>
    <w:rsid w:val="00724FAF"/>
    <w:rsid w:val="0073127A"/>
    <w:rsid w:val="007332D5"/>
    <w:rsid w:val="0073554E"/>
    <w:rsid w:val="00751C0F"/>
    <w:rsid w:val="00754480"/>
    <w:rsid w:val="007719D8"/>
    <w:rsid w:val="0077265A"/>
    <w:rsid w:val="00774196"/>
    <w:rsid w:val="00777798"/>
    <w:rsid w:val="0078154A"/>
    <w:rsid w:val="00783717"/>
    <w:rsid w:val="00795604"/>
    <w:rsid w:val="007A3030"/>
    <w:rsid w:val="007A5C7E"/>
    <w:rsid w:val="007A6581"/>
    <w:rsid w:val="007A7F99"/>
    <w:rsid w:val="007C2C0C"/>
    <w:rsid w:val="007D3252"/>
    <w:rsid w:val="007D687D"/>
    <w:rsid w:val="007E6872"/>
    <w:rsid w:val="007F4845"/>
    <w:rsid w:val="008135AC"/>
    <w:rsid w:val="00813B2D"/>
    <w:rsid w:val="0081533B"/>
    <w:rsid w:val="00846985"/>
    <w:rsid w:val="00873294"/>
    <w:rsid w:val="008748D9"/>
    <w:rsid w:val="00876201"/>
    <w:rsid w:val="0088321E"/>
    <w:rsid w:val="00891290"/>
    <w:rsid w:val="008A099F"/>
    <w:rsid w:val="008B677D"/>
    <w:rsid w:val="008B7F76"/>
    <w:rsid w:val="008E10EB"/>
    <w:rsid w:val="008E1433"/>
    <w:rsid w:val="008E3926"/>
    <w:rsid w:val="008E7852"/>
    <w:rsid w:val="008E7CC6"/>
    <w:rsid w:val="00905278"/>
    <w:rsid w:val="00910073"/>
    <w:rsid w:val="00910710"/>
    <w:rsid w:val="0091183B"/>
    <w:rsid w:val="0093516A"/>
    <w:rsid w:val="009376BC"/>
    <w:rsid w:val="009407F5"/>
    <w:rsid w:val="00944FF9"/>
    <w:rsid w:val="00953682"/>
    <w:rsid w:val="00960D9F"/>
    <w:rsid w:val="00963FE6"/>
    <w:rsid w:val="00971BD0"/>
    <w:rsid w:val="00974696"/>
    <w:rsid w:val="00991FCE"/>
    <w:rsid w:val="009959BD"/>
    <w:rsid w:val="00995FB3"/>
    <w:rsid w:val="009B53C4"/>
    <w:rsid w:val="009C6A1B"/>
    <w:rsid w:val="009D4994"/>
    <w:rsid w:val="009D6795"/>
    <w:rsid w:val="009E4000"/>
    <w:rsid w:val="009E6C35"/>
    <w:rsid w:val="009E754B"/>
    <w:rsid w:val="009F1374"/>
    <w:rsid w:val="009F188E"/>
    <w:rsid w:val="009F607B"/>
    <w:rsid w:val="00A0367E"/>
    <w:rsid w:val="00A15FA8"/>
    <w:rsid w:val="00A17202"/>
    <w:rsid w:val="00A22EDD"/>
    <w:rsid w:val="00A30567"/>
    <w:rsid w:val="00A3384C"/>
    <w:rsid w:val="00A36787"/>
    <w:rsid w:val="00A36CF5"/>
    <w:rsid w:val="00A50DF9"/>
    <w:rsid w:val="00A65F59"/>
    <w:rsid w:val="00A66AA4"/>
    <w:rsid w:val="00A73089"/>
    <w:rsid w:val="00A876CA"/>
    <w:rsid w:val="00A9031C"/>
    <w:rsid w:val="00A93FB4"/>
    <w:rsid w:val="00A96033"/>
    <w:rsid w:val="00A96E94"/>
    <w:rsid w:val="00A97F90"/>
    <w:rsid w:val="00AB4243"/>
    <w:rsid w:val="00AB564B"/>
    <w:rsid w:val="00AD21FC"/>
    <w:rsid w:val="00AD493C"/>
    <w:rsid w:val="00AE05B9"/>
    <w:rsid w:val="00AE4941"/>
    <w:rsid w:val="00AE6CFB"/>
    <w:rsid w:val="00B0181A"/>
    <w:rsid w:val="00B577BB"/>
    <w:rsid w:val="00B650AB"/>
    <w:rsid w:val="00B66281"/>
    <w:rsid w:val="00B73A9B"/>
    <w:rsid w:val="00B80E72"/>
    <w:rsid w:val="00B841EC"/>
    <w:rsid w:val="00B84D31"/>
    <w:rsid w:val="00B906E9"/>
    <w:rsid w:val="00B91BFA"/>
    <w:rsid w:val="00B96F9A"/>
    <w:rsid w:val="00BA1317"/>
    <w:rsid w:val="00BA3F4C"/>
    <w:rsid w:val="00BA5F5B"/>
    <w:rsid w:val="00BB5DCD"/>
    <w:rsid w:val="00BB6900"/>
    <w:rsid w:val="00BE24DB"/>
    <w:rsid w:val="00C01FD4"/>
    <w:rsid w:val="00C03527"/>
    <w:rsid w:val="00C06D42"/>
    <w:rsid w:val="00C14931"/>
    <w:rsid w:val="00C34631"/>
    <w:rsid w:val="00C3467C"/>
    <w:rsid w:val="00C416D4"/>
    <w:rsid w:val="00C46F3F"/>
    <w:rsid w:val="00C46F7F"/>
    <w:rsid w:val="00C5623B"/>
    <w:rsid w:val="00C5750F"/>
    <w:rsid w:val="00C60EE0"/>
    <w:rsid w:val="00C6220A"/>
    <w:rsid w:val="00C67037"/>
    <w:rsid w:val="00C71584"/>
    <w:rsid w:val="00C71D63"/>
    <w:rsid w:val="00C8298A"/>
    <w:rsid w:val="00C92608"/>
    <w:rsid w:val="00C96BDD"/>
    <w:rsid w:val="00CB2893"/>
    <w:rsid w:val="00CB313B"/>
    <w:rsid w:val="00CB4A87"/>
    <w:rsid w:val="00CE2D8E"/>
    <w:rsid w:val="00CF1E5A"/>
    <w:rsid w:val="00D12BD8"/>
    <w:rsid w:val="00D14C04"/>
    <w:rsid w:val="00D263B2"/>
    <w:rsid w:val="00D32C3D"/>
    <w:rsid w:val="00D431C2"/>
    <w:rsid w:val="00D4361A"/>
    <w:rsid w:val="00D43B83"/>
    <w:rsid w:val="00D57B24"/>
    <w:rsid w:val="00D650B5"/>
    <w:rsid w:val="00D711B6"/>
    <w:rsid w:val="00D84244"/>
    <w:rsid w:val="00D92F4E"/>
    <w:rsid w:val="00DA1B8F"/>
    <w:rsid w:val="00DA476F"/>
    <w:rsid w:val="00DC7573"/>
    <w:rsid w:val="00DF7298"/>
    <w:rsid w:val="00E210F6"/>
    <w:rsid w:val="00E45DAA"/>
    <w:rsid w:val="00E55D71"/>
    <w:rsid w:val="00E65F4C"/>
    <w:rsid w:val="00E911C4"/>
    <w:rsid w:val="00E93D53"/>
    <w:rsid w:val="00E93F91"/>
    <w:rsid w:val="00E95AA9"/>
    <w:rsid w:val="00EA7BDE"/>
    <w:rsid w:val="00EC4E13"/>
    <w:rsid w:val="00ED1398"/>
    <w:rsid w:val="00ED18F1"/>
    <w:rsid w:val="00ED3628"/>
    <w:rsid w:val="00EE72EB"/>
    <w:rsid w:val="00EFD0DB"/>
    <w:rsid w:val="00F10DFF"/>
    <w:rsid w:val="00F14621"/>
    <w:rsid w:val="00F21288"/>
    <w:rsid w:val="00F22E3A"/>
    <w:rsid w:val="00F367EA"/>
    <w:rsid w:val="00F522E8"/>
    <w:rsid w:val="00F53214"/>
    <w:rsid w:val="00F532ED"/>
    <w:rsid w:val="00F71966"/>
    <w:rsid w:val="00F72EE6"/>
    <w:rsid w:val="00F74077"/>
    <w:rsid w:val="00F740C1"/>
    <w:rsid w:val="00F82D06"/>
    <w:rsid w:val="00F86D2B"/>
    <w:rsid w:val="00F90F6B"/>
    <w:rsid w:val="00F9278D"/>
    <w:rsid w:val="00F92936"/>
    <w:rsid w:val="00F947AC"/>
    <w:rsid w:val="00F95D8D"/>
    <w:rsid w:val="00F967DF"/>
    <w:rsid w:val="00FA3AF5"/>
    <w:rsid w:val="03DC73D0"/>
    <w:rsid w:val="04865BC9"/>
    <w:rsid w:val="0552A3BB"/>
    <w:rsid w:val="061EA0CA"/>
    <w:rsid w:val="0C01050C"/>
    <w:rsid w:val="0CDE3617"/>
    <w:rsid w:val="0DFEB020"/>
    <w:rsid w:val="0E3D86DB"/>
    <w:rsid w:val="10214275"/>
    <w:rsid w:val="114A715E"/>
    <w:rsid w:val="128F10C1"/>
    <w:rsid w:val="12925F4C"/>
    <w:rsid w:val="1546D2B1"/>
    <w:rsid w:val="15BE1112"/>
    <w:rsid w:val="18028A5B"/>
    <w:rsid w:val="1842F76B"/>
    <w:rsid w:val="194E4B0C"/>
    <w:rsid w:val="1B52A20C"/>
    <w:rsid w:val="1BD1AB4F"/>
    <w:rsid w:val="1DC31AC4"/>
    <w:rsid w:val="1E4F5134"/>
    <w:rsid w:val="1E8C7071"/>
    <w:rsid w:val="1ED8EEBB"/>
    <w:rsid w:val="22360FB6"/>
    <w:rsid w:val="23E7EBDE"/>
    <w:rsid w:val="24D777DE"/>
    <w:rsid w:val="257EEB4F"/>
    <w:rsid w:val="25BC627D"/>
    <w:rsid w:val="27FF1416"/>
    <w:rsid w:val="2A2F7726"/>
    <w:rsid w:val="2BDAC6ED"/>
    <w:rsid w:val="2C99DCE0"/>
    <w:rsid w:val="2DEEDD9B"/>
    <w:rsid w:val="2EFE8D88"/>
    <w:rsid w:val="2F811E00"/>
    <w:rsid w:val="315E3304"/>
    <w:rsid w:val="3415719D"/>
    <w:rsid w:val="3AA8D591"/>
    <w:rsid w:val="3B3AAB7E"/>
    <w:rsid w:val="4005511E"/>
    <w:rsid w:val="41A1673B"/>
    <w:rsid w:val="426819C1"/>
    <w:rsid w:val="4403EA22"/>
    <w:rsid w:val="4715009E"/>
    <w:rsid w:val="47E79CB4"/>
    <w:rsid w:val="4898641A"/>
    <w:rsid w:val="4A16D11E"/>
    <w:rsid w:val="4D39C97B"/>
    <w:rsid w:val="526C5FA6"/>
    <w:rsid w:val="54083007"/>
    <w:rsid w:val="5427E2A3"/>
    <w:rsid w:val="5509C389"/>
    <w:rsid w:val="553258B7"/>
    <w:rsid w:val="576E1C85"/>
    <w:rsid w:val="57AB2525"/>
    <w:rsid w:val="585AE43F"/>
    <w:rsid w:val="5A7F72E1"/>
    <w:rsid w:val="5B07953F"/>
    <w:rsid w:val="5CF1889C"/>
    <w:rsid w:val="5D3753CD"/>
    <w:rsid w:val="5E11D636"/>
    <w:rsid w:val="5FEB86B9"/>
    <w:rsid w:val="6029295E"/>
    <w:rsid w:val="632EE668"/>
    <w:rsid w:val="6AE34F66"/>
    <w:rsid w:val="6C0F6903"/>
    <w:rsid w:val="6C62E354"/>
    <w:rsid w:val="72D98023"/>
    <w:rsid w:val="752822A7"/>
    <w:rsid w:val="776216F1"/>
    <w:rsid w:val="780B28D1"/>
    <w:rsid w:val="7ACDE0E8"/>
    <w:rsid w:val="7AFD3B2C"/>
    <w:rsid w:val="7C0C3DA5"/>
    <w:rsid w:val="7DE3F19D"/>
    <w:rsid w:val="7E0497A0"/>
    <w:rsid w:val="7F4052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8D208C"/>
  <w14:defaultImageDpi w14:val="330"/>
  <w15:docId w15:val="{C7E85813-39B6-448C-8D0A-5FF91689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146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146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146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1462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F14621"/>
    <w:pPr>
      <w:ind w:left="720"/>
      <w:contextualSpacing/>
    </w:pPr>
    <w:rPr>
      <w:rFonts w:ascii="Times New Roman" w:eastAsia="Times New Roman" w:hAnsi="Times New Roman" w:cs="Times New Roman"/>
      <w:szCs w:val="20"/>
    </w:rPr>
  </w:style>
  <w:style w:type="character" w:customStyle="1" w:styleId="normaltextrun">
    <w:name w:val="normaltextrun"/>
    <w:basedOn w:val="DefaultParagraphFont"/>
    <w:rsid w:val="00F14621"/>
  </w:style>
  <w:style w:type="table" w:customStyle="1" w:styleId="ListTable3211">
    <w:name w:val="List Table 3211"/>
    <w:basedOn w:val="TableNormal"/>
    <w:next w:val="ListTable3"/>
    <w:uiPriority w:val="48"/>
    <w:rsid w:val="00F1462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1462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unhideWhenUsed/>
    <w:qFormat/>
    <w:rsid w:val="003276DD"/>
    <w:rPr>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3276DD"/>
    <w:rPr>
      <w:sz w:val="20"/>
      <w:szCs w:val="20"/>
    </w:rPr>
  </w:style>
  <w:style w:type="character" w:styleId="FootnoteReference">
    <w:name w:val="footnote reference"/>
    <w:aliases w:val="0 PIER Footnote Reference,o,fr,Style 3,o1,o2,o3,o4,o5,o6,o11,o21,o7,o + Times New Roman"/>
    <w:basedOn w:val="DefaultParagraphFont"/>
    <w:uiPriority w:val="99"/>
    <w:qFormat/>
    <w:rsid w:val="003276DD"/>
    <w:rPr>
      <w:rFonts w:cs="Times New Roman"/>
      <w:vertAlign w:val="superscript"/>
    </w:rPr>
  </w:style>
  <w:style w:type="table" w:customStyle="1" w:styleId="ListTable321">
    <w:name w:val="List Table 321"/>
    <w:basedOn w:val="TableNormal"/>
    <w:next w:val="ListTable3"/>
    <w:uiPriority w:val="48"/>
    <w:rsid w:val="003276DD"/>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styleId="CommentReference">
    <w:name w:val="annotation reference"/>
    <w:basedOn w:val="DefaultParagraphFont"/>
    <w:uiPriority w:val="99"/>
    <w:semiHidden/>
    <w:unhideWhenUsed/>
    <w:rsid w:val="00350847"/>
    <w:rPr>
      <w:sz w:val="16"/>
      <w:szCs w:val="16"/>
    </w:rPr>
  </w:style>
  <w:style w:type="paragraph" w:styleId="CommentText">
    <w:name w:val="annotation text"/>
    <w:basedOn w:val="Normal"/>
    <w:link w:val="CommentTextChar"/>
    <w:uiPriority w:val="99"/>
    <w:unhideWhenUsed/>
    <w:rsid w:val="00350847"/>
    <w:rPr>
      <w:sz w:val="20"/>
      <w:szCs w:val="20"/>
    </w:rPr>
  </w:style>
  <w:style w:type="character" w:customStyle="1" w:styleId="CommentTextChar">
    <w:name w:val="Comment Text Char"/>
    <w:basedOn w:val="DefaultParagraphFont"/>
    <w:link w:val="CommentText"/>
    <w:uiPriority w:val="99"/>
    <w:rsid w:val="00350847"/>
    <w:rPr>
      <w:sz w:val="20"/>
      <w:szCs w:val="20"/>
    </w:rPr>
  </w:style>
  <w:style w:type="paragraph" w:styleId="CommentSubject">
    <w:name w:val="annotation subject"/>
    <w:basedOn w:val="CommentText"/>
    <w:next w:val="CommentText"/>
    <w:link w:val="CommentSubjectChar"/>
    <w:uiPriority w:val="99"/>
    <w:semiHidden/>
    <w:unhideWhenUsed/>
    <w:rsid w:val="00350847"/>
    <w:rPr>
      <w:b/>
      <w:bCs/>
    </w:rPr>
  </w:style>
  <w:style w:type="character" w:customStyle="1" w:styleId="CommentSubjectChar">
    <w:name w:val="Comment Subject Char"/>
    <w:basedOn w:val="CommentTextChar"/>
    <w:link w:val="CommentSubject"/>
    <w:uiPriority w:val="99"/>
    <w:semiHidden/>
    <w:rsid w:val="00350847"/>
    <w:rPr>
      <w:b/>
      <w:bCs/>
      <w:sz w:val="20"/>
      <w:szCs w:val="20"/>
    </w:rPr>
  </w:style>
  <w:style w:type="character" w:styleId="UnresolvedMention">
    <w:name w:val="Unresolved Mention"/>
    <w:basedOn w:val="DefaultParagraphFont"/>
    <w:uiPriority w:val="99"/>
    <w:unhideWhenUsed/>
    <w:rsid w:val="0020793D"/>
    <w:rPr>
      <w:color w:val="605E5C"/>
      <w:shd w:val="clear" w:color="auto" w:fill="E1DFDD"/>
    </w:rPr>
  </w:style>
  <w:style w:type="character" w:styleId="Mention">
    <w:name w:val="Mention"/>
    <w:basedOn w:val="DefaultParagraphFont"/>
    <w:uiPriority w:val="99"/>
    <w:unhideWhenUsed/>
    <w:rsid w:val="0020793D"/>
    <w:rPr>
      <w:color w:val="2B579A"/>
      <w:shd w:val="clear" w:color="auto" w:fill="E1DFDD"/>
    </w:rPr>
  </w:style>
  <w:style w:type="paragraph" w:styleId="Revision">
    <w:name w:val="Revision"/>
    <w:hidden/>
    <w:uiPriority w:val="99"/>
    <w:semiHidden/>
    <w:rsid w:val="004D7CE9"/>
  </w:style>
  <w:style w:type="table" w:customStyle="1" w:styleId="TableGrid3">
    <w:name w:val="Table Grid3"/>
    <w:basedOn w:val="TableNormal"/>
    <w:next w:val="TableGrid"/>
    <w:uiPriority w:val="59"/>
    <w:rsid w:val="00A36787"/>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customStyle="1" w:styleId="HeadingNew1">
    <w:name w:val="Heading_New1"/>
    <w:basedOn w:val="Normal"/>
    <w:qFormat/>
    <w:rsid w:val="00774196"/>
    <w:pPr>
      <w:numPr>
        <w:numId w:val="10"/>
      </w:numPr>
      <w:spacing w:after="120"/>
      <w:jc w:val="both"/>
    </w:pPr>
    <w:rPr>
      <w:rFonts w:ascii="Arial" w:eastAsia="Times New Roman"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74794">
      <w:bodyDiv w:val="1"/>
      <w:marLeft w:val="0"/>
      <w:marRight w:val="0"/>
      <w:marTop w:val="0"/>
      <w:marBottom w:val="0"/>
      <w:divBdr>
        <w:top w:val="none" w:sz="0" w:space="0" w:color="auto"/>
        <w:left w:val="none" w:sz="0" w:space="0" w:color="auto"/>
        <w:bottom w:val="none" w:sz="0" w:space="0" w:color="auto"/>
        <w:right w:val="none" w:sz="0" w:space="0" w:color="auto"/>
      </w:divBdr>
      <w:divsChild>
        <w:div w:id="200748588">
          <w:marLeft w:val="0"/>
          <w:marRight w:val="0"/>
          <w:marTop w:val="0"/>
          <w:marBottom w:val="0"/>
          <w:divBdr>
            <w:top w:val="none" w:sz="0" w:space="0" w:color="auto"/>
            <w:left w:val="none" w:sz="0" w:space="0" w:color="auto"/>
            <w:bottom w:val="none" w:sz="0" w:space="0" w:color="auto"/>
            <w:right w:val="none" w:sz="0" w:space="0" w:color="auto"/>
          </w:divBdr>
          <w:divsChild>
            <w:div w:id="844514149">
              <w:marLeft w:val="0"/>
              <w:marRight w:val="0"/>
              <w:marTop w:val="0"/>
              <w:marBottom w:val="0"/>
              <w:divBdr>
                <w:top w:val="none" w:sz="0" w:space="0" w:color="auto"/>
                <w:left w:val="none" w:sz="0" w:space="0" w:color="auto"/>
                <w:bottom w:val="none" w:sz="0" w:space="0" w:color="auto"/>
                <w:right w:val="none" w:sz="0" w:space="0" w:color="auto"/>
              </w:divBdr>
            </w:div>
          </w:divsChild>
        </w:div>
        <w:div w:id="358971974">
          <w:marLeft w:val="0"/>
          <w:marRight w:val="0"/>
          <w:marTop w:val="0"/>
          <w:marBottom w:val="0"/>
          <w:divBdr>
            <w:top w:val="none" w:sz="0" w:space="0" w:color="auto"/>
            <w:left w:val="none" w:sz="0" w:space="0" w:color="auto"/>
            <w:bottom w:val="none" w:sz="0" w:space="0" w:color="auto"/>
            <w:right w:val="none" w:sz="0" w:space="0" w:color="auto"/>
          </w:divBdr>
          <w:divsChild>
            <w:div w:id="1137796507">
              <w:marLeft w:val="0"/>
              <w:marRight w:val="0"/>
              <w:marTop w:val="0"/>
              <w:marBottom w:val="0"/>
              <w:divBdr>
                <w:top w:val="none" w:sz="0" w:space="0" w:color="auto"/>
                <w:left w:val="none" w:sz="0" w:space="0" w:color="auto"/>
                <w:bottom w:val="none" w:sz="0" w:space="0" w:color="auto"/>
                <w:right w:val="none" w:sz="0" w:space="0" w:color="auto"/>
              </w:divBdr>
            </w:div>
          </w:divsChild>
        </w:div>
        <w:div w:id="453519820">
          <w:marLeft w:val="0"/>
          <w:marRight w:val="0"/>
          <w:marTop w:val="0"/>
          <w:marBottom w:val="0"/>
          <w:divBdr>
            <w:top w:val="none" w:sz="0" w:space="0" w:color="auto"/>
            <w:left w:val="none" w:sz="0" w:space="0" w:color="auto"/>
            <w:bottom w:val="none" w:sz="0" w:space="0" w:color="auto"/>
            <w:right w:val="none" w:sz="0" w:space="0" w:color="auto"/>
          </w:divBdr>
          <w:divsChild>
            <w:div w:id="1627274548">
              <w:marLeft w:val="0"/>
              <w:marRight w:val="0"/>
              <w:marTop w:val="0"/>
              <w:marBottom w:val="0"/>
              <w:divBdr>
                <w:top w:val="none" w:sz="0" w:space="0" w:color="auto"/>
                <w:left w:val="none" w:sz="0" w:space="0" w:color="auto"/>
                <w:bottom w:val="none" w:sz="0" w:space="0" w:color="auto"/>
                <w:right w:val="none" w:sz="0" w:space="0" w:color="auto"/>
              </w:divBdr>
            </w:div>
          </w:divsChild>
        </w:div>
        <w:div w:id="1298293321">
          <w:marLeft w:val="0"/>
          <w:marRight w:val="0"/>
          <w:marTop w:val="0"/>
          <w:marBottom w:val="0"/>
          <w:divBdr>
            <w:top w:val="none" w:sz="0" w:space="0" w:color="auto"/>
            <w:left w:val="none" w:sz="0" w:space="0" w:color="auto"/>
            <w:bottom w:val="none" w:sz="0" w:space="0" w:color="auto"/>
            <w:right w:val="none" w:sz="0" w:space="0" w:color="auto"/>
          </w:divBdr>
          <w:divsChild>
            <w:div w:id="1708720544">
              <w:marLeft w:val="0"/>
              <w:marRight w:val="0"/>
              <w:marTop w:val="0"/>
              <w:marBottom w:val="0"/>
              <w:divBdr>
                <w:top w:val="none" w:sz="0" w:space="0" w:color="auto"/>
                <w:left w:val="none" w:sz="0" w:space="0" w:color="auto"/>
                <w:bottom w:val="none" w:sz="0" w:space="0" w:color="auto"/>
                <w:right w:val="none" w:sz="0" w:space="0" w:color="auto"/>
              </w:divBdr>
            </w:div>
          </w:divsChild>
        </w:div>
        <w:div w:id="1321040714">
          <w:marLeft w:val="0"/>
          <w:marRight w:val="0"/>
          <w:marTop w:val="0"/>
          <w:marBottom w:val="0"/>
          <w:divBdr>
            <w:top w:val="none" w:sz="0" w:space="0" w:color="auto"/>
            <w:left w:val="none" w:sz="0" w:space="0" w:color="auto"/>
            <w:bottom w:val="none" w:sz="0" w:space="0" w:color="auto"/>
            <w:right w:val="none" w:sz="0" w:space="0" w:color="auto"/>
          </w:divBdr>
          <w:divsChild>
            <w:div w:id="958219838">
              <w:marLeft w:val="0"/>
              <w:marRight w:val="0"/>
              <w:marTop w:val="0"/>
              <w:marBottom w:val="0"/>
              <w:divBdr>
                <w:top w:val="none" w:sz="0" w:space="0" w:color="auto"/>
                <w:left w:val="none" w:sz="0" w:space="0" w:color="auto"/>
                <w:bottom w:val="none" w:sz="0" w:space="0" w:color="auto"/>
                <w:right w:val="none" w:sz="0" w:space="0" w:color="auto"/>
              </w:divBdr>
            </w:div>
          </w:divsChild>
        </w:div>
        <w:div w:id="1779179004">
          <w:marLeft w:val="0"/>
          <w:marRight w:val="0"/>
          <w:marTop w:val="0"/>
          <w:marBottom w:val="0"/>
          <w:divBdr>
            <w:top w:val="none" w:sz="0" w:space="0" w:color="auto"/>
            <w:left w:val="none" w:sz="0" w:space="0" w:color="auto"/>
            <w:bottom w:val="none" w:sz="0" w:space="0" w:color="auto"/>
            <w:right w:val="none" w:sz="0" w:space="0" w:color="auto"/>
          </w:divBdr>
          <w:divsChild>
            <w:div w:id="436340325">
              <w:marLeft w:val="0"/>
              <w:marRight w:val="0"/>
              <w:marTop w:val="0"/>
              <w:marBottom w:val="0"/>
              <w:divBdr>
                <w:top w:val="none" w:sz="0" w:space="0" w:color="auto"/>
                <w:left w:val="none" w:sz="0" w:space="0" w:color="auto"/>
                <w:bottom w:val="none" w:sz="0" w:space="0" w:color="auto"/>
                <w:right w:val="none" w:sz="0" w:space="0" w:color="auto"/>
              </w:divBdr>
            </w:div>
          </w:divsChild>
        </w:div>
        <w:div w:id="1989477565">
          <w:marLeft w:val="0"/>
          <w:marRight w:val="0"/>
          <w:marTop w:val="0"/>
          <w:marBottom w:val="0"/>
          <w:divBdr>
            <w:top w:val="none" w:sz="0" w:space="0" w:color="auto"/>
            <w:left w:val="none" w:sz="0" w:space="0" w:color="auto"/>
            <w:bottom w:val="none" w:sz="0" w:space="0" w:color="auto"/>
            <w:right w:val="none" w:sz="0" w:space="0" w:color="auto"/>
          </w:divBdr>
          <w:divsChild>
            <w:div w:id="1880124947">
              <w:marLeft w:val="0"/>
              <w:marRight w:val="0"/>
              <w:marTop w:val="0"/>
              <w:marBottom w:val="0"/>
              <w:divBdr>
                <w:top w:val="none" w:sz="0" w:space="0" w:color="auto"/>
                <w:left w:val="none" w:sz="0" w:space="0" w:color="auto"/>
                <w:bottom w:val="none" w:sz="0" w:space="0" w:color="auto"/>
                <w:right w:val="none" w:sz="0" w:space="0" w:color="auto"/>
              </w:divBdr>
            </w:div>
          </w:divsChild>
        </w:div>
        <w:div w:id="2082946157">
          <w:marLeft w:val="0"/>
          <w:marRight w:val="0"/>
          <w:marTop w:val="0"/>
          <w:marBottom w:val="0"/>
          <w:divBdr>
            <w:top w:val="none" w:sz="0" w:space="0" w:color="auto"/>
            <w:left w:val="none" w:sz="0" w:space="0" w:color="auto"/>
            <w:bottom w:val="none" w:sz="0" w:space="0" w:color="auto"/>
            <w:right w:val="none" w:sz="0" w:space="0" w:color="auto"/>
          </w:divBdr>
          <w:divsChild>
            <w:div w:id="17981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0518">
      <w:bodyDiv w:val="1"/>
      <w:marLeft w:val="0"/>
      <w:marRight w:val="0"/>
      <w:marTop w:val="0"/>
      <w:marBottom w:val="0"/>
      <w:divBdr>
        <w:top w:val="none" w:sz="0" w:space="0" w:color="auto"/>
        <w:left w:val="none" w:sz="0" w:space="0" w:color="auto"/>
        <w:bottom w:val="none" w:sz="0" w:space="0" w:color="auto"/>
        <w:right w:val="none" w:sz="0" w:space="0" w:color="auto"/>
      </w:divBdr>
      <w:divsChild>
        <w:div w:id="132138061">
          <w:marLeft w:val="0"/>
          <w:marRight w:val="0"/>
          <w:marTop w:val="0"/>
          <w:marBottom w:val="0"/>
          <w:divBdr>
            <w:top w:val="none" w:sz="0" w:space="0" w:color="auto"/>
            <w:left w:val="none" w:sz="0" w:space="0" w:color="auto"/>
            <w:bottom w:val="none" w:sz="0" w:space="0" w:color="auto"/>
            <w:right w:val="none" w:sz="0" w:space="0" w:color="auto"/>
          </w:divBdr>
          <w:divsChild>
            <w:div w:id="1214927384">
              <w:marLeft w:val="0"/>
              <w:marRight w:val="0"/>
              <w:marTop w:val="0"/>
              <w:marBottom w:val="0"/>
              <w:divBdr>
                <w:top w:val="none" w:sz="0" w:space="0" w:color="auto"/>
                <w:left w:val="none" w:sz="0" w:space="0" w:color="auto"/>
                <w:bottom w:val="none" w:sz="0" w:space="0" w:color="auto"/>
                <w:right w:val="none" w:sz="0" w:space="0" w:color="auto"/>
              </w:divBdr>
            </w:div>
          </w:divsChild>
        </w:div>
        <w:div w:id="263273276">
          <w:marLeft w:val="0"/>
          <w:marRight w:val="0"/>
          <w:marTop w:val="0"/>
          <w:marBottom w:val="0"/>
          <w:divBdr>
            <w:top w:val="none" w:sz="0" w:space="0" w:color="auto"/>
            <w:left w:val="none" w:sz="0" w:space="0" w:color="auto"/>
            <w:bottom w:val="none" w:sz="0" w:space="0" w:color="auto"/>
            <w:right w:val="none" w:sz="0" w:space="0" w:color="auto"/>
          </w:divBdr>
          <w:divsChild>
            <w:div w:id="387536666">
              <w:marLeft w:val="0"/>
              <w:marRight w:val="0"/>
              <w:marTop w:val="0"/>
              <w:marBottom w:val="0"/>
              <w:divBdr>
                <w:top w:val="none" w:sz="0" w:space="0" w:color="auto"/>
                <w:left w:val="none" w:sz="0" w:space="0" w:color="auto"/>
                <w:bottom w:val="none" w:sz="0" w:space="0" w:color="auto"/>
                <w:right w:val="none" w:sz="0" w:space="0" w:color="auto"/>
              </w:divBdr>
            </w:div>
          </w:divsChild>
        </w:div>
        <w:div w:id="321740900">
          <w:marLeft w:val="0"/>
          <w:marRight w:val="0"/>
          <w:marTop w:val="0"/>
          <w:marBottom w:val="0"/>
          <w:divBdr>
            <w:top w:val="none" w:sz="0" w:space="0" w:color="auto"/>
            <w:left w:val="none" w:sz="0" w:space="0" w:color="auto"/>
            <w:bottom w:val="none" w:sz="0" w:space="0" w:color="auto"/>
            <w:right w:val="none" w:sz="0" w:space="0" w:color="auto"/>
          </w:divBdr>
          <w:divsChild>
            <w:div w:id="509417688">
              <w:marLeft w:val="0"/>
              <w:marRight w:val="0"/>
              <w:marTop w:val="0"/>
              <w:marBottom w:val="0"/>
              <w:divBdr>
                <w:top w:val="none" w:sz="0" w:space="0" w:color="auto"/>
                <w:left w:val="none" w:sz="0" w:space="0" w:color="auto"/>
                <w:bottom w:val="none" w:sz="0" w:space="0" w:color="auto"/>
                <w:right w:val="none" w:sz="0" w:space="0" w:color="auto"/>
              </w:divBdr>
            </w:div>
          </w:divsChild>
        </w:div>
        <w:div w:id="358047409">
          <w:marLeft w:val="0"/>
          <w:marRight w:val="0"/>
          <w:marTop w:val="0"/>
          <w:marBottom w:val="0"/>
          <w:divBdr>
            <w:top w:val="none" w:sz="0" w:space="0" w:color="auto"/>
            <w:left w:val="none" w:sz="0" w:space="0" w:color="auto"/>
            <w:bottom w:val="none" w:sz="0" w:space="0" w:color="auto"/>
            <w:right w:val="none" w:sz="0" w:space="0" w:color="auto"/>
          </w:divBdr>
          <w:divsChild>
            <w:div w:id="1376199159">
              <w:marLeft w:val="0"/>
              <w:marRight w:val="0"/>
              <w:marTop w:val="0"/>
              <w:marBottom w:val="0"/>
              <w:divBdr>
                <w:top w:val="none" w:sz="0" w:space="0" w:color="auto"/>
                <w:left w:val="none" w:sz="0" w:space="0" w:color="auto"/>
                <w:bottom w:val="none" w:sz="0" w:space="0" w:color="auto"/>
                <w:right w:val="none" w:sz="0" w:space="0" w:color="auto"/>
              </w:divBdr>
            </w:div>
          </w:divsChild>
        </w:div>
        <w:div w:id="882980927">
          <w:marLeft w:val="0"/>
          <w:marRight w:val="0"/>
          <w:marTop w:val="0"/>
          <w:marBottom w:val="0"/>
          <w:divBdr>
            <w:top w:val="none" w:sz="0" w:space="0" w:color="auto"/>
            <w:left w:val="none" w:sz="0" w:space="0" w:color="auto"/>
            <w:bottom w:val="none" w:sz="0" w:space="0" w:color="auto"/>
            <w:right w:val="none" w:sz="0" w:space="0" w:color="auto"/>
          </w:divBdr>
          <w:divsChild>
            <w:div w:id="1338267986">
              <w:marLeft w:val="0"/>
              <w:marRight w:val="0"/>
              <w:marTop w:val="0"/>
              <w:marBottom w:val="0"/>
              <w:divBdr>
                <w:top w:val="none" w:sz="0" w:space="0" w:color="auto"/>
                <w:left w:val="none" w:sz="0" w:space="0" w:color="auto"/>
                <w:bottom w:val="none" w:sz="0" w:space="0" w:color="auto"/>
                <w:right w:val="none" w:sz="0" w:space="0" w:color="auto"/>
              </w:divBdr>
            </w:div>
          </w:divsChild>
        </w:div>
        <w:div w:id="1144811792">
          <w:marLeft w:val="0"/>
          <w:marRight w:val="0"/>
          <w:marTop w:val="0"/>
          <w:marBottom w:val="0"/>
          <w:divBdr>
            <w:top w:val="none" w:sz="0" w:space="0" w:color="auto"/>
            <w:left w:val="none" w:sz="0" w:space="0" w:color="auto"/>
            <w:bottom w:val="none" w:sz="0" w:space="0" w:color="auto"/>
            <w:right w:val="none" w:sz="0" w:space="0" w:color="auto"/>
          </w:divBdr>
          <w:divsChild>
            <w:div w:id="1772239457">
              <w:marLeft w:val="0"/>
              <w:marRight w:val="0"/>
              <w:marTop w:val="0"/>
              <w:marBottom w:val="0"/>
              <w:divBdr>
                <w:top w:val="none" w:sz="0" w:space="0" w:color="auto"/>
                <w:left w:val="none" w:sz="0" w:space="0" w:color="auto"/>
                <w:bottom w:val="none" w:sz="0" w:space="0" w:color="auto"/>
                <w:right w:val="none" w:sz="0" w:space="0" w:color="auto"/>
              </w:divBdr>
            </w:div>
          </w:divsChild>
        </w:div>
        <w:div w:id="1288512855">
          <w:marLeft w:val="0"/>
          <w:marRight w:val="0"/>
          <w:marTop w:val="0"/>
          <w:marBottom w:val="0"/>
          <w:divBdr>
            <w:top w:val="none" w:sz="0" w:space="0" w:color="auto"/>
            <w:left w:val="none" w:sz="0" w:space="0" w:color="auto"/>
            <w:bottom w:val="none" w:sz="0" w:space="0" w:color="auto"/>
            <w:right w:val="none" w:sz="0" w:space="0" w:color="auto"/>
          </w:divBdr>
          <w:divsChild>
            <w:div w:id="1904412241">
              <w:marLeft w:val="0"/>
              <w:marRight w:val="0"/>
              <w:marTop w:val="0"/>
              <w:marBottom w:val="0"/>
              <w:divBdr>
                <w:top w:val="none" w:sz="0" w:space="0" w:color="auto"/>
                <w:left w:val="none" w:sz="0" w:space="0" w:color="auto"/>
                <w:bottom w:val="none" w:sz="0" w:space="0" w:color="auto"/>
                <w:right w:val="none" w:sz="0" w:space="0" w:color="auto"/>
              </w:divBdr>
            </w:div>
          </w:divsChild>
        </w:div>
        <w:div w:id="1679120650">
          <w:marLeft w:val="0"/>
          <w:marRight w:val="0"/>
          <w:marTop w:val="0"/>
          <w:marBottom w:val="0"/>
          <w:divBdr>
            <w:top w:val="none" w:sz="0" w:space="0" w:color="auto"/>
            <w:left w:val="none" w:sz="0" w:space="0" w:color="auto"/>
            <w:bottom w:val="none" w:sz="0" w:space="0" w:color="auto"/>
            <w:right w:val="none" w:sz="0" w:space="0" w:color="auto"/>
          </w:divBdr>
          <w:divsChild>
            <w:div w:id="17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8F3F4794-FA71-4982-BB80-9A5EA410E6BE}">
    <t:Anchor>
      <t:Comment id="624297829"/>
    </t:Anchor>
    <t:History>
      <t:Event id="{3DED2A44-0BDF-47FE-9E8C-7466AF7D243B}" time="2021-11-15T16:33:08.741Z">
        <t:Attribution userId="S::alexandra.kovalick@energy.ca.gov::4dc516e3-1226-424a-b4bd-7d5b226f7845" userProvider="AD" userName="Kovalick, Alexandra@Energy"/>
        <t:Anchor>
          <t:Comment id="371980490"/>
        </t:Anchor>
        <t:Create/>
      </t:Event>
      <t:Event id="{FF4658C1-3978-4280-BBCF-55226162197B}" time="2021-11-15T16:33:08.741Z">
        <t:Attribution userId="S::alexandra.kovalick@energy.ca.gov::4dc516e3-1226-424a-b4bd-7d5b226f7845" userProvider="AD" userName="Kovalick, Alexandra@Energy"/>
        <t:Anchor>
          <t:Comment id="371980490"/>
        </t:Anchor>
        <t:Assign userId="S::Daphne.Molin@energy.ca.gov::7b6aa0cb-8aed-4003-a445-27cd22d318e5" userProvider="AD" userName="Molin, Daphne@Energy"/>
      </t:Event>
      <t:Event id="{9A239C14-3AE5-482D-A2F6-82078A42AA6E}" time="2021-11-15T16:33:08.741Z">
        <t:Attribution userId="S::alexandra.kovalick@energy.ca.gov::4dc516e3-1226-424a-b4bd-7d5b226f7845" userProvider="AD" userName="Kovalick, Alexandra@Energy"/>
        <t:Anchor>
          <t:Comment id="371980490"/>
        </t:Anchor>
        <t:SetTitle title="@Molin, Daphne@Energy Please review for approval. Thank you!"/>
      </t:Event>
      <t:Event id="{29EB182B-11D1-49B9-AB96-087A0C73DD70}" time="2021-11-15T20:29:42.63Z">
        <t:Attribution userId="S::alexandra.kovalick@energy.ca.gov::4dc516e3-1226-424a-b4bd-7d5b226f7845" userProvider="AD" userName="Kovalick, Alexandra@Energy"/>
        <t:Anchor>
          <t:Comment id="673748062"/>
        </t:Anchor>
        <t:UnassignAll/>
      </t:Event>
      <t:Event id="{59529D80-86C6-4365-9452-483A48484B5F}" time="2021-11-15T20:29:42.63Z">
        <t:Attribution userId="S::alexandra.kovalick@energy.ca.gov::4dc516e3-1226-424a-b4bd-7d5b226f7845" userProvider="AD" userName="Kovalick, Alexandra@Energy"/>
        <t:Anchor>
          <t:Comment id="673748062"/>
        </t:Anchor>
        <t:Assign userId="S::Lisa.Cortez@energy.ca.gov::92bb8261-9e00-4f3d-99f8-bbdeb98e84b7" userProvider="AD" userName="Cortez, Lisa@Energy"/>
      </t:Event>
      <t:Event id="{2A7B31ED-64AA-4346-B806-C3E01F80D684}" time="2021-11-15T21:13:21.306Z">
        <t:Attribution userId="S::lisa.cortez@energy.ca.gov::92bb8261-9e00-4f3d-99f8-bbdeb98e84b7" userProvider="AD" userName="Cortez, Lisa@Energy"/>
        <t:Anchor>
          <t:Comment id="1657759829"/>
        </t:Anchor>
        <t:UnassignAll/>
      </t:Event>
      <t:Event id="{3F3D8535-F971-4503-A732-0F7990028627}" time="2021-11-15T21:13:21.306Z">
        <t:Attribution userId="S::lisa.cortez@energy.ca.gov::92bb8261-9e00-4f3d-99f8-bbdeb98e84b7" userProvider="AD" userName="Cortez, Lisa@Energy"/>
        <t:Anchor>
          <t:Comment id="1657759829"/>
        </t:Anchor>
        <t:Assign userId="S::Archal.Naidu@energy.ca.gov::9001d476-49cb-46ac-8413-79d184fa780a" userProvider="AD" userName="Naidu, Archal@Energy"/>
      </t:Event>
    </t:History>
  </t:Task>
  <t:Task id="{D73E3559-57E8-4907-85F8-2A295F194ADE}">
    <t:Anchor>
      <t:Comment id="657743613"/>
    </t:Anchor>
    <t:History>
      <t:Event id="{705171B3-1236-4B7C-8501-BC86E3EE264D}" time="2022-12-02T20:28:42.764Z">
        <t:Attribution userId="S::mithra.moezzi@energy.ca.gov::3278a12f-cb7f-4a7f-9d1d-f55d34f7566e" userProvider="AD" userName="Moezzi, Mithra@Energy"/>
        <t:Anchor>
          <t:Comment id="14009275"/>
        </t:Anchor>
        <t:Create/>
      </t:Event>
      <t:Event id="{4339CFB6-F0F7-4B06-876C-C9780441AF86}" time="2022-12-02T20:28:42.764Z">
        <t:Attribution userId="S::mithra.moezzi@energy.ca.gov::3278a12f-cb7f-4a7f-9d1d-f55d34f7566e" userProvider="AD" userName="Moezzi, Mithra@Energy"/>
        <t:Anchor>
          <t:Comment id="14009275"/>
        </t:Anchor>
        <t:Assign userId="S::Kevin.Uy@energy.ca.gov::548cabc9-e4cd-4340-af95-bcfaca99cd31" userProvider="AD" userName="Uy, Kevin@Energy"/>
      </t:Event>
      <t:Event id="{E5DF90C7-817B-4255-AB3D-E912D323D725}" time="2022-12-02T20:28:42.764Z">
        <t:Attribution userId="S::mithra.moezzi@energy.ca.gov::3278a12f-cb7f-4a7f-9d1d-f55d34f7566e" userProvider="AD" userName="Moezzi, Mithra@Energy"/>
        <t:Anchor>
          <t:Comment id="14009275"/>
        </t:Anchor>
        <t:SetTitle title="@Uy, Kevin@Energy This is ready for your review (if needed, full amended solicitation is here 00_GFO-22-302_Solicitation_Manual_2022-12-02_ada.docx)"/>
      </t:Event>
    </t:History>
  </t:Task>
  <t:Task id="{7FE38A13-7EE7-4450-AB57-E1BADC8CA4D1}">
    <t:Anchor>
      <t:Comment id="1046348329"/>
    </t:Anchor>
    <t:History>
      <t:Event id="{41940789-21A2-46FC-BF40-A262327950DD}" time="2021-11-16T04:04:17.356Z">
        <t:Attribution userId="S::laurie.tenhope@energy.ca.gov::b3a92566-dbb6-4366-9e03-93f3c1b565ef" userProvider="AD" userName="ten Hope, Laurie@Energy"/>
        <t:Anchor>
          <t:Comment id="1046348329"/>
        </t:Anchor>
        <t:Create/>
      </t:Event>
      <t:Event id="{23978287-5DA0-4CBE-837F-66B32FE958D6}" time="2021-11-16T04:04:17.356Z">
        <t:Attribution userId="S::laurie.tenhope@energy.ca.gov::b3a92566-dbb6-4366-9e03-93f3c1b565ef" userProvider="AD" userName="ten Hope, Laurie@Energy"/>
        <t:Anchor>
          <t:Comment id="1046348329"/>
        </t:Anchor>
        <t:Assign userId="S::Alexandra.Kovalick@energy.ca.gov::4dc516e3-1226-424a-b4bd-7d5b226f7845" userProvider="AD" userName="Kovalick, Alexandra@Energy"/>
      </t:Event>
      <t:Event id="{E43C2861-1414-49AC-A008-1F8541175900}" time="2021-11-16T04:04:17.356Z">
        <t:Attribution userId="S::laurie.tenhope@energy.ca.gov::b3a92566-dbb6-4366-9e03-93f3c1b565ef" userProvider="AD" userName="ten Hope, Laurie@Energy"/>
        <t:Anchor>
          <t:Comment id="1046348329"/>
        </t:Anchor>
        <t:SetTitle title="@Kovalick, Alexandra@Energy @Horangic, Alex@Energy  Are these funds that need to encumbered by June 30th? If so, you're cutting it close and will need to pay close attention to the schedule."/>
      </t:Event>
    </t:History>
  </t:Task>
  <t:Task id="{B60418AC-6A38-4788-BD3B-A6FCAF976782}">
    <t:Anchor>
      <t:Comment id="2113617839"/>
    </t:Anchor>
    <t:History>
      <t:Event id="{BC3EE07E-1A86-4409-B230-9A2625525ABF}" time="2022-12-14T23:07:50.977Z">
        <t:Attribution userId="S::mithra.moezzi@energy.ca.gov::3278a12f-cb7f-4a7f-9d1d-f55d34f7566e" userProvider="AD" userName="Moezzi, Mithra@Energy"/>
        <t:Anchor>
          <t:Comment id="2113617839"/>
        </t:Anchor>
        <t:Create/>
      </t:Event>
      <t:Event id="{2CC2EC29-64E2-4C2A-A756-D2025B93278F}" time="2022-12-14T23:07:50.977Z">
        <t:Attribution userId="S::mithra.moezzi@energy.ca.gov::3278a12f-cb7f-4a7f-9d1d-f55d34f7566e" userProvider="AD" userName="Moezzi, Mithra@Energy"/>
        <t:Anchor>
          <t:Comment id="2113617839"/>
        </t:Anchor>
        <t:Assign userId="S::Kevin.Uy@energy.ca.gov::548cabc9-e4cd-4340-af95-bcfaca99cd31" userProvider="AD" userName="Uy, Kevin@Energy"/>
      </t:Event>
      <t:Event id="{83F304E3-30E7-4760-A5FD-E43E383C2146}" time="2022-12-14T23:07:50.977Z">
        <t:Attribution userId="S::mithra.moezzi@energy.ca.gov::3278a12f-cb7f-4a7f-9d1d-f55d34f7566e" userProvider="AD" userName="Moezzi, Mithra@Energy"/>
        <t:Anchor>
          <t:Comment id="2113617839"/>
        </t:Anchor>
        <t:SetTitle title="@Uy, Kevin@Energy Please review this document for approval (these are he changes legal suggested that you flagged yesterday). The solicitation manual is in same folder( 00_GFO-22-302_Solicitation_Manual_2022-12-14_ada.doc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Molin, Daphne@Energy</DisplayName>
        <AccountId>153</AccountId>
        <AccountType/>
      </UserInfo>
      <UserInfo>
        <DisplayName>Naidu, Archal@Energy</DisplayName>
        <AccountId>124</AccountId>
        <AccountType/>
      </UserInfo>
      <UserInfo>
        <DisplayName>Wilhelm, Susan@Energy</DisplayName>
        <AccountId>21</AccountId>
        <AccountType/>
      </UserInfo>
    </SharedWithUsers>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3" ma:contentTypeDescription="Create a new document." ma:contentTypeScope="" ma:versionID="a0701c6aba2e02d817ab1b3af7a89e26">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c1268a817df9af29c67c44984682362f"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92ecc987-d12b-42b1-abee-10b37485ad0a"/>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469DCDA5-2AEA-47AF-819F-1C247465E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c987-d12b-42b1-abee-10b37485ad0a"/>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2728</Characters>
  <Application>Microsoft Office Word</Application>
  <DocSecurity>0</DocSecurity>
  <Lines>22</Lines>
  <Paragraphs>6</Paragraphs>
  <ScaleCrop>false</ScaleCrop>
  <Company>Wobschall Design</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Willis, Crystal@Energy</cp:lastModifiedBy>
  <cp:revision>67</cp:revision>
  <cp:lastPrinted>2019-04-08T16:38:00Z</cp:lastPrinted>
  <dcterms:created xsi:type="dcterms:W3CDTF">2022-12-02T18:29:00Z</dcterms:created>
  <dcterms:modified xsi:type="dcterms:W3CDTF">2022-12-21T16:36:00Z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0x01010061E0E14B354F4845B9218E49F7E0D878</vt:lpwstr>
  </property>
  <property fmtid="{D5CDD505-2E9C-101B-9397-08002B2CF9AE}" pid="3" name="MediaServiceImageTags">
    <vt:lpwstr/>
  </property>
</Properties>
</file>