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13F" w:rsidP="00192E68" w:rsidRDefault="00B8513F" w14:paraId="7E998CAE" w14:textId="77777777">
      <w:pPr>
        <w:pStyle w:val="Title"/>
      </w:pPr>
    </w:p>
    <w:p w:rsidR="00B8513F" w:rsidP="00192E68" w:rsidRDefault="00B8513F" w14:paraId="7A147DCF" w14:textId="77777777">
      <w:pPr>
        <w:pStyle w:val="Title"/>
      </w:pPr>
    </w:p>
    <w:p w:rsidR="00303BCB" w:rsidP="00192E68" w:rsidRDefault="00E3421A" w14:paraId="10B72A8C" w14:textId="63B6E24D">
      <w:pPr>
        <w:pStyle w:val="Title"/>
      </w:pPr>
      <w:r>
        <w:t>Questions and Answers</w:t>
      </w:r>
    </w:p>
    <w:p w:rsidRPr="002500CF" w:rsidR="00E3421A" w:rsidP="00E3421A" w:rsidRDefault="00E3421A" w14:paraId="71CF41F3" w14:textId="3FEB0638">
      <w:pPr>
        <w:pStyle w:val="Subtitle"/>
      </w:pPr>
      <w:r w:rsidRPr="002500CF">
        <w:t>Food Production Investment Program</w:t>
      </w:r>
      <w:r w:rsidR="00A32C07">
        <w:t xml:space="preserve"> (FPIP)</w:t>
      </w:r>
    </w:p>
    <w:p w:rsidR="00E3421A" w:rsidP="00A369BC" w:rsidRDefault="00E3421A" w14:paraId="176A04C9" w14:textId="4AC6E3E2">
      <w:pPr>
        <w:pStyle w:val="Subtitle"/>
      </w:pPr>
      <w:r w:rsidRPr="002500CF">
        <w:t>GFO-22-303</w:t>
      </w:r>
    </w:p>
    <w:p w:rsidRPr="002500CF" w:rsidR="002500CF" w:rsidP="002500CF" w:rsidRDefault="002500CF" w14:paraId="427923FD" w14:textId="77777777"/>
    <w:p w:rsidRPr="00A369BC" w:rsidR="00222AC9" w:rsidP="00A369BC" w:rsidRDefault="00222AC9" w14:paraId="2203694A" w14:textId="77777777"/>
    <w:p w:rsidRPr="00C6727B" w:rsidR="00C6727B" w:rsidRDefault="00C6727B" w14:paraId="4D0EEA3D" w14:textId="010AA6C6">
      <w:pPr>
        <w:pStyle w:val="TOC1"/>
        <w:tabs>
          <w:tab w:val="right" w:leader="dot" w:pos="9350"/>
        </w:tabs>
        <w:rPr>
          <w:b/>
          <w:bCs/>
        </w:rPr>
      </w:pPr>
      <w:r>
        <w:rPr>
          <w:b/>
          <w:bCs/>
        </w:rPr>
        <w:t>TABLE OF CONTENTS</w:t>
      </w:r>
    </w:p>
    <w:p w:rsidR="001B526D" w:rsidRDefault="00C6727B" w14:paraId="14B22A1E" w14:textId="37F841D4">
      <w:pPr>
        <w:pStyle w:val="TOC1"/>
        <w:tabs>
          <w:tab w:val="right" w:leader="dot" w:pos="9350"/>
        </w:tabs>
        <w:rPr>
          <w:rFonts w:asciiTheme="minorHAnsi" w:hAnsiTheme="minorHAnsi" w:eastAsiaTheme="minorEastAsia"/>
          <w:noProof/>
          <w:sz w:val="22"/>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history="1" w:anchor="_Toc121228714">
        <w:r w:rsidRPr="00AB0757" w:rsidR="001B526D">
          <w:rPr>
            <w:rStyle w:val="Hyperlink"/>
            <w:noProof/>
          </w:rPr>
          <w:t>Background and Resources</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_Toc121228714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2</w:t>
        </w:r>
        <w:r w:rsidR="001B526D">
          <w:rPr>
            <w:webHidden/>
            <w:color w:val="2B579A"/>
            <w:shd w:val="clear" w:color="auto" w:fill="E6E6E6"/>
          </w:rPr>
          <w:fldChar w:fldCharType="end"/>
        </w:r>
      </w:hyperlink>
    </w:p>
    <w:p w:rsidR="001B526D" w:rsidRDefault="0069052A" w14:paraId="12066D42" w14:textId="4547FBB4">
      <w:pPr>
        <w:pStyle w:val="TOC1"/>
        <w:tabs>
          <w:tab w:val="right" w:leader="dot" w:pos="9350"/>
        </w:tabs>
        <w:rPr>
          <w:rFonts w:asciiTheme="minorHAnsi" w:hAnsiTheme="minorHAnsi" w:eastAsiaTheme="minorEastAsia"/>
          <w:noProof/>
          <w:sz w:val="22"/>
        </w:rPr>
      </w:pPr>
      <w:hyperlink w:history="1" w:anchor="_Toc121228715">
        <w:r w:rsidRPr="00AB0757" w:rsidR="001B526D">
          <w:rPr>
            <w:rStyle w:val="Hyperlink"/>
            <w:noProof/>
          </w:rPr>
          <w:t>Solicitation</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_Toc121228715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3</w:t>
        </w:r>
        <w:r w:rsidR="001B526D">
          <w:rPr>
            <w:webHidden/>
            <w:color w:val="2B579A"/>
            <w:shd w:val="clear" w:color="auto" w:fill="E6E6E6"/>
          </w:rPr>
          <w:fldChar w:fldCharType="end"/>
        </w:r>
      </w:hyperlink>
    </w:p>
    <w:p w:rsidR="001B526D" w:rsidRDefault="0069052A" w14:paraId="1B9A44D6" w14:textId="30E340E8">
      <w:pPr>
        <w:pStyle w:val="TOC1"/>
        <w:tabs>
          <w:tab w:val="right" w:leader="dot" w:pos="9350"/>
        </w:tabs>
        <w:rPr>
          <w:rFonts w:asciiTheme="minorHAnsi" w:hAnsiTheme="minorHAnsi" w:eastAsiaTheme="minorEastAsia"/>
          <w:noProof/>
          <w:sz w:val="22"/>
        </w:rPr>
      </w:pPr>
      <w:hyperlink w:history="1" w:anchor="_Toc121228716">
        <w:r w:rsidRPr="00AB0757" w:rsidR="001B526D">
          <w:rPr>
            <w:rStyle w:val="Hyperlink"/>
            <w:noProof/>
          </w:rPr>
          <w:t>Applicant and Facility</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_Toc121228716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4</w:t>
        </w:r>
        <w:r w:rsidR="001B526D">
          <w:rPr>
            <w:webHidden/>
            <w:color w:val="2B579A"/>
            <w:shd w:val="clear" w:color="auto" w:fill="E6E6E6"/>
          </w:rPr>
          <w:fldChar w:fldCharType="end"/>
        </w:r>
      </w:hyperlink>
    </w:p>
    <w:p w:rsidR="001B526D" w:rsidRDefault="0069052A" w14:paraId="084F80A4" w14:textId="76709211">
      <w:pPr>
        <w:pStyle w:val="TOC1"/>
        <w:tabs>
          <w:tab w:val="right" w:leader="dot" w:pos="9350"/>
        </w:tabs>
        <w:rPr>
          <w:rFonts w:asciiTheme="minorHAnsi" w:hAnsiTheme="minorHAnsi" w:eastAsiaTheme="minorEastAsia"/>
          <w:noProof/>
          <w:sz w:val="22"/>
        </w:rPr>
      </w:pPr>
      <w:hyperlink w:history="1" w:anchor="_Toc121228717">
        <w:r w:rsidRPr="00AB0757" w:rsidR="001B526D">
          <w:rPr>
            <w:rStyle w:val="Hyperlink"/>
            <w:noProof/>
          </w:rPr>
          <w:t>Project and Technology</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_Toc121228717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5</w:t>
        </w:r>
        <w:r w:rsidR="001B526D">
          <w:rPr>
            <w:webHidden/>
            <w:color w:val="2B579A"/>
            <w:shd w:val="clear" w:color="auto" w:fill="E6E6E6"/>
          </w:rPr>
          <w:fldChar w:fldCharType="end"/>
        </w:r>
      </w:hyperlink>
    </w:p>
    <w:p w:rsidR="001B526D" w:rsidRDefault="0069052A" w14:paraId="6D06BE36" w14:textId="46821B50">
      <w:pPr>
        <w:pStyle w:val="TOC1"/>
        <w:tabs>
          <w:tab w:val="right" w:leader="dot" w:pos="9350"/>
        </w:tabs>
        <w:rPr>
          <w:rFonts w:asciiTheme="minorHAnsi" w:hAnsiTheme="minorHAnsi" w:eastAsiaTheme="minorEastAsia"/>
          <w:noProof/>
          <w:sz w:val="22"/>
        </w:rPr>
      </w:pPr>
      <w:hyperlink w:history="1" w:anchor="_Toc121228718">
        <w:r w:rsidRPr="00AB0757" w:rsidR="001B526D">
          <w:rPr>
            <w:rStyle w:val="Hyperlink"/>
            <w:noProof/>
          </w:rPr>
          <w:t>Eligible costs</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_Toc121228718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11</w:t>
        </w:r>
        <w:r w:rsidR="001B526D">
          <w:rPr>
            <w:webHidden/>
            <w:color w:val="2B579A"/>
            <w:shd w:val="clear" w:color="auto" w:fill="E6E6E6"/>
          </w:rPr>
          <w:fldChar w:fldCharType="end"/>
        </w:r>
      </w:hyperlink>
    </w:p>
    <w:p w:rsidR="001B526D" w:rsidRDefault="0069052A" w14:paraId="36BC0505" w14:textId="32A7B9BD">
      <w:pPr>
        <w:pStyle w:val="TOC1"/>
        <w:tabs>
          <w:tab w:val="right" w:leader="dot" w:pos="9350"/>
        </w:tabs>
        <w:rPr>
          <w:rFonts w:asciiTheme="minorHAnsi" w:hAnsiTheme="minorHAnsi" w:eastAsiaTheme="minorEastAsia"/>
          <w:noProof/>
          <w:sz w:val="22"/>
        </w:rPr>
      </w:pPr>
      <w:hyperlink w:history="1" w:anchor="_Toc121228719">
        <w:r w:rsidRPr="00AB0757" w:rsidR="001B526D">
          <w:rPr>
            <w:rStyle w:val="Hyperlink"/>
            <w:noProof/>
          </w:rPr>
          <w:t>Submission and GSS</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_Toc121228719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12</w:t>
        </w:r>
        <w:r w:rsidR="001B526D">
          <w:rPr>
            <w:webHidden/>
            <w:color w:val="2B579A"/>
            <w:shd w:val="clear" w:color="auto" w:fill="E6E6E6"/>
          </w:rPr>
          <w:fldChar w:fldCharType="end"/>
        </w:r>
      </w:hyperlink>
    </w:p>
    <w:p w:rsidR="001B526D" w:rsidRDefault="0069052A" w14:paraId="66195DC4" w14:textId="31D48BDC">
      <w:pPr>
        <w:pStyle w:val="TOC1"/>
        <w:tabs>
          <w:tab w:val="right" w:leader="dot" w:pos="9350"/>
        </w:tabs>
        <w:rPr>
          <w:rFonts w:asciiTheme="minorHAnsi" w:hAnsiTheme="minorHAnsi" w:eastAsiaTheme="minorEastAsia"/>
          <w:noProof/>
          <w:sz w:val="22"/>
        </w:rPr>
      </w:pPr>
      <w:hyperlink w:history="1" w:anchor="_Toc121228720">
        <w:r w:rsidRPr="00AB0757" w:rsidR="001B526D">
          <w:rPr>
            <w:rStyle w:val="Hyperlink"/>
            <w:noProof/>
          </w:rPr>
          <w:t>Terms and Conditions</w:t>
        </w:r>
        <w:r w:rsidR="001B526D">
          <w:rPr>
            <w:noProof/>
            <w:webHidden/>
          </w:rPr>
          <w:tab/>
        </w:r>
        <w:r w:rsidR="001B526D">
          <w:rPr>
            <w:webHidden/>
            <w:color w:val="2B579A"/>
            <w:shd w:val="clear" w:color="auto" w:fill="E6E6E6"/>
          </w:rPr>
          <w:fldChar w:fldCharType="begin"/>
        </w:r>
        <w:r w:rsidR="001B526D">
          <w:rPr>
            <w:noProof/>
            <w:webHidden/>
          </w:rPr>
          <w:instrText xml:space="preserve"> PAGEREF _Toc121228720 \h </w:instrText>
        </w:r>
        <w:r w:rsidR="001B526D">
          <w:rPr>
            <w:webHidden/>
            <w:color w:val="2B579A"/>
            <w:shd w:val="clear" w:color="auto" w:fill="E6E6E6"/>
          </w:rPr>
        </w:r>
        <w:r w:rsidR="001B526D">
          <w:rPr>
            <w:webHidden/>
            <w:color w:val="2B579A"/>
            <w:shd w:val="clear" w:color="auto" w:fill="E6E6E6"/>
          </w:rPr>
          <w:fldChar w:fldCharType="separate"/>
        </w:r>
        <w:r w:rsidR="00E005B2">
          <w:rPr>
            <w:noProof/>
            <w:webHidden/>
          </w:rPr>
          <w:t>13</w:t>
        </w:r>
        <w:r w:rsidR="001B526D">
          <w:rPr>
            <w:webHidden/>
            <w:color w:val="2B579A"/>
            <w:shd w:val="clear" w:color="auto" w:fill="E6E6E6"/>
          </w:rPr>
          <w:fldChar w:fldCharType="end"/>
        </w:r>
      </w:hyperlink>
    </w:p>
    <w:p w:rsidR="00086B01" w:rsidP="00E3421A" w:rsidRDefault="00C6727B" w14:paraId="099F305A" w14:textId="20D883A5">
      <w:r>
        <w:rPr>
          <w:color w:val="2B579A"/>
          <w:shd w:val="clear" w:color="auto" w:fill="E6E6E6"/>
        </w:rPr>
        <w:fldChar w:fldCharType="end"/>
      </w:r>
    </w:p>
    <w:p w:rsidR="002500CF" w:rsidP="002500CF" w:rsidRDefault="002500CF" w14:paraId="325240E0" w14:textId="77777777"/>
    <w:p w:rsidR="00766085" w:rsidP="002500CF" w:rsidRDefault="00766085" w14:paraId="404197ED" w14:textId="77777777"/>
    <w:p w:rsidR="00766085" w:rsidP="002500CF" w:rsidRDefault="00766085" w14:paraId="31858CA1" w14:textId="77777777"/>
    <w:p w:rsidR="00766085" w:rsidP="002500CF" w:rsidRDefault="00766085" w14:paraId="617F55D6" w14:textId="77777777"/>
    <w:p w:rsidR="00766085" w:rsidP="002500CF" w:rsidRDefault="00766085" w14:paraId="1F000294" w14:textId="77777777"/>
    <w:p w:rsidR="002500CF" w:rsidP="002500CF" w:rsidRDefault="002500CF" w14:paraId="188FB22F" w14:textId="77777777">
      <w:r>
        <w:t xml:space="preserve">Applicants are encouraged to also reference the previous GFO-20-307 Q&amp;As provided for additional guidance. Applicants can find the previous Q&amp;As at: </w:t>
      </w:r>
    </w:p>
    <w:p w:rsidR="002500CF" w:rsidP="002500CF" w:rsidRDefault="002500CF" w14:paraId="5BB382A0" w14:textId="77777777">
      <w:r w:rsidRPr="003E42DA">
        <w:t xml:space="preserve">https://www.energy.ca.gov/sites/default/files/2020-12/GFO-20-307_Questions_and_Answers_ADA.docx </w:t>
      </w:r>
    </w:p>
    <w:p w:rsidR="002500CF" w:rsidP="00E3421A" w:rsidRDefault="002500CF" w14:paraId="2C853D6E" w14:textId="77777777"/>
    <w:p w:rsidR="002500CF" w:rsidP="00E3421A" w:rsidRDefault="002500CF" w14:paraId="23585442" w14:textId="77777777"/>
    <w:p w:rsidR="00C6727B" w:rsidRDefault="00A369BC" w14:paraId="04889E0C" w14:textId="77777777">
      <w:r>
        <w:br w:type="page"/>
      </w:r>
    </w:p>
    <w:p w:rsidR="00C6727B" w:rsidP="00A369BC" w:rsidRDefault="00C6727B" w14:paraId="269D2C3F" w14:textId="6F4AA987">
      <w:pPr>
        <w:pStyle w:val="Heading1"/>
      </w:pPr>
      <w:bookmarkStart w:name="_Toc121228714" w:id="0"/>
      <w:r>
        <w:lastRenderedPageBreak/>
        <w:t>Background and Resources</w:t>
      </w:r>
      <w:bookmarkEnd w:id="0"/>
    </w:p>
    <w:p w:rsidRPr="00C6727B" w:rsidR="00C6727B" w:rsidP="00C6727B" w:rsidRDefault="00C6727B" w14:paraId="43932E99" w14:textId="113217BB">
      <w:pPr>
        <w:pStyle w:val="Heading2"/>
        <w:rPr>
          <w:rFonts w:hint="eastAsia"/>
        </w:rPr>
      </w:pPr>
      <w:r>
        <w:t>Background</w:t>
      </w:r>
    </w:p>
    <w:p w:rsidR="00C6727B" w:rsidRDefault="00C6727B" w14:paraId="07C5A94F" w14:textId="098ECC1E">
      <w:pPr>
        <w:pStyle w:val="ListParagraph"/>
        <w:numPr>
          <w:ilvl w:val="0"/>
          <w:numId w:val="2"/>
        </w:numPr>
      </w:pPr>
      <w:r w:rsidRPr="00C6727B">
        <w:t>What is the funding source for this solicitation?</w:t>
      </w:r>
    </w:p>
    <w:p w:rsidR="00183743" w:rsidP="00183743" w:rsidRDefault="00F44CE2" w14:paraId="0DFD1CA6" w14:textId="14BCEDF4">
      <w:pPr>
        <w:pStyle w:val="ListParagraph"/>
        <w:numPr>
          <w:ilvl w:val="1"/>
          <w:numId w:val="2"/>
        </w:numPr>
      </w:pPr>
      <w:r>
        <w:t xml:space="preserve">The funding source for this solicitation is </w:t>
      </w:r>
      <w:r w:rsidRPr="00D5434E" w:rsidR="00D5434E">
        <w:t>the Greenhouse Gas Reduction Fund (GGRF)</w:t>
      </w:r>
      <w:r w:rsidR="007005C8">
        <w:rPr>
          <w:rStyle w:val="CommentReference"/>
        </w:rPr>
        <w:t>.</w:t>
      </w:r>
      <w:r w:rsidRPr="007005C8" w:rsidR="007005C8">
        <w:t xml:space="preserve"> FPIP is part of California Climate Investments, a statewide initiative that puts billions of Cap-and-Trade dollars to work reducing greenhouse gas emissions, strengthening the economy, and improving public health and the environment — particularly in disadvantaged communities.</w:t>
      </w:r>
    </w:p>
    <w:p w:rsidR="00F23676" w:rsidRDefault="00F3798D" w14:paraId="753AA69C" w14:textId="50CECB36">
      <w:pPr>
        <w:pStyle w:val="ListParagraph"/>
        <w:numPr>
          <w:ilvl w:val="0"/>
          <w:numId w:val="2"/>
        </w:numPr>
      </w:pPr>
      <w:r w:rsidRPr="00F3798D">
        <w:rPr>
          <w:b/>
          <w:bCs/>
        </w:rPr>
        <w:t>a.</w:t>
      </w:r>
      <w:r w:rsidRPr="00F3798D">
        <w:t xml:space="preserve"> </w:t>
      </w:r>
      <w:r w:rsidRPr="00C6727B" w:rsidR="00C6727B">
        <w:t xml:space="preserve">Will Tier II projects be eligible under this solicitation? </w:t>
      </w:r>
    </w:p>
    <w:p w:rsidR="00F23676" w:rsidP="003C4839" w:rsidRDefault="00F3798D" w14:paraId="0578C492" w14:textId="62CA3AEC">
      <w:pPr>
        <w:pStyle w:val="ListParagraph"/>
        <w:ind w:left="1260" w:hanging="396"/>
      </w:pPr>
      <w:r w:rsidRPr="00F3798D">
        <w:rPr>
          <w:b/>
          <w:bCs/>
        </w:rPr>
        <w:t>b</w:t>
      </w:r>
      <w:r w:rsidRPr="00F3798D" w:rsidR="003C4839">
        <w:rPr>
          <w:b/>
          <w:bCs/>
        </w:rPr>
        <w:t>.</w:t>
      </w:r>
      <w:r w:rsidR="003C4839">
        <w:t xml:space="preserve"> </w:t>
      </w:r>
      <w:r w:rsidRPr="00C6727B" w:rsidR="00C6727B">
        <w:t xml:space="preserve">If there are remaining or additional funds after Round 1 </w:t>
      </w:r>
      <w:r w:rsidR="077B02AC">
        <w:t>S</w:t>
      </w:r>
      <w:r w:rsidR="00C6727B">
        <w:t>ubmission</w:t>
      </w:r>
      <w:r w:rsidRPr="00C6727B" w:rsidR="00C6727B">
        <w:t xml:space="preserve">, will the solicitation fund Tier II projects, or will Tier I projects only be eligible again? </w:t>
      </w:r>
    </w:p>
    <w:p w:rsidR="00C6727B" w:rsidP="00F23676" w:rsidRDefault="00F3798D" w14:paraId="58ACB4E5" w14:textId="0AA50AFC">
      <w:pPr>
        <w:pStyle w:val="ListParagraph"/>
        <w:ind w:left="864"/>
      </w:pPr>
      <w:r w:rsidRPr="00F3798D">
        <w:rPr>
          <w:b/>
          <w:bCs/>
        </w:rPr>
        <w:t>c</w:t>
      </w:r>
      <w:r w:rsidRPr="00F3798D" w:rsidR="00F23676">
        <w:rPr>
          <w:b/>
          <w:bCs/>
        </w:rPr>
        <w:t>.</w:t>
      </w:r>
      <w:r w:rsidR="00F23676">
        <w:t xml:space="preserve"> </w:t>
      </w:r>
      <w:r w:rsidRPr="00C6727B" w:rsidR="00C6727B">
        <w:t>Will FPIP be doing a solicitation focused on Tier II projects?</w:t>
      </w:r>
    </w:p>
    <w:p w:rsidR="00AA6F0E" w:rsidP="00AA6F0E" w:rsidRDefault="00F3798D" w14:paraId="690493F1" w14:textId="77777777">
      <w:pPr>
        <w:pStyle w:val="ListParagraph"/>
        <w:numPr>
          <w:ilvl w:val="1"/>
          <w:numId w:val="2"/>
        </w:numPr>
      </w:pPr>
      <w:r w:rsidRPr="6ACEB438">
        <w:rPr>
          <w:b/>
          <w:bCs/>
        </w:rPr>
        <w:t>a</w:t>
      </w:r>
      <w:r w:rsidRPr="6ACEB438" w:rsidR="00F56C88">
        <w:rPr>
          <w:b/>
          <w:bCs/>
        </w:rPr>
        <w:t>.</w:t>
      </w:r>
      <w:r w:rsidR="003C4839">
        <w:t xml:space="preserve"> </w:t>
      </w:r>
      <w:r w:rsidR="00136614">
        <w:t xml:space="preserve">No, Tier II projects are not eligible under this solicitation. </w:t>
      </w:r>
    </w:p>
    <w:p w:rsidR="00AA6F0E" w:rsidP="00AA6F0E" w:rsidRDefault="00AA6F0E" w14:paraId="28A4F17D" w14:textId="3AC91954">
      <w:pPr>
        <w:pStyle w:val="ListParagraph"/>
        <w:ind w:left="864"/>
      </w:pPr>
      <w:r w:rsidRPr="00AA6F0E">
        <w:rPr>
          <w:b/>
          <w:bCs/>
        </w:rPr>
        <w:t>b.</w:t>
      </w:r>
      <w:r>
        <w:t xml:space="preserve"> I</w:t>
      </w:r>
      <w:r w:rsidRPr="00136614" w:rsidR="00136614">
        <w:t xml:space="preserve">f there are remaining or additional funds after Round 1 </w:t>
      </w:r>
      <w:r w:rsidR="125170E6">
        <w:t>S</w:t>
      </w:r>
      <w:r w:rsidR="00136614">
        <w:t>ubmission</w:t>
      </w:r>
      <w:r w:rsidRPr="00136614" w:rsidR="00136614">
        <w:t xml:space="preserve">, the solicitation will only be open to Tier I projects for Round 2 </w:t>
      </w:r>
      <w:r w:rsidR="76D927B3">
        <w:t>S</w:t>
      </w:r>
      <w:r w:rsidR="00136614">
        <w:t>ubmission.</w:t>
      </w:r>
    </w:p>
    <w:p w:rsidR="00136614" w:rsidP="00AA6F0E" w:rsidRDefault="00AA6F0E" w14:paraId="712994E5" w14:textId="47DD7057">
      <w:pPr>
        <w:pStyle w:val="ListParagraph"/>
        <w:ind w:left="864"/>
      </w:pPr>
      <w:r w:rsidRPr="00AA6F0E">
        <w:rPr>
          <w:b/>
          <w:bCs/>
        </w:rPr>
        <w:t>c.</w:t>
      </w:r>
      <w:r>
        <w:t xml:space="preserve"> </w:t>
      </w:r>
      <w:r w:rsidR="629DB44C">
        <w:t>N</w:t>
      </w:r>
      <w:r w:rsidR="191BDE53">
        <w:t>o, n</w:t>
      </w:r>
      <w:r w:rsidR="629DB44C">
        <w:t>ot</w:t>
      </w:r>
      <w:r w:rsidR="008A648E">
        <w:t xml:space="preserve"> with </w:t>
      </w:r>
      <w:r w:rsidR="007937D0">
        <w:t xml:space="preserve">the remaining </w:t>
      </w:r>
      <w:r w:rsidR="00FF0729">
        <w:t xml:space="preserve">GGRF money. </w:t>
      </w:r>
      <w:r w:rsidR="007915D5">
        <w:t>FPIP</w:t>
      </w:r>
      <w:r w:rsidR="00A32C07">
        <w:t xml:space="preserve"> was allocated $25 million in the </w:t>
      </w:r>
      <w:r w:rsidR="4B416434">
        <w:t>202</w:t>
      </w:r>
      <w:r w:rsidR="475541E8">
        <w:t>2</w:t>
      </w:r>
      <w:r w:rsidR="4B416434">
        <w:t>-</w:t>
      </w:r>
      <w:r w:rsidR="666AC652">
        <w:t>2</w:t>
      </w:r>
      <w:r w:rsidR="247880CC">
        <w:t>3</w:t>
      </w:r>
      <w:r w:rsidR="00A32C07">
        <w:t xml:space="preserve"> </w:t>
      </w:r>
      <w:r w:rsidR="00D63DF7">
        <w:t>California</w:t>
      </w:r>
      <w:r w:rsidR="000052BC">
        <w:t xml:space="preserve"> </w:t>
      </w:r>
      <w:r w:rsidR="00187DE6">
        <w:t>B</w:t>
      </w:r>
      <w:r w:rsidR="000052BC">
        <w:t xml:space="preserve">udget. </w:t>
      </w:r>
      <w:r w:rsidR="005957EF">
        <w:t xml:space="preserve">The plan for use of these </w:t>
      </w:r>
      <w:r w:rsidR="00D63DF7">
        <w:t>general</w:t>
      </w:r>
      <w:r w:rsidR="005957EF">
        <w:t xml:space="preserve"> funds </w:t>
      </w:r>
      <w:r w:rsidR="00D63DF7">
        <w:t>is</w:t>
      </w:r>
      <w:r w:rsidR="005957EF">
        <w:t xml:space="preserve"> under development</w:t>
      </w:r>
      <w:r w:rsidR="00A20DD3">
        <w:t xml:space="preserve"> </w:t>
      </w:r>
      <w:r w:rsidR="00A9747A">
        <w:t xml:space="preserve">and will be </w:t>
      </w:r>
      <w:r w:rsidR="00A20DD3">
        <w:t>based on the requirements in Assembly Bill 209</w:t>
      </w:r>
      <w:r w:rsidR="65C99B76">
        <w:t>.</w:t>
      </w:r>
      <w:r w:rsidR="007E6C75">
        <w:rPr>
          <w:rStyle w:val="FootnoteReference"/>
        </w:rPr>
        <w:footnoteReference w:id="2"/>
      </w:r>
      <w:r w:rsidRPr="00136614" w:rsidR="00136614">
        <w:t xml:space="preserve"> Applicants can stay up</w:t>
      </w:r>
      <w:r w:rsidRPr="00136614" w:rsidR="7A3D6AED">
        <w:t xml:space="preserve"> </w:t>
      </w:r>
      <w:r w:rsidRPr="00136614" w:rsidR="00136614">
        <w:t>to</w:t>
      </w:r>
      <w:r w:rsidRPr="00136614" w:rsidR="7A3D6AED">
        <w:t xml:space="preserve"> </w:t>
      </w:r>
      <w:r w:rsidRPr="00136614" w:rsidR="00136614">
        <w:t>date with FPIP and future solicitation</w:t>
      </w:r>
      <w:r w:rsidR="00136614">
        <w:t>s</w:t>
      </w:r>
      <w:r w:rsidRPr="00136614" w:rsidR="00136614">
        <w:t xml:space="preserve"> by subscribing to the Food Production Investment Program listserve at: https://www.energy.ca.gov/programs-and-topics/programs/food-production-program</w:t>
      </w:r>
      <w:r w:rsidR="00136614">
        <w:t>.</w:t>
      </w:r>
      <w:r w:rsidRPr="00136614" w:rsidR="00136614">
        <w:t xml:space="preserve"> </w:t>
      </w:r>
    </w:p>
    <w:p w:rsidR="00C6727B" w:rsidRDefault="00C6727B" w14:paraId="76401C4F" w14:textId="7F0EADAC">
      <w:pPr>
        <w:pStyle w:val="ListParagraph"/>
        <w:numPr>
          <w:ilvl w:val="0"/>
          <w:numId w:val="2"/>
        </w:numPr>
      </w:pPr>
      <w:r w:rsidRPr="00C6727B">
        <w:t xml:space="preserve">Is </w:t>
      </w:r>
      <w:r>
        <w:t>the Food Production Investment Program</w:t>
      </w:r>
      <w:r w:rsidRPr="00C6727B">
        <w:t xml:space="preserve"> getting more funding?</w:t>
      </w:r>
    </w:p>
    <w:p w:rsidR="00C6727B" w:rsidRDefault="00744978" w14:paraId="233608D5" w14:textId="18263AB4">
      <w:pPr>
        <w:pStyle w:val="ListParagraph"/>
        <w:numPr>
          <w:ilvl w:val="1"/>
          <w:numId w:val="2"/>
        </w:numPr>
        <w:rPr/>
      </w:pPr>
      <w:r w:rsidR="00744978">
        <w:rPr/>
        <w:t xml:space="preserve">FPIP </w:t>
      </w:r>
      <w:r w:rsidR="00711AD0">
        <w:rPr/>
        <w:t xml:space="preserve">was </w:t>
      </w:r>
      <w:r w:rsidR="00744978">
        <w:rPr/>
        <w:t>allocated $25 million in the 202</w:t>
      </w:r>
      <w:r w:rsidR="4172DDA6">
        <w:rPr/>
        <w:t>2</w:t>
      </w:r>
      <w:r w:rsidR="31334E0C">
        <w:rPr/>
        <w:t>-2</w:t>
      </w:r>
      <w:r w:rsidR="79DEC611">
        <w:rPr/>
        <w:t>3</w:t>
      </w:r>
      <w:r w:rsidR="00744978">
        <w:rPr/>
        <w:t xml:space="preserve"> California Budget. </w:t>
      </w:r>
      <w:r w:rsidR="005E413C">
        <w:rPr/>
        <w:t xml:space="preserve">The source of these funds is the general fund. </w:t>
      </w:r>
      <w:r w:rsidR="002A37EE">
        <w:rPr/>
        <w:t xml:space="preserve">The </w:t>
      </w:r>
      <w:r w:rsidR="00D938E9">
        <w:rPr/>
        <w:t>program using these funds is under development. T</w:t>
      </w:r>
      <w:r w:rsidR="00744978">
        <w:rPr/>
        <w:t xml:space="preserve">he </w:t>
      </w:r>
      <w:r w:rsidR="0058513D">
        <w:rPr/>
        <w:t>California Energy Commission (</w:t>
      </w:r>
      <w:r w:rsidR="00744978">
        <w:rPr/>
        <w:t>CEC</w:t>
      </w:r>
      <w:r w:rsidR="25F8D534">
        <w:rPr/>
        <w:t>)</w:t>
      </w:r>
      <w:r w:rsidR="00744978">
        <w:rPr/>
        <w:t xml:space="preserve"> will hold a public stakeholder workshop </w:t>
      </w:r>
      <w:r w:rsidR="00A9747A">
        <w:rPr/>
        <w:t xml:space="preserve">in Spring 2023 </w:t>
      </w:r>
      <w:r w:rsidR="00D938E9">
        <w:rPr/>
        <w:t xml:space="preserve">to obtain </w:t>
      </w:r>
      <w:r w:rsidR="00744978">
        <w:rPr/>
        <w:t xml:space="preserve">feedback </w:t>
      </w:r>
      <w:r w:rsidR="00FA2E96">
        <w:rPr/>
        <w:t>on the</w:t>
      </w:r>
      <w:r w:rsidR="00D92233">
        <w:rPr/>
        <w:t xml:space="preserve"> </w:t>
      </w:r>
      <w:r w:rsidR="00744978">
        <w:rPr/>
        <w:t xml:space="preserve">future of FPIP. </w:t>
      </w:r>
      <w:r w:rsidR="3D06E9CD">
        <w:rPr/>
        <w:t xml:space="preserve">Applicants are encouraged to subscribe to the Food Production Investment Program </w:t>
      </w:r>
      <w:proofErr w:type="spellStart"/>
      <w:r w:rsidR="3D06E9CD">
        <w:rPr/>
        <w:t>listserve</w:t>
      </w:r>
      <w:proofErr w:type="spellEnd"/>
      <w:r w:rsidR="3D06E9CD">
        <w:rPr/>
        <w:t xml:space="preserve">. </w:t>
      </w:r>
    </w:p>
    <w:p w:rsidR="00C6727B" w:rsidRDefault="00C6727B" w14:paraId="324E042D" w14:textId="1002D5AA">
      <w:pPr>
        <w:pStyle w:val="ListParagraph"/>
        <w:numPr>
          <w:ilvl w:val="0"/>
          <w:numId w:val="2"/>
        </w:numPr>
      </w:pPr>
      <w:r w:rsidRPr="00C6727B">
        <w:t xml:space="preserve">Will the </w:t>
      </w:r>
      <w:r w:rsidR="004974AC">
        <w:t>G</w:t>
      </w:r>
      <w:r w:rsidRPr="00C6727B">
        <w:t xml:space="preserve">eneral </w:t>
      </w:r>
      <w:r w:rsidR="004974AC">
        <w:t>F</w:t>
      </w:r>
      <w:r w:rsidRPr="00C6727B">
        <w:t>und ($25 million) allocation for FPIP be used to fund Round 2 of this solicitation?</w:t>
      </w:r>
    </w:p>
    <w:p w:rsidR="00C6727B" w:rsidRDefault="00C6727B" w14:paraId="43C91F36" w14:textId="56D46761">
      <w:pPr>
        <w:pStyle w:val="ListParagraph"/>
        <w:numPr>
          <w:ilvl w:val="1"/>
          <w:numId w:val="2"/>
        </w:numPr>
      </w:pPr>
      <w:r w:rsidRPr="00C6727B">
        <w:t>No</w:t>
      </w:r>
      <w:r w:rsidR="00550BE5">
        <w:t>.</w:t>
      </w:r>
      <w:r w:rsidRPr="00204DBF" w:rsidR="00204DBF">
        <w:t xml:space="preserve"> The funding for this solicitation is GGRF </w:t>
      </w:r>
      <w:r w:rsidR="00550BE5">
        <w:t>dollars</w:t>
      </w:r>
      <w:r w:rsidRPr="00204DBF" w:rsidR="00204DBF">
        <w:t>. Please also note that Round 2 Submission will only occur if there are remaining or additional funds after</w:t>
      </w:r>
      <w:r w:rsidR="00CA3A91">
        <w:t xml:space="preserve"> the</w:t>
      </w:r>
      <w:r w:rsidRPr="00204DBF" w:rsidR="00204DBF">
        <w:t xml:space="preserve"> Round 1 Submission. For more information on Round 1 and Round 2 Submissions, refer to Section I.E in the Solicitation Manual.</w:t>
      </w:r>
    </w:p>
    <w:p w:rsidR="00C6727B" w:rsidRDefault="00C6727B" w14:paraId="554E7947" w14:textId="57521301">
      <w:pPr>
        <w:pStyle w:val="ListParagraph"/>
        <w:numPr>
          <w:ilvl w:val="0"/>
          <w:numId w:val="2"/>
        </w:numPr>
      </w:pPr>
      <w:r w:rsidRPr="00C6727B">
        <w:t>What has been the largest grant award under Tier I in FPIP?</w:t>
      </w:r>
    </w:p>
    <w:p w:rsidR="00C6727B" w:rsidRDefault="00174C32" w14:paraId="02AFEC74" w14:textId="53F8A9A4">
      <w:pPr>
        <w:pStyle w:val="ListParagraph"/>
        <w:numPr>
          <w:ilvl w:val="1"/>
          <w:numId w:val="2"/>
        </w:numPr>
      </w:pPr>
      <w:r w:rsidRPr="00174C32">
        <w:t xml:space="preserve">Since the start of FPIP, the program has awarded close to 40 Tier I projects. Awarded grant amounts have varied per project from $138,000 to $6,000,000. A complete list of FPIP projects is located at: </w:t>
      </w:r>
      <w:hyperlink r:id="rId11">
        <w:r w:rsidRPr="1490DCB2" w:rsidR="24DAA30E">
          <w:rPr>
            <w:rStyle w:val="Hyperlink"/>
          </w:rPr>
          <w:t>https://www.energy.ca.gov/media/4864</w:t>
        </w:r>
      </w:hyperlink>
      <w:r w:rsidR="47D9740A">
        <w:t>.</w:t>
      </w:r>
    </w:p>
    <w:p w:rsidR="00B830AD" w:rsidP="00B830AD" w:rsidRDefault="00B830AD" w14:paraId="412CA999" w14:textId="77777777"/>
    <w:p w:rsidR="00C6727B" w:rsidP="00C6727B" w:rsidRDefault="00C6727B" w14:paraId="5DBEFE94" w14:textId="11A1B50D">
      <w:pPr>
        <w:pStyle w:val="Heading2"/>
        <w:rPr>
          <w:rFonts w:hint="eastAsia"/>
        </w:rPr>
      </w:pPr>
      <w:r>
        <w:t>Resources</w:t>
      </w:r>
    </w:p>
    <w:p w:rsidR="00C6727B" w:rsidRDefault="00C6727B" w14:paraId="11392866" w14:textId="0CB26A4F">
      <w:pPr>
        <w:pStyle w:val="ListParagraph"/>
        <w:numPr>
          <w:ilvl w:val="0"/>
          <w:numId w:val="2"/>
        </w:numPr>
      </w:pPr>
      <w:r w:rsidRPr="00C6727B">
        <w:t>Will the Pre-Application Workshop slides, recording, and attendee list be avai</w:t>
      </w:r>
      <w:r w:rsidR="00174C32">
        <w:t>l</w:t>
      </w:r>
      <w:r w:rsidRPr="00C6727B">
        <w:t>able to the public? Where will these be located?</w:t>
      </w:r>
    </w:p>
    <w:p w:rsidRPr="00C6727B" w:rsidR="00C6727B" w:rsidRDefault="00C6727B" w14:paraId="03AB6687" w14:textId="26EE3E37">
      <w:pPr>
        <w:pStyle w:val="ListParagraph"/>
        <w:numPr>
          <w:ilvl w:val="1"/>
          <w:numId w:val="2"/>
        </w:numPr>
      </w:pPr>
      <w:r w:rsidRPr="00C6727B">
        <w:t>Yes</w:t>
      </w:r>
      <w:r w:rsidR="0052466E">
        <w:t>, t</w:t>
      </w:r>
      <w:r w:rsidRPr="00C6727B" w:rsidR="00174C32">
        <w:t xml:space="preserve">he Pre-Application Workshop slides, recording, and attendee list </w:t>
      </w:r>
      <w:r w:rsidR="00375DCD">
        <w:t>are</w:t>
      </w:r>
      <w:r w:rsidRPr="00C6727B" w:rsidR="00174C32">
        <w:t xml:space="preserve"> avai</w:t>
      </w:r>
      <w:r w:rsidR="00174C32">
        <w:t>l</w:t>
      </w:r>
      <w:r w:rsidRPr="00C6727B" w:rsidR="00174C32">
        <w:t xml:space="preserve">able </w:t>
      </w:r>
      <w:r w:rsidRPr="00174C32" w:rsidR="00174C32">
        <w:t>on the Pre-Application Workshop - GFO-22-303 page at https://www.energy.ca.gov/event/funding-workshop/2022-11/pre-application-workshop-gfo-22-303-food-production-investment.</w:t>
      </w:r>
    </w:p>
    <w:p w:rsidR="00C6727B" w:rsidRDefault="00C6727B" w14:paraId="08AD82CA" w14:textId="2F8DC4BA">
      <w:pPr>
        <w:pStyle w:val="ListParagraph"/>
        <w:numPr>
          <w:ilvl w:val="0"/>
          <w:numId w:val="2"/>
        </w:numPr>
      </w:pPr>
      <w:r w:rsidRPr="00C6727B">
        <w:t>What is the deadline to submit questions in writing</w:t>
      </w:r>
      <w:r w:rsidR="00375DCD">
        <w:t>,</w:t>
      </w:r>
      <w:r w:rsidRPr="00C6727B">
        <w:t xml:space="preserve"> and </w:t>
      </w:r>
      <w:r w:rsidR="0044547B">
        <w:t xml:space="preserve">to </w:t>
      </w:r>
      <w:r w:rsidRPr="00C6727B">
        <w:t>whom do we submit them to?</w:t>
      </w:r>
    </w:p>
    <w:p w:rsidR="00C6727B" w:rsidRDefault="00291F4A" w14:paraId="6CA0805D" w14:textId="0FCCE914">
      <w:pPr>
        <w:pStyle w:val="ListParagraph"/>
        <w:numPr>
          <w:ilvl w:val="1"/>
          <w:numId w:val="2"/>
        </w:numPr>
      </w:pPr>
      <w:r w:rsidRPr="00291F4A">
        <w:t>The deadline to submit written questions was November 29, 2022, by 5:00 p.m. Please refer to Section I.E in the Solicitation Manual for more information about key dates and deadlines for this solicitation</w:t>
      </w:r>
      <w:r w:rsidR="00640B01">
        <w:t>.</w:t>
      </w:r>
      <w:r w:rsidRPr="00291F4A">
        <w:t xml:space="preserve"> All written questions should </w:t>
      </w:r>
      <w:r w:rsidR="00986D8C">
        <w:t>be submitted</w:t>
      </w:r>
      <w:r w:rsidRPr="00291F4A">
        <w:t xml:space="preserve"> to the Contract Agreement Officer (CAO) for this solicitation - Angela Hockaday. The contact information is angela.hockaday@energy.ca.gov. Refer to Section I.G in the Solicitation Manual for more information about submitting questions.</w:t>
      </w:r>
    </w:p>
    <w:p w:rsidR="00C6727B" w:rsidRDefault="00C6727B" w14:paraId="076D3FFD" w14:textId="6FBA6C53">
      <w:pPr>
        <w:pStyle w:val="ListParagraph"/>
        <w:numPr>
          <w:ilvl w:val="0"/>
          <w:numId w:val="2"/>
        </w:numPr>
      </w:pPr>
      <w:r>
        <w:t>Is there a technical contact for this solicitation?</w:t>
      </w:r>
    </w:p>
    <w:p w:rsidR="00C6727B" w:rsidRDefault="0044547B" w14:paraId="5DDA96A0" w14:textId="49199D24">
      <w:pPr>
        <w:pStyle w:val="ListParagraph"/>
        <w:numPr>
          <w:ilvl w:val="1"/>
          <w:numId w:val="2"/>
        </w:numPr>
      </w:pPr>
      <w:r w:rsidRPr="0044547B">
        <w:t xml:space="preserve">The CAO is the main point of contact for this solicitation. Please refer to the response </w:t>
      </w:r>
      <w:r w:rsidR="003C0E2B">
        <w:t>to</w:t>
      </w:r>
      <w:r w:rsidRPr="0044547B">
        <w:t xml:space="preserve"> Question</w:t>
      </w:r>
      <w:r w:rsidR="006C7500">
        <w:t xml:space="preserve"> </w:t>
      </w:r>
      <w:r w:rsidR="00AA167C">
        <w:t>#</w:t>
      </w:r>
      <w:r w:rsidR="00A4446D">
        <w:t>7</w:t>
      </w:r>
      <w:r w:rsidR="00021700">
        <w:t>.</w:t>
      </w:r>
    </w:p>
    <w:p w:rsidR="00C6727B" w:rsidRDefault="00C6727B" w14:paraId="4430582D" w14:textId="03FEA80D">
      <w:pPr>
        <w:pStyle w:val="ListParagraph"/>
        <w:numPr>
          <w:ilvl w:val="0"/>
          <w:numId w:val="2"/>
        </w:numPr>
      </w:pPr>
      <w:r>
        <w:t xml:space="preserve">Are there any other </w:t>
      </w:r>
      <w:r w:rsidR="361CDDCC">
        <w:t>greenhouse gas (</w:t>
      </w:r>
      <w:r>
        <w:t>GHG</w:t>
      </w:r>
      <w:r w:rsidR="71363812">
        <w:t>)</w:t>
      </w:r>
      <w:r w:rsidR="736EDA4D">
        <w:t>-</w:t>
      </w:r>
      <w:r>
        <w:t xml:space="preserve">reducing grant programs that food processors can apply </w:t>
      </w:r>
      <w:r w:rsidR="003132DD">
        <w:t>for</w:t>
      </w:r>
      <w:r>
        <w:t>?</w:t>
      </w:r>
    </w:p>
    <w:p w:rsidR="00C6727B" w:rsidP="007E492F" w:rsidRDefault="004A082C" w14:paraId="4F7636D0" w14:textId="6BFD9D5A">
      <w:pPr>
        <w:pStyle w:val="ListParagraph"/>
        <w:numPr>
          <w:ilvl w:val="1"/>
          <w:numId w:val="2"/>
        </w:numPr>
      </w:pPr>
      <w:r w:rsidRPr="004A082C">
        <w:t xml:space="preserve">Applicants looking for additional funding opportunities are encouraged to </w:t>
      </w:r>
      <w:r w:rsidR="4B05A2AF">
        <w:t>u</w:t>
      </w:r>
      <w:r w:rsidR="597FE1A0">
        <w:t>s</w:t>
      </w:r>
      <w:r w:rsidR="4B05A2AF">
        <w:t>e</w:t>
      </w:r>
      <w:r w:rsidRPr="004A082C">
        <w:t xml:space="preserve"> the California Grants Portal at https://www.grants.ca.gov and the Federal Grants Portal at </w:t>
      </w:r>
      <w:hyperlink r:id="rId12">
        <w:r w:rsidRPr="1490DCB2" w:rsidR="47179F59">
          <w:rPr>
            <w:rStyle w:val="Hyperlink"/>
          </w:rPr>
          <w:t>https://www.grants.gov</w:t>
        </w:r>
      </w:hyperlink>
      <w:r w:rsidR="4B05A2AF">
        <w:t>.</w:t>
      </w:r>
      <w:r w:rsidR="00DD65AF">
        <w:t xml:space="preserve"> Another </w:t>
      </w:r>
      <w:r w:rsidR="00BE14E1">
        <w:t>resource is</w:t>
      </w:r>
      <w:r w:rsidR="76FAF6D6">
        <w:t xml:space="preserve"> </w:t>
      </w:r>
      <w:r w:rsidR="00BE14E1">
        <w:t>the CEC</w:t>
      </w:r>
      <w:r w:rsidR="00C9018D">
        <w:t>'</w:t>
      </w:r>
      <w:r w:rsidR="00BE14E1">
        <w:t>s Empower Innovation w</w:t>
      </w:r>
      <w:r w:rsidR="00AC0C7A">
        <w:t xml:space="preserve">ebsite at </w:t>
      </w:r>
      <w:hyperlink r:id="rId13">
        <w:r w:rsidRPr="1490DCB2" w:rsidR="54541599">
          <w:rPr>
            <w:rStyle w:val="Hyperlink"/>
          </w:rPr>
          <w:t>https://www.empowerinnovation.net</w:t>
        </w:r>
      </w:hyperlink>
      <w:r w:rsidR="683863B5">
        <w:t>.</w:t>
      </w:r>
      <w:r w:rsidR="00AC0C7A">
        <w:t xml:space="preserve"> This website is a curated database that </w:t>
      </w:r>
      <w:r w:rsidR="00E35744">
        <w:t xml:space="preserve">identifies other potential funding opportunities </w:t>
      </w:r>
      <w:r w:rsidR="00E96C46">
        <w:t>and potential connections with others interested in partnering</w:t>
      </w:r>
      <w:r w:rsidR="00AB5C81">
        <w:t xml:space="preserve"> on projects</w:t>
      </w:r>
      <w:r w:rsidR="09AA87E1">
        <w:t>, and interested applicants are encouraged to sign up there</w:t>
      </w:r>
      <w:r w:rsidR="19D2D417">
        <w:t>.</w:t>
      </w:r>
      <w:r w:rsidR="47179F59">
        <w:t xml:space="preserve"> </w:t>
      </w:r>
    </w:p>
    <w:p w:rsidR="00C6727B" w:rsidP="00C6727B" w:rsidRDefault="00C6727B" w14:paraId="6075AE9F" w14:textId="2813D46E">
      <w:pPr>
        <w:pStyle w:val="Heading1"/>
      </w:pPr>
      <w:bookmarkStart w:name="_Toc121228715" w:id="1"/>
      <w:r>
        <w:t>Solicitation</w:t>
      </w:r>
      <w:bookmarkEnd w:id="1"/>
    </w:p>
    <w:p w:rsidR="00C6727B" w:rsidRDefault="00C6727B" w14:paraId="12DE5852" w14:textId="3ED5D3D8">
      <w:pPr>
        <w:pStyle w:val="ListParagraph"/>
        <w:numPr>
          <w:ilvl w:val="0"/>
          <w:numId w:val="2"/>
        </w:numPr>
      </w:pPr>
      <w:r>
        <w:t xml:space="preserve">Define what </w:t>
      </w:r>
      <w:r w:rsidR="00C9018D">
        <w:t>"</w:t>
      </w:r>
      <w:r w:rsidR="00946978">
        <w:t>industry-standard practice</w:t>
      </w:r>
      <w:r w:rsidR="00C9018D">
        <w:t>"</w:t>
      </w:r>
      <w:r>
        <w:t xml:space="preserve"> means.</w:t>
      </w:r>
    </w:p>
    <w:p w:rsidR="00F30E9D" w:rsidP="00C90CEC" w:rsidRDefault="00DE3887" w14:paraId="0F3BAE75" w14:textId="4E8A2DF4">
      <w:pPr>
        <w:pStyle w:val="ListParagraph"/>
        <w:numPr>
          <w:ilvl w:val="1"/>
          <w:numId w:val="2"/>
        </w:numPr>
      </w:pPr>
      <w:bookmarkStart w:name="_Hlk121915758" w:id="2"/>
      <w:r w:rsidRPr="00DE3887">
        <w:t>For the purposes of FPIP, industry-standard practice is defined as typical equipment, technology</w:t>
      </w:r>
      <w:r w:rsidR="33EBE8DB">
        <w:t>,</w:t>
      </w:r>
      <w:r w:rsidRPr="00DE3887">
        <w:t xml:space="preserve"> or process commonly used in current practice. Standard practice is meeting current standards, such as meeting current Title 24 or other code or standard requirements (e.g., energy). To be eligible for FPIP, grant-funded equipment must exceed these current industry standards.</w:t>
      </w:r>
      <w:bookmarkEnd w:id="2"/>
    </w:p>
    <w:p w:rsidR="006A2F11" w:rsidP="00F30E9D" w:rsidRDefault="00512D9D" w14:paraId="3629A691" w14:textId="5FB08B9D">
      <w:pPr>
        <w:pStyle w:val="ListParagraph"/>
        <w:numPr>
          <w:ilvl w:val="0"/>
          <w:numId w:val="2"/>
        </w:numPr>
      </w:pPr>
      <w:r w:rsidRPr="005A688C">
        <w:rPr>
          <w:b/>
          <w:bCs/>
        </w:rPr>
        <w:t>a.</w:t>
      </w:r>
      <w:r>
        <w:t xml:space="preserve"> Def</w:t>
      </w:r>
      <w:r w:rsidR="0082374C">
        <w:t xml:space="preserve">ine what </w:t>
      </w:r>
      <w:r w:rsidR="275CC407">
        <w:t xml:space="preserve">is </w:t>
      </w:r>
      <w:r w:rsidR="0082374C">
        <w:t xml:space="preserve">a Tier </w:t>
      </w:r>
      <w:r w:rsidR="003E48F5">
        <w:t>I project</w:t>
      </w:r>
      <w:r w:rsidR="006A2F11">
        <w:t>.</w:t>
      </w:r>
    </w:p>
    <w:p w:rsidR="00C6727B" w:rsidP="005A688C" w:rsidRDefault="00053E3B" w14:paraId="64647124" w14:textId="0EE677C0">
      <w:pPr>
        <w:pStyle w:val="ListParagraph"/>
        <w:ind w:left="864"/>
      </w:pPr>
      <w:r w:rsidRPr="005A688C">
        <w:rPr>
          <w:b/>
          <w:bCs/>
        </w:rPr>
        <w:t>b</w:t>
      </w:r>
      <w:r w:rsidRPr="005A688C" w:rsidR="00AC2314">
        <w:rPr>
          <w:b/>
          <w:bCs/>
        </w:rPr>
        <w:t>.</w:t>
      </w:r>
      <w:r w:rsidR="00AC2314">
        <w:t xml:space="preserve"> </w:t>
      </w:r>
      <w:r w:rsidR="00C6727B">
        <w:t xml:space="preserve">What is </w:t>
      </w:r>
      <w:r w:rsidR="21ED6004">
        <w:t xml:space="preserve">a </w:t>
      </w:r>
      <w:r w:rsidR="00C6727B">
        <w:t>Tier II project?</w:t>
      </w:r>
    </w:p>
    <w:p w:rsidR="00DB2EB8" w:rsidP="00E261D5" w:rsidRDefault="002E776A" w14:paraId="683C6B12" w14:textId="2EA40D7D">
      <w:pPr>
        <w:pStyle w:val="ListParagraph"/>
        <w:numPr>
          <w:ilvl w:val="1"/>
          <w:numId w:val="2"/>
        </w:numPr>
      </w:pPr>
      <w:r w:rsidRPr="005A688C">
        <w:rPr>
          <w:b/>
          <w:bCs/>
        </w:rPr>
        <w:t>a</w:t>
      </w:r>
      <w:r>
        <w:t xml:space="preserve">. </w:t>
      </w:r>
      <w:r w:rsidRPr="002E776A">
        <w:t xml:space="preserve">Tier I projects focus on installing commercially available, energy-efficient equipment upgrades as drop-in replacements or additions to current systems, processes, and existing equipment to result in greater GHG emission </w:t>
      </w:r>
      <w:r w:rsidRPr="002E776A">
        <w:lastRenderedPageBreak/>
        <w:t xml:space="preserve">reductions and higher efficiency than current best practices and industry standards. For more information on eligible technologies for Tier I </w:t>
      </w:r>
      <w:r>
        <w:t>project</w:t>
      </w:r>
      <w:r w:rsidR="14F24EA1">
        <w:t>s</w:t>
      </w:r>
      <w:r w:rsidRPr="002E776A">
        <w:t>, refer to Section II.B in the Solicitation Manual</w:t>
      </w:r>
      <w:r w:rsidR="00DB2EB8">
        <w:t>.</w:t>
      </w:r>
    </w:p>
    <w:p w:rsidR="00C6727B" w:rsidP="00BC2B41" w:rsidRDefault="00BC2B41" w14:paraId="6AD77C46" w14:textId="06E408C6">
      <w:pPr>
        <w:pStyle w:val="ListParagraph"/>
        <w:ind w:left="864"/>
      </w:pPr>
      <w:r>
        <w:rPr>
          <w:b/>
          <w:bCs/>
        </w:rPr>
        <w:t>b</w:t>
      </w:r>
      <w:r w:rsidRPr="005A688C">
        <w:t>.</w:t>
      </w:r>
      <w:r>
        <w:t xml:space="preserve"> </w:t>
      </w:r>
      <w:r w:rsidR="00A02E73">
        <w:t>Tier II projects focus on implementing cutting-edge, emerging</w:t>
      </w:r>
      <w:r w:rsidR="006249C9">
        <w:t xml:space="preserve"> technologies that are </w:t>
      </w:r>
      <w:r w:rsidR="00A02E73">
        <w:t xml:space="preserve">not widely used in California </w:t>
      </w:r>
      <w:r w:rsidR="002F7250">
        <w:t>industries</w:t>
      </w:r>
      <w:r w:rsidR="00032DB4">
        <w:t xml:space="preserve"> but </w:t>
      </w:r>
      <w:r w:rsidR="00A02E73">
        <w:t>have been proven elsewhere</w:t>
      </w:r>
      <w:r w:rsidR="00032DB4">
        <w:t xml:space="preserve"> </w:t>
      </w:r>
      <w:r w:rsidR="00046D91">
        <w:t xml:space="preserve">to </w:t>
      </w:r>
      <w:r w:rsidR="00A02E73">
        <w:t xml:space="preserve">reduce GHG emissions. </w:t>
      </w:r>
      <w:r w:rsidR="00411630">
        <w:t>Tier II</w:t>
      </w:r>
      <w:r w:rsidR="00A02E73">
        <w:t xml:space="preserve"> projects are not drop-in-ready replacements for existing equipment</w:t>
      </w:r>
      <w:r w:rsidR="000342BC">
        <w:t xml:space="preserve"> and are not eligible for funding in this solicitation.</w:t>
      </w:r>
      <w:r w:rsidR="00EF3F59">
        <w:t xml:space="preserve"> </w:t>
      </w:r>
      <w:r w:rsidR="00A02E73">
        <w:t>For more information about Tier I and Tier II projects, please refer to the FPIP Guidelines at: https://efiling.energy.ca.gov/GetDocument.aspx?tn=229188&amp;DocumentContentId=60586.</w:t>
      </w:r>
    </w:p>
    <w:p w:rsidR="00C6727B" w:rsidRDefault="00C6727B" w14:paraId="4C6FCF61" w14:textId="38553123">
      <w:pPr>
        <w:pStyle w:val="ListParagraph"/>
        <w:numPr>
          <w:ilvl w:val="0"/>
          <w:numId w:val="2"/>
        </w:numPr>
      </w:pPr>
      <w:r w:rsidRPr="00C6727B">
        <w:t>Define</w:t>
      </w:r>
      <w:r w:rsidR="00EA22B7">
        <w:t xml:space="preserve"> what</w:t>
      </w:r>
      <w:r w:rsidRPr="00C6727B">
        <w:t xml:space="preserve"> "commercially available equipment"</w:t>
      </w:r>
      <w:r w:rsidR="00EA22B7">
        <w:t xml:space="preserve"> means</w:t>
      </w:r>
      <w:r w:rsidR="00B43150">
        <w:t xml:space="preserve"> </w:t>
      </w:r>
      <w:r w:rsidR="008377B1">
        <w:t>under Tier I projects</w:t>
      </w:r>
      <w:r w:rsidRPr="00C6727B">
        <w:t>.</w:t>
      </w:r>
    </w:p>
    <w:p w:rsidR="00C6727B" w:rsidRDefault="00E26539" w14:paraId="320B6184" w14:textId="7F4F95B6">
      <w:pPr>
        <w:pStyle w:val="ListParagraph"/>
        <w:numPr>
          <w:ilvl w:val="1"/>
          <w:numId w:val="2"/>
        </w:numPr>
      </w:pPr>
      <w:r>
        <w:t xml:space="preserve">FPIP defines "commercially available equipment" as </w:t>
      </w:r>
      <w:r w:rsidR="7CBD536F">
        <w:t>equipment that is</w:t>
      </w:r>
      <w:r w:rsidR="56B17C70">
        <w:t xml:space="preserve"> </w:t>
      </w:r>
      <w:r>
        <w:t>readily a</w:t>
      </w:r>
      <w:r w:rsidR="3CCE124B">
        <w:t>vailable</w:t>
      </w:r>
      <w:r>
        <w:t xml:space="preserve"> </w:t>
      </w:r>
      <w:r w:rsidR="006B1E01">
        <w:t xml:space="preserve">for </w:t>
      </w:r>
      <w:r w:rsidR="00214FF2">
        <w:t xml:space="preserve">procurement and </w:t>
      </w:r>
      <w:r w:rsidR="006B1E01">
        <w:t>installation</w:t>
      </w:r>
      <w:r w:rsidR="00073270">
        <w:t>, has been widely used</w:t>
      </w:r>
      <w:r w:rsidR="51D99B7E">
        <w:t>,</w:t>
      </w:r>
      <w:r w:rsidR="00073270">
        <w:t xml:space="preserve"> </w:t>
      </w:r>
      <w:r w:rsidR="00C468F4">
        <w:t xml:space="preserve">and </w:t>
      </w:r>
      <w:r w:rsidR="5DA6FA9F">
        <w:t xml:space="preserve">has </w:t>
      </w:r>
      <w:r w:rsidR="00C468F4">
        <w:t>performance and energy</w:t>
      </w:r>
      <w:r w:rsidR="00B844FA">
        <w:t xml:space="preserve"> savings </w:t>
      </w:r>
      <w:r w:rsidR="185FF68E">
        <w:t xml:space="preserve">that </w:t>
      </w:r>
      <w:r w:rsidR="00B844FA">
        <w:t xml:space="preserve">are well documented. </w:t>
      </w:r>
      <w:r>
        <w:t xml:space="preserve">This equipment should be drop-in ready for replacement of existing equipment. Equipment </w:t>
      </w:r>
      <w:r w:rsidR="00B844FA">
        <w:t xml:space="preserve">must </w:t>
      </w:r>
      <w:r>
        <w:t xml:space="preserve">be fully developed and operational, </w:t>
      </w:r>
      <w:r w:rsidR="002B400B">
        <w:t xml:space="preserve">and </w:t>
      </w:r>
      <w:r>
        <w:t>not in a research or demonstration phase.</w:t>
      </w:r>
      <w:r w:rsidR="008377B1">
        <w:t xml:space="preserve"> For the prescriptive list of eligible technologies for Tier I projects, please refer to Section II.B. in the Solicitation Manual.</w:t>
      </w:r>
    </w:p>
    <w:p w:rsidR="00C6727B" w:rsidRDefault="00C6727B" w14:paraId="33FD905E" w14:textId="7C58C9AA">
      <w:pPr>
        <w:pStyle w:val="ListParagraph"/>
        <w:numPr>
          <w:ilvl w:val="0"/>
          <w:numId w:val="2"/>
        </w:numPr>
      </w:pPr>
      <w:r w:rsidRPr="00C6727B">
        <w:t>Is the goal of this solicitation reduction in global warming potentials (GWP) or GHG emissions?</w:t>
      </w:r>
    </w:p>
    <w:p w:rsidR="00C6727B" w:rsidRDefault="00BF46D5" w14:paraId="06BE5E84" w14:textId="4D3F60FD">
      <w:pPr>
        <w:pStyle w:val="ListParagraph"/>
        <w:numPr>
          <w:ilvl w:val="1"/>
          <w:numId w:val="2"/>
        </w:numPr>
      </w:pPr>
      <w:r w:rsidRPr="00BF46D5">
        <w:t>The primary purpose of FPIP is to reduce onsite GHG emissions at eligible food processing plants.</w:t>
      </w:r>
    </w:p>
    <w:p w:rsidR="00C6727B" w:rsidRDefault="00C6727B" w14:paraId="758CE4D1" w14:textId="6E1966C4">
      <w:pPr>
        <w:pStyle w:val="ListParagraph"/>
        <w:numPr>
          <w:ilvl w:val="0"/>
          <w:numId w:val="2"/>
        </w:numPr>
      </w:pPr>
      <w:r w:rsidRPr="00C6727B">
        <w:t xml:space="preserve">Can </w:t>
      </w:r>
      <w:r w:rsidR="008454F3">
        <w:t xml:space="preserve">the </w:t>
      </w:r>
      <w:r w:rsidRPr="00C6727B">
        <w:t>funding from other programs be stacked with this funding if awarded?</w:t>
      </w:r>
    </w:p>
    <w:p w:rsidR="00C6727B" w:rsidRDefault="008B39DF" w14:paraId="6CC7C249" w14:textId="511A4DAF">
      <w:pPr>
        <w:pStyle w:val="ListParagraph"/>
        <w:numPr>
          <w:ilvl w:val="1"/>
          <w:numId w:val="2"/>
        </w:numPr>
      </w:pPr>
      <w:r>
        <w:t xml:space="preserve">Possibly. </w:t>
      </w:r>
      <w:r w:rsidR="007A0240">
        <w:t>Third-party fund</w:t>
      </w:r>
      <w:r w:rsidR="00F33A55">
        <w:t>s</w:t>
      </w:r>
      <w:r w:rsidR="007A0240">
        <w:t xml:space="preserve"> from non-CEC sources could be considered eligible match funds if </w:t>
      </w:r>
      <w:r w:rsidR="4849AE7A">
        <w:t>they</w:t>
      </w:r>
      <w:r w:rsidR="007A0240">
        <w:t xml:space="preserve"> meet the requirements of Section I.K of the Solicitation Manual. </w:t>
      </w:r>
      <w:r w:rsidR="00342301">
        <w:t>However, p</w:t>
      </w:r>
      <w:r w:rsidR="007A0240">
        <w:t>reviously awarded FPIP funds, other CEC program funds, and future/contingent awards are not eligible as match funds. The</w:t>
      </w:r>
      <w:r w:rsidR="00E3506D">
        <w:t xml:space="preserve">se </w:t>
      </w:r>
      <w:r w:rsidR="00907738">
        <w:t xml:space="preserve">funds </w:t>
      </w:r>
      <w:r w:rsidR="007A0240">
        <w:t>cannot be combined or used to satisfy the match requirement for this solicitation.</w:t>
      </w:r>
      <w:r w:rsidR="00E3506D">
        <w:t xml:space="preserve"> If the applicant is leveraging or pursuing funding from multiple sources of GGRF, the applicant must describe all existing or potential GGRF sources in their application materials.</w:t>
      </w:r>
    </w:p>
    <w:p w:rsidR="00C6727B" w:rsidRDefault="00C6727B" w14:paraId="30B958C7" w14:textId="36DD09A5">
      <w:pPr>
        <w:pStyle w:val="ListParagraph"/>
        <w:numPr>
          <w:ilvl w:val="0"/>
          <w:numId w:val="2"/>
        </w:numPr>
      </w:pPr>
      <w:r w:rsidRPr="00C6727B">
        <w:t>Can other GGRF funds be applied toward the match requirement?</w:t>
      </w:r>
      <w:r w:rsidRPr="00C6727B">
        <w:tab/>
      </w:r>
    </w:p>
    <w:p w:rsidR="00C6727B" w:rsidRDefault="00351D1E" w14:paraId="49CCB1C7" w14:textId="52B4E65B">
      <w:pPr>
        <w:pStyle w:val="ListParagraph"/>
        <w:numPr>
          <w:ilvl w:val="1"/>
          <w:numId w:val="2"/>
        </w:numPr>
      </w:pPr>
      <w:r>
        <w:t xml:space="preserve">Please refer to the response to Question </w:t>
      </w:r>
      <w:r w:rsidR="00F33A55">
        <w:t>#</w:t>
      </w:r>
      <w:r w:rsidR="00876190">
        <w:t>14</w:t>
      </w:r>
      <w:r>
        <w:t>.</w:t>
      </w:r>
    </w:p>
    <w:p w:rsidR="001E2C6F" w:rsidP="00A369BC" w:rsidRDefault="00C6727B" w14:paraId="08499685" w14:textId="53EAF369">
      <w:pPr>
        <w:pStyle w:val="Heading1"/>
      </w:pPr>
      <w:bookmarkStart w:name="_Toc121228716" w:id="3"/>
      <w:r>
        <w:t>Applicant and Facility</w:t>
      </w:r>
      <w:bookmarkEnd w:id="3"/>
    </w:p>
    <w:p w:rsidR="001E2C6F" w:rsidP="00C6727B" w:rsidRDefault="00C6727B" w14:paraId="17F187B0" w14:textId="25438D77">
      <w:pPr>
        <w:pStyle w:val="Heading2"/>
        <w:rPr>
          <w:rFonts w:hint="eastAsia"/>
        </w:rPr>
      </w:pPr>
      <w:r>
        <w:t>Applicant</w:t>
      </w:r>
    </w:p>
    <w:p w:rsidR="00C6727B" w:rsidRDefault="00C6727B" w14:paraId="5178634E" w14:textId="77777777">
      <w:pPr>
        <w:pStyle w:val="ListParagraph"/>
        <w:numPr>
          <w:ilvl w:val="0"/>
          <w:numId w:val="2"/>
        </w:numPr>
      </w:pPr>
      <w:r w:rsidRPr="00C6727B">
        <w:t>Should the applicant be the technology manufacturer on the project or recipient of the equipment? Can a technology manufacturer be the primary applicant?</w:t>
      </w:r>
    </w:p>
    <w:p w:rsidR="00C6110C" w:rsidP="00C6110C" w:rsidRDefault="00C6110C" w14:paraId="6A072FE4" w14:textId="38C08FBE">
      <w:pPr>
        <w:pStyle w:val="ListParagraph"/>
        <w:numPr>
          <w:ilvl w:val="1"/>
          <w:numId w:val="2"/>
        </w:numPr>
      </w:pPr>
      <w:r>
        <w:t xml:space="preserve">No, technology manufacturers or project subcontractors are not eligible to apply and </w:t>
      </w:r>
      <w:r w:rsidR="002E1557">
        <w:t xml:space="preserve">cannot </w:t>
      </w:r>
      <w:r>
        <w:t>be the prim</w:t>
      </w:r>
      <w:r w:rsidR="00876190">
        <w:t>e</w:t>
      </w:r>
      <w:r>
        <w:t xml:space="preserve"> applicant. The applicant must own or operate one or more food processing facilities located in California and fall under the defined </w:t>
      </w:r>
      <w:r>
        <w:lastRenderedPageBreak/>
        <w:t>N</w:t>
      </w:r>
      <w:r w:rsidR="2BD85A55">
        <w:t>orth American Industry Classification System (N</w:t>
      </w:r>
      <w:r>
        <w:t>AICS</w:t>
      </w:r>
      <w:r w:rsidR="380ECFEF">
        <w:t>)</w:t>
      </w:r>
      <w:r>
        <w:t xml:space="preserve"> codes 311 (Food Manufacturing) and 3121 (Beverage Manufacturing).</w:t>
      </w:r>
    </w:p>
    <w:p w:rsidR="00FC14FC" w:rsidP="00C6110C" w:rsidRDefault="00FC14FC" w14:paraId="1A016E58" w14:textId="77777777">
      <w:pPr>
        <w:pStyle w:val="ListParagraph"/>
        <w:ind w:left="864"/>
      </w:pPr>
    </w:p>
    <w:p w:rsidR="00F7015C" w:rsidP="00C6110C" w:rsidRDefault="00C6110C" w14:paraId="42E85E0E" w14:textId="423F92D9">
      <w:pPr>
        <w:pStyle w:val="ListParagraph"/>
        <w:ind w:left="864"/>
      </w:pPr>
      <w:r>
        <w:t>Applicants may u</w:t>
      </w:r>
      <w:r w:rsidR="19504E5A">
        <w:t xml:space="preserve">se </w:t>
      </w:r>
      <w:r>
        <w:t>subcontractors to assist them in grant application preparation; however, the application package must be reviewed and signed by the applicant prior to submission. Please note that Section IV.D.1 of the Solicitation Manual states, "The CEC will not reimburse applicants for application development expenses under any circumstances, including cancellation of the solicitation." Costs must be incurred during the agreement term to be reimbursable or counted as match funds.</w:t>
      </w:r>
    </w:p>
    <w:p w:rsidR="00FC14FC" w:rsidP="00C6110C" w:rsidRDefault="00FC14FC" w14:paraId="59FF3462" w14:textId="77777777">
      <w:pPr>
        <w:pStyle w:val="ListParagraph"/>
        <w:ind w:left="864"/>
      </w:pPr>
    </w:p>
    <w:p w:rsidR="00C6727B" w:rsidP="00C6727B" w:rsidRDefault="00C6727B" w14:paraId="5F3B5B11" w14:textId="1286829A">
      <w:pPr>
        <w:pStyle w:val="Heading2"/>
        <w:rPr>
          <w:rFonts w:hint="eastAsia"/>
        </w:rPr>
      </w:pPr>
      <w:r>
        <w:t>Facility</w:t>
      </w:r>
    </w:p>
    <w:p w:rsidR="00C6727B" w:rsidRDefault="00C6727B" w14:paraId="4B282508" w14:textId="77777777">
      <w:pPr>
        <w:pStyle w:val="ListParagraph"/>
        <w:numPr>
          <w:ilvl w:val="0"/>
          <w:numId w:val="2"/>
        </w:numPr>
      </w:pPr>
      <w:r w:rsidRPr="00C6727B">
        <w:t>Can a beverage manufacturer apply to this solicitation?</w:t>
      </w:r>
    </w:p>
    <w:p w:rsidR="00C6727B" w:rsidRDefault="00401E22" w14:paraId="4D4D0A90" w14:textId="239E926D">
      <w:pPr>
        <w:pStyle w:val="ListParagraph"/>
        <w:numPr>
          <w:ilvl w:val="1"/>
          <w:numId w:val="2"/>
        </w:numPr>
      </w:pPr>
      <w:r>
        <w:t>Yes, food processing facilities may apply if they are located in California and defined by the</w:t>
      </w:r>
      <w:r w:rsidR="0E11D446">
        <w:t xml:space="preserve"> </w:t>
      </w:r>
      <w:r>
        <w:t>NAICS codes 311 (Food Manufacturing) and 3121 (Beverage Manufacturing). Applicants must also meet all eligibility and other criteria specified in the solicitation. For more information, please refer to Section II.A of the Solicitation Manual.</w:t>
      </w:r>
    </w:p>
    <w:p w:rsidR="00C6727B" w:rsidRDefault="00C6727B" w14:paraId="3A543764" w14:textId="77777777">
      <w:pPr>
        <w:pStyle w:val="ListParagraph"/>
        <w:numPr>
          <w:ilvl w:val="0"/>
          <w:numId w:val="2"/>
        </w:numPr>
      </w:pPr>
      <w:r w:rsidRPr="00C6727B">
        <w:t>Is a facility that is a citrus packing house, used for the cultivation of cannabis, and has a manufacturing license for making cannabis-infused products eligible for this solicitation?</w:t>
      </w:r>
    </w:p>
    <w:p w:rsidR="00C6727B" w:rsidRDefault="774B3449" w14:paraId="45A57CC6" w14:textId="1DDB11F6">
      <w:pPr>
        <w:pStyle w:val="ListParagraph"/>
        <w:numPr>
          <w:ilvl w:val="1"/>
          <w:numId w:val="2"/>
        </w:numPr>
      </w:pPr>
      <w:r>
        <w:t>No, packing and cannabis production facilities are not eligible for this solicitation. Please refer to the response to Question #</w:t>
      </w:r>
      <w:r w:rsidR="363EF0B2">
        <w:t>17</w:t>
      </w:r>
      <w:r w:rsidR="75B24E61">
        <w:t>.</w:t>
      </w:r>
    </w:p>
    <w:p w:rsidR="00C6727B" w:rsidRDefault="00C6727B" w14:paraId="68CEEF22" w14:textId="77777777">
      <w:pPr>
        <w:pStyle w:val="ListParagraph"/>
        <w:numPr>
          <w:ilvl w:val="0"/>
          <w:numId w:val="2"/>
        </w:numPr>
      </w:pPr>
      <w:r w:rsidRPr="00C6727B">
        <w:t>Are coffee roasting facilities eligible for this solicitation?</w:t>
      </w:r>
    </w:p>
    <w:p w:rsidR="00C6727B" w:rsidRDefault="00936EEB" w14:paraId="177792C1" w14:textId="61962358">
      <w:pPr>
        <w:pStyle w:val="ListParagraph"/>
        <w:numPr>
          <w:ilvl w:val="1"/>
          <w:numId w:val="2"/>
        </w:numPr>
      </w:pPr>
      <w:r>
        <w:t xml:space="preserve">If the facility falls under the NAICS codes 311 (Food Manufacturing) </w:t>
      </w:r>
      <w:r w:rsidR="00AE47AA">
        <w:t>or</w:t>
      </w:r>
      <w:r>
        <w:t xml:space="preserve"> 3121 (Beverage manufacturing), it will be eligible to apply for this solicitation. Please refer to the response to Question #</w:t>
      </w:r>
      <w:r w:rsidR="00A303B0">
        <w:t>17</w:t>
      </w:r>
      <w:r>
        <w:t>.</w:t>
      </w:r>
    </w:p>
    <w:p w:rsidR="00C6727B" w:rsidRDefault="00C6727B" w14:paraId="017B08E9" w14:textId="4F0F3CD0">
      <w:pPr>
        <w:pStyle w:val="ListParagraph"/>
        <w:numPr>
          <w:ilvl w:val="0"/>
          <w:numId w:val="2"/>
        </w:numPr>
      </w:pPr>
      <w:r>
        <w:t xml:space="preserve">Is a controlled environment agriculture facility, with the primary NAICS code of 424480, that </w:t>
      </w:r>
      <w:r w:rsidR="0D09FBEB">
        <w:t xml:space="preserve">does </w:t>
      </w:r>
      <w:r>
        <w:t>harvesting and packaging onsite to sell directly to retail as a packaged finished product eligible for this solicitation?</w:t>
      </w:r>
    </w:p>
    <w:p w:rsidRPr="00C6727B" w:rsidR="00C6727B" w:rsidRDefault="003E37FA" w14:paraId="0225F8C7" w14:textId="04803B10">
      <w:pPr>
        <w:pStyle w:val="ListParagraph"/>
        <w:numPr>
          <w:ilvl w:val="1"/>
          <w:numId w:val="2"/>
        </w:numPr>
      </w:pPr>
      <w:r w:rsidRPr="003E37FA">
        <w:t>No, the NAICS code does not fall under the eligible food processing facilities for this solicitation. Please refer to the response to Question #</w:t>
      </w:r>
      <w:r w:rsidR="00CA6FC6">
        <w:t>17</w:t>
      </w:r>
      <w:r w:rsidRPr="00C6727B" w:rsidR="00C6727B">
        <w:t>.</w:t>
      </w:r>
    </w:p>
    <w:p w:rsidR="00A369BC" w:rsidP="00A369BC" w:rsidRDefault="00C52CDE" w14:paraId="7DF24E5C" w14:textId="0EA71602">
      <w:pPr>
        <w:pStyle w:val="Heading1"/>
      </w:pPr>
      <w:bookmarkStart w:name="_Toc121228717" w:id="4"/>
      <w:r>
        <w:t>P</w:t>
      </w:r>
      <w:r w:rsidR="00A369BC">
        <w:t>roject</w:t>
      </w:r>
      <w:r w:rsidR="00163B92">
        <w:t xml:space="preserve"> and Technology</w:t>
      </w:r>
      <w:bookmarkEnd w:id="4"/>
    </w:p>
    <w:p w:rsidR="00C6727B" w:rsidP="00891116" w:rsidRDefault="00C6727B" w14:paraId="76E2D1E4" w14:textId="35837579">
      <w:pPr>
        <w:pStyle w:val="Heading2"/>
        <w:rPr>
          <w:rFonts w:hint="eastAsia"/>
        </w:rPr>
      </w:pPr>
      <w:r>
        <w:t>GHG Emissions</w:t>
      </w:r>
    </w:p>
    <w:p w:rsidR="00C6727B" w:rsidRDefault="00C6727B" w14:paraId="5F93702F" w14:textId="0ECFE84A">
      <w:pPr>
        <w:pStyle w:val="ListParagraph"/>
        <w:numPr>
          <w:ilvl w:val="0"/>
          <w:numId w:val="2"/>
        </w:numPr>
      </w:pPr>
      <w:r>
        <w:t>How does an applicant estimate the baseline (requ</w:t>
      </w:r>
      <w:r w:rsidR="00975482">
        <w:t>ir</w:t>
      </w:r>
      <w:r>
        <w:t>ed for the application) for the facility and the proposed equipment/systems that will be replaced?</w:t>
      </w:r>
    </w:p>
    <w:p w:rsidR="00A81BFD" w:rsidP="007E492F" w:rsidRDefault="0042435E" w14:paraId="7798673B" w14:textId="2E48DDF7">
      <w:pPr>
        <w:pStyle w:val="ListParagraph"/>
        <w:numPr>
          <w:ilvl w:val="1"/>
          <w:numId w:val="2"/>
        </w:numPr>
      </w:pPr>
      <w:r>
        <w:t xml:space="preserve">The </w:t>
      </w:r>
      <w:r w:rsidR="00C5114E">
        <w:t>baseline required for the a</w:t>
      </w:r>
      <w:r>
        <w:t xml:space="preserve">pplication will be estimated based on current equipment type and operations and using the emissions factors from Attachment 9, FPIP Benefit Calculator. Establishing this baseline as part of the application is not reimbursable by the grant. Applicants should use the best available information to fill out the baseline portion of the FPIP Benefits </w:t>
      </w:r>
      <w:r>
        <w:lastRenderedPageBreak/>
        <w:t>Calculator. If baseline data is unavailable, equipment specification sheets for the existing equipment can be used in conjunction with the</w:t>
      </w:r>
      <w:r w:rsidR="634DDB9C">
        <w:t xml:space="preserve"> U.S. Department of Energy’s</w:t>
      </w:r>
      <w:r>
        <w:t xml:space="preserve"> MEASUR</w:t>
      </w:r>
      <w:r w:rsidR="00A129C4">
        <w:rPr>
          <w:rStyle w:val="FootnoteReference"/>
        </w:rPr>
        <w:footnoteReference w:id="3"/>
      </w:r>
      <w:r>
        <w:t xml:space="preserve"> tool to estimate baseline energy use. Utility </w:t>
      </w:r>
      <w:r w:rsidR="00937878">
        <w:t xml:space="preserve">and other related energy data </w:t>
      </w:r>
      <w:r w:rsidR="00053339">
        <w:t>sources can</w:t>
      </w:r>
      <w:r>
        <w:t xml:space="preserve"> also be used as supporting materials. The grant can fund the post-award M&amp;V for baseline and post-retrofit if a third-party subcontractor is used for this M&amp;V. Post-award M&amp;V will be monitored, collected, and </w:t>
      </w:r>
      <w:r w:rsidR="00742AFB">
        <w:t>ver</w:t>
      </w:r>
      <w:r w:rsidR="00D72119">
        <w:t>ified</w:t>
      </w:r>
      <w:r w:rsidR="004F47A2">
        <w:t xml:space="preserve"> to validate the GHG emissions and energy reductions attained by the equipment installations.</w:t>
      </w:r>
      <w:r>
        <w:t xml:space="preserve"> </w:t>
      </w:r>
    </w:p>
    <w:p w:rsidR="004F47A2" w:rsidP="004F47A2" w:rsidRDefault="004F47A2" w14:paraId="1D99832F" w14:textId="77777777">
      <w:pPr>
        <w:pStyle w:val="ListParagraph"/>
        <w:ind w:left="864"/>
      </w:pPr>
    </w:p>
    <w:p w:rsidR="00C6727B" w:rsidP="0042435E" w:rsidRDefault="00322FBC" w14:paraId="0F3E6D84" w14:textId="758F39A0">
      <w:pPr>
        <w:pStyle w:val="ListParagraph"/>
        <w:ind w:left="864"/>
      </w:pPr>
      <w:r>
        <w:t>In summary, t</w:t>
      </w:r>
      <w:r w:rsidR="0042435E">
        <w:t xml:space="preserve">here are </w:t>
      </w:r>
      <w:r w:rsidR="45DAB5F4">
        <w:t>three</w:t>
      </w:r>
      <w:r w:rsidR="0042435E">
        <w:t xml:space="preserve"> M&amp;V phases: Phase I M&amp;V will be conducted before application submittal and is not reimbursable by the grant. Phase II M&amp;V </w:t>
      </w:r>
      <w:r w:rsidR="00177546">
        <w:t xml:space="preserve">occurs after </w:t>
      </w:r>
      <w:r w:rsidR="00721447">
        <w:t xml:space="preserve">the grant award and </w:t>
      </w:r>
      <w:r w:rsidR="0042435E">
        <w:t xml:space="preserve">will happen before </w:t>
      </w:r>
      <w:r w:rsidR="00B86B93">
        <w:t xml:space="preserve">the grant-funded </w:t>
      </w:r>
      <w:r w:rsidR="0042435E">
        <w:t>equipment is installed to obtain a more accurate baseline. Phase III M&amp;V will be post-implementation</w:t>
      </w:r>
      <w:r w:rsidR="00721447">
        <w:t xml:space="preserve"> of the </w:t>
      </w:r>
      <w:r w:rsidR="00B86B93">
        <w:t>grant-funded projects</w:t>
      </w:r>
      <w:r w:rsidR="0042435E">
        <w:t>. Phase II and Phase III are reimbursable expenses under the M&amp;V category if a third-party subcontractor does the work. Please refer to Section II.B.1 in the Solicitation Manual for more information.</w:t>
      </w:r>
    </w:p>
    <w:p w:rsidR="00C6727B" w:rsidRDefault="00C6727B" w14:paraId="1821EC50" w14:textId="535A8934">
      <w:pPr>
        <w:pStyle w:val="ListParagraph"/>
        <w:numPr>
          <w:ilvl w:val="0"/>
          <w:numId w:val="2"/>
        </w:numPr>
      </w:pPr>
      <w:r w:rsidRPr="00C6727B">
        <w:t xml:space="preserve">How should the applicant determine the past two-year </w:t>
      </w:r>
      <w:r w:rsidR="00CF7023">
        <w:t>electricity consumption</w:t>
      </w:r>
      <w:r w:rsidRPr="00C6727B">
        <w:t xml:space="preserve"> of a process or piece of equipment compared to the overall energy consumption of the complete facility?</w:t>
      </w:r>
    </w:p>
    <w:p w:rsidR="00C6727B" w:rsidRDefault="00472882" w14:paraId="56E009B3" w14:textId="72501A0B">
      <w:pPr>
        <w:pStyle w:val="ListParagraph"/>
        <w:numPr>
          <w:ilvl w:val="1"/>
          <w:numId w:val="2"/>
        </w:numPr>
      </w:pPr>
      <w:r w:rsidRPr="003E37FA">
        <w:t>Please refer to the response to Question #</w:t>
      </w:r>
      <w:r w:rsidR="00860172">
        <w:t>21</w:t>
      </w:r>
      <w:r w:rsidRPr="00C6727B">
        <w:t>.</w:t>
      </w:r>
    </w:p>
    <w:p w:rsidR="00C6727B" w:rsidRDefault="00C6727B" w14:paraId="60EBECC4" w14:textId="77777777">
      <w:pPr>
        <w:pStyle w:val="ListParagraph"/>
        <w:numPr>
          <w:ilvl w:val="0"/>
          <w:numId w:val="2"/>
        </w:numPr>
      </w:pPr>
      <w:r w:rsidRPr="00C6727B">
        <w:t>Can an applicant use past utility data of the facility if they do not have the specific energy data on the existing equipment or process being proposed for replacement?</w:t>
      </w:r>
    </w:p>
    <w:p w:rsidRPr="00C6727B" w:rsidR="00C6727B" w:rsidRDefault="00472882" w14:paraId="32D7D09C" w14:textId="70BAF88C">
      <w:pPr>
        <w:pStyle w:val="ListParagraph"/>
        <w:numPr>
          <w:ilvl w:val="1"/>
          <w:numId w:val="2"/>
        </w:numPr>
      </w:pPr>
      <w:r w:rsidRPr="003E37FA">
        <w:t xml:space="preserve">Please refer to the response to Question </w:t>
      </w:r>
      <w:r w:rsidR="009C5156">
        <w:t>#21</w:t>
      </w:r>
      <w:r w:rsidRPr="00C6727B">
        <w:t>.</w:t>
      </w:r>
    </w:p>
    <w:p w:rsidR="00891116" w:rsidP="00891116" w:rsidRDefault="00891116" w14:paraId="2A09BD63" w14:textId="30060CEB">
      <w:pPr>
        <w:pStyle w:val="Heading2"/>
        <w:rPr>
          <w:rFonts w:hint="eastAsia"/>
        </w:rPr>
      </w:pPr>
      <w:r>
        <w:t xml:space="preserve">Project </w:t>
      </w:r>
      <w:r w:rsidR="00723525">
        <w:t>E</w:t>
      </w:r>
      <w:r>
        <w:t>ligibility</w:t>
      </w:r>
    </w:p>
    <w:p w:rsidR="00C6727B" w:rsidRDefault="00C6727B" w14:paraId="3D9838F2" w14:textId="77777777">
      <w:pPr>
        <w:pStyle w:val="ListParagraph"/>
        <w:numPr>
          <w:ilvl w:val="0"/>
          <w:numId w:val="2"/>
        </w:numPr>
      </w:pPr>
      <w:r w:rsidRPr="00C6727B">
        <w:t>Is third-party financing and ownership of eligible equipment installed at the applicant's facility allowed if the applicant remains the direct Prime of the CEC grant?</w:t>
      </w:r>
    </w:p>
    <w:p w:rsidR="00C6727B" w:rsidRDefault="00193BB2" w14:paraId="650C13FF" w14:textId="4AF4B7EC">
      <w:pPr>
        <w:pStyle w:val="ListParagraph"/>
        <w:numPr>
          <w:ilvl w:val="1"/>
          <w:numId w:val="2"/>
        </w:numPr>
      </w:pPr>
      <w:r w:rsidRPr="00193BB2">
        <w:t xml:space="preserve">No. </w:t>
      </w:r>
      <w:r w:rsidRPr="00743224" w:rsidR="00743224">
        <w:t xml:space="preserve">The recipient must hold </w:t>
      </w:r>
      <w:r w:rsidR="00B1078C">
        <w:t xml:space="preserve">title to the </w:t>
      </w:r>
      <w:r w:rsidRPr="00743224" w:rsidR="00743224">
        <w:t>equipment, and the CEC is not responsible for any agreement with a third party. Rental</w:t>
      </w:r>
      <w:r w:rsidR="00205CC1">
        <w:t xml:space="preserve"> or lease</w:t>
      </w:r>
      <w:r w:rsidRPr="00743224" w:rsidR="00743224">
        <w:t xml:space="preserve"> fees are not eligible </w:t>
      </w:r>
      <w:r w:rsidR="0084076D">
        <w:t>costs</w:t>
      </w:r>
      <w:r w:rsidRPr="00743224" w:rsidR="00743224">
        <w:t xml:space="preserve">. FPIP's Terms and Conditions, Section 14, state, "Title to equipment acquired by the Recipient with grant funds will vest in the Recipient." </w:t>
      </w:r>
      <w:r w:rsidR="00743224">
        <w:t xml:space="preserve">Please refer to the FPIP's T&amp;Cs for more information at: </w:t>
      </w:r>
      <w:hyperlink r:id="rId14">
        <w:r w:rsidRPr="1FDE783D" w:rsidR="00743224">
          <w:rPr>
            <w:rStyle w:val="Hyperlink"/>
          </w:rPr>
          <w:t>https://www.energy.ca.gov/sites</w:t>
        </w:r>
      </w:hyperlink>
      <w:r w:rsidRPr="1FDE783D" w:rsidR="00743224">
        <w:rPr>
          <w:rStyle w:val="Hyperlink"/>
        </w:rPr>
        <w:t xml:space="preserve">/default/files/2020-02/FPIP_Grant_TCs_ada.pdf </w:t>
      </w:r>
      <w:r w:rsidRPr="00743224" w:rsidR="00743224">
        <w:t>.</w:t>
      </w:r>
    </w:p>
    <w:p w:rsidR="00C6727B" w:rsidRDefault="00C6727B" w14:paraId="109FA5B4" w14:textId="57A4B6F7">
      <w:pPr>
        <w:pStyle w:val="ListParagraph"/>
        <w:numPr>
          <w:ilvl w:val="0"/>
          <w:numId w:val="2"/>
        </w:numPr>
      </w:pPr>
      <w:r w:rsidRPr="00C6727B">
        <w:t>Can a project lease equipment?</w:t>
      </w:r>
    </w:p>
    <w:p w:rsidR="00A660EA" w:rsidP="00A660EA" w:rsidRDefault="00A660EA" w14:paraId="0EDC3036" w14:textId="4635C01A">
      <w:pPr>
        <w:pStyle w:val="ListParagraph"/>
        <w:numPr>
          <w:ilvl w:val="1"/>
          <w:numId w:val="2"/>
        </w:numPr>
      </w:pPr>
      <w:r>
        <w:t xml:space="preserve">No, projects are not allowed to lease equipment. Please refer to </w:t>
      </w:r>
      <w:r w:rsidR="001A780D">
        <w:t xml:space="preserve">the </w:t>
      </w:r>
      <w:r w:rsidR="002265C6">
        <w:t>response to Question #24</w:t>
      </w:r>
      <w:r>
        <w:t>.</w:t>
      </w:r>
    </w:p>
    <w:p w:rsidR="00C6727B" w:rsidP="00A660EA" w:rsidRDefault="00C6727B" w14:paraId="4E338760" w14:textId="2553D593">
      <w:pPr>
        <w:pStyle w:val="ListParagraph"/>
        <w:numPr>
          <w:ilvl w:val="0"/>
          <w:numId w:val="2"/>
        </w:numPr>
      </w:pPr>
      <w:r w:rsidRPr="00C6727B">
        <w:lastRenderedPageBreak/>
        <w:t xml:space="preserve">Does the project have to </w:t>
      </w:r>
      <w:r w:rsidR="005B0D62">
        <w:t>replace existing infrastructure fully,</w:t>
      </w:r>
      <w:r w:rsidRPr="00C6727B">
        <w:t xml:space="preserve"> or can the project augment existing fossil fuel</w:t>
      </w:r>
      <w:r w:rsidR="005B0D62">
        <w:t>-</w:t>
      </w:r>
      <w:r w:rsidRPr="00C6727B">
        <w:t>reliance equipment with cleaner technology?</w:t>
      </w:r>
    </w:p>
    <w:p w:rsidR="00DA079C" w:rsidP="00DA079C" w:rsidRDefault="00DA079C" w14:paraId="7BD5DDCF" w14:textId="23FBF797">
      <w:pPr>
        <w:pStyle w:val="ListParagraph"/>
        <w:numPr>
          <w:ilvl w:val="1"/>
          <w:numId w:val="2"/>
        </w:numPr>
      </w:pPr>
      <w:r w:rsidRPr="00DA079C">
        <w:t xml:space="preserve">From the information provided, both project descriptions </w:t>
      </w:r>
      <w:r w:rsidR="0084076D">
        <w:t>could</w:t>
      </w:r>
      <w:r w:rsidRPr="00DA079C">
        <w:t xml:space="preserve"> be eligible. Infrastructure improvements may be an eligible cost only if directly related to the equipment reducing GHG emissions. Projects must still meet all eligibility and other criteria specified in this solicitation. Please refer to Section II of the Solicitation Manual for more information.</w:t>
      </w:r>
      <w:r w:rsidR="009E2148">
        <w:t xml:space="preserve"> </w:t>
      </w:r>
      <w:r w:rsidR="006747E2">
        <w:t>P</w:t>
      </w:r>
      <w:r w:rsidRPr="006747E2" w:rsidR="006747E2">
        <w:t xml:space="preserve">roposed equipment must replace </w:t>
      </w:r>
      <w:r w:rsidRPr="00145FFE" w:rsidR="006747E2">
        <w:rPr>
          <w:u w:val="single"/>
        </w:rPr>
        <w:t>existing</w:t>
      </w:r>
      <w:r w:rsidRPr="006747E2" w:rsidR="006747E2">
        <w:t xml:space="preserve"> equipment at a food processing facility</w:t>
      </w:r>
      <w:r w:rsidR="00145FFE">
        <w:t>.</w:t>
      </w:r>
    </w:p>
    <w:p w:rsidR="00C6727B" w:rsidRDefault="00C6727B" w14:paraId="1A9A273A" w14:textId="1EBC2625">
      <w:pPr>
        <w:pStyle w:val="ListParagraph"/>
        <w:numPr>
          <w:ilvl w:val="0"/>
          <w:numId w:val="2"/>
        </w:numPr>
      </w:pPr>
      <w:r>
        <w:t>Is renewable energy eligible as a Tier I project? Would renewable energy be eligible if it</w:t>
      </w:r>
      <w:r w:rsidR="00EA22B7">
        <w:t>'</w:t>
      </w:r>
      <w:r>
        <w:t>s a mature technology?</w:t>
      </w:r>
    </w:p>
    <w:p w:rsidR="00C6727B" w:rsidP="007E492F" w:rsidRDefault="51FD9A65" w14:paraId="08BDD85F" w14:textId="5DF3B354">
      <w:pPr>
        <w:pStyle w:val="ListParagraph"/>
        <w:numPr>
          <w:ilvl w:val="1"/>
          <w:numId w:val="2"/>
        </w:numPr>
        <w:rPr/>
      </w:pPr>
      <w:r w:rsidR="51FD9A65">
        <w:rPr/>
        <w:t>No, renewable energy generation, including biogas production</w:t>
      </w:r>
      <w:r w:rsidR="22B8860D">
        <w:rPr/>
        <w:t xml:space="preserve"> and use of renewable energy</w:t>
      </w:r>
      <w:r w:rsidR="4603B730">
        <w:rPr/>
        <w:t xml:space="preserve"> in place of fossil fuels</w:t>
      </w:r>
      <w:r w:rsidR="51FD9A65">
        <w:rPr/>
        <w:t xml:space="preserve">, is </w:t>
      </w:r>
      <w:r w:rsidR="56EAB4EB">
        <w:rPr/>
        <w:t xml:space="preserve">not eligible as a Tier I project. </w:t>
      </w:r>
      <w:r w:rsidR="51FD9A65">
        <w:rPr/>
        <w:t>Eligible technologies must also be considered "commercially available equipment." Please</w:t>
      </w:r>
      <w:r w:rsidR="060E9D2E">
        <w:rPr/>
        <w:t xml:space="preserve"> refer to </w:t>
      </w:r>
      <w:r w:rsidR="51FD9A65">
        <w:rPr/>
        <w:t>the response</w:t>
      </w:r>
      <w:r w:rsidR="04528271">
        <w:rPr/>
        <w:t>s</w:t>
      </w:r>
      <w:r w:rsidR="51FD9A65">
        <w:rPr/>
        <w:t xml:space="preserve"> </w:t>
      </w:r>
      <w:r w:rsidR="705EFCC7">
        <w:rPr/>
        <w:t>to</w:t>
      </w:r>
      <w:r w:rsidR="60402C8D">
        <w:rPr/>
        <w:t xml:space="preserve"> Question #11 and</w:t>
      </w:r>
      <w:r w:rsidR="51FD9A65">
        <w:rPr/>
        <w:t xml:space="preserve"> Question</w:t>
      </w:r>
      <w:r w:rsidR="705EFCC7">
        <w:rPr/>
        <w:t xml:space="preserve"> #</w:t>
      </w:r>
      <w:r w:rsidR="2F4698BD">
        <w:rPr/>
        <w:t>12</w:t>
      </w:r>
      <w:r w:rsidR="51FD9A65">
        <w:rPr/>
        <w:t>.</w:t>
      </w:r>
    </w:p>
    <w:p w:rsidR="00C6727B" w:rsidRDefault="00C6727B" w14:paraId="2448AA88" w14:textId="77777777">
      <w:pPr>
        <w:pStyle w:val="ListParagraph"/>
        <w:numPr>
          <w:ilvl w:val="0"/>
          <w:numId w:val="2"/>
        </w:numPr>
      </w:pPr>
      <w:r w:rsidRPr="00C6727B">
        <w:t>Do renewable energy projects, such as solar panel installation, qualify under the Tier 1 project category?</w:t>
      </w:r>
    </w:p>
    <w:p w:rsidR="00C6727B" w:rsidRDefault="005E54AE" w14:paraId="7814FE6B" w14:textId="0A9A3805">
      <w:pPr>
        <w:pStyle w:val="ListParagraph"/>
        <w:numPr>
          <w:ilvl w:val="1"/>
          <w:numId w:val="2"/>
        </w:numPr>
      </w:pPr>
      <w:r w:rsidRPr="005E54AE">
        <w:t xml:space="preserve">No, renewable energy projects, such as solar panel installation, are not eligible for this solicitation. Please also note that installation costs are not eligible costs and will not be funded under this solicitation. </w:t>
      </w:r>
      <w:r w:rsidR="0013537B">
        <w:t>Please refer to the</w:t>
      </w:r>
      <w:r w:rsidRPr="005E54AE">
        <w:t xml:space="preserve"> response to Question #</w:t>
      </w:r>
      <w:r w:rsidR="001A6EFD">
        <w:t>27</w:t>
      </w:r>
      <w:r w:rsidRPr="005E54AE">
        <w:t>.</w:t>
      </w:r>
    </w:p>
    <w:p w:rsidR="00C6727B" w:rsidRDefault="00C6727B" w14:paraId="58A9030A" w14:textId="7E4C2017">
      <w:pPr>
        <w:pStyle w:val="ListParagraph"/>
        <w:numPr>
          <w:ilvl w:val="0"/>
          <w:numId w:val="2"/>
        </w:numPr>
        <w:rPr/>
      </w:pPr>
      <w:r w:rsidR="00C6727B">
        <w:rPr/>
        <w:t xml:space="preserve">Is solar thermal technology as a renewable energy source eligible under Tier I or Tier II? Is there any more information about Tier </w:t>
      </w:r>
      <w:r w:rsidR="7314C5F4">
        <w:rPr/>
        <w:t>II</w:t>
      </w:r>
      <w:r w:rsidR="00C6727B">
        <w:rPr/>
        <w:t xml:space="preserve"> projects?</w:t>
      </w:r>
    </w:p>
    <w:p w:rsidR="00C6727B" w:rsidP="686714E2" w:rsidRDefault="4603B730" w14:paraId="1FDC9CC9" w14:textId="4EC76CB9">
      <w:pPr>
        <w:pStyle w:val="ListParagraph"/>
        <w:numPr>
          <w:ilvl w:val="1"/>
          <w:numId w:val="2"/>
        </w:numPr>
        <w:rPr>
          <w:rFonts w:eastAsia="Arial" w:cs="Arial"/>
          <w:szCs w:val="24"/>
        </w:rPr>
      </w:pPr>
      <w:r>
        <w:t xml:space="preserve">No. </w:t>
      </w:r>
      <w:r w:rsidR="3DAB0006">
        <w:t xml:space="preserve">Solar thermal technology </w:t>
      </w:r>
      <w:r>
        <w:t xml:space="preserve">is not eligible as a Tier </w:t>
      </w:r>
      <w:r w:rsidR="6E12F49E">
        <w:t xml:space="preserve">I project. </w:t>
      </w:r>
      <w:r w:rsidR="58D38496">
        <w:t>Please refer to the response to Question #11. Tier II projects are not eligible for this solicitation.</w:t>
      </w:r>
    </w:p>
    <w:p w:rsidR="00C6727B" w:rsidP="686714E2" w:rsidRDefault="6E12F49E" w14:paraId="4A6FCEDE" w14:textId="2092EB0F">
      <w:pPr>
        <w:pStyle w:val="ListParagraph"/>
        <w:numPr>
          <w:ilvl w:val="0"/>
          <w:numId w:val="2"/>
        </w:numPr>
        <w:rPr>
          <w:szCs w:val="24"/>
        </w:rPr>
      </w:pPr>
      <w:r>
        <w:t xml:space="preserve"> </w:t>
      </w:r>
      <w:r w:rsidR="209500BD">
        <w:t xml:space="preserve">Is replacing fossil fuels with renewable energy an eligible project? For example, is replacing a fossil fuel boiler with a waste wood boiler eligible? </w:t>
      </w:r>
    </w:p>
    <w:p w:rsidR="008C1D9B" w:rsidRDefault="57D838C0" w14:paraId="1D4D446D" w14:textId="7D12DA30">
      <w:pPr>
        <w:pStyle w:val="ListParagraph"/>
        <w:numPr>
          <w:ilvl w:val="1"/>
          <w:numId w:val="2"/>
        </w:numPr>
      </w:pPr>
      <w:r>
        <w:t>No</w:t>
      </w:r>
      <w:r w:rsidR="0955A373">
        <w:t>.</w:t>
      </w:r>
      <w:r w:rsidR="1C295E42">
        <w:t xml:space="preserve"> From the example </w:t>
      </w:r>
      <w:r w:rsidR="144E5447">
        <w:t>provided,</w:t>
      </w:r>
      <w:r w:rsidR="52783C80">
        <w:t xml:space="preserve"> the proposed technology </w:t>
      </w:r>
      <w:r w:rsidR="63182313">
        <w:t xml:space="preserve">would not meet the definition of </w:t>
      </w:r>
      <w:r w:rsidR="001108BC">
        <w:t>"</w:t>
      </w:r>
      <w:r w:rsidR="10C4AF2C">
        <w:t xml:space="preserve">commercially </w:t>
      </w:r>
      <w:r w:rsidR="1D3BE77C">
        <w:t>available</w:t>
      </w:r>
      <w:r w:rsidR="001108BC">
        <w:t>"</w:t>
      </w:r>
      <w:r w:rsidR="10C4AF2C">
        <w:t xml:space="preserve"> as described in the response to Q</w:t>
      </w:r>
      <w:r w:rsidR="7AE6B994">
        <w:t xml:space="preserve">uestion </w:t>
      </w:r>
      <w:r w:rsidR="10C4AF2C">
        <w:t>#12</w:t>
      </w:r>
      <w:r w:rsidR="1D3BE77C">
        <w:t>.</w:t>
      </w:r>
      <w:r w:rsidR="7AE6B994">
        <w:t xml:space="preserve"> </w:t>
      </w:r>
    </w:p>
    <w:p w:rsidR="00C6727B" w:rsidP="007631E6" w:rsidRDefault="209500BD" w14:paraId="5D1271B8" w14:textId="472455A5">
      <w:pPr>
        <w:pStyle w:val="ListParagraph"/>
        <w:numPr>
          <w:ilvl w:val="0"/>
          <w:numId w:val="2"/>
        </w:numPr>
      </w:pPr>
      <w:r>
        <w:t>Would a boiler replacement coupled with the use of renewable energy, such as renewable natural gas/biogas be eligible?</w:t>
      </w:r>
    </w:p>
    <w:p w:rsidR="00231DEB" w:rsidRDefault="3C520223" w14:paraId="53942E32" w14:textId="5836BC65">
      <w:pPr>
        <w:pStyle w:val="ListParagraph"/>
        <w:numPr>
          <w:ilvl w:val="1"/>
          <w:numId w:val="2"/>
        </w:numPr>
        <w:rPr/>
      </w:pPr>
      <w:r w:rsidR="3C520223">
        <w:rPr/>
        <w:t>No</w:t>
      </w:r>
      <w:r w:rsidR="3C1CBEBB">
        <w:rPr/>
        <w:t xml:space="preserve">. The project </w:t>
      </w:r>
      <w:r w:rsidR="05E238A7">
        <w:rPr/>
        <w:t>described</w:t>
      </w:r>
      <w:r w:rsidR="3C1CBEBB">
        <w:rPr/>
        <w:t xml:space="preserve"> would not meet the </w:t>
      </w:r>
      <w:r w:rsidR="05E238A7">
        <w:rPr/>
        <w:t>d</w:t>
      </w:r>
      <w:r w:rsidR="208F8024">
        <w:rPr/>
        <w:t xml:space="preserve">efinition </w:t>
      </w:r>
      <w:r w:rsidR="3C1CBEBB">
        <w:rPr/>
        <w:t>of a Tier I project</w:t>
      </w:r>
      <w:r w:rsidR="3C520223">
        <w:rPr/>
        <w:t xml:space="preserve"> </w:t>
      </w:r>
      <w:r w:rsidR="05E238A7">
        <w:rPr/>
        <w:t xml:space="preserve">as </w:t>
      </w:r>
      <w:r w:rsidR="627DE64C">
        <w:rPr/>
        <w:t xml:space="preserve">described in the response </w:t>
      </w:r>
      <w:r w:rsidR="05C8B0C8">
        <w:rPr/>
        <w:t>to</w:t>
      </w:r>
      <w:r w:rsidR="627DE64C">
        <w:rPr/>
        <w:t xml:space="preserve"> Question #11</w:t>
      </w:r>
      <w:r w:rsidR="4E6156F3">
        <w:rPr/>
        <w:t xml:space="preserve"> or the </w:t>
      </w:r>
      <w:r w:rsidR="6BE9C748">
        <w:rPr/>
        <w:t xml:space="preserve">definition of </w:t>
      </w:r>
      <w:r w:rsidR="001108BC">
        <w:rPr/>
        <w:t>"</w:t>
      </w:r>
      <w:r w:rsidR="6BE9C748">
        <w:rPr/>
        <w:t>commercially available</w:t>
      </w:r>
      <w:r w:rsidR="001108BC">
        <w:rPr/>
        <w:t>"</w:t>
      </w:r>
      <w:r w:rsidR="6BE9C748">
        <w:rPr/>
        <w:t xml:space="preserve"> as described in the response to Question #12.</w:t>
      </w:r>
    </w:p>
    <w:p w:rsidR="00C6727B" w:rsidRDefault="209500BD" w14:paraId="35C92AA6" w14:textId="77777777">
      <w:pPr>
        <w:pStyle w:val="ListParagraph"/>
        <w:numPr>
          <w:ilvl w:val="0"/>
          <w:numId w:val="2"/>
        </w:numPr>
      </w:pPr>
      <w:r>
        <w:t>Would waste heat generated by a renewable energy technology to offset heat for refrigeration or boilers be eligible?</w:t>
      </w:r>
    </w:p>
    <w:p w:rsidR="00C6727B" w:rsidP="5A585580" w:rsidRDefault="1155CFF2" w14:paraId="45CF5225" w14:textId="07BE106E">
      <w:pPr>
        <w:pStyle w:val="ListParagraph"/>
        <w:numPr>
          <w:ilvl w:val="1"/>
          <w:numId w:val="2"/>
        </w:numPr>
        <w:rPr>
          <w:rFonts w:ascii="Arial" w:hAnsi="Arial" w:eastAsia="Arial" w:cs="Arial"/>
          <w:sz w:val="24"/>
          <w:szCs w:val="24"/>
        </w:rPr>
      </w:pPr>
      <w:bookmarkStart w:name="_Hlk121391612" w:id="5"/>
      <w:r w:rsidR="1155CFF2">
        <w:rPr/>
        <w:t>No</w:t>
      </w:r>
      <w:r w:rsidR="6BE9C748">
        <w:rPr/>
        <w:t>.</w:t>
      </w:r>
      <w:r w:rsidR="6C9F9585">
        <w:rPr/>
        <w:t xml:space="preserve"> </w:t>
      </w:r>
      <w:r w:rsidR="6BE9C748">
        <w:rPr/>
        <w:t xml:space="preserve">The project described would not meet the </w:t>
      </w:r>
      <w:r w:rsidR="7FC7183C">
        <w:rPr/>
        <w:t xml:space="preserve">definition </w:t>
      </w:r>
      <w:r w:rsidR="6BE9C748">
        <w:rPr/>
        <w:t xml:space="preserve">of a Tier I project as described in the response to Question #11 or the definition of </w:t>
      </w:r>
      <w:r w:rsidR="001108BC">
        <w:rPr/>
        <w:t>"</w:t>
      </w:r>
      <w:r w:rsidR="6BE9C748">
        <w:rPr/>
        <w:t>commercially available</w:t>
      </w:r>
      <w:r w:rsidR="001108BC">
        <w:rPr/>
        <w:t>"</w:t>
      </w:r>
      <w:r w:rsidR="6BE9C748">
        <w:rPr/>
        <w:t xml:space="preserve"> as described in the response to Question #12.</w:t>
      </w:r>
    </w:p>
    <w:bookmarkEnd w:id="5"/>
    <w:p w:rsidRPr="007C5BAC" w:rsidR="007C5BAC" w:rsidP="007C5BAC" w:rsidRDefault="5E2D297C" w14:paraId="3434A667" w14:textId="603346C5">
      <w:pPr>
        <w:pStyle w:val="ListParagraph"/>
        <w:numPr>
          <w:ilvl w:val="0"/>
          <w:numId w:val="2"/>
        </w:numPr>
      </w:pPr>
      <w:r>
        <w:t>Is redirecting biogas to boilers from a digester that is currently flaring an eligible project?</w:t>
      </w:r>
    </w:p>
    <w:p w:rsidRPr="00C6727B" w:rsidR="007C5BAC" w:rsidP="5A585580" w:rsidRDefault="5717E2CE" w14:paraId="7EEE2184" w14:textId="1B3043C7">
      <w:pPr>
        <w:pStyle w:val="ListParagraph"/>
        <w:numPr>
          <w:ilvl w:val="1"/>
          <w:numId w:val="2"/>
        </w:numPr>
        <w:rPr>
          <w:rFonts w:ascii="Arial" w:hAnsi="Arial" w:eastAsia="Arial" w:cs="Arial"/>
          <w:sz w:val="24"/>
          <w:szCs w:val="24"/>
        </w:rPr>
      </w:pPr>
      <w:r w:rsidR="5717E2CE">
        <w:rPr/>
        <w:t xml:space="preserve">No. The project described would not meet the </w:t>
      </w:r>
      <w:r w:rsidR="37C97F94">
        <w:rPr/>
        <w:t xml:space="preserve">definition </w:t>
      </w:r>
      <w:r w:rsidR="5717E2CE">
        <w:rPr/>
        <w:t>of a Tier I project as described in the response to Question #11</w:t>
      </w:r>
      <w:r w:rsidR="4CDB94EA">
        <w:rPr/>
        <w:t xml:space="preserve"> or the description </w:t>
      </w:r>
      <w:r w:rsidR="04265C3A">
        <w:rPr/>
        <w:t xml:space="preserve">of </w:t>
      </w:r>
      <w:r w:rsidR="001108BC">
        <w:rPr/>
        <w:t>"</w:t>
      </w:r>
      <w:r w:rsidR="04265C3A">
        <w:rPr/>
        <w:t>Boiler, economizers</w:t>
      </w:r>
      <w:r w:rsidR="001108BC">
        <w:rPr/>
        <w:t>"</w:t>
      </w:r>
      <w:r w:rsidR="04265C3A">
        <w:rPr/>
        <w:t xml:space="preserve"> </w:t>
      </w:r>
      <w:r w:rsidR="0D93C685">
        <w:rPr/>
        <w:t>in Section II.B of the Solicitation Manual.</w:t>
      </w:r>
    </w:p>
    <w:p w:rsidR="00C6727B" w:rsidP="00C6727B" w:rsidRDefault="00C6727B" w14:paraId="2FE22B44" w14:textId="24DCBBD0">
      <w:pPr>
        <w:pStyle w:val="Heading2"/>
        <w:rPr>
          <w:rFonts w:hint="eastAsia"/>
        </w:rPr>
      </w:pPr>
      <w:r>
        <w:t xml:space="preserve">Technology </w:t>
      </w:r>
      <w:r w:rsidR="0041222E">
        <w:t>Eligibility</w:t>
      </w:r>
    </w:p>
    <w:p w:rsidR="00C6727B" w:rsidRDefault="209500BD" w14:paraId="704338EC" w14:textId="5D1BA677">
      <w:pPr>
        <w:pStyle w:val="ListParagraph"/>
        <w:numPr>
          <w:ilvl w:val="0"/>
          <w:numId w:val="2"/>
        </w:numPr>
      </w:pPr>
      <w:r>
        <w:t>Can a technology that has been previously proven and successfully demonstrated under a CEC grant be defined as "commercially available equipment"?</w:t>
      </w:r>
    </w:p>
    <w:p w:rsidR="00D33D9D" w:rsidP="5A585580" w:rsidRDefault="00EC5F96" w14:paraId="567E2F99" w14:textId="14A457CF">
      <w:pPr>
        <w:pStyle w:val="ListParagraph"/>
        <w:numPr>
          <w:ilvl w:val="1"/>
          <w:numId w:val="2"/>
        </w:numPr>
        <w:rPr>
          <w:rFonts w:ascii="Arial" w:hAnsi="Arial" w:eastAsia="Arial" w:cs="Arial"/>
          <w:sz w:val="24"/>
          <w:szCs w:val="24"/>
        </w:rPr>
      </w:pPr>
      <w:r w:rsidR="00EC5F96">
        <w:rPr/>
        <w:t>Not necessarily.</w:t>
      </w:r>
      <w:r w:rsidR="7CB3A9CC">
        <w:rPr/>
        <w:t xml:space="preserve"> </w:t>
      </w:r>
      <w:r w:rsidR="0B034C40">
        <w:rPr/>
        <w:t xml:space="preserve">CEC </w:t>
      </w:r>
      <w:r w:rsidR="441C1C74">
        <w:rPr/>
        <w:t xml:space="preserve">grants often fund prototypes with limited </w:t>
      </w:r>
      <w:r w:rsidR="51A8E05B">
        <w:rPr/>
        <w:t xml:space="preserve">M&amp;V and testing. This testing and collected </w:t>
      </w:r>
      <w:r w:rsidR="110C1DBF">
        <w:rPr/>
        <w:t xml:space="preserve">data </w:t>
      </w:r>
      <w:r w:rsidR="51A8E05B">
        <w:rPr/>
        <w:t xml:space="preserve">may be </w:t>
      </w:r>
      <w:r w:rsidR="73EED857">
        <w:rPr/>
        <w:t>in</w:t>
      </w:r>
      <w:r w:rsidR="51A8E05B">
        <w:rPr/>
        <w:t xml:space="preserve">sufficient to determine </w:t>
      </w:r>
      <w:r w:rsidR="2C26C004">
        <w:rPr/>
        <w:t xml:space="preserve">technology performance </w:t>
      </w:r>
      <w:r w:rsidR="73EED857">
        <w:rPr/>
        <w:t xml:space="preserve">and viability </w:t>
      </w:r>
      <w:r w:rsidR="2C26C004">
        <w:rPr/>
        <w:t>during long</w:t>
      </w:r>
      <w:r w:rsidR="799B9AFA">
        <w:rPr/>
        <w:t>-</w:t>
      </w:r>
      <w:r w:rsidR="2C26C004">
        <w:rPr/>
        <w:t>term continuous testing under varying climate</w:t>
      </w:r>
      <w:r w:rsidR="33DAE222">
        <w:rPr/>
        <w:t xml:space="preserve"> and </w:t>
      </w:r>
      <w:r w:rsidR="2C26C004">
        <w:rPr/>
        <w:t>load conditions.</w:t>
      </w:r>
      <w:r w:rsidR="68395E27">
        <w:rPr/>
        <w:t xml:space="preserve"> </w:t>
      </w:r>
      <w:r w:rsidR="1853643F">
        <w:rPr/>
        <w:t>The technology must be considered "commercially available equipment" to be eligible. Please refer to the response to Question #</w:t>
      </w:r>
      <w:r w:rsidR="349C653F">
        <w:rPr/>
        <w:t>12</w:t>
      </w:r>
      <w:r w:rsidR="1853643F">
        <w:rPr/>
        <w:t xml:space="preserve"> for the definition.</w:t>
      </w:r>
    </w:p>
    <w:p w:rsidR="00C6727B" w:rsidP="00D33D9D" w:rsidRDefault="209500BD" w14:paraId="586DBC50" w14:textId="666BF40B">
      <w:pPr>
        <w:pStyle w:val="ListParagraph"/>
        <w:numPr>
          <w:ilvl w:val="0"/>
          <w:numId w:val="2"/>
        </w:numPr>
      </w:pPr>
      <w:r>
        <w:t>Can control demand system technologies and high-temperature solar heating technologies be added to the eligible technology list for this solicitation?</w:t>
      </w:r>
    </w:p>
    <w:p w:rsidR="00C6727B" w:rsidP="5A585580" w:rsidRDefault="7881648D" w14:paraId="68EE4E78" w14:textId="6A8069AA">
      <w:pPr>
        <w:pStyle w:val="ListParagraph"/>
        <w:numPr>
          <w:ilvl w:val="1"/>
          <w:numId w:val="2"/>
        </w:numPr>
        <w:rPr>
          <w:rFonts w:ascii="Arial" w:hAnsi="Arial" w:eastAsia="Arial" w:cs="Arial"/>
          <w:noProof w:val="0"/>
          <w:sz w:val="24"/>
          <w:szCs w:val="24"/>
          <w:lang w:val="en-US"/>
        </w:rPr>
      </w:pPr>
      <w:r w:rsidR="7881648D">
        <w:rPr/>
        <w:t xml:space="preserve">Control demand system technologies that serve solar thermal are not eligible under this solicitation. </w:t>
      </w:r>
      <w:r w:rsidRPr="5A585580" w:rsidR="7398F816">
        <w:rPr>
          <w:b w:val="0"/>
          <w:bCs w:val="0"/>
          <w:i w:val="0"/>
          <w:iCs w:val="0"/>
          <w:caps w:val="0"/>
          <w:smallCaps w:val="0"/>
          <w:strike w:val="0"/>
          <w:dstrike w:val="0"/>
          <w:noProof w:val="0"/>
          <w:color w:val="000000" w:themeColor="text1" w:themeTint="FF" w:themeShade="FF"/>
          <w:sz w:val="24"/>
          <w:szCs w:val="24"/>
          <w:u w:val="none"/>
          <w:lang w:val="en-US"/>
        </w:rPr>
        <w:t>Solar thermal is not eligible under this solicitation, refer to the response to Question #29.</w:t>
      </w:r>
    </w:p>
    <w:p w:rsidR="00C6727B" w:rsidRDefault="209500BD" w14:paraId="559941BE" w14:textId="77777777">
      <w:pPr>
        <w:pStyle w:val="ListParagraph"/>
        <w:numPr>
          <w:ilvl w:val="0"/>
          <w:numId w:val="2"/>
        </w:numPr>
      </w:pPr>
      <w:r>
        <w:t>Can electric roasters be added to the eligible technology list for this solicitation?</w:t>
      </w:r>
    </w:p>
    <w:p w:rsidR="00C6727B" w:rsidP="00C6727B" w:rsidRDefault="00C6727B" w14:paraId="171787FE" w14:textId="537B18C7">
      <w:pPr>
        <w:pStyle w:val="ListParagraph"/>
        <w:ind w:left="864"/>
      </w:pPr>
      <w:r w:rsidR="00C6727B">
        <w:rPr/>
        <w:t xml:space="preserve">Electric, ventless, fully automated commercial-scale coffee roasters can roast coffee without ventilation or </w:t>
      </w:r>
      <w:r w:rsidR="2985DD2A">
        <w:rPr/>
        <w:t xml:space="preserve">natural </w:t>
      </w:r>
      <w:r w:rsidR="00C6727B">
        <w:rPr/>
        <w:t>gas lines, reducing C</w:t>
      </w:r>
      <w:r w:rsidR="1772B423">
        <w:rPr/>
        <w:t>O</w:t>
      </w:r>
      <w:r w:rsidR="00C6727B">
        <w:rPr/>
        <w:t>2 from the roast cycle by 87% compared t</w:t>
      </w:r>
      <w:r w:rsidR="1DD94A87">
        <w:rPr/>
        <w:t>o</w:t>
      </w:r>
      <w:r w:rsidR="00C6727B">
        <w:rPr/>
        <w:t xml:space="preserve"> roasters</w:t>
      </w:r>
      <w:r w:rsidR="09D29C1B">
        <w:rPr/>
        <w:t xml:space="preserve"> using </w:t>
      </w:r>
      <w:r w:rsidR="1453AA8E">
        <w:rPr/>
        <w:t xml:space="preserve">natural </w:t>
      </w:r>
      <w:r w:rsidR="09D29C1B">
        <w:rPr/>
        <w:t>gas</w:t>
      </w:r>
      <w:r w:rsidR="00C6727B">
        <w:rPr/>
        <w:t xml:space="preserve">, the most ubiquitous technology in coffee roasting today. It uses 12 thermocouples for pinpoint accuracy and optimization. </w:t>
      </w:r>
      <w:r w:rsidR="002B6123">
        <w:rPr/>
        <w:t>Industry-standard</w:t>
      </w:r>
      <w:r w:rsidR="00C6727B">
        <w:rPr/>
        <w:t xml:space="preserve"> coffee bean roasting is dependent on </w:t>
      </w:r>
      <w:r w:rsidR="5044C4EE">
        <w:rPr/>
        <w:t xml:space="preserve">natural </w:t>
      </w:r>
      <w:r w:rsidR="00C6727B">
        <w:rPr/>
        <w:t xml:space="preserve">gas and entails a </w:t>
      </w:r>
      <w:proofErr w:type="gramStart"/>
      <w:r w:rsidR="00C6727B">
        <w:rPr/>
        <w:t>manually-driven</w:t>
      </w:r>
      <w:proofErr w:type="gramEnd"/>
      <w:r w:rsidR="00C6727B">
        <w:rPr/>
        <w:t xml:space="preserve"> drying stage, a high-</w:t>
      </w:r>
      <w:r w:rsidR="3C3F614A">
        <w:rPr/>
        <w:t>nitrogen oxides (</w:t>
      </w:r>
      <w:r w:rsidR="00C6727B">
        <w:rPr/>
        <w:t>NOx</w:t>
      </w:r>
      <w:r w:rsidR="2081470A">
        <w:rPr/>
        <w:t>)</w:t>
      </w:r>
      <w:r w:rsidR="00C6727B">
        <w:rPr/>
        <w:t xml:space="preserve"> browning stage, and a roasting/cooking stage. Electric coffee roasters are a commercially available, energy-efficient equipment upgrade that replaces </w:t>
      </w:r>
      <w:r w:rsidR="61A6E5F3">
        <w:rPr/>
        <w:t>natura</w:t>
      </w:r>
      <w:r w:rsidR="00C6727B">
        <w:rPr/>
        <w:t>l</w:t>
      </w:r>
      <w:r w:rsidR="64B6D3A6">
        <w:rPr/>
        <w:t xml:space="preserve"> </w:t>
      </w:r>
      <w:r w:rsidR="00C6727B">
        <w:rPr/>
        <w:t>gas-dependent coffee bean roasters</w:t>
      </w:r>
      <w:r w:rsidR="0062052B">
        <w:rPr/>
        <w:t>, resulting</w:t>
      </w:r>
      <w:r w:rsidR="00C6727B">
        <w:rPr/>
        <w:t xml:space="preserve"> in greater GHG emission reductions and higher efficiency than current best practices and industry standards. Therefore, electric roasters should be eligible under a new Tier I category of "Roasting and Cooling Equipment" </w:t>
      </w:r>
      <w:r w:rsidR="40162856">
        <w:rPr/>
        <w:t xml:space="preserve">that </w:t>
      </w:r>
      <w:r w:rsidR="00C6727B">
        <w:rPr/>
        <w:t xml:space="preserve">reduces GHG emissions by electrifying and automating for optimization </w:t>
      </w:r>
      <w:r w:rsidR="0062052B">
        <w:rPr/>
        <w:t xml:space="preserve">of </w:t>
      </w:r>
      <w:r w:rsidR="00C6727B">
        <w:rPr/>
        <w:t xml:space="preserve">these three food production processes to replace the use of </w:t>
      </w:r>
      <w:r w:rsidR="5B636AFF">
        <w:rPr/>
        <w:t xml:space="preserve">natural </w:t>
      </w:r>
      <w:r w:rsidR="00C6727B">
        <w:rPr/>
        <w:t xml:space="preserve">gas and </w:t>
      </w:r>
      <w:r w:rsidR="48B0E6D7">
        <w:rPr/>
        <w:t xml:space="preserve">reduce </w:t>
      </w:r>
      <w:r w:rsidR="00C6727B">
        <w:rPr/>
        <w:t>GHG emissions.</w:t>
      </w:r>
    </w:p>
    <w:p w:rsidR="00C6727B" w:rsidP="00C6727B" w:rsidRDefault="00C6727B" w14:paraId="3D9C79D6" w14:textId="77777777">
      <w:pPr>
        <w:pStyle w:val="ListParagraph"/>
        <w:ind w:left="864"/>
      </w:pPr>
    </w:p>
    <w:p w:rsidR="00C6727B" w:rsidP="00C6727B" w:rsidRDefault="00C6727B" w14:paraId="1CFE21FF" w14:textId="77777777">
      <w:pPr>
        <w:pStyle w:val="ListParagraph"/>
        <w:ind w:left="864"/>
      </w:pPr>
      <w:r>
        <w:t>Beyond a new Tier I category, the electric roaster can fit into four current Tier I Eligible Technology categories:</w:t>
      </w:r>
    </w:p>
    <w:p w:rsidR="00C6727B" w:rsidRDefault="00C6727B" w14:paraId="53EE4FB5" w14:textId="77777777">
      <w:pPr>
        <w:pStyle w:val="ListParagraph"/>
        <w:numPr>
          <w:ilvl w:val="0"/>
          <w:numId w:val="3"/>
        </w:numPr>
      </w:pPr>
      <w:r>
        <w:t>Machine drive controls and upgrades - by installing advanced programmable logic controllers to optimize process flows and improve overall production efficiency and throughput used in conjunction with control software systems.</w:t>
      </w:r>
    </w:p>
    <w:p w:rsidR="00C6727B" w:rsidRDefault="00C6727B" w14:paraId="0F249F90" w14:textId="77777777">
      <w:pPr>
        <w:pStyle w:val="ListParagraph"/>
        <w:numPr>
          <w:ilvl w:val="0"/>
          <w:numId w:val="3"/>
        </w:numPr>
      </w:pPr>
      <w:r>
        <w:t>Drying equipment - by replacing existing, inefficient drying equipment including installation of high efficiency drying equipment (e.g., efficient, low-NOx dryers).</w:t>
      </w:r>
    </w:p>
    <w:p w:rsidR="00C6727B" w:rsidRDefault="00C6727B" w14:paraId="0CB83697" w14:textId="24E50574">
      <w:pPr>
        <w:pStyle w:val="ListParagraph"/>
        <w:numPr>
          <w:ilvl w:val="0"/>
          <w:numId w:val="3"/>
        </w:numPr>
        <w:rPr/>
      </w:pPr>
      <w:r w:rsidR="00C6727B">
        <w:rPr/>
        <w:t>Boilers/economizers - by replacing existing, inefficient boilers and economizers</w:t>
      </w:r>
      <w:r w:rsidR="5C7E2FB8">
        <w:rPr/>
        <w:t>,</w:t>
      </w:r>
      <w:r w:rsidR="00C6727B">
        <w:rPr/>
        <w:t xml:space="preserve"> including installation of high efficiency, low-NOx boilers and economizers.</w:t>
      </w:r>
    </w:p>
    <w:p w:rsidR="00C6727B" w:rsidRDefault="00C6727B" w14:paraId="71619059" w14:textId="1C01D0E9">
      <w:pPr>
        <w:pStyle w:val="ListParagraph"/>
        <w:numPr>
          <w:ilvl w:val="0"/>
          <w:numId w:val="3"/>
        </w:numPr>
      </w:pPr>
      <w:r>
        <w:t>Industrial cooking equipment - by replacing existing, inefficient, natural gas based cooking equipment with high-efficiency cooking equipment to reduce energy use.</w:t>
      </w:r>
    </w:p>
    <w:p w:rsidR="0075656D" w:rsidP="0075656D" w:rsidRDefault="7DEE6CFF" w14:paraId="22B8A770" w14:textId="524F510C">
      <w:pPr>
        <w:pStyle w:val="ListParagraph"/>
        <w:numPr>
          <w:ilvl w:val="1"/>
          <w:numId w:val="2"/>
        </w:numPr>
        <w:rPr/>
      </w:pPr>
      <w:r w:rsidR="7DEE6CFF">
        <w:rPr/>
        <w:t xml:space="preserve">This </w:t>
      </w:r>
      <w:r w:rsidR="68BFDF21">
        <w:rPr/>
        <w:t xml:space="preserve">technology </w:t>
      </w:r>
      <w:r w:rsidR="7DEE6CFF">
        <w:rPr/>
        <w:t>could qualify under the "Drying Equipment" category. Please refer to Section II.B of the Solicitation Manual for the full description of the category.</w:t>
      </w:r>
    </w:p>
    <w:p w:rsidR="00C6727B" w:rsidRDefault="209500BD" w14:paraId="494DFB4F" w14:textId="4B15E9D7">
      <w:pPr>
        <w:pStyle w:val="ListParagraph"/>
        <w:numPr>
          <w:ilvl w:val="0"/>
          <w:numId w:val="2"/>
        </w:numPr>
      </w:pPr>
      <w:r>
        <w:t>Can solar process heat plants and solar thermal technologies be added to the eligible technology list for this solicitation?</w:t>
      </w:r>
    </w:p>
    <w:p w:rsidR="00C6727B" w:rsidP="00C6727B" w:rsidRDefault="00C6727B" w14:paraId="3E560434" w14:textId="338E4E4D">
      <w:pPr>
        <w:pStyle w:val="ListParagraph"/>
        <w:ind w:left="864"/>
      </w:pPr>
      <w:r>
        <w:t>The International Energy Agency says that 74% of the total energy consumption is heat</w:t>
      </w:r>
      <w:r w:rsidR="00390926">
        <w:t>ing</w:t>
      </w:r>
      <w:r>
        <w:t xml:space="preserve"> in the industry sector. To decrease the dependency </w:t>
      </w:r>
      <w:r w:rsidR="00390926">
        <w:t>on</w:t>
      </w:r>
      <w:r>
        <w:t xml:space="preserve"> fossil fuels, innovative and low CO2 </w:t>
      </w:r>
      <w:r w:rsidR="00390926">
        <w:t>emissions-related</w:t>
      </w:r>
      <w:r>
        <w:t xml:space="preserve"> technologies and bio-fuels are needed. Solar Thermal Technology should be part of the solution but needs more funding and demo</w:t>
      </w:r>
      <w:r w:rsidR="00390926">
        <w:t xml:space="preserve"> </w:t>
      </w:r>
      <w:r>
        <w:t xml:space="preserve">projects to increase the awareness level in </w:t>
      </w:r>
      <w:r w:rsidR="00390926">
        <w:t>California and</w:t>
      </w:r>
      <w:r>
        <w:t xml:space="preserve"> the whole United States. The following </w:t>
      </w:r>
      <w:r w:rsidR="00390926">
        <w:t>key points</w:t>
      </w:r>
      <w:r>
        <w:t xml:space="preserve"> summarize the advantages of Solar Thermal:</w:t>
      </w:r>
    </w:p>
    <w:p w:rsidR="00C6727B" w:rsidRDefault="00C6727B" w14:paraId="4D791E01" w14:textId="5D48FB00">
      <w:pPr>
        <w:pStyle w:val="ListParagraph"/>
        <w:numPr>
          <w:ilvl w:val="0"/>
          <w:numId w:val="4"/>
        </w:numPr>
      </w:pPr>
      <w:r>
        <w:t>State of the art technology for low, medium, and high temperature applications. Demonstration projects needed to proof the reliability and effectiveness of the technology in California.</w:t>
      </w:r>
    </w:p>
    <w:p w:rsidR="00C6727B" w:rsidRDefault="00C6727B" w14:paraId="6E8C011D" w14:textId="67810FD3">
      <w:pPr>
        <w:pStyle w:val="ListParagraph"/>
        <w:numPr>
          <w:ilvl w:val="0"/>
          <w:numId w:val="4"/>
        </w:numPr>
      </w:pPr>
      <w:r>
        <w:t>Long lifetime of 25 years and more, enables stable and predictable leveled costs of heat for the Food Industry. Strengthen the industry and keep it competitive.</w:t>
      </w:r>
    </w:p>
    <w:p w:rsidR="00C6727B" w:rsidRDefault="00C6727B" w14:paraId="7A6A67F2" w14:textId="77777777">
      <w:pPr>
        <w:pStyle w:val="ListParagraph"/>
        <w:numPr>
          <w:ilvl w:val="0"/>
          <w:numId w:val="4"/>
        </w:numPr>
      </w:pPr>
      <w:r>
        <w:t>Drop-in energy technology at food production facilities, with a CO2 free heat supply improving public health, quality of life and economic opportunity in California</w:t>
      </w:r>
    </w:p>
    <w:p w:rsidR="00C6727B" w:rsidRDefault="00C6727B" w14:paraId="204713B2" w14:textId="14FB3C43">
      <w:pPr>
        <w:pStyle w:val="ListParagraph"/>
        <w:numPr>
          <w:ilvl w:val="0"/>
          <w:numId w:val="4"/>
        </w:numPr>
      </w:pPr>
      <w:r>
        <w:t>Very high onsite work effort for mounting of the equipment (steel vessels, collectors, pump units, steel pipes, etc.), which will generate additional jobs and investments in the region and create a completely new industry sector within renewable energies.</w:t>
      </w:r>
    </w:p>
    <w:p w:rsidR="00C6727B" w:rsidRDefault="00C6727B" w14:paraId="6038576B" w14:textId="77777777">
      <w:pPr>
        <w:pStyle w:val="ListParagraph"/>
        <w:numPr>
          <w:ilvl w:val="0"/>
          <w:numId w:val="4"/>
        </w:numPr>
      </w:pPr>
      <w:r>
        <w:t>On site generation of renewable heat – no logistics and transport efforts necessary compared to oil, gas, wood chips, bio-gas material, etc.).</w:t>
      </w:r>
    </w:p>
    <w:p w:rsidR="00C6727B" w:rsidRDefault="00C6727B" w14:paraId="445B4DDD" w14:textId="1EF5F200">
      <w:pPr>
        <w:pStyle w:val="ListParagraph"/>
        <w:numPr>
          <w:ilvl w:val="0"/>
          <w:numId w:val="4"/>
        </w:numPr>
      </w:pPr>
      <w:r>
        <w:t>Very low electricity input versus solar thermal output (approx. 1:100), no negative additional loads on the electricity grid.</w:t>
      </w:r>
    </w:p>
    <w:p w:rsidR="00C6727B" w:rsidP="003E2D54" w:rsidRDefault="634EA34D" w14:paraId="5C519C6D" w14:textId="4907C12D">
      <w:pPr>
        <w:pStyle w:val="ListParagraph"/>
        <w:numPr>
          <w:ilvl w:val="1"/>
          <w:numId w:val="2"/>
        </w:numPr>
      </w:pPr>
      <w:r>
        <w:t xml:space="preserve">No. Solar process heat plants and solar thermal technologies are not eligible for this solicitation. </w:t>
      </w:r>
      <w:r w:rsidR="27D805B5">
        <w:t>Please refer to the response to Question #</w:t>
      </w:r>
      <w:r w:rsidR="1AC4D9AF">
        <w:t>2</w:t>
      </w:r>
      <w:r>
        <w:t>9</w:t>
      </w:r>
      <w:r w:rsidR="27D805B5">
        <w:t>.</w:t>
      </w:r>
    </w:p>
    <w:p w:rsidR="00C6727B" w:rsidRDefault="209500BD" w14:paraId="2E54EA1C" w14:textId="47214939">
      <w:pPr>
        <w:pStyle w:val="ListParagraph"/>
        <w:numPr>
          <w:ilvl w:val="0"/>
          <w:numId w:val="2"/>
        </w:numPr>
      </w:pPr>
      <w:r>
        <w:t>Is an ammonia-based cold storage unit an eligible technology?</w:t>
      </w:r>
    </w:p>
    <w:p w:rsidR="00C6727B" w:rsidRDefault="5602E580" w14:paraId="6302DD55" w14:textId="16537495">
      <w:pPr>
        <w:pStyle w:val="ListParagraph"/>
        <w:numPr>
          <w:ilvl w:val="1"/>
          <w:numId w:val="2"/>
        </w:numPr>
      </w:pPr>
      <w:r>
        <w:t xml:space="preserve">This technology may be eligible under the </w:t>
      </w:r>
      <w:r w:rsidR="59E2084B">
        <w:t>"</w:t>
      </w:r>
      <w:r>
        <w:t>Refrigeration system optimization</w:t>
      </w:r>
      <w:r w:rsidR="59E2084B">
        <w:t>"</w:t>
      </w:r>
      <w:r>
        <w:t xml:space="preserve"> and/or </w:t>
      </w:r>
      <w:r w:rsidR="59E2084B">
        <w:t>"</w:t>
      </w:r>
      <w:r>
        <w:t>Low-GWP refrigerants</w:t>
      </w:r>
      <w:r w:rsidR="59E2084B">
        <w:t>"</w:t>
      </w:r>
      <w:r>
        <w:t xml:space="preserve"> category if it meets the requirements as described in Section II.B of the Solicitation Manual.</w:t>
      </w:r>
    </w:p>
    <w:p w:rsidR="00C6727B" w:rsidRDefault="209500BD" w14:paraId="0AA61176" w14:textId="7DA84775">
      <w:pPr>
        <w:pStyle w:val="ListParagraph"/>
        <w:numPr>
          <w:ilvl w:val="0"/>
          <w:numId w:val="2"/>
        </w:numPr>
      </w:pPr>
      <w:r>
        <w:lastRenderedPageBreak/>
        <w:t>Would an ammonia-based heat pump that recovers heat from hot discharge gas and supplies hot water and/or steam to offset natural gas boilers be eligible?</w:t>
      </w:r>
    </w:p>
    <w:p w:rsidR="00C6727B" w:rsidP="006D26B9" w:rsidRDefault="0C684FD4" w14:paraId="2EA0063C" w14:textId="1A627188">
      <w:pPr>
        <w:pStyle w:val="ListParagraph"/>
        <w:numPr>
          <w:ilvl w:val="1"/>
          <w:numId w:val="2"/>
        </w:numPr>
      </w:pPr>
      <w:r>
        <w:t xml:space="preserve">This technology may be eligible under the </w:t>
      </w:r>
      <w:r w:rsidR="59E2084B">
        <w:t>"</w:t>
      </w:r>
      <w:r>
        <w:t>Refrigeration system optimization</w:t>
      </w:r>
      <w:r w:rsidR="59E2084B">
        <w:t>"</w:t>
      </w:r>
      <w:r>
        <w:t xml:space="preserve"> and/or </w:t>
      </w:r>
      <w:r w:rsidR="59E2084B">
        <w:t>"</w:t>
      </w:r>
      <w:r>
        <w:t>Waste heat to power</w:t>
      </w:r>
      <w:r w:rsidR="59E2084B">
        <w:t>"</w:t>
      </w:r>
      <w:r>
        <w:t xml:space="preserve"> </w:t>
      </w:r>
      <w:r w:rsidR="59E2084B">
        <w:t>category</w:t>
      </w:r>
      <w:r>
        <w:t xml:space="preserve"> if it meets the requirements as described in Section II.B of the Solicitation Manual.</w:t>
      </w:r>
    </w:p>
    <w:p w:rsidR="009455F4" w:rsidP="00DF614D" w:rsidRDefault="56B2D21D" w14:paraId="7128F720" w14:textId="488669B9">
      <w:pPr>
        <w:pStyle w:val="ListParagraph"/>
        <w:numPr>
          <w:ilvl w:val="0"/>
          <w:numId w:val="2"/>
        </w:numPr>
      </w:pPr>
      <w:r>
        <w:t xml:space="preserve">Would a biogas </w:t>
      </w:r>
      <w:r w:rsidR="52117D7B">
        <w:t>blending</w:t>
      </w:r>
      <w:r w:rsidR="12E50873">
        <w:t xml:space="preserve"> skid, </w:t>
      </w:r>
      <w:r w:rsidR="52117D7B">
        <w:t>compressor</w:t>
      </w:r>
      <w:r w:rsidR="12E50873">
        <w:t xml:space="preserve">, and </w:t>
      </w:r>
      <w:r w:rsidR="6A3C810D">
        <w:t>engine</w:t>
      </w:r>
      <w:r w:rsidR="52117D7B">
        <w:t xml:space="preserve"> upgrades be eligible</w:t>
      </w:r>
      <w:r w:rsidR="05600D6E">
        <w:t>?</w:t>
      </w:r>
    </w:p>
    <w:p w:rsidR="005D5BBA" w:rsidP="00A33543" w:rsidRDefault="00204002" w14:paraId="0045862C" w14:textId="14830494">
      <w:pPr>
        <w:pStyle w:val="ListParagraph"/>
        <w:ind w:left="864"/>
      </w:pPr>
      <w:r>
        <w:t>The</w:t>
      </w:r>
      <w:r w:rsidR="00EA6EBF">
        <w:t xml:space="preserve"> facility</w:t>
      </w:r>
      <w:r w:rsidR="00DF614D">
        <w:t xml:space="preserve"> utilizes a bank of microturbines </w:t>
      </w:r>
      <w:r w:rsidR="00EA6EBF">
        <w:t>(</w:t>
      </w:r>
      <w:r w:rsidR="00DF614D">
        <w:t>fueled by natural gas</w:t>
      </w:r>
      <w:r w:rsidR="00EA6EBF">
        <w:t>)</w:t>
      </w:r>
      <w:r w:rsidR="00DF614D">
        <w:t xml:space="preserve"> to generate baseload electricity </w:t>
      </w:r>
      <w:r w:rsidR="00B30202">
        <w:t>for</w:t>
      </w:r>
      <w:r w:rsidR="00EA6EBF">
        <w:t xml:space="preserve"> the f</w:t>
      </w:r>
      <w:r w:rsidR="00DF614D">
        <w:t xml:space="preserve">acility </w:t>
      </w:r>
      <w:r w:rsidR="00EA6EBF">
        <w:t>and</w:t>
      </w:r>
      <w:r w:rsidR="00DF614D">
        <w:t xml:space="preserve"> operate</w:t>
      </w:r>
      <w:r w:rsidR="00B30202">
        <w:t>s</w:t>
      </w:r>
      <w:r w:rsidR="00DF614D">
        <w:t xml:space="preserve"> an onsite wastewater treatment plant that generates biogas through anaerobic digestion</w:t>
      </w:r>
      <w:r w:rsidR="00A61389">
        <w:t>. To</w:t>
      </w:r>
      <w:r w:rsidR="00DF614D">
        <w:t xml:space="preserve"> utilize 100% of the biogas in </w:t>
      </w:r>
      <w:r w:rsidR="00A61389">
        <w:t>the</w:t>
      </w:r>
      <w:r w:rsidR="00DF614D">
        <w:t xml:space="preserve"> microturbines</w:t>
      </w:r>
      <w:r w:rsidR="002C5FC8">
        <w:t>, a</w:t>
      </w:r>
      <w:r w:rsidR="00DF614D">
        <w:t xml:space="preserve"> blending skid and a compressor</w:t>
      </w:r>
      <w:r w:rsidR="002C5FC8">
        <w:t xml:space="preserve"> would be installed</w:t>
      </w:r>
      <w:r w:rsidR="00DF614D">
        <w:t xml:space="preserve"> </w:t>
      </w:r>
      <w:r w:rsidRPr="00CB613A" w:rsidR="00CB613A">
        <w:t>to blend and pressurize gas going into the microturbines properly</w:t>
      </w:r>
      <w:r w:rsidR="005127F8">
        <w:t>. The microturbine engine</w:t>
      </w:r>
      <w:r w:rsidR="00787E87">
        <w:t>s</w:t>
      </w:r>
      <w:r w:rsidR="00074625">
        <w:t xml:space="preserve"> (including valving, piping, and manifold replacements)</w:t>
      </w:r>
      <w:r w:rsidR="00787E87">
        <w:t xml:space="preserve"> would also be upgraded</w:t>
      </w:r>
      <w:r w:rsidR="00DF614D">
        <w:t xml:space="preserve"> to accept the </w:t>
      </w:r>
      <w:r w:rsidR="00B61906">
        <w:t>higher-pressure</w:t>
      </w:r>
      <w:r w:rsidR="00DF614D">
        <w:t xml:space="preserve"> gas. The project would reduce GHG emissions due to a direct reduction of natural gas in the microturbines as well as a reduction in natural gas needed to run the flare to burn excess biogas.</w:t>
      </w:r>
    </w:p>
    <w:p w:rsidR="00CF6DE2" w:rsidP="0089041F" w:rsidRDefault="12771BEA" w14:paraId="383AD81B" w14:textId="2B69AE40">
      <w:pPr>
        <w:pStyle w:val="ListParagraph"/>
        <w:numPr>
          <w:ilvl w:val="1"/>
          <w:numId w:val="2"/>
        </w:numPr>
        <w:rPr/>
      </w:pPr>
      <w:r w:rsidR="12771BEA">
        <w:rPr/>
        <w:t xml:space="preserve">No. </w:t>
      </w:r>
      <w:r w:rsidR="48499F66">
        <w:rPr/>
        <w:t xml:space="preserve">Technologies that </w:t>
      </w:r>
      <w:r w:rsidR="6345AF8A">
        <w:rPr/>
        <w:t xml:space="preserve">support biogas production </w:t>
      </w:r>
      <w:r w:rsidR="5AF4C28A">
        <w:rPr/>
        <w:t>and u</w:t>
      </w:r>
      <w:r w:rsidR="162E7D43">
        <w:rPr/>
        <w:t xml:space="preserve">se </w:t>
      </w:r>
      <w:r w:rsidR="6345AF8A">
        <w:rPr/>
        <w:t>are not eligible for this solicitation</w:t>
      </w:r>
      <w:r w:rsidR="58D786A6">
        <w:rPr/>
        <w:t>.</w:t>
      </w:r>
    </w:p>
    <w:p w:rsidR="0080436D" w:rsidP="00662FC1" w:rsidRDefault="26B12374" w14:paraId="6A780A23" w14:textId="51073145">
      <w:pPr>
        <w:pStyle w:val="ListParagraph"/>
        <w:numPr>
          <w:ilvl w:val="0"/>
          <w:numId w:val="2"/>
        </w:numPr>
      </w:pPr>
      <w:r>
        <w:t xml:space="preserve">Would a project </w:t>
      </w:r>
      <w:r w:rsidR="625DD020">
        <w:t>that</w:t>
      </w:r>
      <w:r>
        <w:t xml:space="preserve"> install</w:t>
      </w:r>
      <w:r w:rsidR="625DD020">
        <w:t>s</w:t>
      </w:r>
      <w:r>
        <w:t xml:space="preserve"> blowers and piping to transport the biogas to the boiler room, install</w:t>
      </w:r>
      <w:r w:rsidR="625DD020">
        <w:t>s</w:t>
      </w:r>
      <w:r>
        <w:t xml:space="preserve"> a blending skid </w:t>
      </w:r>
      <w:r w:rsidR="07C7BA91">
        <w:t>that</w:t>
      </w:r>
      <w:r>
        <w:t xml:space="preserve"> would blend the biogas with natural gas to a maximum biogas blend of 25%, and complete</w:t>
      </w:r>
      <w:r w:rsidR="6E4C1B9F">
        <w:t>s</w:t>
      </w:r>
      <w:r>
        <w:t xml:space="preserve"> modifications to (4) boilers and burners</w:t>
      </w:r>
      <w:r w:rsidR="011548DE">
        <w:t>, which would</w:t>
      </w:r>
      <w:r>
        <w:t xml:space="preserve"> allow them to run efficiently and meet permit requirements</w:t>
      </w:r>
      <w:r w:rsidR="011548DE">
        <w:t>,</w:t>
      </w:r>
      <w:r>
        <w:t xml:space="preserve"> qualify for Tier 1?</w:t>
      </w:r>
      <w:r w:rsidR="31840ABB">
        <w:t xml:space="preserve"> </w:t>
      </w:r>
      <w:r w:rsidR="671B85AC">
        <w:t xml:space="preserve">The facility </w:t>
      </w:r>
      <w:r w:rsidR="31840ABB">
        <w:t>currently has (4) large boilers that operate 100% on natural gas</w:t>
      </w:r>
      <w:r w:rsidR="671B85AC">
        <w:t xml:space="preserve"> and a</w:t>
      </w:r>
      <w:r w:rsidR="31840ABB">
        <w:t xml:space="preserve"> wastewater digester in which biogas is generated and currently flared </w:t>
      </w:r>
      <w:r w:rsidR="07C7BA91">
        <w:t>into</w:t>
      </w:r>
      <w:r w:rsidR="31840ABB">
        <w:t xml:space="preserve"> </w:t>
      </w:r>
      <w:r w:rsidR="07C7BA91">
        <w:t xml:space="preserve">the </w:t>
      </w:r>
      <w:r w:rsidR="31840ABB">
        <w:t>atmosphere.</w:t>
      </w:r>
    </w:p>
    <w:p w:rsidR="00C6727B" w:rsidP="0080436D" w:rsidRDefault="44D14391" w14:paraId="46B281AB" w14:textId="46617A55">
      <w:pPr>
        <w:pStyle w:val="ListParagraph"/>
        <w:numPr>
          <w:ilvl w:val="1"/>
          <w:numId w:val="2"/>
        </w:numPr>
      </w:pPr>
      <w:r>
        <w:t xml:space="preserve">No. </w:t>
      </w:r>
      <w:r w:rsidR="1B0C673D">
        <w:t>From the description provided</w:t>
      </w:r>
      <w:r w:rsidR="4D074915">
        <w:t xml:space="preserve">, this would be a fuel-switching project and </w:t>
      </w:r>
      <w:r w:rsidR="114CCC1B">
        <w:t>does n</w:t>
      </w:r>
      <w:r w:rsidR="6E8082BE">
        <w:t xml:space="preserve">ot meet the description of a Tier I project as described in the response to Question #11. </w:t>
      </w:r>
    </w:p>
    <w:p w:rsidR="00B86998" w:rsidP="00B86998" w:rsidRDefault="011A68BE" w14:paraId="20229D79" w14:textId="77777777">
      <w:pPr>
        <w:pStyle w:val="ListParagraph"/>
        <w:numPr>
          <w:ilvl w:val="0"/>
          <w:numId w:val="2"/>
        </w:numPr>
      </w:pPr>
      <w:r w:rsidRPr="686714E2">
        <w:rPr>
          <w:b/>
          <w:bCs/>
        </w:rPr>
        <w:t>a</w:t>
      </w:r>
      <w:r w:rsidRPr="686714E2" w:rsidR="5BFFE178">
        <w:rPr>
          <w:b/>
          <w:bCs/>
        </w:rPr>
        <w:t>.</w:t>
      </w:r>
      <w:r w:rsidR="1469AEE0">
        <w:t xml:space="preserve"> </w:t>
      </w:r>
      <w:r w:rsidR="209500BD">
        <w:t xml:space="preserve">Would replacing an older natural gas fryer with a more efficient, Energy Star-rated electric model be eligible? </w:t>
      </w:r>
    </w:p>
    <w:p w:rsidR="00C6727B" w:rsidP="00B86998" w:rsidRDefault="00B86998" w14:paraId="111DD6AE" w14:textId="60A425A9">
      <w:pPr>
        <w:pStyle w:val="ListParagraph"/>
        <w:ind w:left="864"/>
      </w:pPr>
      <w:r>
        <w:rPr>
          <w:b/>
          <w:bCs/>
        </w:rPr>
        <w:t>b.</w:t>
      </w:r>
      <w:r>
        <w:t xml:space="preserve"> </w:t>
      </w:r>
      <w:r w:rsidRPr="00C6727B" w:rsidR="00C6727B">
        <w:t>Can an upgrade to the electrical panel that distributes power to the restaurant be allowed under this solicitation if the panel upgrade would allow for future efficiency upgrades and replacements?</w:t>
      </w:r>
    </w:p>
    <w:p w:rsidR="00F7287B" w:rsidP="00F7287B" w:rsidRDefault="2A17CAE8" w14:paraId="08FB6C49" w14:textId="020690C3">
      <w:pPr>
        <w:pStyle w:val="ListParagraph"/>
        <w:numPr>
          <w:ilvl w:val="1"/>
          <w:numId w:val="2"/>
        </w:numPr>
      </w:pPr>
      <w:r w:rsidRPr="686714E2">
        <w:rPr>
          <w:b/>
          <w:bCs/>
        </w:rPr>
        <w:t>a</w:t>
      </w:r>
      <w:r w:rsidRPr="686714E2" w:rsidR="1469AEE0">
        <w:rPr>
          <w:b/>
          <w:bCs/>
        </w:rPr>
        <w:t>.</w:t>
      </w:r>
      <w:r w:rsidR="1469AEE0">
        <w:t xml:space="preserve"> </w:t>
      </w:r>
      <w:r w:rsidR="252E6362">
        <w:t>This technology may be eligible under the</w:t>
      </w:r>
      <w:r w:rsidR="763985BA">
        <w:t xml:space="preserve"> </w:t>
      </w:r>
      <w:r w:rsidR="252E6362">
        <w:t>"Industrial cooking equipment" category if it meets the requirements described in Section II.B of the Solicitation Manual</w:t>
      </w:r>
      <w:r w:rsidR="009820BD">
        <w:t xml:space="preserve"> and </w:t>
      </w:r>
      <w:r w:rsidR="739354A8">
        <w:t>the facility falls within the eligible NAICS codes</w:t>
      </w:r>
      <w:r>
        <w:t xml:space="preserve">. Please refer to the response </w:t>
      </w:r>
      <w:r w:rsidR="7C08DAF5">
        <w:t>to Question #17.</w:t>
      </w:r>
      <w:r w:rsidR="5BFFE178">
        <w:t xml:space="preserve"> </w:t>
      </w:r>
      <w:r w:rsidR="14044A0A">
        <w:t>Restaurants generally do not fall within these codes.</w:t>
      </w:r>
    </w:p>
    <w:p w:rsidR="00C6727B" w:rsidP="00F7287B" w:rsidRDefault="00F7287B" w14:paraId="1CC2DFC9" w14:textId="7CFA40DB">
      <w:pPr>
        <w:pStyle w:val="ListParagraph"/>
        <w:ind w:left="864"/>
      </w:pPr>
      <w:r>
        <w:rPr>
          <w:b/>
          <w:bCs/>
        </w:rPr>
        <w:t xml:space="preserve">b. </w:t>
      </w:r>
      <w:r w:rsidR="00C647F6">
        <w:t xml:space="preserve">Infrastructure improvements may be an eligible cost only if </w:t>
      </w:r>
      <w:r w:rsidRPr="00F7287B" w:rsidR="00C647F6">
        <w:rPr>
          <w:u w:val="single"/>
        </w:rPr>
        <w:t>directly related</w:t>
      </w:r>
      <w:r w:rsidR="00C647F6">
        <w:t xml:space="preserve"> to the equipment reducing GHG emissions.</w:t>
      </w:r>
      <w:r w:rsidR="009F4DC8">
        <w:t xml:space="preserve"> </w:t>
      </w:r>
      <w:r w:rsidR="00E54AF6">
        <w:t xml:space="preserve">Since you mentioned that the electric panel </w:t>
      </w:r>
      <w:r w:rsidR="00DA116C">
        <w:t>upgrade would enable future efficiency upgrades and replacements</w:t>
      </w:r>
      <w:r w:rsidR="00D261AF">
        <w:t xml:space="preserve">, the panel upgrade </w:t>
      </w:r>
      <w:r w:rsidR="00672F11">
        <w:t xml:space="preserve">is not considered an eligible </w:t>
      </w:r>
      <w:r w:rsidR="007A154B">
        <w:t>cost</w:t>
      </w:r>
      <w:r w:rsidR="00C647F6">
        <w:t>.</w:t>
      </w:r>
    </w:p>
    <w:p w:rsidR="00C6727B" w:rsidRDefault="13959982" w14:paraId="14A488EC" w14:textId="3AA1F22C">
      <w:pPr>
        <w:pStyle w:val="ListParagraph"/>
        <w:numPr>
          <w:ilvl w:val="0"/>
          <w:numId w:val="2"/>
        </w:numPr>
      </w:pPr>
      <w:r>
        <w:t>Is replacing gas boilers with electric heat pumps eligible?</w:t>
      </w:r>
    </w:p>
    <w:p w:rsidR="00C6727B" w:rsidP="004B4A08" w:rsidRDefault="44D14391" w14:paraId="71D45347" w14:textId="072457A7">
      <w:pPr>
        <w:pStyle w:val="ListParagraph"/>
        <w:numPr>
          <w:ilvl w:val="1"/>
          <w:numId w:val="2"/>
        </w:numPr>
      </w:pPr>
      <w:r>
        <w:lastRenderedPageBreak/>
        <w:t>No. From the description provided, this would be a fuel-switching project and does not meet the description of a Tier I project as described in the response to Question #11.</w:t>
      </w:r>
    </w:p>
    <w:p w:rsidR="00C6727B" w:rsidRDefault="209500BD" w14:paraId="07257C5C" w14:textId="036D4503">
      <w:pPr>
        <w:pStyle w:val="ListParagraph"/>
        <w:numPr>
          <w:ilvl w:val="0"/>
          <w:numId w:val="2"/>
        </w:numPr>
      </w:pPr>
      <w:r>
        <w:t>Are heat pumps that replace boilers an eligible technology under this solicitation?</w:t>
      </w:r>
    </w:p>
    <w:p w:rsidR="00C6727B" w:rsidP="009B34BD" w:rsidRDefault="67BCE0AE" w14:paraId="11FD27AF" w14:textId="7ECEC020">
      <w:pPr>
        <w:pStyle w:val="ListParagraph"/>
        <w:numPr>
          <w:ilvl w:val="1"/>
          <w:numId w:val="2"/>
        </w:numPr>
      </w:pPr>
      <w:r>
        <w:t xml:space="preserve">No. </w:t>
      </w:r>
      <w:r w:rsidR="611C4E2B">
        <w:t>Please refer to the response to Question #</w:t>
      </w:r>
      <w:r w:rsidR="090E9AC7">
        <w:t>43</w:t>
      </w:r>
      <w:r w:rsidR="611C4E2B">
        <w:t>.</w:t>
      </w:r>
    </w:p>
    <w:p w:rsidR="00C6727B" w:rsidRDefault="209500BD" w14:paraId="442098DB" w14:textId="6948A2CF">
      <w:pPr>
        <w:pStyle w:val="ListParagraph"/>
        <w:numPr>
          <w:ilvl w:val="0"/>
          <w:numId w:val="2"/>
        </w:numPr>
        <w:rPr/>
      </w:pPr>
      <w:r w:rsidR="209500BD">
        <w:rPr/>
        <w:t xml:space="preserve">Would </w:t>
      </w:r>
      <w:r w:rsidR="75919010">
        <w:rPr/>
        <w:t>replacing</w:t>
      </w:r>
      <w:r w:rsidR="209500BD">
        <w:rPr/>
        <w:t xml:space="preserve"> diesel-powered light towers, that provide lighting to the exterior processing areas, with permanent lighting powered by grid electricity to offset the direct emissions</w:t>
      </w:r>
      <w:r w:rsidR="7B9AB28A">
        <w:rPr/>
        <w:t>,</w:t>
      </w:r>
      <w:r w:rsidR="209500BD">
        <w:rPr/>
        <w:t xml:space="preserve"> be eligible?</w:t>
      </w:r>
    </w:p>
    <w:p w:rsidR="00C6727B" w:rsidRDefault="5AE51796" w14:paraId="06D7A8DA" w14:textId="459FCC53">
      <w:pPr>
        <w:pStyle w:val="ListParagraph"/>
        <w:numPr>
          <w:ilvl w:val="1"/>
          <w:numId w:val="2"/>
        </w:numPr>
      </w:pPr>
      <w:r>
        <w:t>No, ligh</w:t>
      </w:r>
      <w:r w:rsidR="589A4FA9">
        <w:t>t</w:t>
      </w:r>
      <w:r>
        <w:t xml:space="preserve">ing </w:t>
      </w:r>
      <w:r w:rsidR="74BC6982">
        <w:t>is not</w:t>
      </w:r>
      <w:r w:rsidR="589A4FA9">
        <w:t xml:space="preserve"> an</w:t>
      </w:r>
      <w:r w:rsidR="74BC6982">
        <w:t xml:space="preserve"> eligible</w:t>
      </w:r>
      <w:r w:rsidR="589A4FA9">
        <w:t xml:space="preserve"> technology</w:t>
      </w:r>
      <w:r w:rsidR="74BC6982">
        <w:t xml:space="preserve"> under this solicitation</w:t>
      </w:r>
      <w:r w:rsidR="7690F642">
        <w:t>.</w:t>
      </w:r>
    </w:p>
    <w:p w:rsidR="00C6727B" w:rsidRDefault="209500BD" w14:paraId="6D164C25" w14:textId="539DAC92">
      <w:pPr>
        <w:pStyle w:val="ListParagraph"/>
        <w:numPr>
          <w:ilvl w:val="0"/>
          <w:numId w:val="2"/>
        </w:numPr>
        <w:rPr/>
      </w:pPr>
      <w:r w:rsidR="209500BD">
        <w:rPr/>
        <w:t xml:space="preserve">Would replacement of outdated motors with </w:t>
      </w:r>
      <w:r w:rsidR="481B9F24">
        <w:rPr/>
        <w:t>variable frequency drive</w:t>
      </w:r>
      <w:r w:rsidR="5E7FF54D">
        <w:rPr/>
        <w:t>s</w:t>
      </w:r>
      <w:r w:rsidR="481B9F24">
        <w:rPr/>
        <w:t xml:space="preserve"> (</w:t>
      </w:r>
      <w:r w:rsidR="209500BD">
        <w:rPr/>
        <w:t>VFDs</w:t>
      </w:r>
      <w:r w:rsidR="6E1A732E">
        <w:rPr/>
        <w:t>)</w:t>
      </w:r>
      <w:r w:rsidR="209500BD">
        <w:rPr/>
        <w:t xml:space="preserve"> be eligible?</w:t>
      </w:r>
    </w:p>
    <w:p w:rsidR="00C6727B" w:rsidRDefault="169CB005" w14:paraId="5060479A" w14:textId="0C22D063">
      <w:pPr>
        <w:pStyle w:val="ListParagraph"/>
        <w:numPr>
          <w:ilvl w:val="1"/>
          <w:numId w:val="2"/>
        </w:numPr>
      </w:pPr>
      <w:r>
        <w:t xml:space="preserve">This technology may be eligible under the </w:t>
      </w:r>
      <w:r w:rsidR="7D35DA82">
        <w:t>"Advanced motors and controls, including variable frequency drives"</w:t>
      </w:r>
      <w:r>
        <w:t xml:space="preserve"> if it meets the requirements described in Section II.B of the Solicitation Manual.</w:t>
      </w:r>
    </w:p>
    <w:p w:rsidR="00C6727B" w:rsidRDefault="209500BD" w14:paraId="30410599" w14:textId="40591A4B">
      <w:pPr>
        <w:pStyle w:val="ListParagraph"/>
        <w:numPr>
          <w:ilvl w:val="0"/>
          <w:numId w:val="2"/>
        </w:numPr>
      </w:pPr>
      <w:r>
        <w:t>Would a commercially available solar boiler be an eligible technology?</w:t>
      </w:r>
    </w:p>
    <w:p w:rsidR="00996E10" w:rsidP="007E492F" w:rsidRDefault="0C0EC2A2" w14:paraId="0C8331DE" w14:textId="611F5E18">
      <w:pPr>
        <w:pStyle w:val="ListParagraph"/>
        <w:numPr>
          <w:ilvl w:val="1"/>
          <w:numId w:val="2"/>
        </w:numPr>
      </w:pPr>
      <w:r>
        <w:t xml:space="preserve">No. From the description provided, this would be a fuel-switching project and does not meet the description of a Tier I project as described in the response to Question #11. </w:t>
      </w:r>
    </w:p>
    <w:p w:rsidR="00C6727B" w:rsidP="00996E10" w:rsidRDefault="209500BD" w14:paraId="49809E1E" w14:textId="503E9912">
      <w:pPr>
        <w:pStyle w:val="ListParagraph"/>
        <w:numPr>
          <w:ilvl w:val="0"/>
          <w:numId w:val="2"/>
        </w:numPr>
      </w:pPr>
      <w:r>
        <w:t>Would the addition of a steam boiler that uses solar thermal energy instead of fossil fuel, is commercially available, and reduces GHG emissions be eligible? The solar boiler would be an addition to current natural gas boilers.</w:t>
      </w:r>
    </w:p>
    <w:p w:rsidR="00C6727B" w:rsidRDefault="7319218B" w14:paraId="20EF7CB3" w14:textId="2DF2E296">
      <w:pPr>
        <w:pStyle w:val="ListParagraph"/>
        <w:numPr>
          <w:ilvl w:val="1"/>
          <w:numId w:val="2"/>
        </w:numPr>
      </w:pPr>
      <w:r>
        <w:t xml:space="preserve">No. </w:t>
      </w:r>
      <w:r w:rsidR="5D87FBF3">
        <w:t xml:space="preserve">If the </w:t>
      </w:r>
      <w:r w:rsidR="0DC7B4F2">
        <w:t>equipment</w:t>
      </w:r>
      <w:r w:rsidR="5D87FBF3">
        <w:t xml:space="preserve"> </w:t>
      </w:r>
      <w:r w:rsidR="1FCEBD46">
        <w:t>is an addition</w:t>
      </w:r>
      <w:r w:rsidR="38725908">
        <w:t xml:space="preserve"> to the system</w:t>
      </w:r>
      <w:r w:rsidR="14569C4B">
        <w:t>, it would not be eligible</w:t>
      </w:r>
      <w:r w:rsidR="087F062F">
        <w:t xml:space="preserve">. </w:t>
      </w:r>
      <w:r w:rsidR="3E569C1C">
        <w:t>The proposed equipment must replace existing equipment at a food processing facility.</w:t>
      </w:r>
      <w:r w:rsidR="01CADD91">
        <w:t xml:space="preserve"> </w:t>
      </w:r>
      <w:r w:rsidR="436E1994">
        <w:t>From the description</w:t>
      </w:r>
      <w:r w:rsidR="6AFA9511">
        <w:t xml:space="preserve"> provided</w:t>
      </w:r>
      <w:r w:rsidR="436E1994">
        <w:t>, the project</w:t>
      </w:r>
      <w:r w:rsidR="6AFA9511">
        <w:t xml:space="preserve"> does not meet the description of a Tier I project as described in </w:t>
      </w:r>
      <w:r w:rsidR="62C219DC">
        <w:t>the response to Question #11.</w:t>
      </w:r>
      <w:r w:rsidR="2C09BC53">
        <w:t xml:space="preserve"> </w:t>
      </w:r>
      <w:r w:rsidR="01CADD91">
        <w:t>Please refer to the response to Question #</w:t>
      </w:r>
      <w:r w:rsidR="1BDFE6B6">
        <w:t>29</w:t>
      </w:r>
      <w:r w:rsidR="01CADD91">
        <w:t xml:space="preserve">. </w:t>
      </w:r>
    </w:p>
    <w:p w:rsidR="00C6727B" w:rsidRDefault="209500BD" w14:paraId="663EAF13" w14:textId="0924604D">
      <w:pPr>
        <w:pStyle w:val="ListParagraph"/>
        <w:numPr>
          <w:ilvl w:val="0"/>
          <w:numId w:val="2"/>
        </w:numPr>
      </w:pPr>
      <w:r>
        <w:t>Are technologies that produce thermal energy/cooling systems and clean salt water/brine water into drinking water eligible under this solicitation?</w:t>
      </w:r>
    </w:p>
    <w:p w:rsidR="00C6727B" w:rsidRDefault="40734516" w14:paraId="538F1A60" w14:textId="578EC640">
      <w:pPr>
        <w:pStyle w:val="ListParagraph"/>
        <w:numPr>
          <w:ilvl w:val="1"/>
          <w:numId w:val="2"/>
        </w:numPr>
      </w:pPr>
      <w:r>
        <w:t xml:space="preserve">No, </w:t>
      </w:r>
      <w:r w:rsidR="2D738A1C">
        <w:t>waste</w:t>
      </w:r>
      <w:r w:rsidR="3B824909">
        <w:t>water technologies are not eligible under this solicitation</w:t>
      </w:r>
      <w:r w:rsidR="6E075722">
        <w:t>.</w:t>
      </w:r>
      <w:r w:rsidR="127728BF">
        <w:t xml:space="preserve"> </w:t>
      </w:r>
    </w:p>
    <w:p w:rsidR="00C6727B" w:rsidRDefault="209500BD" w14:paraId="5BF33334" w14:textId="69B4EE45">
      <w:pPr>
        <w:pStyle w:val="ListParagraph"/>
        <w:numPr>
          <w:ilvl w:val="0"/>
          <w:numId w:val="2"/>
        </w:numPr>
        <w:rPr/>
      </w:pPr>
      <w:r w:rsidR="209500BD">
        <w:rPr/>
        <w:t>Would retrofit</w:t>
      </w:r>
      <w:r w:rsidR="18EBE33E">
        <w:rPr/>
        <w:t>ting</w:t>
      </w:r>
      <w:r w:rsidR="209500BD">
        <w:rPr/>
        <w:t xml:space="preserve"> a cooling system with an absorption chilling system that uses waste heat to produce processing room space cooling directly, without the inefficiency of conversion first to electricity, be eligible?</w:t>
      </w:r>
    </w:p>
    <w:p w:rsidR="00C6727B" w:rsidP="0021233D" w:rsidRDefault="05A33ED2" w14:paraId="698ACE88" w14:textId="773D6A8E">
      <w:pPr>
        <w:pStyle w:val="ListParagraph"/>
        <w:numPr>
          <w:ilvl w:val="1"/>
          <w:numId w:val="2"/>
        </w:numPr>
      </w:pPr>
      <w:r>
        <w:t>This technology may be eligible under the "Refrigeration system optimization" category if it meets the requirements as described in Section II.B of the Solicitation Manual.</w:t>
      </w:r>
    </w:p>
    <w:p w:rsidR="00C6727B" w:rsidRDefault="209500BD" w14:paraId="57269224" w14:textId="4E2186DD">
      <w:pPr>
        <w:pStyle w:val="ListParagraph"/>
        <w:numPr>
          <w:ilvl w:val="0"/>
          <w:numId w:val="2"/>
        </w:numPr>
      </w:pPr>
      <w:r>
        <w:t>Is waste heat to cooling an eligible technology?</w:t>
      </w:r>
    </w:p>
    <w:p w:rsidR="00F76490" w:rsidP="00F76490" w:rsidRDefault="1D6AF900" w14:paraId="0A1F72E6" w14:textId="77777777">
      <w:pPr>
        <w:pStyle w:val="ListParagraph"/>
        <w:numPr>
          <w:ilvl w:val="1"/>
          <w:numId w:val="2"/>
        </w:numPr>
      </w:pPr>
      <w:r>
        <w:t xml:space="preserve">Please refer to the response to Question #50. </w:t>
      </w:r>
    </w:p>
    <w:p w:rsidR="00C6727B" w:rsidRDefault="209500BD" w14:paraId="4AC0A93A" w14:textId="3D572DB3">
      <w:pPr>
        <w:pStyle w:val="ListParagraph"/>
        <w:numPr>
          <w:ilvl w:val="0"/>
          <w:numId w:val="2"/>
        </w:numPr>
      </w:pPr>
      <w:r>
        <w:t>Is wastewater treatment considered an eligible technology?</w:t>
      </w:r>
    </w:p>
    <w:p w:rsidR="001E5234" w:rsidP="00296EBF" w:rsidRDefault="6F4B103A" w14:paraId="0BAE984E" w14:textId="098F2774">
      <w:pPr>
        <w:pStyle w:val="ListParagraph"/>
        <w:numPr>
          <w:ilvl w:val="1"/>
          <w:numId w:val="2"/>
        </w:numPr>
        <w:rPr/>
      </w:pPr>
      <w:r w:rsidR="6F4B103A">
        <w:rPr/>
        <w:t xml:space="preserve">No, technologies which focus on wastewater treatment are not eligible </w:t>
      </w:r>
      <w:r w:rsidR="6C271DC6">
        <w:rPr/>
        <w:t>under this solicitation</w:t>
      </w:r>
      <w:r w:rsidR="218BAD7B">
        <w:rPr/>
        <w:t>.</w:t>
      </w:r>
      <w:r w:rsidR="6C271DC6">
        <w:rPr/>
        <w:t xml:space="preserve"> </w:t>
      </w:r>
      <w:bookmarkStart w:name="_Toc121228718" w:id="6"/>
    </w:p>
    <w:p w:rsidRPr="006B1744" w:rsidR="00FF4A54" w:rsidP="00796234" w:rsidRDefault="00C6727B" w14:paraId="14943FE6" w14:textId="5549F4E5">
      <w:pPr>
        <w:pStyle w:val="ListParagraph"/>
        <w:ind w:left="864"/>
        <w:rPr>
          <w:bCs/>
        </w:rPr>
      </w:pPr>
      <w:r w:rsidRPr="00796234">
        <w:rPr>
          <w:b/>
          <w:bCs/>
        </w:rPr>
        <w:t>Eligible costs</w:t>
      </w:r>
      <w:bookmarkEnd w:id="6"/>
    </w:p>
    <w:p w:rsidR="00C6727B" w:rsidRDefault="209500BD" w14:paraId="4039ED6C" w14:textId="77777777">
      <w:pPr>
        <w:pStyle w:val="ListParagraph"/>
        <w:numPr>
          <w:ilvl w:val="0"/>
          <w:numId w:val="2"/>
        </w:numPr>
      </w:pPr>
      <w:r>
        <w:t>Can the third-party M&amp;V subcontractor request funds for testing and measuring equipment and sensors?</w:t>
      </w:r>
    </w:p>
    <w:p w:rsidR="00BA1D88" w:rsidP="00BA1D88" w:rsidRDefault="3DDAA464" w14:paraId="09237DBF" w14:textId="406A650E">
      <w:pPr>
        <w:pStyle w:val="ListParagraph"/>
        <w:numPr>
          <w:ilvl w:val="1"/>
          <w:numId w:val="2"/>
        </w:numPr>
      </w:pPr>
      <w:r>
        <w:lastRenderedPageBreak/>
        <w:t xml:space="preserve">No, third-party M&amp;V subcontractors cannot include costs for equipment and sensors. Eligible costs for subcontractors are limited to the following categories: Direct Labor, Fringe Benefits, Travel, Subcontractors, and Indirect Costs. The prime recipient may purchase instrumentation and </w:t>
      </w:r>
      <w:r w:rsidR="7886521C">
        <w:t>control</w:t>
      </w:r>
      <w:r>
        <w:t xml:space="preserve"> equipment if the following conditions are met: </w:t>
      </w:r>
      <w:r w:rsidR="7886521C">
        <w:t xml:space="preserve">(1) </w:t>
      </w:r>
      <w:r>
        <w:t xml:space="preserve">the equipment is required for the system to function properly; and </w:t>
      </w:r>
      <w:r w:rsidR="7886521C">
        <w:t xml:space="preserve">(2) </w:t>
      </w:r>
      <w:r>
        <w:t>is intended to be a permanent component of the system (i.e., not removed after the project is complete). Please refer to the budget instructions in Attachment 5A, Prime Budget Form, and Attachment 5B, Major Subcontractor Budget Form.</w:t>
      </w:r>
    </w:p>
    <w:p w:rsidR="00C6727B" w:rsidP="00BA1D88" w:rsidRDefault="209500BD" w14:paraId="05BA85D4" w14:textId="04212450">
      <w:pPr>
        <w:pStyle w:val="ListParagraph"/>
        <w:numPr>
          <w:ilvl w:val="0"/>
          <w:numId w:val="2"/>
        </w:numPr>
      </w:pPr>
      <w:r>
        <w:t>Can secondary equipment, materials, or supplies necessary for the eligible equipment operation</w:t>
      </w:r>
      <w:r w:rsidR="36B5536C">
        <w:t>,</w:t>
      </w:r>
      <w:r>
        <w:t xml:space="preserve"> therefore indirectly related to direct GHG savings, be included as eligible costs? </w:t>
      </w:r>
      <w:r w:rsidR="3137DE92">
        <w:t>For example,</w:t>
      </w:r>
      <w:r>
        <w:t xml:space="preserve"> vessels and piping, new structural (new concrete pads, bracing, steel infrastructure, etc.), or safety-required equipment (containment, etc.).</w:t>
      </w:r>
    </w:p>
    <w:p w:rsidRPr="00C6727B" w:rsidR="00D97425" w:rsidP="00E80A48" w:rsidRDefault="209500BD" w14:paraId="3059A238" w14:textId="6C3F0BF4">
      <w:pPr>
        <w:pStyle w:val="ListParagraph"/>
        <w:numPr>
          <w:ilvl w:val="1"/>
          <w:numId w:val="2"/>
        </w:numPr>
        <w:rPr/>
      </w:pPr>
      <w:r w:rsidR="209500BD">
        <w:rPr/>
        <w:t xml:space="preserve">Yes, secondary equipment, materials, or supplies necessary for the eligible equipment operation </w:t>
      </w:r>
      <w:r w:rsidR="684C2AC7">
        <w:rPr/>
        <w:t xml:space="preserve">are </w:t>
      </w:r>
      <w:r w:rsidR="209500BD">
        <w:rPr/>
        <w:t>considered eligible costs. Infrastructure improvements may be an eligible cost only if directly related to the equipment reducing GHG emissions. The applicant's budget should account for these costs under the equipment category.</w:t>
      </w:r>
      <w:r w:rsidR="3381FC81">
        <w:rPr/>
        <w:t xml:space="preserve"> Please note that ins</w:t>
      </w:r>
      <w:r w:rsidR="1C818315">
        <w:rPr/>
        <w:t xml:space="preserve">tallation </w:t>
      </w:r>
      <w:r w:rsidR="6984BE1F">
        <w:rPr/>
        <w:t xml:space="preserve">costs are not </w:t>
      </w:r>
      <w:r w:rsidR="3936D865">
        <w:rPr/>
        <w:t>eligible cost</w:t>
      </w:r>
      <w:r w:rsidR="02A9A253">
        <w:rPr/>
        <w:t>s.</w:t>
      </w:r>
    </w:p>
    <w:p w:rsidR="00C6727B" w:rsidP="00C6727B" w:rsidRDefault="00C6727B" w14:paraId="0B1E0B3B" w14:textId="46B30409">
      <w:pPr>
        <w:pStyle w:val="Heading1"/>
      </w:pPr>
      <w:bookmarkStart w:name="_Toc121228719" w:id="7"/>
      <w:r>
        <w:t>Submission</w:t>
      </w:r>
      <w:bookmarkEnd w:id="7"/>
    </w:p>
    <w:p w:rsidR="00C6727B" w:rsidRDefault="209500BD" w14:paraId="63A997A0" w14:textId="5A759B10">
      <w:pPr>
        <w:pStyle w:val="ListParagraph"/>
        <w:numPr>
          <w:ilvl w:val="0"/>
          <w:numId w:val="2"/>
        </w:numPr>
      </w:pPr>
      <w:r>
        <w:t>Once an appli</w:t>
      </w:r>
      <w:r w:rsidR="248B53F4">
        <w:t>ca</w:t>
      </w:r>
      <w:r>
        <w:t>tion is submitted, does the applicant have the ability to revise the submission or provide add</w:t>
      </w:r>
      <w:r w:rsidR="248B53F4">
        <w:t>i</w:t>
      </w:r>
      <w:r>
        <w:t>tional information to ensure projects are approved?</w:t>
      </w:r>
    </w:p>
    <w:p w:rsidR="00C6727B" w:rsidRDefault="556AC4C3" w14:paraId="65B35985" w14:textId="5E502F1A">
      <w:pPr>
        <w:pStyle w:val="ListParagraph"/>
        <w:numPr>
          <w:ilvl w:val="1"/>
          <w:numId w:val="2"/>
        </w:numPr>
      </w:pPr>
      <w:r>
        <w:t xml:space="preserve">No. </w:t>
      </w:r>
      <w:r w:rsidR="664EB3A2">
        <w:t>Once an application is s</w:t>
      </w:r>
      <w:r w:rsidR="105F74DE">
        <w:t>ubmitted</w:t>
      </w:r>
      <w:r w:rsidR="42AE8813">
        <w:t>, the applicant will not be able to revise the submission or provide addition</w:t>
      </w:r>
      <w:r w:rsidR="7F464839">
        <w:t>al</w:t>
      </w:r>
      <w:r w:rsidR="42AE8813">
        <w:t xml:space="preserve"> information.</w:t>
      </w:r>
      <w:r w:rsidR="7F464839">
        <w:t xml:space="preserve"> The applicant must contact the CAO </w:t>
      </w:r>
      <w:r w:rsidR="4088AE68">
        <w:t xml:space="preserve">in Section </w:t>
      </w:r>
      <w:r w:rsidR="092032E2">
        <w:t>I.G.</w:t>
      </w:r>
      <w:r w:rsidR="7C5172A6">
        <w:t xml:space="preserve"> of the Solicitation Manual</w:t>
      </w:r>
      <w:r w:rsidR="311F9363">
        <w:t xml:space="preserve"> if they </w:t>
      </w:r>
      <w:r w:rsidR="0778B88A">
        <w:t>would like to withdraw the application</w:t>
      </w:r>
      <w:r w:rsidR="2F2D6AE7">
        <w:t xml:space="preserve"> and resubmit a revised application </w:t>
      </w:r>
      <w:r w:rsidRPr="686714E2" w:rsidR="2F2D6AE7">
        <w:rPr>
          <w:u w:val="single"/>
        </w:rPr>
        <w:t>before</w:t>
      </w:r>
      <w:r w:rsidR="2F2D6AE7">
        <w:t xml:space="preserve"> the </w:t>
      </w:r>
      <w:r w:rsidR="798FB21C">
        <w:t xml:space="preserve">submission </w:t>
      </w:r>
      <w:r w:rsidR="0A84529B">
        <w:t>deadline.</w:t>
      </w:r>
      <w:r w:rsidR="42AE8813">
        <w:t xml:space="preserve"> </w:t>
      </w:r>
      <w:r w:rsidR="209500BD">
        <w:t xml:space="preserve">For instructions on how to apply using the GSS system, please see the </w:t>
      </w:r>
      <w:r w:rsidR="1AE75AB6">
        <w:t>"</w:t>
      </w:r>
      <w:r w:rsidR="209500BD">
        <w:t>How to Apply</w:t>
      </w:r>
      <w:r w:rsidR="1AE75AB6">
        <w:t>"</w:t>
      </w:r>
      <w:r w:rsidR="209500BD">
        <w:t xml:space="preserve"> document available on the CEC website at: </w:t>
      </w:r>
      <w:hyperlink r:id="rId15">
        <w:r w:rsidRPr="686714E2" w:rsidR="69E5AB29">
          <w:rPr>
            <w:rStyle w:val="Hyperlink"/>
          </w:rPr>
          <w:t>https://www.energy.ca.gov/media/1654</w:t>
        </w:r>
      </w:hyperlink>
      <w:r w:rsidR="209500BD">
        <w:t>.</w:t>
      </w:r>
    </w:p>
    <w:p w:rsidR="00C6727B" w:rsidRDefault="209500BD" w14:paraId="6B0CD4B5" w14:textId="77777777">
      <w:pPr>
        <w:pStyle w:val="ListParagraph"/>
        <w:numPr>
          <w:ilvl w:val="0"/>
          <w:numId w:val="2"/>
        </w:numPr>
      </w:pPr>
      <w:r>
        <w:t>What is the total funding for this solicitation? What is the maximum award per application? Can technologies be combined under a single application?</w:t>
      </w:r>
    </w:p>
    <w:p w:rsidR="00C6727B" w:rsidP="00EC4CE4" w:rsidRDefault="209500BD" w14:paraId="64CEEAD6" w14:textId="20C9838A">
      <w:pPr>
        <w:pStyle w:val="ListParagraph"/>
        <w:numPr>
          <w:ilvl w:val="1"/>
          <w:numId w:val="2"/>
        </w:numPr>
        <w:rPr/>
      </w:pPr>
      <w:r w:rsidR="209500BD">
        <w:rPr/>
        <w:t>The</w:t>
      </w:r>
      <w:r w:rsidR="40A723A7">
        <w:rPr/>
        <w:t xml:space="preserve">re is up to </w:t>
      </w:r>
      <w:r w:rsidR="209500BD">
        <w:rPr/>
        <w:t>$</w:t>
      </w:r>
      <w:r w:rsidR="2E8C575C">
        <w:rPr/>
        <w:t>10</w:t>
      </w:r>
      <w:r w:rsidR="209500BD">
        <w:rPr/>
        <w:t xml:space="preserve"> million</w:t>
      </w:r>
      <w:r w:rsidR="40A723A7">
        <w:rPr/>
        <w:t xml:space="preserve"> available for this solicitation</w:t>
      </w:r>
      <w:r w:rsidR="209500BD">
        <w:rPr/>
        <w:t>. The maximum award amount is $6 million</w:t>
      </w:r>
      <w:r w:rsidR="58E765D6">
        <w:rPr/>
        <w:t xml:space="preserve"> (</w:t>
      </w:r>
      <w:r w:rsidR="276A8D5F">
        <w:rPr/>
        <w:t xml:space="preserve">s</w:t>
      </w:r>
      <w:r w:rsidR="58E765D6">
        <w:rPr/>
        <w:t xml:space="preserve">ee Section I.D. of</w:t>
      </w:r>
      <w:r w:rsidR="3C1073C5">
        <w:rPr/>
        <w:t xml:space="preserve"> the</w:t>
      </w:r>
      <w:r w:rsidR="58E765D6">
        <w:rPr/>
        <w:t xml:space="preserve"> Solicitation Manual)</w:t>
      </w:r>
      <w:r w:rsidR="209500BD">
        <w:rPr/>
        <w:t xml:space="preserve">. </w:t>
      </w:r>
      <w:r w:rsidR="12B73AA3">
        <w:rPr/>
        <w:t>Projects in a capped facility</w:t>
      </w:r>
      <w:r w:rsidR="005754F9">
        <w:rPr>
          <w:vertAlign w:val="superscript"/>
        </w:rPr>
        <w:footnoteReference w:id="4"/>
      </w:r>
      <w:r w:rsidR="12B73AA3">
        <w:rPr/>
        <w:t xml:space="preserve">, along with any facility(ies) under the same ownership, can be bundled </w:t>
      </w:r>
      <w:r w:rsidR="1A8CEE29">
        <w:rPr/>
        <w:t xml:space="preserve">(</w:t>
      </w:r>
      <w:r w:rsidR="709646E8">
        <w:rPr/>
        <w:t xml:space="preserve">combined) </w:t>
      </w:r>
      <w:r w:rsidR="12B73AA3">
        <w:rPr/>
        <w:t>in one application</w:t>
      </w:r>
      <w:r w:rsidR="58E765D6">
        <w:rPr/>
        <w:t xml:space="preserve">. (</w:t>
      </w:r>
      <w:proofErr w:type="gramStart"/>
      <w:r w:rsidR="793D13DF">
        <w:rPr/>
        <w:t xml:space="preserve">s</w:t>
      </w:r>
      <w:r w:rsidR="58E765D6">
        <w:rPr/>
        <w:t xml:space="preserve">ee</w:t>
      </w:r>
      <w:proofErr w:type="gramEnd"/>
      <w:r w:rsidR="58E765D6">
        <w:rPr/>
        <w:t xml:space="preserve"> Section IV.F. of </w:t>
      </w:r>
      <w:r w:rsidR="3C1073C5">
        <w:rPr/>
        <w:t xml:space="preserve">the </w:t>
      </w:r>
      <w:r w:rsidR="58E765D6">
        <w:rPr/>
        <w:t xml:space="preserve">Solicitation </w:t>
      </w:r>
      <w:r w:rsidR="3C1073C5">
        <w:rPr/>
        <w:t>M</w:t>
      </w:r>
      <w:r w:rsidR="58E765D6">
        <w:rPr/>
        <w:t>anual</w:t>
      </w:r>
      <w:r w:rsidR="632D27BC">
        <w:rPr/>
        <w:t>)</w:t>
      </w:r>
      <w:r w:rsidR="33E44382">
        <w:rPr/>
        <w:t>.</w:t>
      </w:r>
    </w:p>
    <w:p w:rsidR="00C6727B" w:rsidRDefault="0448446E" w14:paraId="5450B977" w14:textId="4DE8F527">
      <w:pPr>
        <w:pStyle w:val="ListParagraph"/>
        <w:numPr>
          <w:ilvl w:val="0"/>
          <w:numId w:val="2"/>
        </w:numPr>
      </w:pPr>
      <w:r>
        <w:lastRenderedPageBreak/>
        <w:t xml:space="preserve">Can an application that bundles multiple eligible technologies and facilities under the same ownership into one application be awarded </w:t>
      </w:r>
      <w:r w:rsidR="209500BD">
        <w:t>$6 million</w:t>
      </w:r>
      <w:r w:rsidR="0FE1BD2F">
        <w:t xml:space="preserve"> (the maximum</w:t>
      </w:r>
      <w:r w:rsidR="5629A5A5">
        <w:t xml:space="preserve"> amount</w:t>
      </w:r>
      <w:r w:rsidR="0FE1BD2F">
        <w:t xml:space="preserve"> that can be requested)</w:t>
      </w:r>
      <w:r w:rsidR="209500BD">
        <w:t>?</w:t>
      </w:r>
    </w:p>
    <w:p w:rsidR="00D41190" w:rsidP="00D41190" w:rsidRDefault="632D27BC" w14:paraId="01651FA8" w14:textId="7BE7F374">
      <w:pPr>
        <w:pStyle w:val="ListParagraph"/>
        <w:numPr>
          <w:ilvl w:val="1"/>
          <w:numId w:val="2"/>
        </w:numPr>
      </w:pPr>
      <w:r>
        <w:t xml:space="preserve">Yes. </w:t>
      </w:r>
      <w:r w:rsidR="5A44E324">
        <w:t>I</w:t>
      </w:r>
      <w:r w:rsidR="0448446E">
        <w:t xml:space="preserve">t is possible for one application to be awarded the maximum amount of $6 million. </w:t>
      </w:r>
    </w:p>
    <w:p w:rsidR="00C114B2" w:rsidP="00C114B2" w:rsidRDefault="1BA7069E" w14:paraId="19C64D02" w14:textId="77777777">
      <w:pPr>
        <w:pStyle w:val="ListParagraph"/>
        <w:numPr>
          <w:ilvl w:val="0"/>
          <w:numId w:val="2"/>
        </w:numPr>
      </w:pPr>
      <w:r w:rsidRPr="686714E2">
        <w:rPr>
          <w:b/>
          <w:bCs/>
        </w:rPr>
        <w:t>a</w:t>
      </w:r>
      <w:r w:rsidRPr="686714E2" w:rsidR="2FE46F99">
        <w:rPr>
          <w:b/>
          <w:bCs/>
        </w:rPr>
        <w:t>.</w:t>
      </w:r>
      <w:r>
        <w:t xml:space="preserve"> </w:t>
      </w:r>
      <w:r w:rsidR="209500BD">
        <w:t xml:space="preserve">Is there a minimum requirement for project development to submit a grant application? </w:t>
      </w:r>
    </w:p>
    <w:p w:rsidR="00C114B2" w:rsidP="00130966" w:rsidRDefault="00C114B2" w14:paraId="00E5FE3D" w14:textId="31923E86">
      <w:pPr>
        <w:pStyle w:val="ListParagraph"/>
        <w:ind w:left="864"/>
      </w:pPr>
      <w:r w:rsidRPr="5A585580" w:rsidR="00C114B2">
        <w:rPr>
          <w:b w:val="1"/>
          <w:bCs w:val="1"/>
        </w:rPr>
        <w:t>b.</w:t>
      </w:r>
      <w:r w:rsidRPr="5A585580" w:rsidR="44D5C7E0">
        <w:rPr>
          <w:b w:val="1"/>
          <w:bCs w:val="1"/>
        </w:rPr>
        <w:t xml:space="preserve"> </w:t>
      </w:r>
      <w:r w:rsidR="00C6727B">
        <w:rPr/>
        <w:t xml:space="preserve">Please define the level of engineering development required to receive the grant. </w:t>
      </w:r>
      <w:r w:rsidR="000D3823">
        <w:rPr/>
        <w:t>For example, i</w:t>
      </w:r>
      <w:r w:rsidR="008E4934">
        <w:rPr/>
        <w:t>f a project has been identified as part of an</w:t>
      </w:r>
      <w:r w:rsidR="7880AB41">
        <w:rPr/>
        <w:t xml:space="preserve"> American Society of Heating, Refrigerating and Air-Conditioning Engineers</w:t>
      </w:r>
      <w:r w:rsidR="008E4934">
        <w:rPr/>
        <w:t xml:space="preserve"> </w:t>
      </w:r>
      <w:r w:rsidR="329B0119">
        <w:rPr/>
        <w:t>(</w:t>
      </w:r>
      <w:r w:rsidR="008E4934">
        <w:rPr/>
        <w:t>ASHRAE</w:t>
      </w:r>
      <w:r w:rsidR="21DBAE0A">
        <w:rPr/>
        <w:t>)</w:t>
      </w:r>
      <w:r w:rsidR="008E4934">
        <w:rPr/>
        <w:t xml:space="preserve"> Level III assessment, would that be adequate</w:t>
      </w:r>
      <w:r w:rsidR="009A4798">
        <w:rPr/>
        <w:t>, o</w:t>
      </w:r>
      <w:r w:rsidR="008E4934">
        <w:rPr/>
        <w:t>r should these be shovel-ready projects w</w:t>
      </w:r>
      <w:r w:rsidR="004638E7">
        <w:rPr/>
        <w:t>ith</w:t>
      </w:r>
      <w:r w:rsidR="008E4934">
        <w:rPr/>
        <w:t xml:space="preserve"> engineering completed?</w:t>
      </w:r>
    </w:p>
    <w:p w:rsidR="003550A1" w:rsidP="006432CE" w:rsidRDefault="69DB174A" w14:paraId="31F3F231" w14:textId="7305EBA1">
      <w:pPr>
        <w:pStyle w:val="ListParagraph"/>
        <w:ind w:left="864"/>
      </w:pPr>
      <w:r w:rsidRPr="71C8F780">
        <w:rPr>
          <w:b/>
          <w:bCs/>
        </w:rPr>
        <w:t>c.</w:t>
      </w:r>
      <w:r>
        <w:t xml:space="preserve"> </w:t>
      </w:r>
      <w:r w:rsidR="00C6727B">
        <w:t xml:space="preserve">Do the GHG emissions reductions and cost estimates need to be accurate within a defined </w:t>
      </w:r>
      <w:r w:rsidR="165C2787">
        <w:t>percent</w:t>
      </w:r>
      <w:r w:rsidR="00C6727B">
        <w:t xml:space="preserve"> range? </w:t>
      </w:r>
    </w:p>
    <w:p w:rsidR="00861892" w:rsidP="003550A1" w:rsidRDefault="558C9E45" w14:paraId="7B324F19" w14:textId="493407FE">
      <w:pPr>
        <w:pStyle w:val="ListParagraph"/>
        <w:numPr>
          <w:ilvl w:val="1"/>
          <w:numId w:val="2"/>
        </w:numPr>
      </w:pPr>
      <w:r w:rsidRPr="686714E2">
        <w:rPr>
          <w:b/>
          <w:bCs/>
        </w:rPr>
        <w:t>a.</w:t>
      </w:r>
      <w:r>
        <w:t xml:space="preserve"> </w:t>
      </w:r>
      <w:r w:rsidR="1AE75AB6">
        <w:t>Not enough details are</w:t>
      </w:r>
      <w:r w:rsidR="59100CFB">
        <w:t xml:space="preserve"> </w:t>
      </w:r>
      <w:r w:rsidR="71605976">
        <w:t>provided to</w:t>
      </w:r>
      <w:r w:rsidR="1F637744">
        <w:t xml:space="preserve"> determine what </w:t>
      </w:r>
      <w:r w:rsidR="1AE75AB6">
        <w:t>"</w:t>
      </w:r>
      <w:r w:rsidR="1F637744">
        <w:t>project development</w:t>
      </w:r>
      <w:r w:rsidR="1AE75AB6">
        <w:t>"</w:t>
      </w:r>
      <w:r w:rsidR="59100CFB">
        <w:t xml:space="preserve"> means.</w:t>
      </w:r>
      <w:r w:rsidR="7212C72F">
        <w:t xml:space="preserve"> </w:t>
      </w:r>
      <w:r w:rsidR="5205A24E">
        <w:t>Please refer to Section II.B in the Solicitation Manual for more information on project requirements.</w:t>
      </w:r>
    </w:p>
    <w:p w:rsidR="008E4934" w:rsidP="0092735B" w:rsidRDefault="00B60D0C" w14:paraId="62011845" w14:textId="002808D6">
      <w:pPr>
        <w:pStyle w:val="ListParagraph"/>
        <w:ind w:left="864"/>
      </w:pPr>
      <w:r w:rsidRPr="5A585580" w:rsidR="00B60D0C">
        <w:rPr>
          <w:b w:val="1"/>
          <w:bCs w:val="1"/>
        </w:rPr>
        <w:t>b.</w:t>
      </w:r>
      <w:r w:rsidR="00B60D0C">
        <w:rPr/>
        <w:t xml:space="preserve"> </w:t>
      </w:r>
      <w:r w:rsidR="00635078">
        <w:rPr/>
        <w:t xml:space="preserve">There is no </w:t>
      </w:r>
      <w:r w:rsidR="00BE570F">
        <w:rPr/>
        <w:t xml:space="preserve">minimum </w:t>
      </w:r>
      <w:r w:rsidR="009B0D74">
        <w:rPr/>
        <w:t>level of engineering</w:t>
      </w:r>
      <w:r w:rsidR="00143114">
        <w:rPr/>
        <w:t xml:space="preserve"> </w:t>
      </w:r>
      <w:r w:rsidR="00BE570F">
        <w:rPr/>
        <w:t xml:space="preserve">development </w:t>
      </w:r>
      <w:r w:rsidR="00143114">
        <w:rPr/>
        <w:t xml:space="preserve">required </w:t>
      </w:r>
      <w:r w:rsidR="00BB3D71">
        <w:rPr/>
        <w:t xml:space="preserve">to </w:t>
      </w:r>
      <w:r w:rsidR="00374B2A">
        <w:rPr/>
        <w:t>apply</w:t>
      </w:r>
      <w:r w:rsidR="00621D51">
        <w:rPr/>
        <w:t>.</w:t>
      </w:r>
      <w:r w:rsidR="0042377F">
        <w:rPr/>
        <w:t xml:space="preserve"> Completion of an ASHRAE Level III assessment or other energy audit or study </w:t>
      </w:r>
      <w:r w:rsidR="001B79BA">
        <w:rPr/>
        <w:t>does not need to be completed to apply for the grant.</w:t>
      </w:r>
      <w:r w:rsidR="00621D51">
        <w:rPr/>
        <w:t xml:space="preserve"> </w:t>
      </w:r>
      <w:r w:rsidR="00E60D22">
        <w:rPr/>
        <w:t xml:space="preserve">However, detailed calculations and assumptions of baseline conditions and engineering estimates of </w:t>
      </w:r>
      <w:r w:rsidR="001A3A6B">
        <w:rPr/>
        <w:t>potential energy savings resulting from the requested projects will be need</w:t>
      </w:r>
      <w:r w:rsidR="000E7AB4">
        <w:rPr/>
        <w:t>ed</w:t>
      </w:r>
      <w:r w:rsidR="001A3A6B">
        <w:rPr/>
        <w:t xml:space="preserve">. </w:t>
      </w:r>
      <w:r w:rsidR="00226DC3">
        <w:rPr/>
        <w:t xml:space="preserve">Applicants </w:t>
      </w:r>
      <w:r w:rsidR="000E7AB4">
        <w:rPr/>
        <w:t xml:space="preserve">must </w:t>
      </w:r>
      <w:r w:rsidR="001D24CE">
        <w:rPr/>
        <w:t>c</w:t>
      </w:r>
      <w:r w:rsidR="00C6727B">
        <w:rPr/>
        <w:t>omplete each of the required nine attachments</w:t>
      </w:r>
      <w:r w:rsidR="001D24CE">
        <w:rPr/>
        <w:t xml:space="preserve"> with enough detail</w:t>
      </w:r>
      <w:r w:rsidR="004928B5">
        <w:rPr/>
        <w:t xml:space="preserve">s and information to </w:t>
      </w:r>
      <w:r w:rsidR="00E47E15">
        <w:rPr/>
        <w:t>pass t</w:t>
      </w:r>
      <w:r w:rsidR="008B3AA8">
        <w:rPr/>
        <w:t xml:space="preserve">he </w:t>
      </w:r>
      <w:r w:rsidR="008D1F27">
        <w:rPr/>
        <w:t>s</w:t>
      </w:r>
      <w:r w:rsidR="008B3AA8">
        <w:rPr/>
        <w:t xml:space="preserve">creening </w:t>
      </w:r>
      <w:r w:rsidR="003F0D13">
        <w:rPr/>
        <w:t>a</w:t>
      </w:r>
      <w:r w:rsidR="00C75E2A">
        <w:rPr/>
        <w:t>nd be ev</w:t>
      </w:r>
      <w:r w:rsidR="00015DF2">
        <w:rPr/>
        <w:t>a</w:t>
      </w:r>
      <w:r w:rsidR="00C75E2A">
        <w:rPr/>
        <w:t>luated</w:t>
      </w:r>
      <w:r w:rsidR="004547C1">
        <w:rPr/>
        <w:t xml:space="preserve"> for scoring</w:t>
      </w:r>
      <w:r w:rsidR="005C4262">
        <w:rPr/>
        <w:t xml:space="preserve">. </w:t>
      </w:r>
      <w:r w:rsidR="004C182B">
        <w:rPr/>
        <w:t>It i</w:t>
      </w:r>
      <w:r w:rsidR="005C4262">
        <w:rPr/>
        <w:t>s</w:t>
      </w:r>
      <w:r w:rsidR="004C182B">
        <w:rPr/>
        <w:t xml:space="preserve"> up to the applicant </w:t>
      </w:r>
      <w:r w:rsidR="00765ACA">
        <w:rPr/>
        <w:t xml:space="preserve">to determine </w:t>
      </w:r>
      <w:r w:rsidR="00E920A7">
        <w:rPr/>
        <w:t xml:space="preserve">how much detail and information </w:t>
      </w:r>
      <w:r w:rsidR="002D034D">
        <w:rPr/>
        <w:t xml:space="preserve">to </w:t>
      </w:r>
      <w:r w:rsidR="008C4F73">
        <w:rPr/>
        <w:t>provide</w:t>
      </w:r>
      <w:r w:rsidR="002D034D">
        <w:rPr/>
        <w:t xml:space="preserve"> </w:t>
      </w:r>
      <w:r w:rsidR="007870B2">
        <w:rPr/>
        <w:t>in the application.</w:t>
      </w:r>
      <w:r w:rsidR="00C212B6">
        <w:rPr/>
        <w:t xml:space="preserve"> </w:t>
      </w:r>
      <w:r w:rsidR="007870B2">
        <w:rPr/>
        <w:t>Applicants are encouraged to b</w:t>
      </w:r>
      <w:r w:rsidR="007870B2">
        <w:rPr/>
        <w:t>e as specific as possible</w:t>
      </w:r>
      <w:r w:rsidR="00530AED">
        <w:rPr/>
        <w:t xml:space="preserve">, </w:t>
      </w:r>
      <w:r w:rsidR="00B26CB3">
        <w:rPr/>
        <w:t>provide detailed calculations and assumptions of baseline conditions</w:t>
      </w:r>
      <w:r w:rsidR="79DF60C1">
        <w:rPr/>
        <w:t>,</w:t>
      </w:r>
      <w:r w:rsidR="00B26CB3">
        <w:rPr/>
        <w:t xml:space="preserve"> and provide engineering estimates of potential energy savings resulting from the requested projects</w:t>
      </w:r>
      <w:r w:rsidR="000367FC">
        <w:rPr/>
        <w:t xml:space="preserve">. </w:t>
      </w:r>
      <w:r w:rsidR="00F14C0E">
        <w:rPr/>
        <w:t xml:space="preserve">Applications will be </w:t>
      </w:r>
      <w:r w:rsidR="00931AE3">
        <w:rPr/>
        <w:t xml:space="preserve">reviewed and scored </w:t>
      </w:r>
      <w:r w:rsidR="00975764">
        <w:rPr/>
        <w:t xml:space="preserve">based on the </w:t>
      </w:r>
      <w:r w:rsidR="00EA719E">
        <w:rPr/>
        <w:t>Scoring Criteria</w:t>
      </w:r>
      <w:r w:rsidR="00FC3A9B">
        <w:rPr/>
        <w:t xml:space="preserve"> and Scoring Scale</w:t>
      </w:r>
      <w:r w:rsidR="00EA719E">
        <w:rPr/>
        <w:t xml:space="preserve"> in Section IV</w:t>
      </w:r>
      <w:r w:rsidR="008D5AAA">
        <w:rPr/>
        <w:t>.F in the Solicitation Manual</w:t>
      </w:r>
      <w:r w:rsidR="005A5B38">
        <w:rPr/>
        <w:t>.</w:t>
      </w:r>
      <w:r w:rsidR="0092735B">
        <w:rPr/>
        <w:t xml:space="preserve"> </w:t>
      </w:r>
    </w:p>
    <w:p w:rsidR="00C6727B" w:rsidP="00FD0DFA" w:rsidRDefault="00B60D0C" w14:paraId="002C8C2B" w14:textId="12D46DFB">
      <w:pPr>
        <w:pStyle w:val="ListParagraph"/>
        <w:ind w:left="864"/>
      </w:pPr>
      <w:r w:rsidRPr="5A585580" w:rsidR="00B60D0C">
        <w:rPr>
          <w:b w:val="1"/>
          <w:bCs w:val="1"/>
        </w:rPr>
        <w:t>c.</w:t>
      </w:r>
      <w:r w:rsidR="00B60D0C">
        <w:rPr/>
        <w:t xml:space="preserve"> </w:t>
      </w:r>
      <w:r w:rsidR="00222CD9">
        <w:rPr/>
        <w:t xml:space="preserve">GHG </w:t>
      </w:r>
      <w:r w:rsidR="00D53980">
        <w:rPr/>
        <w:t>emi</w:t>
      </w:r>
      <w:r w:rsidR="00764EA1">
        <w:rPr/>
        <w:t>s</w:t>
      </w:r>
      <w:r w:rsidR="00D53980">
        <w:rPr/>
        <w:t xml:space="preserve">sion reductions </w:t>
      </w:r>
      <w:r w:rsidR="00636640">
        <w:rPr/>
        <w:t>and cost es</w:t>
      </w:r>
      <w:r w:rsidR="002B25AC">
        <w:rPr/>
        <w:t xml:space="preserve">timates </w:t>
      </w:r>
      <w:r w:rsidR="00D53980">
        <w:rPr/>
        <w:t>prov</w:t>
      </w:r>
      <w:r w:rsidR="00764EA1">
        <w:rPr/>
        <w:t>i</w:t>
      </w:r>
      <w:r w:rsidR="00D53980">
        <w:rPr/>
        <w:t>ded in the application should be</w:t>
      </w:r>
      <w:r w:rsidR="002B25AC">
        <w:rPr/>
        <w:t xml:space="preserve"> as acc</w:t>
      </w:r>
      <w:r w:rsidR="00E40423">
        <w:rPr/>
        <w:t>urate as possible.</w:t>
      </w:r>
      <w:r w:rsidR="00036551">
        <w:rPr/>
        <w:t xml:space="preserve"> </w:t>
      </w:r>
      <w:r w:rsidR="000A2780">
        <w:rPr/>
        <w:t>Refer to the response to Question #</w:t>
      </w:r>
      <w:r w:rsidR="009C5156">
        <w:rPr/>
        <w:t>21</w:t>
      </w:r>
      <w:r w:rsidR="000A2780">
        <w:rPr/>
        <w:t xml:space="preserve"> </w:t>
      </w:r>
      <w:r w:rsidR="004C2A1B">
        <w:rPr/>
        <w:t xml:space="preserve">for </w:t>
      </w:r>
      <w:r w:rsidR="00B77B7F">
        <w:rPr/>
        <w:t>estimat</w:t>
      </w:r>
      <w:r w:rsidR="0004627E">
        <w:rPr/>
        <w:t>ing</w:t>
      </w:r>
      <w:r w:rsidR="004C2A1B">
        <w:rPr/>
        <w:t xml:space="preserve"> </w:t>
      </w:r>
      <w:r w:rsidR="000174AD">
        <w:rPr/>
        <w:t>GHG</w:t>
      </w:r>
      <w:r w:rsidR="00C603E0">
        <w:rPr/>
        <w:t xml:space="preserve"> </w:t>
      </w:r>
      <w:r w:rsidR="000174AD">
        <w:rPr/>
        <w:t>emission reduction</w:t>
      </w:r>
      <w:r w:rsidR="005C3038">
        <w:rPr/>
        <w:t>s.</w:t>
      </w:r>
      <w:r w:rsidR="000174AD">
        <w:rPr/>
        <w:t xml:space="preserve"> </w:t>
      </w:r>
      <w:r w:rsidR="00D25B31">
        <w:rPr/>
        <w:t xml:space="preserve">If awarded, </w:t>
      </w:r>
      <w:r w:rsidR="00DF3872">
        <w:rPr/>
        <w:t>M&amp;V</w:t>
      </w:r>
      <w:r w:rsidR="00037BC9">
        <w:rPr/>
        <w:t xml:space="preserve"> will be required to verify the</w:t>
      </w:r>
      <w:r w:rsidR="00DF3872">
        <w:rPr/>
        <w:t xml:space="preserve"> </w:t>
      </w:r>
      <w:r w:rsidR="005C3038">
        <w:rPr/>
        <w:t>estimate provided</w:t>
      </w:r>
      <w:r w:rsidR="0080231A">
        <w:rPr/>
        <w:t xml:space="preserve"> within the </w:t>
      </w:r>
      <w:r w:rsidR="002E485F">
        <w:rPr/>
        <w:t>application</w:t>
      </w:r>
      <w:r w:rsidR="001F5D7D">
        <w:rPr/>
        <w:t>.</w:t>
      </w:r>
      <w:r w:rsidR="00445346">
        <w:rPr/>
        <w:t xml:space="preserve"> </w:t>
      </w:r>
      <w:r w:rsidR="00175020">
        <w:rPr/>
        <w:t>Cost estimate</w:t>
      </w:r>
      <w:r w:rsidR="00FD0DFA">
        <w:rPr/>
        <w:t>s</w:t>
      </w:r>
      <w:r w:rsidR="00045BD6">
        <w:rPr/>
        <w:t xml:space="preserve"> provided in the application</w:t>
      </w:r>
      <w:r w:rsidR="00FD0DFA">
        <w:rPr/>
        <w:t xml:space="preserve"> </w:t>
      </w:r>
      <w:r w:rsidR="0041485C">
        <w:rPr/>
        <w:t>wi</w:t>
      </w:r>
      <w:r w:rsidR="00FD0DFA">
        <w:rPr/>
        <w:t>ll weigh into the cost-benefit criterion of the project</w:t>
      </w:r>
      <w:r w:rsidR="007C5D9D">
        <w:rPr/>
        <w:t xml:space="preserve"> (see Section IV.F, criteri</w:t>
      </w:r>
      <w:r w:rsidR="25D4B4E9">
        <w:rPr/>
        <w:t>on</w:t>
      </w:r>
      <w:r w:rsidR="007C5D9D">
        <w:rPr/>
        <w:t xml:space="preserve"> </w:t>
      </w:r>
      <w:r w:rsidR="007F06D5">
        <w:rPr/>
        <w:t>3</w:t>
      </w:r>
      <w:r w:rsidR="007C5D9D">
        <w:rPr/>
        <w:t>)</w:t>
      </w:r>
      <w:r w:rsidR="002E485F">
        <w:rPr/>
        <w:t>.</w:t>
      </w:r>
      <w:r w:rsidR="0018521D">
        <w:rPr/>
        <w:t xml:space="preserve"> </w:t>
      </w:r>
      <w:r w:rsidR="008E6F58">
        <w:rPr/>
        <w:t>Cost estimates will be considered capped</w:t>
      </w:r>
      <w:r w:rsidR="00002BEB">
        <w:rPr/>
        <w:t xml:space="preserve"> and part of the budget</w:t>
      </w:r>
      <w:r w:rsidR="1C4764A3">
        <w:rPr/>
        <w:t>;</w:t>
      </w:r>
      <w:r w:rsidR="008E6F58">
        <w:rPr/>
        <w:t xml:space="preserve"> if award</w:t>
      </w:r>
      <w:r w:rsidR="005F6E96">
        <w:rPr/>
        <w:t>ed and may not change during the agreement term</w:t>
      </w:r>
      <w:r w:rsidR="00002BEB">
        <w:rPr/>
        <w:t xml:space="preserve"> (see Attachment</w:t>
      </w:r>
      <w:r w:rsidR="00C46FC1">
        <w:rPr/>
        <w:t xml:space="preserve"> 5)</w:t>
      </w:r>
      <w:r w:rsidR="005F6E96">
        <w:rPr/>
        <w:t>.</w:t>
      </w:r>
    </w:p>
    <w:p w:rsidR="00430D07" w:rsidP="00CF6866" w:rsidRDefault="4131EB41" w14:paraId="70E9CC68" w14:textId="4A2704D1">
      <w:pPr>
        <w:pStyle w:val="ListParagraph"/>
        <w:numPr>
          <w:ilvl w:val="0"/>
          <w:numId w:val="2"/>
        </w:numPr>
      </w:pPr>
      <w:r>
        <w:t>Is there a template or an example that demonstrates the expected format of the commitment letter?</w:t>
      </w:r>
    </w:p>
    <w:p w:rsidR="00B26578" w:rsidP="00B26578" w:rsidRDefault="16E726E0" w14:paraId="12FD30D4" w14:textId="3EC71A41">
      <w:pPr>
        <w:pStyle w:val="ListParagraph"/>
        <w:numPr>
          <w:ilvl w:val="1"/>
          <w:numId w:val="2"/>
        </w:numPr>
      </w:pPr>
      <w:r>
        <w:t xml:space="preserve">For formatting </w:t>
      </w:r>
      <w:r w:rsidR="3013D038">
        <w:t>and page limit expectations</w:t>
      </w:r>
      <w:r>
        <w:t>, please refer to Section III</w:t>
      </w:r>
      <w:r w:rsidR="6AC50208">
        <w:t>.A. of the Solicitation Manual</w:t>
      </w:r>
      <w:r w:rsidR="3C3C00CF">
        <w:t xml:space="preserve">. </w:t>
      </w:r>
      <w:r w:rsidR="2D7EA8BA">
        <w:t xml:space="preserve">Attachment 8, Commitment and Support Letter Form, also provides </w:t>
      </w:r>
      <w:r w:rsidR="0956F5DD">
        <w:t>detailed</w:t>
      </w:r>
      <w:r w:rsidR="2D7EA8BA">
        <w:t xml:space="preserve"> </w:t>
      </w:r>
      <w:r w:rsidR="0956F5DD">
        <w:t>instructions</w:t>
      </w:r>
      <w:r w:rsidR="2D7EA8BA">
        <w:t xml:space="preserve"> and </w:t>
      </w:r>
      <w:r w:rsidR="0956F5DD">
        <w:t xml:space="preserve">information to include within the </w:t>
      </w:r>
      <w:r w:rsidR="0951CC2B">
        <w:t>letter.</w:t>
      </w:r>
    </w:p>
    <w:p w:rsidR="00C6727B" w:rsidP="00C6727B" w:rsidRDefault="00C6727B" w14:paraId="43296A22" w14:textId="6F03810C">
      <w:pPr>
        <w:pStyle w:val="Heading1"/>
      </w:pPr>
      <w:bookmarkStart w:name="_Toc121228720" w:id="8"/>
      <w:r>
        <w:lastRenderedPageBreak/>
        <w:t>Terms and Conditions</w:t>
      </w:r>
      <w:bookmarkEnd w:id="8"/>
    </w:p>
    <w:p w:rsidR="00DE0897" w:rsidP="00866DF5" w:rsidRDefault="209500BD" w14:paraId="2D4AA5A7" w14:textId="77777777">
      <w:pPr>
        <w:pStyle w:val="ListParagraph"/>
        <w:numPr>
          <w:ilvl w:val="0"/>
          <w:numId w:val="2"/>
        </w:numPr>
      </w:pPr>
      <w:r>
        <w:t xml:space="preserve">Is </w:t>
      </w:r>
      <w:r w:rsidR="1AE75AB6">
        <w:t xml:space="preserve">the </w:t>
      </w:r>
      <w:r>
        <w:t>public release of project information mandatory if awarded?</w:t>
      </w:r>
    </w:p>
    <w:p w:rsidR="00F05A87" w:rsidP="49EFF551" w:rsidRDefault="570BFF68" w14:paraId="1B8D0CAD" w14:textId="30E23FAF">
      <w:pPr>
        <w:pStyle w:val="ListParagraph"/>
        <w:numPr>
          <w:ilvl w:val="1"/>
          <w:numId w:val="2"/>
        </w:numPr>
        <w:rPr/>
      </w:pPr>
      <w:r w:rsidR="570BFF68">
        <w:rPr/>
        <w:t xml:space="preserve">The CEC will not accept or retain applications that identify any portion of the application as confidential. </w:t>
      </w:r>
      <w:r w:rsidR="6C4B659C">
        <w:rPr/>
        <w:t>As indicated in Section IV.D.3</w:t>
      </w:r>
      <w:r w:rsidR="67D257B0">
        <w:rPr/>
        <w:t xml:space="preserve"> of the Solicitation Manual</w:t>
      </w:r>
      <w:r w:rsidR="6C4B659C">
        <w:rPr/>
        <w:t xml:space="preserve">, </w:t>
      </w:r>
      <w:r w:rsidR="67D257B0">
        <w:rPr/>
        <w:t>i</w:t>
      </w:r>
      <w:r w:rsidR="6C4B659C">
        <w:rPr/>
        <w:t>nformation received by the C</w:t>
      </w:r>
      <w:r w:rsidR="49220933">
        <w:rPr/>
        <w:t xml:space="preserve">EC </w:t>
      </w:r>
      <w:r w:rsidR="6C4B659C">
        <w:rPr/>
        <w:t xml:space="preserve">in response to a solicitation shall be kept confidential before </w:t>
      </w:r>
      <w:r w:rsidR="3CF9B2DF">
        <w:rPr/>
        <w:t>posting</w:t>
      </w:r>
      <w:r w:rsidR="6C4B659C">
        <w:rPr/>
        <w:t xml:space="preserve"> the </w:t>
      </w:r>
      <w:r w:rsidR="534F6F18">
        <w:rPr/>
        <w:t>Notice of Proposed Award (</w:t>
      </w:r>
      <w:r w:rsidR="6C4B659C">
        <w:rPr/>
        <w:t>NOPA</w:t>
      </w:r>
      <w:r w:rsidR="5C96E22E">
        <w:rPr/>
        <w:t>)</w:t>
      </w:r>
      <w:r w:rsidR="6C4B659C">
        <w:rPr/>
        <w:t xml:space="preserve">. </w:t>
      </w:r>
      <w:r w:rsidR="444AF247">
        <w:rPr/>
        <w:t>After the NOPA is published,</w:t>
      </w:r>
      <w:r w:rsidR="6C4B659C">
        <w:rPr/>
        <w:t xml:space="preserve"> all </w:t>
      </w:r>
      <w:r w:rsidR="1FFD25BC">
        <w:rPr/>
        <w:t xml:space="preserve">application </w:t>
      </w:r>
      <w:r w:rsidR="6C4B659C">
        <w:rPr/>
        <w:t>documents submitted to the CEC are considered public records subject to disclosure under the Public Records Act. I</w:t>
      </w:r>
      <w:r w:rsidR="6E01FF81">
        <w:rPr/>
        <w:t>n addition, i</w:t>
      </w:r>
      <w:r w:rsidR="6C4B659C">
        <w:rPr/>
        <w:t>nformation on grant awards must be reported to the California Air Resources Board (CARB), as indicated in Chapter 5 of the Food Production Investment Program Guidelines (</w:t>
      </w:r>
      <w:r w:rsidR="1BCDF8B6">
        <w:rPr/>
        <w:t>https://efiling.energy.ca.gov/GetDocument.aspx?tn=229188&amp;DocumentContentId=60586</w:t>
      </w:r>
      <w:r w:rsidR="6C4B659C">
        <w:rPr/>
        <w:t>).</w:t>
      </w:r>
      <w:r w:rsidR="47523368">
        <w:rPr/>
        <w:t xml:space="preserve"> </w:t>
      </w:r>
    </w:p>
    <w:p w:rsidRPr="00F05A87" w:rsidR="005F3519" w:rsidP="00F05A87" w:rsidRDefault="00F05A87" w14:paraId="2F767F28" w14:textId="58FD2E86">
      <w:pPr>
        <w:pStyle w:val="ListParagraph"/>
        <w:ind w:left="864"/>
        <w:rPr>
          <w:rFonts w:eastAsia="Calibri" w:cs="Arial"/>
        </w:rPr>
      </w:pPr>
      <w:r w:rsidR="00F05A87">
        <w:rPr/>
        <w:t>After the solicitation process has concluded and a NOPA has been issued, a recipient or other party that needs to submit records they believe to be confidential to the CEC may apply to have those records designated as confidential. The recipient or party must provide a legal justification supporting the confidential designation a</w:t>
      </w:r>
      <w:r w:rsidR="009D2293">
        <w:rPr/>
        <w:t>nd additional information as provided in Title 2 of the California Code of Regulations sections 2505 - 2510 and</w:t>
      </w:r>
      <w:r w:rsidR="00F05A87">
        <w:rPr/>
        <w:t xml:space="preserve"> referenced</w:t>
      </w:r>
      <w:r w:rsidR="6C4B659C">
        <w:rPr/>
        <w:t xml:space="preserve"> in Section </w:t>
      </w:r>
      <w:r w:rsidR="6DF52BB8">
        <w:rPr/>
        <w:t>19</w:t>
      </w:r>
      <w:r w:rsidR="72DAD8D9">
        <w:rPr/>
        <w:t xml:space="preserve"> </w:t>
      </w:r>
      <w:r w:rsidR="109D5849">
        <w:rPr/>
        <w:t>of</w:t>
      </w:r>
      <w:r w:rsidR="72DAD8D9">
        <w:rPr/>
        <w:t xml:space="preserve"> the</w:t>
      </w:r>
      <w:r w:rsidR="7D26649F">
        <w:rPr/>
        <w:t xml:space="preserve"> FPIP</w:t>
      </w:r>
      <w:r w:rsidR="109D5849">
        <w:rPr/>
        <w:t>'</w:t>
      </w:r>
      <w:r w:rsidR="7D26649F">
        <w:rPr/>
        <w:t xml:space="preserve">s Terms and </w:t>
      </w:r>
      <w:r w:rsidR="1BCDF8B6">
        <w:rPr/>
        <w:t>Conditions (https://www.energy.ca.gov/media/2249)</w:t>
      </w:r>
      <w:r w:rsidR="109D5849">
        <w:rPr/>
        <w:t>.</w:t>
      </w:r>
    </w:p>
    <w:sectPr w:rsidRPr="00F05A87" w:rsidR="005F3519">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3AB" w:rsidP="00E3421A" w:rsidRDefault="005713AB" w14:paraId="31031A13" w14:textId="77777777">
      <w:r>
        <w:separator/>
      </w:r>
    </w:p>
  </w:endnote>
  <w:endnote w:type="continuationSeparator" w:id="0">
    <w:p w:rsidR="005713AB" w:rsidP="00E3421A" w:rsidRDefault="005713AB" w14:paraId="6BC2CE8B" w14:textId="77777777">
      <w:r>
        <w:continuationSeparator/>
      </w:r>
    </w:p>
  </w:endnote>
  <w:endnote w:type="continuationNotice" w:id="1">
    <w:p w:rsidR="005713AB" w:rsidRDefault="005713AB" w14:paraId="1A6C78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5B2" w:rsidRDefault="005D5BEF" w14:paraId="4805EFD0" w14:textId="1F56C769">
    <w:pPr>
      <w:pStyle w:val="Footer"/>
    </w:pPr>
    <w:r>
      <w:t>Food Production Investment Program</w:t>
    </w:r>
    <w:r w:rsidR="00E37DA8">
      <w:ptab w:alignment="center" w:relativeTo="margin" w:leader="none"/>
    </w:r>
    <w:r w:rsidR="00E37DA8">
      <w:ptab w:alignment="right" w:relativeTo="margin" w:leader="none"/>
    </w:r>
    <w:r w:rsidR="00C57A9E">
      <w:t>GFO-22-303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3AB" w:rsidP="00E3421A" w:rsidRDefault="005713AB" w14:paraId="3CB89AA2" w14:textId="77777777">
      <w:r>
        <w:separator/>
      </w:r>
    </w:p>
  </w:footnote>
  <w:footnote w:type="continuationSeparator" w:id="0">
    <w:p w:rsidR="005713AB" w:rsidP="00E3421A" w:rsidRDefault="005713AB" w14:paraId="59109A89" w14:textId="77777777">
      <w:r>
        <w:continuationSeparator/>
      </w:r>
    </w:p>
  </w:footnote>
  <w:footnote w:type="continuationNotice" w:id="1">
    <w:p w:rsidR="005713AB" w:rsidRDefault="005713AB" w14:paraId="03BDF2CF" w14:textId="77777777"/>
  </w:footnote>
  <w:footnote w:id="2">
    <w:p w:rsidR="007E6C75" w:rsidRDefault="007E6C75" w14:paraId="508566EE" w14:textId="430F9FC7">
      <w:pPr>
        <w:pStyle w:val="FootnoteText"/>
      </w:pPr>
      <w:r>
        <w:rPr>
          <w:rStyle w:val="FootnoteReference"/>
        </w:rPr>
        <w:footnoteRef/>
      </w:r>
      <w:r>
        <w:t xml:space="preserve"> Assembly Bill 209</w:t>
      </w:r>
      <w:r w:rsidR="009A1AB0">
        <w:t xml:space="preserve">, </w:t>
      </w:r>
      <w:r w:rsidR="00E65EF9">
        <w:t xml:space="preserve">Chapter 251, Section 12, Chapter 7.6, Article 3. Food Production Investment Program </w:t>
      </w:r>
      <w:r w:rsidR="00635398">
        <w:t xml:space="preserve">(Sections 25663 to 25663.6), </w:t>
      </w:r>
      <w:hyperlink w:history="1" r:id="rId1">
        <w:r w:rsidR="00635398">
          <w:rPr>
            <w:rStyle w:val="Hyperlink"/>
          </w:rPr>
          <w:t>Bill Text - AB-209 Energy and climate change. (ca.gov)</w:t>
        </w:r>
      </w:hyperlink>
    </w:p>
  </w:footnote>
  <w:footnote w:id="3">
    <w:p w:rsidR="00A129C4" w:rsidRDefault="00A129C4" w14:paraId="20BD6BB1" w14:textId="3EB6AA71">
      <w:pPr>
        <w:pStyle w:val="FootnoteText"/>
      </w:pPr>
      <w:r>
        <w:rPr>
          <w:rStyle w:val="FootnoteReference"/>
        </w:rPr>
        <w:footnoteRef/>
      </w:r>
      <w:r>
        <w:t xml:space="preserve"> </w:t>
      </w:r>
      <w:r w:rsidRPr="00B07D53" w:rsidR="00B07D53">
        <w:t>https://www.energy.gov/eere/amo/measur</w:t>
      </w:r>
    </w:p>
  </w:footnote>
  <w:footnote w:id="4">
    <w:p w:rsidR="005754F9" w:rsidP="005754F9" w:rsidRDefault="005754F9" w14:paraId="2C5E9ACC" w14:textId="2867F081">
      <w:pPr>
        <w:pStyle w:val="FootnoteText"/>
        <w:rPr>
          <w:rFonts w:cs="Arial"/>
        </w:rPr>
      </w:pPr>
      <w:r>
        <w:rPr>
          <w:rStyle w:val="FootnoteReference"/>
        </w:rPr>
        <w:footnoteRef/>
      </w:r>
      <w:r>
        <w:t xml:space="preserve"> California Air Resources Board, Mandatory GHG Reporting –Reported Emissions, </w:t>
      </w:r>
      <w:hyperlink w:tooltip="C A R B website" w:history="1" r:id="rId2">
        <w:r>
          <w:rPr>
            <w:rStyle w:val="Hyperlink"/>
          </w:rPr>
          <w:t>https://ww2.arb.ca.gov/mrr-data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3421A" w:rsidR="00E3421A" w:rsidP="00E3421A" w:rsidRDefault="00E3421A" w14:paraId="0E2CFEA9" w14:textId="2C1D55BE">
    <w:pPr>
      <w:pStyle w:val="Header"/>
    </w:pPr>
    <w:r w:rsidRPr="00E3421A">
      <w:rPr>
        <w:noProof/>
        <w:color w:val="2B579A"/>
        <w:shd w:val="clear" w:color="auto" w:fill="E6E6E6"/>
      </w:rPr>
      <w:drawing>
        <wp:inline distT="0" distB="0" distL="0" distR="0" wp14:anchorId="63C27680" wp14:editId="3648FEFE">
          <wp:extent cx="1300068" cy="1143000"/>
          <wp:effectExtent l="0" t="0" r="0" b="0"/>
          <wp:docPr id="139" name="Picture 8" descr="State of 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tate of California Energy Commission logo"/>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300068" cy="1143000"/>
                  </a:xfrm>
                  <a:prstGeom prst="rect">
                    <a:avLst/>
                  </a:prstGeom>
                </pic:spPr>
              </pic:pic>
            </a:graphicData>
          </a:graphic>
        </wp:inline>
      </w:drawing>
    </w:r>
    <w:r>
      <w:ptab w:alignment="center" w:relativeTo="margin" w:leader="none"/>
    </w:r>
    <w:r>
      <w:ptab w:alignment="right" w:relativeTo="margin" w:leader="none"/>
    </w:r>
    <w:r>
      <w:rPr>
        <w:noProof/>
        <w:color w:val="2B579A"/>
        <w:shd w:val="clear" w:color="auto" w:fill="E6E6E6"/>
      </w:rPr>
      <w:drawing>
        <wp:inline distT="0" distB="0" distL="0" distR="0" wp14:anchorId="72DCDDAA" wp14:editId="22510A58">
          <wp:extent cx="1452245" cy="1143000"/>
          <wp:effectExtent l="0" t="0" r="0" b="0"/>
          <wp:docPr id="140" name="Picture 140" descr="California Climate Investment Cap-and-Trade Dollars at Wor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California Climate Investment Cap-and-Trade Dollars at Work logo&#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24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7EDD00"/>
    <w:lvl w:ilvl="0">
      <w:start w:val="1"/>
      <w:numFmt w:val="decimal"/>
      <w:pStyle w:val="ListNumber"/>
      <w:lvlText w:val="%1."/>
      <w:lvlJc w:val="left"/>
      <w:pPr>
        <w:tabs>
          <w:tab w:val="num" w:pos="360"/>
        </w:tabs>
        <w:ind w:left="360" w:hanging="360"/>
      </w:pPr>
    </w:lvl>
  </w:abstractNum>
  <w:abstractNum w:abstractNumId="1" w15:restartNumberingAfterBreak="0">
    <w:nsid w:val="03F7499B"/>
    <w:multiLevelType w:val="hybridMultilevel"/>
    <w:tmpl w:val="8272B61A"/>
    <w:lvl w:ilvl="0" w:tplc="9C1EC574">
      <w:start w:val="2"/>
      <w:numFmt w:val="lowerLetter"/>
      <w:lvlText w:val="%1."/>
      <w:lvlJc w:val="left"/>
      <w:pPr>
        <w:ind w:left="1224" w:hanging="360"/>
      </w:pPr>
      <w:rPr>
        <w:rFonts w:hint="default"/>
        <w:b/>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8304392"/>
    <w:multiLevelType w:val="hybridMultilevel"/>
    <w:tmpl w:val="A69A025A"/>
    <w:lvl w:ilvl="0" w:tplc="27568F80">
      <w:start w:val="2"/>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14835A1"/>
    <w:multiLevelType w:val="hybridMultilevel"/>
    <w:tmpl w:val="2DE89480"/>
    <w:lvl w:ilvl="0" w:tplc="04090001">
      <w:start w:val="1"/>
      <w:numFmt w:val="bullet"/>
      <w:lvlText w:val=""/>
      <w:lvlJc w:val="left"/>
      <w:pPr>
        <w:ind w:left="1224" w:hanging="360"/>
      </w:pPr>
      <w:rPr>
        <w:rFonts w:hint="default" w:ascii="Symbol" w:hAnsi="Symbol"/>
      </w:rPr>
    </w:lvl>
    <w:lvl w:ilvl="1" w:tplc="04090003" w:tentative="1">
      <w:start w:val="1"/>
      <w:numFmt w:val="bullet"/>
      <w:lvlText w:val="o"/>
      <w:lvlJc w:val="left"/>
      <w:pPr>
        <w:ind w:left="1944" w:hanging="360"/>
      </w:pPr>
      <w:rPr>
        <w:rFonts w:hint="default" w:ascii="Courier New" w:hAnsi="Courier New" w:cs="Courier New"/>
      </w:rPr>
    </w:lvl>
    <w:lvl w:ilvl="2" w:tplc="04090005" w:tentative="1">
      <w:start w:val="1"/>
      <w:numFmt w:val="bullet"/>
      <w:lvlText w:val=""/>
      <w:lvlJc w:val="left"/>
      <w:pPr>
        <w:ind w:left="2664" w:hanging="360"/>
      </w:pPr>
      <w:rPr>
        <w:rFonts w:hint="default" w:ascii="Wingdings" w:hAnsi="Wingdings"/>
      </w:rPr>
    </w:lvl>
    <w:lvl w:ilvl="3" w:tplc="04090001" w:tentative="1">
      <w:start w:val="1"/>
      <w:numFmt w:val="bullet"/>
      <w:lvlText w:val=""/>
      <w:lvlJc w:val="left"/>
      <w:pPr>
        <w:ind w:left="3384" w:hanging="360"/>
      </w:pPr>
      <w:rPr>
        <w:rFonts w:hint="default" w:ascii="Symbol" w:hAnsi="Symbol"/>
      </w:rPr>
    </w:lvl>
    <w:lvl w:ilvl="4" w:tplc="04090003" w:tentative="1">
      <w:start w:val="1"/>
      <w:numFmt w:val="bullet"/>
      <w:lvlText w:val="o"/>
      <w:lvlJc w:val="left"/>
      <w:pPr>
        <w:ind w:left="4104" w:hanging="360"/>
      </w:pPr>
      <w:rPr>
        <w:rFonts w:hint="default" w:ascii="Courier New" w:hAnsi="Courier New" w:cs="Courier New"/>
      </w:rPr>
    </w:lvl>
    <w:lvl w:ilvl="5" w:tplc="04090005" w:tentative="1">
      <w:start w:val="1"/>
      <w:numFmt w:val="bullet"/>
      <w:lvlText w:val=""/>
      <w:lvlJc w:val="left"/>
      <w:pPr>
        <w:ind w:left="4824" w:hanging="360"/>
      </w:pPr>
      <w:rPr>
        <w:rFonts w:hint="default" w:ascii="Wingdings" w:hAnsi="Wingdings"/>
      </w:rPr>
    </w:lvl>
    <w:lvl w:ilvl="6" w:tplc="04090001" w:tentative="1">
      <w:start w:val="1"/>
      <w:numFmt w:val="bullet"/>
      <w:lvlText w:val=""/>
      <w:lvlJc w:val="left"/>
      <w:pPr>
        <w:ind w:left="5544" w:hanging="360"/>
      </w:pPr>
      <w:rPr>
        <w:rFonts w:hint="default" w:ascii="Symbol" w:hAnsi="Symbol"/>
      </w:rPr>
    </w:lvl>
    <w:lvl w:ilvl="7" w:tplc="04090003" w:tentative="1">
      <w:start w:val="1"/>
      <w:numFmt w:val="bullet"/>
      <w:lvlText w:val="o"/>
      <w:lvlJc w:val="left"/>
      <w:pPr>
        <w:ind w:left="6264" w:hanging="360"/>
      </w:pPr>
      <w:rPr>
        <w:rFonts w:hint="default" w:ascii="Courier New" w:hAnsi="Courier New" w:cs="Courier New"/>
      </w:rPr>
    </w:lvl>
    <w:lvl w:ilvl="8" w:tplc="04090005" w:tentative="1">
      <w:start w:val="1"/>
      <w:numFmt w:val="bullet"/>
      <w:lvlText w:val=""/>
      <w:lvlJc w:val="left"/>
      <w:pPr>
        <w:ind w:left="6984" w:hanging="360"/>
      </w:pPr>
      <w:rPr>
        <w:rFonts w:hint="default" w:ascii="Wingdings" w:hAnsi="Wingdings"/>
      </w:rPr>
    </w:lvl>
  </w:abstractNum>
  <w:abstractNum w:abstractNumId="4" w15:restartNumberingAfterBreak="0">
    <w:nsid w:val="250B4283"/>
    <w:multiLevelType w:val="multilevel"/>
    <w:tmpl w:val="2ED4CF62"/>
    <w:lvl w:ilvl="0">
      <w:start w:val="1"/>
      <w:numFmt w:val="decimal"/>
      <w:lvlText w:val="Q.%1."/>
      <w:lvlJc w:val="center"/>
      <w:pPr>
        <w:ind w:left="864" w:hanging="504"/>
      </w:pPr>
      <w:rPr>
        <w:rFonts w:hint="default"/>
        <w:b/>
      </w:rPr>
    </w:lvl>
    <w:lvl w:ilvl="1">
      <w:start w:val="1"/>
      <w:numFmt w:val="none"/>
      <w:lvlText w:val="%2A."/>
      <w:lvlJc w:val="left"/>
      <w:pPr>
        <w:ind w:left="864" w:hanging="504"/>
      </w:pPr>
      <w:rPr>
        <w:rFonts w:hint="default" w:ascii="Arial Bold" w:hAnsi="Arial Bold"/>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08667A"/>
    <w:multiLevelType w:val="hybridMultilevel"/>
    <w:tmpl w:val="4E06C64C"/>
    <w:lvl w:ilvl="0" w:tplc="04090001">
      <w:start w:val="1"/>
      <w:numFmt w:val="bullet"/>
      <w:lvlText w:val=""/>
      <w:lvlJc w:val="left"/>
      <w:pPr>
        <w:ind w:left="1224" w:hanging="360"/>
      </w:pPr>
      <w:rPr>
        <w:rFonts w:hint="default" w:ascii="Symbol" w:hAnsi="Symbol"/>
      </w:rPr>
    </w:lvl>
    <w:lvl w:ilvl="1" w:tplc="04090003" w:tentative="1">
      <w:start w:val="1"/>
      <w:numFmt w:val="bullet"/>
      <w:lvlText w:val="o"/>
      <w:lvlJc w:val="left"/>
      <w:pPr>
        <w:ind w:left="1944" w:hanging="360"/>
      </w:pPr>
      <w:rPr>
        <w:rFonts w:hint="default" w:ascii="Courier New" w:hAnsi="Courier New" w:cs="Courier New"/>
      </w:rPr>
    </w:lvl>
    <w:lvl w:ilvl="2" w:tplc="04090005" w:tentative="1">
      <w:start w:val="1"/>
      <w:numFmt w:val="bullet"/>
      <w:lvlText w:val=""/>
      <w:lvlJc w:val="left"/>
      <w:pPr>
        <w:ind w:left="2664" w:hanging="360"/>
      </w:pPr>
      <w:rPr>
        <w:rFonts w:hint="default" w:ascii="Wingdings" w:hAnsi="Wingdings"/>
      </w:rPr>
    </w:lvl>
    <w:lvl w:ilvl="3" w:tplc="04090001" w:tentative="1">
      <w:start w:val="1"/>
      <w:numFmt w:val="bullet"/>
      <w:lvlText w:val=""/>
      <w:lvlJc w:val="left"/>
      <w:pPr>
        <w:ind w:left="3384" w:hanging="360"/>
      </w:pPr>
      <w:rPr>
        <w:rFonts w:hint="default" w:ascii="Symbol" w:hAnsi="Symbol"/>
      </w:rPr>
    </w:lvl>
    <w:lvl w:ilvl="4" w:tplc="04090003" w:tentative="1">
      <w:start w:val="1"/>
      <w:numFmt w:val="bullet"/>
      <w:lvlText w:val="o"/>
      <w:lvlJc w:val="left"/>
      <w:pPr>
        <w:ind w:left="4104" w:hanging="360"/>
      </w:pPr>
      <w:rPr>
        <w:rFonts w:hint="default" w:ascii="Courier New" w:hAnsi="Courier New" w:cs="Courier New"/>
      </w:rPr>
    </w:lvl>
    <w:lvl w:ilvl="5" w:tplc="04090005" w:tentative="1">
      <w:start w:val="1"/>
      <w:numFmt w:val="bullet"/>
      <w:lvlText w:val=""/>
      <w:lvlJc w:val="left"/>
      <w:pPr>
        <w:ind w:left="4824" w:hanging="360"/>
      </w:pPr>
      <w:rPr>
        <w:rFonts w:hint="default" w:ascii="Wingdings" w:hAnsi="Wingdings"/>
      </w:rPr>
    </w:lvl>
    <w:lvl w:ilvl="6" w:tplc="04090001" w:tentative="1">
      <w:start w:val="1"/>
      <w:numFmt w:val="bullet"/>
      <w:lvlText w:val=""/>
      <w:lvlJc w:val="left"/>
      <w:pPr>
        <w:ind w:left="5544" w:hanging="360"/>
      </w:pPr>
      <w:rPr>
        <w:rFonts w:hint="default" w:ascii="Symbol" w:hAnsi="Symbol"/>
      </w:rPr>
    </w:lvl>
    <w:lvl w:ilvl="7" w:tplc="04090003" w:tentative="1">
      <w:start w:val="1"/>
      <w:numFmt w:val="bullet"/>
      <w:lvlText w:val="o"/>
      <w:lvlJc w:val="left"/>
      <w:pPr>
        <w:ind w:left="6264" w:hanging="360"/>
      </w:pPr>
      <w:rPr>
        <w:rFonts w:hint="default" w:ascii="Courier New" w:hAnsi="Courier New" w:cs="Courier New"/>
      </w:rPr>
    </w:lvl>
    <w:lvl w:ilvl="8" w:tplc="04090005" w:tentative="1">
      <w:start w:val="1"/>
      <w:numFmt w:val="bullet"/>
      <w:lvlText w:val=""/>
      <w:lvlJc w:val="left"/>
      <w:pPr>
        <w:ind w:left="6984" w:hanging="360"/>
      </w:pPr>
      <w:rPr>
        <w:rFonts w:hint="default" w:ascii="Wingdings" w:hAnsi="Wingdings"/>
      </w:rPr>
    </w:lvl>
  </w:abstractNum>
  <w:abstractNum w:abstractNumId="6" w15:restartNumberingAfterBreak="0">
    <w:nsid w:val="4D7E23CC"/>
    <w:multiLevelType w:val="hybridMultilevel"/>
    <w:tmpl w:val="2F228740"/>
    <w:lvl w:ilvl="0" w:tplc="9FE0D000">
      <w:start w:val="2"/>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5ADD174F"/>
    <w:multiLevelType w:val="hybridMultilevel"/>
    <w:tmpl w:val="2FCE5AD0"/>
    <w:lvl w:ilvl="0" w:tplc="6E52B892">
      <w:start w:val="2"/>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7AD9259F"/>
    <w:multiLevelType w:val="multilevel"/>
    <w:tmpl w:val="2ED4CF62"/>
    <w:lvl w:ilvl="0">
      <w:start w:val="1"/>
      <w:numFmt w:val="decimal"/>
      <w:lvlText w:val="Q.%1."/>
      <w:lvlJc w:val="center"/>
      <w:pPr>
        <w:ind w:left="864" w:hanging="504"/>
      </w:pPr>
      <w:rPr>
        <w:rFonts w:hint="default"/>
        <w:b/>
      </w:rPr>
    </w:lvl>
    <w:lvl w:ilvl="1">
      <w:start w:val="1"/>
      <w:numFmt w:val="none"/>
      <w:lvlText w:val="%2A."/>
      <w:lvlJc w:val="left"/>
      <w:pPr>
        <w:ind w:left="864" w:hanging="504"/>
      </w:pPr>
      <w:rPr>
        <w:rFonts w:hint="default" w:ascii="Arial Bold" w:hAnsi="Arial Bold"/>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8"/>
  </w:num>
  <w:num w:numId="3">
    <w:abstractNumId w:val="3"/>
  </w:num>
  <w:num w:numId="4">
    <w:abstractNumId w:val="5"/>
  </w:num>
  <w:num w:numId="5">
    <w:abstractNumId w:val="1"/>
  </w:num>
  <w:num w:numId="6">
    <w:abstractNumId w:val="4"/>
  </w:num>
  <w:num w:numId="7">
    <w:abstractNumId w:val="2"/>
  </w:num>
  <w:num w:numId="8">
    <w:abstractNumId w:val="7"/>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sbAwNjAwMDY1NTNS0lEKTi0uzszPAykwNKgFAMJ4TyotAAAA"/>
  </w:docVars>
  <w:rsids>
    <w:rsidRoot w:val="00982B55"/>
    <w:rsid w:val="000005D1"/>
    <w:rsid w:val="00002BEB"/>
    <w:rsid w:val="00003414"/>
    <w:rsid w:val="000052BC"/>
    <w:rsid w:val="00007621"/>
    <w:rsid w:val="000136B0"/>
    <w:rsid w:val="00015DF2"/>
    <w:rsid w:val="000174AD"/>
    <w:rsid w:val="000213EF"/>
    <w:rsid w:val="00021700"/>
    <w:rsid w:val="00025568"/>
    <w:rsid w:val="000278DF"/>
    <w:rsid w:val="00027C0E"/>
    <w:rsid w:val="00032DB4"/>
    <w:rsid w:val="000342BC"/>
    <w:rsid w:val="00035B8E"/>
    <w:rsid w:val="00035C2C"/>
    <w:rsid w:val="00036551"/>
    <w:rsid w:val="000367FC"/>
    <w:rsid w:val="00036ACB"/>
    <w:rsid w:val="00037BC9"/>
    <w:rsid w:val="00040E70"/>
    <w:rsid w:val="00041D2A"/>
    <w:rsid w:val="00042E57"/>
    <w:rsid w:val="00045BD6"/>
    <w:rsid w:val="0004627E"/>
    <w:rsid w:val="00046967"/>
    <w:rsid w:val="00046D91"/>
    <w:rsid w:val="000475D6"/>
    <w:rsid w:val="000501CB"/>
    <w:rsid w:val="00052173"/>
    <w:rsid w:val="00053339"/>
    <w:rsid w:val="00053E3B"/>
    <w:rsid w:val="000544C8"/>
    <w:rsid w:val="00056036"/>
    <w:rsid w:val="0006019C"/>
    <w:rsid w:val="000604C8"/>
    <w:rsid w:val="000643D0"/>
    <w:rsid w:val="00065835"/>
    <w:rsid w:val="00073270"/>
    <w:rsid w:val="000741EF"/>
    <w:rsid w:val="00074625"/>
    <w:rsid w:val="00083396"/>
    <w:rsid w:val="00086B01"/>
    <w:rsid w:val="00095E5A"/>
    <w:rsid w:val="00095F95"/>
    <w:rsid w:val="000A0931"/>
    <w:rsid w:val="000A0CAB"/>
    <w:rsid w:val="000A2780"/>
    <w:rsid w:val="000A48C2"/>
    <w:rsid w:val="000B594A"/>
    <w:rsid w:val="000B5CCF"/>
    <w:rsid w:val="000C18D2"/>
    <w:rsid w:val="000C7B63"/>
    <w:rsid w:val="000D24E3"/>
    <w:rsid w:val="000D36A9"/>
    <w:rsid w:val="000D3823"/>
    <w:rsid w:val="000E104A"/>
    <w:rsid w:val="000E26AE"/>
    <w:rsid w:val="000E5433"/>
    <w:rsid w:val="000E6723"/>
    <w:rsid w:val="000E7AB4"/>
    <w:rsid w:val="00100C4E"/>
    <w:rsid w:val="001108BC"/>
    <w:rsid w:val="00111E4D"/>
    <w:rsid w:val="00114AF9"/>
    <w:rsid w:val="00117DB8"/>
    <w:rsid w:val="00121449"/>
    <w:rsid w:val="00121F05"/>
    <w:rsid w:val="00123625"/>
    <w:rsid w:val="0012398D"/>
    <w:rsid w:val="00126ACF"/>
    <w:rsid w:val="00127DE0"/>
    <w:rsid w:val="00130966"/>
    <w:rsid w:val="00133075"/>
    <w:rsid w:val="00133CE0"/>
    <w:rsid w:val="0013537B"/>
    <w:rsid w:val="00136614"/>
    <w:rsid w:val="0013798A"/>
    <w:rsid w:val="00143114"/>
    <w:rsid w:val="00144D05"/>
    <w:rsid w:val="00145FFE"/>
    <w:rsid w:val="00146ACE"/>
    <w:rsid w:val="001508A7"/>
    <w:rsid w:val="00150B19"/>
    <w:rsid w:val="001514C8"/>
    <w:rsid w:val="00151533"/>
    <w:rsid w:val="00163B92"/>
    <w:rsid w:val="00164BA9"/>
    <w:rsid w:val="0016786B"/>
    <w:rsid w:val="0017032D"/>
    <w:rsid w:val="00174C32"/>
    <w:rsid w:val="00175020"/>
    <w:rsid w:val="00177546"/>
    <w:rsid w:val="001776D7"/>
    <w:rsid w:val="00183743"/>
    <w:rsid w:val="00184273"/>
    <w:rsid w:val="0018521D"/>
    <w:rsid w:val="0018565F"/>
    <w:rsid w:val="00187DE6"/>
    <w:rsid w:val="00190730"/>
    <w:rsid w:val="00191CFA"/>
    <w:rsid w:val="00192542"/>
    <w:rsid w:val="0019288E"/>
    <w:rsid w:val="00192E68"/>
    <w:rsid w:val="00193BB2"/>
    <w:rsid w:val="00193E2E"/>
    <w:rsid w:val="001A0CE8"/>
    <w:rsid w:val="001A0F9A"/>
    <w:rsid w:val="001A3A6B"/>
    <w:rsid w:val="001A4211"/>
    <w:rsid w:val="001A6EFD"/>
    <w:rsid w:val="001A780D"/>
    <w:rsid w:val="001B526D"/>
    <w:rsid w:val="001B72DA"/>
    <w:rsid w:val="001B79BA"/>
    <w:rsid w:val="001C1BC5"/>
    <w:rsid w:val="001C48FC"/>
    <w:rsid w:val="001C6796"/>
    <w:rsid w:val="001C77BD"/>
    <w:rsid w:val="001D24CE"/>
    <w:rsid w:val="001D4B1A"/>
    <w:rsid w:val="001E2C6F"/>
    <w:rsid w:val="001E5234"/>
    <w:rsid w:val="001E60F1"/>
    <w:rsid w:val="001E7881"/>
    <w:rsid w:val="001F16D1"/>
    <w:rsid w:val="001F34D1"/>
    <w:rsid w:val="001F55DF"/>
    <w:rsid w:val="001F5D7D"/>
    <w:rsid w:val="0020047D"/>
    <w:rsid w:val="00200940"/>
    <w:rsid w:val="00202F53"/>
    <w:rsid w:val="0020359B"/>
    <w:rsid w:val="00204002"/>
    <w:rsid w:val="00204DBF"/>
    <w:rsid w:val="00205563"/>
    <w:rsid w:val="00205CC1"/>
    <w:rsid w:val="0021091D"/>
    <w:rsid w:val="0021233D"/>
    <w:rsid w:val="00214FF2"/>
    <w:rsid w:val="002159D7"/>
    <w:rsid w:val="00217926"/>
    <w:rsid w:val="00217A93"/>
    <w:rsid w:val="0021F1A5"/>
    <w:rsid w:val="0022157F"/>
    <w:rsid w:val="0022205D"/>
    <w:rsid w:val="00222AC9"/>
    <w:rsid w:val="00222CD9"/>
    <w:rsid w:val="00223AC0"/>
    <w:rsid w:val="00223AF4"/>
    <w:rsid w:val="002242EA"/>
    <w:rsid w:val="00224B52"/>
    <w:rsid w:val="0022595F"/>
    <w:rsid w:val="00226227"/>
    <w:rsid w:val="002265C6"/>
    <w:rsid w:val="00226DC3"/>
    <w:rsid w:val="00231DEB"/>
    <w:rsid w:val="002323D0"/>
    <w:rsid w:val="002325CC"/>
    <w:rsid w:val="002334CF"/>
    <w:rsid w:val="00235B84"/>
    <w:rsid w:val="0024763D"/>
    <w:rsid w:val="002500CF"/>
    <w:rsid w:val="00250424"/>
    <w:rsid w:val="002504EA"/>
    <w:rsid w:val="00256BB6"/>
    <w:rsid w:val="00261515"/>
    <w:rsid w:val="00261717"/>
    <w:rsid w:val="00266891"/>
    <w:rsid w:val="00270861"/>
    <w:rsid w:val="00271EBC"/>
    <w:rsid w:val="00272811"/>
    <w:rsid w:val="00274E7A"/>
    <w:rsid w:val="0028341F"/>
    <w:rsid w:val="00285580"/>
    <w:rsid w:val="002866EC"/>
    <w:rsid w:val="00291ABE"/>
    <w:rsid w:val="00291F4A"/>
    <w:rsid w:val="00296B9F"/>
    <w:rsid w:val="00296EBF"/>
    <w:rsid w:val="00297124"/>
    <w:rsid w:val="002A0A0A"/>
    <w:rsid w:val="002A1662"/>
    <w:rsid w:val="002A1D60"/>
    <w:rsid w:val="002A29C7"/>
    <w:rsid w:val="002A37EE"/>
    <w:rsid w:val="002A5CC8"/>
    <w:rsid w:val="002A6020"/>
    <w:rsid w:val="002A6290"/>
    <w:rsid w:val="002B25AC"/>
    <w:rsid w:val="002B400B"/>
    <w:rsid w:val="002B6123"/>
    <w:rsid w:val="002C2C86"/>
    <w:rsid w:val="002C5FC8"/>
    <w:rsid w:val="002C77F4"/>
    <w:rsid w:val="002D0252"/>
    <w:rsid w:val="002D034D"/>
    <w:rsid w:val="002D3DD3"/>
    <w:rsid w:val="002D4A1E"/>
    <w:rsid w:val="002D5C4D"/>
    <w:rsid w:val="002D698B"/>
    <w:rsid w:val="002E1557"/>
    <w:rsid w:val="002E1BF8"/>
    <w:rsid w:val="002E347A"/>
    <w:rsid w:val="002E485F"/>
    <w:rsid w:val="002E776A"/>
    <w:rsid w:val="002F04E1"/>
    <w:rsid w:val="002F29AD"/>
    <w:rsid w:val="002F2D94"/>
    <w:rsid w:val="002F34D7"/>
    <w:rsid w:val="002F60C1"/>
    <w:rsid w:val="002F7250"/>
    <w:rsid w:val="003032C8"/>
    <w:rsid w:val="00303BCB"/>
    <w:rsid w:val="00304F5D"/>
    <w:rsid w:val="00305917"/>
    <w:rsid w:val="003132DD"/>
    <w:rsid w:val="00313992"/>
    <w:rsid w:val="00314058"/>
    <w:rsid w:val="0031528D"/>
    <w:rsid w:val="00322FBC"/>
    <w:rsid w:val="003259E6"/>
    <w:rsid w:val="00326A54"/>
    <w:rsid w:val="00326B22"/>
    <w:rsid w:val="003313E4"/>
    <w:rsid w:val="003319C3"/>
    <w:rsid w:val="00342301"/>
    <w:rsid w:val="00343055"/>
    <w:rsid w:val="003430E8"/>
    <w:rsid w:val="00344D9D"/>
    <w:rsid w:val="003461DA"/>
    <w:rsid w:val="00351C58"/>
    <w:rsid w:val="00351D1E"/>
    <w:rsid w:val="0035291B"/>
    <w:rsid w:val="00353004"/>
    <w:rsid w:val="00354500"/>
    <w:rsid w:val="003550A1"/>
    <w:rsid w:val="003555F0"/>
    <w:rsid w:val="003570AB"/>
    <w:rsid w:val="00357DFB"/>
    <w:rsid w:val="00360E57"/>
    <w:rsid w:val="003646A2"/>
    <w:rsid w:val="0037076D"/>
    <w:rsid w:val="00371586"/>
    <w:rsid w:val="00372D60"/>
    <w:rsid w:val="00374B2A"/>
    <w:rsid w:val="003750CF"/>
    <w:rsid w:val="00375DCD"/>
    <w:rsid w:val="00382714"/>
    <w:rsid w:val="0038776B"/>
    <w:rsid w:val="003902C8"/>
    <w:rsid w:val="00390926"/>
    <w:rsid w:val="003914E1"/>
    <w:rsid w:val="003A3DF8"/>
    <w:rsid w:val="003A3E44"/>
    <w:rsid w:val="003A45DA"/>
    <w:rsid w:val="003A549C"/>
    <w:rsid w:val="003B3B7B"/>
    <w:rsid w:val="003C0E2B"/>
    <w:rsid w:val="003C38B7"/>
    <w:rsid w:val="003C4839"/>
    <w:rsid w:val="003C4C02"/>
    <w:rsid w:val="003C5B85"/>
    <w:rsid w:val="003C68E6"/>
    <w:rsid w:val="003D04A6"/>
    <w:rsid w:val="003D10C8"/>
    <w:rsid w:val="003D4D7E"/>
    <w:rsid w:val="003E2D54"/>
    <w:rsid w:val="003E37FA"/>
    <w:rsid w:val="003E3A27"/>
    <w:rsid w:val="003E42DA"/>
    <w:rsid w:val="003E48F5"/>
    <w:rsid w:val="003E5E2A"/>
    <w:rsid w:val="003F0D13"/>
    <w:rsid w:val="003F2466"/>
    <w:rsid w:val="003F59B9"/>
    <w:rsid w:val="003F6211"/>
    <w:rsid w:val="00401E22"/>
    <w:rsid w:val="00405102"/>
    <w:rsid w:val="00411630"/>
    <w:rsid w:val="0041222E"/>
    <w:rsid w:val="0041485C"/>
    <w:rsid w:val="00417076"/>
    <w:rsid w:val="00421E6C"/>
    <w:rsid w:val="0042377F"/>
    <w:rsid w:val="0042435E"/>
    <w:rsid w:val="004243FE"/>
    <w:rsid w:val="004272A4"/>
    <w:rsid w:val="00427E42"/>
    <w:rsid w:val="0043052E"/>
    <w:rsid w:val="00430D07"/>
    <w:rsid w:val="00434912"/>
    <w:rsid w:val="00435AF9"/>
    <w:rsid w:val="00445346"/>
    <w:rsid w:val="0044547B"/>
    <w:rsid w:val="00446F3D"/>
    <w:rsid w:val="00450C3C"/>
    <w:rsid w:val="00452F22"/>
    <w:rsid w:val="004547C1"/>
    <w:rsid w:val="004562B2"/>
    <w:rsid w:val="004627A7"/>
    <w:rsid w:val="004635B4"/>
    <w:rsid w:val="004638E7"/>
    <w:rsid w:val="0046410C"/>
    <w:rsid w:val="0046765E"/>
    <w:rsid w:val="004711EF"/>
    <w:rsid w:val="00472882"/>
    <w:rsid w:val="0047660E"/>
    <w:rsid w:val="00476C63"/>
    <w:rsid w:val="004829C5"/>
    <w:rsid w:val="004832CE"/>
    <w:rsid w:val="00483EAF"/>
    <w:rsid w:val="004928B5"/>
    <w:rsid w:val="00494573"/>
    <w:rsid w:val="004956FE"/>
    <w:rsid w:val="004974AC"/>
    <w:rsid w:val="004A082C"/>
    <w:rsid w:val="004A23F6"/>
    <w:rsid w:val="004B0119"/>
    <w:rsid w:val="004B17BA"/>
    <w:rsid w:val="004B1C3E"/>
    <w:rsid w:val="004B22D5"/>
    <w:rsid w:val="004B4A08"/>
    <w:rsid w:val="004C182B"/>
    <w:rsid w:val="004C2A1B"/>
    <w:rsid w:val="004C4127"/>
    <w:rsid w:val="004D0361"/>
    <w:rsid w:val="004D1A9D"/>
    <w:rsid w:val="004D4DF3"/>
    <w:rsid w:val="004D4E4C"/>
    <w:rsid w:val="004D7415"/>
    <w:rsid w:val="004E06FA"/>
    <w:rsid w:val="004E294D"/>
    <w:rsid w:val="004E3575"/>
    <w:rsid w:val="004E7A1E"/>
    <w:rsid w:val="004F29EC"/>
    <w:rsid w:val="004F47A2"/>
    <w:rsid w:val="004F5149"/>
    <w:rsid w:val="004F63C8"/>
    <w:rsid w:val="005022AE"/>
    <w:rsid w:val="0050446C"/>
    <w:rsid w:val="00506352"/>
    <w:rsid w:val="00506EB3"/>
    <w:rsid w:val="00510CEA"/>
    <w:rsid w:val="005127F8"/>
    <w:rsid w:val="00512D9D"/>
    <w:rsid w:val="0051487C"/>
    <w:rsid w:val="00517A96"/>
    <w:rsid w:val="0052166E"/>
    <w:rsid w:val="0052466E"/>
    <w:rsid w:val="00530AED"/>
    <w:rsid w:val="00536F51"/>
    <w:rsid w:val="005429DA"/>
    <w:rsid w:val="00545062"/>
    <w:rsid w:val="00546053"/>
    <w:rsid w:val="00550BE5"/>
    <w:rsid w:val="00553051"/>
    <w:rsid w:val="0055700C"/>
    <w:rsid w:val="00557861"/>
    <w:rsid w:val="00560C47"/>
    <w:rsid w:val="00561463"/>
    <w:rsid w:val="00562D3A"/>
    <w:rsid w:val="00571353"/>
    <w:rsid w:val="005713AB"/>
    <w:rsid w:val="00571825"/>
    <w:rsid w:val="005754F9"/>
    <w:rsid w:val="00581388"/>
    <w:rsid w:val="005839E1"/>
    <w:rsid w:val="0058513D"/>
    <w:rsid w:val="00592640"/>
    <w:rsid w:val="005957EF"/>
    <w:rsid w:val="005A3726"/>
    <w:rsid w:val="005A5B38"/>
    <w:rsid w:val="005A688C"/>
    <w:rsid w:val="005B047F"/>
    <w:rsid w:val="005B04BE"/>
    <w:rsid w:val="005B0D62"/>
    <w:rsid w:val="005B2A09"/>
    <w:rsid w:val="005B55F3"/>
    <w:rsid w:val="005B631F"/>
    <w:rsid w:val="005C3038"/>
    <w:rsid w:val="005C4262"/>
    <w:rsid w:val="005C4AB5"/>
    <w:rsid w:val="005C624C"/>
    <w:rsid w:val="005D1A35"/>
    <w:rsid w:val="005D3BFE"/>
    <w:rsid w:val="005D5BBA"/>
    <w:rsid w:val="005D5BEF"/>
    <w:rsid w:val="005E254F"/>
    <w:rsid w:val="005E2965"/>
    <w:rsid w:val="005E3028"/>
    <w:rsid w:val="005E413C"/>
    <w:rsid w:val="005E54AE"/>
    <w:rsid w:val="005F3519"/>
    <w:rsid w:val="005F672E"/>
    <w:rsid w:val="005F6B49"/>
    <w:rsid w:val="005F6E96"/>
    <w:rsid w:val="0060289D"/>
    <w:rsid w:val="00611B5E"/>
    <w:rsid w:val="00612F8A"/>
    <w:rsid w:val="006155B8"/>
    <w:rsid w:val="00615B24"/>
    <w:rsid w:val="0062052B"/>
    <w:rsid w:val="006205BF"/>
    <w:rsid w:val="00621D51"/>
    <w:rsid w:val="0062486B"/>
    <w:rsid w:val="006249C9"/>
    <w:rsid w:val="0062535B"/>
    <w:rsid w:val="006258C7"/>
    <w:rsid w:val="00626212"/>
    <w:rsid w:val="00626F3C"/>
    <w:rsid w:val="00630C6E"/>
    <w:rsid w:val="0063295C"/>
    <w:rsid w:val="00635078"/>
    <w:rsid w:val="00635398"/>
    <w:rsid w:val="00636640"/>
    <w:rsid w:val="00640B01"/>
    <w:rsid w:val="006428A4"/>
    <w:rsid w:val="006432CE"/>
    <w:rsid w:val="0064630B"/>
    <w:rsid w:val="0064650F"/>
    <w:rsid w:val="00652D78"/>
    <w:rsid w:val="00662FC1"/>
    <w:rsid w:val="00672F11"/>
    <w:rsid w:val="006747E2"/>
    <w:rsid w:val="00675450"/>
    <w:rsid w:val="006768A7"/>
    <w:rsid w:val="0067727D"/>
    <w:rsid w:val="00680284"/>
    <w:rsid w:val="00683D97"/>
    <w:rsid w:val="0069052A"/>
    <w:rsid w:val="00694F0F"/>
    <w:rsid w:val="006A10EC"/>
    <w:rsid w:val="006A2F11"/>
    <w:rsid w:val="006A4939"/>
    <w:rsid w:val="006A5575"/>
    <w:rsid w:val="006A5CB8"/>
    <w:rsid w:val="006A5ED7"/>
    <w:rsid w:val="006B05D0"/>
    <w:rsid w:val="006B1744"/>
    <w:rsid w:val="006B1E01"/>
    <w:rsid w:val="006B46B8"/>
    <w:rsid w:val="006C00D1"/>
    <w:rsid w:val="006C2D3D"/>
    <w:rsid w:val="006C6764"/>
    <w:rsid w:val="006C7500"/>
    <w:rsid w:val="006D0E2B"/>
    <w:rsid w:val="006D26B9"/>
    <w:rsid w:val="006D4788"/>
    <w:rsid w:val="006D5A08"/>
    <w:rsid w:val="006E2510"/>
    <w:rsid w:val="006E48E7"/>
    <w:rsid w:val="006E6976"/>
    <w:rsid w:val="006E76E4"/>
    <w:rsid w:val="006E7759"/>
    <w:rsid w:val="007005C8"/>
    <w:rsid w:val="00701C28"/>
    <w:rsid w:val="007078B4"/>
    <w:rsid w:val="00711AD0"/>
    <w:rsid w:val="00712197"/>
    <w:rsid w:val="00713686"/>
    <w:rsid w:val="00713BD2"/>
    <w:rsid w:val="007205B7"/>
    <w:rsid w:val="0072080B"/>
    <w:rsid w:val="00721447"/>
    <w:rsid w:val="00723525"/>
    <w:rsid w:val="007305EF"/>
    <w:rsid w:val="00740E5F"/>
    <w:rsid w:val="00742AFB"/>
    <w:rsid w:val="00743224"/>
    <w:rsid w:val="00744978"/>
    <w:rsid w:val="00746D2C"/>
    <w:rsid w:val="00747178"/>
    <w:rsid w:val="00753100"/>
    <w:rsid w:val="007532B4"/>
    <w:rsid w:val="0075501F"/>
    <w:rsid w:val="0075602D"/>
    <w:rsid w:val="0075656D"/>
    <w:rsid w:val="007631E6"/>
    <w:rsid w:val="00764EA1"/>
    <w:rsid w:val="00765ACA"/>
    <w:rsid w:val="00766085"/>
    <w:rsid w:val="007669BB"/>
    <w:rsid w:val="00766A4D"/>
    <w:rsid w:val="007716CA"/>
    <w:rsid w:val="00773A0D"/>
    <w:rsid w:val="00786776"/>
    <w:rsid w:val="007870B2"/>
    <w:rsid w:val="00787E87"/>
    <w:rsid w:val="007915D5"/>
    <w:rsid w:val="00791E7F"/>
    <w:rsid w:val="007937D0"/>
    <w:rsid w:val="00796234"/>
    <w:rsid w:val="007A0240"/>
    <w:rsid w:val="007A1381"/>
    <w:rsid w:val="007A154B"/>
    <w:rsid w:val="007A451B"/>
    <w:rsid w:val="007A71AA"/>
    <w:rsid w:val="007B3F0F"/>
    <w:rsid w:val="007B50E1"/>
    <w:rsid w:val="007C502F"/>
    <w:rsid w:val="007C5BAC"/>
    <w:rsid w:val="007C5D9D"/>
    <w:rsid w:val="007D1707"/>
    <w:rsid w:val="007D44BB"/>
    <w:rsid w:val="007E21A9"/>
    <w:rsid w:val="007E492F"/>
    <w:rsid w:val="007E6C75"/>
    <w:rsid w:val="007E7E9F"/>
    <w:rsid w:val="007E7FA3"/>
    <w:rsid w:val="007F06D5"/>
    <w:rsid w:val="007F36BE"/>
    <w:rsid w:val="007F3850"/>
    <w:rsid w:val="007F5E94"/>
    <w:rsid w:val="007F76A6"/>
    <w:rsid w:val="0080231A"/>
    <w:rsid w:val="00803326"/>
    <w:rsid w:val="0080436D"/>
    <w:rsid w:val="00807AC8"/>
    <w:rsid w:val="00812EB3"/>
    <w:rsid w:val="00817204"/>
    <w:rsid w:val="0082261D"/>
    <w:rsid w:val="008226DB"/>
    <w:rsid w:val="0082374C"/>
    <w:rsid w:val="008237B7"/>
    <w:rsid w:val="00825707"/>
    <w:rsid w:val="00832B5A"/>
    <w:rsid w:val="008377B1"/>
    <w:rsid w:val="0084076D"/>
    <w:rsid w:val="008454F3"/>
    <w:rsid w:val="00846214"/>
    <w:rsid w:val="00846782"/>
    <w:rsid w:val="00853C3B"/>
    <w:rsid w:val="00860172"/>
    <w:rsid w:val="00860F6D"/>
    <w:rsid w:val="00861493"/>
    <w:rsid w:val="00861892"/>
    <w:rsid w:val="00862AF2"/>
    <w:rsid w:val="00865479"/>
    <w:rsid w:val="008659A6"/>
    <w:rsid w:val="00866DF5"/>
    <w:rsid w:val="00867447"/>
    <w:rsid w:val="00867510"/>
    <w:rsid w:val="008676FC"/>
    <w:rsid w:val="00867CCF"/>
    <w:rsid w:val="00870D02"/>
    <w:rsid w:val="00871395"/>
    <w:rsid w:val="00876190"/>
    <w:rsid w:val="00877D26"/>
    <w:rsid w:val="00877F8B"/>
    <w:rsid w:val="008849E7"/>
    <w:rsid w:val="0088748C"/>
    <w:rsid w:val="0088783C"/>
    <w:rsid w:val="008901BE"/>
    <w:rsid w:val="0089041F"/>
    <w:rsid w:val="008907FB"/>
    <w:rsid w:val="00891116"/>
    <w:rsid w:val="008937B8"/>
    <w:rsid w:val="008A2AF8"/>
    <w:rsid w:val="008A648E"/>
    <w:rsid w:val="008B39DF"/>
    <w:rsid w:val="008B3AA8"/>
    <w:rsid w:val="008B4048"/>
    <w:rsid w:val="008B477D"/>
    <w:rsid w:val="008B6751"/>
    <w:rsid w:val="008B69B5"/>
    <w:rsid w:val="008B6E3E"/>
    <w:rsid w:val="008C1D9B"/>
    <w:rsid w:val="008C4F73"/>
    <w:rsid w:val="008C642A"/>
    <w:rsid w:val="008D0921"/>
    <w:rsid w:val="008D1F27"/>
    <w:rsid w:val="008D3535"/>
    <w:rsid w:val="008D4376"/>
    <w:rsid w:val="008D5AAA"/>
    <w:rsid w:val="008D63A9"/>
    <w:rsid w:val="008D76A4"/>
    <w:rsid w:val="008E2706"/>
    <w:rsid w:val="008E4934"/>
    <w:rsid w:val="008E4C68"/>
    <w:rsid w:val="008E61B6"/>
    <w:rsid w:val="008E6F58"/>
    <w:rsid w:val="008E7B67"/>
    <w:rsid w:val="008F2628"/>
    <w:rsid w:val="008F49F8"/>
    <w:rsid w:val="008F4C48"/>
    <w:rsid w:val="008F7B60"/>
    <w:rsid w:val="009011CC"/>
    <w:rsid w:val="009013AA"/>
    <w:rsid w:val="00901B2C"/>
    <w:rsid w:val="0090708F"/>
    <w:rsid w:val="00907738"/>
    <w:rsid w:val="00912CC8"/>
    <w:rsid w:val="00914103"/>
    <w:rsid w:val="00916105"/>
    <w:rsid w:val="0092735B"/>
    <w:rsid w:val="00930F4F"/>
    <w:rsid w:val="00931AE3"/>
    <w:rsid w:val="00936EEB"/>
    <w:rsid w:val="00937878"/>
    <w:rsid w:val="00941FA3"/>
    <w:rsid w:val="00942216"/>
    <w:rsid w:val="0094355F"/>
    <w:rsid w:val="009440C6"/>
    <w:rsid w:val="009455F4"/>
    <w:rsid w:val="00946978"/>
    <w:rsid w:val="00946AC7"/>
    <w:rsid w:val="00947213"/>
    <w:rsid w:val="00947379"/>
    <w:rsid w:val="00951EF4"/>
    <w:rsid w:val="00955D35"/>
    <w:rsid w:val="0095734A"/>
    <w:rsid w:val="00960739"/>
    <w:rsid w:val="00960EA0"/>
    <w:rsid w:val="0096285F"/>
    <w:rsid w:val="009663BA"/>
    <w:rsid w:val="00975482"/>
    <w:rsid w:val="00975764"/>
    <w:rsid w:val="00980387"/>
    <w:rsid w:val="0098195C"/>
    <w:rsid w:val="009820BD"/>
    <w:rsid w:val="00982175"/>
    <w:rsid w:val="00982B55"/>
    <w:rsid w:val="00984883"/>
    <w:rsid w:val="00986D8C"/>
    <w:rsid w:val="00991140"/>
    <w:rsid w:val="009954FC"/>
    <w:rsid w:val="009956E2"/>
    <w:rsid w:val="00996E10"/>
    <w:rsid w:val="009A1AB0"/>
    <w:rsid w:val="009A2D13"/>
    <w:rsid w:val="009A433C"/>
    <w:rsid w:val="009A4798"/>
    <w:rsid w:val="009B0D74"/>
    <w:rsid w:val="009B19C3"/>
    <w:rsid w:val="009B34BD"/>
    <w:rsid w:val="009B7F53"/>
    <w:rsid w:val="009B7FD1"/>
    <w:rsid w:val="009C2B16"/>
    <w:rsid w:val="009C4B9D"/>
    <w:rsid w:val="009C5156"/>
    <w:rsid w:val="009C53EE"/>
    <w:rsid w:val="009C6985"/>
    <w:rsid w:val="009D0DF1"/>
    <w:rsid w:val="009D2293"/>
    <w:rsid w:val="009D2FFE"/>
    <w:rsid w:val="009D4106"/>
    <w:rsid w:val="009E0032"/>
    <w:rsid w:val="009E2148"/>
    <w:rsid w:val="009E4D3A"/>
    <w:rsid w:val="009E56C6"/>
    <w:rsid w:val="009E7BF6"/>
    <w:rsid w:val="009F0700"/>
    <w:rsid w:val="009F1E2E"/>
    <w:rsid w:val="009F4291"/>
    <w:rsid w:val="009F4DC8"/>
    <w:rsid w:val="009F6F47"/>
    <w:rsid w:val="009F7AD9"/>
    <w:rsid w:val="00A02E73"/>
    <w:rsid w:val="00A07459"/>
    <w:rsid w:val="00A07B72"/>
    <w:rsid w:val="00A1020C"/>
    <w:rsid w:val="00A129C4"/>
    <w:rsid w:val="00A151F7"/>
    <w:rsid w:val="00A20DD3"/>
    <w:rsid w:val="00A2143F"/>
    <w:rsid w:val="00A24000"/>
    <w:rsid w:val="00A2600A"/>
    <w:rsid w:val="00A303B0"/>
    <w:rsid w:val="00A31348"/>
    <w:rsid w:val="00A32C07"/>
    <w:rsid w:val="00A33543"/>
    <w:rsid w:val="00A33E1A"/>
    <w:rsid w:val="00A354C4"/>
    <w:rsid w:val="00A369BC"/>
    <w:rsid w:val="00A4446D"/>
    <w:rsid w:val="00A46493"/>
    <w:rsid w:val="00A522D8"/>
    <w:rsid w:val="00A5264B"/>
    <w:rsid w:val="00A55B8C"/>
    <w:rsid w:val="00A57A93"/>
    <w:rsid w:val="00A61389"/>
    <w:rsid w:val="00A660EA"/>
    <w:rsid w:val="00A6690C"/>
    <w:rsid w:val="00A71DCE"/>
    <w:rsid w:val="00A73EAD"/>
    <w:rsid w:val="00A7480E"/>
    <w:rsid w:val="00A74D34"/>
    <w:rsid w:val="00A75209"/>
    <w:rsid w:val="00A81BFD"/>
    <w:rsid w:val="00A82839"/>
    <w:rsid w:val="00A84F04"/>
    <w:rsid w:val="00A92611"/>
    <w:rsid w:val="00A94AB1"/>
    <w:rsid w:val="00A9647B"/>
    <w:rsid w:val="00A9747A"/>
    <w:rsid w:val="00A97799"/>
    <w:rsid w:val="00AA167C"/>
    <w:rsid w:val="00AA454C"/>
    <w:rsid w:val="00AA6F0E"/>
    <w:rsid w:val="00AB1CE0"/>
    <w:rsid w:val="00AB2B17"/>
    <w:rsid w:val="00AB4350"/>
    <w:rsid w:val="00AB518C"/>
    <w:rsid w:val="00AB5C81"/>
    <w:rsid w:val="00AB5F76"/>
    <w:rsid w:val="00AC0C7A"/>
    <w:rsid w:val="00AC1679"/>
    <w:rsid w:val="00AC1A88"/>
    <w:rsid w:val="00AC2314"/>
    <w:rsid w:val="00AC37CC"/>
    <w:rsid w:val="00AE40A4"/>
    <w:rsid w:val="00AE47AA"/>
    <w:rsid w:val="00AE4F81"/>
    <w:rsid w:val="00AE5081"/>
    <w:rsid w:val="00AF3C76"/>
    <w:rsid w:val="00B013F2"/>
    <w:rsid w:val="00B03F26"/>
    <w:rsid w:val="00B07D53"/>
    <w:rsid w:val="00B1078C"/>
    <w:rsid w:val="00B12DD9"/>
    <w:rsid w:val="00B130A1"/>
    <w:rsid w:val="00B227DA"/>
    <w:rsid w:val="00B246E6"/>
    <w:rsid w:val="00B25B03"/>
    <w:rsid w:val="00B26573"/>
    <w:rsid w:val="00B26578"/>
    <w:rsid w:val="00B26CB3"/>
    <w:rsid w:val="00B26CED"/>
    <w:rsid w:val="00B300B2"/>
    <w:rsid w:val="00B30202"/>
    <w:rsid w:val="00B3027A"/>
    <w:rsid w:val="00B3223D"/>
    <w:rsid w:val="00B34A9E"/>
    <w:rsid w:val="00B3650A"/>
    <w:rsid w:val="00B40CC0"/>
    <w:rsid w:val="00B41A35"/>
    <w:rsid w:val="00B430B6"/>
    <w:rsid w:val="00B43150"/>
    <w:rsid w:val="00B46514"/>
    <w:rsid w:val="00B546B8"/>
    <w:rsid w:val="00B603FD"/>
    <w:rsid w:val="00B60769"/>
    <w:rsid w:val="00B60D0C"/>
    <w:rsid w:val="00B61906"/>
    <w:rsid w:val="00B6317F"/>
    <w:rsid w:val="00B702DC"/>
    <w:rsid w:val="00B732BD"/>
    <w:rsid w:val="00B77B7F"/>
    <w:rsid w:val="00B830AD"/>
    <w:rsid w:val="00B844FA"/>
    <w:rsid w:val="00B8513F"/>
    <w:rsid w:val="00B86998"/>
    <w:rsid w:val="00B86B93"/>
    <w:rsid w:val="00B8787D"/>
    <w:rsid w:val="00B90118"/>
    <w:rsid w:val="00B91EE0"/>
    <w:rsid w:val="00B92D95"/>
    <w:rsid w:val="00B93006"/>
    <w:rsid w:val="00BA18D7"/>
    <w:rsid w:val="00BA1D88"/>
    <w:rsid w:val="00BB1ACD"/>
    <w:rsid w:val="00BB1EE4"/>
    <w:rsid w:val="00BB3D71"/>
    <w:rsid w:val="00BB51CC"/>
    <w:rsid w:val="00BC2B41"/>
    <w:rsid w:val="00BC3CE2"/>
    <w:rsid w:val="00BC5DE0"/>
    <w:rsid w:val="00BD4402"/>
    <w:rsid w:val="00BD533C"/>
    <w:rsid w:val="00BE14E1"/>
    <w:rsid w:val="00BE2B54"/>
    <w:rsid w:val="00BE41B6"/>
    <w:rsid w:val="00BE570F"/>
    <w:rsid w:val="00BE6473"/>
    <w:rsid w:val="00BE7E20"/>
    <w:rsid w:val="00BF46D5"/>
    <w:rsid w:val="00C05C93"/>
    <w:rsid w:val="00C06C5D"/>
    <w:rsid w:val="00C07932"/>
    <w:rsid w:val="00C10E6A"/>
    <w:rsid w:val="00C114B2"/>
    <w:rsid w:val="00C114E7"/>
    <w:rsid w:val="00C1378D"/>
    <w:rsid w:val="00C1520E"/>
    <w:rsid w:val="00C212B6"/>
    <w:rsid w:val="00C21E16"/>
    <w:rsid w:val="00C22F1F"/>
    <w:rsid w:val="00C2324C"/>
    <w:rsid w:val="00C23B26"/>
    <w:rsid w:val="00C3449D"/>
    <w:rsid w:val="00C4147C"/>
    <w:rsid w:val="00C41F3C"/>
    <w:rsid w:val="00C433BA"/>
    <w:rsid w:val="00C4437E"/>
    <w:rsid w:val="00C46520"/>
    <w:rsid w:val="00C468F4"/>
    <w:rsid w:val="00C46FC1"/>
    <w:rsid w:val="00C4726F"/>
    <w:rsid w:val="00C5114E"/>
    <w:rsid w:val="00C518C2"/>
    <w:rsid w:val="00C52CDE"/>
    <w:rsid w:val="00C57A9E"/>
    <w:rsid w:val="00C603E0"/>
    <w:rsid w:val="00C60B37"/>
    <w:rsid w:val="00C6110C"/>
    <w:rsid w:val="00C647F6"/>
    <w:rsid w:val="00C66A57"/>
    <w:rsid w:val="00C6727B"/>
    <w:rsid w:val="00C75E2A"/>
    <w:rsid w:val="00C75F00"/>
    <w:rsid w:val="00C839AD"/>
    <w:rsid w:val="00C83F68"/>
    <w:rsid w:val="00C8681A"/>
    <w:rsid w:val="00C877E8"/>
    <w:rsid w:val="00C9018D"/>
    <w:rsid w:val="00C90CEC"/>
    <w:rsid w:val="00C9185D"/>
    <w:rsid w:val="00CA0E2A"/>
    <w:rsid w:val="00CA1DA1"/>
    <w:rsid w:val="00CA3A91"/>
    <w:rsid w:val="00CA584A"/>
    <w:rsid w:val="00CA6FC6"/>
    <w:rsid w:val="00CB613A"/>
    <w:rsid w:val="00CC0BD3"/>
    <w:rsid w:val="00CC31F2"/>
    <w:rsid w:val="00CC3A92"/>
    <w:rsid w:val="00CD5146"/>
    <w:rsid w:val="00CE1B49"/>
    <w:rsid w:val="00CE2C8F"/>
    <w:rsid w:val="00CE7CDB"/>
    <w:rsid w:val="00CF6866"/>
    <w:rsid w:val="00CF6DE2"/>
    <w:rsid w:val="00CF7023"/>
    <w:rsid w:val="00D03C88"/>
    <w:rsid w:val="00D12A4D"/>
    <w:rsid w:val="00D13419"/>
    <w:rsid w:val="00D21D62"/>
    <w:rsid w:val="00D2364D"/>
    <w:rsid w:val="00D25B31"/>
    <w:rsid w:val="00D261AF"/>
    <w:rsid w:val="00D279C0"/>
    <w:rsid w:val="00D33D9D"/>
    <w:rsid w:val="00D357A1"/>
    <w:rsid w:val="00D35A0C"/>
    <w:rsid w:val="00D35C5D"/>
    <w:rsid w:val="00D41190"/>
    <w:rsid w:val="00D42C0F"/>
    <w:rsid w:val="00D514AF"/>
    <w:rsid w:val="00D530F9"/>
    <w:rsid w:val="00D53980"/>
    <w:rsid w:val="00D5434E"/>
    <w:rsid w:val="00D63DF7"/>
    <w:rsid w:val="00D72119"/>
    <w:rsid w:val="00D748A2"/>
    <w:rsid w:val="00D76D77"/>
    <w:rsid w:val="00D82C0A"/>
    <w:rsid w:val="00D83159"/>
    <w:rsid w:val="00D912FB"/>
    <w:rsid w:val="00D92233"/>
    <w:rsid w:val="00D92A51"/>
    <w:rsid w:val="00D92C3F"/>
    <w:rsid w:val="00D938E9"/>
    <w:rsid w:val="00D97425"/>
    <w:rsid w:val="00DA079C"/>
    <w:rsid w:val="00DA116C"/>
    <w:rsid w:val="00DB2EB8"/>
    <w:rsid w:val="00DB4742"/>
    <w:rsid w:val="00DB5702"/>
    <w:rsid w:val="00DD21FF"/>
    <w:rsid w:val="00DD395C"/>
    <w:rsid w:val="00DD3E4C"/>
    <w:rsid w:val="00DD65AF"/>
    <w:rsid w:val="00DE0897"/>
    <w:rsid w:val="00DE1829"/>
    <w:rsid w:val="00DE3887"/>
    <w:rsid w:val="00DE4A8D"/>
    <w:rsid w:val="00DF3213"/>
    <w:rsid w:val="00DF3517"/>
    <w:rsid w:val="00DF3872"/>
    <w:rsid w:val="00DF614D"/>
    <w:rsid w:val="00DF6478"/>
    <w:rsid w:val="00E005B2"/>
    <w:rsid w:val="00E00C94"/>
    <w:rsid w:val="00E0558C"/>
    <w:rsid w:val="00E07225"/>
    <w:rsid w:val="00E1096A"/>
    <w:rsid w:val="00E10CED"/>
    <w:rsid w:val="00E1681A"/>
    <w:rsid w:val="00E219D0"/>
    <w:rsid w:val="00E2228A"/>
    <w:rsid w:val="00E261D5"/>
    <w:rsid w:val="00E26539"/>
    <w:rsid w:val="00E33740"/>
    <w:rsid w:val="00E33C3B"/>
    <w:rsid w:val="00E3421A"/>
    <w:rsid w:val="00E3506D"/>
    <w:rsid w:val="00E35744"/>
    <w:rsid w:val="00E36CD4"/>
    <w:rsid w:val="00E37DA8"/>
    <w:rsid w:val="00E40423"/>
    <w:rsid w:val="00E406CE"/>
    <w:rsid w:val="00E4207F"/>
    <w:rsid w:val="00E4402C"/>
    <w:rsid w:val="00E4499D"/>
    <w:rsid w:val="00E47E15"/>
    <w:rsid w:val="00E503A3"/>
    <w:rsid w:val="00E5103B"/>
    <w:rsid w:val="00E536E2"/>
    <w:rsid w:val="00E53C0A"/>
    <w:rsid w:val="00E54AF6"/>
    <w:rsid w:val="00E60D22"/>
    <w:rsid w:val="00E6114E"/>
    <w:rsid w:val="00E65EF9"/>
    <w:rsid w:val="00E72420"/>
    <w:rsid w:val="00E7430C"/>
    <w:rsid w:val="00E80A48"/>
    <w:rsid w:val="00E817E0"/>
    <w:rsid w:val="00E82A40"/>
    <w:rsid w:val="00E848FA"/>
    <w:rsid w:val="00E86F48"/>
    <w:rsid w:val="00E86FF7"/>
    <w:rsid w:val="00E920A7"/>
    <w:rsid w:val="00E96C46"/>
    <w:rsid w:val="00EA22B7"/>
    <w:rsid w:val="00EA680B"/>
    <w:rsid w:val="00EA6EBF"/>
    <w:rsid w:val="00EA719E"/>
    <w:rsid w:val="00EB29EB"/>
    <w:rsid w:val="00EB7ACF"/>
    <w:rsid w:val="00EC2A2E"/>
    <w:rsid w:val="00EC4CE4"/>
    <w:rsid w:val="00EC5F96"/>
    <w:rsid w:val="00EC6EF6"/>
    <w:rsid w:val="00EC6F4A"/>
    <w:rsid w:val="00ED10F6"/>
    <w:rsid w:val="00ED1657"/>
    <w:rsid w:val="00ED1D75"/>
    <w:rsid w:val="00ED5EEB"/>
    <w:rsid w:val="00ED759C"/>
    <w:rsid w:val="00EF3F17"/>
    <w:rsid w:val="00EF3F59"/>
    <w:rsid w:val="00EF41E4"/>
    <w:rsid w:val="00F00488"/>
    <w:rsid w:val="00F01E35"/>
    <w:rsid w:val="00F0540A"/>
    <w:rsid w:val="00F05A87"/>
    <w:rsid w:val="00F06A26"/>
    <w:rsid w:val="00F14C0E"/>
    <w:rsid w:val="00F15223"/>
    <w:rsid w:val="00F15380"/>
    <w:rsid w:val="00F15BAB"/>
    <w:rsid w:val="00F23676"/>
    <w:rsid w:val="00F30E9D"/>
    <w:rsid w:val="00F33A55"/>
    <w:rsid w:val="00F35482"/>
    <w:rsid w:val="00F3798D"/>
    <w:rsid w:val="00F4268F"/>
    <w:rsid w:val="00F44804"/>
    <w:rsid w:val="00F44CE2"/>
    <w:rsid w:val="00F50501"/>
    <w:rsid w:val="00F5287F"/>
    <w:rsid w:val="00F53AA3"/>
    <w:rsid w:val="00F5669A"/>
    <w:rsid w:val="00F56A03"/>
    <w:rsid w:val="00F56B80"/>
    <w:rsid w:val="00F56C88"/>
    <w:rsid w:val="00F65E13"/>
    <w:rsid w:val="00F66EE0"/>
    <w:rsid w:val="00F7015C"/>
    <w:rsid w:val="00F7287B"/>
    <w:rsid w:val="00F76490"/>
    <w:rsid w:val="00F821D1"/>
    <w:rsid w:val="00F83E5B"/>
    <w:rsid w:val="00F87084"/>
    <w:rsid w:val="00F922D3"/>
    <w:rsid w:val="00F97849"/>
    <w:rsid w:val="00FA2E96"/>
    <w:rsid w:val="00FB02D7"/>
    <w:rsid w:val="00FB09A9"/>
    <w:rsid w:val="00FC14FC"/>
    <w:rsid w:val="00FC35EA"/>
    <w:rsid w:val="00FC3A9B"/>
    <w:rsid w:val="00FD0DFA"/>
    <w:rsid w:val="00FD106C"/>
    <w:rsid w:val="00FE262B"/>
    <w:rsid w:val="00FE2A37"/>
    <w:rsid w:val="00FE388E"/>
    <w:rsid w:val="00FE6659"/>
    <w:rsid w:val="00FF0729"/>
    <w:rsid w:val="00FF0871"/>
    <w:rsid w:val="00FF1FB9"/>
    <w:rsid w:val="00FF26E8"/>
    <w:rsid w:val="00FF4A54"/>
    <w:rsid w:val="011548DE"/>
    <w:rsid w:val="011A68BE"/>
    <w:rsid w:val="01CADD91"/>
    <w:rsid w:val="01CE745E"/>
    <w:rsid w:val="02A9A253"/>
    <w:rsid w:val="02D5E6B5"/>
    <w:rsid w:val="03C8239F"/>
    <w:rsid w:val="04265C3A"/>
    <w:rsid w:val="0448446E"/>
    <w:rsid w:val="04528271"/>
    <w:rsid w:val="04694B40"/>
    <w:rsid w:val="04C89B00"/>
    <w:rsid w:val="05146850"/>
    <w:rsid w:val="055C07D3"/>
    <w:rsid w:val="05600D6E"/>
    <w:rsid w:val="05A33ED2"/>
    <w:rsid w:val="05C8B0C8"/>
    <w:rsid w:val="05E238A7"/>
    <w:rsid w:val="060E9D2E"/>
    <w:rsid w:val="077562A6"/>
    <w:rsid w:val="0778B88A"/>
    <w:rsid w:val="077B02AC"/>
    <w:rsid w:val="077E1DA5"/>
    <w:rsid w:val="07C7BA91"/>
    <w:rsid w:val="0879B3FB"/>
    <w:rsid w:val="087F062F"/>
    <w:rsid w:val="090B5600"/>
    <w:rsid w:val="090E9AC7"/>
    <w:rsid w:val="092032E2"/>
    <w:rsid w:val="0951CC2B"/>
    <w:rsid w:val="0955A373"/>
    <w:rsid w:val="0956F5DD"/>
    <w:rsid w:val="0972BD33"/>
    <w:rsid w:val="0980B39C"/>
    <w:rsid w:val="09AA87E1"/>
    <w:rsid w:val="09D29C1B"/>
    <w:rsid w:val="0A84529B"/>
    <w:rsid w:val="0AE3EDF2"/>
    <w:rsid w:val="0B034C40"/>
    <w:rsid w:val="0B95EF1D"/>
    <w:rsid w:val="0B9D8BDA"/>
    <w:rsid w:val="0C0EC2A2"/>
    <w:rsid w:val="0C684FD4"/>
    <w:rsid w:val="0CEF87B5"/>
    <w:rsid w:val="0D09FBEB"/>
    <w:rsid w:val="0D93C685"/>
    <w:rsid w:val="0DC7B4F2"/>
    <w:rsid w:val="0E11D446"/>
    <w:rsid w:val="0EB5DA0E"/>
    <w:rsid w:val="0F713165"/>
    <w:rsid w:val="0F9734DF"/>
    <w:rsid w:val="0FE1BD2F"/>
    <w:rsid w:val="101834C8"/>
    <w:rsid w:val="105F74DE"/>
    <w:rsid w:val="109D5849"/>
    <w:rsid w:val="10C4AF2C"/>
    <w:rsid w:val="110C1DBF"/>
    <w:rsid w:val="11310579"/>
    <w:rsid w:val="114CCC1B"/>
    <w:rsid w:val="1155CFF2"/>
    <w:rsid w:val="125170E6"/>
    <w:rsid w:val="12771BEA"/>
    <w:rsid w:val="127728BF"/>
    <w:rsid w:val="12B73AA3"/>
    <w:rsid w:val="12E50873"/>
    <w:rsid w:val="1319CD0B"/>
    <w:rsid w:val="1332302B"/>
    <w:rsid w:val="138E45AD"/>
    <w:rsid w:val="13959982"/>
    <w:rsid w:val="13AA8862"/>
    <w:rsid w:val="14044A0A"/>
    <w:rsid w:val="144E5447"/>
    <w:rsid w:val="1453AA8E"/>
    <w:rsid w:val="14569C4B"/>
    <w:rsid w:val="1469AEE0"/>
    <w:rsid w:val="1490DCB2"/>
    <w:rsid w:val="14EFFA4F"/>
    <w:rsid w:val="14F24EA1"/>
    <w:rsid w:val="1556F480"/>
    <w:rsid w:val="15F2B8A4"/>
    <w:rsid w:val="162E7D43"/>
    <w:rsid w:val="1639C344"/>
    <w:rsid w:val="165C2787"/>
    <w:rsid w:val="169CB005"/>
    <w:rsid w:val="16E726E0"/>
    <w:rsid w:val="1772B423"/>
    <w:rsid w:val="17A1AEC1"/>
    <w:rsid w:val="17BEFD52"/>
    <w:rsid w:val="1853643F"/>
    <w:rsid w:val="185FF68E"/>
    <w:rsid w:val="18EBE33E"/>
    <w:rsid w:val="191BDE53"/>
    <w:rsid w:val="1924C5C9"/>
    <w:rsid w:val="19504E5A"/>
    <w:rsid w:val="198B0EF6"/>
    <w:rsid w:val="198F8093"/>
    <w:rsid w:val="19D2D417"/>
    <w:rsid w:val="1A8CEE29"/>
    <w:rsid w:val="1AC4D9AF"/>
    <w:rsid w:val="1AE75AB6"/>
    <w:rsid w:val="1B0C673D"/>
    <w:rsid w:val="1B5F99CF"/>
    <w:rsid w:val="1BA7069E"/>
    <w:rsid w:val="1BCDF8B6"/>
    <w:rsid w:val="1BDB5EE8"/>
    <w:rsid w:val="1BDFE6B6"/>
    <w:rsid w:val="1C295E42"/>
    <w:rsid w:val="1C4764A3"/>
    <w:rsid w:val="1C818315"/>
    <w:rsid w:val="1C946F38"/>
    <w:rsid w:val="1D12560F"/>
    <w:rsid w:val="1D3BE77C"/>
    <w:rsid w:val="1D6AF900"/>
    <w:rsid w:val="1DD94A87"/>
    <w:rsid w:val="1ECB6A61"/>
    <w:rsid w:val="1F033A16"/>
    <w:rsid w:val="1F52D53C"/>
    <w:rsid w:val="1F637744"/>
    <w:rsid w:val="1FCEBD46"/>
    <w:rsid w:val="1FDE783D"/>
    <w:rsid w:val="1FFD25BC"/>
    <w:rsid w:val="206A61F0"/>
    <w:rsid w:val="2081470A"/>
    <w:rsid w:val="208F8024"/>
    <w:rsid w:val="209500BD"/>
    <w:rsid w:val="20990B4F"/>
    <w:rsid w:val="20ED1464"/>
    <w:rsid w:val="212BBB8F"/>
    <w:rsid w:val="217F9E2F"/>
    <w:rsid w:val="218BAD7B"/>
    <w:rsid w:val="21DBAE0A"/>
    <w:rsid w:val="21ED6004"/>
    <w:rsid w:val="22030B23"/>
    <w:rsid w:val="22B8860D"/>
    <w:rsid w:val="2397E781"/>
    <w:rsid w:val="2418E965"/>
    <w:rsid w:val="2423B62A"/>
    <w:rsid w:val="247880CC"/>
    <w:rsid w:val="248B53F4"/>
    <w:rsid w:val="24DAA30E"/>
    <w:rsid w:val="252E6362"/>
    <w:rsid w:val="2562D99E"/>
    <w:rsid w:val="2566237E"/>
    <w:rsid w:val="256918D1"/>
    <w:rsid w:val="25D4B4E9"/>
    <w:rsid w:val="25EDB244"/>
    <w:rsid w:val="25F8D534"/>
    <w:rsid w:val="261F008B"/>
    <w:rsid w:val="263E8CCD"/>
    <w:rsid w:val="26607399"/>
    <w:rsid w:val="26B12374"/>
    <w:rsid w:val="270167FB"/>
    <w:rsid w:val="27026A6A"/>
    <w:rsid w:val="27175EF9"/>
    <w:rsid w:val="275CC407"/>
    <w:rsid w:val="276A8D5F"/>
    <w:rsid w:val="27A52FF0"/>
    <w:rsid w:val="27D805B5"/>
    <w:rsid w:val="28B2909E"/>
    <w:rsid w:val="28D5432F"/>
    <w:rsid w:val="2985DD2A"/>
    <w:rsid w:val="2A17CAE8"/>
    <w:rsid w:val="2AF02CF9"/>
    <w:rsid w:val="2B01DFFB"/>
    <w:rsid w:val="2B497544"/>
    <w:rsid w:val="2BD85A55"/>
    <w:rsid w:val="2BEB8EA3"/>
    <w:rsid w:val="2BFB9C31"/>
    <w:rsid w:val="2C09BC53"/>
    <w:rsid w:val="2C26C004"/>
    <w:rsid w:val="2C78A113"/>
    <w:rsid w:val="2CFBAF3C"/>
    <w:rsid w:val="2D738A1C"/>
    <w:rsid w:val="2D7EA8BA"/>
    <w:rsid w:val="2DCD5723"/>
    <w:rsid w:val="2DEFCF65"/>
    <w:rsid w:val="2E3BBB74"/>
    <w:rsid w:val="2E8C575C"/>
    <w:rsid w:val="2EA57618"/>
    <w:rsid w:val="2F2202F1"/>
    <w:rsid w:val="2F2D6AE7"/>
    <w:rsid w:val="2F4698BD"/>
    <w:rsid w:val="2FE46F99"/>
    <w:rsid w:val="3013D038"/>
    <w:rsid w:val="30D9D119"/>
    <w:rsid w:val="311F9363"/>
    <w:rsid w:val="3132E9D9"/>
    <w:rsid w:val="31334E0C"/>
    <w:rsid w:val="3137DE92"/>
    <w:rsid w:val="31840ABB"/>
    <w:rsid w:val="3297881C"/>
    <w:rsid w:val="329B0119"/>
    <w:rsid w:val="3381FC81"/>
    <w:rsid w:val="33DAE222"/>
    <w:rsid w:val="33E2BA5D"/>
    <w:rsid w:val="33E44382"/>
    <w:rsid w:val="33EBE8DB"/>
    <w:rsid w:val="349C653F"/>
    <w:rsid w:val="3558BD35"/>
    <w:rsid w:val="36065AFC"/>
    <w:rsid w:val="361CDDCC"/>
    <w:rsid w:val="363EF0B2"/>
    <w:rsid w:val="3644229B"/>
    <w:rsid w:val="368CDCE4"/>
    <w:rsid w:val="36B2D520"/>
    <w:rsid w:val="36B5536C"/>
    <w:rsid w:val="37197CCF"/>
    <w:rsid w:val="3768E089"/>
    <w:rsid w:val="37C97F94"/>
    <w:rsid w:val="37D132CF"/>
    <w:rsid w:val="380ECFEF"/>
    <w:rsid w:val="3853CA48"/>
    <w:rsid w:val="38725908"/>
    <w:rsid w:val="3898E095"/>
    <w:rsid w:val="38F71A26"/>
    <w:rsid w:val="3936D865"/>
    <w:rsid w:val="3A2C2E58"/>
    <w:rsid w:val="3A612A73"/>
    <w:rsid w:val="3B3F1F5F"/>
    <w:rsid w:val="3B824909"/>
    <w:rsid w:val="3BC7FEB9"/>
    <w:rsid w:val="3BE8F2F7"/>
    <w:rsid w:val="3BF29E5B"/>
    <w:rsid w:val="3C1073C5"/>
    <w:rsid w:val="3C1CBEBB"/>
    <w:rsid w:val="3C3C00CF"/>
    <w:rsid w:val="3C3F614A"/>
    <w:rsid w:val="3C520223"/>
    <w:rsid w:val="3CC62362"/>
    <w:rsid w:val="3CCE124B"/>
    <w:rsid w:val="3CDAEFC0"/>
    <w:rsid w:val="3CF9B2DF"/>
    <w:rsid w:val="3D06E9CD"/>
    <w:rsid w:val="3D730A2C"/>
    <w:rsid w:val="3DAB0006"/>
    <w:rsid w:val="3DAFF54F"/>
    <w:rsid w:val="3DDAA464"/>
    <w:rsid w:val="3E15B871"/>
    <w:rsid w:val="3E569C1C"/>
    <w:rsid w:val="3E5AD21B"/>
    <w:rsid w:val="3EFF9B7E"/>
    <w:rsid w:val="3F2C01EE"/>
    <w:rsid w:val="3F40D332"/>
    <w:rsid w:val="3F7E3A5F"/>
    <w:rsid w:val="40162856"/>
    <w:rsid w:val="40734516"/>
    <w:rsid w:val="4088AE68"/>
    <w:rsid w:val="40985C25"/>
    <w:rsid w:val="40A06008"/>
    <w:rsid w:val="40A723A7"/>
    <w:rsid w:val="410684F4"/>
    <w:rsid w:val="4131EB41"/>
    <w:rsid w:val="4172DDA6"/>
    <w:rsid w:val="4196BB69"/>
    <w:rsid w:val="42AE8813"/>
    <w:rsid w:val="42CEC3F5"/>
    <w:rsid w:val="43248057"/>
    <w:rsid w:val="436E1994"/>
    <w:rsid w:val="43FFF41F"/>
    <w:rsid w:val="441C1C74"/>
    <w:rsid w:val="444AF247"/>
    <w:rsid w:val="444EE680"/>
    <w:rsid w:val="44ADAB34"/>
    <w:rsid w:val="44D14391"/>
    <w:rsid w:val="44D5C7E0"/>
    <w:rsid w:val="4595E18C"/>
    <w:rsid w:val="45DAB5F4"/>
    <w:rsid w:val="4603B730"/>
    <w:rsid w:val="461A1D58"/>
    <w:rsid w:val="47179F59"/>
    <w:rsid w:val="47523368"/>
    <w:rsid w:val="475541E8"/>
    <w:rsid w:val="4783112A"/>
    <w:rsid w:val="47D9740A"/>
    <w:rsid w:val="481B9F24"/>
    <w:rsid w:val="48278651"/>
    <w:rsid w:val="48499F66"/>
    <w:rsid w:val="4849AE7A"/>
    <w:rsid w:val="486A3854"/>
    <w:rsid w:val="48B0E6D7"/>
    <w:rsid w:val="48C68ADA"/>
    <w:rsid w:val="49220933"/>
    <w:rsid w:val="4926F2D8"/>
    <w:rsid w:val="497842F0"/>
    <w:rsid w:val="49EFF551"/>
    <w:rsid w:val="4A9A8327"/>
    <w:rsid w:val="4AE8BCE8"/>
    <w:rsid w:val="4B0548E1"/>
    <w:rsid w:val="4B05A2AF"/>
    <w:rsid w:val="4B416434"/>
    <w:rsid w:val="4B5FF1E1"/>
    <w:rsid w:val="4B9CCFAF"/>
    <w:rsid w:val="4C38616B"/>
    <w:rsid w:val="4CDB94EA"/>
    <w:rsid w:val="4D074915"/>
    <w:rsid w:val="4D665AE0"/>
    <w:rsid w:val="4E205DAA"/>
    <w:rsid w:val="4E6156F3"/>
    <w:rsid w:val="4F1C4A85"/>
    <w:rsid w:val="4F4062E7"/>
    <w:rsid w:val="4FB35BA0"/>
    <w:rsid w:val="5044C4EE"/>
    <w:rsid w:val="50835784"/>
    <w:rsid w:val="5130CA07"/>
    <w:rsid w:val="51A8E05B"/>
    <w:rsid w:val="51D99B7E"/>
    <w:rsid w:val="51F9FC91"/>
    <w:rsid w:val="51FD9A65"/>
    <w:rsid w:val="5205A24E"/>
    <w:rsid w:val="52117D7B"/>
    <w:rsid w:val="525C5A0A"/>
    <w:rsid w:val="5261D2E1"/>
    <w:rsid w:val="52783C80"/>
    <w:rsid w:val="5283E711"/>
    <w:rsid w:val="52CB3541"/>
    <w:rsid w:val="52EEB92C"/>
    <w:rsid w:val="530ED640"/>
    <w:rsid w:val="534F6F18"/>
    <w:rsid w:val="53684294"/>
    <w:rsid w:val="53D59C64"/>
    <w:rsid w:val="54296086"/>
    <w:rsid w:val="542EC48A"/>
    <w:rsid w:val="543198F5"/>
    <w:rsid w:val="544ACF33"/>
    <w:rsid w:val="54541599"/>
    <w:rsid w:val="54DC7B8E"/>
    <w:rsid w:val="550BA3CA"/>
    <w:rsid w:val="556AC4C3"/>
    <w:rsid w:val="558C9E45"/>
    <w:rsid w:val="55F92A68"/>
    <w:rsid w:val="5602E580"/>
    <w:rsid w:val="5629A5A5"/>
    <w:rsid w:val="569676FA"/>
    <w:rsid w:val="56B17C70"/>
    <w:rsid w:val="56B2D21D"/>
    <w:rsid w:val="56EAB4EB"/>
    <w:rsid w:val="570BFF68"/>
    <w:rsid w:val="570D3D26"/>
    <w:rsid w:val="5717E2CE"/>
    <w:rsid w:val="572F3383"/>
    <w:rsid w:val="57D838C0"/>
    <w:rsid w:val="57DE1166"/>
    <w:rsid w:val="582882CE"/>
    <w:rsid w:val="589A4FA9"/>
    <w:rsid w:val="58D38496"/>
    <w:rsid w:val="58D786A6"/>
    <w:rsid w:val="58E765D6"/>
    <w:rsid w:val="59100CFB"/>
    <w:rsid w:val="597FE1A0"/>
    <w:rsid w:val="59E2084B"/>
    <w:rsid w:val="59F6921C"/>
    <w:rsid w:val="5A44E324"/>
    <w:rsid w:val="5A585580"/>
    <w:rsid w:val="5AE51796"/>
    <w:rsid w:val="5AF4C28A"/>
    <w:rsid w:val="5B636AFF"/>
    <w:rsid w:val="5BD43D15"/>
    <w:rsid w:val="5BFFE178"/>
    <w:rsid w:val="5C7E2FB8"/>
    <w:rsid w:val="5C96E22E"/>
    <w:rsid w:val="5CB5B886"/>
    <w:rsid w:val="5CEC75F3"/>
    <w:rsid w:val="5D0378AE"/>
    <w:rsid w:val="5D088CB6"/>
    <w:rsid w:val="5D6251D3"/>
    <w:rsid w:val="5D66649B"/>
    <w:rsid w:val="5D87FBF3"/>
    <w:rsid w:val="5D8F4834"/>
    <w:rsid w:val="5DA6FA9F"/>
    <w:rsid w:val="5E2D297C"/>
    <w:rsid w:val="5E5100B2"/>
    <w:rsid w:val="5E7FF54D"/>
    <w:rsid w:val="60402C8D"/>
    <w:rsid w:val="60F2C4B4"/>
    <w:rsid w:val="6114FF4E"/>
    <w:rsid w:val="611C4E2B"/>
    <w:rsid w:val="61404BC8"/>
    <w:rsid w:val="615DA79D"/>
    <w:rsid w:val="61A6E5F3"/>
    <w:rsid w:val="61CFD0C5"/>
    <w:rsid w:val="625DD020"/>
    <w:rsid w:val="627CEC9C"/>
    <w:rsid w:val="627DE64C"/>
    <w:rsid w:val="629DB44C"/>
    <w:rsid w:val="62ADC38D"/>
    <w:rsid w:val="62C219DC"/>
    <w:rsid w:val="63182313"/>
    <w:rsid w:val="632D27BC"/>
    <w:rsid w:val="6345AF8A"/>
    <w:rsid w:val="634DDB9C"/>
    <w:rsid w:val="634EA34D"/>
    <w:rsid w:val="63C313AF"/>
    <w:rsid w:val="646DA7A6"/>
    <w:rsid w:val="64B6D3A6"/>
    <w:rsid w:val="65098935"/>
    <w:rsid w:val="65C99B76"/>
    <w:rsid w:val="65E32EA2"/>
    <w:rsid w:val="65FE7802"/>
    <w:rsid w:val="664EB3A2"/>
    <w:rsid w:val="666AC652"/>
    <w:rsid w:val="6710E8A0"/>
    <w:rsid w:val="671B85AC"/>
    <w:rsid w:val="67231E5B"/>
    <w:rsid w:val="67543545"/>
    <w:rsid w:val="67BCE0AE"/>
    <w:rsid w:val="67D257B0"/>
    <w:rsid w:val="67FFB2C0"/>
    <w:rsid w:val="683863B5"/>
    <w:rsid w:val="68395E27"/>
    <w:rsid w:val="683E460E"/>
    <w:rsid w:val="684C2AC7"/>
    <w:rsid w:val="686714E2"/>
    <w:rsid w:val="68BFDF21"/>
    <w:rsid w:val="6984BE1F"/>
    <w:rsid w:val="69DB174A"/>
    <w:rsid w:val="69E5AB29"/>
    <w:rsid w:val="6A1F6582"/>
    <w:rsid w:val="6A3C810D"/>
    <w:rsid w:val="6AC50208"/>
    <w:rsid w:val="6ACEB438"/>
    <w:rsid w:val="6AFA9511"/>
    <w:rsid w:val="6B544F06"/>
    <w:rsid w:val="6B768FA5"/>
    <w:rsid w:val="6BE9C748"/>
    <w:rsid w:val="6C271DC6"/>
    <w:rsid w:val="6C4B659C"/>
    <w:rsid w:val="6C8CE710"/>
    <w:rsid w:val="6C9F9585"/>
    <w:rsid w:val="6DF52BB8"/>
    <w:rsid w:val="6E01FF81"/>
    <w:rsid w:val="6E075722"/>
    <w:rsid w:val="6E12F49E"/>
    <w:rsid w:val="6E1A732E"/>
    <w:rsid w:val="6E4C1B9F"/>
    <w:rsid w:val="6E8082BE"/>
    <w:rsid w:val="6F4B103A"/>
    <w:rsid w:val="6FF8C59C"/>
    <w:rsid w:val="705EFCC7"/>
    <w:rsid w:val="709646E8"/>
    <w:rsid w:val="70ED1884"/>
    <w:rsid w:val="71363812"/>
    <w:rsid w:val="715827DE"/>
    <w:rsid w:val="71605976"/>
    <w:rsid w:val="71959458"/>
    <w:rsid w:val="71C8F780"/>
    <w:rsid w:val="71EBCC0D"/>
    <w:rsid w:val="7212C72F"/>
    <w:rsid w:val="72313E63"/>
    <w:rsid w:val="723597D5"/>
    <w:rsid w:val="72DAD8D9"/>
    <w:rsid w:val="7314C5F4"/>
    <w:rsid w:val="7319218B"/>
    <w:rsid w:val="736EDA4D"/>
    <w:rsid w:val="7383EE0D"/>
    <w:rsid w:val="739354A8"/>
    <w:rsid w:val="7398F816"/>
    <w:rsid w:val="73EED857"/>
    <w:rsid w:val="7444C139"/>
    <w:rsid w:val="74BC6982"/>
    <w:rsid w:val="7519562C"/>
    <w:rsid w:val="751E0D4E"/>
    <w:rsid w:val="753BB226"/>
    <w:rsid w:val="75919010"/>
    <w:rsid w:val="75B24E61"/>
    <w:rsid w:val="763985BA"/>
    <w:rsid w:val="7690F642"/>
    <w:rsid w:val="76D927B3"/>
    <w:rsid w:val="76FAF6D6"/>
    <w:rsid w:val="774B3449"/>
    <w:rsid w:val="784B7898"/>
    <w:rsid w:val="784E09B9"/>
    <w:rsid w:val="7880AB41"/>
    <w:rsid w:val="7881648D"/>
    <w:rsid w:val="7886521C"/>
    <w:rsid w:val="79296D84"/>
    <w:rsid w:val="793D13DF"/>
    <w:rsid w:val="796FB26A"/>
    <w:rsid w:val="798FB21C"/>
    <w:rsid w:val="799B9AFA"/>
    <w:rsid w:val="79A5D0C3"/>
    <w:rsid w:val="79DEC611"/>
    <w:rsid w:val="79DF60C1"/>
    <w:rsid w:val="79E748F9"/>
    <w:rsid w:val="7A021979"/>
    <w:rsid w:val="7A3D6AED"/>
    <w:rsid w:val="7A4403FE"/>
    <w:rsid w:val="7AE6B994"/>
    <w:rsid w:val="7AF1FE35"/>
    <w:rsid w:val="7AF3A3A3"/>
    <w:rsid w:val="7B82B50A"/>
    <w:rsid w:val="7B9AB28A"/>
    <w:rsid w:val="7BA7F7B8"/>
    <w:rsid w:val="7BABCEFE"/>
    <w:rsid w:val="7C08DAF5"/>
    <w:rsid w:val="7C5172A6"/>
    <w:rsid w:val="7CB3A9CC"/>
    <w:rsid w:val="7CBD536F"/>
    <w:rsid w:val="7CC8D8B8"/>
    <w:rsid w:val="7D12DED3"/>
    <w:rsid w:val="7D26649F"/>
    <w:rsid w:val="7D35DA82"/>
    <w:rsid w:val="7DBC916A"/>
    <w:rsid w:val="7DEE6CFF"/>
    <w:rsid w:val="7E7C2DD3"/>
    <w:rsid w:val="7F464839"/>
    <w:rsid w:val="7F5990BB"/>
    <w:rsid w:val="7F605897"/>
    <w:rsid w:val="7F767C55"/>
    <w:rsid w:val="7FC71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55C2E"/>
  <w15:chartTrackingRefBased/>
  <w15:docId w15:val="{55B379EE-DADD-479C-84C1-F6C19625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00CF"/>
    <w:rPr>
      <w:rFonts w:ascii="Arial" w:hAnsi="Arial"/>
    </w:rPr>
  </w:style>
  <w:style w:type="paragraph" w:styleId="Heading1">
    <w:name w:val="heading 1"/>
    <w:basedOn w:val="Normal"/>
    <w:next w:val="Normal"/>
    <w:link w:val="Heading1Char"/>
    <w:uiPriority w:val="9"/>
    <w:qFormat/>
    <w:rsid w:val="00982B55"/>
    <w:pPr>
      <w:keepNext/>
      <w:keepLines/>
      <w:spacing w:before="24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1F34D1"/>
    <w:pPr>
      <w:keepNext/>
      <w:keepLines/>
      <w:spacing w:before="40"/>
      <w:outlineLvl w:val="1"/>
    </w:pPr>
    <w:rPr>
      <w:rFonts w:ascii="Arial Bold" w:hAnsi="Arial Bold" w:eastAsiaTheme="majorEastAsia" w:cstheme="majorBidi"/>
      <w:b/>
      <w:cap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3421A"/>
    <w:pPr>
      <w:contextualSpacing/>
      <w:jc w:val="center"/>
    </w:pPr>
    <w:rPr>
      <w:rFonts w:eastAsiaTheme="majorEastAsia" w:cstheme="majorBidi"/>
      <w:b/>
      <w:caps/>
      <w:spacing w:val="-10"/>
      <w:kern w:val="28"/>
      <w:sz w:val="56"/>
      <w:szCs w:val="56"/>
    </w:rPr>
  </w:style>
  <w:style w:type="character" w:styleId="TitleChar" w:customStyle="1">
    <w:name w:val="Title Char"/>
    <w:basedOn w:val="DefaultParagraphFont"/>
    <w:link w:val="Title"/>
    <w:uiPriority w:val="10"/>
    <w:rsid w:val="00E3421A"/>
    <w:rPr>
      <w:rFonts w:ascii="Arial" w:hAnsi="Arial" w:eastAsiaTheme="majorEastAsia" w:cstheme="majorBidi"/>
      <w:b/>
      <w:caps/>
      <w:spacing w:val="-10"/>
      <w:kern w:val="28"/>
      <w:sz w:val="56"/>
      <w:szCs w:val="56"/>
    </w:rPr>
  </w:style>
  <w:style w:type="character" w:styleId="Heading1Char" w:customStyle="1">
    <w:name w:val="Heading 1 Char"/>
    <w:basedOn w:val="DefaultParagraphFont"/>
    <w:link w:val="Heading1"/>
    <w:uiPriority w:val="9"/>
    <w:rsid w:val="00982B55"/>
    <w:rPr>
      <w:rFonts w:ascii="Arial" w:hAnsi="Arial" w:eastAsiaTheme="majorEastAsia" w:cstheme="majorBidi"/>
      <w:b/>
      <w:caps/>
      <w:sz w:val="32"/>
      <w:szCs w:val="32"/>
    </w:rPr>
  </w:style>
  <w:style w:type="paragraph" w:styleId="Question" w:customStyle="1">
    <w:name w:val="Question"/>
    <w:basedOn w:val="ListNumber"/>
    <w:qFormat/>
    <w:rsid w:val="00982B55"/>
  </w:style>
  <w:style w:type="paragraph" w:styleId="Header">
    <w:name w:val="header"/>
    <w:basedOn w:val="Normal"/>
    <w:link w:val="HeaderChar"/>
    <w:uiPriority w:val="99"/>
    <w:unhideWhenUsed/>
    <w:rsid w:val="00E3421A"/>
    <w:pPr>
      <w:tabs>
        <w:tab w:val="center" w:pos="4680"/>
        <w:tab w:val="right" w:pos="9360"/>
      </w:tabs>
    </w:pPr>
  </w:style>
  <w:style w:type="paragraph" w:styleId="ListNumber">
    <w:name w:val="List Number"/>
    <w:basedOn w:val="Normal"/>
    <w:uiPriority w:val="99"/>
    <w:semiHidden/>
    <w:unhideWhenUsed/>
    <w:rsid w:val="00982B55"/>
    <w:pPr>
      <w:numPr>
        <w:numId w:val="1"/>
      </w:numPr>
      <w:contextualSpacing/>
    </w:pPr>
  </w:style>
  <w:style w:type="character" w:styleId="HeaderChar" w:customStyle="1">
    <w:name w:val="Header Char"/>
    <w:basedOn w:val="DefaultParagraphFont"/>
    <w:link w:val="Header"/>
    <w:uiPriority w:val="99"/>
    <w:rsid w:val="00E3421A"/>
    <w:rPr>
      <w:rFonts w:ascii="Arial" w:hAnsi="Arial"/>
    </w:rPr>
  </w:style>
  <w:style w:type="paragraph" w:styleId="Footer">
    <w:name w:val="footer"/>
    <w:basedOn w:val="Normal"/>
    <w:link w:val="FooterChar"/>
    <w:uiPriority w:val="99"/>
    <w:unhideWhenUsed/>
    <w:rsid w:val="00E3421A"/>
    <w:pPr>
      <w:tabs>
        <w:tab w:val="center" w:pos="4680"/>
        <w:tab w:val="right" w:pos="9360"/>
      </w:tabs>
    </w:pPr>
  </w:style>
  <w:style w:type="character" w:styleId="FooterChar" w:customStyle="1">
    <w:name w:val="Footer Char"/>
    <w:basedOn w:val="DefaultParagraphFont"/>
    <w:link w:val="Footer"/>
    <w:uiPriority w:val="99"/>
    <w:rsid w:val="00E3421A"/>
    <w:rPr>
      <w:rFonts w:ascii="Arial" w:hAnsi="Arial"/>
    </w:rPr>
  </w:style>
  <w:style w:type="paragraph" w:styleId="Subtitle">
    <w:name w:val="Subtitle"/>
    <w:basedOn w:val="Normal"/>
    <w:next w:val="Normal"/>
    <w:link w:val="SubtitleChar"/>
    <w:uiPriority w:val="11"/>
    <w:qFormat/>
    <w:rsid w:val="00E3421A"/>
    <w:pPr>
      <w:numPr>
        <w:ilvl w:val="1"/>
      </w:numPr>
      <w:spacing w:after="160"/>
      <w:jc w:val="center"/>
    </w:pPr>
    <w:rPr>
      <w:rFonts w:eastAsiaTheme="minorEastAsia"/>
      <w:caps/>
      <w:spacing w:val="15"/>
      <w:sz w:val="28"/>
    </w:rPr>
  </w:style>
  <w:style w:type="character" w:styleId="SubtitleChar" w:customStyle="1">
    <w:name w:val="Subtitle Char"/>
    <w:basedOn w:val="DefaultParagraphFont"/>
    <w:link w:val="Subtitle"/>
    <w:uiPriority w:val="11"/>
    <w:rsid w:val="00E3421A"/>
    <w:rPr>
      <w:rFonts w:ascii="Arial" w:hAnsi="Arial" w:eastAsiaTheme="minorEastAsia"/>
      <w:caps/>
      <w:spacing w:val="15"/>
      <w:sz w:val="28"/>
    </w:rPr>
  </w:style>
  <w:style w:type="paragraph" w:styleId="TOCHeading">
    <w:name w:val="TOC Heading"/>
    <w:basedOn w:val="Heading1"/>
    <w:next w:val="Normal"/>
    <w:uiPriority w:val="39"/>
    <w:unhideWhenUsed/>
    <w:qFormat/>
    <w:rsid w:val="00A369BC"/>
    <w:pPr>
      <w:spacing w:line="259" w:lineRule="auto"/>
      <w:outlineLvl w:val="9"/>
    </w:pPr>
    <w:rPr>
      <w:rFonts w:asciiTheme="majorHAnsi" w:hAnsiTheme="majorHAnsi"/>
      <w:b w:val="0"/>
      <w:caps w:val="0"/>
      <w:color w:val="2F5496" w:themeColor="accent1" w:themeShade="BF"/>
    </w:rPr>
  </w:style>
  <w:style w:type="paragraph" w:styleId="ListParagraph">
    <w:name w:val="List Paragraph"/>
    <w:basedOn w:val="Normal"/>
    <w:uiPriority w:val="34"/>
    <w:qFormat/>
    <w:rsid w:val="00A369BC"/>
    <w:pPr>
      <w:ind w:left="720"/>
      <w:contextualSpacing/>
    </w:pPr>
  </w:style>
  <w:style w:type="paragraph" w:styleId="TOC1">
    <w:name w:val="toc 1"/>
    <w:basedOn w:val="Normal"/>
    <w:next w:val="Normal"/>
    <w:autoRedefine/>
    <w:uiPriority w:val="39"/>
    <w:unhideWhenUsed/>
    <w:rsid w:val="00C52CDE"/>
    <w:pPr>
      <w:spacing w:after="100"/>
    </w:pPr>
  </w:style>
  <w:style w:type="character" w:styleId="Hyperlink">
    <w:name w:val="Hyperlink"/>
    <w:basedOn w:val="DefaultParagraphFont"/>
    <w:uiPriority w:val="99"/>
    <w:unhideWhenUsed/>
    <w:rsid w:val="00C52CDE"/>
    <w:rPr>
      <w:color w:val="0563C1" w:themeColor="hyperlink"/>
      <w:u w:val="single"/>
    </w:rPr>
  </w:style>
  <w:style w:type="character" w:styleId="UnresolvedMention">
    <w:name w:val="Unresolved Mention"/>
    <w:basedOn w:val="DefaultParagraphFont"/>
    <w:uiPriority w:val="99"/>
    <w:semiHidden/>
    <w:unhideWhenUsed/>
    <w:rsid w:val="001F34D1"/>
    <w:rPr>
      <w:color w:val="605E5C"/>
      <w:shd w:val="clear" w:color="auto" w:fill="E1DFDD"/>
    </w:rPr>
  </w:style>
  <w:style w:type="character" w:styleId="Heading2Char" w:customStyle="1">
    <w:name w:val="Heading 2 Char"/>
    <w:basedOn w:val="DefaultParagraphFont"/>
    <w:link w:val="Heading2"/>
    <w:uiPriority w:val="9"/>
    <w:rsid w:val="001F34D1"/>
    <w:rPr>
      <w:rFonts w:ascii="Arial Bold" w:hAnsi="Arial Bold" w:eastAsiaTheme="majorEastAsia" w:cstheme="majorBidi"/>
      <w:b/>
      <w:caps/>
      <w:sz w:val="26"/>
      <w:szCs w:val="26"/>
    </w:rPr>
  </w:style>
  <w:style w:type="paragraph" w:styleId="TOC2">
    <w:name w:val="toc 2"/>
    <w:basedOn w:val="Normal"/>
    <w:next w:val="Normal"/>
    <w:autoRedefine/>
    <w:uiPriority w:val="39"/>
    <w:unhideWhenUsed/>
    <w:rsid w:val="00C6727B"/>
    <w:pPr>
      <w:spacing w:after="100"/>
      <w:ind w:left="240"/>
    </w:pPr>
  </w:style>
  <w:style w:type="character" w:styleId="CommentReference">
    <w:name w:val="annotation reference"/>
    <w:basedOn w:val="DefaultParagraphFont"/>
    <w:uiPriority w:val="99"/>
    <w:semiHidden/>
    <w:unhideWhenUsed/>
    <w:rsid w:val="00DB4742"/>
    <w:rPr>
      <w:sz w:val="16"/>
      <w:szCs w:val="16"/>
    </w:rPr>
  </w:style>
  <w:style w:type="paragraph" w:styleId="CommentText">
    <w:name w:val="annotation text"/>
    <w:basedOn w:val="Normal"/>
    <w:link w:val="CommentTextChar"/>
    <w:uiPriority w:val="99"/>
    <w:unhideWhenUsed/>
    <w:rsid w:val="00DB4742"/>
    <w:rPr>
      <w:sz w:val="20"/>
      <w:szCs w:val="20"/>
    </w:rPr>
  </w:style>
  <w:style w:type="character" w:styleId="CommentTextChar" w:customStyle="1">
    <w:name w:val="Comment Text Char"/>
    <w:basedOn w:val="DefaultParagraphFont"/>
    <w:link w:val="CommentText"/>
    <w:uiPriority w:val="99"/>
    <w:rsid w:val="00DB47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742"/>
    <w:rPr>
      <w:b/>
      <w:bCs/>
    </w:rPr>
  </w:style>
  <w:style w:type="character" w:styleId="CommentSubjectChar" w:customStyle="1">
    <w:name w:val="Comment Subject Char"/>
    <w:basedOn w:val="CommentTextChar"/>
    <w:link w:val="CommentSubject"/>
    <w:uiPriority w:val="99"/>
    <w:semiHidden/>
    <w:rsid w:val="00DB4742"/>
    <w:rPr>
      <w:rFonts w:ascii="Arial" w:hAnsi="Arial"/>
      <w:b/>
      <w:bCs/>
      <w:sz w:val="20"/>
      <w:szCs w:val="20"/>
    </w:rPr>
  </w:style>
  <w:style w:type="character" w:styleId="FollowedHyperlink">
    <w:name w:val="FollowedHyperlink"/>
    <w:basedOn w:val="DefaultParagraphFont"/>
    <w:uiPriority w:val="99"/>
    <w:semiHidden/>
    <w:unhideWhenUsed/>
    <w:rsid w:val="00296B9F"/>
    <w:rPr>
      <w:color w:val="954F72" w:themeColor="followedHyperlink"/>
      <w:u w:val="single"/>
    </w:rPr>
  </w:style>
  <w:style w:type="character" w:styleId="normaltextrun" w:customStyle="1">
    <w:name w:val="normaltextrun"/>
    <w:basedOn w:val="DefaultParagraphFont"/>
    <w:rsid w:val="000544C8"/>
  </w:style>
  <w:style w:type="character" w:styleId="eop" w:customStyle="1">
    <w:name w:val="eop"/>
    <w:basedOn w:val="DefaultParagraphFont"/>
    <w:rsid w:val="000544C8"/>
  </w:style>
  <w:style w:type="paragraph" w:styleId="Revision">
    <w:name w:val="Revision"/>
    <w:hidden/>
    <w:uiPriority w:val="99"/>
    <w:semiHidden/>
    <w:rsid w:val="009F7AD9"/>
    <w:rPr>
      <w:rFonts w:ascii="Arial" w:hAnsi="Arial"/>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semiHidden/>
    <w:unhideWhenUsed/>
    <w:qFormat/>
    <w:rsid w:val="007E6C75"/>
    <w:rPr>
      <w:sz w:val="20"/>
      <w:szCs w:val="20"/>
    </w:rPr>
  </w:style>
  <w:style w:type="character" w:styleId="FootnoteTextChar" w:customStyle="1">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semiHidden/>
    <w:rsid w:val="007E6C75"/>
    <w:rPr>
      <w:rFonts w:ascii="Arial" w:hAnsi="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semiHidden/>
    <w:unhideWhenUsed/>
    <w:qFormat/>
    <w:rsid w:val="007E6C75"/>
    <w:rPr>
      <w:vertAlign w:val="superscript"/>
    </w:rPr>
  </w:style>
  <w:style w:type="character" w:styleId="Mention">
    <w:name w:val="Mention"/>
    <w:basedOn w:val="DefaultParagraphFont"/>
    <w:uiPriority w:val="99"/>
    <w:unhideWhenUsed/>
    <w:rsid w:val="007716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6270">
      <w:bodyDiv w:val="1"/>
      <w:marLeft w:val="0"/>
      <w:marRight w:val="0"/>
      <w:marTop w:val="0"/>
      <w:marBottom w:val="0"/>
      <w:divBdr>
        <w:top w:val="none" w:sz="0" w:space="0" w:color="auto"/>
        <w:left w:val="none" w:sz="0" w:space="0" w:color="auto"/>
        <w:bottom w:val="none" w:sz="0" w:space="0" w:color="auto"/>
        <w:right w:val="none" w:sz="0" w:space="0" w:color="auto"/>
      </w:divBdr>
    </w:div>
    <w:div w:id="1163542656">
      <w:bodyDiv w:val="1"/>
      <w:marLeft w:val="0"/>
      <w:marRight w:val="0"/>
      <w:marTop w:val="0"/>
      <w:marBottom w:val="0"/>
      <w:divBdr>
        <w:top w:val="none" w:sz="0" w:space="0" w:color="auto"/>
        <w:left w:val="none" w:sz="0" w:space="0" w:color="auto"/>
        <w:bottom w:val="none" w:sz="0" w:space="0" w:color="auto"/>
        <w:right w:val="none" w:sz="0" w:space="0" w:color="auto"/>
      </w:divBdr>
    </w:div>
    <w:div w:id="19219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powerinnovation.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nt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4864" TargetMode="External"/><Relationship Id="rId5" Type="http://schemas.openxmlformats.org/officeDocument/2006/relationships/numbering" Target="numbering.xml"/><Relationship Id="rId15" Type="http://schemas.openxmlformats.org/officeDocument/2006/relationships/hyperlink" Target="https://www.energy.ca.gov/media/165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ites/default/files/2020-02/FPIP_Grant_TCs_ad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mrr-data" TargetMode="External"/><Relationship Id="rId1" Type="http://schemas.openxmlformats.org/officeDocument/2006/relationships/hyperlink" Target="https://leginfo.legislature.ca.gov/faces/billTextClient.xhtml?bill_id=202120220AB2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C0C80095-5CD7-4443-993E-3761877F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77885-06D9-4A07-B6FF-AFF9A7A518E6}">
  <ds:schemaRefs>
    <ds:schemaRef ds:uri="http://schemas.openxmlformats.org/officeDocument/2006/bibliography"/>
  </ds:schemaRefs>
</ds:datastoreItem>
</file>

<file path=customXml/itemProps3.xml><?xml version="1.0" encoding="utf-8"?>
<ds:datastoreItem xmlns:ds="http://schemas.openxmlformats.org/officeDocument/2006/customXml" ds:itemID="{9A12483D-D605-423F-9E92-3C2FA11CB33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7A6CF0E-CB2C-4EB1-8115-0942DCA4B0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Eleanor@Energy</dc:creator>
  <cp:keywords/>
  <dc:description/>
  <cp:lastModifiedBy>Oliver, Eleanor@Energy</cp:lastModifiedBy>
  <cp:revision>3</cp:revision>
  <dcterms:created xsi:type="dcterms:W3CDTF">2022-12-15T22:42:00Z</dcterms:created>
  <dcterms:modified xsi:type="dcterms:W3CDTF">2022-12-16T18:54:25Z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22b95f01-9f35-470f-aef6-1ced40db987e</vt:lpwstr>
  </property>
  <property fmtid="{D5CDD505-2E9C-101B-9397-08002B2CF9AE}" pid="3" name="ContentTypeId">
    <vt:lpwstr>0x01200010D29604AD6B754B983EAC81D842F07D</vt:lpwstr>
  </property>
  <property fmtid="{D5CDD505-2E9C-101B-9397-08002B2CF9AE}" pid="4" name="MediaServiceImageTags">
    <vt:lpwstr/>
  </property>
  <property fmtid="{D5CDD505-2E9C-101B-9397-08002B2CF9AE}" pid="5" name="Order">
    <vt:r8>49935000</vt:r8>
  </property>
  <property fmtid="{D5CDD505-2E9C-101B-9397-08002B2CF9AE}" pid="6" name="xd_Signature">
    <vt:bool>false</vt:bool>
  </property>
  <property fmtid="{D5CDD505-2E9C-101B-9397-08002B2CF9AE}" pid="7" name="SharedWithUsers">
    <vt:lpwstr/>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lcf76f155ced4ddcb4097134ff3c332f">
    <vt:lpwstr/>
  </property>
  <property fmtid="{D5CDD505-2E9C-101B-9397-08002B2CF9AE}" pid="13" name="TaxCatchAll">
    <vt:lpwstr/>
  </property>
</Properties>
</file>