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CE73" w14:textId="123819B3" w:rsidR="00154AC9" w:rsidRDefault="00FB410C" w:rsidP="009B342E">
      <w:pPr>
        <w:pStyle w:val="xmsonormal"/>
      </w:pPr>
      <w:r>
        <w:t xml:space="preserve"> </w:t>
      </w:r>
      <w:r>
        <w:tab/>
        <w:t xml:space="preserve"> </w:t>
      </w:r>
    </w:p>
    <w:p w14:paraId="72EDD25D" w14:textId="77777777" w:rsidR="00154AC9" w:rsidRPr="00FB410C" w:rsidRDefault="00154AC9" w:rsidP="00154AC9">
      <w:pPr>
        <w:keepLines/>
        <w:widowControl w:val="0"/>
        <w:jc w:val="center"/>
        <w:rPr>
          <w:rFonts w:ascii="Arial" w:hAnsi="Arial" w:cs="Arial"/>
          <w:sz w:val="28"/>
          <w:szCs w:val="28"/>
        </w:rPr>
      </w:pPr>
      <w:r w:rsidRPr="00FB410C">
        <w:rPr>
          <w:rFonts w:ascii="Arial" w:hAnsi="Arial" w:cs="Arial"/>
          <w:b/>
          <w:sz w:val="28"/>
          <w:szCs w:val="28"/>
        </w:rPr>
        <w:t>Questions and Answers</w:t>
      </w:r>
    </w:p>
    <w:p w14:paraId="28AC29A8" w14:textId="77777777" w:rsidR="00154AC9" w:rsidRPr="00FB410C" w:rsidRDefault="00154AC9" w:rsidP="00154AC9">
      <w:pPr>
        <w:keepLines/>
        <w:widowControl w:val="0"/>
        <w:jc w:val="center"/>
        <w:rPr>
          <w:rFonts w:ascii="Arial" w:hAnsi="Arial" w:cs="Arial"/>
          <w:b/>
          <w:sz w:val="28"/>
          <w:szCs w:val="28"/>
        </w:rPr>
      </w:pPr>
      <w:r w:rsidRPr="00FB410C">
        <w:rPr>
          <w:rFonts w:ascii="Arial" w:hAnsi="Arial" w:cs="Arial"/>
          <w:b/>
          <w:sz w:val="28"/>
          <w:szCs w:val="28"/>
        </w:rPr>
        <w:t>Interpretation and Translation Services</w:t>
      </w:r>
    </w:p>
    <w:p w14:paraId="6FC6CCD9" w14:textId="5453CBEF" w:rsidR="00154AC9" w:rsidRPr="00FB410C" w:rsidRDefault="00154AC9" w:rsidP="00154AC9">
      <w:pPr>
        <w:keepLines/>
        <w:widowControl w:val="0"/>
        <w:jc w:val="center"/>
        <w:rPr>
          <w:rFonts w:ascii="Arial" w:hAnsi="Arial" w:cs="Arial"/>
          <w:b/>
          <w:sz w:val="28"/>
          <w:szCs w:val="28"/>
        </w:rPr>
      </w:pPr>
      <w:r w:rsidRPr="00FB410C">
        <w:rPr>
          <w:rFonts w:ascii="Arial" w:hAnsi="Arial" w:cs="Arial"/>
          <w:b/>
          <w:sz w:val="28"/>
          <w:szCs w:val="28"/>
        </w:rPr>
        <w:t>IFB-</w:t>
      </w:r>
      <w:r w:rsidR="00DD501C" w:rsidRPr="00FB410C">
        <w:rPr>
          <w:rFonts w:ascii="Arial" w:hAnsi="Arial" w:cs="Arial"/>
          <w:b/>
          <w:sz w:val="28"/>
          <w:szCs w:val="28"/>
        </w:rPr>
        <w:t>22-40</w:t>
      </w:r>
      <w:r w:rsidR="00F85BC7" w:rsidRPr="00FB410C">
        <w:rPr>
          <w:rFonts w:ascii="Arial" w:hAnsi="Arial" w:cs="Arial"/>
          <w:b/>
          <w:sz w:val="28"/>
          <w:szCs w:val="28"/>
        </w:rPr>
        <w:t>2</w:t>
      </w:r>
      <w:r w:rsidR="00550DCD" w:rsidRPr="00FB410C">
        <w:rPr>
          <w:rFonts w:ascii="Arial" w:hAnsi="Arial" w:cs="Arial"/>
          <w:b/>
          <w:sz w:val="28"/>
          <w:szCs w:val="28"/>
        </w:rPr>
        <w:br/>
        <w:t>December 1</w:t>
      </w:r>
      <w:r w:rsidR="002D627E">
        <w:rPr>
          <w:rFonts w:ascii="Arial" w:hAnsi="Arial" w:cs="Arial"/>
          <w:b/>
          <w:sz w:val="28"/>
          <w:szCs w:val="28"/>
        </w:rPr>
        <w:t>6</w:t>
      </w:r>
      <w:r w:rsidR="00550DCD" w:rsidRPr="00FB410C">
        <w:rPr>
          <w:rFonts w:ascii="Arial" w:hAnsi="Arial" w:cs="Arial"/>
          <w:b/>
          <w:sz w:val="28"/>
          <w:szCs w:val="28"/>
        </w:rPr>
        <w:t>, 2022</w:t>
      </w:r>
    </w:p>
    <w:p w14:paraId="75A9233A" w14:textId="77777777" w:rsidR="00154AC9" w:rsidRPr="006713D2" w:rsidRDefault="00154AC9" w:rsidP="00154AC9">
      <w:pPr>
        <w:jc w:val="center"/>
        <w:rPr>
          <w:rFonts w:ascii="Arial" w:hAnsi="Arial" w:cs="Arial"/>
          <w:b/>
        </w:rPr>
      </w:pPr>
    </w:p>
    <w:p w14:paraId="74B95B02" w14:textId="4DD4B6D1" w:rsidR="00154AC9" w:rsidRDefault="00154AC9" w:rsidP="00154AC9">
      <w:pPr>
        <w:jc w:val="center"/>
        <w:rPr>
          <w:rFonts w:ascii="Arial" w:hAnsi="Arial" w:cs="Arial"/>
        </w:rPr>
      </w:pPr>
      <w:r w:rsidRPr="006713D2">
        <w:rPr>
          <w:rFonts w:ascii="Arial" w:hAnsi="Arial" w:cs="Arial"/>
        </w:rPr>
        <w:t>(Responses are in bold lettering)</w:t>
      </w:r>
    </w:p>
    <w:p w14:paraId="495AE91C" w14:textId="66C7B64E" w:rsidR="00615397" w:rsidRPr="00615397" w:rsidRDefault="00615397" w:rsidP="00615397">
      <w:pPr>
        <w:spacing w:before="100" w:beforeAutospacing="1" w:after="100" w:afterAutospacing="1"/>
        <w:jc w:val="center"/>
        <w:rPr>
          <w:rFonts w:ascii="Arial" w:eastAsia="Times New Roman" w:hAnsi="Arial" w:cs="Arial"/>
          <w:b/>
          <w:bCs/>
          <w:color w:val="C00000"/>
        </w:rPr>
      </w:pPr>
      <w:r w:rsidRPr="00615397">
        <w:rPr>
          <w:rFonts w:ascii="Arial" w:eastAsia="Times New Roman" w:hAnsi="Arial" w:cs="Arial"/>
          <w:b/>
          <w:bCs/>
          <w:color w:val="C00000"/>
        </w:rPr>
        <w:t xml:space="preserve">Please </w:t>
      </w:r>
      <w:r w:rsidR="00FB410C">
        <w:rPr>
          <w:rFonts w:ascii="Arial" w:eastAsia="Times New Roman" w:hAnsi="Arial" w:cs="Arial"/>
          <w:b/>
          <w:bCs/>
          <w:color w:val="C00000"/>
        </w:rPr>
        <w:t>N</w:t>
      </w:r>
      <w:r w:rsidRPr="00615397">
        <w:rPr>
          <w:rFonts w:ascii="Arial" w:eastAsia="Times New Roman" w:hAnsi="Arial" w:cs="Arial"/>
          <w:b/>
          <w:bCs/>
          <w:color w:val="C00000"/>
        </w:rPr>
        <w:t>ote: additional Q&amp;As will be released by December 20, 2022</w:t>
      </w:r>
      <w:r w:rsidR="00FB410C">
        <w:rPr>
          <w:rFonts w:ascii="Arial" w:eastAsia="Times New Roman" w:hAnsi="Arial" w:cs="Arial"/>
          <w:b/>
          <w:bCs/>
          <w:color w:val="C00000"/>
        </w:rPr>
        <w:t>,</w:t>
      </w:r>
      <w:r w:rsidRPr="00615397">
        <w:rPr>
          <w:rFonts w:ascii="Arial" w:eastAsia="Times New Roman" w:hAnsi="Arial" w:cs="Arial"/>
          <w:b/>
          <w:bCs/>
          <w:color w:val="C00000"/>
        </w:rPr>
        <w:t xml:space="preserve"> to answer questions</w:t>
      </w:r>
      <w:r>
        <w:rPr>
          <w:rFonts w:ascii="Arial" w:eastAsia="Times New Roman" w:hAnsi="Arial" w:cs="Arial"/>
          <w:b/>
          <w:bCs/>
          <w:color w:val="C00000"/>
        </w:rPr>
        <w:t xml:space="preserve"> received by the deadline</w:t>
      </w:r>
      <w:r w:rsidRPr="00615397">
        <w:rPr>
          <w:rFonts w:ascii="Arial" w:eastAsia="Times New Roman" w:hAnsi="Arial" w:cs="Arial"/>
          <w:b/>
          <w:bCs/>
          <w:color w:val="C00000"/>
        </w:rPr>
        <w:t xml:space="preserve"> that were not addressed in this document.</w:t>
      </w:r>
    </w:p>
    <w:p w14:paraId="6DED0069" w14:textId="2347530D" w:rsidR="00F85BC7" w:rsidRPr="006713D2" w:rsidRDefault="00F85BC7" w:rsidP="006713D2">
      <w:pPr>
        <w:pStyle w:val="xmsonormal"/>
        <w:numPr>
          <w:ilvl w:val="0"/>
          <w:numId w:val="25"/>
        </w:numPr>
        <w:rPr>
          <w:rFonts w:ascii="Arial" w:hAnsi="Arial" w:cs="Arial"/>
        </w:rPr>
      </w:pPr>
      <w:r w:rsidRPr="006713D2">
        <w:rPr>
          <w:rFonts w:ascii="Arial" w:hAnsi="Arial" w:cs="Arial"/>
        </w:rPr>
        <w:t>Who is the incumbent for this contract?</w:t>
      </w:r>
      <w:r w:rsidR="006713D2" w:rsidRPr="006713D2">
        <w:rPr>
          <w:rFonts w:ascii="Arial" w:hAnsi="Arial" w:cs="Arial"/>
        </w:rPr>
        <w:br/>
      </w:r>
      <w:r w:rsidR="006713D2" w:rsidRPr="006713D2">
        <w:rPr>
          <w:rFonts w:ascii="Arial" w:hAnsi="Arial" w:cs="Arial"/>
          <w:b/>
          <w:bCs/>
        </w:rPr>
        <w:t xml:space="preserve">A: </w:t>
      </w:r>
      <w:r w:rsidRPr="006713D2">
        <w:rPr>
          <w:rFonts w:ascii="Arial" w:hAnsi="Arial" w:cs="Arial"/>
          <w:b/>
          <w:bCs/>
        </w:rPr>
        <w:t>Cal Interpreting and Translations Inc. (CIT)</w:t>
      </w:r>
      <w:r w:rsidR="006713D2" w:rsidRPr="006713D2">
        <w:rPr>
          <w:rFonts w:ascii="Arial" w:hAnsi="Arial" w:cs="Arial"/>
          <w:b/>
          <w:bCs/>
        </w:rPr>
        <w:br/>
      </w:r>
    </w:p>
    <w:p w14:paraId="4E7C378E" w14:textId="33CB8F5B" w:rsidR="006713D2" w:rsidRPr="006713D2" w:rsidRDefault="00F85BC7" w:rsidP="006713D2">
      <w:pPr>
        <w:pStyle w:val="ListParagraph"/>
        <w:numPr>
          <w:ilvl w:val="0"/>
          <w:numId w:val="25"/>
        </w:numPr>
        <w:spacing w:before="100" w:beforeAutospacing="1" w:after="100" w:afterAutospacing="1"/>
        <w:rPr>
          <w:rFonts w:ascii="Arial" w:eastAsia="Times New Roman" w:hAnsi="Arial" w:cs="Arial"/>
          <w:color w:val="000000"/>
          <w:sz w:val="24"/>
          <w:szCs w:val="24"/>
        </w:rPr>
      </w:pPr>
      <w:r w:rsidRPr="006713D2">
        <w:rPr>
          <w:rFonts w:ascii="Arial" w:eastAsia="Times New Roman" w:hAnsi="Arial" w:cs="Arial"/>
          <w:sz w:val="24"/>
          <w:szCs w:val="24"/>
        </w:rPr>
        <w:t>Is the current incumbent allowed to bid on IFB-22-204?</w:t>
      </w:r>
      <w:r w:rsidRPr="006713D2">
        <w:rPr>
          <w:rFonts w:ascii="Arial" w:eastAsia="Times New Roman" w:hAnsi="Arial" w:cs="Arial"/>
          <w:color w:val="000000"/>
          <w:sz w:val="24"/>
          <w:szCs w:val="24"/>
        </w:rPr>
        <w:t xml:space="preserve"> Yes, the IFB is open to all public and private entities.</w:t>
      </w:r>
      <w:r w:rsidR="006713D2" w:rsidRPr="006713D2">
        <w:rPr>
          <w:rFonts w:ascii="Arial" w:eastAsia="Times New Roman" w:hAnsi="Arial" w:cs="Arial"/>
          <w:color w:val="000000"/>
          <w:sz w:val="24"/>
          <w:szCs w:val="24"/>
        </w:rPr>
        <w:br/>
      </w:r>
      <w:r w:rsidR="006713D2" w:rsidRPr="006713D2">
        <w:rPr>
          <w:rFonts w:ascii="Arial" w:hAnsi="Arial" w:cs="Arial"/>
          <w:b/>
          <w:bCs/>
          <w:sz w:val="24"/>
          <w:szCs w:val="24"/>
        </w:rPr>
        <w:t xml:space="preserve">A: </w:t>
      </w:r>
      <w:r w:rsidRPr="006713D2">
        <w:rPr>
          <w:rFonts w:ascii="Arial" w:hAnsi="Arial" w:cs="Arial"/>
          <w:b/>
          <w:bCs/>
          <w:sz w:val="24"/>
          <w:szCs w:val="24"/>
        </w:rPr>
        <w:t>Yes, the IFB is open to all public and private entities.</w:t>
      </w:r>
      <w:r w:rsidR="006713D2" w:rsidRPr="006713D2">
        <w:rPr>
          <w:rFonts w:ascii="Arial" w:hAnsi="Arial" w:cs="Arial"/>
          <w:b/>
          <w:bCs/>
          <w:sz w:val="24"/>
          <w:szCs w:val="24"/>
        </w:rPr>
        <w:br/>
      </w:r>
    </w:p>
    <w:p w14:paraId="43DC65E3" w14:textId="6CF62374" w:rsidR="00C5778F" w:rsidRPr="00060F1A" w:rsidRDefault="00C5778F" w:rsidP="006713D2">
      <w:pPr>
        <w:pStyle w:val="xmsonormal"/>
        <w:numPr>
          <w:ilvl w:val="0"/>
          <w:numId w:val="25"/>
        </w:numPr>
        <w:spacing w:after="240"/>
        <w:rPr>
          <w:rFonts w:ascii="Arial" w:hAnsi="Arial" w:cs="Arial"/>
          <w:bCs/>
        </w:rPr>
      </w:pPr>
      <w:r w:rsidRPr="00060F1A">
        <w:rPr>
          <w:rFonts w:ascii="Arial" w:hAnsi="Arial" w:cs="Arial"/>
          <w:bCs/>
        </w:rPr>
        <w:t>We have noticed that IFB 22-402 has an identical Scope of Work to the IFB recently awarded to Cal Interpreting and Translations (IFB 22-401, Contract No. 140-21-001). We would like to know if the new IFB and the existing contract are somehow related and if the new IFB affects in any way the existing contract.</w:t>
      </w:r>
    </w:p>
    <w:p w14:paraId="43265C39" w14:textId="4EF67C79" w:rsidR="00C5778F" w:rsidRPr="00C5778F" w:rsidRDefault="00C5778F" w:rsidP="00C5778F">
      <w:pPr>
        <w:pStyle w:val="xmsonormal"/>
        <w:spacing w:after="240"/>
        <w:ind w:left="420"/>
        <w:rPr>
          <w:rFonts w:ascii="Arial" w:hAnsi="Arial" w:cs="Arial"/>
          <w:b/>
        </w:rPr>
      </w:pPr>
      <w:r>
        <w:rPr>
          <w:rFonts w:ascii="Arial" w:hAnsi="Arial" w:cs="Arial"/>
          <w:b/>
        </w:rPr>
        <w:t>A:</w:t>
      </w:r>
      <w:r w:rsidRPr="00C5778F">
        <w:rPr>
          <w:rFonts w:ascii="inherit" w:eastAsia="Times New Roman" w:hAnsi="inherit" w:cs="Calibri"/>
          <w:color w:val="000000"/>
          <w:bdr w:val="none" w:sz="0" w:space="0" w:color="auto" w:frame="1"/>
        </w:rPr>
        <w:t xml:space="preserve"> </w:t>
      </w:r>
      <w:r w:rsidRPr="00C5778F">
        <w:rPr>
          <w:rFonts w:ascii="Arial" w:hAnsi="Arial" w:cs="Arial"/>
          <w:b/>
        </w:rPr>
        <w:t>The CEC currently has an existing contract No. 140-21-001 for translation and interpretation services. The CEC solicited the existing contract using the special IFB process for certified small businesses (Government Code § 14838.5; Public Contracting Code §§ 10335.5(c)(6), 10340(b)(6); State Contracting Manual § 5.80.A.9). A contract, including any amendments, procured through that process must be less than $250,000. </w:t>
      </w:r>
    </w:p>
    <w:p w14:paraId="4E2DF801" w14:textId="27511743" w:rsidR="00C5778F" w:rsidRPr="00C5778F" w:rsidRDefault="00C5778F" w:rsidP="00C5778F">
      <w:pPr>
        <w:pStyle w:val="xmsonormal"/>
        <w:spacing w:after="240"/>
        <w:ind w:left="420"/>
        <w:rPr>
          <w:rFonts w:ascii="Arial" w:hAnsi="Arial" w:cs="Arial"/>
          <w:b/>
        </w:rPr>
      </w:pPr>
      <w:r w:rsidRPr="00C5778F">
        <w:rPr>
          <w:rFonts w:ascii="Arial" w:hAnsi="Arial" w:cs="Arial"/>
          <w:b/>
        </w:rPr>
        <w:t>In the past year, the CEC has needed more translation and interpretation services than originally expected and has spent a significant amount of the funds under the existing contract. While the exact future need of translation and interpretation services is unknown, the CEC anticipates a need for a contract with a larger budget for translation and interpretation services for the future. The CEC has issued IFB-22-204 for a new larger contract for translation and interpretation services using the standard IFB process that does not have a $250,000 dollar limit. </w:t>
      </w:r>
    </w:p>
    <w:p w14:paraId="549020F8" w14:textId="77777777" w:rsidR="00C5778F" w:rsidRPr="00C5778F" w:rsidRDefault="00C5778F" w:rsidP="00C5778F">
      <w:pPr>
        <w:pStyle w:val="xmsonormal"/>
        <w:spacing w:after="240"/>
        <w:ind w:left="420"/>
        <w:rPr>
          <w:rFonts w:ascii="Arial" w:hAnsi="Arial" w:cs="Arial"/>
          <w:b/>
        </w:rPr>
      </w:pPr>
      <w:r w:rsidRPr="00C5778F">
        <w:rPr>
          <w:rFonts w:ascii="Arial" w:hAnsi="Arial" w:cs="Arial"/>
          <w:b/>
        </w:rPr>
        <w:t>Please note that the Scope of Work for IFB-22-402 states that "this is a nonexclusive Agreement for interpreter/translator services and the Energy Commission does not guarantee any minimum amount of work under this Agreement." (IFB, Section II, page 4).</w:t>
      </w:r>
    </w:p>
    <w:p w14:paraId="384DA56F" w14:textId="480E41E2" w:rsidR="00C5778F" w:rsidRPr="00C5778F" w:rsidRDefault="00C5778F" w:rsidP="00C5778F">
      <w:pPr>
        <w:pStyle w:val="xmsonormal"/>
        <w:spacing w:after="240"/>
        <w:ind w:left="420"/>
        <w:rPr>
          <w:rFonts w:ascii="Arial" w:hAnsi="Arial" w:cs="Arial"/>
          <w:b/>
        </w:rPr>
      </w:pPr>
      <w:r w:rsidRPr="00C5778F">
        <w:rPr>
          <w:rFonts w:ascii="Arial" w:hAnsi="Arial" w:cs="Arial"/>
          <w:b/>
        </w:rPr>
        <w:t>This same language is part of the Scope of Work for 140-21-001. "This is a nonexclusive Agreement for interpreter/translator services and the Energy Commission does not guarantee any minimum amount of work under this Agreement." (140-21-001, Exhibit A, Section II, page 1</w:t>
      </w:r>
      <w:r>
        <w:rPr>
          <w:rFonts w:ascii="Arial" w:hAnsi="Arial" w:cs="Arial"/>
          <w:b/>
        </w:rPr>
        <w:t>)</w:t>
      </w:r>
      <w:r w:rsidRPr="00C5778F">
        <w:rPr>
          <w:rFonts w:ascii="Arial" w:hAnsi="Arial" w:cs="Arial"/>
          <w:b/>
        </w:rPr>
        <w:t>. </w:t>
      </w:r>
      <w:r w:rsidRPr="00060F1A">
        <w:rPr>
          <w:rFonts w:ascii="Arial" w:hAnsi="Arial" w:cs="Arial"/>
          <w:b/>
        </w:rPr>
        <w:t xml:space="preserve">Although the CEC's intent is to procure a new contract for services beyond the budget of the </w:t>
      </w:r>
      <w:r w:rsidRPr="00060F1A">
        <w:rPr>
          <w:rFonts w:ascii="Arial" w:hAnsi="Arial" w:cs="Arial"/>
          <w:b/>
        </w:rPr>
        <w:lastRenderedPageBreak/>
        <w:t>existing contract, it is some possible that there will be overlap of the contracts. There is no guarantee for any minimum amount of work for the existing contract.</w:t>
      </w:r>
    </w:p>
    <w:p w14:paraId="5A342DE5" w14:textId="6A0DCF55" w:rsidR="00F85BC7" w:rsidRPr="004A7BB5" w:rsidRDefault="00F85BC7" w:rsidP="004A7BB5">
      <w:pPr>
        <w:pStyle w:val="xmsonormal"/>
        <w:numPr>
          <w:ilvl w:val="0"/>
          <w:numId w:val="25"/>
        </w:numPr>
        <w:spacing w:after="240"/>
        <w:rPr>
          <w:rFonts w:ascii="Arial" w:hAnsi="Arial" w:cs="Arial"/>
          <w:b/>
        </w:rPr>
      </w:pPr>
      <w:r w:rsidRPr="006713D2">
        <w:rPr>
          <w:rFonts w:ascii="Arial" w:eastAsia="Times New Roman" w:hAnsi="Arial" w:cs="Arial"/>
        </w:rPr>
        <w:t>Has the CEC considered how work would be split between the two contracts?</w:t>
      </w:r>
      <w:r w:rsidR="006713D2" w:rsidRPr="006713D2">
        <w:rPr>
          <w:rFonts w:ascii="Arial" w:eastAsia="Times New Roman" w:hAnsi="Arial" w:cs="Arial"/>
        </w:rPr>
        <w:br/>
      </w:r>
      <w:r w:rsidR="006713D2" w:rsidRPr="006713D2">
        <w:rPr>
          <w:rFonts w:ascii="Arial" w:eastAsia="Times New Roman" w:hAnsi="Arial" w:cs="Arial"/>
          <w:b/>
          <w:bCs/>
          <w:color w:val="000000"/>
        </w:rPr>
        <w:t xml:space="preserve">A: </w:t>
      </w:r>
      <w:r w:rsidRPr="006713D2">
        <w:rPr>
          <w:rFonts w:ascii="Arial" w:eastAsia="Times New Roman" w:hAnsi="Arial" w:cs="Arial"/>
          <w:b/>
          <w:bCs/>
          <w:color w:val="000000"/>
        </w:rPr>
        <w:t>The CEC has not made any decisions about how work would be split between the two contracts if there is an overlap. Most of the budget of the existing contract has already been spent and it is important that there is not a gap in these important services.</w:t>
      </w:r>
    </w:p>
    <w:p w14:paraId="33094A6E" w14:textId="041E08F8" w:rsidR="00F85BC7" w:rsidRPr="006713D2" w:rsidRDefault="00F85BC7" w:rsidP="006713D2">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It is the industry standard to have a minimum number of hours for interpreting services.  Can vendors list a minimum number of hours per assignment as part of our proposal? </w:t>
      </w:r>
      <w:r w:rsidR="006713D2" w:rsidRPr="006713D2">
        <w:rPr>
          <w:rFonts w:ascii="Arial" w:eastAsia="Times New Roman" w:hAnsi="Arial" w:cs="Arial"/>
          <w:sz w:val="24"/>
          <w:szCs w:val="24"/>
        </w:rPr>
        <w:br/>
      </w:r>
      <w:r w:rsidR="006713D2" w:rsidRPr="006713D2">
        <w:rPr>
          <w:rFonts w:ascii="Arial" w:hAnsi="Arial" w:cs="Arial"/>
          <w:b/>
          <w:sz w:val="24"/>
          <w:szCs w:val="24"/>
        </w:rPr>
        <w:t xml:space="preserve">A: </w:t>
      </w:r>
      <w:r w:rsidR="00432CCA">
        <w:rPr>
          <w:rFonts w:ascii="Arial" w:hAnsi="Arial" w:cs="Arial"/>
          <w:b/>
          <w:sz w:val="24"/>
          <w:szCs w:val="24"/>
        </w:rPr>
        <w:t xml:space="preserve">This is a nonexclusive Agreement for interpreter/translator services and the CEC does not guarantee any minimum amount of work under this Agreement. Attachment 06 Cost Bid states that the minimum charge for interpretation services will be one (1) hour. </w:t>
      </w:r>
    </w:p>
    <w:p w14:paraId="5C2DA475" w14:textId="5228E90E" w:rsidR="00F85BC7" w:rsidRPr="006713D2" w:rsidRDefault="00F85BC7" w:rsidP="006713D2">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Historically, what is the average number of hours that an interpreting assignment lasts? </w:t>
      </w:r>
      <w:r w:rsidR="006713D2" w:rsidRPr="006713D2">
        <w:rPr>
          <w:rFonts w:ascii="Arial" w:eastAsia="Times New Roman" w:hAnsi="Arial" w:cs="Arial"/>
          <w:sz w:val="24"/>
          <w:szCs w:val="24"/>
        </w:rPr>
        <w:br/>
      </w:r>
      <w:r w:rsidR="006713D2" w:rsidRPr="006713D2">
        <w:rPr>
          <w:rFonts w:ascii="Arial" w:eastAsia="Times New Roman" w:hAnsi="Arial" w:cs="Arial"/>
          <w:b/>
          <w:bCs/>
          <w:sz w:val="24"/>
          <w:szCs w:val="24"/>
        </w:rPr>
        <w:t xml:space="preserve">A: </w:t>
      </w:r>
      <w:r w:rsidRPr="006713D2">
        <w:rPr>
          <w:rFonts w:ascii="Arial" w:eastAsia="Times New Roman" w:hAnsi="Arial" w:cs="Arial"/>
          <w:b/>
          <w:bCs/>
          <w:sz w:val="24"/>
          <w:szCs w:val="24"/>
        </w:rPr>
        <w:t>The average interpreting assignment is about</w:t>
      </w:r>
      <w:r w:rsidR="00432CCA">
        <w:rPr>
          <w:rFonts w:ascii="Arial" w:eastAsia="Times New Roman" w:hAnsi="Arial" w:cs="Arial"/>
          <w:b/>
          <w:bCs/>
          <w:sz w:val="24"/>
          <w:szCs w:val="24"/>
        </w:rPr>
        <w:t xml:space="preserve"> 2-</w:t>
      </w:r>
      <w:r w:rsidRPr="006713D2">
        <w:rPr>
          <w:rFonts w:ascii="Arial" w:eastAsia="Times New Roman" w:hAnsi="Arial" w:cs="Arial"/>
          <w:b/>
          <w:bCs/>
          <w:sz w:val="24"/>
          <w:szCs w:val="24"/>
        </w:rPr>
        <w:t>4 hours but can be shorter or longer depending on the assignment.</w:t>
      </w:r>
      <w:r w:rsidRPr="006713D2">
        <w:rPr>
          <w:rFonts w:ascii="Arial" w:eastAsia="Times New Roman" w:hAnsi="Arial" w:cs="Arial"/>
          <w:sz w:val="24"/>
          <w:szCs w:val="24"/>
        </w:rPr>
        <w:t xml:space="preserve"> </w:t>
      </w:r>
    </w:p>
    <w:p w14:paraId="5890A659" w14:textId="5EB3AC31" w:rsidR="00F85BC7" w:rsidRPr="006713D2" w:rsidRDefault="00F85BC7" w:rsidP="006713D2">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Historically, how many interpreting assignments have taken place outside of the Sacramento area in the past 12 months? </w:t>
      </w:r>
      <w:r w:rsidR="006713D2" w:rsidRPr="006713D2">
        <w:rPr>
          <w:rFonts w:ascii="Arial" w:eastAsia="Times New Roman" w:hAnsi="Arial" w:cs="Arial"/>
          <w:sz w:val="24"/>
          <w:szCs w:val="24"/>
        </w:rPr>
        <w:br/>
      </w:r>
      <w:r w:rsidR="006713D2" w:rsidRPr="006713D2">
        <w:rPr>
          <w:rFonts w:ascii="Arial" w:eastAsia="Times New Roman" w:hAnsi="Arial" w:cs="Arial"/>
          <w:b/>
          <w:bCs/>
          <w:sz w:val="24"/>
          <w:szCs w:val="24"/>
        </w:rPr>
        <w:t xml:space="preserve">A: </w:t>
      </w:r>
      <w:r w:rsidRPr="006713D2">
        <w:rPr>
          <w:rFonts w:ascii="Arial" w:eastAsia="Times New Roman" w:hAnsi="Arial" w:cs="Arial"/>
          <w:b/>
          <w:bCs/>
          <w:sz w:val="24"/>
          <w:szCs w:val="24"/>
        </w:rPr>
        <w:t>We have information from the last 6 months to show that we had about 10 interpreting assignments outside of Sacramento. The remaining assignments took place virtually.</w:t>
      </w:r>
    </w:p>
    <w:p w14:paraId="195FBE08" w14:textId="746C4508" w:rsidR="00BE4354" w:rsidRPr="00432CCA" w:rsidRDefault="00F85BC7" w:rsidP="00432CCA">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Historically, what is the average number of people that attend an Energy Commission meeting, hearing or event that require interpreting?  </w:t>
      </w:r>
      <w:r w:rsidR="00432CCA">
        <w:rPr>
          <w:rFonts w:ascii="Arial" w:eastAsia="Times New Roman" w:hAnsi="Arial" w:cs="Arial"/>
          <w:sz w:val="24"/>
          <w:szCs w:val="24"/>
        </w:rPr>
        <w:br/>
      </w:r>
      <w:r w:rsidR="006713D2" w:rsidRPr="00432CCA">
        <w:rPr>
          <w:rFonts w:ascii="Arial" w:eastAsia="Times New Roman" w:hAnsi="Arial" w:cs="Arial"/>
          <w:b/>
          <w:bCs/>
          <w:sz w:val="24"/>
          <w:szCs w:val="24"/>
        </w:rPr>
        <w:t xml:space="preserve">A: </w:t>
      </w:r>
      <w:r w:rsidR="00BE4354" w:rsidRPr="00432CCA">
        <w:rPr>
          <w:rFonts w:ascii="Arial" w:eastAsia="Times New Roman" w:hAnsi="Arial" w:cs="Arial"/>
          <w:b/>
          <w:bCs/>
          <w:sz w:val="24"/>
          <w:szCs w:val="24"/>
        </w:rPr>
        <w:t>We do not track the number of people who attend a CEC meeting/event that requires interpretation.</w:t>
      </w:r>
      <w:r w:rsidR="00BE4354" w:rsidRPr="00432CCA">
        <w:rPr>
          <w:rFonts w:ascii="Arial" w:eastAsia="Times New Roman" w:hAnsi="Arial" w:cs="Arial"/>
          <w:b/>
          <w:bCs/>
        </w:rPr>
        <w:t xml:space="preserve"> </w:t>
      </w:r>
    </w:p>
    <w:p w14:paraId="483B51D4" w14:textId="35BFADBE" w:rsidR="00BE4354" w:rsidRPr="006713D2" w:rsidRDefault="00F85BC7" w:rsidP="006713D2">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Historically, what is the average number of headsets used in a typical interpreting assignment? </w:t>
      </w:r>
      <w:r w:rsidR="006713D2" w:rsidRPr="006713D2">
        <w:rPr>
          <w:rFonts w:ascii="Arial" w:eastAsia="Times New Roman" w:hAnsi="Arial" w:cs="Arial"/>
          <w:sz w:val="24"/>
          <w:szCs w:val="24"/>
        </w:rPr>
        <w:br/>
      </w:r>
      <w:r w:rsidR="006713D2" w:rsidRPr="006713D2">
        <w:rPr>
          <w:rFonts w:ascii="Arial" w:eastAsia="Times New Roman" w:hAnsi="Arial" w:cs="Arial"/>
          <w:b/>
          <w:bCs/>
          <w:sz w:val="24"/>
          <w:szCs w:val="24"/>
        </w:rPr>
        <w:t xml:space="preserve">A: </w:t>
      </w:r>
      <w:r w:rsidR="00BE4354" w:rsidRPr="006713D2">
        <w:rPr>
          <w:rFonts w:ascii="Arial" w:eastAsia="Times New Roman" w:hAnsi="Arial" w:cs="Arial"/>
          <w:b/>
          <w:bCs/>
          <w:sz w:val="24"/>
          <w:szCs w:val="24"/>
        </w:rPr>
        <w:t>The average number of headsets used is under 10.</w:t>
      </w:r>
    </w:p>
    <w:p w14:paraId="73EE0E0F" w14:textId="40EBF708" w:rsidR="00BE4354" w:rsidRPr="006713D2" w:rsidRDefault="00F85BC7" w:rsidP="006713D2">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Would the Energy Commission ever require more than one language at an on-site interpreting session? </w:t>
      </w:r>
      <w:r w:rsidR="006713D2" w:rsidRPr="006713D2">
        <w:rPr>
          <w:rFonts w:ascii="Arial" w:eastAsia="Times New Roman" w:hAnsi="Arial" w:cs="Arial"/>
          <w:sz w:val="24"/>
          <w:szCs w:val="24"/>
        </w:rPr>
        <w:br/>
      </w:r>
      <w:r w:rsidR="006713D2" w:rsidRPr="006713D2">
        <w:rPr>
          <w:rFonts w:ascii="Arial" w:eastAsia="Times New Roman" w:hAnsi="Arial" w:cs="Arial"/>
          <w:b/>
          <w:bCs/>
          <w:sz w:val="24"/>
          <w:szCs w:val="24"/>
        </w:rPr>
        <w:t xml:space="preserve">A: </w:t>
      </w:r>
      <w:r w:rsidR="00BE4354" w:rsidRPr="006713D2">
        <w:rPr>
          <w:rFonts w:ascii="Arial" w:eastAsia="Times New Roman" w:hAnsi="Arial" w:cs="Arial"/>
          <w:b/>
          <w:bCs/>
          <w:sz w:val="24"/>
          <w:szCs w:val="24"/>
        </w:rPr>
        <w:t>Yes</w:t>
      </w:r>
      <w:r w:rsidR="006713D2" w:rsidRPr="006713D2">
        <w:rPr>
          <w:rFonts w:ascii="Arial" w:eastAsia="Times New Roman" w:hAnsi="Arial" w:cs="Arial"/>
          <w:b/>
          <w:bCs/>
          <w:sz w:val="24"/>
          <w:szCs w:val="24"/>
        </w:rPr>
        <w:t xml:space="preserve"> - </w:t>
      </w:r>
      <w:r w:rsidR="00BE4354" w:rsidRPr="006713D2">
        <w:rPr>
          <w:rFonts w:ascii="Arial" w:eastAsia="Times New Roman" w:hAnsi="Arial" w:cs="Arial"/>
          <w:b/>
          <w:bCs/>
          <w:sz w:val="24"/>
          <w:szCs w:val="24"/>
        </w:rPr>
        <w:t xml:space="preserve">two common languages are Spanish and </w:t>
      </w:r>
      <w:proofErr w:type="spellStart"/>
      <w:r w:rsidR="00BE4354" w:rsidRPr="006713D2">
        <w:rPr>
          <w:rFonts w:ascii="Arial" w:eastAsia="Times New Roman" w:hAnsi="Arial" w:cs="Arial"/>
          <w:b/>
          <w:bCs/>
          <w:sz w:val="24"/>
          <w:szCs w:val="24"/>
        </w:rPr>
        <w:t>Purepecha</w:t>
      </w:r>
      <w:proofErr w:type="spellEnd"/>
      <w:r w:rsidR="00432CCA">
        <w:rPr>
          <w:rFonts w:ascii="Arial" w:eastAsia="Times New Roman" w:hAnsi="Arial" w:cs="Arial"/>
          <w:b/>
          <w:bCs/>
          <w:sz w:val="24"/>
          <w:szCs w:val="24"/>
        </w:rPr>
        <w:t>.</w:t>
      </w:r>
    </w:p>
    <w:p w14:paraId="59CD07A8" w14:textId="0BD7A0B1" w:rsidR="00BE4354" w:rsidRPr="006713D2" w:rsidRDefault="00F85BC7" w:rsidP="006713D2">
      <w:pPr>
        <w:pStyle w:val="ListParagraph"/>
        <w:numPr>
          <w:ilvl w:val="0"/>
          <w:numId w:val="25"/>
        </w:numPr>
        <w:spacing w:after="240"/>
        <w:rPr>
          <w:rFonts w:ascii="Arial" w:eastAsia="Times New Roman" w:hAnsi="Arial" w:cs="Arial"/>
          <w:sz w:val="24"/>
          <w:szCs w:val="24"/>
        </w:rPr>
      </w:pPr>
      <w:r w:rsidRPr="006713D2">
        <w:rPr>
          <w:rFonts w:ascii="Arial" w:eastAsia="Times New Roman" w:hAnsi="Arial" w:cs="Arial"/>
          <w:sz w:val="24"/>
          <w:szCs w:val="24"/>
        </w:rPr>
        <w:t xml:space="preserve">It is the industry standard to have a minimum charge for written translation projects.  Can vendors list a minimum charge for translation projects as part of our proposal? </w:t>
      </w:r>
      <w:r w:rsidR="006713D2" w:rsidRPr="006713D2">
        <w:rPr>
          <w:rFonts w:ascii="Arial" w:eastAsia="Times New Roman" w:hAnsi="Arial" w:cs="Arial"/>
          <w:sz w:val="24"/>
          <w:szCs w:val="24"/>
        </w:rPr>
        <w:br/>
      </w:r>
      <w:r w:rsidR="006713D2" w:rsidRPr="006713D2">
        <w:rPr>
          <w:rFonts w:ascii="Arial" w:eastAsia="Times New Roman" w:hAnsi="Arial" w:cs="Arial"/>
          <w:b/>
          <w:bCs/>
          <w:sz w:val="24"/>
          <w:szCs w:val="24"/>
        </w:rPr>
        <w:t xml:space="preserve">A: </w:t>
      </w:r>
      <w:r w:rsidR="00432CCA">
        <w:rPr>
          <w:rFonts w:ascii="Arial" w:hAnsi="Arial" w:cs="Arial"/>
          <w:b/>
          <w:sz w:val="24"/>
          <w:szCs w:val="24"/>
        </w:rPr>
        <w:t>Attachment 06 Cost Bid states that the minimum charge for translation services will be $50.</w:t>
      </w:r>
    </w:p>
    <w:p w14:paraId="64A5F10F" w14:textId="6409D918" w:rsidR="00BE4354" w:rsidRPr="006713D2" w:rsidRDefault="00F85BC7" w:rsidP="006713D2">
      <w:pPr>
        <w:pStyle w:val="ListParagraph"/>
        <w:numPr>
          <w:ilvl w:val="0"/>
          <w:numId w:val="25"/>
        </w:numPr>
        <w:spacing w:after="240"/>
        <w:rPr>
          <w:rFonts w:ascii="Arial" w:eastAsia="Times New Roman" w:hAnsi="Arial" w:cs="Arial"/>
          <w:sz w:val="24"/>
          <w:szCs w:val="24"/>
        </w:rPr>
      </w:pPr>
      <w:proofErr w:type="gramStart"/>
      <w:r w:rsidRPr="006713D2">
        <w:rPr>
          <w:rFonts w:ascii="Arial" w:eastAsia="Times New Roman" w:hAnsi="Arial" w:cs="Arial"/>
          <w:sz w:val="24"/>
          <w:szCs w:val="24"/>
        </w:rPr>
        <w:t>In order to</w:t>
      </w:r>
      <w:proofErr w:type="gramEnd"/>
      <w:r w:rsidRPr="006713D2">
        <w:rPr>
          <w:rFonts w:ascii="Arial" w:eastAsia="Times New Roman" w:hAnsi="Arial" w:cs="Arial"/>
          <w:sz w:val="24"/>
          <w:szCs w:val="24"/>
        </w:rPr>
        <w:t xml:space="preserve"> accurately calculate a per page cost for formatting, we would need to see a variety of representative sample documents and have time to analyze them.  Can </w:t>
      </w:r>
      <w:r w:rsidRPr="006713D2">
        <w:rPr>
          <w:rFonts w:ascii="Arial" w:eastAsia="Times New Roman" w:hAnsi="Arial" w:cs="Arial"/>
          <w:sz w:val="24"/>
          <w:szCs w:val="24"/>
        </w:rPr>
        <w:lastRenderedPageBreak/>
        <w:t xml:space="preserve">you please provide vendors with a set of representative sample documents? </w:t>
      </w:r>
      <w:r w:rsidR="006713D2" w:rsidRPr="006713D2">
        <w:rPr>
          <w:rFonts w:ascii="Arial" w:eastAsia="Times New Roman" w:hAnsi="Arial" w:cs="Arial"/>
          <w:sz w:val="24"/>
          <w:szCs w:val="24"/>
        </w:rPr>
        <w:br/>
      </w:r>
      <w:r w:rsidR="006713D2" w:rsidRPr="006713D2">
        <w:rPr>
          <w:rFonts w:ascii="Arial" w:eastAsia="Times New Roman" w:hAnsi="Arial" w:cs="Arial"/>
          <w:b/>
          <w:bCs/>
          <w:sz w:val="24"/>
          <w:szCs w:val="24"/>
        </w:rPr>
        <w:t xml:space="preserve">A: </w:t>
      </w:r>
      <w:r w:rsidR="00BE4354" w:rsidRPr="006713D2">
        <w:rPr>
          <w:rFonts w:ascii="Arial" w:eastAsia="Times New Roman" w:hAnsi="Arial" w:cs="Arial"/>
          <w:b/>
          <w:bCs/>
          <w:sz w:val="24"/>
          <w:szCs w:val="24"/>
        </w:rPr>
        <w:t>Yes – attached are a couple samples of documents the CEC typically requests for translation.</w:t>
      </w:r>
      <w:r w:rsidR="00BE4354" w:rsidRPr="006713D2">
        <w:rPr>
          <w:rFonts w:ascii="Arial" w:eastAsia="Times New Roman" w:hAnsi="Arial" w:cs="Arial"/>
          <w:sz w:val="24"/>
          <w:szCs w:val="24"/>
        </w:rPr>
        <w:t xml:space="preserve"> </w:t>
      </w:r>
    </w:p>
    <w:p w14:paraId="5903240B" w14:textId="276A9EC5" w:rsidR="00BE4354" w:rsidRPr="006713D2" w:rsidRDefault="00F85BC7" w:rsidP="006713D2">
      <w:pPr>
        <w:pStyle w:val="ListParagraph"/>
        <w:numPr>
          <w:ilvl w:val="0"/>
          <w:numId w:val="25"/>
        </w:numPr>
        <w:rPr>
          <w:rFonts w:ascii="Arial" w:eastAsia="Times New Roman" w:hAnsi="Arial" w:cs="Arial"/>
          <w:sz w:val="24"/>
          <w:szCs w:val="24"/>
        </w:rPr>
      </w:pPr>
      <w:r w:rsidRPr="006713D2">
        <w:rPr>
          <w:rFonts w:ascii="Arial" w:eastAsia="Times New Roman" w:hAnsi="Arial" w:cs="Arial"/>
          <w:sz w:val="24"/>
          <w:szCs w:val="24"/>
        </w:rPr>
        <w:t xml:space="preserve">Will the winning vendor always receive original editable source </w:t>
      </w:r>
      <w:r w:rsidR="00432CCA" w:rsidRPr="006713D2">
        <w:rPr>
          <w:rFonts w:ascii="Arial" w:eastAsia="Times New Roman" w:hAnsi="Arial" w:cs="Arial"/>
          <w:sz w:val="24"/>
          <w:szCs w:val="24"/>
        </w:rPr>
        <w:t>documents,</w:t>
      </w:r>
      <w:r w:rsidRPr="006713D2">
        <w:rPr>
          <w:rFonts w:ascii="Arial" w:eastAsia="Times New Roman" w:hAnsi="Arial" w:cs="Arial"/>
          <w:sz w:val="24"/>
          <w:szCs w:val="24"/>
        </w:rPr>
        <w:t xml:space="preserve"> or will we ever have to recreate formatting using PDF’s, hard copies or </w:t>
      </w:r>
      <w:proofErr w:type="gramStart"/>
      <w:r w:rsidRPr="006713D2">
        <w:rPr>
          <w:rFonts w:ascii="Arial" w:eastAsia="Times New Roman" w:hAnsi="Arial" w:cs="Arial"/>
          <w:sz w:val="24"/>
          <w:szCs w:val="24"/>
        </w:rPr>
        <w:t>other</w:t>
      </w:r>
      <w:proofErr w:type="gramEnd"/>
      <w:r w:rsidRPr="006713D2">
        <w:rPr>
          <w:rFonts w:ascii="Arial" w:eastAsia="Times New Roman" w:hAnsi="Arial" w:cs="Arial"/>
          <w:sz w:val="24"/>
          <w:szCs w:val="24"/>
        </w:rPr>
        <w:t xml:space="preserve"> non-original source document?  </w:t>
      </w:r>
      <w:r w:rsidR="006713D2" w:rsidRPr="006713D2">
        <w:rPr>
          <w:rFonts w:ascii="Arial" w:eastAsia="Times New Roman" w:hAnsi="Arial" w:cs="Arial"/>
          <w:sz w:val="24"/>
          <w:szCs w:val="24"/>
        </w:rPr>
        <w:br/>
      </w:r>
      <w:r w:rsidR="006713D2" w:rsidRPr="006713D2">
        <w:rPr>
          <w:rFonts w:ascii="Arial" w:hAnsi="Arial" w:cs="Arial"/>
          <w:b/>
          <w:sz w:val="24"/>
          <w:szCs w:val="24"/>
        </w:rPr>
        <w:t xml:space="preserve">A: The </w:t>
      </w:r>
      <w:r w:rsidR="00BE4354" w:rsidRPr="006713D2">
        <w:rPr>
          <w:rFonts w:ascii="Arial" w:hAnsi="Arial" w:cs="Arial"/>
          <w:b/>
          <w:sz w:val="24"/>
          <w:szCs w:val="24"/>
        </w:rPr>
        <w:t>CEC will provide a variety of documents that are in word document format, PDF, and excel</w:t>
      </w:r>
      <w:r w:rsidR="006713D2" w:rsidRPr="006713D2">
        <w:rPr>
          <w:rFonts w:ascii="Arial" w:hAnsi="Arial" w:cs="Arial"/>
          <w:b/>
          <w:sz w:val="24"/>
          <w:szCs w:val="24"/>
        </w:rPr>
        <w:t xml:space="preserve"> </w:t>
      </w:r>
      <w:r w:rsidR="00BE4354" w:rsidRPr="006713D2">
        <w:rPr>
          <w:rFonts w:ascii="Arial" w:hAnsi="Arial" w:cs="Arial"/>
          <w:b/>
          <w:sz w:val="24"/>
          <w:szCs w:val="24"/>
        </w:rPr>
        <w:t>sheets</w:t>
      </w:r>
      <w:r w:rsidR="00432CCA">
        <w:rPr>
          <w:rFonts w:ascii="Arial" w:hAnsi="Arial" w:cs="Arial"/>
          <w:b/>
          <w:sz w:val="24"/>
          <w:szCs w:val="24"/>
        </w:rPr>
        <w:t>.</w:t>
      </w:r>
      <w:r w:rsidR="006713D2" w:rsidRPr="006713D2">
        <w:rPr>
          <w:rFonts w:ascii="Arial" w:hAnsi="Arial" w:cs="Arial"/>
          <w:b/>
          <w:sz w:val="24"/>
          <w:szCs w:val="24"/>
        </w:rPr>
        <w:br/>
      </w:r>
    </w:p>
    <w:p w14:paraId="136D95C6" w14:textId="1840CCB1" w:rsidR="006713D2" w:rsidRPr="006713D2" w:rsidRDefault="006713D2" w:rsidP="006713D2">
      <w:pPr>
        <w:pStyle w:val="ListParagraph"/>
        <w:numPr>
          <w:ilvl w:val="0"/>
          <w:numId w:val="25"/>
        </w:numPr>
        <w:rPr>
          <w:rFonts w:ascii="Arial" w:eastAsia="Times New Roman" w:hAnsi="Arial" w:cs="Arial"/>
          <w:sz w:val="24"/>
          <w:szCs w:val="24"/>
        </w:rPr>
      </w:pPr>
      <w:r w:rsidRPr="006713D2">
        <w:rPr>
          <w:rFonts w:ascii="Arial" w:eastAsia="Times New Roman" w:hAnsi="Arial" w:cs="Arial"/>
          <w:sz w:val="24"/>
          <w:szCs w:val="24"/>
        </w:rPr>
        <w:t xml:space="preserve">Our standard cancelation policy is that if an interpreting assignment is canceled 48 hours before the assignment start time, then we will bill for 50% of the amount quoted.  Can vendors include this in our submission and have it </w:t>
      </w:r>
      <w:proofErr w:type="gramStart"/>
      <w:r w:rsidRPr="006713D2">
        <w:rPr>
          <w:rFonts w:ascii="Arial" w:eastAsia="Times New Roman" w:hAnsi="Arial" w:cs="Arial"/>
          <w:sz w:val="24"/>
          <w:szCs w:val="24"/>
        </w:rPr>
        <w:t>be</w:t>
      </w:r>
      <w:proofErr w:type="gramEnd"/>
      <w:r w:rsidRPr="006713D2">
        <w:rPr>
          <w:rFonts w:ascii="Arial" w:eastAsia="Times New Roman" w:hAnsi="Arial" w:cs="Arial"/>
          <w:sz w:val="24"/>
          <w:szCs w:val="24"/>
        </w:rPr>
        <w:t xml:space="preserve"> incorporated into the contract? </w:t>
      </w:r>
      <w:r w:rsidRPr="006713D2">
        <w:rPr>
          <w:rFonts w:ascii="Arial" w:eastAsia="Times New Roman" w:hAnsi="Arial" w:cs="Arial"/>
          <w:sz w:val="24"/>
          <w:szCs w:val="24"/>
        </w:rPr>
        <w:br/>
      </w:r>
      <w:r w:rsidRPr="006713D2">
        <w:rPr>
          <w:rFonts w:ascii="Arial" w:eastAsia="Times New Roman" w:hAnsi="Arial" w:cs="Arial"/>
          <w:b/>
          <w:bCs/>
          <w:sz w:val="24"/>
          <w:szCs w:val="24"/>
        </w:rPr>
        <w:t>A: Our solicitation states on page 14 that a cancellation 24 hours or less will incur no cancellation fee.</w:t>
      </w:r>
    </w:p>
    <w:p w14:paraId="0751B0D0" w14:textId="77777777" w:rsidR="006713D2" w:rsidRPr="006713D2" w:rsidRDefault="006713D2" w:rsidP="006713D2">
      <w:pPr>
        <w:pStyle w:val="ListParagraph"/>
        <w:rPr>
          <w:rFonts w:ascii="Arial" w:hAnsi="Arial" w:cs="Arial"/>
          <w:sz w:val="24"/>
          <w:szCs w:val="24"/>
        </w:rPr>
      </w:pPr>
    </w:p>
    <w:p w14:paraId="3D9ED241" w14:textId="5B468874" w:rsidR="006713D2" w:rsidRPr="006713D2" w:rsidRDefault="006713D2" w:rsidP="006713D2">
      <w:pPr>
        <w:pStyle w:val="ListParagraph"/>
        <w:numPr>
          <w:ilvl w:val="0"/>
          <w:numId w:val="25"/>
        </w:numPr>
        <w:rPr>
          <w:rFonts w:ascii="Arial" w:eastAsia="Times New Roman" w:hAnsi="Arial" w:cs="Arial"/>
          <w:sz w:val="24"/>
          <w:szCs w:val="24"/>
        </w:rPr>
      </w:pPr>
      <w:r w:rsidRPr="006713D2">
        <w:rPr>
          <w:rFonts w:ascii="Arial" w:eastAsia="Times New Roman" w:hAnsi="Arial" w:cs="Arial"/>
          <w:sz w:val="24"/>
          <w:szCs w:val="24"/>
        </w:rPr>
        <w:t xml:space="preserve">Our standard cancelation policy is that if the assignment is canceled 24 hours or less before the appointment start time, then we will invoice for 100% of the amount quoted.  Can vendors include this in our submission and have it </w:t>
      </w:r>
      <w:proofErr w:type="gramStart"/>
      <w:r w:rsidRPr="006713D2">
        <w:rPr>
          <w:rFonts w:ascii="Arial" w:eastAsia="Times New Roman" w:hAnsi="Arial" w:cs="Arial"/>
          <w:sz w:val="24"/>
          <w:szCs w:val="24"/>
        </w:rPr>
        <w:t>be</w:t>
      </w:r>
      <w:proofErr w:type="gramEnd"/>
      <w:r w:rsidRPr="006713D2">
        <w:rPr>
          <w:rFonts w:ascii="Arial" w:eastAsia="Times New Roman" w:hAnsi="Arial" w:cs="Arial"/>
          <w:sz w:val="24"/>
          <w:szCs w:val="24"/>
        </w:rPr>
        <w:t xml:space="preserve"> incorporated into the contract? </w:t>
      </w:r>
      <w:r w:rsidRPr="006713D2">
        <w:rPr>
          <w:rFonts w:ascii="Arial" w:eastAsia="Times New Roman" w:hAnsi="Arial" w:cs="Arial"/>
          <w:sz w:val="24"/>
          <w:szCs w:val="24"/>
        </w:rPr>
        <w:br/>
      </w:r>
      <w:r w:rsidRPr="006713D2">
        <w:rPr>
          <w:rFonts w:ascii="Arial" w:eastAsia="Times New Roman" w:hAnsi="Arial" w:cs="Arial"/>
          <w:b/>
          <w:bCs/>
          <w:sz w:val="24"/>
          <w:szCs w:val="24"/>
        </w:rPr>
        <w:t>A: Our solicitation states on page 14 that in the event the CEC cancels or modifies a translation request before the document is delivered, the CEC shall pay for work completed up to the point of cancellation/modification.</w:t>
      </w:r>
    </w:p>
    <w:sectPr w:rsidR="006713D2" w:rsidRPr="006713D2" w:rsidSect="00154AC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4491" w14:textId="77777777" w:rsidR="00356612" w:rsidRDefault="00356612" w:rsidP="00FB410C">
      <w:r>
        <w:separator/>
      </w:r>
    </w:p>
  </w:endnote>
  <w:endnote w:type="continuationSeparator" w:id="0">
    <w:p w14:paraId="68289929" w14:textId="77777777" w:rsidR="00356612" w:rsidRDefault="00356612" w:rsidP="00F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8935" w14:textId="15646A6A" w:rsidR="00FB410C" w:rsidRPr="00FB410C" w:rsidRDefault="00FB410C">
    <w:pPr>
      <w:pStyle w:val="Footer"/>
      <w:rPr>
        <w:rFonts w:ascii="Arial" w:hAnsi="Arial" w:cs="Arial"/>
        <w:sz w:val="20"/>
        <w:szCs w:val="20"/>
      </w:rPr>
    </w:pPr>
    <w:r w:rsidRPr="00FB410C">
      <w:rPr>
        <w:rFonts w:ascii="Arial" w:hAnsi="Arial" w:cs="Arial"/>
        <w:sz w:val="20"/>
        <w:szCs w:val="20"/>
      </w:rPr>
      <w:t>December 1</w:t>
    </w:r>
    <w:r w:rsidR="002D627E">
      <w:rPr>
        <w:rFonts w:ascii="Arial" w:hAnsi="Arial" w:cs="Arial"/>
        <w:sz w:val="20"/>
        <w:szCs w:val="20"/>
      </w:rPr>
      <w:t>6</w:t>
    </w:r>
    <w:r w:rsidRPr="00FB410C">
      <w:rPr>
        <w:rFonts w:ascii="Arial" w:hAnsi="Arial" w:cs="Arial"/>
        <w:sz w:val="20"/>
        <w:szCs w:val="20"/>
      </w:rPr>
      <w:t>, 2022</w:t>
    </w:r>
    <w:r w:rsidRPr="00FB410C">
      <w:rPr>
        <w:rFonts w:ascii="Arial" w:hAnsi="Arial" w:cs="Arial"/>
        <w:sz w:val="20"/>
        <w:szCs w:val="20"/>
      </w:rPr>
      <w:ptab w:relativeTo="margin" w:alignment="center" w:leader="none"/>
    </w:r>
    <w:r w:rsidRPr="00FB410C">
      <w:rPr>
        <w:rFonts w:ascii="Arial" w:hAnsi="Arial" w:cs="Arial"/>
        <w:sz w:val="20"/>
        <w:szCs w:val="20"/>
      </w:rPr>
      <w:t xml:space="preserve">Page </w:t>
    </w:r>
    <w:r w:rsidRPr="00FB410C">
      <w:rPr>
        <w:rFonts w:ascii="Arial" w:hAnsi="Arial" w:cs="Arial"/>
        <w:sz w:val="20"/>
        <w:szCs w:val="20"/>
      </w:rPr>
      <w:fldChar w:fldCharType="begin"/>
    </w:r>
    <w:r w:rsidRPr="00FB410C">
      <w:rPr>
        <w:rFonts w:ascii="Arial" w:hAnsi="Arial" w:cs="Arial"/>
        <w:sz w:val="20"/>
        <w:szCs w:val="20"/>
      </w:rPr>
      <w:instrText xml:space="preserve"> PAGE  \* Arabic  \* MERGEFORMAT </w:instrText>
    </w:r>
    <w:r w:rsidRPr="00FB410C">
      <w:rPr>
        <w:rFonts w:ascii="Arial" w:hAnsi="Arial" w:cs="Arial"/>
        <w:sz w:val="20"/>
        <w:szCs w:val="20"/>
      </w:rPr>
      <w:fldChar w:fldCharType="separate"/>
    </w:r>
    <w:r w:rsidRPr="00FB410C">
      <w:rPr>
        <w:rFonts w:ascii="Arial" w:hAnsi="Arial" w:cs="Arial"/>
        <w:noProof/>
        <w:sz w:val="20"/>
        <w:szCs w:val="20"/>
      </w:rPr>
      <w:t>1</w:t>
    </w:r>
    <w:r w:rsidRPr="00FB410C">
      <w:rPr>
        <w:rFonts w:ascii="Arial" w:hAnsi="Arial" w:cs="Arial"/>
        <w:sz w:val="20"/>
        <w:szCs w:val="20"/>
      </w:rPr>
      <w:fldChar w:fldCharType="end"/>
    </w:r>
    <w:r w:rsidRPr="00FB410C">
      <w:rPr>
        <w:rFonts w:ascii="Arial" w:hAnsi="Arial" w:cs="Arial"/>
        <w:sz w:val="20"/>
        <w:szCs w:val="20"/>
      </w:rPr>
      <w:t xml:space="preserve"> of </w:t>
    </w:r>
    <w:r w:rsidRPr="00FB410C">
      <w:rPr>
        <w:rFonts w:ascii="Arial" w:hAnsi="Arial" w:cs="Arial"/>
        <w:sz w:val="20"/>
        <w:szCs w:val="20"/>
      </w:rPr>
      <w:fldChar w:fldCharType="begin"/>
    </w:r>
    <w:r w:rsidRPr="00FB410C">
      <w:rPr>
        <w:rFonts w:ascii="Arial" w:hAnsi="Arial" w:cs="Arial"/>
        <w:sz w:val="20"/>
        <w:szCs w:val="20"/>
      </w:rPr>
      <w:instrText xml:space="preserve"> NUMPAGES  \* Arabic  \* MERGEFORMAT </w:instrText>
    </w:r>
    <w:r w:rsidRPr="00FB410C">
      <w:rPr>
        <w:rFonts w:ascii="Arial" w:hAnsi="Arial" w:cs="Arial"/>
        <w:sz w:val="20"/>
        <w:szCs w:val="20"/>
      </w:rPr>
      <w:fldChar w:fldCharType="separate"/>
    </w:r>
    <w:r w:rsidRPr="00FB410C">
      <w:rPr>
        <w:rFonts w:ascii="Arial" w:hAnsi="Arial" w:cs="Arial"/>
        <w:noProof/>
        <w:sz w:val="20"/>
        <w:szCs w:val="20"/>
      </w:rPr>
      <w:t>2</w:t>
    </w:r>
    <w:r w:rsidRPr="00FB410C">
      <w:rPr>
        <w:rFonts w:ascii="Arial" w:hAnsi="Arial" w:cs="Arial"/>
        <w:sz w:val="20"/>
        <w:szCs w:val="20"/>
      </w:rPr>
      <w:fldChar w:fldCharType="end"/>
    </w:r>
    <w:r w:rsidRPr="00FB410C">
      <w:rPr>
        <w:rFonts w:ascii="Arial" w:hAnsi="Arial" w:cs="Arial"/>
        <w:sz w:val="20"/>
        <w:szCs w:val="20"/>
      </w:rPr>
      <w:ptab w:relativeTo="margin" w:alignment="right" w:leader="none"/>
    </w:r>
    <w:r w:rsidRPr="00FB410C">
      <w:rPr>
        <w:rFonts w:ascii="Arial" w:hAnsi="Arial" w:cs="Arial"/>
        <w:sz w:val="20"/>
        <w:szCs w:val="20"/>
      </w:rPr>
      <w:t>IFB-22-402</w:t>
    </w:r>
    <w:r w:rsidRPr="00FB410C">
      <w:rPr>
        <w:rFonts w:ascii="Arial" w:hAnsi="Arial" w:cs="Arial"/>
        <w:sz w:val="20"/>
        <w:szCs w:val="20"/>
      </w:rPr>
      <w:br/>
    </w:r>
    <w:r w:rsidRPr="00FB410C">
      <w:rPr>
        <w:rFonts w:ascii="Arial" w:hAnsi="Arial" w:cs="Arial"/>
        <w:sz w:val="20"/>
        <w:szCs w:val="20"/>
      </w:rPr>
      <w:tab/>
    </w:r>
    <w:r w:rsidRPr="00FB410C">
      <w:rPr>
        <w:rFonts w:ascii="Arial" w:hAnsi="Arial" w:cs="Arial"/>
        <w:sz w:val="20"/>
        <w:szCs w:val="20"/>
      </w:rPr>
      <w:tab/>
      <w:t>TI</w:t>
    </w:r>
    <w:r>
      <w:rPr>
        <w:rFonts w:ascii="Arial" w:hAnsi="Arial" w:cs="Arial"/>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B78C" w14:textId="77777777" w:rsidR="00356612" w:rsidRDefault="00356612" w:rsidP="00FB410C">
      <w:r>
        <w:separator/>
      </w:r>
    </w:p>
  </w:footnote>
  <w:footnote w:type="continuationSeparator" w:id="0">
    <w:p w14:paraId="23FD1331" w14:textId="77777777" w:rsidR="00356612" w:rsidRDefault="00356612" w:rsidP="00FB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624"/>
    <w:multiLevelType w:val="multilevel"/>
    <w:tmpl w:val="3C70F4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01868"/>
    <w:multiLevelType w:val="hybridMultilevel"/>
    <w:tmpl w:val="22325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0696"/>
    <w:multiLevelType w:val="hybridMultilevel"/>
    <w:tmpl w:val="633C6854"/>
    <w:lvl w:ilvl="0" w:tplc="F08CD760">
      <w:start w:val="1"/>
      <w:numFmt w:val="upperLetter"/>
      <w:lvlText w:val="%1."/>
      <w:lvlJc w:val="left"/>
      <w:pPr>
        <w:ind w:left="720" w:hanging="360"/>
      </w:pPr>
      <w:rPr>
        <w:rFonts w:ascii="Calibri"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3864"/>
    <w:multiLevelType w:val="hybridMultilevel"/>
    <w:tmpl w:val="82EACABA"/>
    <w:lvl w:ilvl="0" w:tplc="E766CD8A">
      <w:start w:val="1"/>
      <w:numFmt w:val="upperLetter"/>
      <w:lvlText w:val="%1."/>
      <w:lvlJc w:val="left"/>
      <w:pPr>
        <w:ind w:left="720" w:hanging="360"/>
      </w:pPr>
      <w:rPr>
        <w:rFonts w:ascii="Calibri" w:hAnsi="Calibri" w:cs="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53203"/>
    <w:multiLevelType w:val="hybridMultilevel"/>
    <w:tmpl w:val="CB54C8DC"/>
    <w:lvl w:ilvl="0" w:tplc="349E0D20">
      <w:start w:val="1"/>
      <w:numFmt w:val="upperLetter"/>
      <w:lvlText w:val="%1."/>
      <w:lvlJc w:val="left"/>
      <w:pPr>
        <w:ind w:left="720" w:hanging="360"/>
      </w:pPr>
      <w:rPr>
        <w:rFonts w:ascii="Calibri" w:hAnsi="Calibri" w:cs="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66DBD"/>
    <w:multiLevelType w:val="multilevel"/>
    <w:tmpl w:val="71D2E00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C22A32"/>
    <w:multiLevelType w:val="hybridMultilevel"/>
    <w:tmpl w:val="A68EF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E34A0E"/>
    <w:multiLevelType w:val="multilevel"/>
    <w:tmpl w:val="7DD6D8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2B1BA4"/>
    <w:multiLevelType w:val="multilevel"/>
    <w:tmpl w:val="31922C7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437842"/>
    <w:multiLevelType w:val="hybridMultilevel"/>
    <w:tmpl w:val="39A8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ED1CA4"/>
    <w:multiLevelType w:val="multilevel"/>
    <w:tmpl w:val="F828D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CD015C"/>
    <w:multiLevelType w:val="multilevel"/>
    <w:tmpl w:val="90EC1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7D5536"/>
    <w:multiLevelType w:val="multilevel"/>
    <w:tmpl w:val="81DECA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EFD7354"/>
    <w:multiLevelType w:val="multilevel"/>
    <w:tmpl w:val="5FD00A3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A76357"/>
    <w:multiLevelType w:val="multilevel"/>
    <w:tmpl w:val="AFC0C80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19643B"/>
    <w:multiLevelType w:val="multilevel"/>
    <w:tmpl w:val="D14CF98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696AAA"/>
    <w:multiLevelType w:val="hybridMultilevel"/>
    <w:tmpl w:val="BFDAB10E"/>
    <w:lvl w:ilvl="0" w:tplc="0F709D16">
      <w:start w:val="1"/>
      <w:numFmt w:val="upperLetter"/>
      <w:lvlText w:val="%1."/>
      <w:lvlJc w:val="left"/>
      <w:pPr>
        <w:ind w:left="720" w:hanging="360"/>
      </w:pPr>
      <w:rPr>
        <w:rFonts w:ascii="Calibri" w:hAnsi="Calibri" w:cs="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F43E7"/>
    <w:multiLevelType w:val="hybridMultilevel"/>
    <w:tmpl w:val="96E43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47405"/>
    <w:multiLevelType w:val="hybridMultilevel"/>
    <w:tmpl w:val="CDC6BFAA"/>
    <w:lvl w:ilvl="0" w:tplc="9802336A">
      <w:start w:val="1"/>
      <w:numFmt w:val="upperLetter"/>
      <w:lvlText w:val="%1."/>
      <w:lvlJc w:val="left"/>
      <w:pPr>
        <w:ind w:left="720" w:hanging="360"/>
      </w:pPr>
      <w:rPr>
        <w:rFonts w:ascii="Calibri"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D1D30"/>
    <w:multiLevelType w:val="hybridMultilevel"/>
    <w:tmpl w:val="B72EDAFA"/>
    <w:lvl w:ilvl="0" w:tplc="59C66F9E">
      <w:start w:val="1"/>
      <w:numFmt w:val="decimal"/>
      <w:lvlText w:val="%1."/>
      <w:lvlJc w:val="left"/>
      <w:pPr>
        <w:ind w:left="420" w:hanging="360"/>
      </w:pPr>
      <w:rPr>
        <w:rFonts w:hint="default"/>
        <w:b w:val="0"/>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6E8414C2"/>
    <w:multiLevelType w:val="hybridMultilevel"/>
    <w:tmpl w:val="95BAAAF8"/>
    <w:lvl w:ilvl="0" w:tplc="7192739C">
      <w:start w:val="1"/>
      <w:numFmt w:val="upperLetter"/>
      <w:lvlText w:val="%1."/>
      <w:lvlJc w:val="left"/>
      <w:pPr>
        <w:ind w:left="720" w:hanging="360"/>
      </w:pPr>
      <w:rPr>
        <w:rFonts w:ascii="Calibri" w:hAnsi="Calibri" w:cs="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517D4"/>
    <w:multiLevelType w:val="multilevel"/>
    <w:tmpl w:val="C7FEDF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17A1944"/>
    <w:multiLevelType w:val="hybridMultilevel"/>
    <w:tmpl w:val="2000F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44200"/>
    <w:multiLevelType w:val="multilevel"/>
    <w:tmpl w:val="6FF45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BA772D"/>
    <w:multiLevelType w:val="hybridMultilevel"/>
    <w:tmpl w:val="BD726890"/>
    <w:lvl w:ilvl="0" w:tplc="E5CA106E">
      <w:start w:val="1"/>
      <w:numFmt w:val="upperLetter"/>
      <w:lvlText w:val="%1."/>
      <w:lvlJc w:val="left"/>
      <w:pPr>
        <w:ind w:left="720" w:hanging="360"/>
      </w:pPr>
      <w:rPr>
        <w:rFonts w:ascii="Calibri" w:hAnsi="Calibri" w:cs="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4"/>
  </w:num>
  <w:num w:numId="15">
    <w:abstractNumId w:val="20"/>
  </w:num>
  <w:num w:numId="16">
    <w:abstractNumId w:val="3"/>
  </w:num>
  <w:num w:numId="17">
    <w:abstractNumId w:val="1"/>
  </w:num>
  <w:num w:numId="18">
    <w:abstractNumId w:val="24"/>
  </w:num>
  <w:num w:numId="19">
    <w:abstractNumId w:val="17"/>
  </w:num>
  <w:num w:numId="20">
    <w:abstractNumId w:val="18"/>
  </w:num>
  <w:num w:numId="21">
    <w:abstractNumId w:val="1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2E"/>
    <w:rsid w:val="000271D0"/>
    <w:rsid w:val="00055563"/>
    <w:rsid w:val="00060F1A"/>
    <w:rsid w:val="00064A8C"/>
    <w:rsid w:val="0007585E"/>
    <w:rsid w:val="00086459"/>
    <w:rsid w:val="000E7748"/>
    <w:rsid w:val="00112260"/>
    <w:rsid w:val="001317ED"/>
    <w:rsid w:val="00133080"/>
    <w:rsid w:val="00154AC9"/>
    <w:rsid w:val="001A28CD"/>
    <w:rsid w:val="001A59D5"/>
    <w:rsid w:val="001C62DF"/>
    <w:rsid w:val="002078A8"/>
    <w:rsid w:val="002314A9"/>
    <w:rsid w:val="00270582"/>
    <w:rsid w:val="002819F3"/>
    <w:rsid w:val="002B2E93"/>
    <w:rsid w:val="002D627E"/>
    <w:rsid w:val="0033626F"/>
    <w:rsid w:val="00356612"/>
    <w:rsid w:val="003A0252"/>
    <w:rsid w:val="00432CCA"/>
    <w:rsid w:val="00464435"/>
    <w:rsid w:val="00482AD6"/>
    <w:rsid w:val="004A7BB5"/>
    <w:rsid w:val="004A7F37"/>
    <w:rsid w:val="00543DE5"/>
    <w:rsid w:val="00550DCD"/>
    <w:rsid w:val="00565F5A"/>
    <w:rsid w:val="00586074"/>
    <w:rsid w:val="005C534A"/>
    <w:rsid w:val="005D3F61"/>
    <w:rsid w:val="005F4D2A"/>
    <w:rsid w:val="00607AEF"/>
    <w:rsid w:val="00615397"/>
    <w:rsid w:val="0062015E"/>
    <w:rsid w:val="006713D2"/>
    <w:rsid w:val="006746BE"/>
    <w:rsid w:val="0068349E"/>
    <w:rsid w:val="006C392B"/>
    <w:rsid w:val="00712B36"/>
    <w:rsid w:val="0076131F"/>
    <w:rsid w:val="007878E5"/>
    <w:rsid w:val="007F13DB"/>
    <w:rsid w:val="00890D86"/>
    <w:rsid w:val="008921FE"/>
    <w:rsid w:val="009779C8"/>
    <w:rsid w:val="009B342E"/>
    <w:rsid w:val="009C306B"/>
    <w:rsid w:val="009D217E"/>
    <w:rsid w:val="009E31A9"/>
    <w:rsid w:val="00A46C02"/>
    <w:rsid w:val="00A54886"/>
    <w:rsid w:val="00A83600"/>
    <w:rsid w:val="00A87757"/>
    <w:rsid w:val="00BC05C0"/>
    <w:rsid w:val="00BE4354"/>
    <w:rsid w:val="00BE5346"/>
    <w:rsid w:val="00C5778F"/>
    <w:rsid w:val="00CB63E1"/>
    <w:rsid w:val="00D03C7E"/>
    <w:rsid w:val="00D15424"/>
    <w:rsid w:val="00D61DC3"/>
    <w:rsid w:val="00D644CB"/>
    <w:rsid w:val="00D96B3F"/>
    <w:rsid w:val="00DC4039"/>
    <w:rsid w:val="00DD501C"/>
    <w:rsid w:val="00DE38E8"/>
    <w:rsid w:val="00E15270"/>
    <w:rsid w:val="00EE6556"/>
    <w:rsid w:val="00F160AD"/>
    <w:rsid w:val="00F53137"/>
    <w:rsid w:val="00F85BC7"/>
    <w:rsid w:val="00FA5F0C"/>
    <w:rsid w:val="00FB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14D5"/>
  <w15:chartTrackingRefBased/>
  <w15:docId w15:val="{7A71FA40-8800-409B-88D7-14E2A0FC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9B342E"/>
  </w:style>
  <w:style w:type="paragraph" w:customStyle="1" w:styleId="xmsolistparagraph">
    <w:name w:val="x_msolistparagraph"/>
    <w:basedOn w:val="Normal"/>
    <w:uiPriority w:val="99"/>
    <w:rsid w:val="009B342E"/>
  </w:style>
  <w:style w:type="paragraph" w:customStyle="1" w:styleId="xxmsonormal">
    <w:name w:val="x_xmsonormal"/>
    <w:basedOn w:val="Normal"/>
    <w:uiPriority w:val="99"/>
    <w:rsid w:val="009B342E"/>
  </w:style>
  <w:style w:type="character" w:styleId="CommentReference">
    <w:name w:val="annotation reference"/>
    <w:basedOn w:val="DefaultParagraphFont"/>
    <w:uiPriority w:val="99"/>
    <w:semiHidden/>
    <w:unhideWhenUsed/>
    <w:rsid w:val="00DD501C"/>
    <w:rPr>
      <w:sz w:val="16"/>
      <w:szCs w:val="16"/>
    </w:rPr>
  </w:style>
  <w:style w:type="paragraph" w:styleId="CommentText">
    <w:name w:val="annotation text"/>
    <w:basedOn w:val="Normal"/>
    <w:link w:val="CommentTextChar"/>
    <w:uiPriority w:val="99"/>
    <w:semiHidden/>
    <w:unhideWhenUsed/>
    <w:rsid w:val="00DD501C"/>
    <w:rPr>
      <w:sz w:val="20"/>
      <w:szCs w:val="20"/>
    </w:rPr>
  </w:style>
  <w:style w:type="character" w:customStyle="1" w:styleId="CommentTextChar">
    <w:name w:val="Comment Text Char"/>
    <w:basedOn w:val="DefaultParagraphFont"/>
    <w:link w:val="CommentText"/>
    <w:uiPriority w:val="99"/>
    <w:semiHidden/>
    <w:rsid w:val="00DD50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01C"/>
    <w:rPr>
      <w:b/>
      <w:bCs/>
    </w:rPr>
  </w:style>
  <w:style w:type="character" w:customStyle="1" w:styleId="CommentSubjectChar">
    <w:name w:val="Comment Subject Char"/>
    <w:basedOn w:val="CommentTextChar"/>
    <w:link w:val="CommentSubject"/>
    <w:uiPriority w:val="99"/>
    <w:semiHidden/>
    <w:rsid w:val="00DD501C"/>
    <w:rPr>
      <w:rFonts w:ascii="Times New Roman" w:hAnsi="Times New Roman" w:cs="Times New Roman"/>
      <w:b/>
      <w:bCs/>
      <w:sz w:val="20"/>
      <w:szCs w:val="20"/>
    </w:rPr>
  </w:style>
  <w:style w:type="character" w:styleId="UnresolvedMention">
    <w:name w:val="Unresolved Mention"/>
    <w:basedOn w:val="DefaultParagraphFont"/>
    <w:uiPriority w:val="99"/>
    <w:unhideWhenUsed/>
    <w:rsid w:val="00EE6556"/>
    <w:rPr>
      <w:color w:val="605E5C"/>
      <w:shd w:val="clear" w:color="auto" w:fill="E1DFDD"/>
    </w:rPr>
  </w:style>
  <w:style w:type="character" w:styleId="Mention">
    <w:name w:val="Mention"/>
    <w:basedOn w:val="DefaultParagraphFont"/>
    <w:uiPriority w:val="99"/>
    <w:unhideWhenUsed/>
    <w:rsid w:val="00EE6556"/>
    <w:rPr>
      <w:color w:val="2B579A"/>
      <w:shd w:val="clear" w:color="auto" w:fill="E1DFDD"/>
    </w:rPr>
  </w:style>
  <w:style w:type="paragraph" w:styleId="ListParagraph">
    <w:name w:val="List Paragraph"/>
    <w:basedOn w:val="Normal"/>
    <w:uiPriority w:val="34"/>
    <w:qFormat/>
    <w:rsid w:val="00F85BC7"/>
    <w:pPr>
      <w:ind w:left="720"/>
    </w:pPr>
    <w:rPr>
      <w:rFonts w:ascii="Calibri" w:hAnsi="Calibri" w:cs="Calibri"/>
      <w:sz w:val="22"/>
      <w:szCs w:val="22"/>
    </w:rPr>
  </w:style>
  <w:style w:type="paragraph" w:styleId="Header">
    <w:name w:val="header"/>
    <w:basedOn w:val="Normal"/>
    <w:link w:val="HeaderChar"/>
    <w:uiPriority w:val="99"/>
    <w:unhideWhenUsed/>
    <w:rsid w:val="00FB410C"/>
    <w:pPr>
      <w:tabs>
        <w:tab w:val="center" w:pos="4680"/>
        <w:tab w:val="right" w:pos="9360"/>
      </w:tabs>
    </w:pPr>
  </w:style>
  <w:style w:type="character" w:customStyle="1" w:styleId="HeaderChar">
    <w:name w:val="Header Char"/>
    <w:basedOn w:val="DefaultParagraphFont"/>
    <w:link w:val="Header"/>
    <w:uiPriority w:val="99"/>
    <w:rsid w:val="00FB410C"/>
    <w:rPr>
      <w:rFonts w:ascii="Times New Roman" w:hAnsi="Times New Roman" w:cs="Times New Roman"/>
      <w:sz w:val="24"/>
      <w:szCs w:val="24"/>
    </w:rPr>
  </w:style>
  <w:style w:type="paragraph" w:styleId="Footer">
    <w:name w:val="footer"/>
    <w:basedOn w:val="Normal"/>
    <w:link w:val="FooterChar"/>
    <w:uiPriority w:val="99"/>
    <w:unhideWhenUsed/>
    <w:rsid w:val="00FB410C"/>
    <w:pPr>
      <w:tabs>
        <w:tab w:val="center" w:pos="4680"/>
        <w:tab w:val="right" w:pos="9360"/>
      </w:tabs>
    </w:pPr>
  </w:style>
  <w:style w:type="character" w:customStyle="1" w:styleId="FooterChar">
    <w:name w:val="Footer Char"/>
    <w:basedOn w:val="DefaultParagraphFont"/>
    <w:link w:val="Footer"/>
    <w:uiPriority w:val="99"/>
    <w:rsid w:val="00FB41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7450">
      <w:bodyDiv w:val="1"/>
      <w:marLeft w:val="0"/>
      <w:marRight w:val="0"/>
      <w:marTop w:val="0"/>
      <w:marBottom w:val="0"/>
      <w:divBdr>
        <w:top w:val="none" w:sz="0" w:space="0" w:color="auto"/>
        <w:left w:val="none" w:sz="0" w:space="0" w:color="auto"/>
        <w:bottom w:val="none" w:sz="0" w:space="0" w:color="auto"/>
        <w:right w:val="none" w:sz="0" w:space="0" w:color="auto"/>
      </w:divBdr>
    </w:div>
    <w:div w:id="229922521">
      <w:bodyDiv w:val="1"/>
      <w:marLeft w:val="0"/>
      <w:marRight w:val="0"/>
      <w:marTop w:val="0"/>
      <w:marBottom w:val="0"/>
      <w:divBdr>
        <w:top w:val="none" w:sz="0" w:space="0" w:color="auto"/>
        <w:left w:val="none" w:sz="0" w:space="0" w:color="auto"/>
        <w:bottom w:val="none" w:sz="0" w:space="0" w:color="auto"/>
        <w:right w:val="none" w:sz="0" w:space="0" w:color="auto"/>
      </w:divBdr>
    </w:div>
    <w:div w:id="381711937">
      <w:bodyDiv w:val="1"/>
      <w:marLeft w:val="0"/>
      <w:marRight w:val="0"/>
      <w:marTop w:val="0"/>
      <w:marBottom w:val="0"/>
      <w:divBdr>
        <w:top w:val="none" w:sz="0" w:space="0" w:color="auto"/>
        <w:left w:val="none" w:sz="0" w:space="0" w:color="auto"/>
        <w:bottom w:val="none" w:sz="0" w:space="0" w:color="auto"/>
        <w:right w:val="none" w:sz="0" w:space="0" w:color="auto"/>
      </w:divBdr>
    </w:div>
    <w:div w:id="413212947">
      <w:bodyDiv w:val="1"/>
      <w:marLeft w:val="0"/>
      <w:marRight w:val="0"/>
      <w:marTop w:val="0"/>
      <w:marBottom w:val="0"/>
      <w:divBdr>
        <w:top w:val="none" w:sz="0" w:space="0" w:color="auto"/>
        <w:left w:val="none" w:sz="0" w:space="0" w:color="auto"/>
        <w:bottom w:val="none" w:sz="0" w:space="0" w:color="auto"/>
        <w:right w:val="none" w:sz="0" w:space="0" w:color="auto"/>
      </w:divBdr>
      <w:divsChild>
        <w:div w:id="1604681302">
          <w:marLeft w:val="0"/>
          <w:marRight w:val="0"/>
          <w:marTop w:val="0"/>
          <w:marBottom w:val="0"/>
          <w:divBdr>
            <w:top w:val="none" w:sz="0" w:space="0" w:color="auto"/>
            <w:left w:val="none" w:sz="0" w:space="0" w:color="auto"/>
            <w:bottom w:val="none" w:sz="0" w:space="0" w:color="auto"/>
            <w:right w:val="none" w:sz="0" w:space="0" w:color="auto"/>
          </w:divBdr>
        </w:div>
        <w:div w:id="1700429234">
          <w:marLeft w:val="0"/>
          <w:marRight w:val="0"/>
          <w:marTop w:val="0"/>
          <w:marBottom w:val="0"/>
          <w:divBdr>
            <w:top w:val="none" w:sz="0" w:space="0" w:color="auto"/>
            <w:left w:val="none" w:sz="0" w:space="0" w:color="auto"/>
            <w:bottom w:val="none" w:sz="0" w:space="0" w:color="auto"/>
            <w:right w:val="none" w:sz="0" w:space="0" w:color="auto"/>
          </w:divBdr>
        </w:div>
        <w:div w:id="1385181666">
          <w:marLeft w:val="0"/>
          <w:marRight w:val="0"/>
          <w:marTop w:val="0"/>
          <w:marBottom w:val="0"/>
          <w:divBdr>
            <w:top w:val="none" w:sz="0" w:space="0" w:color="auto"/>
            <w:left w:val="none" w:sz="0" w:space="0" w:color="auto"/>
            <w:bottom w:val="none" w:sz="0" w:space="0" w:color="auto"/>
            <w:right w:val="none" w:sz="0" w:space="0" w:color="auto"/>
          </w:divBdr>
        </w:div>
        <w:div w:id="1302805323">
          <w:marLeft w:val="0"/>
          <w:marRight w:val="0"/>
          <w:marTop w:val="0"/>
          <w:marBottom w:val="0"/>
          <w:divBdr>
            <w:top w:val="none" w:sz="0" w:space="0" w:color="auto"/>
            <w:left w:val="none" w:sz="0" w:space="0" w:color="auto"/>
            <w:bottom w:val="none" w:sz="0" w:space="0" w:color="auto"/>
            <w:right w:val="none" w:sz="0" w:space="0" w:color="auto"/>
          </w:divBdr>
        </w:div>
        <w:div w:id="1106920217">
          <w:marLeft w:val="0"/>
          <w:marRight w:val="0"/>
          <w:marTop w:val="0"/>
          <w:marBottom w:val="0"/>
          <w:divBdr>
            <w:top w:val="none" w:sz="0" w:space="0" w:color="auto"/>
            <w:left w:val="none" w:sz="0" w:space="0" w:color="auto"/>
            <w:bottom w:val="none" w:sz="0" w:space="0" w:color="auto"/>
            <w:right w:val="none" w:sz="0" w:space="0" w:color="auto"/>
          </w:divBdr>
        </w:div>
        <w:div w:id="749278473">
          <w:marLeft w:val="0"/>
          <w:marRight w:val="0"/>
          <w:marTop w:val="0"/>
          <w:marBottom w:val="0"/>
          <w:divBdr>
            <w:top w:val="none" w:sz="0" w:space="0" w:color="auto"/>
            <w:left w:val="none" w:sz="0" w:space="0" w:color="auto"/>
            <w:bottom w:val="none" w:sz="0" w:space="0" w:color="auto"/>
            <w:right w:val="none" w:sz="0" w:space="0" w:color="auto"/>
          </w:divBdr>
        </w:div>
      </w:divsChild>
    </w:div>
    <w:div w:id="679627296">
      <w:bodyDiv w:val="1"/>
      <w:marLeft w:val="0"/>
      <w:marRight w:val="0"/>
      <w:marTop w:val="0"/>
      <w:marBottom w:val="0"/>
      <w:divBdr>
        <w:top w:val="none" w:sz="0" w:space="0" w:color="auto"/>
        <w:left w:val="none" w:sz="0" w:space="0" w:color="auto"/>
        <w:bottom w:val="none" w:sz="0" w:space="0" w:color="auto"/>
        <w:right w:val="none" w:sz="0" w:space="0" w:color="auto"/>
      </w:divBdr>
    </w:div>
    <w:div w:id="974603033">
      <w:bodyDiv w:val="1"/>
      <w:marLeft w:val="0"/>
      <w:marRight w:val="0"/>
      <w:marTop w:val="0"/>
      <w:marBottom w:val="0"/>
      <w:divBdr>
        <w:top w:val="none" w:sz="0" w:space="0" w:color="auto"/>
        <w:left w:val="none" w:sz="0" w:space="0" w:color="auto"/>
        <w:bottom w:val="none" w:sz="0" w:space="0" w:color="auto"/>
        <w:right w:val="none" w:sz="0" w:space="0" w:color="auto"/>
      </w:divBdr>
    </w:div>
    <w:div w:id="1032539819">
      <w:bodyDiv w:val="1"/>
      <w:marLeft w:val="0"/>
      <w:marRight w:val="0"/>
      <w:marTop w:val="0"/>
      <w:marBottom w:val="0"/>
      <w:divBdr>
        <w:top w:val="none" w:sz="0" w:space="0" w:color="auto"/>
        <w:left w:val="none" w:sz="0" w:space="0" w:color="auto"/>
        <w:bottom w:val="none" w:sz="0" w:space="0" w:color="auto"/>
        <w:right w:val="none" w:sz="0" w:space="0" w:color="auto"/>
      </w:divBdr>
    </w:div>
    <w:div w:id="1400513521">
      <w:bodyDiv w:val="1"/>
      <w:marLeft w:val="0"/>
      <w:marRight w:val="0"/>
      <w:marTop w:val="0"/>
      <w:marBottom w:val="0"/>
      <w:divBdr>
        <w:top w:val="none" w:sz="0" w:space="0" w:color="auto"/>
        <w:left w:val="none" w:sz="0" w:space="0" w:color="auto"/>
        <w:bottom w:val="none" w:sz="0" w:space="0" w:color="auto"/>
        <w:right w:val="none" w:sz="0" w:space="0" w:color="auto"/>
      </w:divBdr>
    </w:div>
    <w:div w:id="1777216199">
      <w:bodyDiv w:val="1"/>
      <w:marLeft w:val="0"/>
      <w:marRight w:val="0"/>
      <w:marTop w:val="0"/>
      <w:marBottom w:val="0"/>
      <w:divBdr>
        <w:top w:val="none" w:sz="0" w:space="0" w:color="auto"/>
        <w:left w:val="none" w:sz="0" w:space="0" w:color="auto"/>
        <w:bottom w:val="none" w:sz="0" w:space="0" w:color="auto"/>
        <w:right w:val="none" w:sz="0" w:space="0" w:color="auto"/>
      </w:divBdr>
    </w:div>
    <w:div w:id="19598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DA96E-9C36-45C8-828D-03AFDED69ABA}">
  <ds:schemaRefs>
    <ds:schemaRef ds:uri="http://schemas.microsoft.com/office/2006/metadata/properties"/>
    <ds:schemaRef ds:uri="http://schemas.microsoft.com/office/2006/documentManagement/types"/>
    <ds:schemaRef ds:uri="5067c814-4b34-462c-a21d-c185ff6548d2"/>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785685f2-c2e1-4352-89aa-3faca8eaba52"/>
  </ds:schemaRefs>
</ds:datastoreItem>
</file>

<file path=customXml/itemProps2.xml><?xml version="1.0" encoding="utf-8"?>
<ds:datastoreItem xmlns:ds="http://schemas.openxmlformats.org/officeDocument/2006/customXml" ds:itemID="{38AB1213-45EB-4EB2-829D-0EDC885F1F92}">
  <ds:schemaRefs>
    <ds:schemaRef ds:uri="http://schemas.microsoft.com/sharepoint/v3/contenttype/forms"/>
  </ds:schemaRefs>
</ds:datastoreItem>
</file>

<file path=customXml/itemProps3.xml><?xml version="1.0" encoding="utf-8"?>
<ds:datastoreItem xmlns:ds="http://schemas.openxmlformats.org/officeDocument/2006/customXml" ds:itemID="{6B5C0A1D-EFF7-4999-94AF-0FF1855E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6190</CharactersWithSpaces>
  <SharedDoc>false</SharedDoc>
  <HLinks>
    <vt:vector size="6" baseType="variant">
      <vt:variant>
        <vt:i4>393257</vt:i4>
      </vt:variant>
      <vt:variant>
        <vt:i4>0</vt:i4>
      </vt:variant>
      <vt:variant>
        <vt:i4>0</vt:i4>
      </vt:variant>
      <vt:variant>
        <vt:i4>5</vt:i4>
      </vt:variant>
      <vt:variant>
        <vt:lpwstr>mailto:Kathryn.Colson@energy.ca.gov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 Michael@Energy</dc:creator>
  <cp:keywords/>
  <dc:description/>
  <cp:lastModifiedBy>Dyer, Phil@Energy</cp:lastModifiedBy>
  <cp:revision>2</cp:revision>
  <dcterms:created xsi:type="dcterms:W3CDTF">2022-12-16T16:40:00Z</dcterms:created>
  <dcterms:modified xsi:type="dcterms:W3CDTF">2022-12-16T16:40:00Z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100</vt:r8>
  </property>
  <property fmtid="{D5CDD505-2E9C-101B-9397-08002B2CF9AE}" pid="4" name="MediaServiceImageTags">
    <vt:lpwstr/>
  </property>
</Properties>
</file>