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8AC8" w14:textId="77777777" w:rsidR="00B47896" w:rsidRPr="003628C9" w:rsidRDefault="00B47896" w:rsidP="111D987C">
      <w:pPr>
        <w:keepLines/>
        <w:widowControl w:val="0"/>
        <w:ind w:right="-216"/>
        <w:jc w:val="center"/>
        <w:rPr>
          <w:b/>
          <w:bCs/>
          <w:sz w:val="40"/>
          <w:szCs w:val="40"/>
        </w:rPr>
      </w:pPr>
      <w:r w:rsidRPr="003628C9">
        <w:rPr>
          <w:b/>
          <w:bCs/>
          <w:sz w:val="40"/>
          <w:szCs w:val="40"/>
        </w:rPr>
        <w:t>GRANT FUNDING OPPORTUNITY</w:t>
      </w:r>
    </w:p>
    <w:p w14:paraId="7B6CD566" w14:textId="77777777" w:rsidR="00B47896" w:rsidRPr="003628C9" w:rsidRDefault="00B47896" w:rsidP="00B47896">
      <w:pPr>
        <w:keepLines/>
        <w:widowControl w:val="0"/>
        <w:ind w:right="-216"/>
        <w:jc w:val="center"/>
        <w:rPr>
          <w:b/>
          <w:szCs w:val="22"/>
          <w:u w:val="single"/>
        </w:rPr>
      </w:pPr>
    </w:p>
    <w:p w14:paraId="1943937B" w14:textId="77777777" w:rsidR="00B47896" w:rsidRPr="00A265E2" w:rsidRDefault="00B47896" w:rsidP="00B47896">
      <w:pPr>
        <w:keepLines/>
        <w:widowControl w:val="0"/>
        <w:ind w:right="-216"/>
        <w:jc w:val="center"/>
        <w:rPr>
          <w:b/>
          <w:bCs/>
          <w:sz w:val="40"/>
          <w:szCs w:val="40"/>
          <w:u w:val="single"/>
        </w:rPr>
      </w:pPr>
      <w:r w:rsidRPr="00A265E2">
        <w:rPr>
          <w:b/>
          <w:bCs/>
          <w:sz w:val="40"/>
          <w:szCs w:val="40"/>
          <w:u w:val="single"/>
        </w:rPr>
        <w:t>SOLICITATION MANU</w:t>
      </w:r>
      <w:r w:rsidRPr="00F1123F">
        <w:rPr>
          <w:b/>
          <w:bCs/>
          <w:sz w:val="40"/>
          <w:szCs w:val="40"/>
          <w:u w:val="single"/>
        </w:rPr>
        <w:t>AL</w:t>
      </w:r>
    </w:p>
    <w:p w14:paraId="507D9F0A" w14:textId="77777777" w:rsidR="00B47896" w:rsidRPr="003628C9" w:rsidRDefault="00B47896" w:rsidP="00B47896">
      <w:pPr>
        <w:keepLines/>
        <w:widowControl w:val="0"/>
        <w:ind w:right="-216"/>
        <w:jc w:val="center"/>
        <w:rPr>
          <w:b/>
          <w:szCs w:val="22"/>
          <w:u w:val="single"/>
        </w:rPr>
      </w:pPr>
    </w:p>
    <w:p w14:paraId="7BD58843" w14:textId="25DCB40C" w:rsidR="00200E37" w:rsidRDefault="00200E37" w:rsidP="111D987C">
      <w:pPr>
        <w:keepLines/>
        <w:widowControl w:val="0"/>
        <w:jc w:val="center"/>
        <w:rPr>
          <w:b/>
          <w:bCs/>
          <w:sz w:val="36"/>
          <w:szCs w:val="36"/>
        </w:rPr>
      </w:pPr>
      <w:r w:rsidRPr="003628C9">
        <w:rPr>
          <w:b/>
          <w:sz w:val="36"/>
          <w:szCs w:val="36"/>
        </w:rPr>
        <w:t xml:space="preserve">Assessing the Role of Hydrogen in </w:t>
      </w:r>
      <w:r w:rsidR="00733622" w:rsidRPr="003628C9">
        <w:rPr>
          <w:b/>
          <w:sz w:val="36"/>
          <w:szCs w:val="36"/>
        </w:rPr>
        <w:t>California</w:t>
      </w:r>
      <w:r w:rsidR="002D3B22" w:rsidRPr="003628C9">
        <w:rPr>
          <w:b/>
          <w:sz w:val="36"/>
          <w:szCs w:val="36"/>
        </w:rPr>
        <w:t xml:space="preserve">’s </w:t>
      </w:r>
      <w:r w:rsidR="001949BC" w:rsidRPr="003628C9">
        <w:rPr>
          <w:b/>
          <w:sz w:val="36"/>
          <w:szCs w:val="36"/>
        </w:rPr>
        <w:t xml:space="preserve">Decarbonizing </w:t>
      </w:r>
      <w:r w:rsidRPr="003628C9">
        <w:rPr>
          <w:b/>
          <w:sz w:val="36"/>
          <w:szCs w:val="36"/>
        </w:rPr>
        <w:t xml:space="preserve">Electric </w:t>
      </w:r>
      <w:r w:rsidR="00EF45B4" w:rsidRPr="003628C9">
        <w:rPr>
          <w:b/>
          <w:sz w:val="36"/>
          <w:szCs w:val="36"/>
        </w:rPr>
        <w:t>System</w:t>
      </w:r>
    </w:p>
    <w:p w14:paraId="379F6CAF" w14:textId="77777777" w:rsidR="00B47896" w:rsidRDefault="00B47896" w:rsidP="00B47896">
      <w:pPr>
        <w:keepLines/>
        <w:widowControl w:val="0"/>
        <w:jc w:val="center"/>
        <w:rPr>
          <w:b/>
          <w:sz w:val="36"/>
        </w:rPr>
      </w:pPr>
    </w:p>
    <w:p w14:paraId="7A194FC9" w14:textId="77777777" w:rsidR="00B47896" w:rsidRDefault="00B47896" w:rsidP="00B47896">
      <w:pPr>
        <w:keepLines/>
        <w:widowControl w:val="0"/>
        <w:tabs>
          <w:tab w:val="center" w:pos="4680"/>
          <w:tab w:val="left" w:pos="6985"/>
        </w:tabs>
        <w:rPr>
          <w:b/>
          <w:sz w:val="36"/>
          <w:szCs w:val="36"/>
        </w:rPr>
      </w:pPr>
      <w:r>
        <w:rPr>
          <w:b/>
          <w:sz w:val="36"/>
          <w:szCs w:val="36"/>
        </w:rPr>
        <w:tab/>
        <w:t>EPIC Program</w:t>
      </w:r>
      <w:r>
        <w:rPr>
          <w:b/>
          <w:sz w:val="36"/>
          <w:szCs w:val="36"/>
        </w:rPr>
        <w:tab/>
      </w:r>
    </w:p>
    <w:p w14:paraId="3816C689" w14:textId="77777777" w:rsidR="00B47896" w:rsidRPr="005A2DF5" w:rsidRDefault="00B47896" w:rsidP="00B47896">
      <w:pPr>
        <w:keepLines/>
        <w:widowControl w:val="0"/>
        <w:jc w:val="center"/>
        <w:rPr>
          <w:rFonts w:ascii="Times New Roman" w:hAnsi="Times New Roman"/>
          <w:sz w:val="144"/>
          <w:szCs w:val="144"/>
        </w:rPr>
      </w:pPr>
    </w:p>
    <w:p w14:paraId="5CCB3AA1" w14:textId="77777777" w:rsidR="00B47896" w:rsidRPr="005A2DF5" w:rsidRDefault="00B47896" w:rsidP="00B47896">
      <w:pPr>
        <w:keepLines/>
        <w:widowControl w:val="0"/>
        <w:jc w:val="center"/>
        <w:rPr>
          <w:szCs w:val="22"/>
        </w:rPr>
      </w:pPr>
      <w:r>
        <w:rPr>
          <w:noProof/>
          <w:color w:val="2B579A"/>
          <w:shd w:val="clear" w:color="auto" w:fill="E6E6E6"/>
        </w:rPr>
        <w:drawing>
          <wp:inline distT="0" distB="0" distL="0" distR="0" wp14:anchorId="3FDC0C91" wp14:editId="77DAF502">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7B95098D" w14:textId="77777777" w:rsidR="00B47896" w:rsidRPr="005A2DF5" w:rsidRDefault="00B47896" w:rsidP="00B47896">
      <w:pPr>
        <w:keepLines/>
        <w:widowControl w:val="0"/>
        <w:jc w:val="center"/>
        <w:rPr>
          <w:b/>
          <w:color w:val="00B0F0"/>
          <w:szCs w:val="22"/>
        </w:rPr>
      </w:pPr>
    </w:p>
    <w:p w14:paraId="1F9C68FA" w14:textId="16601320" w:rsidR="00B47896" w:rsidRPr="005A2DF5" w:rsidRDefault="00B47896" w:rsidP="00B47896">
      <w:pPr>
        <w:keepLines/>
        <w:widowControl w:val="0"/>
        <w:jc w:val="center"/>
        <w:rPr>
          <w:b/>
          <w:sz w:val="24"/>
        </w:rPr>
      </w:pPr>
      <w:r w:rsidRPr="005A2DF5">
        <w:rPr>
          <w:b/>
          <w:sz w:val="24"/>
          <w:szCs w:val="22"/>
        </w:rPr>
        <w:t>GFO</w:t>
      </w:r>
      <w:r w:rsidR="001D1AD6" w:rsidRPr="006D04E5">
        <w:rPr>
          <w:b/>
          <w:sz w:val="24"/>
          <w:szCs w:val="22"/>
        </w:rPr>
        <w:t>-22-304</w:t>
      </w:r>
      <w:r w:rsidR="0024481E">
        <w:rPr>
          <w:b/>
          <w:sz w:val="24"/>
          <w:szCs w:val="22"/>
        </w:rPr>
        <w:t xml:space="preserve"> </w:t>
      </w:r>
      <w:r w:rsidR="0024481E" w:rsidRPr="00276F42">
        <w:rPr>
          <w:b/>
          <w:bCs/>
          <w:sz w:val="24"/>
          <w:szCs w:val="24"/>
          <w:u w:val="single"/>
        </w:rPr>
        <w:t>(Addendum #1</w:t>
      </w:r>
      <w:r w:rsidR="0025457A">
        <w:rPr>
          <w:b/>
          <w:bCs/>
          <w:sz w:val="24"/>
          <w:szCs w:val="24"/>
          <w:u w:val="single"/>
        </w:rPr>
        <w:t>, Rev 1</w:t>
      </w:r>
      <w:r w:rsidR="0024481E" w:rsidRPr="00276F42">
        <w:rPr>
          <w:b/>
          <w:bCs/>
          <w:sz w:val="24"/>
          <w:szCs w:val="24"/>
          <w:u w:val="single"/>
        </w:rPr>
        <w:t>)</w:t>
      </w:r>
    </w:p>
    <w:p w14:paraId="4E73F0F2" w14:textId="77777777" w:rsidR="00B47896" w:rsidRPr="003A0A6F" w:rsidRDefault="00B47896" w:rsidP="00B47896">
      <w:pPr>
        <w:keepLines/>
        <w:widowControl w:val="0"/>
        <w:jc w:val="center"/>
        <w:rPr>
          <w:sz w:val="24"/>
          <w:szCs w:val="22"/>
        </w:rPr>
      </w:pPr>
      <w:r w:rsidRPr="003A0A6F">
        <w:rPr>
          <w:sz w:val="24"/>
          <w:szCs w:val="22"/>
          <w:u w:val="single"/>
        </w:rPr>
        <w:t>http://www.energy.ca.gov/contracts/index.html</w:t>
      </w:r>
    </w:p>
    <w:p w14:paraId="50EF619C" w14:textId="77777777" w:rsidR="00B47896" w:rsidRPr="005A2DF5" w:rsidRDefault="00B47896" w:rsidP="00B47896">
      <w:pPr>
        <w:keepLines/>
        <w:widowControl w:val="0"/>
        <w:jc w:val="center"/>
        <w:rPr>
          <w:b/>
          <w:sz w:val="24"/>
          <w:szCs w:val="22"/>
        </w:rPr>
      </w:pPr>
      <w:r w:rsidRPr="005A2DF5">
        <w:rPr>
          <w:b/>
          <w:sz w:val="24"/>
          <w:szCs w:val="22"/>
        </w:rPr>
        <w:t>State of California</w:t>
      </w:r>
    </w:p>
    <w:p w14:paraId="0A807484" w14:textId="77777777" w:rsidR="00B47896" w:rsidRPr="005A2DF5" w:rsidRDefault="00B47896" w:rsidP="00B47896">
      <w:pPr>
        <w:keepLines/>
        <w:widowControl w:val="0"/>
        <w:jc w:val="center"/>
        <w:rPr>
          <w:b/>
          <w:sz w:val="24"/>
          <w:szCs w:val="22"/>
        </w:rPr>
      </w:pPr>
      <w:r w:rsidRPr="005A2DF5">
        <w:rPr>
          <w:b/>
          <w:sz w:val="24"/>
          <w:szCs w:val="22"/>
        </w:rPr>
        <w:t>California Energy Commission</w:t>
      </w:r>
    </w:p>
    <w:p w14:paraId="7D02B36E" w14:textId="2F2E01CA" w:rsidR="00B47896" w:rsidRPr="006D2C5A" w:rsidRDefault="009C346A" w:rsidP="00B47896">
      <w:pPr>
        <w:keepLines/>
        <w:widowControl w:val="0"/>
        <w:tabs>
          <w:tab w:val="left" w:pos="1440"/>
        </w:tabs>
        <w:jc w:val="center"/>
      </w:pPr>
      <w:r w:rsidRPr="006D2C5A">
        <w:t xml:space="preserve"> </w:t>
      </w:r>
      <w:r w:rsidR="00B8128F">
        <w:t>[</w:t>
      </w:r>
      <w:r w:rsidR="006F1235" w:rsidRPr="005243DB">
        <w:rPr>
          <w:strike/>
        </w:rPr>
        <w:t>October</w:t>
      </w:r>
      <w:r w:rsidR="00B47896" w:rsidRPr="005243DB">
        <w:rPr>
          <w:strike/>
        </w:rPr>
        <w:t xml:space="preserve"> </w:t>
      </w:r>
      <w:r w:rsidR="0093524F" w:rsidRPr="005243DB">
        <w:rPr>
          <w:strike/>
        </w:rPr>
        <w:t>27</w:t>
      </w:r>
      <w:r w:rsidR="001F5381" w:rsidRPr="005243DB">
        <w:rPr>
          <w:strike/>
        </w:rPr>
        <w:t>,</w:t>
      </w:r>
      <w:r w:rsidR="00B8128F">
        <w:t xml:space="preserve">] </w:t>
      </w:r>
      <w:r w:rsidR="00B8128F" w:rsidRPr="005243DB">
        <w:rPr>
          <w:b/>
          <w:bCs/>
          <w:u w:val="single"/>
        </w:rPr>
        <w:t>December</w:t>
      </w:r>
      <w:r w:rsidR="0093524F" w:rsidRPr="00A265E2">
        <w:t xml:space="preserve"> </w:t>
      </w:r>
      <w:r w:rsidR="00B47896" w:rsidRPr="00A265E2">
        <w:t>2022</w:t>
      </w:r>
    </w:p>
    <w:p w14:paraId="573668CF" w14:textId="77777777" w:rsidR="00B47896" w:rsidRDefault="00174117" w:rsidP="00B47896">
      <w:pPr>
        <w:keepLines/>
        <w:widowControl w:val="0"/>
        <w:tabs>
          <w:tab w:val="left" w:pos="1440"/>
        </w:tabs>
        <w:jc w:val="center"/>
        <w:rPr>
          <w:color w:val="0070C0"/>
          <w:szCs w:val="22"/>
        </w:rPr>
      </w:pPr>
      <w:r>
        <w:rPr>
          <w:color w:val="0070C0"/>
          <w:szCs w:val="22"/>
        </w:rPr>
        <w:t xml:space="preserve"> </w:t>
      </w:r>
      <w:r w:rsidR="00B47896">
        <w:rPr>
          <w:color w:val="0070C0"/>
          <w:szCs w:val="22"/>
        </w:rPr>
        <w:t xml:space="preserve"> </w:t>
      </w:r>
    </w:p>
    <w:p w14:paraId="091A6120" w14:textId="77537181" w:rsidR="00795462" w:rsidRPr="005A2DF5" w:rsidRDefault="00795462" w:rsidP="00B47896">
      <w:pPr>
        <w:keepLines/>
        <w:widowControl w:val="0"/>
        <w:tabs>
          <w:tab w:val="left" w:pos="1440"/>
        </w:tabs>
        <w:jc w:val="center"/>
        <w:rPr>
          <w:color w:val="0070C0"/>
          <w:szCs w:val="22"/>
        </w:rPr>
        <w:sectPr w:rsidR="00795462" w:rsidRPr="005A2DF5" w:rsidSect="00FE6C71">
          <w:headerReference w:type="default" r:id="rId12"/>
          <w:footerReference w:type="default" r:id="rId13"/>
          <w:pgSz w:w="12240" w:h="15840" w:code="1"/>
          <w:pgMar w:top="1440" w:right="1440" w:bottom="1440" w:left="1440" w:header="1008" w:footer="432" w:gutter="0"/>
          <w:pgNumType w:fmt="lowerRoman" w:start="1"/>
          <w:cols w:space="720"/>
        </w:sectPr>
      </w:pPr>
    </w:p>
    <w:p w14:paraId="540CCED5" w14:textId="77777777" w:rsidR="00B47896" w:rsidRPr="005A2DF5" w:rsidRDefault="00B47896" w:rsidP="00B47896">
      <w:pPr>
        <w:keepLines/>
        <w:widowControl w:val="0"/>
        <w:tabs>
          <w:tab w:val="left" w:pos="1440"/>
        </w:tabs>
        <w:rPr>
          <w:color w:val="0070C0"/>
          <w:szCs w:val="22"/>
        </w:rPr>
        <w:sectPr w:rsidR="00B47896" w:rsidRPr="005A2DF5" w:rsidSect="00FE6C71">
          <w:headerReference w:type="default" r:id="rId14"/>
          <w:footerReference w:type="default" r:id="rId15"/>
          <w:type w:val="continuous"/>
          <w:pgSz w:w="12240" w:h="15840" w:code="1"/>
          <w:pgMar w:top="1440" w:right="1440" w:bottom="1440" w:left="1440" w:header="1008" w:footer="432" w:gutter="0"/>
          <w:pgNumType w:fmt="lowerRoman" w:start="1"/>
          <w:cols w:space="720"/>
        </w:sectPr>
      </w:pPr>
    </w:p>
    <w:p w14:paraId="0A67A2CA" w14:textId="77777777" w:rsidR="00B47896" w:rsidRPr="00C31C1D" w:rsidRDefault="00B47896" w:rsidP="00B47896">
      <w:pPr>
        <w:pStyle w:val="Heading5"/>
        <w:keepLines/>
        <w:spacing w:after="120"/>
        <w:jc w:val="both"/>
        <w:rPr>
          <w:sz w:val="28"/>
          <w:szCs w:val="28"/>
        </w:rPr>
      </w:pPr>
      <w:r w:rsidRPr="00C31C1D">
        <w:rPr>
          <w:sz w:val="28"/>
          <w:szCs w:val="28"/>
        </w:rPr>
        <w:lastRenderedPageBreak/>
        <w:t>Table of Contents</w:t>
      </w:r>
    </w:p>
    <w:p w14:paraId="277EF606" w14:textId="71030467" w:rsidR="00A83516" w:rsidRDefault="00B47896">
      <w:pPr>
        <w:pStyle w:val="TOC1"/>
        <w:rPr>
          <w:rFonts w:asciiTheme="minorHAnsi" w:eastAsiaTheme="minorEastAsia" w:hAnsiTheme="minorHAnsi" w:cstheme="minorBidi"/>
          <w:b w:val="0"/>
          <w:bCs w:val="0"/>
          <w:caps w:val="0"/>
          <w:noProof/>
          <w:sz w:val="22"/>
          <w:szCs w:val="22"/>
        </w:rPr>
      </w:pPr>
      <w:r w:rsidRPr="0070672A">
        <w:rPr>
          <w:rFonts w:ascii="Arial" w:hAnsi="Arial"/>
          <w:color w:val="2B579A"/>
          <w:sz w:val="22"/>
          <w:szCs w:val="22"/>
          <w:shd w:val="clear" w:color="auto" w:fill="E6E6E6"/>
        </w:rPr>
        <w:fldChar w:fldCharType="begin"/>
      </w:r>
      <w:r w:rsidRPr="0070672A">
        <w:rPr>
          <w:rFonts w:ascii="Arial" w:hAnsi="Arial"/>
          <w:noProof/>
          <w:sz w:val="22"/>
          <w:szCs w:val="22"/>
        </w:rPr>
        <w:instrText xml:space="preserve"> TOC \o "2-4" \t "Heading 1,1" </w:instrText>
      </w:r>
      <w:r w:rsidRPr="0070672A">
        <w:rPr>
          <w:rFonts w:ascii="Arial" w:hAnsi="Arial"/>
          <w:color w:val="2B579A"/>
          <w:sz w:val="22"/>
          <w:szCs w:val="22"/>
          <w:shd w:val="clear" w:color="auto" w:fill="E6E6E6"/>
        </w:rPr>
        <w:fldChar w:fldCharType="separate"/>
      </w:r>
      <w:r w:rsidR="00A83516">
        <w:rPr>
          <w:noProof/>
        </w:rPr>
        <w:t>I.</w:t>
      </w:r>
      <w:r w:rsidR="00A83516">
        <w:rPr>
          <w:rFonts w:asciiTheme="minorHAnsi" w:eastAsiaTheme="minorEastAsia" w:hAnsiTheme="minorHAnsi" w:cstheme="minorBidi"/>
          <w:b w:val="0"/>
          <w:bCs w:val="0"/>
          <w:caps w:val="0"/>
          <w:noProof/>
          <w:sz w:val="22"/>
          <w:szCs w:val="22"/>
        </w:rPr>
        <w:tab/>
      </w:r>
      <w:r w:rsidR="00A83516">
        <w:rPr>
          <w:noProof/>
        </w:rPr>
        <w:t>Introduction</w:t>
      </w:r>
      <w:r w:rsidR="00A83516">
        <w:rPr>
          <w:noProof/>
        </w:rPr>
        <w:tab/>
      </w:r>
      <w:r w:rsidR="00A83516">
        <w:rPr>
          <w:noProof/>
        </w:rPr>
        <w:fldChar w:fldCharType="begin"/>
      </w:r>
      <w:r w:rsidR="00A83516">
        <w:rPr>
          <w:noProof/>
        </w:rPr>
        <w:instrText xml:space="preserve"> PAGEREF _Toc121842068 \h </w:instrText>
      </w:r>
      <w:r w:rsidR="00A83516">
        <w:rPr>
          <w:noProof/>
        </w:rPr>
      </w:r>
      <w:r w:rsidR="00A83516">
        <w:rPr>
          <w:noProof/>
        </w:rPr>
        <w:fldChar w:fldCharType="separate"/>
      </w:r>
      <w:r w:rsidR="00A83516">
        <w:rPr>
          <w:noProof/>
        </w:rPr>
        <w:t>4</w:t>
      </w:r>
      <w:r w:rsidR="00A83516">
        <w:rPr>
          <w:noProof/>
        </w:rPr>
        <w:fldChar w:fldCharType="end"/>
      </w:r>
    </w:p>
    <w:p w14:paraId="4CB11195" w14:textId="55226EC7" w:rsidR="00A83516" w:rsidRDefault="00A83516">
      <w:pPr>
        <w:pStyle w:val="TOC2"/>
        <w:rPr>
          <w:rFonts w:asciiTheme="minorHAnsi" w:eastAsiaTheme="minorEastAsia" w:hAnsiTheme="minorHAnsi" w:cstheme="minorBidi"/>
          <w:smallCaps w:val="0"/>
          <w:noProof/>
          <w:sz w:val="22"/>
          <w:szCs w:val="22"/>
        </w:rPr>
      </w:pPr>
      <w:r>
        <w:rPr>
          <w:noProof/>
        </w:rPr>
        <w:t>NOTE ABOUT SIGNATURES</w:t>
      </w:r>
      <w:r>
        <w:rPr>
          <w:noProof/>
        </w:rPr>
        <w:tab/>
      </w:r>
      <w:r>
        <w:rPr>
          <w:noProof/>
        </w:rPr>
        <w:fldChar w:fldCharType="begin"/>
      </w:r>
      <w:r>
        <w:rPr>
          <w:noProof/>
        </w:rPr>
        <w:instrText xml:space="preserve"> PAGEREF _Toc121842069 \h </w:instrText>
      </w:r>
      <w:r>
        <w:rPr>
          <w:noProof/>
        </w:rPr>
      </w:r>
      <w:r>
        <w:rPr>
          <w:noProof/>
        </w:rPr>
        <w:fldChar w:fldCharType="separate"/>
      </w:r>
      <w:r>
        <w:rPr>
          <w:noProof/>
        </w:rPr>
        <w:t>4</w:t>
      </w:r>
      <w:r>
        <w:rPr>
          <w:noProof/>
        </w:rPr>
        <w:fldChar w:fldCharType="end"/>
      </w:r>
    </w:p>
    <w:p w14:paraId="3FFC4CF5" w14:textId="46DAD9EC" w:rsidR="00A83516" w:rsidRDefault="00A83516">
      <w:pPr>
        <w:pStyle w:val="TOC2"/>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Purpose of Solicitation</w:t>
      </w:r>
      <w:r>
        <w:rPr>
          <w:noProof/>
        </w:rPr>
        <w:tab/>
      </w:r>
      <w:r>
        <w:rPr>
          <w:noProof/>
        </w:rPr>
        <w:fldChar w:fldCharType="begin"/>
      </w:r>
      <w:r>
        <w:rPr>
          <w:noProof/>
        </w:rPr>
        <w:instrText xml:space="preserve"> PAGEREF _Toc121842070 \h </w:instrText>
      </w:r>
      <w:r>
        <w:rPr>
          <w:noProof/>
        </w:rPr>
      </w:r>
      <w:r>
        <w:rPr>
          <w:noProof/>
        </w:rPr>
        <w:fldChar w:fldCharType="separate"/>
      </w:r>
      <w:r>
        <w:rPr>
          <w:noProof/>
        </w:rPr>
        <w:t>4</w:t>
      </w:r>
      <w:r>
        <w:rPr>
          <w:noProof/>
        </w:rPr>
        <w:fldChar w:fldCharType="end"/>
      </w:r>
    </w:p>
    <w:p w14:paraId="4D2125F3" w14:textId="6A36C5F4" w:rsidR="00A83516" w:rsidRDefault="00A83516">
      <w:pPr>
        <w:pStyle w:val="TOC2"/>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Key Words/Terms</w:t>
      </w:r>
      <w:r>
        <w:rPr>
          <w:noProof/>
        </w:rPr>
        <w:tab/>
      </w:r>
      <w:r>
        <w:rPr>
          <w:noProof/>
        </w:rPr>
        <w:fldChar w:fldCharType="begin"/>
      </w:r>
      <w:r>
        <w:rPr>
          <w:noProof/>
        </w:rPr>
        <w:instrText xml:space="preserve"> PAGEREF _Toc121842071 \h </w:instrText>
      </w:r>
      <w:r>
        <w:rPr>
          <w:noProof/>
        </w:rPr>
      </w:r>
      <w:r>
        <w:rPr>
          <w:noProof/>
        </w:rPr>
        <w:fldChar w:fldCharType="separate"/>
      </w:r>
      <w:r>
        <w:rPr>
          <w:noProof/>
        </w:rPr>
        <w:t>6</w:t>
      </w:r>
      <w:r>
        <w:rPr>
          <w:noProof/>
        </w:rPr>
        <w:fldChar w:fldCharType="end"/>
      </w:r>
    </w:p>
    <w:p w14:paraId="0BB9B80B" w14:textId="0FE927C8" w:rsidR="00A83516" w:rsidRDefault="00A83516">
      <w:pPr>
        <w:pStyle w:val="TOC2"/>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Project Focus</w:t>
      </w:r>
      <w:r>
        <w:rPr>
          <w:noProof/>
        </w:rPr>
        <w:tab/>
      </w:r>
      <w:r>
        <w:rPr>
          <w:noProof/>
        </w:rPr>
        <w:fldChar w:fldCharType="begin"/>
      </w:r>
      <w:r>
        <w:rPr>
          <w:noProof/>
        </w:rPr>
        <w:instrText xml:space="preserve"> PAGEREF _Toc121842072 \h </w:instrText>
      </w:r>
      <w:r>
        <w:rPr>
          <w:noProof/>
        </w:rPr>
      </w:r>
      <w:r>
        <w:rPr>
          <w:noProof/>
        </w:rPr>
        <w:fldChar w:fldCharType="separate"/>
      </w:r>
      <w:r>
        <w:rPr>
          <w:noProof/>
        </w:rPr>
        <w:t>7</w:t>
      </w:r>
      <w:r>
        <w:rPr>
          <w:noProof/>
        </w:rPr>
        <w:fldChar w:fldCharType="end"/>
      </w:r>
    </w:p>
    <w:p w14:paraId="6ED62C86" w14:textId="757B0D28" w:rsidR="00A83516" w:rsidRDefault="00A83516">
      <w:pPr>
        <w:pStyle w:val="TOC2"/>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Funding</w:t>
      </w:r>
      <w:r>
        <w:rPr>
          <w:noProof/>
        </w:rPr>
        <w:tab/>
      </w:r>
      <w:r>
        <w:rPr>
          <w:noProof/>
        </w:rPr>
        <w:fldChar w:fldCharType="begin"/>
      </w:r>
      <w:r>
        <w:rPr>
          <w:noProof/>
        </w:rPr>
        <w:instrText xml:space="preserve"> PAGEREF _Toc121842073 \h </w:instrText>
      </w:r>
      <w:r>
        <w:rPr>
          <w:noProof/>
        </w:rPr>
      </w:r>
      <w:r>
        <w:rPr>
          <w:noProof/>
        </w:rPr>
        <w:fldChar w:fldCharType="separate"/>
      </w:r>
      <w:r>
        <w:rPr>
          <w:noProof/>
        </w:rPr>
        <w:t>9</w:t>
      </w:r>
      <w:r>
        <w:rPr>
          <w:noProof/>
        </w:rPr>
        <w:fldChar w:fldCharType="end"/>
      </w:r>
    </w:p>
    <w:p w14:paraId="2977092B" w14:textId="3DF92494" w:rsidR="00A83516" w:rsidRDefault="00A83516">
      <w:pPr>
        <w:pStyle w:val="TOC2"/>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Key Activities Schedule</w:t>
      </w:r>
      <w:r>
        <w:rPr>
          <w:noProof/>
        </w:rPr>
        <w:tab/>
      </w:r>
      <w:r>
        <w:rPr>
          <w:noProof/>
        </w:rPr>
        <w:fldChar w:fldCharType="begin"/>
      </w:r>
      <w:r>
        <w:rPr>
          <w:noProof/>
        </w:rPr>
        <w:instrText xml:space="preserve"> PAGEREF _Toc121842074 \h </w:instrText>
      </w:r>
      <w:r>
        <w:rPr>
          <w:noProof/>
        </w:rPr>
      </w:r>
      <w:r>
        <w:rPr>
          <w:noProof/>
        </w:rPr>
        <w:fldChar w:fldCharType="separate"/>
      </w:r>
      <w:r>
        <w:rPr>
          <w:noProof/>
        </w:rPr>
        <w:t>9</w:t>
      </w:r>
      <w:r>
        <w:rPr>
          <w:noProof/>
        </w:rPr>
        <w:fldChar w:fldCharType="end"/>
      </w:r>
    </w:p>
    <w:p w14:paraId="56A76D18" w14:textId="73ED8A59" w:rsidR="00A83516" w:rsidRDefault="00A83516">
      <w:pPr>
        <w:pStyle w:val="TOC2"/>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Notice of Pre-Application Workshop</w:t>
      </w:r>
      <w:r>
        <w:rPr>
          <w:noProof/>
        </w:rPr>
        <w:tab/>
      </w:r>
      <w:r>
        <w:rPr>
          <w:noProof/>
        </w:rPr>
        <w:fldChar w:fldCharType="begin"/>
      </w:r>
      <w:r>
        <w:rPr>
          <w:noProof/>
        </w:rPr>
        <w:instrText xml:space="preserve"> PAGEREF _Toc121842075 \h </w:instrText>
      </w:r>
      <w:r>
        <w:rPr>
          <w:noProof/>
        </w:rPr>
      </w:r>
      <w:r>
        <w:rPr>
          <w:noProof/>
        </w:rPr>
        <w:fldChar w:fldCharType="separate"/>
      </w:r>
      <w:r>
        <w:rPr>
          <w:noProof/>
        </w:rPr>
        <w:t>10</w:t>
      </w:r>
      <w:r>
        <w:rPr>
          <w:noProof/>
        </w:rPr>
        <w:fldChar w:fldCharType="end"/>
      </w:r>
    </w:p>
    <w:p w14:paraId="70110D94" w14:textId="48FF291B" w:rsidR="00A83516" w:rsidRDefault="00A83516">
      <w:pPr>
        <w:pStyle w:val="TOC2"/>
        <w:rPr>
          <w:rFonts w:asciiTheme="minorHAnsi" w:eastAsiaTheme="minorEastAsia" w:hAnsiTheme="minorHAnsi" w:cstheme="minorBidi"/>
          <w:smallCaps w:val="0"/>
          <w:noProof/>
          <w:sz w:val="22"/>
          <w:szCs w:val="22"/>
        </w:rPr>
      </w:pPr>
      <w:r>
        <w:rPr>
          <w:noProof/>
        </w:rPr>
        <w:t>G.</w:t>
      </w:r>
      <w:r>
        <w:rPr>
          <w:rFonts w:asciiTheme="minorHAnsi" w:eastAsiaTheme="minorEastAsia" w:hAnsiTheme="minorHAnsi" w:cstheme="minorBidi"/>
          <w:smallCaps w:val="0"/>
          <w:noProof/>
          <w:sz w:val="22"/>
          <w:szCs w:val="22"/>
        </w:rPr>
        <w:tab/>
      </w:r>
      <w:r>
        <w:rPr>
          <w:noProof/>
        </w:rPr>
        <w:t>Questions</w:t>
      </w:r>
      <w:r>
        <w:rPr>
          <w:noProof/>
        </w:rPr>
        <w:tab/>
      </w:r>
      <w:r>
        <w:rPr>
          <w:noProof/>
        </w:rPr>
        <w:fldChar w:fldCharType="begin"/>
      </w:r>
      <w:r>
        <w:rPr>
          <w:noProof/>
        </w:rPr>
        <w:instrText xml:space="preserve"> PAGEREF _Toc121842076 \h </w:instrText>
      </w:r>
      <w:r>
        <w:rPr>
          <w:noProof/>
        </w:rPr>
      </w:r>
      <w:r>
        <w:rPr>
          <w:noProof/>
        </w:rPr>
        <w:fldChar w:fldCharType="separate"/>
      </w:r>
      <w:r>
        <w:rPr>
          <w:noProof/>
        </w:rPr>
        <w:t>11</w:t>
      </w:r>
      <w:r>
        <w:rPr>
          <w:noProof/>
        </w:rPr>
        <w:fldChar w:fldCharType="end"/>
      </w:r>
    </w:p>
    <w:p w14:paraId="5942DB21" w14:textId="463BCD65" w:rsidR="00A83516" w:rsidRDefault="00A83516">
      <w:pPr>
        <w:pStyle w:val="TOC2"/>
        <w:rPr>
          <w:rFonts w:asciiTheme="minorHAnsi" w:eastAsiaTheme="minorEastAsia" w:hAnsiTheme="minorHAnsi" w:cstheme="minorBidi"/>
          <w:smallCaps w:val="0"/>
          <w:noProof/>
          <w:sz w:val="22"/>
          <w:szCs w:val="22"/>
        </w:rPr>
      </w:pPr>
      <w:r>
        <w:rPr>
          <w:noProof/>
        </w:rPr>
        <w:t>H.</w:t>
      </w:r>
      <w:r>
        <w:rPr>
          <w:rFonts w:asciiTheme="minorHAnsi" w:eastAsiaTheme="minorEastAsia" w:hAnsiTheme="minorHAnsi" w:cstheme="minorBidi"/>
          <w:smallCaps w:val="0"/>
          <w:noProof/>
          <w:sz w:val="22"/>
          <w:szCs w:val="22"/>
        </w:rPr>
        <w:tab/>
      </w:r>
      <w:r>
        <w:rPr>
          <w:noProof/>
        </w:rPr>
        <w:t>Applicants’ Admonishment</w:t>
      </w:r>
      <w:r>
        <w:rPr>
          <w:noProof/>
        </w:rPr>
        <w:tab/>
      </w:r>
      <w:r>
        <w:rPr>
          <w:noProof/>
        </w:rPr>
        <w:fldChar w:fldCharType="begin"/>
      </w:r>
      <w:r>
        <w:rPr>
          <w:noProof/>
        </w:rPr>
        <w:instrText xml:space="preserve"> PAGEREF _Toc121842077 \h </w:instrText>
      </w:r>
      <w:r>
        <w:rPr>
          <w:noProof/>
        </w:rPr>
      </w:r>
      <w:r>
        <w:rPr>
          <w:noProof/>
        </w:rPr>
        <w:fldChar w:fldCharType="separate"/>
      </w:r>
      <w:r>
        <w:rPr>
          <w:noProof/>
        </w:rPr>
        <w:t>12</w:t>
      </w:r>
      <w:r>
        <w:rPr>
          <w:noProof/>
        </w:rPr>
        <w:fldChar w:fldCharType="end"/>
      </w:r>
    </w:p>
    <w:p w14:paraId="74DD5E45" w14:textId="0B9B860F" w:rsidR="00A83516" w:rsidRDefault="00A83516">
      <w:pPr>
        <w:pStyle w:val="TOC2"/>
        <w:rPr>
          <w:rFonts w:asciiTheme="minorHAnsi" w:eastAsiaTheme="minorEastAsia" w:hAnsiTheme="minorHAnsi" w:cstheme="minorBidi"/>
          <w:smallCaps w:val="0"/>
          <w:noProof/>
          <w:sz w:val="22"/>
          <w:szCs w:val="22"/>
        </w:rPr>
      </w:pPr>
      <w:r>
        <w:rPr>
          <w:noProof/>
        </w:rPr>
        <w:t>I.</w:t>
      </w:r>
      <w:r>
        <w:rPr>
          <w:rFonts w:asciiTheme="minorHAnsi" w:eastAsiaTheme="minorEastAsia" w:hAnsiTheme="minorHAnsi" w:cstheme="minorBidi"/>
          <w:smallCaps w:val="0"/>
          <w:noProof/>
          <w:sz w:val="22"/>
          <w:szCs w:val="22"/>
        </w:rPr>
        <w:tab/>
      </w:r>
      <w:r>
        <w:rPr>
          <w:noProof/>
        </w:rPr>
        <w:t>Additional Requirements</w:t>
      </w:r>
      <w:r>
        <w:rPr>
          <w:noProof/>
        </w:rPr>
        <w:tab/>
      </w:r>
      <w:r>
        <w:rPr>
          <w:noProof/>
        </w:rPr>
        <w:fldChar w:fldCharType="begin"/>
      </w:r>
      <w:r>
        <w:rPr>
          <w:noProof/>
        </w:rPr>
        <w:instrText xml:space="preserve"> PAGEREF _Toc121842078 \h </w:instrText>
      </w:r>
      <w:r>
        <w:rPr>
          <w:noProof/>
        </w:rPr>
      </w:r>
      <w:r>
        <w:rPr>
          <w:noProof/>
        </w:rPr>
        <w:fldChar w:fldCharType="separate"/>
      </w:r>
      <w:r>
        <w:rPr>
          <w:noProof/>
        </w:rPr>
        <w:t>12</w:t>
      </w:r>
      <w:r>
        <w:rPr>
          <w:noProof/>
        </w:rPr>
        <w:fldChar w:fldCharType="end"/>
      </w:r>
    </w:p>
    <w:p w14:paraId="6B7682BC" w14:textId="34187162" w:rsidR="00A83516" w:rsidRDefault="00A83516">
      <w:pPr>
        <w:pStyle w:val="TOC2"/>
        <w:rPr>
          <w:rFonts w:asciiTheme="minorHAnsi" w:eastAsiaTheme="minorEastAsia" w:hAnsiTheme="minorHAnsi" w:cstheme="minorBidi"/>
          <w:smallCaps w:val="0"/>
          <w:noProof/>
          <w:sz w:val="22"/>
          <w:szCs w:val="22"/>
        </w:rPr>
      </w:pPr>
      <w:r>
        <w:rPr>
          <w:noProof/>
        </w:rPr>
        <w:t>J.</w:t>
      </w:r>
      <w:r>
        <w:rPr>
          <w:rFonts w:asciiTheme="minorHAnsi" w:eastAsiaTheme="minorEastAsia" w:hAnsiTheme="minorHAnsi" w:cstheme="minorBidi"/>
          <w:smallCaps w:val="0"/>
          <w:noProof/>
          <w:sz w:val="22"/>
          <w:szCs w:val="22"/>
        </w:rPr>
        <w:tab/>
      </w:r>
      <w:r>
        <w:rPr>
          <w:noProof/>
        </w:rPr>
        <w:t>Background</w:t>
      </w:r>
      <w:r>
        <w:rPr>
          <w:noProof/>
        </w:rPr>
        <w:tab/>
      </w:r>
      <w:r>
        <w:rPr>
          <w:noProof/>
        </w:rPr>
        <w:fldChar w:fldCharType="begin"/>
      </w:r>
      <w:r>
        <w:rPr>
          <w:noProof/>
        </w:rPr>
        <w:instrText xml:space="preserve"> PAGEREF _Toc121842079 \h </w:instrText>
      </w:r>
      <w:r>
        <w:rPr>
          <w:noProof/>
        </w:rPr>
      </w:r>
      <w:r>
        <w:rPr>
          <w:noProof/>
        </w:rPr>
        <w:fldChar w:fldCharType="separate"/>
      </w:r>
      <w:r>
        <w:rPr>
          <w:noProof/>
        </w:rPr>
        <w:t>13</w:t>
      </w:r>
      <w:r>
        <w:rPr>
          <w:noProof/>
        </w:rPr>
        <w:fldChar w:fldCharType="end"/>
      </w:r>
    </w:p>
    <w:p w14:paraId="3C82684C" w14:textId="51AF0AA8" w:rsidR="00A83516" w:rsidRDefault="00A83516">
      <w:pPr>
        <w:pStyle w:val="TOC2"/>
        <w:rPr>
          <w:rFonts w:asciiTheme="minorHAnsi" w:eastAsiaTheme="minorEastAsia" w:hAnsiTheme="minorHAnsi" w:cstheme="minorBidi"/>
          <w:smallCaps w:val="0"/>
          <w:noProof/>
          <w:sz w:val="22"/>
          <w:szCs w:val="22"/>
        </w:rPr>
      </w:pPr>
      <w:r>
        <w:rPr>
          <w:noProof/>
        </w:rPr>
        <w:t>K.</w:t>
      </w:r>
      <w:r>
        <w:rPr>
          <w:rFonts w:asciiTheme="minorHAnsi" w:eastAsiaTheme="minorEastAsia" w:hAnsiTheme="minorHAnsi" w:cstheme="minorBidi"/>
          <w:smallCaps w:val="0"/>
          <w:noProof/>
          <w:sz w:val="22"/>
          <w:szCs w:val="22"/>
        </w:rPr>
        <w:tab/>
      </w:r>
      <w:r>
        <w:rPr>
          <w:noProof/>
        </w:rPr>
        <w:t>Match Funding</w:t>
      </w:r>
      <w:r>
        <w:rPr>
          <w:noProof/>
        </w:rPr>
        <w:tab/>
      </w:r>
      <w:r>
        <w:rPr>
          <w:noProof/>
        </w:rPr>
        <w:fldChar w:fldCharType="begin"/>
      </w:r>
      <w:r>
        <w:rPr>
          <w:noProof/>
        </w:rPr>
        <w:instrText xml:space="preserve"> PAGEREF _Toc121842080 \h </w:instrText>
      </w:r>
      <w:r>
        <w:rPr>
          <w:noProof/>
        </w:rPr>
      </w:r>
      <w:r>
        <w:rPr>
          <w:noProof/>
        </w:rPr>
        <w:fldChar w:fldCharType="separate"/>
      </w:r>
      <w:r>
        <w:rPr>
          <w:noProof/>
        </w:rPr>
        <w:t>17</w:t>
      </w:r>
      <w:r>
        <w:rPr>
          <w:noProof/>
        </w:rPr>
        <w:fldChar w:fldCharType="end"/>
      </w:r>
    </w:p>
    <w:p w14:paraId="71E80B24" w14:textId="6D0A2C39" w:rsidR="00A83516" w:rsidRDefault="00A83516">
      <w:pPr>
        <w:pStyle w:val="TOC2"/>
        <w:rPr>
          <w:rFonts w:asciiTheme="minorHAnsi" w:eastAsiaTheme="minorEastAsia" w:hAnsiTheme="minorHAnsi" w:cstheme="minorBidi"/>
          <w:smallCaps w:val="0"/>
          <w:noProof/>
          <w:sz w:val="22"/>
          <w:szCs w:val="22"/>
        </w:rPr>
      </w:pPr>
      <w:r>
        <w:rPr>
          <w:noProof/>
        </w:rPr>
        <w:t>L.</w:t>
      </w:r>
      <w:r>
        <w:rPr>
          <w:rFonts w:asciiTheme="minorHAnsi" w:eastAsiaTheme="minorEastAsia" w:hAnsiTheme="minorHAnsi" w:cstheme="minorBidi"/>
          <w:smallCaps w:val="0"/>
          <w:noProof/>
          <w:sz w:val="22"/>
          <w:szCs w:val="22"/>
        </w:rPr>
        <w:tab/>
      </w:r>
      <w:r>
        <w:rPr>
          <w:noProof/>
        </w:rPr>
        <w:t>Funds Spent in California</w:t>
      </w:r>
      <w:r>
        <w:rPr>
          <w:noProof/>
        </w:rPr>
        <w:tab/>
      </w:r>
      <w:r>
        <w:rPr>
          <w:noProof/>
        </w:rPr>
        <w:fldChar w:fldCharType="begin"/>
      </w:r>
      <w:r>
        <w:rPr>
          <w:noProof/>
        </w:rPr>
        <w:instrText xml:space="preserve"> PAGEREF _Toc121842081 \h </w:instrText>
      </w:r>
      <w:r>
        <w:rPr>
          <w:noProof/>
        </w:rPr>
      </w:r>
      <w:r>
        <w:rPr>
          <w:noProof/>
        </w:rPr>
        <w:fldChar w:fldCharType="separate"/>
      </w:r>
      <w:r>
        <w:rPr>
          <w:noProof/>
        </w:rPr>
        <w:t>19</w:t>
      </w:r>
      <w:r>
        <w:rPr>
          <w:noProof/>
        </w:rPr>
        <w:fldChar w:fldCharType="end"/>
      </w:r>
    </w:p>
    <w:p w14:paraId="6E00549E" w14:textId="56D0D7BE" w:rsidR="00A83516" w:rsidRDefault="00A83516">
      <w:pPr>
        <w:pStyle w:val="TOC1"/>
        <w:rPr>
          <w:rFonts w:asciiTheme="minorHAnsi" w:eastAsiaTheme="minorEastAsia" w:hAnsiTheme="minorHAnsi" w:cstheme="minorBidi"/>
          <w:b w:val="0"/>
          <w:bCs w:val="0"/>
          <w:caps w:val="0"/>
          <w:noProof/>
          <w:sz w:val="22"/>
          <w:szCs w:val="22"/>
        </w:rPr>
      </w:pPr>
      <w:r>
        <w:rPr>
          <w:noProof/>
        </w:rPr>
        <w:t>II.</w:t>
      </w:r>
      <w:r>
        <w:rPr>
          <w:rFonts w:asciiTheme="minorHAnsi" w:eastAsiaTheme="minorEastAsia" w:hAnsiTheme="minorHAnsi" w:cstheme="minorBidi"/>
          <w:b w:val="0"/>
          <w:bCs w:val="0"/>
          <w:caps w:val="0"/>
          <w:noProof/>
          <w:sz w:val="22"/>
          <w:szCs w:val="22"/>
        </w:rPr>
        <w:tab/>
      </w:r>
      <w:r>
        <w:rPr>
          <w:noProof/>
        </w:rPr>
        <w:t>Eligibility Requirements</w:t>
      </w:r>
      <w:r>
        <w:rPr>
          <w:noProof/>
        </w:rPr>
        <w:tab/>
      </w:r>
      <w:r>
        <w:rPr>
          <w:noProof/>
        </w:rPr>
        <w:fldChar w:fldCharType="begin"/>
      </w:r>
      <w:r>
        <w:rPr>
          <w:noProof/>
        </w:rPr>
        <w:instrText xml:space="preserve"> PAGEREF _Toc121842082 \h </w:instrText>
      </w:r>
      <w:r>
        <w:rPr>
          <w:noProof/>
        </w:rPr>
      </w:r>
      <w:r>
        <w:rPr>
          <w:noProof/>
        </w:rPr>
        <w:fldChar w:fldCharType="separate"/>
      </w:r>
      <w:r>
        <w:rPr>
          <w:noProof/>
        </w:rPr>
        <w:t>20</w:t>
      </w:r>
      <w:r>
        <w:rPr>
          <w:noProof/>
        </w:rPr>
        <w:fldChar w:fldCharType="end"/>
      </w:r>
    </w:p>
    <w:p w14:paraId="1DBB2B02" w14:textId="03BD08AE" w:rsidR="00A83516" w:rsidRDefault="00A83516">
      <w:pPr>
        <w:pStyle w:val="TOC2"/>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Applicant Requirements</w:t>
      </w:r>
      <w:r>
        <w:rPr>
          <w:noProof/>
        </w:rPr>
        <w:tab/>
      </w:r>
      <w:r>
        <w:rPr>
          <w:noProof/>
        </w:rPr>
        <w:fldChar w:fldCharType="begin"/>
      </w:r>
      <w:r>
        <w:rPr>
          <w:noProof/>
        </w:rPr>
        <w:instrText xml:space="preserve"> PAGEREF _Toc121842083 \h </w:instrText>
      </w:r>
      <w:r>
        <w:rPr>
          <w:noProof/>
        </w:rPr>
      </w:r>
      <w:r>
        <w:rPr>
          <w:noProof/>
        </w:rPr>
        <w:fldChar w:fldCharType="separate"/>
      </w:r>
      <w:r>
        <w:rPr>
          <w:noProof/>
        </w:rPr>
        <w:t>20</w:t>
      </w:r>
      <w:r>
        <w:rPr>
          <w:noProof/>
        </w:rPr>
        <w:fldChar w:fldCharType="end"/>
      </w:r>
    </w:p>
    <w:p w14:paraId="306DBE13" w14:textId="4457D96C" w:rsidR="00A83516" w:rsidRDefault="00A83516">
      <w:pPr>
        <w:pStyle w:val="TOC2"/>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Project Requirements</w:t>
      </w:r>
      <w:r>
        <w:rPr>
          <w:noProof/>
        </w:rPr>
        <w:tab/>
      </w:r>
      <w:r>
        <w:rPr>
          <w:noProof/>
        </w:rPr>
        <w:fldChar w:fldCharType="begin"/>
      </w:r>
      <w:r>
        <w:rPr>
          <w:noProof/>
        </w:rPr>
        <w:instrText xml:space="preserve"> PAGEREF _Toc121842084 \h </w:instrText>
      </w:r>
      <w:r>
        <w:rPr>
          <w:noProof/>
        </w:rPr>
      </w:r>
      <w:r>
        <w:rPr>
          <w:noProof/>
        </w:rPr>
        <w:fldChar w:fldCharType="separate"/>
      </w:r>
      <w:r>
        <w:rPr>
          <w:noProof/>
        </w:rPr>
        <w:t>21</w:t>
      </w:r>
      <w:r>
        <w:rPr>
          <w:noProof/>
        </w:rPr>
        <w:fldChar w:fldCharType="end"/>
      </w:r>
    </w:p>
    <w:p w14:paraId="7D21AA47" w14:textId="0FBED9B1" w:rsidR="00A83516" w:rsidRDefault="00A83516">
      <w:pPr>
        <w:pStyle w:val="TOC1"/>
        <w:rPr>
          <w:rFonts w:asciiTheme="minorHAnsi" w:eastAsiaTheme="minorEastAsia" w:hAnsiTheme="minorHAnsi" w:cstheme="minorBidi"/>
          <w:b w:val="0"/>
          <w:bCs w:val="0"/>
          <w:caps w:val="0"/>
          <w:noProof/>
          <w:sz w:val="22"/>
          <w:szCs w:val="22"/>
        </w:rPr>
      </w:pPr>
      <w:r>
        <w:rPr>
          <w:noProof/>
        </w:rPr>
        <w:t>III.</w:t>
      </w:r>
      <w:r>
        <w:rPr>
          <w:rFonts w:asciiTheme="minorHAnsi" w:eastAsiaTheme="minorEastAsia" w:hAnsiTheme="minorHAnsi" w:cstheme="minorBidi"/>
          <w:b w:val="0"/>
          <w:bCs w:val="0"/>
          <w:caps w:val="0"/>
          <w:noProof/>
          <w:sz w:val="22"/>
          <w:szCs w:val="22"/>
        </w:rPr>
        <w:tab/>
      </w:r>
      <w:r>
        <w:rPr>
          <w:noProof/>
        </w:rPr>
        <w:t>Application Organization and Submission Instructions</w:t>
      </w:r>
      <w:r>
        <w:rPr>
          <w:noProof/>
        </w:rPr>
        <w:tab/>
      </w:r>
      <w:r>
        <w:rPr>
          <w:noProof/>
        </w:rPr>
        <w:fldChar w:fldCharType="begin"/>
      </w:r>
      <w:r>
        <w:rPr>
          <w:noProof/>
        </w:rPr>
        <w:instrText xml:space="preserve"> PAGEREF _Toc121842085 \h </w:instrText>
      </w:r>
      <w:r>
        <w:rPr>
          <w:noProof/>
        </w:rPr>
      </w:r>
      <w:r>
        <w:rPr>
          <w:noProof/>
        </w:rPr>
        <w:fldChar w:fldCharType="separate"/>
      </w:r>
      <w:r>
        <w:rPr>
          <w:noProof/>
        </w:rPr>
        <w:t>23</w:t>
      </w:r>
      <w:r>
        <w:rPr>
          <w:noProof/>
        </w:rPr>
        <w:fldChar w:fldCharType="end"/>
      </w:r>
    </w:p>
    <w:p w14:paraId="0F8E5BA9" w14:textId="7859387B" w:rsidR="00A83516" w:rsidRDefault="00A83516">
      <w:pPr>
        <w:pStyle w:val="TOC2"/>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Format, Page Limits, and Number of Copies</w:t>
      </w:r>
      <w:r>
        <w:rPr>
          <w:noProof/>
        </w:rPr>
        <w:tab/>
      </w:r>
      <w:r>
        <w:rPr>
          <w:noProof/>
        </w:rPr>
        <w:fldChar w:fldCharType="begin"/>
      </w:r>
      <w:r>
        <w:rPr>
          <w:noProof/>
        </w:rPr>
        <w:instrText xml:space="preserve"> PAGEREF _Toc121842086 \h </w:instrText>
      </w:r>
      <w:r>
        <w:rPr>
          <w:noProof/>
        </w:rPr>
      </w:r>
      <w:r>
        <w:rPr>
          <w:noProof/>
        </w:rPr>
        <w:fldChar w:fldCharType="separate"/>
      </w:r>
      <w:r>
        <w:rPr>
          <w:noProof/>
        </w:rPr>
        <w:t>23</w:t>
      </w:r>
      <w:r>
        <w:rPr>
          <w:noProof/>
        </w:rPr>
        <w:fldChar w:fldCharType="end"/>
      </w:r>
    </w:p>
    <w:p w14:paraId="635F0B3B" w14:textId="637206BA" w:rsidR="00A83516" w:rsidRDefault="00A83516">
      <w:pPr>
        <w:pStyle w:val="TOC2"/>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Method For Delivery</w:t>
      </w:r>
      <w:r>
        <w:rPr>
          <w:noProof/>
        </w:rPr>
        <w:tab/>
      </w:r>
      <w:r>
        <w:rPr>
          <w:noProof/>
        </w:rPr>
        <w:fldChar w:fldCharType="begin"/>
      </w:r>
      <w:r>
        <w:rPr>
          <w:noProof/>
        </w:rPr>
        <w:instrText xml:space="preserve"> PAGEREF _Toc121842087 \h </w:instrText>
      </w:r>
      <w:r>
        <w:rPr>
          <w:noProof/>
        </w:rPr>
      </w:r>
      <w:r>
        <w:rPr>
          <w:noProof/>
        </w:rPr>
        <w:fldChar w:fldCharType="separate"/>
      </w:r>
      <w:r>
        <w:rPr>
          <w:noProof/>
        </w:rPr>
        <w:t>23</w:t>
      </w:r>
      <w:r>
        <w:rPr>
          <w:noProof/>
        </w:rPr>
        <w:fldChar w:fldCharType="end"/>
      </w:r>
    </w:p>
    <w:p w14:paraId="503EB00C" w14:textId="00322C0A" w:rsidR="00A83516" w:rsidRDefault="00A83516">
      <w:pPr>
        <w:pStyle w:val="TOC2"/>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Application Content</w:t>
      </w:r>
      <w:r>
        <w:rPr>
          <w:noProof/>
        </w:rPr>
        <w:tab/>
      </w:r>
      <w:r>
        <w:rPr>
          <w:noProof/>
        </w:rPr>
        <w:fldChar w:fldCharType="begin"/>
      </w:r>
      <w:r>
        <w:rPr>
          <w:noProof/>
        </w:rPr>
        <w:instrText xml:space="preserve"> PAGEREF _Toc121842088 \h </w:instrText>
      </w:r>
      <w:r>
        <w:rPr>
          <w:noProof/>
        </w:rPr>
      </w:r>
      <w:r>
        <w:rPr>
          <w:noProof/>
        </w:rPr>
        <w:fldChar w:fldCharType="separate"/>
      </w:r>
      <w:r>
        <w:rPr>
          <w:noProof/>
        </w:rPr>
        <w:t>24</w:t>
      </w:r>
      <w:r>
        <w:rPr>
          <w:noProof/>
        </w:rPr>
        <w:fldChar w:fldCharType="end"/>
      </w:r>
    </w:p>
    <w:p w14:paraId="0FF49F7E" w14:textId="0D9532CB" w:rsidR="00A83516" w:rsidRDefault="00A83516">
      <w:pPr>
        <w:pStyle w:val="TOC1"/>
        <w:rPr>
          <w:rFonts w:asciiTheme="minorHAnsi" w:eastAsiaTheme="minorEastAsia" w:hAnsiTheme="minorHAnsi" w:cstheme="minorBidi"/>
          <w:b w:val="0"/>
          <w:bCs w:val="0"/>
          <w:caps w:val="0"/>
          <w:noProof/>
          <w:sz w:val="22"/>
          <w:szCs w:val="22"/>
        </w:rPr>
      </w:pPr>
      <w:r>
        <w:rPr>
          <w:noProof/>
        </w:rPr>
        <w:t>IV.</w:t>
      </w:r>
      <w:r>
        <w:rPr>
          <w:rFonts w:asciiTheme="minorHAnsi" w:eastAsiaTheme="minorEastAsia" w:hAnsiTheme="minorHAnsi" w:cstheme="minorBidi"/>
          <w:b w:val="0"/>
          <w:bCs w:val="0"/>
          <w:caps w:val="0"/>
          <w:noProof/>
          <w:sz w:val="22"/>
          <w:szCs w:val="22"/>
        </w:rPr>
        <w:tab/>
      </w:r>
      <w:r>
        <w:rPr>
          <w:noProof/>
        </w:rPr>
        <w:t>Evaluation and Award Process</w:t>
      </w:r>
      <w:r>
        <w:rPr>
          <w:noProof/>
        </w:rPr>
        <w:tab/>
      </w:r>
      <w:r>
        <w:rPr>
          <w:noProof/>
        </w:rPr>
        <w:fldChar w:fldCharType="begin"/>
      </w:r>
      <w:r>
        <w:rPr>
          <w:noProof/>
        </w:rPr>
        <w:instrText xml:space="preserve"> PAGEREF _Toc121842089 \h </w:instrText>
      </w:r>
      <w:r>
        <w:rPr>
          <w:noProof/>
        </w:rPr>
      </w:r>
      <w:r>
        <w:rPr>
          <w:noProof/>
        </w:rPr>
        <w:fldChar w:fldCharType="separate"/>
      </w:r>
      <w:r>
        <w:rPr>
          <w:noProof/>
        </w:rPr>
        <w:t>30</w:t>
      </w:r>
      <w:r>
        <w:rPr>
          <w:noProof/>
        </w:rPr>
        <w:fldChar w:fldCharType="end"/>
      </w:r>
    </w:p>
    <w:p w14:paraId="3697642A" w14:textId="63F4FA53" w:rsidR="00A83516" w:rsidRDefault="00A83516">
      <w:pPr>
        <w:pStyle w:val="TOC2"/>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Evaluation</w:t>
      </w:r>
      <w:r>
        <w:rPr>
          <w:noProof/>
        </w:rPr>
        <w:tab/>
      </w:r>
      <w:r>
        <w:rPr>
          <w:noProof/>
        </w:rPr>
        <w:fldChar w:fldCharType="begin"/>
      </w:r>
      <w:r>
        <w:rPr>
          <w:noProof/>
        </w:rPr>
        <w:instrText xml:space="preserve"> PAGEREF _Toc121842090 \h </w:instrText>
      </w:r>
      <w:r>
        <w:rPr>
          <w:noProof/>
        </w:rPr>
      </w:r>
      <w:r>
        <w:rPr>
          <w:noProof/>
        </w:rPr>
        <w:fldChar w:fldCharType="separate"/>
      </w:r>
      <w:r>
        <w:rPr>
          <w:noProof/>
        </w:rPr>
        <w:t>30</w:t>
      </w:r>
      <w:r>
        <w:rPr>
          <w:noProof/>
        </w:rPr>
        <w:fldChar w:fldCharType="end"/>
      </w:r>
    </w:p>
    <w:p w14:paraId="68EA6C5B" w14:textId="33EB71EA" w:rsidR="00A83516" w:rsidRDefault="00A83516">
      <w:pPr>
        <w:pStyle w:val="TOC2"/>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Ranking, Notice of Proposed Award, and Agreement Development</w:t>
      </w:r>
      <w:r>
        <w:rPr>
          <w:noProof/>
        </w:rPr>
        <w:tab/>
      </w:r>
      <w:r>
        <w:rPr>
          <w:noProof/>
        </w:rPr>
        <w:fldChar w:fldCharType="begin"/>
      </w:r>
      <w:r>
        <w:rPr>
          <w:noProof/>
        </w:rPr>
        <w:instrText xml:space="preserve"> PAGEREF _Toc121842091 \h </w:instrText>
      </w:r>
      <w:r>
        <w:rPr>
          <w:noProof/>
        </w:rPr>
      </w:r>
      <w:r>
        <w:rPr>
          <w:noProof/>
        </w:rPr>
        <w:fldChar w:fldCharType="separate"/>
      </w:r>
      <w:r>
        <w:rPr>
          <w:noProof/>
        </w:rPr>
        <w:t>30</w:t>
      </w:r>
      <w:r>
        <w:rPr>
          <w:noProof/>
        </w:rPr>
        <w:fldChar w:fldCharType="end"/>
      </w:r>
    </w:p>
    <w:p w14:paraId="044BDBBE" w14:textId="7D3D328B" w:rsidR="00A83516" w:rsidRDefault="00A83516">
      <w:pPr>
        <w:pStyle w:val="TOC2"/>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Grounds to Reject an Application or Cancel an Award</w:t>
      </w:r>
      <w:r>
        <w:rPr>
          <w:noProof/>
        </w:rPr>
        <w:tab/>
      </w:r>
      <w:r>
        <w:rPr>
          <w:noProof/>
        </w:rPr>
        <w:fldChar w:fldCharType="begin"/>
      </w:r>
      <w:r>
        <w:rPr>
          <w:noProof/>
        </w:rPr>
        <w:instrText xml:space="preserve"> PAGEREF _Toc121842092 \h </w:instrText>
      </w:r>
      <w:r>
        <w:rPr>
          <w:noProof/>
        </w:rPr>
      </w:r>
      <w:r>
        <w:rPr>
          <w:noProof/>
        </w:rPr>
        <w:fldChar w:fldCharType="separate"/>
      </w:r>
      <w:r>
        <w:rPr>
          <w:noProof/>
        </w:rPr>
        <w:t>31</w:t>
      </w:r>
      <w:r>
        <w:rPr>
          <w:noProof/>
        </w:rPr>
        <w:fldChar w:fldCharType="end"/>
      </w:r>
    </w:p>
    <w:p w14:paraId="6D39C516" w14:textId="7A8A6DB8" w:rsidR="00A83516" w:rsidRDefault="00A83516">
      <w:pPr>
        <w:pStyle w:val="TOC2"/>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Miscellaneous</w:t>
      </w:r>
      <w:r>
        <w:rPr>
          <w:noProof/>
        </w:rPr>
        <w:tab/>
      </w:r>
      <w:r>
        <w:rPr>
          <w:noProof/>
        </w:rPr>
        <w:fldChar w:fldCharType="begin"/>
      </w:r>
      <w:r>
        <w:rPr>
          <w:noProof/>
        </w:rPr>
        <w:instrText xml:space="preserve"> PAGEREF _Toc121842093 \h </w:instrText>
      </w:r>
      <w:r>
        <w:rPr>
          <w:noProof/>
        </w:rPr>
      </w:r>
      <w:r>
        <w:rPr>
          <w:noProof/>
        </w:rPr>
        <w:fldChar w:fldCharType="separate"/>
      </w:r>
      <w:r>
        <w:rPr>
          <w:noProof/>
        </w:rPr>
        <w:t>32</w:t>
      </w:r>
      <w:r>
        <w:rPr>
          <w:noProof/>
        </w:rPr>
        <w:fldChar w:fldCharType="end"/>
      </w:r>
    </w:p>
    <w:p w14:paraId="5C4ADE9E" w14:textId="119F2653" w:rsidR="00A83516" w:rsidRDefault="00A83516">
      <w:pPr>
        <w:pStyle w:val="TOC2"/>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Stage One:  Application Screening</w:t>
      </w:r>
      <w:r>
        <w:rPr>
          <w:noProof/>
        </w:rPr>
        <w:tab/>
      </w:r>
      <w:r>
        <w:rPr>
          <w:noProof/>
        </w:rPr>
        <w:fldChar w:fldCharType="begin"/>
      </w:r>
      <w:r>
        <w:rPr>
          <w:noProof/>
        </w:rPr>
        <w:instrText xml:space="preserve"> PAGEREF _Toc121842094 \h </w:instrText>
      </w:r>
      <w:r>
        <w:rPr>
          <w:noProof/>
        </w:rPr>
      </w:r>
      <w:r>
        <w:rPr>
          <w:noProof/>
        </w:rPr>
        <w:fldChar w:fldCharType="separate"/>
      </w:r>
      <w:r>
        <w:rPr>
          <w:noProof/>
        </w:rPr>
        <w:t>33</w:t>
      </w:r>
      <w:r>
        <w:rPr>
          <w:noProof/>
        </w:rPr>
        <w:fldChar w:fldCharType="end"/>
      </w:r>
    </w:p>
    <w:p w14:paraId="3F4B3687" w14:textId="2498750A" w:rsidR="00A83516" w:rsidRDefault="00A83516">
      <w:pPr>
        <w:pStyle w:val="TOC2"/>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Stage Two:  Application Scoring</w:t>
      </w:r>
      <w:r>
        <w:rPr>
          <w:noProof/>
        </w:rPr>
        <w:tab/>
      </w:r>
      <w:r>
        <w:rPr>
          <w:noProof/>
        </w:rPr>
        <w:fldChar w:fldCharType="begin"/>
      </w:r>
      <w:r>
        <w:rPr>
          <w:noProof/>
        </w:rPr>
        <w:instrText xml:space="preserve"> PAGEREF _Toc121842095 \h </w:instrText>
      </w:r>
      <w:r>
        <w:rPr>
          <w:noProof/>
        </w:rPr>
      </w:r>
      <w:r>
        <w:rPr>
          <w:noProof/>
        </w:rPr>
        <w:fldChar w:fldCharType="separate"/>
      </w:r>
      <w:r>
        <w:rPr>
          <w:noProof/>
        </w:rPr>
        <w:t>34</w:t>
      </w:r>
      <w:r>
        <w:rPr>
          <w:noProof/>
        </w:rPr>
        <w:fldChar w:fldCharType="end"/>
      </w:r>
    </w:p>
    <w:p w14:paraId="2C5FC0CB" w14:textId="4377BECC" w:rsidR="00B47896" w:rsidRPr="00C31C1D" w:rsidRDefault="00B47896" w:rsidP="00B47896">
      <w:pPr>
        <w:widowControl w:val="0"/>
        <w:jc w:val="both"/>
      </w:pPr>
      <w:r w:rsidRPr="0070672A">
        <w:rPr>
          <w:b/>
          <w:caps/>
          <w:color w:val="2B579A"/>
          <w:szCs w:val="22"/>
          <w:shd w:val="clear" w:color="auto" w:fill="E6E6E6"/>
        </w:rPr>
        <w:fldChar w:fldCharType="end"/>
      </w:r>
    </w:p>
    <w:p w14:paraId="1E4EA78C" w14:textId="77777777" w:rsidR="00B47896" w:rsidRDefault="00B47896" w:rsidP="00B47896">
      <w:r>
        <w:rPr>
          <w:b/>
        </w:rPr>
        <w:br w:type="page"/>
      </w:r>
    </w:p>
    <w:p w14:paraId="4A7E61F4" w14:textId="77777777" w:rsidR="00B47896" w:rsidRPr="00C31C1D" w:rsidRDefault="00B47896" w:rsidP="00B47896">
      <w:pPr>
        <w:pStyle w:val="Heading3"/>
        <w:widowControl w:val="0"/>
        <w:spacing w:after="120"/>
        <w:sectPr w:rsidR="00B47896" w:rsidRPr="00C31C1D" w:rsidSect="00FE6C71">
          <w:headerReference w:type="default" r:id="rId16"/>
          <w:footerReference w:type="default" r:id="rId17"/>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B47896" w:rsidRPr="003F6147" w14:paraId="3763F0B5" w14:textId="77777777" w:rsidTr="111D987C">
        <w:trPr>
          <w:cantSplit/>
          <w:trHeight w:val="585"/>
        </w:trPr>
        <w:tc>
          <w:tcPr>
            <w:tcW w:w="9540" w:type="dxa"/>
          </w:tcPr>
          <w:p w14:paraId="6D809B0A" w14:textId="77777777" w:rsidR="00B47896" w:rsidRPr="003F6147" w:rsidRDefault="00B47896" w:rsidP="111D987C">
            <w:pPr>
              <w:keepLines/>
              <w:widowControl w:val="0"/>
              <w:spacing w:after="0"/>
              <w:jc w:val="center"/>
              <w:rPr>
                <w:rFonts w:ascii="Arial Bold" w:hAnsi="Arial Bold"/>
                <w:b/>
                <w:bCs/>
                <w:caps/>
              </w:rPr>
            </w:pPr>
            <w:bookmarkStart w:id="3" w:name="_Toc219275079"/>
            <w:bookmarkStart w:id="4" w:name="_Toc336443614"/>
            <w:bookmarkStart w:id="5" w:name="_Toc366671167"/>
            <w:r w:rsidRPr="111D987C">
              <w:rPr>
                <w:rFonts w:ascii="Arial Bold" w:hAnsi="Arial Bold"/>
                <w:b/>
                <w:bCs/>
                <w:caps/>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1510"/>
              <w:gridCol w:w="7848"/>
            </w:tblGrid>
            <w:tr w:rsidR="00B47896" w:rsidRPr="00EF4AB2" w14:paraId="276D976C" w14:textId="77777777" w:rsidTr="0060279F">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1510" w:type="dxa"/>
                </w:tcPr>
                <w:p w14:paraId="79C8C0D2" w14:textId="77777777" w:rsidR="00B47896" w:rsidRPr="00EF4AB2" w:rsidRDefault="00B47896">
                  <w:pPr>
                    <w:spacing w:after="0"/>
                    <w:jc w:val="both"/>
                    <w:rPr>
                      <w:sz w:val="22"/>
                      <w:szCs w:val="22"/>
                    </w:rPr>
                  </w:pPr>
                  <w:r w:rsidRPr="00EF4AB2">
                    <w:rPr>
                      <w:szCs w:val="22"/>
                    </w:rPr>
                    <w:t>Attachment Number</w:t>
                  </w:r>
                </w:p>
              </w:tc>
              <w:tc>
                <w:tcPr>
                  <w:cnfStyle w:val="000010000000" w:firstRow="0" w:lastRow="0" w:firstColumn="0" w:lastColumn="0" w:oddVBand="1" w:evenVBand="0" w:oddHBand="0" w:evenHBand="0" w:firstRowFirstColumn="0" w:firstRowLastColumn="0" w:lastRowFirstColumn="0" w:lastRowLastColumn="0"/>
                  <w:tcW w:w="7848" w:type="dxa"/>
                </w:tcPr>
                <w:p w14:paraId="259A319A" w14:textId="77777777" w:rsidR="00B47896" w:rsidRPr="00EF4AB2" w:rsidRDefault="00B47896">
                  <w:pPr>
                    <w:spacing w:after="0"/>
                    <w:jc w:val="both"/>
                    <w:rPr>
                      <w:sz w:val="22"/>
                      <w:szCs w:val="22"/>
                    </w:rPr>
                  </w:pPr>
                  <w:r w:rsidRPr="00EF4AB2">
                    <w:rPr>
                      <w:szCs w:val="22"/>
                    </w:rPr>
                    <w:t>Title of Section</w:t>
                  </w:r>
                </w:p>
              </w:tc>
            </w:tr>
            <w:tr w:rsidR="00B47896" w:rsidRPr="00EF4AB2" w14:paraId="203609D3" w14:textId="77777777" w:rsidTr="0060279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3256BFBC" w14:textId="77777777" w:rsidR="00B47896" w:rsidRPr="00EF4AB2" w:rsidRDefault="00B47896">
                  <w:pPr>
                    <w:spacing w:after="0"/>
                    <w:jc w:val="both"/>
                    <w:rPr>
                      <w:sz w:val="22"/>
                      <w:szCs w:val="22"/>
                    </w:rPr>
                  </w:pPr>
                  <w:r w:rsidRPr="00EF4AB2">
                    <w:rPr>
                      <w:szCs w:val="22"/>
                    </w:rPr>
                    <w:t>1</w:t>
                  </w:r>
                </w:p>
              </w:tc>
              <w:tc>
                <w:tcPr>
                  <w:cnfStyle w:val="000010000000" w:firstRow="0" w:lastRow="0" w:firstColumn="0" w:lastColumn="0" w:oddVBand="1" w:evenVBand="0" w:oddHBand="0" w:evenHBand="0" w:firstRowFirstColumn="0" w:firstRowLastColumn="0" w:lastRowFirstColumn="0" w:lastRowLastColumn="0"/>
                  <w:tcW w:w="7848" w:type="dxa"/>
                </w:tcPr>
                <w:p w14:paraId="45065D4C" w14:textId="77777777" w:rsidR="00B47896" w:rsidRPr="00EF4AB2" w:rsidRDefault="00B47896">
                  <w:pPr>
                    <w:spacing w:after="0"/>
                    <w:jc w:val="both"/>
                    <w:rPr>
                      <w:sz w:val="22"/>
                      <w:szCs w:val="22"/>
                    </w:rPr>
                  </w:pPr>
                  <w:r w:rsidRPr="00EF4AB2">
                    <w:rPr>
                      <w:szCs w:val="22"/>
                    </w:rPr>
                    <w:t xml:space="preserve">Application Form </w:t>
                  </w:r>
                  <w:r w:rsidRPr="00EF4AB2">
                    <w:rPr>
                      <w:b/>
                      <w:i/>
                      <w:szCs w:val="22"/>
                    </w:rPr>
                    <w:t>(requires signature)</w:t>
                  </w:r>
                </w:p>
              </w:tc>
            </w:tr>
            <w:tr w:rsidR="00B47896" w:rsidRPr="00EF4AB2" w14:paraId="75784CF8" w14:textId="77777777" w:rsidTr="0060279F">
              <w:trPr>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542395A1" w14:textId="77777777" w:rsidR="00B47896" w:rsidRPr="00EF4AB2" w:rsidRDefault="00B47896">
                  <w:pPr>
                    <w:spacing w:after="0"/>
                    <w:jc w:val="both"/>
                    <w:rPr>
                      <w:sz w:val="22"/>
                      <w:szCs w:val="22"/>
                    </w:rPr>
                  </w:pPr>
                  <w:r w:rsidRPr="00EF4AB2">
                    <w:rPr>
                      <w:szCs w:val="22"/>
                    </w:rPr>
                    <w:t>2</w:t>
                  </w:r>
                </w:p>
              </w:tc>
              <w:tc>
                <w:tcPr>
                  <w:cnfStyle w:val="000010000000" w:firstRow="0" w:lastRow="0" w:firstColumn="0" w:lastColumn="0" w:oddVBand="1" w:evenVBand="0" w:oddHBand="0" w:evenHBand="0" w:firstRowFirstColumn="0" w:firstRowLastColumn="0" w:lastRowFirstColumn="0" w:lastRowLastColumn="0"/>
                  <w:tcW w:w="7848" w:type="dxa"/>
                </w:tcPr>
                <w:p w14:paraId="7430213E" w14:textId="77777777" w:rsidR="00B47896" w:rsidRPr="00EF4AB2" w:rsidRDefault="00B47896">
                  <w:pPr>
                    <w:spacing w:after="0"/>
                    <w:jc w:val="both"/>
                    <w:rPr>
                      <w:sz w:val="22"/>
                      <w:szCs w:val="22"/>
                    </w:rPr>
                  </w:pPr>
                  <w:r w:rsidRPr="00EF4AB2">
                    <w:rPr>
                      <w:szCs w:val="22"/>
                    </w:rPr>
                    <w:t xml:space="preserve">Executive Summary </w:t>
                  </w:r>
                </w:p>
              </w:tc>
            </w:tr>
            <w:tr w:rsidR="00B47896" w:rsidRPr="00EF4AB2" w14:paraId="45052A30" w14:textId="77777777" w:rsidTr="0060279F">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510" w:type="dxa"/>
                </w:tcPr>
                <w:p w14:paraId="232DB344" w14:textId="77777777" w:rsidR="00B47896" w:rsidRPr="00EF4AB2" w:rsidRDefault="00B47896">
                  <w:pPr>
                    <w:spacing w:after="0"/>
                    <w:jc w:val="both"/>
                    <w:rPr>
                      <w:sz w:val="22"/>
                      <w:szCs w:val="22"/>
                    </w:rPr>
                  </w:pPr>
                  <w:r w:rsidRPr="00EF4AB2">
                    <w:rPr>
                      <w:szCs w:val="22"/>
                    </w:rPr>
                    <w:t>3</w:t>
                  </w:r>
                </w:p>
              </w:tc>
              <w:tc>
                <w:tcPr>
                  <w:cnfStyle w:val="000010000000" w:firstRow="0" w:lastRow="0" w:firstColumn="0" w:lastColumn="0" w:oddVBand="1" w:evenVBand="0" w:oddHBand="0" w:evenHBand="0" w:firstRowFirstColumn="0" w:firstRowLastColumn="0" w:lastRowFirstColumn="0" w:lastRowLastColumn="0"/>
                  <w:tcW w:w="7848" w:type="dxa"/>
                </w:tcPr>
                <w:p w14:paraId="2B430435" w14:textId="77777777" w:rsidR="00B47896" w:rsidRPr="00EF4AB2" w:rsidRDefault="00B47896">
                  <w:pPr>
                    <w:spacing w:after="0"/>
                    <w:jc w:val="both"/>
                    <w:rPr>
                      <w:sz w:val="22"/>
                      <w:szCs w:val="22"/>
                    </w:rPr>
                  </w:pPr>
                  <w:r w:rsidRPr="00EF4AB2">
                    <w:rPr>
                      <w:szCs w:val="22"/>
                    </w:rPr>
                    <w:t xml:space="preserve">Project Narrative </w:t>
                  </w:r>
                </w:p>
              </w:tc>
            </w:tr>
            <w:tr w:rsidR="00B47896" w:rsidRPr="00EF4AB2" w14:paraId="512ECEA5" w14:textId="77777777" w:rsidTr="0060279F">
              <w:trPr>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72305178" w14:textId="77777777" w:rsidR="00B47896" w:rsidRPr="00EF4AB2" w:rsidRDefault="00B47896">
                  <w:pPr>
                    <w:spacing w:after="0"/>
                    <w:jc w:val="both"/>
                    <w:rPr>
                      <w:sz w:val="22"/>
                      <w:szCs w:val="22"/>
                    </w:rPr>
                  </w:pPr>
                  <w:r w:rsidRPr="00EF4AB2">
                    <w:rPr>
                      <w:szCs w:val="22"/>
                    </w:rPr>
                    <w:t>4</w:t>
                  </w:r>
                </w:p>
              </w:tc>
              <w:tc>
                <w:tcPr>
                  <w:cnfStyle w:val="000010000000" w:firstRow="0" w:lastRow="0" w:firstColumn="0" w:lastColumn="0" w:oddVBand="1" w:evenVBand="0" w:oddHBand="0" w:evenHBand="0" w:firstRowFirstColumn="0" w:firstRowLastColumn="0" w:lastRowFirstColumn="0" w:lastRowLastColumn="0"/>
                  <w:tcW w:w="7848" w:type="dxa"/>
                </w:tcPr>
                <w:p w14:paraId="42B26739" w14:textId="77777777" w:rsidR="00B47896" w:rsidRPr="00EF4AB2" w:rsidRDefault="00B47896">
                  <w:pPr>
                    <w:spacing w:after="0"/>
                    <w:jc w:val="both"/>
                    <w:rPr>
                      <w:sz w:val="22"/>
                      <w:szCs w:val="22"/>
                    </w:rPr>
                  </w:pPr>
                  <w:r w:rsidRPr="00EF4AB2">
                    <w:rPr>
                      <w:szCs w:val="22"/>
                    </w:rPr>
                    <w:t xml:space="preserve">Project Team </w:t>
                  </w:r>
                </w:p>
              </w:tc>
            </w:tr>
            <w:tr w:rsidR="00B47896" w:rsidRPr="00EF4AB2" w14:paraId="770CE6E6" w14:textId="77777777" w:rsidTr="0060279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0BBA8116" w14:textId="77777777" w:rsidR="00B47896" w:rsidRPr="00EF4AB2" w:rsidRDefault="00B47896">
                  <w:pPr>
                    <w:spacing w:after="0"/>
                    <w:jc w:val="both"/>
                    <w:rPr>
                      <w:sz w:val="22"/>
                      <w:szCs w:val="22"/>
                    </w:rPr>
                  </w:pPr>
                  <w:r w:rsidRPr="00EF4AB2">
                    <w:rPr>
                      <w:szCs w:val="22"/>
                    </w:rPr>
                    <w:t>5</w:t>
                  </w:r>
                </w:p>
              </w:tc>
              <w:tc>
                <w:tcPr>
                  <w:cnfStyle w:val="000010000000" w:firstRow="0" w:lastRow="0" w:firstColumn="0" w:lastColumn="0" w:oddVBand="1" w:evenVBand="0" w:oddHBand="0" w:evenHBand="0" w:firstRowFirstColumn="0" w:firstRowLastColumn="0" w:lastRowFirstColumn="0" w:lastRowLastColumn="0"/>
                  <w:tcW w:w="7848" w:type="dxa"/>
                </w:tcPr>
                <w:p w14:paraId="0CF6E71C" w14:textId="77777777" w:rsidR="00B47896" w:rsidRPr="00EF4AB2" w:rsidRDefault="00B47896">
                  <w:pPr>
                    <w:spacing w:after="0"/>
                    <w:jc w:val="both"/>
                    <w:rPr>
                      <w:sz w:val="22"/>
                      <w:szCs w:val="22"/>
                    </w:rPr>
                  </w:pPr>
                  <w:r w:rsidRPr="00EF4AB2">
                    <w:rPr>
                      <w:szCs w:val="22"/>
                    </w:rPr>
                    <w:t xml:space="preserve">Scope of Work </w:t>
                  </w:r>
                </w:p>
              </w:tc>
            </w:tr>
            <w:tr w:rsidR="00B47896" w:rsidRPr="00EF4AB2" w14:paraId="40CCEAEF" w14:textId="77777777" w:rsidTr="0060279F">
              <w:trPr>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4502FB91" w14:textId="77777777" w:rsidR="00B47896" w:rsidRPr="00EF4AB2" w:rsidRDefault="00B47896">
                  <w:pPr>
                    <w:spacing w:after="0"/>
                    <w:jc w:val="both"/>
                    <w:rPr>
                      <w:sz w:val="22"/>
                      <w:szCs w:val="22"/>
                    </w:rPr>
                  </w:pPr>
                  <w:r w:rsidRPr="00EF4AB2">
                    <w:rPr>
                      <w:szCs w:val="22"/>
                    </w:rPr>
                    <w:t>6</w:t>
                  </w:r>
                </w:p>
              </w:tc>
              <w:tc>
                <w:tcPr>
                  <w:cnfStyle w:val="000010000000" w:firstRow="0" w:lastRow="0" w:firstColumn="0" w:lastColumn="0" w:oddVBand="1" w:evenVBand="0" w:oddHBand="0" w:evenHBand="0" w:firstRowFirstColumn="0" w:firstRowLastColumn="0" w:lastRowFirstColumn="0" w:lastRowLastColumn="0"/>
                  <w:tcW w:w="7848" w:type="dxa"/>
                </w:tcPr>
                <w:p w14:paraId="1E79C6D0" w14:textId="77777777" w:rsidR="00B47896" w:rsidRPr="00EF4AB2" w:rsidRDefault="00B47896">
                  <w:pPr>
                    <w:spacing w:after="0"/>
                    <w:jc w:val="both"/>
                    <w:rPr>
                      <w:sz w:val="22"/>
                      <w:szCs w:val="22"/>
                    </w:rPr>
                  </w:pPr>
                  <w:r w:rsidRPr="00EF4AB2">
                    <w:rPr>
                      <w:szCs w:val="22"/>
                    </w:rPr>
                    <w:t>Project Schedule</w:t>
                  </w:r>
                </w:p>
              </w:tc>
            </w:tr>
            <w:tr w:rsidR="00B47896" w:rsidRPr="00EF4AB2" w14:paraId="358C0DB3" w14:textId="77777777" w:rsidTr="0060279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105DB6B5" w14:textId="77777777" w:rsidR="00B47896" w:rsidRPr="00EF4AB2" w:rsidRDefault="00B47896">
                  <w:pPr>
                    <w:spacing w:after="0"/>
                    <w:jc w:val="both"/>
                    <w:rPr>
                      <w:sz w:val="22"/>
                      <w:szCs w:val="22"/>
                    </w:rPr>
                  </w:pPr>
                  <w:r w:rsidRPr="00EF4AB2">
                    <w:rPr>
                      <w:szCs w:val="22"/>
                    </w:rPr>
                    <w:t>7</w:t>
                  </w:r>
                </w:p>
              </w:tc>
              <w:tc>
                <w:tcPr>
                  <w:cnfStyle w:val="000010000000" w:firstRow="0" w:lastRow="0" w:firstColumn="0" w:lastColumn="0" w:oddVBand="1" w:evenVBand="0" w:oddHBand="0" w:evenHBand="0" w:firstRowFirstColumn="0" w:firstRowLastColumn="0" w:lastRowFirstColumn="0" w:lastRowLastColumn="0"/>
                  <w:tcW w:w="7848" w:type="dxa"/>
                </w:tcPr>
                <w:p w14:paraId="7636F619" w14:textId="77777777" w:rsidR="00B47896" w:rsidRPr="00EF4AB2" w:rsidRDefault="00B47896">
                  <w:pPr>
                    <w:spacing w:after="0"/>
                    <w:jc w:val="both"/>
                    <w:rPr>
                      <w:sz w:val="22"/>
                      <w:szCs w:val="22"/>
                    </w:rPr>
                  </w:pPr>
                  <w:r w:rsidRPr="00EF4AB2">
                    <w:rPr>
                      <w:szCs w:val="22"/>
                    </w:rPr>
                    <w:t xml:space="preserve">Budget </w:t>
                  </w:r>
                </w:p>
              </w:tc>
            </w:tr>
            <w:tr w:rsidR="00B47896" w:rsidRPr="00EF4AB2" w14:paraId="283B15BE" w14:textId="77777777" w:rsidTr="0060279F">
              <w:trPr>
                <w:trHeight w:val="319"/>
                <w:jc w:val="center"/>
              </w:trPr>
              <w:tc>
                <w:tcPr>
                  <w:cnfStyle w:val="001000000000" w:firstRow="0" w:lastRow="0" w:firstColumn="1" w:lastColumn="0" w:oddVBand="0" w:evenVBand="0" w:oddHBand="0" w:evenHBand="0" w:firstRowFirstColumn="0" w:firstRowLastColumn="0" w:lastRowFirstColumn="0" w:lastRowLastColumn="0"/>
                  <w:tcW w:w="1510" w:type="dxa"/>
                </w:tcPr>
                <w:p w14:paraId="58F6662A" w14:textId="77777777" w:rsidR="00B47896" w:rsidRPr="00EF4AB2" w:rsidRDefault="00B47896">
                  <w:pPr>
                    <w:spacing w:after="0"/>
                    <w:jc w:val="both"/>
                    <w:rPr>
                      <w:sz w:val="22"/>
                      <w:szCs w:val="22"/>
                    </w:rPr>
                  </w:pPr>
                  <w:r w:rsidRPr="00EF4AB2">
                    <w:rPr>
                      <w:szCs w:val="22"/>
                    </w:rPr>
                    <w:t>8</w:t>
                  </w:r>
                </w:p>
              </w:tc>
              <w:tc>
                <w:tcPr>
                  <w:cnfStyle w:val="000010000000" w:firstRow="0" w:lastRow="0" w:firstColumn="0" w:lastColumn="0" w:oddVBand="1" w:evenVBand="0" w:oddHBand="0" w:evenHBand="0" w:firstRowFirstColumn="0" w:firstRowLastColumn="0" w:lastRowFirstColumn="0" w:lastRowLastColumn="0"/>
                  <w:tcW w:w="7848" w:type="dxa"/>
                </w:tcPr>
                <w:p w14:paraId="7FBA46CD" w14:textId="77777777" w:rsidR="00B47896" w:rsidRPr="00EF4AB2" w:rsidRDefault="00B47896">
                  <w:pPr>
                    <w:spacing w:after="0"/>
                    <w:jc w:val="both"/>
                    <w:rPr>
                      <w:sz w:val="22"/>
                      <w:szCs w:val="22"/>
                    </w:rPr>
                  </w:pPr>
                  <w:r w:rsidRPr="00EF4AB2">
                    <w:rPr>
                      <w:szCs w:val="22"/>
                    </w:rPr>
                    <w:t xml:space="preserve">CEQA Compliance Form </w:t>
                  </w:r>
                </w:p>
              </w:tc>
            </w:tr>
            <w:tr w:rsidR="00B47896" w:rsidRPr="00EF4AB2" w14:paraId="570AC10B" w14:textId="77777777" w:rsidTr="0060279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7DBDE9D2" w14:textId="77777777" w:rsidR="00B47896" w:rsidRPr="00EF4AB2" w:rsidRDefault="00B47896">
                  <w:pPr>
                    <w:spacing w:after="0"/>
                    <w:jc w:val="both"/>
                    <w:rPr>
                      <w:sz w:val="22"/>
                      <w:szCs w:val="22"/>
                    </w:rPr>
                  </w:pPr>
                  <w:r w:rsidRPr="00EF4AB2">
                    <w:rPr>
                      <w:szCs w:val="22"/>
                    </w:rPr>
                    <w:t>9</w:t>
                  </w:r>
                </w:p>
              </w:tc>
              <w:tc>
                <w:tcPr>
                  <w:cnfStyle w:val="000010000000" w:firstRow="0" w:lastRow="0" w:firstColumn="0" w:lastColumn="0" w:oddVBand="1" w:evenVBand="0" w:oddHBand="0" w:evenHBand="0" w:firstRowFirstColumn="0" w:firstRowLastColumn="0" w:lastRowFirstColumn="0" w:lastRowLastColumn="0"/>
                  <w:tcW w:w="7848" w:type="dxa"/>
                </w:tcPr>
                <w:p w14:paraId="79C00849" w14:textId="77777777" w:rsidR="00B47896" w:rsidRPr="00EF4AB2" w:rsidRDefault="00B47896">
                  <w:pPr>
                    <w:spacing w:after="0"/>
                    <w:jc w:val="both"/>
                    <w:rPr>
                      <w:sz w:val="22"/>
                      <w:szCs w:val="22"/>
                    </w:rPr>
                  </w:pPr>
                  <w:r w:rsidRPr="00EF4AB2">
                    <w:rPr>
                      <w:szCs w:val="22"/>
                    </w:rPr>
                    <w:t>References and Work Product</w:t>
                  </w:r>
                </w:p>
              </w:tc>
            </w:tr>
            <w:tr w:rsidR="00B47896" w:rsidRPr="00EF4AB2" w14:paraId="2B426908" w14:textId="77777777" w:rsidTr="0060279F">
              <w:trPr>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529CABD2" w14:textId="77777777" w:rsidR="00B47896" w:rsidRPr="00EF4AB2" w:rsidRDefault="00B47896">
                  <w:pPr>
                    <w:spacing w:after="0"/>
                    <w:jc w:val="both"/>
                    <w:rPr>
                      <w:sz w:val="22"/>
                      <w:szCs w:val="22"/>
                    </w:rPr>
                  </w:pPr>
                  <w:r w:rsidRPr="00EF4AB2">
                    <w:rPr>
                      <w:szCs w:val="22"/>
                    </w:rPr>
                    <w:t>10</w:t>
                  </w:r>
                </w:p>
              </w:tc>
              <w:tc>
                <w:tcPr>
                  <w:cnfStyle w:val="000010000000" w:firstRow="0" w:lastRow="0" w:firstColumn="0" w:lastColumn="0" w:oddVBand="1" w:evenVBand="0" w:oddHBand="0" w:evenHBand="0" w:firstRowFirstColumn="0" w:firstRowLastColumn="0" w:lastRowFirstColumn="0" w:lastRowLastColumn="0"/>
                  <w:tcW w:w="7848" w:type="dxa"/>
                </w:tcPr>
                <w:p w14:paraId="5F78758C" w14:textId="77777777" w:rsidR="00B47896" w:rsidRPr="00EF4AB2" w:rsidRDefault="00B47896">
                  <w:pPr>
                    <w:spacing w:after="0"/>
                    <w:jc w:val="both"/>
                    <w:rPr>
                      <w:sz w:val="22"/>
                      <w:szCs w:val="22"/>
                    </w:rPr>
                  </w:pPr>
                  <w:r w:rsidRPr="00EF4AB2">
                    <w:rPr>
                      <w:szCs w:val="22"/>
                    </w:rPr>
                    <w:t xml:space="preserve">Commitment and Support Letters </w:t>
                  </w:r>
                  <w:r w:rsidRPr="00EF4AB2">
                    <w:rPr>
                      <w:b/>
                      <w:i/>
                      <w:szCs w:val="22"/>
                    </w:rPr>
                    <w:t>(require signature)</w:t>
                  </w:r>
                </w:p>
              </w:tc>
            </w:tr>
            <w:tr w:rsidR="00B47896" w:rsidRPr="00EF4AB2" w14:paraId="5ADE9469" w14:textId="77777777" w:rsidTr="0060279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0" w:type="dxa"/>
                </w:tcPr>
                <w:p w14:paraId="2DC42456" w14:textId="77777777" w:rsidR="00B47896" w:rsidRPr="00EF4AB2" w:rsidRDefault="00B47896">
                  <w:pPr>
                    <w:spacing w:after="0"/>
                    <w:jc w:val="both"/>
                    <w:rPr>
                      <w:sz w:val="22"/>
                      <w:szCs w:val="22"/>
                    </w:rPr>
                  </w:pPr>
                  <w:r w:rsidRPr="00EF4AB2">
                    <w:rPr>
                      <w:szCs w:val="22"/>
                    </w:rPr>
                    <w:t>11</w:t>
                  </w:r>
                </w:p>
              </w:tc>
              <w:tc>
                <w:tcPr>
                  <w:cnfStyle w:val="000010000000" w:firstRow="0" w:lastRow="0" w:firstColumn="0" w:lastColumn="0" w:oddVBand="1" w:evenVBand="0" w:oddHBand="0" w:evenHBand="0" w:firstRowFirstColumn="0" w:firstRowLastColumn="0" w:lastRowFirstColumn="0" w:lastRowLastColumn="0"/>
                  <w:tcW w:w="7848" w:type="dxa"/>
                </w:tcPr>
                <w:p w14:paraId="58B2B535" w14:textId="77777777" w:rsidR="00B47896" w:rsidRPr="00EF4AB2" w:rsidRDefault="00B47896">
                  <w:pPr>
                    <w:spacing w:after="0"/>
                    <w:jc w:val="both"/>
                    <w:rPr>
                      <w:sz w:val="22"/>
                      <w:szCs w:val="22"/>
                    </w:rPr>
                  </w:pPr>
                  <w:r w:rsidRPr="00EF4AB2">
                    <w:rPr>
                      <w:szCs w:val="22"/>
                    </w:rPr>
                    <w:t>Project Performance Metrics</w:t>
                  </w:r>
                </w:p>
              </w:tc>
            </w:tr>
            <w:tr w:rsidR="00B47896" w:rsidRPr="00EF4AB2" w14:paraId="7FD77E93" w14:textId="77777777" w:rsidTr="0060279F">
              <w:trPr>
                <w:trHeight w:val="394"/>
                <w:jc w:val="center"/>
              </w:trPr>
              <w:tc>
                <w:tcPr>
                  <w:cnfStyle w:val="001000000000" w:firstRow="0" w:lastRow="0" w:firstColumn="1" w:lastColumn="0" w:oddVBand="0" w:evenVBand="0" w:oddHBand="0" w:evenHBand="0" w:firstRowFirstColumn="0" w:firstRowLastColumn="0" w:lastRowFirstColumn="0" w:lastRowLastColumn="0"/>
                  <w:tcW w:w="1510" w:type="dxa"/>
                </w:tcPr>
                <w:p w14:paraId="27F0580A" w14:textId="77777777" w:rsidR="00B47896" w:rsidRPr="00EF4AB2" w:rsidRDefault="00B47896">
                  <w:pPr>
                    <w:spacing w:after="0"/>
                    <w:jc w:val="both"/>
                    <w:rPr>
                      <w:sz w:val="22"/>
                      <w:szCs w:val="22"/>
                    </w:rPr>
                  </w:pPr>
                  <w:r w:rsidRPr="00EF4AB2">
                    <w:rPr>
                      <w:szCs w:val="22"/>
                    </w:rPr>
                    <w:t>12</w:t>
                  </w:r>
                </w:p>
              </w:tc>
              <w:tc>
                <w:tcPr>
                  <w:cnfStyle w:val="000010000000" w:firstRow="0" w:lastRow="0" w:firstColumn="0" w:lastColumn="0" w:oddVBand="1" w:evenVBand="0" w:oddHBand="0" w:evenHBand="0" w:firstRowFirstColumn="0" w:firstRowLastColumn="0" w:lastRowFirstColumn="0" w:lastRowLastColumn="0"/>
                  <w:tcW w:w="7848" w:type="dxa"/>
                </w:tcPr>
                <w:p w14:paraId="4A6E2D95" w14:textId="77777777" w:rsidR="00B47896" w:rsidRPr="00EF4AB2" w:rsidRDefault="00B47896">
                  <w:pPr>
                    <w:spacing w:after="0"/>
                    <w:jc w:val="both"/>
                    <w:rPr>
                      <w:sz w:val="22"/>
                      <w:szCs w:val="22"/>
                    </w:rPr>
                  </w:pPr>
                  <w:r w:rsidRPr="00EF4AB2">
                    <w:rPr>
                      <w:szCs w:val="22"/>
                    </w:rPr>
                    <w:t xml:space="preserve">Applicant Declaration </w:t>
                  </w:r>
                  <w:r w:rsidRPr="00EF4AB2">
                    <w:rPr>
                      <w:b/>
                      <w:i/>
                      <w:szCs w:val="22"/>
                    </w:rPr>
                    <w:t>(require signature)</w:t>
                  </w:r>
                </w:p>
              </w:tc>
            </w:tr>
            <w:tr w:rsidR="00B47896" w:rsidRPr="00EF4AB2" w14:paraId="23DF477A" w14:textId="77777777" w:rsidTr="0060279F">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10" w:type="dxa"/>
                </w:tcPr>
                <w:p w14:paraId="091FB841" w14:textId="3AAFCF2B" w:rsidR="00B47896" w:rsidRPr="00EF4AB2" w:rsidRDefault="00051EB6">
                  <w:pPr>
                    <w:spacing w:after="0"/>
                    <w:jc w:val="both"/>
                    <w:rPr>
                      <w:sz w:val="22"/>
                      <w:szCs w:val="22"/>
                    </w:rPr>
                  </w:pPr>
                  <w:r w:rsidRPr="00823AE7">
                    <w:rPr>
                      <w:szCs w:val="22"/>
                    </w:rPr>
                    <w:t>[</w:t>
                  </w:r>
                  <w:r w:rsidR="00B47896" w:rsidRPr="005243DB">
                    <w:rPr>
                      <w:strike/>
                      <w:szCs w:val="22"/>
                    </w:rPr>
                    <w:t>13</w:t>
                  </w:r>
                  <w:r w:rsidRPr="00823AE7">
                    <w:rPr>
                      <w:szCs w:val="22"/>
                    </w:rPr>
                    <w:t>]</w:t>
                  </w:r>
                </w:p>
              </w:tc>
              <w:tc>
                <w:tcPr>
                  <w:cnfStyle w:val="000010000000" w:firstRow="0" w:lastRow="0" w:firstColumn="0" w:lastColumn="0" w:oddVBand="1" w:evenVBand="0" w:oddHBand="0" w:evenHBand="0" w:firstRowFirstColumn="0" w:firstRowLastColumn="0" w:lastRowFirstColumn="0" w:lastRowLastColumn="0"/>
                  <w:tcW w:w="7848" w:type="dxa"/>
                </w:tcPr>
                <w:p w14:paraId="20EC49FE" w14:textId="6DA70BEC" w:rsidR="00B47896" w:rsidRPr="00EF4AB2" w:rsidRDefault="00B359CD">
                  <w:pPr>
                    <w:spacing w:after="0"/>
                    <w:jc w:val="both"/>
                    <w:rPr>
                      <w:sz w:val="22"/>
                      <w:szCs w:val="22"/>
                    </w:rPr>
                  </w:pPr>
                  <w:r w:rsidRPr="00EF4AB2">
                    <w:rPr>
                      <w:szCs w:val="22"/>
                    </w:rPr>
                    <w:t>[</w:t>
                  </w:r>
                  <w:r w:rsidR="00B47896" w:rsidRPr="005243DB">
                    <w:rPr>
                      <w:strike/>
                      <w:szCs w:val="22"/>
                    </w:rPr>
                    <w:t>References for Calculating Energy End-Use and GHG Emissions</w:t>
                  </w:r>
                  <w:r w:rsidRPr="00EF4AB2">
                    <w:rPr>
                      <w:szCs w:val="22"/>
                    </w:rPr>
                    <w:t>]</w:t>
                  </w:r>
                  <w:r w:rsidR="00B47896" w:rsidRPr="00EF4AB2" w:rsidDel="004E7C00">
                    <w:rPr>
                      <w:szCs w:val="22"/>
                      <w:shd w:val="clear" w:color="auto" w:fill="E6E6E6"/>
                    </w:rPr>
                    <w:t xml:space="preserve"> </w:t>
                  </w:r>
                </w:p>
              </w:tc>
            </w:tr>
          </w:tbl>
          <w:p w14:paraId="5CDD787B" w14:textId="77777777" w:rsidR="00B47896" w:rsidRPr="003F6147" w:rsidRDefault="00B47896">
            <w:pPr>
              <w:keepLines/>
              <w:widowControl w:val="0"/>
              <w:spacing w:after="0"/>
              <w:rPr>
                <w:b/>
                <w:color w:val="0070C0"/>
                <w:szCs w:val="22"/>
              </w:rPr>
            </w:pPr>
          </w:p>
        </w:tc>
      </w:tr>
    </w:tbl>
    <w:p w14:paraId="10162A6C" w14:textId="77777777" w:rsidR="00B47896" w:rsidRPr="003F6147" w:rsidRDefault="00B47896" w:rsidP="00B47896">
      <w:pPr>
        <w:spacing w:after="0"/>
      </w:pPr>
      <w:bookmarkStart w:id="6" w:name="_Toc458602318"/>
    </w:p>
    <w:p w14:paraId="3D661C78" w14:textId="77777777" w:rsidR="00B47896" w:rsidRPr="003F6147" w:rsidRDefault="00B47896" w:rsidP="00B47896">
      <w:pPr>
        <w:spacing w:after="0"/>
      </w:pPr>
      <w:r w:rsidRPr="003F6147">
        <w:br w:type="page"/>
      </w:r>
    </w:p>
    <w:p w14:paraId="115EFA05" w14:textId="77777777" w:rsidR="00B47896" w:rsidRPr="00756BAC" w:rsidRDefault="00B47896" w:rsidP="00B47896">
      <w:pPr>
        <w:pStyle w:val="Heading1"/>
      </w:pPr>
      <w:bookmarkStart w:id="7" w:name="_Toc121842068"/>
      <w:r w:rsidRPr="00756BAC">
        <w:lastRenderedPageBreak/>
        <w:t>I.</w:t>
      </w:r>
      <w:r w:rsidRPr="00756BAC">
        <w:tab/>
        <w:t>Introduction</w:t>
      </w:r>
      <w:bookmarkEnd w:id="6"/>
      <w:bookmarkEnd w:id="7"/>
    </w:p>
    <w:p w14:paraId="03AA3DCE" w14:textId="77777777" w:rsidR="00B47896" w:rsidRPr="005D1B4E" w:rsidRDefault="00B47896" w:rsidP="00B47896">
      <w:pPr>
        <w:pStyle w:val="Heading2"/>
        <w:jc w:val="center"/>
      </w:pPr>
      <w:bookmarkStart w:id="8" w:name="_Toc87050101"/>
      <w:bookmarkStart w:id="9" w:name="_Toc121842069"/>
      <w:bookmarkStart w:id="10" w:name="_Toc458602319"/>
      <w:r w:rsidRPr="005D1B4E">
        <w:t>NOTE ABOUT SIGNATURES</w:t>
      </w:r>
      <w:bookmarkEnd w:id="8"/>
      <w:bookmarkEnd w:id="9"/>
    </w:p>
    <w:p w14:paraId="3511ACDA" w14:textId="4B7E850C" w:rsidR="00B47896" w:rsidRPr="005D1B4E" w:rsidRDefault="00B47896" w:rsidP="00B47896">
      <w:r w:rsidRPr="005D1B4E">
        <w:t xml:space="preserve">The CEC </w:t>
      </w:r>
      <w:r w:rsidRPr="005D1B4E">
        <w:rPr>
          <w:b/>
        </w:rPr>
        <w:t>may</w:t>
      </w:r>
      <w:r w:rsidRPr="005D1B4E">
        <w:t xml:space="preserve"> have waived the requirement for a signature on application materials for this solicitation for electronic submissions.  If a notice, regarding CEC’s waiver of the signature requirement appears here: </w:t>
      </w:r>
      <w:r w:rsidRPr="0069787A">
        <w:t>https://www.energy.ca.gov/funding-opportunities/solicitations</w:t>
      </w:r>
      <w:r w:rsidRPr="005D1B4E">
        <w:t>, the waiver applies to this solicitation.  In the event of a conflict between the notice and any language in this solicitation regarding signatures, the notice will govern.</w:t>
      </w:r>
    </w:p>
    <w:p w14:paraId="0220F6B3" w14:textId="77777777" w:rsidR="00B47896" w:rsidRPr="005D1B4E" w:rsidRDefault="00B47896" w:rsidP="00B47896">
      <w:pPr>
        <w:keepNext/>
        <w:tabs>
          <w:tab w:val="num" w:pos="1440"/>
        </w:tabs>
        <w:spacing w:after="0"/>
        <w:ind w:right="-14"/>
        <w:rPr>
          <w:b/>
          <w:sz w:val="24"/>
        </w:rPr>
      </w:pPr>
      <w:r w:rsidRPr="005D1B4E">
        <w:t>Even if the requirement for signatures has been waived, applicants are still expected to adhere to the requirements of this solicitation as if they had signed.</w:t>
      </w:r>
    </w:p>
    <w:p w14:paraId="45A4D9CA" w14:textId="77777777" w:rsidR="00B47896" w:rsidRPr="00756BAC" w:rsidRDefault="00B47896" w:rsidP="00B47896">
      <w:pPr>
        <w:pStyle w:val="Heading2"/>
        <w:numPr>
          <w:ilvl w:val="0"/>
          <w:numId w:val="71"/>
        </w:numPr>
      </w:pPr>
      <w:bookmarkStart w:id="11" w:name="_Toc121842070"/>
      <w:r w:rsidRPr="00756BAC">
        <w:t>Purpose of Solicitation</w:t>
      </w:r>
      <w:bookmarkEnd w:id="10"/>
      <w:bookmarkEnd w:id="11"/>
      <w:r w:rsidRPr="00756BAC">
        <w:t xml:space="preserve"> </w:t>
      </w:r>
      <w:bookmarkStart w:id="12" w:name="_Toc395180593"/>
      <w:bookmarkStart w:id="13" w:name="_Toc381079833"/>
      <w:bookmarkStart w:id="14" w:name="_Toc382571091"/>
    </w:p>
    <w:p w14:paraId="6043ED08" w14:textId="65D5446A" w:rsidR="00B47896" w:rsidRPr="007F63EA" w:rsidRDefault="00B47896" w:rsidP="00B47896">
      <w:pPr>
        <w:jc w:val="both"/>
      </w:pPr>
      <w:bookmarkStart w:id="15" w:name="_Toc433981247"/>
      <w:bookmarkEnd w:id="12"/>
      <w:r w:rsidRPr="003F6147">
        <w:t xml:space="preserve">The purpose of this solicitation is to fund </w:t>
      </w:r>
      <w:r w:rsidR="00DD4414" w:rsidRPr="007F63EA">
        <w:t>an</w:t>
      </w:r>
      <w:r w:rsidRPr="007F63EA">
        <w:t xml:space="preserve"> </w:t>
      </w:r>
      <w:r w:rsidR="00F81155" w:rsidRPr="007F63EA">
        <w:t xml:space="preserve">assessment of the potential role of hydrogen </w:t>
      </w:r>
      <w:r w:rsidR="006A39EF" w:rsidRPr="007F63EA">
        <w:t xml:space="preserve">production from renewable electricity and end-use conversion technologies for electric sector applications </w:t>
      </w:r>
      <w:r w:rsidR="000D0B18" w:rsidRPr="007F63EA">
        <w:t xml:space="preserve">in California’s </w:t>
      </w:r>
      <w:r w:rsidR="0054748A" w:rsidRPr="007F63EA">
        <w:t xml:space="preserve">decarbonizing </w:t>
      </w:r>
      <w:r w:rsidR="000D0B18" w:rsidRPr="007F63EA">
        <w:t xml:space="preserve">electric </w:t>
      </w:r>
      <w:r w:rsidR="005867C3" w:rsidRPr="007F63EA">
        <w:t>system</w:t>
      </w:r>
      <w:r w:rsidR="006A39EF" w:rsidRPr="007F63EA">
        <w:t xml:space="preserve">. The goals of </w:t>
      </w:r>
      <w:r w:rsidR="00137198" w:rsidRPr="007F63EA">
        <w:t xml:space="preserve">this assessment </w:t>
      </w:r>
      <w:r w:rsidR="00B64647" w:rsidRPr="007F63EA">
        <w:t>are</w:t>
      </w:r>
      <w:r w:rsidR="005867C3" w:rsidRPr="007F63EA">
        <w:t xml:space="preserve"> </w:t>
      </w:r>
      <w:r w:rsidR="00827EAA" w:rsidRPr="007F63EA">
        <w:t>to</w:t>
      </w:r>
      <w:r w:rsidRPr="007F63EA">
        <w:t xml:space="preserve"> </w:t>
      </w:r>
      <w:r w:rsidR="00990393" w:rsidRPr="007F63EA">
        <w:t xml:space="preserve">1) </w:t>
      </w:r>
      <w:r w:rsidR="003919AA" w:rsidRPr="007F63EA">
        <w:t xml:space="preserve">provide research, development, and demonstration recommendations for </w:t>
      </w:r>
      <w:r w:rsidR="005A35A4" w:rsidRPr="007F63EA">
        <w:t>C</w:t>
      </w:r>
      <w:r w:rsidR="0094660C" w:rsidRPr="007F63EA">
        <w:t>alifornia’</w:t>
      </w:r>
      <w:r w:rsidR="005A35A4" w:rsidRPr="007F63EA">
        <w:t>s electric system</w:t>
      </w:r>
      <w:r w:rsidR="003919AA" w:rsidRPr="007F63EA">
        <w:t xml:space="preserve"> that accelerate cost and performance improvements of key technologies, equipment, and subcomponents</w:t>
      </w:r>
      <w:r w:rsidR="00990393" w:rsidRPr="007F63EA">
        <w:t>, and 2)</w:t>
      </w:r>
      <w:r w:rsidR="00B55951" w:rsidRPr="007F63EA">
        <w:t xml:space="preserve"> inform how future</w:t>
      </w:r>
      <w:r w:rsidR="00A37AE3">
        <w:t xml:space="preserve"> </w:t>
      </w:r>
      <w:r w:rsidR="00D33A23">
        <w:t xml:space="preserve">Electric </w:t>
      </w:r>
      <w:r w:rsidR="008F7F54">
        <w:t>Program Investment Charge</w:t>
      </w:r>
      <w:r w:rsidR="00B55951" w:rsidRPr="007F63EA">
        <w:t xml:space="preserve"> </w:t>
      </w:r>
      <w:r w:rsidR="008F7F54">
        <w:t>(</w:t>
      </w:r>
      <w:r w:rsidR="00B55951" w:rsidRPr="007F63EA">
        <w:t>EPIC</w:t>
      </w:r>
      <w:r w:rsidR="00A8420B">
        <w:t>)</w:t>
      </w:r>
      <w:r w:rsidR="00B55951" w:rsidRPr="007F63EA">
        <w:t xml:space="preserve"> program investments in hydrogen can best coordinate with and complement other hydrogen development and deployment programs</w:t>
      </w:r>
      <w:r w:rsidR="00764C2F" w:rsidRPr="007F63EA">
        <w:t>.</w:t>
      </w:r>
      <w:r w:rsidR="00F44427" w:rsidRPr="007F63EA">
        <w:t xml:space="preserve"> </w:t>
      </w:r>
      <w:r w:rsidRPr="007F63EA">
        <w:t xml:space="preserve">This solicitation supports the 2021 EPIC Interim Investment Plan initiative </w:t>
      </w:r>
      <w:r w:rsidR="00A70937" w:rsidRPr="007F63EA">
        <w:t xml:space="preserve">number </w:t>
      </w:r>
      <w:r w:rsidRPr="007F63EA">
        <w:t>5 titled “The Role of Green Hydrogen in a Decarbonized California—A Roadmap and Strategic Plan”.</w:t>
      </w:r>
      <w:r w:rsidRPr="007F63EA">
        <w:rPr>
          <w:rStyle w:val="FootnoteReference"/>
        </w:rPr>
        <w:footnoteReference w:id="2"/>
      </w:r>
    </w:p>
    <w:bookmarkEnd w:id="15"/>
    <w:p w14:paraId="130F256D" w14:textId="26E0D95C" w:rsidR="00B47896" w:rsidRPr="007F63EA" w:rsidRDefault="00B47896" w:rsidP="00B47896">
      <w:pPr>
        <w:tabs>
          <w:tab w:val="left" w:pos="180"/>
          <w:tab w:val="right" w:pos="720"/>
          <w:tab w:val="left" w:pos="900"/>
        </w:tabs>
      </w:pPr>
      <w:r w:rsidRPr="007F63EA">
        <w:t>Senate Bill (SB) 100 established the goal for 100 percent of California’s retail electric</w:t>
      </w:r>
      <w:r w:rsidR="003923C8" w:rsidRPr="007F63EA">
        <w:t>ity</w:t>
      </w:r>
      <w:r w:rsidRPr="007F63EA">
        <w:t xml:space="preserve"> sales to be provided by renewable</w:t>
      </w:r>
      <w:r w:rsidR="00E94590" w:rsidRPr="007F63EA">
        <w:t xml:space="preserve"> and</w:t>
      </w:r>
      <w:r w:rsidRPr="007F63EA">
        <w:t xml:space="preserve"> zero-carbon resources by 2045. The SB 100 Joint Agency Report identifies multiple technology pathways to achieve this </w:t>
      </w:r>
      <w:r w:rsidR="00FE2FCC" w:rsidRPr="007F63EA">
        <w:t xml:space="preserve">goal </w:t>
      </w:r>
      <w:r w:rsidRPr="007F63EA">
        <w:t xml:space="preserve">and recommends further evaluation of long-duration energy storage and </w:t>
      </w:r>
      <w:r w:rsidR="00DB08A8" w:rsidRPr="007F63EA">
        <w:t>green</w:t>
      </w:r>
      <w:r w:rsidR="008A60EF" w:rsidRPr="007F63EA">
        <w:t xml:space="preserve"> </w:t>
      </w:r>
      <w:r w:rsidRPr="007F63EA">
        <w:t>hydrogen technologies.</w:t>
      </w:r>
      <w:r w:rsidRPr="007F63EA">
        <w:rPr>
          <w:rStyle w:val="FootnoteReference"/>
        </w:rPr>
        <w:footnoteReference w:id="3"/>
      </w:r>
      <w:r w:rsidRPr="007F63EA">
        <w:t xml:space="preserve"> </w:t>
      </w:r>
      <w:r w:rsidR="005B77F9" w:rsidRPr="007F63EA">
        <w:t>In t</w:t>
      </w:r>
      <w:r w:rsidR="00DC671D" w:rsidRPr="007F63EA">
        <w:t xml:space="preserve">he SB 100 </w:t>
      </w:r>
      <w:r w:rsidR="00B30229" w:rsidRPr="007F63EA">
        <w:t>Report</w:t>
      </w:r>
      <w:r w:rsidR="005B77F9" w:rsidRPr="007F63EA">
        <w:t>,</w:t>
      </w:r>
      <w:r w:rsidR="00B30229" w:rsidRPr="007F63EA">
        <w:t xml:space="preserve"> </w:t>
      </w:r>
      <w:r w:rsidR="005B77F9" w:rsidRPr="007F63EA">
        <w:t>g</w:t>
      </w:r>
      <w:r w:rsidRPr="007F63EA">
        <w:t>reen hydrogen refers to hydrogen produced without the use of fossil fuel</w:t>
      </w:r>
      <w:r w:rsidR="000D52E1" w:rsidRPr="007F63EA">
        <w:t xml:space="preserve"> feedstock</w:t>
      </w:r>
      <w:r w:rsidRPr="007F63EA">
        <w:t xml:space="preserve">s and </w:t>
      </w:r>
      <w:r w:rsidR="007F792B" w:rsidRPr="007F63EA">
        <w:t>that doesn’t produce</w:t>
      </w:r>
      <w:r w:rsidR="000D52E1" w:rsidRPr="007F63EA">
        <w:t xml:space="preserve"> marginal greenhouse gas</w:t>
      </w:r>
      <w:r w:rsidR="00B40496">
        <w:t xml:space="preserve"> (GHG)</w:t>
      </w:r>
      <w:r w:rsidR="000D52E1" w:rsidRPr="007F63EA">
        <w:t xml:space="preserve"> emissions</w:t>
      </w:r>
      <w:r w:rsidR="00DC0D4A" w:rsidRPr="007F63EA">
        <w:t xml:space="preserve"> during production</w:t>
      </w:r>
      <w:r w:rsidR="00721F34" w:rsidRPr="007F63EA">
        <w:t>.</w:t>
      </w:r>
      <w:r w:rsidRPr="007F63EA">
        <w:t xml:space="preserve"> </w:t>
      </w:r>
      <w:r w:rsidR="003B2C73" w:rsidRPr="007F63EA">
        <w:t xml:space="preserve">California </w:t>
      </w:r>
      <w:r w:rsidR="00385A9F" w:rsidRPr="007F63EA">
        <w:t xml:space="preserve">also </w:t>
      </w:r>
      <w:r w:rsidR="003B2C73" w:rsidRPr="007F63EA">
        <w:t xml:space="preserve">adopted </w:t>
      </w:r>
      <w:r w:rsidRPr="007F63EA">
        <w:t>SB 1369</w:t>
      </w:r>
      <w:r w:rsidR="003B2C73" w:rsidRPr="007F63EA">
        <w:t>, which</w:t>
      </w:r>
      <w:r w:rsidRPr="007F63EA">
        <w:t xml:space="preserve"> directed the CEC</w:t>
      </w:r>
      <w:r w:rsidR="00A71CD0" w:rsidRPr="007F63EA">
        <w:t xml:space="preserve"> specifically</w:t>
      </w:r>
      <w:r w:rsidR="00524952" w:rsidRPr="007F63EA">
        <w:t xml:space="preserve"> to</w:t>
      </w:r>
      <w:r w:rsidRPr="007F63EA">
        <w:t xml:space="preserve"> </w:t>
      </w:r>
      <w:r w:rsidRPr="007F63EA">
        <w:rPr>
          <w:i/>
          <w:iCs/>
        </w:rPr>
        <w:t>“</w:t>
      </w:r>
      <w:r w:rsidRPr="007F63EA">
        <w:t>consider green electrolytic hydrogen an eligible form of energy storage, and to consider other potential uses of green electrolytic hydrogen</w:t>
      </w:r>
      <w:r w:rsidRPr="007F63EA">
        <w:rPr>
          <w:i/>
          <w:iCs/>
        </w:rPr>
        <w:t>.”</w:t>
      </w:r>
      <w:r w:rsidR="000E22B3" w:rsidRPr="007F63EA">
        <w:rPr>
          <w:rStyle w:val="FootnoteReference"/>
          <w:i/>
          <w:iCs/>
        </w:rPr>
        <w:footnoteReference w:id="4"/>
      </w:r>
      <w:r w:rsidRPr="007F63EA">
        <w:t xml:space="preserve"> </w:t>
      </w:r>
      <w:r w:rsidR="00A3220B" w:rsidRPr="007F63EA">
        <w:t xml:space="preserve">Hydrogen produced from renewable electricity, </w:t>
      </w:r>
      <w:r w:rsidR="00A20616" w:rsidRPr="007F63EA">
        <w:t>for example as described</w:t>
      </w:r>
      <w:r w:rsidR="00A3220B" w:rsidRPr="007F63EA">
        <w:t xml:space="preserve"> in the SB 100 Joint Agency Report and SB 1369, </w:t>
      </w:r>
      <w:r w:rsidR="00D16123" w:rsidRPr="007F63EA">
        <w:t>has</w:t>
      </w:r>
      <w:r w:rsidR="00793A32" w:rsidRPr="007F63EA">
        <w:t xml:space="preserve"> potential to </w:t>
      </w:r>
      <w:r w:rsidR="00775CAC" w:rsidRPr="007F63EA">
        <w:t>support</w:t>
      </w:r>
      <w:r w:rsidR="00C05A9D" w:rsidRPr="007F63EA">
        <w:t xml:space="preserve"> </w:t>
      </w:r>
      <w:r w:rsidR="00D01864" w:rsidRPr="007F63EA">
        <w:t>reliab</w:t>
      </w:r>
      <w:r w:rsidR="00105EF2" w:rsidRPr="007F63EA">
        <w:t>ility and</w:t>
      </w:r>
      <w:r w:rsidR="00D01864" w:rsidRPr="007F63EA">
        <w:t xml:space="preserve"> </w:t>
      </w:r>
      <w:r w:rsidR="00C05A9D" w:rsidRPr="007F63EA">
        <w:t>electric</w:t>
      </w:r>
      <w:r w:rsidR="006469F4" w:rsidRPr="007F63EA">
        <w:t xml:space="preserve"> sector</w:t>
      </w:r>
      <w:r w:rsidR="00957DF5" w:rsidRPr="007F63EA">
        <w:t xml:space="preserve"> decarboni</w:t>
      </w:r>
      <w:r w:rsidR="00F3201F" w:rsidRPr="007F63EA">
        <w:t>z</w:t>
      </w:r>
      <w:r w:rsidR="003408CF" w:rsidRPr="007F63EA">
        <w:t>atio</w:t>
      </w:r>
      <w:r w:rsidR="00985069" w:rsidRPr="007F63EA">
        <w:t>n</w:t>
      </w:r>
      <w:r w:rsidR="00957DF5" w:rsidRPr="007F63EA">
        <w:t xml:space="preserve">. </w:t>
      </w:r>
      <w:r w:rsidR="00B8168B" w:rsidRPr="007F63EA">
        <w:t xml:space="preserve">However, </w:t>
      </w:r>
      <w:r w:rsidR="00B46137" w:rsidRPr="007F63EA">
        <w:t xml:space="preserve">today </w:t>
      </w:r>
      <w:r w:rsidR="00FC0039" w:rsidRPr="007F63EA">
        <w:t>electric sector applications of hydrogen</w:t>
      </w:r>
      <w:r w:rsidR="00875257" w:rsidRPr="007F63EA">
        <w:t xml:space="preserve"> such as</w:t>
      </w:r>
      <w:r w:rsidR="003A4A24" w:rsidRPr="007F63EA">
        <w:t xml:space="preserve"> providing</w:t>
      </w:r>
      <w:r w:rsidR="00875257" w:rsidRPr="007F63EA">
        <w:t xml:space="preserve"> long-duration energy storage and/or zero carbon</w:t>
      </w:r>
      <w:r w:rsidR="00FC0039" w:rsidRPr="007F63EA">
        <w:t xml:space="preserve"> </w:t>
      </w:r>
      <w:r w:rsidR="00875257" w:rsidRPr="007F63EA">
        <w:t xml:space="preserve">firm dispatchable generation </w:t>
      </w:r>
      <w:r w:rsidR="00FC0039" w:rsidRPr="007F63EA">
        <w:t xml:space="preserve">remain </w:t>
      </w:r>
      <w:r w:rsidR="00F65915" w:rsidRPr="007F63EA">
        <w:t>nascent</w:t>
      </w:r>
      <w:r w:rsidR="00737843" w:rsidRPr="007F63EA">
        <w:t xml:space="preserve"> and </w:t>
      </w:r>
      <w:r w:rsidR="00221598" w:rsidRPr="007F63EA">
        <w:t>economically challenging</w:t>
      </w:r>
      <w:r w:rsidR="00E7160C" w:rsidRPr="007F63EA">
        <w:t>.</w:t>
      </w:r>
      <w:r w:rsidR="00221598" w:rsidRPr="007F63EA">
        <w:t xml:space="preserve"> </w:t>
      </w:r>
      <w:r w:rsidR="00D03118" w:rsidRPr="007F63EA">
        <w:t>The role of hy</w:t>
      </w:r>
      <w:r w:rsidR="007C6EDA" w:rsidRPr="007F63EA">
        <w:t xml:space="preserve">drogen in California’s </w:t>
      </w:r>
      <w:r w:rsidR="00B96EE9" w:rsidRPr="007F63EA">
        <w:t xml:space="preserve">decarbonizing </w:t>
      </w:r>
      <w:r w:rsidR="007C6EDA" w:rsidRPr="007F63EA">
        <w:t>electric sector</w:t>
      </w:r>
      <w:r w:rsidR="00D03118" w:rsidRPr="007F63EA">
        <w:t xml:space="preserve"> </w:t>
      </w:r>
      <w:r w:rsidR="00221598" w:rsidRPr="007F63EA">
        <w:t xml:space="preserve">will </w:t>
      </w:r>
      <w:r w:rsidR="007C6EDA" w:rsidRPr="007F63EA">
        <w:t xml:space="preserve">depend on </w:t>
      </w:r>
      <w:r w:rsidR="00221598" w:rsidRPr="007F63EA">
        <w:t xml:space="preserve">sustained technology advances and </w:t>
      </w:r>
      <w:r w:rsidR="00A41F64" w:rsidRPr="007F63EA">
        <w:t>cost reductions</w:t>
      </w:r>
      <w:r w:rsidR="00047236" w:rsidRPr="007F63EA">
        <w:t xml:space="preserve"> driven </w:t>
      </w:r>
      <w:r w:rsidR="00A35451" w:rsidRPr="007F63EA">
        <w:t xml:space="preserve">in part </w:t>
      </w:r>
      <w:r w:rsidR="00047236" w:rsidRPr="007F63EA">
        <w:t xml:space="preserve">by </w:t>
      </w:r>
      <w:r w:rsidR="00A35451" w:rsidRPr="007F63EA">
        <w:t xml:space="preserve">potential </w:t>
      </w:r>
      <w:r w:rsidR="007D0ADA" w:rsidRPr="007F63EA">
        <w:t>growth in</w:t>
      </w:r>
      <w:r w:rsidR="001044F2" w:rsidRPr="007F63EA">
        <w:t xml:space="preserve"> hydrogen</w:t>
      </w:r>
      <w:r w:rsidR="007D0ADA" w:rsidRPr="007F63EA">
        <w:t xml:space="preserve"> demand </w:t>
      </w:r>
      <w:r w:rsidR="00047236" w:rsidRPr="007F63EA">
        <w:t>fr</w:t>
      </w:r>
      <w:r w:rsidR="007C0C1C" w:rsidRPr="007F63EA">
        <w:t>om</w:t>
      </w:r>
      <w:r w:rsidR="00047236" w:rsidRPr="007F63EA">
        <w:t xml:space="preserve"> other </w:t>
      </w:r>
      <w:r w:rsidR="007C0C1C" w:rsidRPr="007F63EA">
        <w:t>sectors</w:t>
      </w:r>
      <w:r w:rsidR="00DA3A53" w:rsidRPr="007F63EA">
        <w:t xml:space="preserve">. </w:t>
      </w:r>
    </w:p>
    <w:p w14:paraId="280FEFF7" w14:textId="36359485" w:rsidR="009C6293" w:rsidRPr="001B29AE" w:rsidRDefault="005F2044" w:rsidP="007155F6">
      <w:pPr>
        <w:tabs>
          <w:tab w:val="left" w:pos="180"/>
          <w:tab w:val="right" w:pos="720"/>
          <w:tab w:val="left" w:pos="900"/>
        </w:tabs>
      </w:pPr>
      <w:r w:rsidRPr="007F63EA">
        <w:t>Recently</w:t>
      </w:r>
      <w:r w:rsidR="00AE38A8" w:rsidRPr="007F63EA">
        <w:t>,</w:t>
      </w:r>
      <w:r w:rsidRPr="007F63EA">
        <w:t xml:space="preserve"> the </w:t>
      </w:r>
      <w:r w:rsidR="00172C21" w:rsidRPr="007F63EA">
        <w:t>In</w:t>
      </w:r>
      <w:r w:rsidR="00A534B8" w:rsidRPr="007F63EA">
        <w:t xml:space="preserve">frastructure Investment and Jobs Act allocated $8 billion in funding for the </w:t>
      </w:r>
      <w:r w:rsidRPr="007F63EA">
        <w:t xml:space="preserve">U.S. Department of Energy (DOE) </w:t>
      </w:r>
      <w:r w:rsidR="00F50C86" w:rsidRPr="007F63EA">
        <w:t>to</w:t>
      </w:r>
      <w:r w:rsidR="001F2A26" w:rsidRPr="007F63EA">
        <w:t xml:space="preserve"> </w:t>
      </w:r>
      <w:r w:rsidR="00F50C86" w:rsidRPr="007F63EA">
        <w:t>c</w:t>
      </w:r>
      <w:r w:rsidR="00DD3BD6" w:rsidRPr="007F63EA">
        <w:t>reat</w:t>
      </w:r>
      <w:r w:rsidR="009E7609" w:rsidRPr="007F63EA">
        <w:t>e</w:t>
      </w:r>
      <w:r w:rsidR="00DD3BD6" w:rsidRPr="007F63EA">
        <w:t xml:space="preserve"> </w:t>
      </w:r>
      <w:r w:rsidR="001F2A26" w:rsidRPr="007F63EA">
        <w:t xml:space="preserve">regional clean </w:t>
      </w:r>
      <w:r w:rsidR="00C3146A" w:rsidRPr="007F63EA">
        <w:t xml:space="preserve">hydrogen </w:t>
      </w:r>
      <w:r w:rsidR="001F2A26" w:rsidRPr="007F63EA">
        <w:t>hubs</w:t>
      </w:r>
      <w:r w:rsidR="004A7153" w:rsidRPr="007F63EA">
        <w:t>.</w:t>
      </w:r>
      <w:r w:rsidR="00515F06" w:rsidRPr="007F63EA">
        <w:rPr>
          <w:rStyle w:val="FootnoteReference"/>
        </w:rPr>
        <w:footnoteReference w:id="5"/>
      </w:r>
      <w:r w:rsidR="001F2A26" w:rsidRPr="007F63EA">
        <w:t xml:space="preserve"> </w:t>
      </w:r>
      <w:r w:rsidR="009E7609" w:rsidRPr="007F63EA">
        <w:t xml:space="preserve">The </w:t>
      </w:r>
      <w:r w:rsidR="00443CAE" w:rsidRPr="007F63EA">
        <w:t>California</w:t>
      </w:r>
      <w:r w:rsidR="009E7609" w:rsidRPr="007F63EA">
        <w:t xml:space="preserve"> </w:t>
      </w:r>
      <w:r w:rsidR="009E7609" w:rsidRPr="007F63EA">
        <w:lastRenderedPageBreak/>
        <w:t>Governor’s Office of Business and Economic Development</w:t>
      </w:r>
      <w:r w:rsidR="00443CAE" w:rsidRPr="007F63EA">
        <w:t xml:space="preserve"> </w:t>
      </w:r>
      <w:r w:rsidR="009E7609" w:rsidRPr="007F63EA">
        <w:t>announced its intent to</w:t>
      </w:r>
      <w:r w:rsidR="003D17A9" w:rsidRPr="007F63EA">
        <w:t xml:space="preserve"> </w:t>
      </w:r>
      <w:r w:rsidR="00842472" w:rsidRPr="007F63EA">
        <w:t>c</w:t>
      </w:r>
      <w:r w:rsidR="00562F6C" w:rsidRPr="007F63EA">
        <w:t>oordin</w:t>
      </w:r>
      <w:r w:rsidR="003F0E5B" w:rsidRPr="007F63EA">
        <w:t xml:space="preserve">ate </w:t>
      </w:r>
      <w:r w:rsidR="00842472" w:rsidRPr="007F63EA">
        <w:t xml:space="preserve">a </w:t>
      </w:r>
      <w:r w:rsidR="00842472" w:rsidRPr="001B29AE">
        <w:t xml:space="preserve">single </w:t>
      </w:r>
      <w:r w:rsidR="003F0E5B" w:rsidRPr="001B29AE">
        <w:t>proposal</w:t>
      </w:r>
      <w:r w:rsidR="003D17A9" w:rsidRPr="001B29AE">
        <w:t xml:space="preserve"> for one of these hubs</w:t>
      </w:r>
      <w:r w:rsidR="00027A10" w:rsidRPr="001B29AE">
        <w:t>.</w:t>
      </w:r>
      <w:r w:rsidR="00027A10" w:rsidRPr="001B29AE">
        <w:rPr>
          <w:rStyle w:val="FootnoteReference"/>
        </w:rPr>
        <w:footnoteReference w:id="6"/>
      </w:r>
      <w:r w:rsidR="003E528E" w:rsidRPr="001B29AE">
        <w:t xml:space="preserve"> </w:t>
      </w:r>
      <w:r w:rsidR="00027A10" w:rsidRPr="001B29AE">
        <w:t xml:space="preserve">Additionally, </w:t>
      </w:r>
      <w:r w:rsidR="009C7F21" w:rsidRPr="001B29AE">
        <w:t xml:space="preserve">the California </w:t>
      </w:r>
      <w:r w:rsidR="008A743B" w:rsidRPr="001B29AE">
        <w:t xml:space="preserve">state budget energy and climate change package </w:t>
      </w:r>
      <w:r w:rsidR="009A76B6" w:rsidRPr="001B29AE">
        <w:t xml:space="preserve">AB 209 </w:t>
      </w:r>
      <w:r w:rsidR="00C46FE9" w:rsidRPr="001B29AE">
        <w:t xml:space="preserve">passed in </w:t>
      </w:r>
      <w:r w:rsidR="0064243F" w:rsidRPr="001B29AE">
        <w:t>2022</w:t>
      </w:r>
      <w:r w:rsidR="009A25C7" w:rsidRPr="001B29AE">
        <w:t xml:space="preserve"> </w:t>
      </w:r>
      <w:r w:rsidR="00A135F5" w:rsidRPr="001B29AE">
        <w:t>and</w:t>
      </w:r>
      <w:r w:rsidR="00F76D8A" w:rsidRPr="001B29AE">
        <w:t xml:space="preserve"> allocate</w:t>
      </w:r>
      <w:r w:rsidR="00637972" w:rsidRPr="001B29AE">
        <w:t xml:space="preserve">d </w:t>
      </w:r>
      <w:r w:rsidR="00853A28" w:rsidRPr="001B29AE">
        <w:t>$</w:t>
      </w:r>
      <w:r w:rsidR="00617DF1" w:rsidRPr="001B29AE">
        <w:t xml:space="preserve">100 </w:t>
      </w:r>
      <w:r w:rsidR="00853A28" w:rsidRPr="001B29AE">
        <w:t>million</w:t>
      </w:r>
      <w:r w:rsidR="0047386F" w:rsidRPr="001B29AE">
        <w:t xml:space="preserve"> </w:t>
      </w:r>
      <w:r w:rsidR="000F39C0" w:rsidRPr="001B29AE">
        <w:t>to establish the</w:t>
      </w:r>
      <w:r w:rsidR="00F8426B" w:rsidRPr="001B29AE">
        <w:t xml:space="preserve"> </w:t>
      </w:r>
      <w:r w:rsidR="00D56768" w:rsidRPr="001B29AE">
        <w:t>Hydrogen Program</w:t>
      </w:r>
      <w:r w:rsidR="009A25C7" w:rsidRPr="001B29AE">
        <w:t xml:space="preserve"> to provide</w:t>
      </w:r>
      <w:r w:rsidR="003646B1" w:rsidRPr="001B29AE">
        <w:t xml:space="preserve"> financial incentives to</w:t>
      </w:r>
      <w:r w:rsidR="00C63D2F" w:rsidRPr="001B29AE">
        <w:t xml:space="preserve"> demonstrate and</w:t>
      </w:r>
      <w:r w:rsidR="003646B1" w:rsidRPr="001B29AE">
        <w:t xml:space="preserve"> scale in-state hydrogen projects</w:t>
      </w:r>
      <w:r w:rsidR="00ED3EE4" w:rsidRPr="001B29AE">
        <w:t>.</w:t>
      </w:r>
      <w:r w:rsidR="003646B1" w:rsidRPr="001B29AE">
        <w:rPr>
          <w:rStyle w:val="FootnoteReference"/>
        </w:rPr>
        <w:footnoteReference w:id="7"/>
      </w:r>
      <w:r w:rsidR="00ED3EE4" w:rsidRPr="001B29AE">
        <w:t xml:space="preserve"> </w:t>
      </w:r>
      <w:r w:rsidR="00A04BAD" w:rsidRPr="001B29AE">
        <w:t>T</w:t>
      </w:r>
      <w:r w:rsidR="007155F6" w:rsidRPr="001B29AE">
        <w:t xml:space="preserve">he </w:t>
      </w:r>
      <w:r w:rsidR="00141274" w:rsidRPr="001B29AE">
        <w:t>assessment</w:t>
      </w:r>
      <w:r w:rsidR="000A3698" w:rsidRPr="001B29AE">
        <w:t>(s)</w:t>
      </w:r>
      <w:r w:rsidR="00141274" w:rsidRPr="001B29AE">
        <w:t xml:space="preserve"> </w:t>
      </w:r>
      <w:r w:rsidR="00C55A87" w:rsidRPr="001B29AE">
        <w:t xml:space="preserve">supported through this solicitation </w:t>
      </w:r>
      <w:r w:rsidR="0089190B" w:rsidRPr="001B29AE">
        <w:t xml:space="preserve">will </w:t>
      </w:r>
      <w:r w:rsidR="0083672D" w:rsidRPr="001B29AE">
        <w:t>help coordinate</w:t>
      </w:r>
      <w:r w:rsidR="00A04BAD" w:rsidRPr="001B29AE">
        <w:t xml:space="preserve"> future</w:t>
      </w:r>
      <w:r w:rsidR="0083672D" w:rsidRPr="001B29AE">
        <w:t xml:space="preserve"> </w:t>
      </w:r>
      <w:r w:rsidR="005A3969" w:rsidRPr="001B29AE">
        <w:t xml:space="preserve">EPIC </w:t>
      </w:r>
      <w:r w:rsidR="00A81063" w:rsidRPr="001B29AE">
        <w:t xml:space="preserve">Program </w:t>
      </w:r>
      <w:r w:rsidR="005A3969" w:rsidRPr="001B29AE">
        <w:t xml:space="preserve">investments </w:t>
      </w:r>
      <w:r w:rsidR="0083672D" w:rsidRPr="001B29AE">
        <w:t>with</w:t>
      </w:r>
      <w:r w:rsidR="009049A0" w:rsidRPr="001B29AE">
        <w:t xml:space="preserve"> </w:t>
      </w:r>
      <w:r w:rsidR="00683F68" w:rsidRPr="001B29AE">
        <w:t xml:space="preserve">these and other </w:t>
      </w:r>
      <w:r w:rsidR="009049A0" w:rsidRPr="001B29AE">
        <w:t xml:space="preserve">complementary programs </w:t>
      </w:r>
      <w:r w:rsidR="002E3BFA" w:rsidRPr="001B29AE">
        <w:t xml:space="preserve">and </w:t>
      </w:r>
      <w:r w:rsidR="0013025A" w:rsidRPr="001B29AE">
        <w:t xml:space="preserve">provide recommendations for </w:t>
      </w:r>
      <w:r w:rsidR="00432A99" w:rsidRPr="001B29AE">
        <w:t xml:space="preserve">research, development, and demonstration </w:t>
      </w:r>
      <w:r w:rsidR="00B150A7" w:rsidRPr="001B29AE">
        <w:t>activities</w:t>
      </w:r>
      <w:r w:rsidR="00A95437" w:rsidRPr="001B29AE">
        <w:t xml:space="preserve"> </w:t>
      </w:r>
      <w:r w:rsidR="004A20AC" w:rsidRPr="001B29AE">
        <w:t>that</w:t>
      </w:r>
      <w:r w:rsidR="00C1766C" w:rsidRPr="001B29AE">
        <w:t xml:space="preserve"> can </w:t>
      </w:r>
      <w:r w:rsidR="00683F68" w:rsidRPr="001B29AE">
        <w:t xml:space="preserve">help </w:t>
      </w:r>
      <w:r w:rsidR="00432A99" w:rsidRPr="001B29AE">
        <w:t xml:space="preserve">achieve </w:t>
      </w:r>
      <w:r w:rsidR="006852D5" w:rsidRPr="001B29AE">
        <w:t xml:space="preserve">technology </w:t>
      </w:r>
      <w:r w:rsidR="009270A4" w:rsidRPr="001B29AE">
        <w:t>cost and performance</w:t>
      </w:r>
      <w:r w:rsidR="00432A99" w:rsidRPr="001B29AE">
        <w:t xml:space="preserve"> targets </w:t>
      </w:r>
      <w:r w:rsidR="004F1A66" w:rsidRPr="001B29AE">
        <w:t xml:space="preserve">that </w:t>
      </w:r>
      <w:r w:rsidR="006A249E" w:rsidRPr="001B29AE">
        <w:t>improve the competitiveness of</w:t>
      </w:r>
      <w:r w:rsidR="00432A99" w:rsidRPr="001B29AE">
        <w:t xml:space="preserve"> </w:t>
      </w:r>
      <w:r w:rsidR="000178EB" w:rsidRPr="001B29AE">
        <w:t>hydrogen</w:t>
      </w:r>
      <w:r w:rsidR="00A367BE" w:rsidRPr="001B29AE">
        <w:t xml:space="preserve"> production from renewable electricity and</w:t>
      </w:r>
      <w:r w:rsidR="000178EB" w:rsidRPr="001B29AE">
        <w:t xml:space="preserve"> </w:t>
      </w:r>
      <w:r w:rsidR="006852D5" w:rsidRPr="001B29AE">
        <w:t>end-use</w:t>
      </w:r>
      <w:r w:rsidR="00DC1221" w:rsidRPr="001B29AE">
        <w:t xml:space="preserve"> conversion</w:t>
      </w:r>
      <w:r w:rsidR="006852D5" w:rsidRPr="001B29AE">
        <w:t xml:space="preserve"> </w:t>
      </w:r>
      <w:r w:rsidR="006A249E" w:rsidRPr="001B29AE">
        <w:t>for</w:t>
      </w:r>
      <w:r w:rsidR="005E009D" w:rsidRPr="001B29AE">
        <w:t xml:space="preserve"> electric sector applications</w:t>
      </w:r>
      <w:r w:rsidR="009C6293" w:rsidRPr="001B29AE">
        <w:t>.</w:t>
      </w:r>
      <w:r w:rsidR="009C6293" w:rsidRPr="001B29AE">
        <w:rPr>
          <w:rStyle w:val="FootnoteReference"/>
        </w:rPr>
        <w:footnoteReference w:id="8"/>
      </w:r>
      <w:r w:rsidR="009C6293" w:rsidRPr="001B29AE">
        <w:t xml:space="preserve"> </w:t>
      </w:r>
    </w:p>
    <w:bookmarkEnd w:id="13"/>
    <w:bookmarkEnd w:id="14"/>
    <w:p w14:paraId="02111F60" w14:textId="4E681875" w:rsidR="00B47896" w:rsidRDefault="00B47896" w:rsidP="00B47896">
      <w:pPr>
        <w:jc w:val="both"/>
        <w:rPr>
          <w:szCs w:val="22"/>
        </w:rPr>
      </w:pPr>
      <w:r w:rsidRPr="003F6147">
        <w:rPr>
          <w:szCs w:val="22"/>
        </w:rPr>
        <w:t xml:space="preserve">See Part II of this solicitation for project eligibility requirements. </w:t>
      </w:r>
      <w:r w:rsidRPr="003F6147">
        <w:t xml:space="preserve">Applications will be evaluated as follows: Stage One proposal screening and Stage Two proposal scoring. </w:t>
      </w:r>
      <w:r w:rsidRPr="003F6147">
        <w:rPr>
          <w:szCs w:val="22"/>
        </w:rPr>
        <w:t xml:space="preserve">Applicants may submit multiple applications. </w:t>
      </w:r>
      <w:r w:rsidRPr="00960D30">
        <w:rPr>
          <w:szCs w:val="22"/>
        </w:rPr>
        <w:t>If an applicant submits multiple applications, each application must be for a distinct project (i.e., no overlap with respect to the tasks described in the Scope of Work).</w:t>
      </w:r>
    </w:p>
    <w:p w14:paraId="5C0594D4" w14:textId="09783897" w:rsidR="00B47896" w:rsidRPr="003F6147" w:rsidRDefault="00B47896" w:rsidP="00B47896">
      <w:pPr>
        <w:spacing w:after="0"/>
        <w:jc w:val="both"/>
        <w:rPr>
          <w:szCs w:val="22"/>
        </w:rPr>
      </w:pPr>
      <w:r w:rsidRPr="00FD6239">
        <w:rPr>
          <w:szCs w:val="22"/>
        </w:rPr>
        <w:t xml:space="preserve">Prospective applicants looking for partnering opportunities for this funding opportunity should register on the California Energy Commission’s Empower Innovation website at </w:t>
      </w:r>
      <w:r w:rsidR="008F372F" w:rsidRPr="00006DF8">
        <w:rPr>
          <w:szCs w:val="22"/>
        </w:rPr>
        <w:t>www.empowerinnovation.net</w:t>
      </w:r>
    </w:p>
    <w:p w14:paraId="5D2B664D" w14:textId="77777777" w:rsidR="00B47896" w:rsidRPr="003F6147" w:rsidRDefault="00B47896" w:rsidP="00B47896">
      <w:pPr>
        <w:spacing w:after="0"/>
        <w:rPr>
          <w:color w:val="0070C0"/>
        </w:rPr>
      </w:pPr>
    </w:p>
    <w:p w14:paraId="65007748" w14:textId="77777777" w:rsidR="00B47896" w:rsidRPr="003F6147" w:rsidRDefault="00B47896" w:rsidP="00B47896">
      <w:pPr>
        <w:spacing w:after="0"/>
        <w:rPr>
          <w:rFonts w:cs="Times New Roman"/>
          <w:b/>
          <w:smallCaps/>
          <w:sz w:val="26"/>
          <w:szCs w:val="26"/>
        </w:rPr>
      </w:pPr>
      <w:r w:rsidRPr="003F6147">
        <w:rPr>
          <w:sz w:val="26"/>
          <w:szCs w:val="26"/>
        </w:rPr>
        <w:br w:type="page"/>
      </w:r>
    </w:p>
    <w:p w14:paraId="5DECE0CB" w14:textId="77777777" w:rsidR="00B47896" w:rsidRPr="00756BAC" w:rsidRDefault="00B47896" w:rsidP="00B47896">
      <w:pPr>
        <w:pStyle w:val="Heading2"/>
        <w:numPr>
          <w:ilvl w:val="0"/>
          <w:numId w:val="71"/>
        </w:numPr>
      </w:pPr>
      <w:bookmarkStart w:id="16" w:name="_Toc458602320"/>
      <w:bookmarkStart w:id="17" w:name="_Toc121842071"/>
      <w:r w:rsidRPr="00756BAC">
        <w:lastRenderedPageBreak/>
        <w:t>Key Words/Terms</w:t>
      </w:r>
      <w:bookmarkEnd w:id="16"/>
      <w:bookmarkEnd w:id="17"/>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B47896" w:rsidRPr="003F6147" w14:paraId="49595372" w14:textId="77777777" w:rsidTr="003D522F">
        <w:trPr>
          <w:cantSplit/>
          <w:trHeight w:val="235"/>
          <w:tblHeader/>
        </w:trPr>
        <w:tc>
          <w:tcPr>
            <w:tcW w:w="2430" w:type="dxa"/>
            <w:shd w:val="clear" w:color="auto" w:fill="D9D9D9" w:themeFill="background1" w:themeFillShade="D9"/>
            <w:vAlign w:val="center"/>
          </w:tcPr>
          <w:p w14:paraId="6378AB34" w14:textId="77777777" w:rsidR="00B47896" w:rsidRPr="003F6147" w:rsidRDefault="00B47896">
            <w:pPr>
              <w:spacing w:after="0"/>
              <w:rPr>
                <w:b/>
              </w:rPr>
            </w:pPr>
            <w:r w:rsidRPr="003F6147">
              <w:rPr>
                <w:b/>
              </w:rPr>
              <w:t>Word/Term</w:t>
            </w:r>
          </w:p>
        </w:tc>
        <w:tc>
          <w:tcPr>
            <w:tcW w:w="6930" w:type="dxa"/>
            <w:shd w:val="clear" w:color="auto" w:fill="D9D9D9" w:themeFill="background1" w:themeFillShade="D9"/>
            <w:vAlign w:val="center"/>
          </w:tcPr>
          <w:p w14:paraId="274CD377" w14:textId="77777777" w:rsidR="00B47896" w:rsidRPr="003F6147" w:rsidRDefault="00B47896">
            <w:pPr>
              <w:spacing w:after="0"/>
              <w:rPr>
                <w:b/>
              </w:rPr>
            </w:pPr>
            <w:r w:rsidRPr="003F6147">
              <w:rPr>
                <w:b/>
              </w:rPr>
              <w:t>Definition</w:t>
            </w:r>
          </w:p>
        </w:tc>
      </w:tr>
      <w:tr w:rsidR="00B47896" w:rsidRPr="003F6147" w14:paraId="659102DB" w14:textId="77777777" w:rsidTr="00515F21">
        <w:trPr>
          <w:cantSplit/>
        </w:trPr>
        <w:tc>
          <w:tcPr>
            <w:tcW w:w="2430" w:type="dxa"/>
          </w:tcPr>
          <w:p w14:paraId="02E326BE" w14:textId="77777777" w:rsidR="00B47896" w:rsidRPr="003F6147" w:rsidRDefault="00B47896">
            <w:pPr>
              <w:jc w:val="both"/>
            </w:pPr>
            <w:r w:rsidRPr="003F6147">
              <w:t>Applicant</w:t>
            </w:r>
          </w:p>
        </w:tc>
        <w:tc>
          <w:tcPr>
            <w:tcW w:w="6930" w:type="dxa"/>
          </w:tcPr>
          <w:p w14:paraId="5F51F0D5" w14:textId="77777777" w:rsidR="00B47896" w:rsidRPr="003F6147" w:rsidRDefault="00B47896">
            <w:pPr>
              <w:jc w:val="both"/>
            </w:pPr>
            <w:r w:rsidRPr="003F6147">
              <w:t>The entity that submits an application to this solicitation</w:t>
            </w:r>
            <w:r>
              <w:t>.</w:t>
            </w:r>
          </w:p>
        </w:tc>
      </w:tr>
      <w:tr w:rsidR="00B47896" w:rsidRPr="003F6147" w14:paraId="656FC707" w14:textId="77777777" w:rsidTr="00515F21">
        <w:trPr>
          <w:cantSplit/>
        </w:trPr>
        <w:tc>
          <w:tcPr>
            <w:tcW w:w="2430" w:type="dxa"/>
          </w:tcPr>
          <w:p w14:paraId="0727767C" w14:textId="77777777" w:rsidR="00B47896" w:rsidRPr="003F6147" w:rsidRDefault="00B47896">
            <w:pPr>
              <w:jc w:val="both"/>
            </w:pPr>
            <w:r w:rsidRPr="003F6147">
              <w:t>Application</w:t>
            </w:r>
          </w:p>
        </w:tc>
        <w:tc>
          <w:tcPr>
            <w:tcW w:w="6930" w:type="dxa"/>
          </w:tcPr>
          <w:p w14:paraId="0FF92E3E" w14:textId="77777777" w:rsidR="00B47896" w:rsidRPr="003F6147" w:rsidRDefault="00B47896">
            <w:pPr>
              <w:jc w:val="both"/>
            </w:pPr>
            <w:r w:rsidRPr="003F6147">
              <w:t>An applicant’s written response to this solicitation</w:t>
            </w:r>
            <w:r>
              <w:t>.</w:t>
            </w:r>
          </w:p>
        </w:tc>
      </w:tr>
      <w:tr w:rsidR="00B47896" w:rsidRPr="003F6147" w14:paraId="37B3531B" w14:textId="77777777" w:rsidTr="00515F21">
        <w:trPr>
          <w:cantSplit/>
        </w:trPr>
        <w:tc>
          <w:tcPr>
            <w:tcW w:w="2430" w:type="dxa"/>
          </w:tcPr>
          <w:p w14:paraId="0C3354D4" w14:textId="77777777" w:rsidR="00B47896" w:rsidRPr="003F6147" w:rsidRDefault="00B47896">
            <w:pPr>
              <w:jc w:val="both"/>
            </w:pPr>
            <w:r>
              <w:t>Authorized Representative</w:t>
            </w:r>
          </w:p>
        </w:tc>
        <w:tc>
          <w:tcPr>
            <w:tcW w:w="6930" w:type="dxa"/>
          </w:tcPr>
          <w:p w14:paraId="2849F11B" w14:textId="77777777" w:rsidR="00B47896" w:rsidRPr="008964A1" w:rsidRDefault="00B47896">
            <w:pPr>
              <w:jc w:val="both"/>
            </w:pPr>
            <w:r>
              <w:rPr>
                <w:i/>
              </w:rPr>
              <w:t>Authorized Representative</w:t>
            </w:r>
            <w:r>
              <w:t xml:space="preserve">, the person signing the application form who has authority to enter into an agreement with the CEC. </w:t>
            </w:r>
          </w:p>
        </w:tc>
      </w:tr>
      <w:tr w:rsidR="00B47896" w:rsidRPr="003F6147" w14:paraId="46E76331" w14:textId="77777777" w:rsidTr="00515F21">
        <w:trPr>
          <w:cantSplit/>
        </w:trPr>
        <w:tc>
          <w:tcPr>
            <w:tcW w:w="2430" w:type="dxa"/>
          </w:tcPr>
          <w:p w14:paraId="1E3383F4" w14:textId="77777777" w:rsidR="00B47896" w:rsidRPr="003F6147" w:rsidRDefault="00B47896">
            <w:pPr>
              <w:jc w:val="both"/>
            </w:pPr>
            <w:r w:rsidRPr="003F6147">
              <w:t>CAM</w:t>
            </w:r>
          </w:p>
        </w:tc>
        <w:tc>
          <w:tcPr>
            <w:tcW w:w="6930" w:type="dxa"/>
          </w:tcPr>
          <w:p w14:paraId="3959D905" w14:textId="77777777" w:rsidR="00B47896" w:rsidRPr="003F6147" w:rsidRDefault="00B47896">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t>.</w:t>
            </w:r>
          </w:p>
        </w:tc>
      </w:tr>
      <w:tr w:rsidR="00B47896" w:rsidRPr="003F6147" w14:paraId="2301B5DC" w14:textId="77777777" w:rsidTr="00515F21">
        <w:trPr>
          <w:cantSplit/>
        </w:trPr>
        <w:tc>
          <w:tcPr>
            <w:tcW w:w="2430" w:type="dxa"/>
          </w:tcPr>
          <w:p w14:paraId="35D5287E" w14:textId="77777777" w:rsidR="00B47896" w:rsidRPr="003F6147" w:rsidRDefault="00B47896">
            <w:pPr>
              <w:jc w:val="both"/>
            </w:pPr>
            <w:r w:rsidRPr="003F6147">
              <w:t>CAO</w:t>
            </w:r>
          </w:p>
        </w:tc>
        <w:tc>
          <w:tcPr>
            <w:tcW w:w="6930" w:type="dxa"/>
          </w:tcPr>
          <w:p w14:paraId="4D7F2D82" w14:textId="77777777" w:rsidR="00B47896" w:rsidRPr="003F6147" w:rsidRDefault="00B47896">
            <w:pPr>
              <w:jc w:val="both"/>
              <w:rPr>
                <w:i/>
              </w:rPr>
            </w:pPr>
            <w:r w:rsidRPr="003F6147">
              <w:t>Commission Agreement Officer</w:t>
            </w:r>
          </w:p>
        </w:tc>
      </w:tr>
      <w:tr w:rsidR="00B47896" w:rsidRPr="003F6147" w14:paraId="6BF23D90" w14:textId="77777777" w:rsidTr="00515F21">
        <w:trPr>
          <w:cantSplit/>
        </w:trPr>
        <w:tc>
          <w:tcPr>
            <w:tcW w:w="2430" w:type="dxa"/>
          </w:tcPr>
          <w:p w14:paraId="13AA8667" w14:textId="77777777" w:rsidR="00B47896" w:rsidRPr="003F6147" w:rsidRDefault="00B47896">
            <w:pPr>
              <w:jc w:val="both"/>
            </w:pPr>
            <w:r w:rsidRPr="003F6147">
              <w:t>CBO</w:t>
            </w:r>
          </w:p>
        </w:tc>
        <w:tc>
          <w:tcPr>
            <w:tcW w:w="6930" w:type="dxa"/>
          </w:tcPr>
          <w:p w14:paraId="0FF2C9DB" w14:textId="77777777" w:rsidR="00B47896" w:rsidRPr="003F6147" w:rsidRDefault="00B47896">
            <w:pPr>
              <w:spacing w:after="60"/>
              <w:contextualSpacing/>
            </w:pPr>
            <w:r w:rsidRPr="003F6147">
              <w:t xml:space="preserve">Community Based Organization. A public or private nonprofit organization of demonstrated effectiveness that: </w:t>
            </w:r>
          </w:p>
          <w:p w14:paraId="70367F04" w14:textId="77777777" w:rsidR="00B47896" w:rsidRPr="003F6147" w:rsidRDefault="00B47896">
            <w:pPr>
              <w:numPr>
                <w:ilvl w:val="0"/>
                <w:numId w:val="69"/>
              </w:numPr>
              <w:spacing w:after="200"/>
              <w:contextualSpacing/>
            </w:pPr>
            <w:r w:rsidRPr="003F6147">
              <w:t>Has an office in the region (e.g., air basin or county) and meets the demographic profile of the communities they serve</w:t>
            </w:r>
            <w:r>
              <w:t>.</w:t>
            </w:r>
          </w:p>
          <w:p w14:paraId="75B3BFF3" w14:textId="77777777" w:rsidR="00B47896" w:rsidRPr="003F6147" w:rsidRDefault="00B47896">
            <w:pPr>
              <w:numPr>
                <w:ilvl w:val="0"/>
                <w:numId w:val="69"/>
              </w:numPr>
              <w:spacing w:after="200"/>
              <w:contextualSpacing/>
            </w:pPr>
            <w:r w:rsidRPr="003F6147">
              <w:t>Has deployed projects and/or outreach efforts within the region (e.g., air basin or county) of the proposed disadvantaged or low-income community.</w:t>
            </w:r>
          </w:p>
          <w:p w14:paraId="0BD7C517" w14:textId="77777777" w:rsidR="00B47896" w:rsidRPr="003F6147" w:rsidRDefault="00B47896">
            <w:pPr>
              <w:numPr>
                <w:ilvl w:val="0"/>
                <w:numId w:val="69"/>
              </w:numPr>
              <w:spacing w:after="200"/>
              <w:contextualSpacing/>
            </w:pPr>
            <w:r>
              <w:t>Has an</w:t>
            </w:r>
            <w:r w:rsidRPr="003F6147">
              <w:t xml:space="preserve"> official mission and vision statements that expressly identifies serving disadvantaged and/or low-income communities.</w:t>
            </w:r>
          </w:p>
          <w:p w14:paraId="6FB0C7EA" w14:textId="1C4A850C" w:rsidR="00B47896" w:rsidRPr="003F6147" w:rsidRDefault="00B47896">
            <w:pPr>
              <w:numPr>
                <w:ilvl w:val="0"/>
                <w:numId w:val="69"/>
              </w:numPr>
              <w:spacing w:after="60"/>
              <w:contextualSpacing/>
            </w:pPr>
            <w:r w:rsidRPr="003F6147">
              <w:t>Currently employs staff member(s) who specialized in and are dedicated to – diversity, or equity, or inclusion, or is a 501(c)(3) non-profit.</w:t>
            </w:r>
          </w:p>
        </w:tc>
      </w:tr>
      <w:tr w:rsidR="00B47896" w:rsidRPr="003F6147" w14:paraId="6A18C960" w14:textId="77777777" w:rsidTr="00515F21">
        <w:trPr>
          <w:cantSplit/>
        </w:trPr>
        <w:tc>
          <w:tcPr>
            <w:tcW w:w="2430" w:type="dxa"/>
          </w:tcPr>
          <w:p w14:paraId="4730AA55" w14:textId="77777777" w:rsidR="00B47896" w:rsidRPr="003F6147" w:rsidRDefault="00B47896">
            <w:pPr>
              <w:jc w:val="both"/>
            </w:pPr>
            <w:r w:rsidRPr="003F6147">
              <w:t>CEC</w:t>
            </w:r>
          </w:p>
        </w:tc>
        <w:tc>
          <w:tcPr>
            <w:tcW w:w="6930" w:type="dxa"/>
          </w:tcPr>
          <w:p w14:paraId="310363CF" w14:textId="1167E5FA" w:rsidR="00B47896" w:rsidRPr="003F6147" w:rsidRDefault="00B47896">
            <w:pPr>
              <w:spacing w:after="60"/>
              <w:contextualSpacing/>
            </w:pPr>
            <w:r w:rsidRPr="003F6147">
              <w:t>State Energy Resources Conservation and Development Commission or, the California Energy Commission</w:t>
            </w:r>
            <w:r>
              <w:t>.</w:t>
            </w:r>
          </w:p>
        </w:tc>
      </w:tr>
      <w:tr w:rsidR="00B47896" w:rsidRPr="003F6147" w14:paraId="04BE4788" w14:textId="77777777" w:rsidTr="00515F21">
        <w:trPr>
          <w:cantSplit/>
        </w:trPr>
        <w:tc>
          <w:tcPr>
            <w:tcW w:w="2430" w:type="dxa"/>
          </w:tcPr>
          <w:p w14:paraId="53F24529" w14:textId="77777777" w:rsidR="00B47896" w:rsidRPr="003F6147" w:rsidRDefault="00B47896">
            <w:pPr>
              <w:jc w:val="both"/>
            </w:pPr>
            <w:r w:rsidRPr="003F6147">
              <w:t>CEQA</w:t>
            </w:r>
          </w:p>
        </w:tc>
        <w:tc>
          <w:tcPr>
            <w:tcW w:w="6930" w:type="dxa"/>
          </w:tcPr>
          <w:p w14:paraId="10541535" w14:textId="77777777" w:rsidR="00B47896" w:rsidRPr="003F6147" w:rsidRDefault="00B47896">
            <w:pPr>
              <w:keepNext/>
              <w:jc w:val="both"/>
              <w:outlineLvl w:val="1"/>
            </w:pPr>
            <w:r w:rsidRPr="003F6147">
              <w:t>California Environmental Quality Act, California Public Resources Code Section 21000 et seq.</w:t>
            </w:r>
          </w:p>
        </w:tc>
      </w:tr>
      <w:tr w:rsidR="00B47896" w:rsidRPr="003F6147" w14:paraId="20A7351F" w14:textId="77777777" w:rsidTr="00515F21">
        <w:trPr>
          <w:cantSplit/>
        </w:trPr>
        <w:tc>
          <w:tcPr>
            <w:tcW w:w="2430" w:type="dxa"/>
          </w:tcPr>
          <w:p w14:paraId="12CAE581" w14:textId="77777777" w:rsidR="00B47896" w:rsidRPr="003F6147" w:rsidRDefault="00B47896">
            <w:pPr>
              <w:jc w:val="both"/>
            </w:pPr>
            <w:r w:rsidRPr="003F6147">
              <w:t>Days</w:t>
            </w:r>
          </w:p>
        </w:tc>
        <w:tc>
          <w:tcPr>
            <w:tcW w:w="6930" w:type="dxa"/>
          </w:tcPr>
          <w:p w14:paraId="0CD34914" w14:textId="77777777" w:rsidR="00B47896" w:rsidRPr="003F6147" w:rsidRDefault="00B47896">
            <w:pPr>
              <w:jc w:val="both"/>
              <w:rPr>
                <w:i/>
              </w:rPr>
            </w:pPr>
            <w:r w:rsidRPr="003F6147">
              <w:rPr>
                <w:i/>
              </w:rPr>
              <w:t>Days refers to calendar days</w:t>
            </w:r>
            <w:r>
              <w:rPr>
                <w:i/>
              </w:rPr>
              <w:t>.</w:t>
            </w:r>
          </w:p>
        </w:tc>
      </w:tr>
      <w:tr w:rsidR="00B47896" w:rsidRPr="003F6147" w14:paraId="0328CB38" w14:textId="77777777" w:rsidTr="00515F21">
        <w:trPr>
          <w:cantSplit/>
        </w:trPr>
        <w:tc>
          <w:tcPr>
            <w:tcW w:w="2430" w:type="dxa"/>
          </w:tcPr>
          <w:p w14:paraId="49ADAA39" w14:textId="77777777" w:rsidR="00B47896" w:rsidRPr="003F6147" w:rsidRDefault="00B47896">
            <w:pPr>
              <w:jc w:val="both"/>
            </w:pPr>
            <w:r w:rsidRPr="003F6147">
              <w:t>Disadvantaged Community</w:t>
            </w:r>
          </w:p>
        </w:tc>
        <w:tc>
          <w:tcPr>
            <w:tcW w:w="6930" w:type="dxa"/>
          </w:tcPr>
          <w:p w14:paraId="26681CE2" w14:textId="246C9378" w:rsidR="00B47896" w:rsidRPr="003F6147" w:rsidRDefault="00B47896">
            <w:pPr>
              <w:jc w:val="both"/>
            </w:pPr>
            <w:r>
              <w:t>These are communities designated pursuant to Health and Safety Code section 39711 as representing the top 25</w:t>
            </w:r>
            <w:r w:rsidR="0092208E">
              <w:t>%</w:t>
            </w:r>
            <w:r>
              <w:t xml:space="preserve"> scoring census tracts from CalEnviroScreen along with other areas with high amounts of pollution and low populations as identified by the California Environmental Protection Agency</w:t>
            </w:r>
            <w:r w:rsidR="00A9209C" w:rsidRPr="00A9209C">
              <w:t xml:space="preserve">. </w:t>
            </w:r>
            <w:hyperlink r:id="rId18" w:history="1">
              <w:r w:rsidR="00DA3165" w:rsidRPr="00DA3165">
                <w:rPr>
                  <w:rStyle w:val="Hyperlink"/>
                  <w:rFonts w:cs="Arial"/>
                  <w:color w:val="auto"/>
                </w:rPr>
                <w:t>https://oehha.ca.gov/calenviroscreen/report/calenviroscreen-40</w:t>
              </w:r>
            </w:hyperlink>
          </w:p>
        </w:tc>
      </w:tr>
      <w:tr w:rsidR="006C7030" w:rsidRPr="001E3B3C" w14:paraId="781F57D8" w14:textId="77777777" w:rsidTr="00515F21">
        <w:trPr>
          <w:cantSplit/>
        </w:trPr>
        <w:tc>
          <w:tcPr>
            <w:tcW w:w="2430" w:type="dxa"/>
          </w:tcPr>
          <w:p w14:paraId="03DE8BA1" w14:textId="113C5200" w:rsidR="008153D8" w:rsidRPr="005947D0" w:rsidRDefault="008153D8">
            <w:pPr>
              <w:jc w:val="both"/>
            </w:pPr>
            <w:r w:rsidRPr="005947D0">
              <w:t>DOE</w:t>
            </w:r>
          </w:p>
        </w:tc>
        <w:tc>
          <w:tcPr>
            <w:tcW w:w="6930" w:type="dxa"/>
          </w:tcPr>
          <w:p w14:paraId="0B9F44CE" w14:textId="10458138" w:rsidR="008153D8" w:rsidRPr="005947D0" w:rsidRDefault="008153D8">
            <w:pPr>
              <w:jc w:val="both"/>
            </w:pPr>
            <w:r w:rsidRPr="005947D0">
              <w:t>U.S. Department of Energy</w:t>
            </w:r>
          </w:p>
        </w:tc>
      </w:tr>
      <w:tr w:rsidR="00B47896" w:rsidRPr="003F6147" w14:paraId="4351AB66" w14:textId="77777777" w:rsidTr="00515F21">
        <w:trPr>
          <w:cantSplit/>
        </w:trPr>
        <w:tc>
          <w:tcPr>
            <w:tcW w:w="2430" w:type="dxa"/>
          </w:tcPr>
          <w:p w14:paraId="4F08D0E6" w14:textId="77777777" w:rsidR="00B47896" w:rsidRPr="003F6147" w:rsidRDefault="00B47896">
            <w:pPr>
              <w:jc w:val="both"/>
            </w:pPr>
            <w:r w:rsidRPr="003F6147">
              <w:t>Energy Equity</w:t>
            </w:r>
          </w:p>
        </w:tc>
        <w:tc>
          <w:tcPr>
            <w:tcW w:w="6930" w:type="dxa"/>
          </w:tcPr>
          <w:p w14:paraId="2042F22F" w14:textId="77777777" w:rsidR="00B47896" w:rsidRPr="003F6147" w:rsidRDefault="00B47896">
            <w:pPr>
              <w:jc w:val="both"/>
            </w:pPr>
            <w:r w:rsidRPr="003F6147">
              <w:t>The fair distribution of benefits and burdens from energy production and consumption.</w:t>
            </w:r>
          </w:p>
        </w:tc>
      </w:tr>
      <w:tr w:rsidR="00B47896" w:rsidRPr="003F6147" w14:paraId="77FE960E" w14:textId="77777777" w:rsidTr="00515F21">
        <w:trPr>
          <w:cantSplit/>
        </w:trPr>
        <w:tc>
          <w:tcPr>
            <w:tcW w:w="2430" w:type="dxa"/>
          </w:tcPr>
          <w:p w14:paraId="2F2935FB" w14:textId="77777777" w:rsidR="00B47896" w:rsidRPr="003F6147" w:rsidRDefault="00B47896">
            <w:pPr>
              <w:jc w:val="both"/>
            </w:pPr>
            <w:r w:rsidRPr="003F6147">
              <w:t>EPIC</w:t>
            </w:r>
          </w:p>
        </w:tc>
        <w:tc>
          <w:tcPr>
            <w:tcW w:w="6930" w:type="dxa"/>
          </w:tcPr>
          <w:p w14:paraId="5B08B46D" w14:textId="77777777" w:rsidR="00B47896" w:rsidRPr="003F6147" w:rsidRDefault="00B47896">
            <w:pPr>
              <w:jc w:val="both"/>
            </w:pPr>
            <w:r w:rsidRPr="003F6147">
              <w:rPr>
                <w:i/>
              </w:rPr>
              <w:t>Electric Program Investment Charge,</w:t>
            </w:r>
            <w:r w:rsidRPr="003F6147">
              <w:t xml:space="preserve"> the source of funding for the projects awarded under this solicitation</w:t>
            </w:r>
            <w:r>
              <w:t>.</w:t>
            </w:r>
          </w:p>
        </w:tc>
      </w:tr>
      <w:tr w:rsidR="00B47896" w:rsidRPr="003F6147" w14:paraId="5C133D2B" w14:textId="77777777" w:rsidTr="00515F21">
        <w:trPr>
          <w:cantSplit/>
        </w:trPr>
        <w:tc>
          <w:tcPr>
            <w:tcW w:w="2430" w:type="dxa"/>
          </w:tcPr>
          <w:p w14:paraId="7B7D9FA3" w14:textId="77777777" w:rsidR="00B47896" w:rsidRPr="003F6147" w:rsidRDefault="00B47896">
            <w:pPr>
              <w:jc w:val="both"/>
            </w:pPr>
            <w:r w:rsidRPr="003F6147">
              <w:t>IOU</w:t>
            </w:r>
          </w:p>
        </w:tc>
        <w:tc>
          <w:tcPr>
            <w:tcW w:w="6930" w:type="dxa"/>
          </w:tcPr>
          <w:p w14:paraId="1D623836" w14:textId="77777777" w:rsidR="00B47896" w:rsidRPr="003F6147" w:rsidRDefault="00B47896">
            <w:pPr>
              <w:jc w:val="both"/>
            </w:pPr>
            <w:r w:rsidRPr="003F6147">
              <w:rPr>
                <w:i/>
              </w:rPr>
              <w:t>Investor-owned utility,</w:t>
            </w:r>
            <w:r w:rsidRPr="003F6147">
              <w:t xml:space="preserve"> an electrical corporation as defined in in California Public Utilities Code section 218. For purposes of this EPIC solicitation, it includes Pacific Gas and Electric Co., San Diego Gas and Electric Co., and Southern California Edison Co.</w:t>
            </w:r>
          </w:p>
        </w:tc>
      </w:tr>
      <w:tr w:rsidR="00B47896" w:rsidRPr="003F6147" w14:paraId="1E7CB1A2" w14:textId="77777777" w:rsidTr="00515F21">
        <w:trPr>
          <w:cantSplit/>
        </w:trPr>
        <w:tc>
          <w:tcPr>
            <w:tcW w:w="2430" w:type="dxa"/>
          </w:tcPr>
          <w:p w14:paraId="691E7462" w14:textId="77777777" w:rsidR="00B47896" w:rsidRPr="003F6147" w:rsidRDefault="00B47896">
            <w:r w:rsidRPr="003F6147">
              <w:lastRenderedPageBreak/>
              <w:t>Low Income Community</w:t>
            </w:r>
          </w:p>
        </w:tc>
        <w:tc>
          <w:tcPr>
            <w:tcW w:w="6930" w:type="dxa"/>
          </w:tcPr>
          <w:p w14:paraId="5063C4AB" w14:textId="77777777" w:rsidR="00B47896" w:rsidRPr="003F6147" w:rsidRDefault="00B47896">
            <w:pPr>
              <w:shd w:val="clear" w:color="auto" w:fill="FFFFFF"/>
              <w:spacing w:after="60"/>
              <w:jc w:val="both"/>
              <w:textAlignment w:val="baseline"/>
            </w:pPr>
            <w:r w:rsidRPr="003A0A6F">
              <w:rPr>
                <w:i/>
              </w:rPr>
              <w:t>Low-income Communities</w:t>
            </w:r>
            <w:r w:rsidRPr="00960D30">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w:t>
            </w:r>
            <w:r>
              <w:t>(</w:t>
            </w:r>
            <w:r w:rsidRPr="003A0A6F">
              <w:t>https://www.hcd.ca.gov/grants-funding/income-limits/state-and-federal-income-limits.shtml</w:t>
            </w:r>
            <w:r>
              <w:t xml:space="preserve">) </w:t>
            </w:r>
          </w:p>
        </w:tc>
      </w:tr>
      <w:tr w:rsidR="00B47896" w:rsidRPr="003F6147" w14:paraId="61E22B57" w14:textId="77777777" w:rsidTr="00515F21">
        <w:trPr>
          <w:cantSplit/>
        </w:trPr>
        <w:tc>
          <w:tcPr>
            <w:tcW w:w="2430" w:type="dxa"/>
          </w:tcPr>
          <w:p w14:paraId="30B761B4" w14:textId="77777777" w:rsidR="00B47896" w:rsidRPr="003F6147" w:rsidRDefault="00B47896">
            <w:pPr>
              <w:jc w:val="both"/>
            </w:pPr>
            <w:r w:rsidRPr="003F6147">
              <w:t>NOPA</w:t>
            </w:r>
          </w:p>
        </w:tc>
        <w:tc>
          <w:tcPr>
            <w:tcW w:w="6930" w:type="dxa"/>
          </w:tcPr>
          <w:p w14:paraId="062C05AB" w14:textId="77777777" w:rsidR="00B47896" w:rsidRPr="003F6147" w:rsidRDefault="00B47896">
            <w:pPr>
              <w:jc w:val="both"/>
            </w:pPr>
            <w:r w:rsidRPr="003F6147">
              <w:rPr>
                <w:i/>
              </w:rPr>
              <w:t>Notice of Proposed Award,</w:t>
            </w:r>
            <w:r w:rsidRPr="003F6147">
              <w:t xml:space="preserve"> a public notice by the CEC that identifies award recipients</w:t>
            </w:r>
            <w:r>
              <w:t>.</w:t>
            </w:r>
          </w:p>
        </w:tc>
      </w:tr>
      <w:tr w:rsidR="00B47896" w:rsidRPr="003F6147" w14:paraId="6B1EACD6" w14:textId="77777777" w:rsidTr="00515F21">
        <w:trPr>
          <w:cantSplit/>
        </w:trPr>
        <w:tc>
          <w:tcPr>
            <w:tcW w:w="2430" w:type="dxa"/>
          </w:tcPr>
          <w:p w14:paraId="3CA5879D" w14:textId="77777777" w:rsidR="00B47896" w:rsidRPr="003F6147" w:rsidRDefault="00B47896">
            <w:pPr>
              <w:jc w:val="both"/>
            </w:pPr>
            <w:r w:rsidRPr="003F6147">
              <w:t>Pre-Commercial</w:t>
            </w:r>
            <w:r>
              <w:t xml:space="preserve"> Technology</w:t>
            </w:r>
          </w:p>
        </w:tc>
        <w:tc>
          <w:tcPr>
            <w:tcW w:w="6930" w:type="dxa"/>
          </w:tcPr>
          <w:p w14:paraId="3550782A" w14:textId="77777777" w:rsidR="00B47896" w:rsidRPr="003F6147" w:rsidRDefault="00B47896">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B47896" w:rsidRPr="003F6147" w14:paraId="2D7058F6" w14:textId="77777777" w:rsidTr="00515F21">
        <w:trPr>
          <w:cantSplit/>
        </w:trPr>
        <w:tc>
          <w:tcPr>
            <w:tcW w:w="2430" w:type="dxa"/>
          </w:tcPr>
          <w:p w14:paraId="12D975D2" w14:textId="77777777" w:rsidR="00B47896" w:rsidRPr="003F6147" w:rsidRDefault="00B47896">
            <w:pPr>
              <w:jc w:val="both"/>
            </w:pPr>
            <w:r w:rsidRPr="003F6147">
              <w:t>Pilot Test</w:t>
            </w:r>
          </w:p>
        </w:tc>
        <w:tc>
          <w:tcPr>
            <w:tcW w:w="6930" w:type="dxa"/>
          </w:tcPr>
          <w:p w14:paraId="3B89B84E" w14:textId="77777777" w:rsidR="00B47896" w:rsidRPr="003F6147" w:rsidRDefault="00B47896">
            <w:pPr>
              <w:spacing w:before="100" w:beforeAutospacing="1" w:after="100" w:afterAutospacing="1"/>
            </w:pPr>
            <w:r w:rsidRPr="003F6147">
              <w:rPr>
                <w:i/>
              </w:rPr>
              <w:t>Pilot test</w:t>
            </w:r>
            <w:r w:rsidRPr="003F6147">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00B47896" w:rsidRPr="003F6147" w14:paraId="777EC589" w14:textId="77777777" w:rsidTr="00515F21">
        <w:trPr>
          <w:cantSplit/>
        </w:trPr>
        <w:tc>
          <w:tcPr>
            <w:tcW w:w="2430" w:type="dxa"/>
          </w:tcPr>
          <w:p w14:paraId="4A1199ED" w14:textId="77777777" w:rsidR="00B47896" w:rsidRPr="003F6147" w:rsidRDefault="00B47896">
            <w:pPr>
              <w:jc w:val="both"/>
            </w:pPr>
            <w:r w:rsidRPr="003F6147">
              <w:t>Principal Investigator</w:t>
            </w:r>
          </w:p>
        </w:tc>
        <w:tc>
          <w:tcPr>
            <w:tcW w:w="6930" w:type="dxa"/>
          </w:tcPr>
          <w:p w14:paraId="204AFAA8" w14:textId="77777777" w:rsidR="00B47896" w:rsidRPr="003F6147" w:rsidRDefault="00B47896">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t>.</w:t>
            </w:r>
            <w:r w:rsidRPr="003F6147">
              <w:t xml:space="preserve">  </w:t>
            </w:r>
          </w:p>
        </w:tc>
      </w:tr>
      <w:tr w:rsidR="00B47896" w:rsidRPr="003F6147" w14:paraId="25F9DBA5" w14:textId="77777777" w:rsidTr="00515F21">
        <w:trPr>
          <w:cantSplit/>
        </w:trPr>
        <w:tc>
          <w:tcPr>
            <w:tcW w:w="2430" w:type="dxa"/>
          </w:tcPr>
          <w:p w14:paraId="556D160C" w14:textId="77777777" w:rsidR="00B47896" w:rsidRPr="003F6147" w:rsidRDefault="00B47896">
            <w:pPr>
              <w:jc w:val="both"/>
            </w:pPr>
            <w:r w:rsidRPr="003F6147">
              <w:t>Project Manager</w:t>
            </w:r>
          </w:p>
        </w:tc>
        <w:tc>
          <w:tcPr>
            <w:tcW w:w="6930" w:type="dxa"/>
          </w:tcPr>
          <w:p w14:paraId="54F3BF2C" w14:textId="77777777" w:rsidR="00B47896" w:rsidRPr="003F6147" w:rsidRDefault="00B47896">
            <w:pPr>
              <w:jc w:val="both"/>
            </w:pPr>
            <w:r w:rsidRPr="003F6147">
              <w:t>The person designated by the applicant to oversee the project and to serve as the main point of contact for the CEC</w:t>
            </w:r>
            <w:r>
              <w:t>.</w:t>
            </w:r>
          </w:p>
        </w:tc>
      </w:tr>
      <w:tr w:rsidR="00B47896" w:rsidRPr="003F6147" w14:paraId="3C5CBE2C" w14:textId="77777777" w:rsidTr="00515F21">
        <w:trPr>
          <w:cantSplit/>
        </w:trPr>
        <w:tc>
          <w:tcPr>
            <w:tcW w:w="2430" w:type="dxa"/>
          </w:tcPr>
          <w:p w14:paraId="7D6C088D" w14:textId="77777777" w:rsidR="00B47896" w:rsidRPr="003F6147" w:rsidRDefault="00B47896">
            <w:pPr>
              <w:jc w:val="both"/>
            </w:pPr>
            <w:r w:rsidRPr="003F6147">
              <w:t>Project Partner</w:t>
            </w:r>
          </w:p>
        </w:tc>
        <w:tc>
          <w:tcPr>
            <w:tcW w:w="6930" w:type="dxa"/>
          </w:tcPr>
          <w:p w14:paraId="34911198" w14:textId="77777777" w:rsidR="00B47896" w:rsidRPr="003F6147" w:rsidRDefault="00B47896">
            <w:pPr>
              <w:jc w:val="both"/>
            </w:pPr>
            <w:r w:rsidRPr="003F6147">
              <w:t>An entity or individual that contributes financially or otherwise to the project (e.g., match funding, provision of a test, demonstration or deployment site), and does not receive CEC funds</w:t>
            </w:r>
            <w:r>
              <w:t>.</w:t>
            </w:r>
            <w:r w:rsidRPr="003F6147">
              <w:t xml:space="preserve"> </w:t>
            </w:r>
          </w:p>
        </w:tc>
      </w:tr>
      <w:tr w:rsidR="00B47896" w:rsidRPr="003F6147" w14:paraId="54238EE8" w14:textId="77777777" w:rsidTr="00515F21">
        <w:trPr>
          <w:cantSplit/>
        </w:trPr>
        <w:tc>
          <w:tcPr>
            <w:tcW w:w="2430" w:type="dxa"/>
          </w:tcPr>
          <w:p w14:paraId="4CF8828A" w14:textId="77777777" w:rsidR="00B47896" w:rsidRPr="003F6147" w:rsidRDefault="00B47896">
            <w:pPr>
              <w:jc w:val="both"/>
            </w:pPr>
            <w:r w:rsidRPr="003F6147">
              <w:t>Recipient</w:t>
            </w:r>
          </w:p>
        </w:tc>
        <w:tc>
          <w:tcPr>
            <w:tcW w:w="6930" w:type="dxa"/>
          </w:tcPr>
          <w:p w14:paraId="74B4B8D4" w14:textId="77777777" w:rsidR="00B47896" w:rsidRPr="003F6147" w:rsidRDefault="00B47896">
            <w:pPr>
              <w:jc w:val="both"/>
            </w:pPr>
            <w:r w:rsidRPr="003F6147">
              <w:t xml:space="preserve"> An entity receiving an award under this solicitation</w:t>
            </w:r>
            <w:r>
              <w:t>.</w:t>
            </w:r>
          </w:p>
        </w:tc>
      </w:tr>
      <w:tr w:rsidR="00B47896" w:rsidRPr="003F6147" w14:paraId="0CEB371E" w14:textId="77777777" w:rsidTr="00515F21">
        <w:trPr>
          <w:cantSplit/>
        </w:trPr>
        <w:tc>
          <w:tcPr>
            <w:tcW w:w="2430" w:type="dxa"/>
          </w:tcPr>
          <w:p w14:paraId="732E37B7" w14:textId="77777777" w:rsidR="00B47896" w:rsidRPr="003F6147" w:rsidRDefault="00B47896">
            <w:pPr>
              <w:jc w:val="both"/>
            </w:pPr>
            <w:r w:rsidRPr="003F6147">
              <w:t>Solicitation</w:t>
            </w:r>
          </w:p>
        </w:tc>
        <w:tc>
          <w:tcPr>
            <w:tcW w:w="6930" w:type="dxa"/>
          </w:tcPr>
          <w:p w14:paraId="4F1C54BA" w14:textId="77777777" w:rsidR="00B47896" w:rsidRPr="003F6147" w:rsidRDefault="00B47896">
            <w:pPr>
              <w:jc w:val="both"/>
            </w:pPr>
            <w:r w:rsidRPr="003F6147">
              <w:t>This entire document, including all attachments, exhibits, any addendum and written notices, and questions and answers   (“solicitation” may be used interchangeably with “Grant Funding Opportunity”)</w:t>
            </w:r>
            <w:r>
              <w:t>.</w:t>
            </w:r>
            <w:r w:rsidRPr="003F6147">
              <w:t xml:space="preserve"> </w:t>
            </w:r>
          </w:p>
        </w:tc>
      </w:tr>
      <w:tr w:rsidR="00B47896" w:rsidRPr="003F6147" w14:paraId="5340259E" w14:textId="77777777" w:rsidTr="00515F21">
        <w:trPr>
          <w:cantSplit/>
        </w:trPr>
        <w:tc>
          <w:tcPr>
            <w:tcW w:w="2430" w:type="dxa"/>
          </w:tcPr>
          <w:p w14:paraId="36AE41AE" w14:textId="77777777" w:rsidR="00B47896" w:rsidRPr="003F6147" w:rsidRDefault="00B47896">
            <w:pPr>
              <w:jc w:val="both"/>
            </w:pPr>
            <w:r w:rsidRPr="003F6147">
              <w:t>State</w:t>
            </w:r>
          </w:p>
        </w:tc>
        <w:tc>
          <w:tcPr>
            <w:tcW w:w="6930" w:type="dxa"/>
          </w:tcPr>
          <w:p w14:paraId="561A8A80" w14:textId="77777777" w:rsidR="00B47896" w:rsidRPr="003F6147" w:rsidRDefault="00B47896">
            <w:pPr>
              <w:jc w:val="both"/>
            </w:pPr>
            <w:r w:rsidRPr="003F6147">
              <w:t>State of California</w:t>
            </w:r>
          </w:p>
        </w:tc>
      </w:tr>
      <w:tr w:rsidR="00B47896" w:rsidRPr="003F6147" w14:paraId="658AE07A" w14:textId="77777777" w:rsidTr="00515F21">
        <w:trPr>
          <w:cantSplit/>
        </w:trPr>
        <w:tc>
          <w:tcPr>
            <w:tcW w:w="2430" w:type="dxa"/>
          </w:tcPr>
          <w:p w14:paraId="5EF0056C" w14:textId="77777777" w:rsidR="00B47896" w:rsidRPr="003F6147" w:rsidRDefault="00B47896">
            <w:pPr>
              <w:jc w:val="both"/>
            </w:pPr>
            <w:r>
              <w:t>TRL</w:t>
            </w:r>
          </w:p>
        </w:tc>
        <w:tc>
          <w:tcPr>
            <w:tcW w:w="6930" w:type="dxa"/>
          </w:tcPr>
          <w:p w14:paraId="390CF712" w14:textId="77777777" w:rsidR="00B47896" w:rsidRPr="007076F1" w:rsidRDefault="00B47896">
            <w:pPr>
              <w:spacing w:after="0"/>
              <w:rPr>
                <w:szCs w:val="22"/>
              </w:rPr>
            </w:pPr>
            <w:r w:rsidRPr="007076F1">
              <w:rPr>
                <w:szCs w:val="22"/>
              </w:rPr>
              <w:t>Technology readiness levels, are a method for estimating the maturity of technologies during the acquisition phase of a program.</w:t>
            </w:r>
          </w:p>
          <w:p w14:paraId="416F4A86" w14:textId="74BB8244" w:rsidR="00B47896" w:rsidRPr="003F6147" w:rsidRDefault="00B47896">
            <w:pPr>
              <w:jc w:val="both"/>
            </w:pPr>
            <w:r w:rsidRPr="007076F1">
              <w:rPr>
                <w:szCs w:val="22"/>
              </w:rPr>
              <w:t xml:space="preserve">Source: U.S. Department of Energy, “Technology Readiness Assessment Guide”. </w:t>
            </w:r>
            <w:hyperlink r:id="rId19" w:history="1">
              <w:r w:rsidRPr="007076F1">
                <w:rPr>
                  <w:rStyle w:val="Hyperlink"/>
                  <w:rFonts w:cs="Arial"/>
                  <w:color w:val="auto"/>
                  <w:szCs w:val="22"/>
                </w:rPr>
                <w:t>https://www2.lbl.gov/dir/assets/docs/TRL%20guide.pdf</w:t>
              </w:r>
            </w:hyperlink>
          </w:p>
        </w:tc>
      </w:tr>
    </w:tbl>
    <w:p w14:paraId="1BD29472" w14:textId="77777777" w:rsidR="00B47896" w:rsidRPr="003F6147" w:rsidRDefault="00B47896" w:rsidP="00B47896">
      <w:pPr>
        <w:spacing w:after="0"/>
        <w:rPr>
          <w:rFonts w:cs="Times New Roman"/>
          <w:b/>
          <w:smallCaps/>
          <w:sz w:val="26"/>
          <w:szCs w:val="26"/>
        </w:rPr>
      </w:pPr>
    </w:p>
    <w:p w14:paraId="1CE8F164" w14:textId="77777777" w:rsidR="00B47896" w:rsidRPr="00756BAC" w:rsidRDefault="00B47896" w:rsidP="00B47896">
      <w:pPr>
        <w:pStyle w:val="Heading2"/>
        <w:numPr>
          <w:ilvl w:val="0"/>
          <w:numId w:val="71"/>
        </w:numPr>
      </w:pPr>
      <w:bookmarkStart w:id="18" w:name="_Toc121842072"/>
      <w:bookmarkStart w:id="19" w:name="_Toc458602324"/>
      <w:r w:rsidRPr="00756BAC">
        <w:t>Project Focus</w:t>
      </w:r>
      <w:bookmarkEnd w:id="18"/>
    </w:p>
    <w:p w14:paraId="1EDE129D" w14:textId="6908EC24" w:rsidR="006D1CB4" w:rsidRPr="00CF60BA" w:rsidRDefault="00B36010" w:rsidP="00B36010">
      <w:pPr>
        <w:rPr>
          <w:szCs w:val="22"/>
        </w:rPr>
      </w:pPr>
      <w:bookmarkStart w:id="20" w:name="_Toc433981314"/>
      <w:r w:rsidRPr="00CF60BA">
        <w:rPr>
          <w:szCs w:val="22"/>
        </w:rPr>
        <w:t>Projects must</w:t>
      </w:r>
      <w:r w:rsidR="00DC3351" w:rsidRPr="00CF60BA">
        <w:rPr>
          <w:szCs w:val="22"/>
        </w:rPr>
        <w:t xml:space="preserve"> </w:t>
      </w:r>
      <w:r w:rsidR="001E4D3A" w:rsidRPr="00CF60BA">
        <w:rPr>
          <w:szCs w:val="22"/>
        </w:rPr>
        <w:t>evaluate</w:t>
      </w:r>
      <w:r w:rsidRPr="00CF60BA">
        <w:rPr>
          <w:szCs w:val="22"/>
        </w:rPr>
        <w:t xml:space="preserve"> the </w:t>
      </w:r>
      <w:r w:rsidR="00DC3351" w:rsidRPr="00CF60BA">
        <w:rPr>
          <w:szCs w:val="22"/>
        </w:rPr>
        <w:t>role</w:t>
      </w:r>
      <w:r w:rsidRPr="00CF60BA">
        <w:rPr>
          <w:szCs w:val="22"/>
        </w:rPr>
        <w:t xml:space="preserve"> </w:t>
      </w:r>
      <w:r w:rsidR="00DC3351" w:rsidRPr="00CF60BA">
        <w:rPr>
          <w:szCs w:val="22"/>
        </w:rPr>
        <w:t xml:space="preserve">of </w:t>
      </w:r>
      <w:r w:rsidRPr="00CF60BA">
        <w:rPr>
          <w:szCs w:val="22"/>
        </w:rPr>
        <w:t xml:space="preserve">hydrogen </w:t>
      </w:r>
      <w:r w:rsidR="009809B8" w:rsidRPr="00CF60BA">
        <w:rPr>
          <w:szCs w:val="22"/>
        </w:rPr>
        <w:t>in</w:t>
      </w:r>
      <w:r w:rsidRPr="00CF60BA">
        <w:rPr>
          <w:szCs w:val="22"/>
        </w:rPr>
        <w:t xml:space="preserve"> California's </w:t>
      </w:r>
      <w:r w:rsidR="009809B8" w:rsidRPr="00CF60BA">
        <w:rPr>
          <w:szCs w:val="22"/>
        </w:rPr>
        <w:t>decarboniz</w:t>
      </w:r>
      <w:r w:rsidR="00574734" w:rsidRPr="00CF60BA">
        <w:rPr>
          <w:szCs w:val="22"/>
        </w:rPr>
        <w:t>ing</w:t>
      </w:r>
      <w:r w:rsidR="009809B8" w:rsidRPr="00CF60BA">
        <w:rPr>
          <w:szCs w:val="22"/>
        </w:rPr>
        <w:t xml:space="preserve"> </w:t>
      </w:r>
      <w:r w:rsidRPr="00CF60BA">
        <w:rPr>
          <w:szCs w:val="22"/>
        </w:rPr>
        <w:t>electric sector</w:t>
      </w:r>
      <w:r w:rsidR="00992837" w:rsidRPr="00CF60BA">
        <w:rPr>
          <w:szCs w:val="22"/>
        </w:rPr>
        <w:t xml:space="preserve"> </w:t>
      </w:r>
      <w:r w:rsidR="00423F13" w:rsidRPr="00CF60BA">
        <w:rPr>
          <w:szCs w:val="22"/>
        </w:rPr>
        <w:t xml:space="preserve">through </w:t>
      </w:r>
      <w:r w:rsidR="00C27F66" w:rsidRPr="00CF60BA">
        <w:rPr>
          <w:szCs w:val="22"/>
        </w:rPr>
        <w:t xml:space="preserve">technology, economic, and environmental </w:t>
      </w:r>
      <w:r w:rsidR="00423F13" w:rsidRPr="00CF60BA">
        <w:rPr>
          <w:szCs w:val="22"/>
        </w:rPr>
        <w:t>assessment</w:t>
      </w:r>
      <w:r w:rsidR="00545579" w:rsidRPr="00CF60BA">
        <w:rPr>
          <w:szCs w:val="22"/>
        </w:rPr>
        <w:t>(</w:t>
      </w:r>
      <w:r w:rsidR="00423F13" w:rsidRPr="00CF60BA">
        <w:rPr>
          <w:szCs w:val="22"/>
        </w:rPr>
        <w:t>s</w:t>
      </w:r>
      <w:r w:rsidR="00545579" w:rsidRPr="00CF60BA">
        <w:rPr>
          <w:szCs w:val="22"/>
        </w:rPr>
        <w:t>)</w:t>
      </w:r>
      <w:r w:rsidR="00423F13" w:rsidRPr="00CF60BA">
        <w:rPr>
          <w:szCs w:val="22"/>
        </w:rPr>
        <w:t xml:space="preserve"> </w:t>
      </w:r>
      <w:r w:rsidR="00EC7EA7" w:rsidRPr="00CF60BA">
        <w:rPr>
          <w:szCs w:val="22"/>
        </w:rPr>
        <w:t xml:space="preserve">focused </w:t>
      </w:r>
      <w:r w:rsidR="00141129" w:rsidRPr="00CF60BA">
        <w:rPr>
          <w:szCs w:val="22"/>
        </w:rPr>
        <w:t>o</w:t>
      </w:r>
      <w:r w:rsidR="00EC7EA7" w:rsidRPr="00CF60BA">
        <w:rPr>
          <w:szCs w:val="22"/>
        </w:rPr>
        <w:t>n</w:t>
      </w:r>
      <w:r w:rsidR="00E05112" w:rsidRPr="00CF60BA">
        <w:rPr>
          <w:szCs w:val="22"/>
        </w:rPr>
        <w:t xml:space="preserve"> </w:t>
      </w:r>
      <w:r w:rsidRPr="00CF60BA">
        <w:rPr>
          <w:szCs w:val="22"/>
        </w:rPr>
        <w:t>1) production</w:t>
      </w:r>
      <w:r w:rsidR="00C948B8" w:rsidRPr="002F7CB3">
        <w:rPr>
          <w:b/>
          <w:bCs/>
          <w:szCs w:val="22"/>
          <w:u w:val="single"/>
        </w:rPr>
        <w:t>, transmission, and distribution</w:t>
      </w:r>
      <w:r w:rsidRPr="00CF60BA">
        <w:rPr>
          <w:szCs w:val="22"/>
        </w:rPr>
        <w:t xml:space="preserve"> of hydrogen from renewable electricity for </w:t>
      </w:r>
      <w:r w:rsidR="00545579" w:rsidRPr="00CF60BA">
        <w:rPr>
          <w:szCs w:val="22"/>
        </w:rPr>
        <w:t xml:space="preserve">any </w:t>
      </w:r>
      <w:r w:rsidRPr="00CF60BA">
        <w:rPr>
          <w:szCs w:val="22"/>
        </w:rPr>
        <w:t xml:space="preserve">end-use and 2) specific end-use </w:t>
      </w:r>
      <w:r w:rsidR="00A111B4" w:rsidRPr="00CF60BA">
        <w:rPr>
          <w:szCs w:val="22"/>
        </w:rPr>
        <w:t xml:space="preserve">applications </w:t>
      </w:r>
      <w:r w:rsidRPr="00CF60BA">
        <w:rPr>
          <w:szCs w:val="22"/>
        </w:rPr>
        <w:t xml:space="preserve">in </w:t>
      </w:r>
      <w:r w:rsidR="00A111B4" w:rsidRPr="00CF60BA">
        <w:rPr>
          <w:szCs w:val="22"/>
        </w:rPr>
        <w:t xml:space="preserve">the </w:t>
      </w:r>
      <w:r w:rsidRPr="00CF60BA">
        <w:rPr>
          <w:szCs w:val="22"/>
        </w:rPr>
        <w:t xml:space="preserve">electric sector such as </w:t>
      </w:r>
      <w:r w:rsidR="00B96AEE" w:rsidRPr="00CF60BA">
        <w:rPr>
          <w:szCs w:val="22"/>
        </w:rPr>
        <w:t>zero carbon firm dispatchable</w:t>
      </w:r>
      <w:r w:rsidRPr="00CF60BA">
        <w:rPr>
          <w:szCs w:val="22"/>
        </w:rPr>
        <w:t xml:space="preserve"> generation.</w:t>
      </w:r>
    </w:p>
    <w:p w14:paraId="1567F3E8" w14:textId="761A8C47" w:rsidR="00845BEA" w:rsidRPr="00CF60BA" w:rsidRDefault="003439B3" w:rsidP="771F77BB">
      <w:r w:rsidRPr="00CF60BA">
        <w:lastRenderedPageBreak/>
        <w:t>T</w:t>
      </w:r>
      <w:r w:rsidR="00AB14CD" w:rsidRPr="00CF60BA">
        <w:t xml:space="preserve">he </w:t>
      </w:r>
      <w:r w:rsidR="003D0E50" w:rsidRPr="00CF60BA">
        <w:t xml:space="preserve">Technical Approach section of the </w:t>
      </w:r>
      <w:r w:rsidR="00AB14CD" w:rsidRPr="00CF60BA">
        <w:t>Project Narrative (Attachment 3) must</w:t>
      </w:r>
      <w:r w:rsidR="00137770" w:rsidRPr="00CF60BA">
        <w:t>, at a min</w:t>
      </w:r>
      <w:r w:rsidR="00A21FCF" w:rsidRPr="00CF60BA">
        <w:t>imum,</w:t>
      </w:r>
      <w:r w:rsidR="00AB14CD" w:rsidRPr="00CF60BA">
        <w:t xml:space="preserve"> describe in detail how the applicant plans to </w:t>
      </w:r>
      <w:r w:rsidR="00E55CBE" w:rsidRPr="00CF60BA">
        <w:t>answer</w:t>
      </w:r>
      <w:r w:rsidR="00AB14CD" w:rsidRPr="00CF60BA">
        <w:t xml:space="preserve"> the </w:t>
      </w:r>
      <w:r w:rsidR="00E55CBE" w:rsidRPr="00CF60BA">
        <w:t>questions</w:t>
      </w:r>
      <w:r w:rsidR="00BB4A83" w:rsidRPr="00CF60BA">
        <w:t xml:space="preserve"> listed below</w:t>
      </w:r>
      <w:r w:rsidR="000B337E" w:rsidRPr="00CF60BA">
        <w:t xml:space="preserve"> </w:t>
      </w:r>
      <w:r w:rsidR="00D43D90" w:rsidRPr="00CF60BA">
        <w:t>over the term of the proposed project</w:t>
      </w:r>
      <w:r w:rsidR="00D803E3" w:rsidRPr="00CF60BA">
        <w:t xml:space="preserve">. </w:t>
      </w:r>
      <w:r w:rsidR="00FA1CB3" w:rsidRPr="00CF60BA">
        <w:t xml:space="preserve">The applicant may </w:t>
      </w:r>
      <w:r w:rsidR="00073FD4" w:rsidRPr="00CF60BA">
        <w:t xml:space="preserve">also </w:t>
      </w:r>
      <w:r w:rsidR="316D4838" w:rsidRPr="00CF60BA">
        <w:t>address</w:t>
      </w:r>
      <w:r w:rsidR="003128E3" w:rsidRPr="00CF60BA">
        <w:t xml:space="preserve"> the</w:t>
      </w:r>
      <w:r w:rsidR="3EE08000" w:rsidRPr="00CF60BA">
        <w:t>se</w:t>
      </w:r>
      <w:r w:rsidR="003128E3" w:rsidRPr="00CF60BA">
        <w:t xml:space="preserve"> questions</w:t>
      </w:r>
      <w:r w:rsidR="007553BB" w:rsidRPr="00CF60BA">
        <w:t xml:space="preserve"> elsewhere within the Project Narrative (Attachment 3)</w:t>
      </w:r>
      <w:r w:rsidR="00BA74DD" w:rsidRPr="00CF60BA">
        <w:t xml:space="preserve"> as appropriate</w:t>
      </w:r>
      <w:r w:rsidR="00073FD4" w:rsidRPr="00CF60BA">
        <w:t>.</w:t>
      </w:r>
    </w:p>
    <w:p w14:paraId="5100AE2F" w14:textId="7CAA3115" w:rsidR="009752BE" w:rsidRPr="00CF60BA" w:rsidRDefault="00C24970" w:rsidP="005243DB">
      <w:pPr>
        <w:pStyle w:val="ListParagraph"/>
        <w:numPr>
          <w:ilvl w:val="0"/>
          <w:numId w:val="103"/>
        </w:numPr>
        <w:rPr>
          <w:szCs w:val="22"/>
        </w:rPr>
      </w:pPr>
      <w:r w:rsidRPr="00CF60BA">
        <w:rPr>
          <w:szCs w:val="22"/>
        </w:rPr>
        <w:t xml:space="preserve">How can the EPIC </w:t>
      </w:r>
      <w:r w:rsidR="003F3DF4" w:rsidRPr="00CF60BA">
        <w:rPr>
          <w:szCs w:val="22"/>
        </w:rPr>
        <w:t>P</w:t>
      </w:r>
      <w:r w:rsidRPr="00CF60BA">
        <w:rPr>
          <w:szCs w:val="22"/>
        </w:rPr>
        <w:t>rogram best c</w:t>
      </w:r>
      <w:r w:rsidR="009752BE" w:rsidRPr="00CF60BA">
        <w:rPr>
          <w:szCs w:val="22"/>
        </w:rPr>
        <w:t>oordinat</w:t>
      </w:r>
      <w:r w:rsidRPr="00CF60BA">
        <w:rPr>
          <w:szCs w:val="22"/>
        </w:rPr>
        <w:t>e</w:t>
      </w:r>
      <w:r w:rsidR="00A91B73" w:rsidRPr="00CF60BA">
        <w:rPr>
          <w:szCs w:val="22"/>
        </w:rPr>
        <w:t xml:space="preserve"> investments</w:t>
      </w:r>
      <w:r w:rsidR="009752BE" w:rsidRPr="00CF60BA">
        <w:rPr>
          <w:szCs w:val="22"/>
        </w:rPr>
        <w:t xml:space="preserve"> with complementary programs, including but not limited to </w:t>
      </w:r>
      <w:r w:rsidR="004F492C" w:rsidRPr="00CF60BA">
        <w:rPr>
          <w:szCs w:val="22"/>
        </w:rPr>
        <w:t xml:space="preserve">the Hydrogen Program, </w:t>
      </w:r>
      <w:r w:rsidR="009752BE" w:rsidRPr="00CF60BA">
        <w:rPr>
          <w:szCs w:val="22"/>
        </w:rPr>
        <w:t>the development of California’s proposed Renewable Hydrogen Hub</w:t>
      </w:r>
      <w:r w:rsidR="006F3F2D" w:rsidRPr="00CF60BA">
        <w:rPr>
          <w:szCs w:val="22"/>
        </w:rPr>
        <w:t>,</w:t>
      </w:r>
      <w:r w:rsidR="001B1D3C" w:rsidRPr="00CF60BA">
        <w:rPr>
          <w:szCs w:val="22"/>
        </w:rPr>
        <w:t xml:space="preserve"> </w:t>
      </w:r>
      <w:r w:rsidR="004F492C" w:rsidRPr="00CF60BA">
        <w:rPr>
          <w:szCs w:val="22"/>
        </w:rPr>
        <w:t xml:space="preserve">and </w:t>
      </w:r>
      <w:r w:rsidR="001B1D3C" w:rsidRPr="00CF60BA">
        <w:rPr>
          <w:szCs w:val="22"/>
        </w:rPr>
        <w:t>other DOE hydrogen hubs</w:t>
      </w:r>
      <w:r w:rsidRPr="00CF60BA">
        <w:rPr>
          <w:szCs w:val="22"/>
        </w:rPr>
        <w:t>?</w:t>
      </w:r>
    </w:p>
    <w:p w14:paraId="3637F158" w14:textId="77860841" w:rsidR="00BB552C" w:rsidRPr="00CF60BA" w:rsidRDefault="00BB552C" w:rsidP="005243DB">
      <w:pPr>
        <w:pStyle w:val="ListParagraph"/>
        <w:numPr>
          <w:ilvl w:val="0"/>
          <w:numId w:val="103"/>
        </w:numPr>
        <w:rPr>
          <w:szCs w:val="22"/>
        </w:rPr>
      </w:pPr>
      <w:r w:rsidRPr="00CF60BA">
        <w:rPr>
          <w:szCs w:val="22"/>
        </w:rPr>
        <w:t xml:space="preserve">How </w:t>
      </w:r>
      <w:r w:rsidR="008170E9" w:rsidRPr="00CF60BA">
        <w:rPr>
          <w:szCs w:val="22"/>
        </w:rPr>
        <w:t>i</w:t>
      </w:r>
      <w:r w:rsidRPr="00CF60BA">
        <w:rPr>
          <w:szCs w:val="22"/>
        </w:rPr>
        <w:t xml:space="preserve">s </w:t>
      </w:r>
      <w:r w:rsidR="00570FEB" w:rsidRPr="00CF60BA">
        <w:rPr>
          <w:szCs w:val="22"/>
        </w:rPr>
        <w:t xml:space="preserve">the competitiveness of hydrogen </w:t>
      </w:r>
      <w:r w:rsidR="00FC5310" w:rsidRPr="00CF60BA">
        <w:rPr>
          <w:szCs w:val="22"/>
        </w:rPr>
        <w:t>in</w:t>
      </w:r>
      <w:r w:rsidR="00570FEB" w:rsidRPr="00CF60BA">
        <w:rPr>
          <w:szCs w:val="22"/>
        </w:rPr>
        <w:t xml:space="preserve"> electric sector applications</w:t>
      </w:r>
      <w:r w:rsidR="008170E9" w:rsidRPr="00CF60BA">
        <w:rPr>
          <w:szCs w:val="22"/>
        </w:rPr>
        <w:t xml:space="preserve"> impacted by adoption in other sectors </w:t>
      </w:r>
      <w:r w:rsidR="005832AE" w:rsidRPr="00CF60BA">
        <w:rPr>
          <w:szCs w:val="22"/>
        </w:rPr>
        <w:t>such as</w:t>
      </w:r>
      <w:r w:rsidR="008170E9" w:rsidRPr="00CF60BA">
        <w:rPr>
          <w:szCs w:val="22"/>
        </w:rPr>
        <w:t xml:space="preserve"> </w:t>
      </w:r>
      <w:r w:rsidR="00AD2A0A" w:rsidRPr="00CF60BA">
        <w:rPr>
          <w:szCs w:val="22"/>
        </w:rPr>
        <w:t>transportation</w:t>
      </w:r>
      <w:r w:rsidR="00D131BE" w:rsidRPr="00CF60BA">
        <w:rPr>
          <w:szCs w:val="22"/>
        </w:rPr>
        <w:t xml:space="preserve"> and industr</w:t>
      </w:r>
      <w:r w:rsidR="00FC5310" w:rsidRPr="00CF60BA">
        <w:rPr>
          <w:szCs w:val="22"/>
        </w:rPr>
        <w:t>ial uses</w:t>
      </w:r>
      <w:r w:rsidR="00111CC4" w:rsidRPr="00CF60BA">
        <w:rPr>
          <w:szCs w:val="22"/>
        </w:rPr>
        <w:t xml:space="preserve">, </w:t>
      </w:r>
      <w:r w:rsidR="009719C2" w:rsidRPr="00CF60BA">
        <w:rPr>
          <w:szCs w:val="22"/>
        </w:rPr>
        <w:t>and vice versa</w:t>
      </w:r>
      <w:r w:rsidR="00570FEB" w:rsidRPr="00CF60BA">
        <w:rPr>
          <w:szCs w:val="22"/>
        </w:rPr>
        <w:t>?</w:t>
      </w:r>
    </w:p>
    <w:p w14:paraId="36D64C2A" w14:textId="5F0A207E" w:rsidR="00BC02E4" w:rsidRPr="00CF60BA" w:rsidRDefault="00BC02E4" w:rsidP="005243DB">
      <w:pPr>
        <w:pStyle w:val="ListParagraph"/>
        <w:numPr>
          <w:ilvl w:val="0"/>
          <w:numId w:val="103"/>
        </w:numPr>
        <w:rPr>
          <w:szCs w:val="22"/>
        </w:rPr>
      </w:pPr>
      <w:r w:rsidRPr="00CF60BA">
        <w:rPr>
          <w:szCs w:val="22"/>
        </w:rPr>
        <w:t xml:space="preserve">Which electric sector applications </w:t>
      </w:r>
      <w:r w:rsidR="00FD4E19">
        <w:rPr>
          <w:szCs w:val="22"/>
        </w:rPr>
        <w:t>[</w:t>
      </w:r>
      <w:r w:rsidR="00A8787E" w:rsidRPr="005243DB">
        <w:rPr>
          <w:strike/>
          <w:szCs w:val="22"/>
        </w:rPr>
        <w:t>could</w:t>
      </w:r>
      <w:r w:rsidR="00FD4E19">
        <w:rPr>
          <w:szCs w:val="22"/>
        </w:rPr>
        <w:t xml:space="preserve">] </w:t>
      </w:r>
      <w:r w:rsidR="00FD4E19" w:rsidRPr="005243DB">
        <w:rPr>
          <w:b/>
          <w:bCs/>
          <w:szCs w:val="22"/>
          <w:u w:val="single"/>
        </w:rPr>
        <w:t>can</w:t>
      </w:r>
      <w:r w:rsidR="0074078A" w:rsidRPr="00CF60BA">
        <w:rPr>
          <w:szCs w:val="22"/>
        </w:rPr>
        <w:t xml:space="preserve"> reach</w:t>
      </w:r>
      <w:r w:rsidR="00747003" w:rsidRPr="00CF60BA">
        <w:rPr>
          <w:szCs w:val="22"/>
        </w:rPr>
        <w:t xml:space="preserve"> cost </w:t>
      </w:r>
      <w:r w:rsidRPr="00CF60BA">
        <w:rPr>
          <w:szCs w:val="22"/>
        </w:rPr>
        <w:t>competitive</w:t>
      </w:r>
      <w:r w:rsidR="00747003" w:rsidRPr="00CF60BA">
        <w:rPr>
          <w:szCs w:val="22"/>
        </w:rPr>
        <w:t>ness</w:t>
      </w:r>
      <w:r w:rsidRPr="00CF60BA">
        <w:rPr>
          <w:szCs w:val="22"/>
        </w:rPr>
        <w:t xml:space="preserve"> </w:t>
      </w:r>
      <w:r w:rsidR="00A8787E" w:rsidRPr="00CF60BA">
        <w:rPr>
          <w:szCs w:val="22"/>
        </w:rPr>
        <w:t>in the near-term (within 5 years), mid-term (5-10 years), and long</w:t>
      </w:r>
      <w:r w:rsidR="00AF1785" w:rsidRPr="005243DB">
        <w:rPr>
          <w:b/>
          <w:bCs/>
          <w:szCs w:val="22"/>
          <w:u w:val="single"/>
        </w:rPr>
        <w:t>-</w:t>
      </w:r>
      <w:r w:rsidR="00A8787E" w:rsidRPr="00CF60BA">
        <w:rPr>
          <w:szCs w:val="22"/>
        </w:rPr>
        <w:t>term (10 or more years)</w:t>
      </w:r>
      <w:r w:rsidR="00CE26D2" w:rsidRPr="005243DB">
        <w:rPr>
          <w:b/>
          <w:bCs/>
          <w:szCs w:val="22"/>
          <w:u w:val="single"/>
        </w:rPr>
        <w:t>,</w:t>
      </w:r>
      <w:r w:rsidR="0074078A" w:rsidRPr="00CF60BA">
        <w:rPr>
          <w:szCs w:val="22"/>
        </w:rPr>
        <w:t xml:space="preserve"> </w:t>
      </w:r>
      <w:r w:rsidRPr="00CF60BA">
        <w:rPr>
          <w:szCs w:val="22"/>
        </w:rPr>
        <w:t>a</w:t>
      </w:r>
      <w:r w:rsidR="0083119B" w:rsidRPr="00CF60BA">
        <w:rPr>
          <w:szCs w:val="22"/>
        </w:rPr>
        <w:t>nd</w:t>
      </w:r>
      <w:r w:rsidRPr="00CF60BA">
        <w:rPr>
          <w:szCs w:val="22"/>
        </w:rPr>
        <w:t xml:space="preserve"> </w:t>
      </w:r>
      <w:r w:rsidR="00F42CDC" w:rsidRPr="00CF60BA">
        <w:rPr>
          <w:szCs w:val="22"/>
        </w:rPr>
        <w:t xml:space="preserve">what </w:t>
      </w:r>
      <w:r w:rsidR="00DF1BC9" w:rsidRPr="00CF60BA">
        <w:rPr>
          <w:szCs w:val="22"/>
        </w:rPr>
        <w:t>market conditions or thresholds</w:t>
      </w:r>
      <w:r w:rsidR="00CC79A1" w:rsidRPr="00CF60BA">
        <w:rPr>
          <w:szCs w:val="22"/>
        </w:rPr>
        <w:t xml:space="preserve"> must be met for the</w:t>
      </w:r>
      <w:r w:rsidR="00B2002E" w:rsidRPr="00CF60BA">
        <w:rPr>
          <w:szCs w:val="22"/>
        </w:rPr>
        <w:t>ir adoption in</w:t>
      </w:r>
      <w:r w:rsidRPr="00CF60BA">
        <w:rPr>
          <w:szCs w:val="22"/>
        </w:rPr>
        <w:t xml:space="preserve"> California?</w:t>
      </w:r>
    </w:p>
    <w:p w14:paraId="4A24F3D3" w14:textId="5613EB95" w:rsidR="0056135C" w:rsidRPr="00CF60BA" w:rsidRDefault="00532348" w:rsidP="005243DB">
      <w:pPr>
        <w:pStyle w:val="ListParagraph"/>
        <w:numPr>
          <w:ilvl w:val="0"/>
          <w:numId w:val="103"/>
        </w:numPr>
        <w:rPr>
          <w:szCs w:val="22"/>
        </w:rPr>
      </w:pPr>
      <w:r w:rsidRPr="00CF60BA">
        <w:rPr>
          <w:szCs w:val="22"/>
        </w:rPr>
        <w:t>What</w:t>
      </w:r>
      <w:r w:rsidR="001209A0" w:rsidRPr="00CF60BA">
        <w:rPr>
          <w:szCs w:val="22"/>
        </w:rPr>
        <w:t xml:space="preserve"> </w:t>
      </w:r>
      <w:r w:rsidR="00C53A6B" w:rsidRPr="00CF60BA">
        <w:rPr>
          <w:szCs w:val="22"/>
        </w:rPr>
        <w:t xml:space="preserve">advancements in </w:t>
      </w:r>
      <w:r w:rsidR="001209A0" w:rsidRPr="00CF60BA">
        <w:rPr>
          <w:szCs w:val="22"/>
        </w:rPr>
        <w:t>existing and emerging</w:t>
      </w:r>
      <w:r w:rsidR="002336DB" w:rsidRPr="00CF60BA">
        <w:rPr>
          <w:szCs w:val="22"/>
        </w:rPr>
        <w:t xml:space="preserve"> </w:t>
      </w:r>
      <w:r w:rsidR="001209A0" w:rsidRPr="00CF60BA">
        <w:rPr>
          <w:szCs w:val="22"/>
        </w:rPr>
        <w:t xml:space="preserve">technologies, including key equipment and subcomponents, </w:t>
      </w:r>
      <w:r w:rsidR="0009555E" w:rsidRPr="00CF60BA">
        <w:rPr>
          <w:szCs w:val="22"/>
        </w:rPr>
        <w:t>can enable</w:t>
      </w:r>
      <w:r w:rsidR="00C53A6B" w:rsidRPr="00CF60BA">
        <w:rPr>
          <w:szCs w:val="22"/>
        </w:rPr>
        <w:t xml:space="preserve"> </w:t>
      </w:r>
      <w:r w:rsidR="0004749A" w:rsidRPr="00CF60BA">
        <w:rPr>
          <w:szCs w:val="22"/>
        </w:rPr>
        <w:t>cost-</w:t>
      </w:r>
      <w:r w:rsidR="0038146A" w:rsidRPr="00CF60BA">
        <w:rPr>
          <w:szCs w:val="22"/>
        </w:rPr>
        <w:t xml:space="preserve">competitive hydrogen production from renewable electricity </w:t>
      </w:r>
      <w:r w:rsidR="00A71E4C" w:rsidRPr="00CF60BA">
        <w:rPr>
          <w:szCs w:val="22"/>
        </w:rPr>
        <w:t>and end-use in electric sector applications</w:t>
      </w:r>
      <w:r w:rsidR="00DE7C51" w:rsidRPr="00CF60BA">
        <w:rPr>
          <w:szCs w:val="22"/>
        </w:rPr>
        <w:t>?</w:t>
      </w:r>
    </w:p>
    <w:p w14:paraId="1EA2C002" w14:textId="4E0C204D" w:rsidR="00B34FA9" w:rsidRPr="00CF60BA" w:rsidRDefault="00775639" w:rsidP="005243DB">
      <w:pPr>
        <w:pStyle w:val="ListParagraph"/>
        <w:numPr>
          <w:ilvl w:val="0"/>
          <w:numId w:val="103"/>
        </w:numPr>
        <w:rPr>
          <w:szCs w:val="22"/>
        </w:rPr>
      </w:pPr>
      <w:r w:rsidRPr="00CF60BA">
        <w:rPr>
          <w:szCs w:val="22"/>
        </w:rPr>
        <w:t xml:space="preserve">What are the </w:t>
      </w:r>
      <w:r w:rsidR="00B34FA9" w:rsidRPr="00CF60BA">
        <w:rPr>
          <w:szCs w:val="22"/>
        </w:rPr>
        <w:t>cost and</w:t>
      </w:r>
      <w:r w:rsidRPr="00CF60BA">
        <w:rPr>
          <w:szCs w:val="22"/>
        </w:rPr>
        <w:t xml:space="preserve"> </w:t>
      </w:r>
      <w:r w:rsidR="00B34FA9" w:rsidRPr="00CF60BA">
        <w:rPr>
          <w:szCs w:val="22"/>
        </w:rPr>
        <w:t>performance metrics for different technologies, equipment, and key subcomponents</w:t>
      </w:r>
      <w:r w:rsidR="00A242EF" w:rsidRPr="00CF60BA">
        <w:rPr>
          <w:szCs w:val="22"/>
        </w:rPr>
        <w:t xml:space="preserve"> </w:t>
      </w:r>
      <w:r w:rsidR="00A37E70" w:rsidRPr="00CF60BA">
        <w:rPr>
          <w:szCs w:val="22"/>
        </w:rPr>
        <w:t xml:space="preserve">for hydrogen production from renewable electricity and end-use in electric sector applications </w:t>
      </w:r>
      <w:r w:rsidR="00B34FA9" w:rsidRPr="00CF60BA">
        <w:rPr>
          <w:szCs w:val="22"/>
        </w:rPr>
        <w:t xml:space="preserve">as achieved today as well as targets </w:t>
      </w:r>
      <w:r w:rsidR="00CE007A" w:rsidRPr="00CF60BA">
        <w:rPr>
          <w:szCs w:val="22"/>
        </w:rPr>
        <w:t>over the near-term, mid-term, and long-term?</w:t>
      </w:r>
    </w:p>
    <w:p w14:paraId="109B6453" w14:textId="7B500D89" w:rsidR="00F06565" w:rsidRPr="00CF60BA" w:rsidRDefault="00775639" w:rsidP="005243DB">
      <w:pPr>
        <w:pStyle w:val="ListParagraph"/>
        <w:numPr>
          <w:ilvl w:val="0"/>
          <w:numId w:val="103"/>
        </w:numPr>
        <w:rPr>
          <w:szCs w:val="22"/>
        </w:rPr>
      </w:pPr>
      <w:r w:rsidRPr="00CF60BA">
        <w:rPr>
          <w:szCs w:val="22"/>
        </w:rPr>
        <w:t>How do</w:t>
      </w:r>
      <w:r w:rsidR="005B2DE1" w:rsidRPr="00CF60BA">
        <w:rPr>
          <w:szCs w:val="22"/>
        </w:rPr>
        <w:t>es</w:t>
      </w:r>
      <w:r w:rsidR="00F06565" w:rsidRPr="00CF60BA">
        <w:rPr>
          <w:szCs w:val="22"/>
        </w:rPr>
        <w:t xml:space="preserve"> hydrogen </w:t>
      </w:r>
      <w:r w:rsidR="008F797C" w:rsidRPr="00CF60BA">
        <w:rPr>
          <w:szCs w:val="22"/>
        </w:rPr>
        <w:t xml:space="preserve">in electric sector applications </w:t>
      </w:r>
      <w:r w:rsidRPr="00CF60BA">
        <w:rPr>
          <w:szCs w:val="22"/>
        </w:rPr>
        <w:t xml:space="preserve">compare </w:t>
      </w:r>
      <w:r w:rsidR="00F06565" w:rsidRPr="00CF60BA">
        <w:rPr>
          <w:szCs w:val="22"/>
        </w:rPr>
        <w:t xml:space="preserve">to </w:t>
      </w:r>
      <w:r w:rsidR="005B2DE1" w:rsidRPr="00CF60BA">
        <w:rPr>
          <w:szCs w:val="22"/>
        </w:rPr>
        <w:t xml:space="preserve">other </w:t>
      </w:r>
      <w:r w:rsidR="00F06565" w:rsidRPr="00CF60BA">
        <w:rPr>
          <w:szCs w:val="22"/>
        </w:rPr>
        <w:t>zero carbon technologies</w:t>
      </w:r>
      <w:r w:rsidR="00024CC2" w:rsidRPr="00CF60BA">
        <w:rPr>
          <w:szCs w:val="22"/>
        </w:rPr>
        <w:t xml:space="preserve"> (</w:t>
      </w:r>
      <w:r w:rsidR="009724AC">
        <w:rPr>
          <w:szCs w:val="22"/>
        </w:rPr>
        <w:t>[</w:t>
      </w:r>
      <w:r w:rsidR="00024CC2" w:rsidRPr="005243DB">
        <w:rPr>
          <w:strike/>
          <w:szCs w:val="22"/>
        </w:rPr>
        <w:t>for example</w:t>
      </w:r>
      <w:r w:rsidR="009724AC">
        <w:rPr>
          <w:szCs w:val="22"/>
        </w:rPr>
        <w:t>]</w:t>
      </w:r>
      <w:r w:rsidR="009276A5" w:rsidRPr="005243DB">
        <w:rPr>
          <w:b/>
          <w:bCs/>
          <w:szCs w:val="22"/>
          <w:u w:val="single"/>
        </w:rPr>
        <w:t>e.g.</w:t>
      </w:r>
      <w:r w:rsidR="00024CC2" w:rsidRPr="00CF60BA">
        <w:rPr>
          <w:szCs w:val="22"/>
        </w:rPr>
        <w:t xml:space="preserve">, </w:t>
      </w:r>
      <w:r w:rsidR="004922CA" w:rsidRPr="00CF60BA">
        <w:rPr>
          <w:szCs w:val="22"/>
        </w:rPr>
        <w:t xml:space="preserve">flow batteries or alternative chemistries for </w:t>
      </w:r>
      <w:r w:rsidR="00024CC2" w:rsidRPr="00CF60BA">
        <w:rPr>
          <w:szCs w:val="22"/>
        </w:rPr>
        <w:t>long duration energy storage)</w:t>
      </w:r>
      <w:r w:rsidR="00F06565" w:rsidRPr="00CF60BA">
        <w:rPr>
          <w:szCs w:val="22"/>
        </w:rPr>
        <w:t xml:space="preserve"> for </w:t>
      </w:r>
      <w:r w:rsidR="00AD4A95" w:rsidRPr="00CF60BA">
        <w:rPr>
          <w:szCs w:val="22"/>
        </w:rPr>
        <w:t>meeting reliability requirements and achieving SB 100 targets</w:t>
      </w:r>
      <w:r w:rsidR="00CE007A" w:rsidRPr="00CF60BA">
        <w:rPr>
          <w:szCs w:val="22"/>
        </w:rPr>
        <w:t>?</w:t>
      </w:r>
    </w:p>
    <w:p w14:paraId="12A45D00" w14:textId="4D4D0235" w:rsidR="0096609D" w:rsidRPr="00CF60BA" w:rsidRDefault="0096609D" w:rsidP="005243DB">
      <w:pPr>
        <w:pStyle w:val="ListParagraph"/>
        <w:numPr>
          <w:ilvl w:val="0"/>
          <w:numId w:val="103"/>
        </w:numPr>
        <w:rPr>
          <w:szCs w:val="22"/>
        </w:rPr>
      </w:pPr>
      <w:r w:rsidRPr="00CF60BA">
        <w:rPr>
          <w:szCs w:val="22"/>
        </w:rPr>
        <w:t>What are the infrastructure requirements</w:t>
      </w:r>
      <w:r w:rsidR="00B32737" w:rsidRPr="00CF60BA">
        <w:rPr>
          <w:szCs w:val="22"/>
        </w:rPr>
        <w:t xml:space="preserve"> and </w:t>
      </w:r>
      <w:r w:rsidR="00AD4A95" w:rsidRPr="00CF60BA">
        <w:rPr>
          <w:szCs w:val="22"/>
        </w:rPr>
        <w:t xml:space="preserve">associated </w:t>
      </w:r>
      <w:r w:rsidR="001370EA" w:rsidRPr="00CF60BA">
        <w:rPr>
          <w:szCs w:val="22"/>
        </w:rPr>
        <w:t>cost</w:t>
      </w:r>
      <w:r w:rsidR="00AD4A95" w:rsidRPr="00CF60BA">
        <w:rPr>
          <w:szCs w:val="22"/>
        </w:rPr>
        <w:t>s</w:t>
      </w:r>
      <w:r w:rsidR="001370EA" w:rsidRPr="00CF60BA">
        <w:rPr>
          <w:szCs w:val="22"/>
        </w:rPr>
        <w:t xml:space="preserve"> of</w:t>
      </w:r>
      <w:r w:rsidRPr="00CF60BA">
        <w:rPr>
          <w:szCs w:val="22"/>
        </w:rPr>
        <w:t xml:space="preserve"> </w:t>
      </w:r>
      <w:r w:rsidR="00B32737" w:rsidRPr="00CF60BA">
        <w:rPr>
          <w:szCs w:val="22"/>
        </w:rPr>
        <w:t xml:space="preserve">hydrogen </w:t>
      </w:r>
      <w:r w:rsidRPr="00CF60BA">
        <w:rPr>
          <w:szCs w:val="22"/>
        </w:rPr>
        <w:t xml:space="preserve">storage </w:t>
      </w:r>
      <w:r w:rsidR="00B32737" w:rsidRPr="00CF60BA">
        <w:rPr>
          <w:szCs w:val="22"/>
        </w:rPr>
        <w:t xml:space="preserve">and delivery </w:t>
      </w:r>
      <w:r w:rsidRPr="00CF60BA">
        <w:rPr>
          <w:szCs w:val="22"/>
        </w:rPr>
        <w:t>for different electric sector applications?</w:t>
      </w:r>
    </w:p>
    <w:p w14:paraId="416687A4" w14:textId="424006CF" w:rsidR="002C68F7" w:rsidRPr="00CF60BA" w:rsidRDefault="006F0C26" w:rsidP="005243DB">
      <w:pPr>
        <w:pStyle w:val="ListParagraph"/>
        <w:numPr>
          <w:ilvl w:val="0"/>
          <w:numId w:val="103"/>
        </w:numPr>
        <w:rPr>
          <w:szCs w:val="22"/>
        </w:rPr>
      </w:pPr>
      <w:r w:rsidRPr="00CF60BA">
        <w:rPr>
          <w:szCs w:val="22"/>
        </w:rPr>
        <w:t xml:space="preserve">What are the </w:t>
      </w:r>
      <w:r w:rsidR="00C6744C" w:rsidRPr="00CF60BA">
        <w:rPr>
          <w:szCs w:val="22"/>
        </w:rPr>
        <w:t xml:space="preserve">environmental </w:t>
      </w:r>
      <w:r w:rsidR="00C53A6B" w:rsidRPr="00CF60BA">
        <w:rPr>
          <w:szCs w:val="22"/>
        </w:rPr>
        <w:t xml:space="preserve">impacts and </w:t>
      </w:r>
      <w:r w:rsidR="00755C3A" w:rsidRPr="00CF60BA">
        <w:rPr>
          <w:szCs w:val="22"/>
        </w:rPr>
        <w:t xml:space="preserve">available </w:t>
      </w:r>
      <w:r w:rsidR="00C86337" w:rsidRPr="00CF60BA">
        <w:rPr>
          <w:szCs w:val="22"/>
        </w:rPr>
        <w:t>mitigation strategies for</w:t>
      </w:r>
      <w:r w:rsidR="00A957DF" w:rsidRPr="00CF60BA">
        <w:rPr>
          <w:szCs w:val="22"/>
        </w:rPr>
        <w:t xml:space="preserve"> different technologies</w:t>
      </w:r>
      <w:r w:rsidR="0068163A" w:rsidRPr="00CF60BA">
        <w:rPr>
          <w:szCs w:val="22"/>
        </w:rPr>
        <w:t xml:space="preserve"> for hydrogen production from renewable electricity and end-use in electric sector applications</w:t>
      </w:r>
      <w:r w:rsidRPr="00CF60BA">
        <w:rPr>
          <w:szCs w:val="22"/>
        </w:rPr>
        <w:t>,</w:t>
      </w:r>
      <w:r w:rsidR="00A957DF" w:rsidRPr="00CF60BA">
        <w:rPr>
          <w:szCs w:val="22"/>
        </w:rPr>
        <w:t xml:space="preserve"> including potential</w:t>
      </w:r>
      <w:r w:rsidR="00744468" w:rsidRPr="00CF60BA">
        <w:rPr>
          <w:szCs w:val="22"/>
        </w:rPr>
        <w:t xml:space="preserve"> hydrogen leakage and associated global </w:t>
      </w:r>
      <w:r w:rsidR="006F1F75" w:rsidRPr="00CF60BA">
        <w:rPr>
          <w:szCs w:val="22"/>
        </w:rPr>
        <w:t xml:space="preserve">warming </w:t>
      </w:r>
      <w:r w:rsidR="000E6DA2" w:rsidRPr="00CF60BA">
        <w:rPr>
          <w:szCs w:val="22"/>
        </w:rPr>
        <w:t>potential,</w:t>
      </w:r>
      <w:r w:rsidR="00A957DF" w:rsidRPr="00CF60BA">
        <w:rPr>
          <w:szCs w:val="22"/>
        </w:rPr>
        <w:t xml:space="preserve"> emissions </w:t>
      </w:r>
      <w:r w:rsidR="00305F8E" w:rsidRPr="00CF60BA">
        <w:rPr>
          <w:szCs w:val="22"/>
        </w:rPr>
        <w:t>of nitrogen oxides (NOx)</w:t>
      </w:r>
      <w:r w:rsidR="00A957DF" w:rsidRPr="00CF60BA">
        <w:rPr>
          <w:szCs w:val="22"/>
        </w:rPr>
        <w:t xml:space="preserve"> from combustion</w:t>
      </w:r>
      <w:r w:rsidR="000E6DA2" w:rsidRPr="00CF60BA">
        <w:rPr>
          <w:szCs w:val="22"/>
        </w:rPr>
        <w:t>,</w:t>
      </w:r>
      <w:r w:rsidR="00A957DF" w:rsidRPr="00CF60BA">
        <w:rPr>
          <w:szCs w:val="22"/>
        </w:rPr>
        <w:t xml:space="preserve"> and water requirements for electrolysis</w:t>
      </w:r>
      <w:r w:rsidR="00CE007A" w:rsidRPr="00CF60BA">
        <w:rPr>
          <w:szCs w:val="22"/>
        </w:rPr>
        <w:t>?</w:t>
      </w:r>
    </w:p>
    <w:p w14:paraId="2FE8EF8A" w14:textId="0DEA1EC5" w:rsidR="00EB0278" w:rsidRPr="00CF60BA" w:rsidRDefault="00EB0278" w:rsidP="005243DB">
      <w:pPr>
        <w:pStyle w:val="ListParagraph"/>
        <w:numPr>
          <w:ilvl w:val="0"/>
          <w:numId w:val="103"/>
        </w:numPr>
      </w:pPr>
      <w:r w:rsidRPr="00CF60BA">
        <w:t xml:space="preserve">What </w:t>
      </w:r>
      <w:r w:rsidR="00430B05" w:rsidRPr="00CF60BA">
        <w:t>research recommendations</w:t>
      </w:r>
      <w:r w:rsidR="005B0F69" w:rsidRPr="00CF60BA">
        <w:t>,</w:t>
      </w:r>
      <w:r w:rsidR="00430B05" w:rsidRPr="00CF60BA">
        <w:t xml:space="preserve"> </w:t>
      </w:r>
      <w:r w:rsidR="00CA7581" w:rsidRPr="00CF60BA">
        <w:t>with associated metrics and targets</w:t>
      </w:r>
      <w:r w:rsidR="005B0F69" w:rsidRPr="00CF60BA">
        <w:t>,</w:t>
      </w:r>
      <w:r w:rsidR="00CA7581" w:rsidRPr="00CF60BA">
        <w:t xml:space="preserve"> should be</w:t>
      </w:r>
      <w:r w:rsidRPr="00CF60BA">
        <w:t xml:space="preserve"> prioritized by the EPIC Program </w:t>
      </w:r>
      <w:r w:rsidR="008706D0" w:rsidRPr="00CF60BA">
        <w:t>over the near-term, mid-term, and long-term to help enable cost-competitive hydrogen production</w:t>
      </w:r>
      <w:r w:rsidR="00754DD2" w:rsidRPr="00CF60BA">
        <w:t xml:space="preserve"> from renewable electricity</w:t>
      </w:r>
      <w:r w:rsidR="008706D0" w:rsidRPr="00CF60BA">
        <w:t xml:space="preserve"> and end-use in electric sector applications?</w:t>
      </w:r>
    </w:p>
    <w:p w14:paraId="1DB127B3" w14:textId="221AE895" w:rsidR="00A5300A" w:rsidRPr="005030D4" w:rsidRDefault="006E1EBE" w:rsidP="005243DB">
      <w:pPr>
        <w:ind w:left="720"/>
        <w:rPr>
          <w:szCs w:val="22"/>
        </w:rPr>
      </w:pPr>
      <w:r w:rsidRPr="005030D4">
        <w:rPr>
          <w:szCs w:val="22"/>
        </w:rPr>
        <w:t xml:space="preserve">In developing research recommendations, note that </w:t>
      </w:r>
      <w:r w:rsidR="005553F9" w:rsidRPr="005030D4">
        <w:rPr>
          <w:szCs w:val="22"/>
        </w:rPr>
        <w:t>projects</w:t>
      </w:r>
      <w:r w:rsidR="00D55FC9" w:rsidRPr="005030D4">
        <w:rPr>
          <w:szCs w:val="22"/>
        </w:rPr>
        <w:t xml:space="preserve"> funded by the EPIC Program fall into the following categories.</w:t>
      </w:r>
    </w:p>
    <w:p w14:paraId="1373DA4E" w14:textId="58E4765F" w:rsidR="00830619" w:rsidRPr="00CF60BA" w:rsidRDefault="00830619" w:rsidP="005243DB">
      <w:pPr>
        <w:pStyle w:val="ListParagraph"/>
        <w:numPr>
          <w:ilvl w:val="1"/>
          <w:numId w:val="103"/>
        </w:numPr>
        <w:rPr>
          <w:szCs w:val="22"/>
        </w:rPr>
      </w:pPr>
      <w:r w:rsidRPr="00CF60BA">
        <w:rPr>
          <w:szCs w:val="22"/>
        </w:rPr>
        <w:t xml:space="preserve">Applied Research and Development: Projects where the primary goal is to advance the state of a technology or set of technologies through the development of applications, processes, or products involving scientific or engineering interventions to optimize components, systems, or subsystems. </w:t>
      </w:r>
    </w:p>
    <w:p w14:paraId="5E8AAEC3" w14:textId="4B903569" w:rsidR="00830619" w:rsidRPr="00CF60BA" w:rsidRDefault="00830619" w:rsidP="005243DB">
      <w:pPr>
        <w:pStyle w:val="ListParagraph"/>
        <w:numPr>
          <w:ilvl w:val="1"/>
          <w:numId w:val="103"/>
        </w:numPr>
        <w:rPr>
          <w:szCs w:val="22"/>
        </w:rPr>
      </w:pPr>
      <w:r w:rsidRPr="00CF60BA">
        <w:rPr>
          <w:szCs w:val="22"/>
        </w:rPr>
        <w:t>Technology Demonstration and Deployment: Projects where the primary goal is to demonstrate and validate the performance of a final-form (or near final-form) technology or system in a real world, operational environment.</w:t>
      </w:r>
    </w:p>
    <w:p w14:paraId="095F532C" w14:textId="617795B2" w:rsidR="00830619" w:rsidRPr="00CF60BA" w:rsidRDefault="00830619" w:rsidP="005243DB">
      <w:pPr>
        <w:pStyle w:val="ListParagraph"/>
        <w:numPr>
          <w:ilvl w:val="1"/>
          <w:numId w:val="103"/>
        </w:numPr>
        <w:rPr>
          <w:szCs w:val="22"/>
        </w:rPr>
      </w:pPr>
      <w:r w:rsidRPr="00CF60BA">
        <w:rPr>
          <w:szCs w:val="22"/>
        </w:rPr>
        <w:t xml:space="preserve">Scientific and Techno-Economic Analysis: Projects where the primary output is knowledge gained. These projects may generate new technical/scientific knowledge and/or provide publicly available tools that will primarily be used to </w:t>
      </w:r>
      <w:r w:rsidRPr="00CF60BA">
        <w:rPr>
          <w:szCs w:val="22"/>
        </w:rPr>
        <w:lastRenderedPageBreak/>
        <w:t xml:space="preserve">optimize decision-making and inform energy policy, planning, and public services. </w:t>
      </w:r>
    </w:p>
    <w:p w14:paraId="0DB2AE35" w14:textId="29067AC7" w:rsidR="005F393E" w:rsidRPr="00CF60BA" w:rsidRDefault="00830619" w:rsidP="005243DB">
      <w:pPr>
        <w:pStyle w:val="ListParagraph"/>
        <w:numPr>
          <w:ilvl w:val="1"/>
          <w:numId w:val="103"/>
        </w:numPr>
        <w:rPr>
          <w:szCs w:val="22"/>
        </w:rPr>
      </w:pPr>
      <w:r w:rsidRPr="00CF60BA">
        <w:rPr>
          <w:szCs w:val="22"/>
        </w:rPr>
        <w:t>Market Facilitation: Projects where the primary goal is to identify and address non-technical barriers to deployment of clean energy products and services for the purpose of stimulating the creation and growth of markets.</w:t>
      </w:r>
    </w:p>
    <w:p w14:paraId="2F362E98" w14:textId="4FB69B52" w:rsidR="00CE7192" w:rsidRPr="00CF60BA" w:rsidRDefault="00CE7192" w:rsidP="005243DB">
      <w:pPr>
        <w:pStyle w:val="ListParagraph"/>
        <w:numPr>
          <w:ilvl w:val="0"/>
          <w:numId w:val="103"/>
        </w:numPr>
        <w:rPr>
          <w:szCs w:val="22"/>
        </w:rPr>
      </w:pPr>
      <w:r w:rsidRPr="00CF60BA">
        <w:rPr>
          <w:szCs w:val="22"/>
        </w:rPr>
        <w:t>How do the research recommendations align with EPIC Program goals and support other complementary hydrogen programs?</w:t>
      </w:r>
    </w:p>
    <w:p w14:paraId="6D13382C" w14:textId="1AD463DF" w:rsidR="00CE7192" w:rsidRPr="00CF60BA" w:rsidRDefault="00CE7192" w:rsidP="00CE7192">
      <w:pPr>
        <w:rPr>
          <w:szCs w:val="22"/>
        </w:rPr>
      </w:pPr>
      <w:r w:rsidRPr="00CF60BA">
        <w:rPr>
          <w:szCs w:val="22"/>
        </w:rPr>
        <w:t xml:space="preserve">Applicants must disclose any actual or perceived conflict of interest that might impact the applicant’s ability to perform objective technology assessments and formulate unbiased recommendations. Applicants are encouraged to consult with a broad range of stakeholders including California gas and electric utilities, hydrogen producers, potential large-volume end-users, technology developers and manufacturers along the supply chain, researchers in academia and national labs, and community-based organizations. </w:t>
      </w:r>
    </w:p>
    <w:p w14:paraId="32F76C6B" w14:textId="2EADA555" w:rsidR="00B47896" w:rsidRPr="00756BAC" w:rsidRDefault="00B47896" w:rsidP="00B47896">
      <w:pPr>
        <w:pStyle w:val="Heading2"/>
        <w:numPr>
          <w:ilvl w:val="0"/>
          <w:numId w:val="71"/>
        </w:numPr>
      </w:pPr>
      <w:bookmarkStart w:id="21" w:name="_Toc108697462"/>
      <w:bookmarkStart w:id="22" w:name="_Toc108697463"/>
      <w:bookmarkStart w:id="23" w:name="_Toc121842073"/>
      <w:bookmarkEnd w:id="20"/>
      <w:bookmarkEnd w:id="21"/>
      <w:bookmarkEnd w:id="22"/>
      <w:r w:rsidRPr="00756BAC">
        <w:t>Funding</w:t>
      </w:r>
      <w:bookmarkEnd w:id="19"/>
      <w:bookmarkEnd w:id="23"/>
    </w:p>
    <w:p w14:paraId="59071079" w14:textId="77777777" w:rsidR="00B47896" w:rsidRPr="003F6147" w:rsidRDefault="00B47896" w:rsidP="00B47896">
      <w:pPr>
        <w:numPr>
          <w:ilvl w:val="0"/>
          <w:numId w:val="67"/>
        </w:numPr>
        <w:jc w:val="both"/>
        <w:rPr>
          <w:b/>
        </w:rPr>
      </w:pPr>
      <w:bookmarkStart w:id="24" w:name="_Toc381079878"/>
      <w:bookmarkStart w:id="25" w:name="_Toc382571140"/>
      <w:bookmarkStart w:id="26" w:name="_Toc395180637"/>
      <w:bookmarkStart w:id="27" w:name="_Toc433981282"/>
      <w:r w:rsidRPr="003F6147">
        <w:rPr>
          <w:b/>
        </w:rPr>
        <w:t>Amount Available and Minimum/ Maximum Funding Amounts</w:t>
      </w:r>
      <w:bookmarkEnd w:id="24"/>
      <w:bookmarkEnd w:id="25"/>
      <w:bookmarkEnd w:id="26"/>
      <w:bookmarkEnd w:id="27"/>
    </w:p>
    <w:p w14:paraId="7F0FD65B" w14:textId="559A4788" w:rsidR="00B47896" w:rsidRPr="003F6147" w:rsidRDefault="00B47896" w:rsidP="00B47896">
      <w:pPr>
        <w:jc w:val="both"/>
      </w:pPr>
      <w:bookmarkStart w:id="28" w:name="_Toc381079880"/>
      <w:bookmarkStart w:id="29" w:name="_Toc382571142"/>
      <w:bookmarkStart w:id="30" w:name="_Toc395180639"/>
      <w:bookmarkStart w:id="31" w:name="_Toc433981284"/>
      <w:r w:rsidRPr="003F6147">
        <w:t xml:space="preserve">There is </w:t>
      </w:r>
      <w:r w:rsidRPr="00512955">
        <w:rPr>
          <w:b/>
        </w:rPr>
        <w:t>up to $</w:t>
      </w:r>
      <w:r w:rsidRPr="009D09D1">
        <w:rPr>
          <w:b/>
        </w:rPr>
        <w:t>800,000</w:t>
      </w:r>
      <w:r w:rsidRPr="009D09D1">
        <w:t xml:space="preserve"> </w:t>
      </w:r>
      <w:r w:rsidRPr="003F6147">
        <w:t xml:space="preserve">available for grants awarded under this solicitation.  The </w:t>
      </w:r>
      <w:r w:rsidRPr="00512955">
        <w:t xml:space="preserve">minimum </w:t>
      </w:r>
      <w:r w:rsidRPr="003F6147">
        <w:t xml:space="preserve">funding amount for each project </w:t>
      </w:r>
      <w:r w:rsidRPr="009D09D1">
        <w:t>is</w:t>
      </w:r>
      <w:r w:rsidRPr="009D09D1">
        <w:rPr>
          <w:b/>
        </w:rPr>
        <w:t xml:space="preserve"> $</w:t>
      </w:r>
      <w:r w:rsidR="00A2053B" w:rsidRPr="009D09D1">
        <w:rPr>
          <w:b/>
        </w:rPr>
        <w:t>400</w:t>
      </w:r>
      <w:r w:rsidRPr="009D09D1">
        <w:rPr>
          <w:b/>
        </w:rPr>
        <w:t>,000</w:t>
      </w:r>
      <w:r w:rsidRPr="009D09D1">
        <w:t xml:space="preserve">.  </w:t>
      </w:r>
      <w:r w:rsidRPr="003F6147">
        <w:t xml:space="preserve">The </w:t>
      </w:r>
      <w:r w:rsidRPr="00512955">
        <w:t xml:space="preserve">maximum </w:t>
      </w:r>
      <w:r w:rsidRPr="003F6147">
        <w:t xml:space="preserve">funding amount is </w:t>
      </w:r>
      <w:r w:rsidRPr="00512955">
        <w:rPr>
          <w:b/>
        </w:rPr>
        <w:t>$</w:t>
      </w:r>
      <w:bookmarkEnd w:id="28"/>
      <w:bookmarkEnd w:id="29"/>
      <w:bookmarkEnd w:id="30"/>
      <w:bookmarkEnd w:id="31"/>
      <w:r w:rsidRPr="009D09D1">
        <w:rPr>
          <w:b/>
        </w:rPr>
        <w:t>800,000.</w:t>
      </w:r>
    </w:p>
    <w:p w14:paraId="2FDC70FB" w14:textId="77777777" w:rsidR="00B47896" w:rsidRPr="003F6147" w:rsidRDefault="00B47896" w:rsidP="00B47896">
      <w:pPr>
        <w:numPr>
          <w:ilvl w:val="0"/>
          <w:numId w:val="67"/>
        </w:numPr>
        <w:jc w:val="both"/>
        <w:rPr>
          <w:b/>
          <w:szCs w:val="22"/>
        </w:rPr>
      </w:pPr>
      <w:r w:rsidRPr="003F6147">
        <w:rPr>
          <w:b/>
        </w:rPr>
        <w:t>Match Funding Requirement</w:t>
      </w:r>
    </w:p>
    <w:p w14:paraId="36E72394" w14:textId="10E8D41A" w:rsidR="00B47896" w:rsidRDefault="00B47896" w:rsidP="00B47896">
      <w:pPr>
        <w:tabs>
          <w:tab w:val="left" w:pos="1170"/>
        </w:tabs>
        <w:spacing w:after="240"/>
        <w:jc w:val="both"/>
        <w:rPr>
          <w:szCs w:val="22"/>
        </w:rPr>
      </w:pPr>
      <w:r w:rsidRPr="003F6147">
        <w:rPr>
          <w:szCs w:val="22"/>
        </w:rPr>
        <w:t>Match funding is required in the amount of at least</w:t>
      </w:r>
      <w:r w:rsidRPr="003F6147">
        <w:rPr>
          <w:color w:val="0070C0"/>
          <w:szCs w:val="22"/>
        </w:rPr>
        <w:t xml:space="preserve"> </w:t>
      </w:r>
      <w:r w:rsidRPr="006D2C5A">
        <w:rPr>
          <w:b/>
          <w:szCs w:val="22"/>
        </w:rPr>
        <w:t>10</w:t>
      </w:r>
      <w:r w:rsidR="004630B3">
        <w:rPr>
          <w:b/>
          <w:szCs w:val="22"/>
        </w:rPr>
        <w:t>%</w:t>
      </w:r>
      <w:r w:rsidR="0056249B">
        <w:rPr>
          <w:b/>
          <w:szCs w:val="22"/>
        </w:rPr>
        <w:t xml:space="preserve"> </w:t>
      </w:r>
      <w:r>
        <w:rPr>
          <w:szCs w:val="22"/>
        </w:rPr>
        <w:t xml:space="preserve">of the requested </w:t>
      </w:r>
      <w:r w:rsidRPr="003F6147">
        <w:rPr>
          <w:szCs w:val="22"/>
        </w:rPr>
        <w:t>project funds.</w:t>
      </w:r>
      <w:r>
        <w:rPr>
          <w:szCs w:val="22"/>
        </w:rPr>
        <w:t xml:space="preserve"> </w:t>
      </w:r>
      <w:r w:rsidRPr="003F6147">
        <w:rPr>
          <w:szCs w:val="22"/>
        </w:rPr>
        <w:t xml:space="preserve">For the definition of match funding see Section </w:t>
      </w:r>
      <w:r>
        <w:rPr>
          <w:szCs w:val="22"/>
        </w:rPr>
        <w:t>I K</w:t>
      </w:r>
      <w:r w:rsidRPr="003F6147">
        <w:rPr>
          <w:szCs w:val="22"/>
        </w:rPr>
        <w:t>.</w:t>
      </w:r>
    </w:p>
    <w:p w14:paraId="5C4CA8CD" w14:textId="77777777" w:rsidR="00B47896" w:rsidRPr="003F6147" w:rsidRDefault="00B47896" w:rsidP="00B47896">
      <w:pPr>
        <w:numPr>
          <w:ilvl w:val="0"/>
          <w:numId w:val="67"/>
        </w:numPr>
        <w:jc w:val="both"/>
      </w:pPr>
      <w:r w:rsidRPr="003F6147">
        <w:rPr>
          <w:b/>
        </w:rPr>
        <w:t>Change in Funding Amount</w:t>
      </w:r>
    </w:p>
    <w:p w14:paraId="03F4979E" w14:textId="77777777" w:rsidR="00B47896" w:rsidRPr="005B073B" w:rsidRDefault="00B47896" w:rsidP="00B47896">
      <w:pPr>
        <w:tabs>
          <w:tab w:val="left" w:pos="1170"/>
        </w:tabs>
        <w:jc w:val="both"/>
        <w:rPr>
          <w:szCs w:val="22"/>
        </w:rPr>
      </w:pPr>
      <w:r w:rsidRPr="005B073B">
        <w:rPr>
          <w:szCs w:val="22"/>
        </w:rPr>
        <w:t>Along with any other rights and remedies available to it, the California Energy Commission (CEC) reserves the right to:</w:t>
      </w:r>
    </w:p>
    <w:p w14:paraId="59694564" w14:textId="77777777" w:rsidR="00B47896" w:rsidRPr="003F6147" w:rsidRDefault="00B47896" w:rsidP="00B47896">
      <w:pPr>
        <w:numPr>
          <w:ilvl w:val="0"/>
          <w:numId w:val="70"/>
        </w:numPr>
        <w:spacing w:after="0"/>
        <w:ind w:left="720"/>
        <w:jc w:val="both"/>
      </w:pPr>
      <w:r w:rsidRPr="003F6147">
        <w:t>Increase or decrease the available funding and the minimum/maximum award amounts described in this section.</w:t>
      </w:r>
    </w:p>
    <w:p w14:paraId="3697E1A0" w14:textId="77777777" w:rsidR="00B47896" w:rsidRPr="003F6147" w:rsidRDefault="00B47896" w:rsidP="00B47896">
      <w:pPr>
        <w:numPr>
          <w:ilvl w:val="0"/>
          <w:numId w:val="70"/>
        </w:numPr>
        <w:spacing w:after="0"/>
        <w:ind w:left="720"/>
        <w:jc w:val="both"/>
      </w:pPr>
      <w:r w:rsidRPr="003F6147">
        <w:t>Allocate any additional or unawarded funds to passing applications, in rank order.</w:t>
      </w:r>
    </w:p>
    <w:p w14:paraId="7BB777DC" w14:textId="0ADA4ED9" w:rsidR="00B47896" w:rsidRPr="003F6147" w:rsidRDefault="00B47896" w:rsidP="00B47896">
      <w:pPr>
        <w:numPr>
          <w:ilvl w:val="0"/>
          <w:numId w:val="70"/>
        </w:numPr>
        <w:spacing w:after="0"/>
        <w:ind w:left="720"/>
        <w:jc w:val="both"/>
      </w:pPr>
      <w:r w:rsidRPr="003F6147">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487E30BA" w14:textId="77777777" w:rsidR="00B47896" w:rsidRPr="003F6147" w:rsidRDefault="00B47896" w:rsidP="00B47896">
      <w:pPr>
        <w:spacing w:after="0"/>
        <w:ind w:left="720"/>
        <w:jc w:val="both"/>
      </w:pPr>
    </w:p>
    <w:p w14:paraId="2C202883" w14:textId="77777777" w:rsidR="00B47896" w:rsidRPr="00756BAC" w:rsidRDefault="00B47896" w:rsidP="00B47896">
      <w:pPr>
        <w:pStyle w:val="Heading2"/>
        <w:numPr>
          <w:ilvl w:val="0"/>
          <w:numId w:val="71"/>
        </w:numPr>
      </w:pPr>
      <w:bookmarkStart w:id="32" w:name="_Toc458602325"/>
      <w:bookmarkStart w:id="33" w:name="_Toc121842074"/>
      <w:r w:rsidRPr="00756BAC">
        <w:t>Key Activities Schedule</w:t>
      </w:r>
      <w:bookmarkEnd w:id="32"/>
      <w:bookmarkEnd w:id="33"/>
    </w:p>
    <w:p w14:paraId="68BEF45E" w14:textId="77777777" w:rsidR="00B47896" w:rsidRPr="003F6147" w:rsidRDefault="00B47896" w:rsidP="00B47896">
      <w:pPr>
        <w:spacing w:after="0"/>
        <w:jc w:val="both"/>
        <w:rPr>
          <w:color w:val="00B0F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00B19EA2" w14:textId="77777777" w:rsidR="00B47896" w:rsidRPr="003F6147" w:rsidRDefault="00B47896" w:rsidP="00B47896">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4405"/>
        <w:gridCol w:w="3960"/>
        <w:gridCol w:w="1445"/>
      </w:tblGrid>
      <w:tr w:rsidR="00B47896" w:rsidRPr="007058BD" w14:paraId="08E82DDD" w14:textId="77777777" w:rsidTr="0059108F">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4405" w:type="dxa"/>
          </w:tcPr>
          <w:p w14:paraId="391F5038" w14:textId="77777777" w:rsidR="00B47896" w:rsidRPr="007058BD" w:rsidRDefault="00B47896" w:rsidP="008A645F">
            <w:pPr>
              <w:keepNext/>
              <w:keepLines/>
              <w:widowControl w:val="0"/>
              <w:rPr>
                <w:b w:val="0"/>
                <w:sz w:val="22"/>
                <w:szCs w:val="22"/>
              </w:rPr>
            </w:pPr>
            <w:r w:rsidRPr="007058BD">
              <w:rPr>
                <w:b w:val="0"/>
                <w:sz w:val="22"/>
                <w:szCs w:val="22"/>
              </w:rPr>
              <w:lastRenderedPageBreak/>
              <w:t>ACTIVITY</w:t>
            </w:r>
          </w:p>
        </w:tc>
        <w:tc>
          <w:tcPr>
            <w:tcW w:w="3960" w:type="dxa"/>
          </w:tcPr>
          <w:p w14:paraId="015543FF" w14:textId="77777777" w:rsidR="00B47896" w:rsidRPr="007058BD" w:rsidRDefault="00B47896" w:rsidP="008A645F">
            <w:pPr>
              <w:keepNext/>
              <w:keepLines/>
              <w:widowControl w:val="0"/>
              <w:cnfStyle w:val="100000000000" w:firstRow="1" w:lastRow="0" w:firstColumn="0" w:lastColumn="0" w:oddVBand="0" w:evenVBand="0" w:oddHBand="0" w:evenHBand="0" w:firstRowFirstColumn="0" w:firstRowLastColumn="0" w:lastRowFirstColumn="0" w:lastRowLastColumn="0"/>
              <w:rPr>
                <w:b w:val="0"/>
                <w:sz w:val="22"/>
                <w:szCs w:val="22"/>
              </w:rPr>
            </w:pPr>
            <w:r w:rsidRPr="007058BD">
              <w:rPr>
                <w:b w:val="0"/>
                <w:sz w:val="22"/>
                <w:szCs w:val="22"/>
              </w:rPr>
              <w:t>DATE</w:t>
            </w:r>
          </w:p>
        </w:tc>
        <w:tc>
          <w:tcPr>
            <w:cnfStyle w:val="000010000000" w:firstRow="0" w:lastRow="0" w:firstColumn="0" w:lastColumn="0" w:oddVBand="1" w:evenVBand="0" w:oddHBand="0" w:evenHBand="0" w:firstRowFirstColumn="0" w:firstRowLastColumn="0" w:lastRowFirstColumn="0" w:lastRowLastColumn="0"/>
            <w:tcW w:w="1445" w:type="dxa"/>
          </w:tcPr>
          <w:p w14:paraId="3F1E4FCC" w14:textId="77777777" w:rsidR="00B47896" w:rsidRPr="007058BD" w:rsidDel="00D53B51" w:rsidRDefault="00B47896" w:rsidP="008A645F">
            <w:pPr>
              <w:keepNext/>
              <w:keepLines/>
              <w:widowControl w:val="0"/>
              <w:spacing w:after="0"/>
              <w:rPr>
                <w:b w:val="0"/>
                <w:sz w:val="22"/>
                <w:szCs w:val="22"/>
              </w:rPr>
            </w:pPr>
            <w:r w:rsidRPr="007058BD">
              <w:rPr>
                <w:b w:val="0"/>
                <w:sz w:val="22"/>
                <w:szCs w:val="22"/>
              </w:rPr>
              <w:t>TIME</w:t>
            </w:r>
            <w:r w:rsidRPr="007058BD">
              <w:rPr>
                <w:rFonts w:cs="Times New Roman"/>
                <w:b w:val="0"/>
                <w:sz w:val="22"/>
                <w:szCs w:val="22"/>
                <w:vertAlign w:val="superscript"/>
              </w:rPr>
              <w:footnoteReference w:id="9"/>
            </w:r>
            <w:r w:rsidRPr="007058BD">
              <w:rPr>
                <w:b w:val="0"/>
                <w:sz w:val="22"/>
                <w:szCs w:val="22"/>
              </w:rPr>
              <w:t xml:space="preserve"> </w:t>
            </w:r>
          </w:p>
        </w:tc>
      </w:tr>
      <w:tr w:rsidR="00B47896" w:rsidRPr="007058BD" w14:paraId="09CCB18B" w14:textId="77777777" w:rsidTr="0059108F">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4405" w:type="dxa"/>
          </w:tcPr>
          <w:p w14:paraId="4E3433AD" w14:textId="77777777" w:rsidR="00B47896" w:rsidRPr="007058BD" w:rsidRDefault="00B47896" w:rsidP="008A645F">
            <w:pPr>
              <w:keepNext/>
              <w:keepLines/>
              <w:widowControl w:val="0"/>
              <w:rPr>
                <w:sz w:val="22"/>
                <w:szCs w:val="22"/>
              </w:rPr>
            </w:pPr>
            <w:r w:rsidRPr="007058BD">
              <w:rPr>
                <w:sz w:val="22"/>
                <w:szCs w:val="22"/>
              </w:rPr>
              <w:t>Solicitation Release</w:t>
            </w:r>
          </w:p>
        </w:tc>
        <w:tc>
          <w:tcPr>
            <w:tcW w:w="3960" w:type="dxa"/>
          </w:tcPr>
          <w:p w14:paraId="43AF5D1F" w14:textId="6533BD57" w:rsidR="00B47896" w:rsidRPr="007058BD" w:rsidRDefault="008C0A81" w:rsidP="008A645F">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7058BD">
              <w:rPr>
                <w:sz w:val="22"/>
                <w:szCs w:val="22"/>
              </w:rPr>
              <w:t>October</w:t>
            </w:r>
            <w:r w:rsidR="00B47896" w:rsidRPr="007058BD">
              <w:rPr>
                <w:sz w:val="22"/>
                <w:szCs w:val="22"/>
              </w:rPr>
              <w:t xml:space="preserve"> </w:t>
            </w:r>
            <w:r w:rsidR="00570C2B" w:rsidRPr="007058BD">
              <w:rPr>
                <w:sz w:val="22"/>
                <w:szCs w:val="22"/>
              </w:rPr>
              <w:t>27</w:t>
            </w:r>
            <w:r w:rsidR="00B47896" w:rsidRPr="007058BD">
              <w:rPr>
                <w:sz w:val="22"/>
                <w:szCs w:val="22"/>
              </w:rPr>
              <w:t>, 2022</w:t>
            </w:r>
          </w:p>
        </w:tc>
        <w:tc>
          <w:tcPr>
            <w:cnfStyle w:val="000010000000" w:firstRow="0" w:lastRow="0" w:firstColumn="0" w:lastColumn="0" w:oddVBand="1" w:evenVBand="0" w:oddHBand="0" w:evenHBand="0" w:firstRowFirstColumn="0" w:firstRowLastColumn="0" w:lastRowFirstColumn="0" w:lastRowLastColumn="0"/>
            <w:tcW w:w="1445" w:type="dxa"/>
          </w:tcPr>
          <w:p w14:paraId="39944FF8" w14:textId="77777777" w:rsidR="00B47896" w:rsidRPr="007058BD" w:rsidRDefault="00B47896" w:rsidP="008A645F">
            <w:pPr>
              <w:keepNext/>
              <w:keepLines/>
              <w:widowControl w:val="0"/>
              <w:rPr>
                <w:sz w:val="22"/>
                <w:szCs w:val="22"/>
              </w:rPr>
            </w:pPr>
          </w:p>
        </w:tc>
      </w:tr>
      <w:tr w:rsidR="00B47896" w:rsidRPr="007058BD" w14:paraId="5E333E40" w14:textId="77777777" w:rsidTr="0059108F">
        <w:trPr>
          <w:trHeight w:hRule="exact" w:val="288"/>
        </w:trPr>
        <w:tc>
          <w:tcPr>
            <w:cnfStyle w:val="000010000000" w:firstRow="0" w:lastRow="0" w:firstColumn="0" w:lastColumn="0" w:oddVBand="1" w:evenVBand="0" w:oddHBand="0" w:evenHBand="0" w:firstRowFirstColumn="0" w:firstRowLastColumn="0" w:lastRowFirstColumn="0" w:lastRowLastColumn="0"/>
            <w:tcW w:w="4405" w:type="dxa"/>
          </w:tcPr>
          <w:p w14:paraId="0CC3C9D0" w14:textId="77777777" w:rsidR="00B47896" w:rsidRPr="007058BD" w:rsidRDefault="00B47896" w:rsidP="008A645F">
            <w:pPr>
              <w:keepNext/>
              <w:keepLines/>
              <w:widowControl w:val="0"/>
              <w:rPr>
                <w:b/>
                <w:sz w:val="22"/>
                <w:szCs w:val="22"/>
              </w:rPr>
            </w:pPr>
            <w:r w:rsidRPr="007058BD">
              <w:rPr>
                <w:b/>
                <w:sz w:val="22"/>
                <w:szCs w:val="22"/>
              </w:rPr>
              <w:t>Pre-Application Workshop</w:t>
            </w:r>
          </w:p>
        </w:tc>
        <w:tc>
          <w:tcPr>
            <w:tcW w:w="3960" w:type="dxa"/>
          </w:tcPr>
          <w:p w14:paraId="4E21D966" w14:textId="3A2CA606" w:rsidR="00B47896" w:rsidRPr="007058BD" w:rsidRDefault="004143E5" w:rsidP="008A645F">
            <w:pPr>
              <w:keepNext/>
              <w:keepLines/>
              <w:widowControl w:val="0"/>
              <w:cnfStyle w:val="000000000000" w:firstRow="0" w:lastRow="0" w:firstColumn="0" w:lastColumn="0" w:oddVBand="0" w:evenVBand="0" w:oddHBand="0" w:evenHBand="0" w:firstRowFirstColumn="0" w:firstRowLastColumn="0" w:lastRowFirstColumn="0" w:lastRowLastColumn="0"/>
              <w:rPr>
                <w:b/>
                <w:sz w:val="22"/>
                <w:szCs w:val="22"/>
              </w:rPr>
            </w:pPr>
            <w:r w:rsidRPr="007058BD">
              <w:rPr>
                <w:b/>
                <w:sz w:val="22"/>
                <w:szCs w:val="22"/>
              </w:rPr>
              <w:t>November</w:t>
            </w:r>
            <w:r w:rsidR="00B47896" w:rsidRPr="007058BD">
              <w:rPr>
                <w:b/>
                <w:sz w:val="22"/>
                <w:szCs w:val="22"/>
              </w:rPr>
              <w:t xml:space="preserve"> </w:t>
            </w:r>
            <w:r w:rsidR="007D1530" w:rsidRPr="007058BD">
              <w:rPr>
                <w:b/>
                <w:sz w:val="22"/>
                <w:szCs w:val="22"/>
              </w:rPr>
              <w:t>7</w:t>
            </w:r>
            <w:r w:rsidR="00B47896" w:rsidRPr="007058BD">
              <w:rPr>
                <w:b/>
                <w:sz w:val="22"/>
                <w:szCs w:val="22"/>
              </w:rPr>
              <w:t>, 2022</w:t>
            </w:r>
          </w:p>
        </w:tc>
        <w:tc>
          <w:tcPr>
            <w:cnfStyle w:val="000010000000" w:firstRow="0" w:lastRow="0" w:firstColumn="0" w:lastColumn="0" w:oddVBand="1" w:evenVBand="0" w:oddHBand="0" w:evenHBand="0" w:firstRowFirstColumn="0" w:firstRowLastColumn="0" w:lastRowFirstColumn="0" w:lastRowLastColumn="0"/>
            <w:tcW w:w="1445" w:type="dxa"/>
          </w:tcPr>
          <w:p w14:paraId="039DF7AC" w14:textId="6C222735" w:rsidR="00B47896" w:rsidRPr="007058BD" w:rsidRDefault="006B2616" w:rsidP="008A645F">
            <w:pPr>
              <w:keepNext/>
              <w:keepLines/>
              <w:widowControl w:val="0"/>
              <w:rPr>
                <w:b/>
                <w:sz w:val="22"/>
                <w:szCs w:val="22"/>
              </w:rPr>
            </w:pPr>
            <w:r w:rsidRPr="007058BD">
              <w:rPr>
                <w:b/>
                <w:sz w:val="22"/>
                <w:szCs w:val="22"/>
              </w:rPr>
              <w:t>9</w:t>
            </w:r>
            <w:r w:rsidR="00B47896" w:rsidRPr="007058BD">
              <w:rPr>
                <w:b/>
                <w:sz w:val="22"/>
                <w:szCs w:val="22"/>
              </w:rPr>
              <w:t xml:space="preserve">:00 </w:t>
            </w:r>
            <w:r w:rsidR="005B1100" w:rsidRPr="007058BD">
              <w:rPr>
                <w:b/>
                <w:sz w:val="22"/>
                <w:szCs w:val="22"/>
              </w:rPr>
              <w:t>a</w:t>
            </w:r>
            <w:r w:rsidR="00B47896" w:rsidRPr="007058BD">
              <w:rPr>
                <w:b/>
                <w:sz w:val="22"/>
                <w:szCs w:val="22"/>
              </w:rPr>
              <w:t>.m.</w:t>
            </w:r>
          </w:p>
        </w:tc>
      </w:tr>
      <w:tr w:rsidR="00B47896" w:rsidRPr="007058BD" w14:paraId="021CB72A" w14:textId="77777777" w:rsidTr="0059108F">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4405" w:type="dxa"/>
          </w:tcPr>
          <w:p w14:paraId="6EE80300" w14:textId="77777777" w:rsidR="00B47896" w:rsidRPr="007058BD" w:rsidRDefault="00B47896" w:rsidP="008A645F">
            <w:pPr>
              <w:keepNext/>
              <w:keepLines/>
              <w:widowControl w:val="0"/>
              <w:rPr>
                <w:b/>
                <w:sz w:val="22"/>
                <w:szCs w:val="22"/>
              </w:rPr>
            </w:pPr>
            <w:r w:rsidRPr="007058BD">
              <w:rPr>
                <w:b/>
                <w:sz w:val="22"/>
                <w:szCs w:val="22"/>
              </w:rPr>
              <w:t>Deadline for Written Questions</w:t>
            </w:r>
            <w:r w:rsidRPr="007058BD">
              <w:rPr>
                <w:b/>
                <w:sz w:val="22"/>
                <w:szCs w:val="22"/>
                <w:vertAlign w:val="superscript"/>
              </w:rPr>
              <w:footnoteReference w:id="10"/>
            </w:r>
          </w:p>
        </w:tc>
        <w:tc>
          <w:tcPr>
            <w:tcW w:w="3960" w:type="dxa"/>
          </w:tcPr>
          <w:p w14:paraId="55C80A77" w14:textId="11A618E4" w:rsidR="00B47896" w:rsidRPr="007058BD" w:rsidRDefault="007D1530" w:rsidP="008A645F">
            <w:pPr>
              <w:keepNext/>
              <w:keepLines/>
              <w:widowControl w:val="0"/>
              <w:cnfStyle w:val="000000100000" w:firstRow="0" w:lastRow="0" w:firstColumn="0" w:lastColumn="0" w:oddVBand="0" w:evenVBand="0" w:oddHBand="1" w:evenHBand="0" w:firstRowFirstColumn="0" w:firstRowLastColumn="0" w:lastRowFirstColumn="0" w:lastRowLastColumn="0"/>
              <w:rPr>
                <w:b/>
                <w:sz w:val="22"/>
                <w:szCs w:val="22"/>
              </w:rPr>
            </w:pPr>
            <w:r w:rsidRPr="007058BD">
              <w:rPr>
                <w:b/>
                <w:sz w:val="22"/>
                <w:szCs w:val="22"/>
              </w:rPr>
              <w:t xml:space="preserve">November </w:t>
            </w:r>
            <w:r w:rsidR="00570C2B" w:rsidRPr="007058BD">
              <w:rPr>
                <w:b/>
                <w:sz w:val="22"/>
                <w:szCs w:val="22"/>
              </w:rPr>
              <w:t>14</w:t>
            </w:r>
            <w:r w:rsidR="00B47896" w:rsidRPr="007058BD">
              <w:rPr>
                <w:b/>
                <w:sz w:val="22"/>
                <w:szCs w:val="22"/>
              </w:rPr>
              <w:t>, 2022</w:t>
            </w:r>
          </w:p>
        </w:tc>
        <w:tc>
          <w:tcPr>
            <w:cnfStyle w:val="000010000000" w:firstRow="0" w:lastRow="0" w:firstColumn="0" w:lastColumn="0" w:oddVBand="1" w:evenVBand="0" w:oddHBand="0" w:evenHBand="0" w:firstRowFirstColumn="0" w:firstRowLastColumn="0" w:lastRowFirstColumn="0" w:lastRowLastColumn="0"/>
            <w:tcW w:w="1445" w:type="dxa"/>
          </w:tcPr>
          <w:p w14:paraId="76464D9F" w14:textId="77777777" w:rsidR="00B47896" w:rsidRPr="007058BD" w:rsidRDefault="00B47896" w:rsidP="008A645F">
            <w:pPr>
              <w:keepNext/>
              <w:keepLines/>
              <w:widowControl w:val="0"/>
              <w:rPr>
                <w:b/>
                <w:sz w:val="22"/>
                <w:szCs w:val="22"/>
              </w:rPr>
            </w:pPr>
            <w:r w:rsidRPr="007058BD">
              <w:rPr>
                <w:b/>
                <w:sz w:val="22"/>
                <w:szCs w:val="22"/>
              </w:rPr>
              <w:t>5:00 p.m.</w:t>
            </w:r>
          </w:p>
        </w:tc>
      </w:tr>
      <w:tr w:rsidR="00B47896" w:rsidRPr="007058BD" w14:paraId="2D4CAD45" w14:textId="77777777" w:rsidTr="0059108F">
        <w:trPr>
          <w:trHeight w:hRule="exact" w:val="595"/>
        </w:trPr>
        <w:tc>
          <w:tcPr>
            <w:cnfStyle w:val="000010000000" w:firstRow="0" w:lastRow="0" w:firstColumn="0" w:lastColumn="0" w:oddVBand="1" w:evenVBand="0" w:oddHBand="0" w:evenHBand="0" w:firstRowFirstColumn="0" w:firstRowLastColumn="0" w:lastRowFirstColumn="0" w:lastRowLastColumn="0"/>
            <w:tcW w:w="4405" w:type="dxa"/>
          </w:tcPr>
          <w:p w14:paraId="22AB770A" w14:textId="4760984F" w:rsidR="00B47896" w:rsidRPr="007058BD" w:rsidRDefault="00B47896" w:rsidP="008A645F">
            <w:pPr>
              <w:widowControl w:val="0"/>
              <w:spacing w:after="0"/>
              <w:rPr>
                <w:sz w:val="22"/>
                <w:szCs w:val="22"/>
              </w:rPr>
            </w:pPr>
            <w:r w:rsidRPr="007058BD">
              <w:rPr>
                <w:sz w:val="22"/>
                <w:szCs w:val="22"/>
              </w:rPr>
              <w:t>Anticipated Distribution of Questions and Answers</w:t>
            </w:r>
          </w:p>
        </w:tc>
        <w:tc>
          <w:tcPr>
            <w:tcW w:w="3960" w:type="dxa"/>
          </w:tcPr>
          <w:p w14:paraId="270277A1" w14:textId="733011B8" w:rsidR="00B47896" w:rsidRPr="007058BD" w:rsidRDefault="00B47896" w:rsidP="006D6C3D">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7058BD">
              <w:rPr>
                <w:sz w:val="22"/>
                <w:szCs w:val="22"/>
              </w:rPr>
              <w:t xml:space="preserve">Week of </w:t>
            </w:r>
            <w:r w:rsidR="00372D7C" w:rsidRPr="007058BD">
              <w:rPr>
                <w:sz w:val="22"/>
                <w:szCs w:val="22"/>
              </w:rPr>
              <w:t>December</w:t>
            </w:r>
            <w:r w:rsidRPr="007058BD">
              <w:rPr>
                <w:sz w:val="22"/>
                <w:szCs w:val="22"/>
              </w:rPr>
              <w:t xml:space="preserve"> </w:t>
            </w:r>
            <w:r w:rsidR="00BA4033" w:rsidRPr="007058BD">
              <w:rPr>
                <w:sz w:val="22"/>
                <w:szCs w:val="22"/>
              </w:rPr>
              <w:t>[</w:t>
            </w:r>
            <w:r w:rsidR="00372D7C" w:rsidRPr="007058BD">
              <w:rPr>
                <w:strike/>
                <w:sz w:val="22"/>
                <w:szCs w:val="22"/>
              </w:rPr>
              <w:t>12</w:t>
            </w:r>
            <w:r w:rsidR="00BA4033" w:rsidRPr="007058BD">
              <w:rPr>
                <w:sz w:val="22"/>
                <w:szCs w:val="22"/>
              </w:rPr>
              <w:t xml:space="preserve">] </w:t>
            </w:r>
            <w:r w:rsidR="00DD6424" w:rsidRPr="007058BD">
              <w:rPr>
                <w:b/>
                <w:bCs/>
                <w:sz w:val="22"/>
                <w:szCs w:val="22"/>
                <w:u w:val="single"/>
              </w:rPr>
              <w:t>26</w:t>
            </w:r>
            <w:r w:rsidRPr="007058BD">
              <w:rPr>
                <w:sz w:val="22"/>
                <w:szCs w:val="22"/>
              </w:rPr>
              <w:t>, 202</w:t>
            </w:r>
            <w:r w:rsidR="00372D7C" w:rsidRPr="007058BD">
              <w:rPr>
                <w:sz w:val="22"/>
                <w:szCs w:val="22"/>
              </w:rPr>
              <w:t>2</w:t>
            </w:r>
          </w:p>
        </w:tc>
        <w:tc>
          <w:tcPr>
            <w:cnfStyle w:val="000010000000" w:firstRow="0" w:lastRow="0" w:firstColumn="0" w:lastColumn="0" w:oddVBand="1" w:evenVBand="0" w:oddHBand="0" w:evenHBand="0" w:firstRowFirstColumn="0" w:firstRowLastColumn="0" w:lastRowFirstColumn="0" w:lastRowLastColumn="0"/>
            <w:tcW w:w="1445" w:type="dxa"/>
          </w:tcPr>
          <w:p w14:paraId="24B4206D" w14:textId="77777777" w:rsidR="00B47896" w:rsidRPr="007058BD" w:rsidRDefault="00B47896" w:rsidP="008A645F">
            <w:pPr>
              <w:keepNext/>
              <w:keepLines/>
              <w:widowControl w:val="0"/>
              <w:rPr>
                <w:sz w:val="22"/>
                <w:szCs w:val="22"/>
              </w:rPr>
            </w:pPr>
          </w:p>
        </w:tc>
      </w:tr>
      <w:tr w:rsidR="00B47896" w:rsidRPr="007058BD" w14:paraId="5B02F8BE" w14:textId="77777777" w:rsidTr="0059108F">
        <w:trPr>
          <w:cnfStyle w:val="000000100000" w:firstRow="0" w:lastRow="0" w:firstColumn="0" w:lastColumn="0" w:oddVBand="0" w:evenVBand="0" w:oddHBand="1" w:evenHBand="0" w:firstRowFirstColumn="0" w:firstRowLastColumn="0" w:lastRowFirstColumn="0" w:lastRowLastColumn="0"/>
          <w:trHeight w:hRule="exact" w:val="325"/>
        </w:trPr>
        <w:tc>
          <w:tcPr>
            <w:cnfStyle w:val="000010000000" w:firstRow="0" w:lastRow="0" w:firstColumn="0" w:lastColumn="0" w:oddVBand="1" w:evenVBand="0" w:oddHBand="0" w:evenHBand="0" w:firstRowFirstColumn="0" w:firstRowLastColumn="0" w:lastRowFirstColumn="0" w:lastRowLastColumn="0"/>
            <w:tcW w:w="4405" w:type="dxa"/>
          </w:tcPr>
          <w:p w14:paraId="71A00854" w14:textId="77777777" w:rsidR="00B47896" w:rsidRPr="007058BD" w:rsidRDefault="00B47896" w:rsidP="008A645F">
            <w:pPr>
              <w:keepNext/>
              <w:keepLines/>
              <w:widowControl w:val="0"/>
              <w:rPr>
                <w:b/>
                <w:sz w:val="22"/>
                <w:szCs w:val="22"/>
              </w:rPr>
            </w:pPr>
            <w:r w:rsidRPr="007058BD">
              <w:rPr>
                <w:b/>
                <w:sz w:val="22"/>
                <w:szCs w:val="22"/>
              </w:rPr>
              <w:t>Deadline to Submit Applications</w:t>
            </w:r>
          </w:p>
        </w:tc>
        <w:tc>
          <w:tcPr>
            <w:tcW w:w="3960" w:type="dxa"/>
          </w:tcPr>
          <w:p w14:paraId="236C7DAC" w14:textId="46A002EA" w:rsidR="00B47896" w:rsidRPr="007058BD" w:rsidRDefault="00DD09AC" w:rsidP="008A645F">
            <w:pPr>
              <w:keepNext/>
              <w:keepLines/>
              <w:widowControl w:val="0"/>
              <w:spacing w:after="0"/>
              <w:cnfStyle w:val="000000100000" w:firstRow="0" w:lastRow="0" w:firstColumn="0" w:lastColumn="0" w:oddVBand="0" w:evenVBand="0" w:oddHBand="1" w:evenHBand="0" w:firstRowFirstColumn="0" w:firstRowLastColumn="0" w:lastRowFirstColumn="0" w:lastRowLastColumn="0"/>
              <w:rPr>
                <w:b/>
                <w:sz w:val="22"/>
                <w:szCs w:val="22"/>
              </w:rPr>
            </w:pPr>
            <w:r w:rsidRPr="007058BD">
              <w:rPr>
                <w:bCs/>
                <w:sz w:val="22"/>
                <w:szCs w:val="22"/>
              </w:rPr>
              <w:t>[</w:t>
            </w:r>
            <w:r w:rsidR="00C71138" w:rsidRPr="007058BD">
              <w:rPr>
                <w:bCs/>
                <w:strike/>
                <w:sz w:val="22"/>
                <w:szCs w:val="22"/>
              </w:rPr>
              <w:t>January</w:t>
            </w:r>
            <w:r w:rsidR="00B47896" w:rsidRPr="007058BD">
              <w:rPr>
                <w:bCs/>
                <w:strike/>
                <w:sz w:val="22"/>
                <w:szCs w:val="22"/>
              </w:rPr>
              <w:t xml:space="preserve"> </w:t>
            </w:r>
            <w:r w:rsidR="00C71138" w:rsidRPr="007058BD">
              <w:rPr>
                <w:bCs/>
                <w:strike/>
                <w:sz w:val="22"/>
                <w:szCs w:val="22"/>
              </w:rPr>
              <w:t>2</w:t>
            </w:r>
            <w:r w:rsidR="006A3778" w:rsidRPr="007058BD">
              <w:rPr>
                <w:bCs/>
                <w:strike/>
                <w:sz w:val="22"/>
                <w:szCs w:val="22"/>
              </w:rPr>
              <w:t>3</w:t>
            </w:r>
            <w:r w:rsidRPr="007058BD">
              <w:rPr>
                <w:bCs/>
                <w:sz w:val="22"/>
                <w:szCs w:val="22"/>
              </w:rPr>
              <w:t>]</w:t>
            </w:r>
            <w:r w:rsidR="00796CF5" w:rsidRPr="007058BD">
              <w:rPr>
                <w:bCs/>
                <w:sz w:val="22"/>
                <w:szCs w:val="22"/>
              </w:rPr>
              <w:t xml:space="preserve"> </w:t>
            </w:r>
            <w:r w:rsidR="00796CF5" w:rsidRPr="007058BD">
              <w:rPr>
                <w:b/>
                <w:sz w:val="22"/>
                <w:szCs w:val="22"/>
                <w:u w:val="single"/>
              </w:rPr>
              <w:t>February 7</w:t>
            </w:r>
            <w:r w:rsidR="00B47896" w:rsidRPr="007058BD">
              <w:rPr>
                <w:b/>
                <w:sz w:val="22"/>
                <w:szCs w:val="22"/>
              </w:rPr>
              <w:t xml:space="preserve">, </w:t>
            </w:r>
            <w:r w:rsidR="00EC7643" w:rsidRPr="007058BD">
              <w:rPr>
                <w:b/>
                <w:sz w:val="22"/>
                <w:szCs w:val="22"/>
              </w:rPr>
              <w:t>2023</w:t>
            </w:r>
          </w:p>
        </w:tc>
        <w:tc>
          <w:tcPr>
            <w:cnfStyle w:val="000010000000" w:firstRow="0" w:lastRow="0" w:firstColumn="0" w:lastColumn="0" w:oddVBand="1" w:evenVBand="0" w:oddHBand="0" w:evenHBand="0" w:firstRowFirstColumn="0" w:firstRowLastColumn="0" w:lastRowFirstColumn="0" w:lastRowLastColumn="0"/>
            <w:tcW w:w="1445" w:type="dxa"/>
          </w:tcPr>
          <w:p w14:paraId="141DEC67" w14:textId="77777777" w:rsidR="00B47896" w:rsidRPr="007058BD" w:rsidRDefault="00B47896" w:rsidP="008A645F">
            <w:pPr>
              <w:keepNext/>
              <w:keepLines/>
              <w:widowControl w:val="0"/>
              <w:rPr>
                <w:b/>
                <w:sz w:val="22"/>
                <w:szCs w:val="22"/>
              </w:rPr>
            </w:pPr>
            <w:r w:rsidRPr="007058BD">
              <w:rPr>
                <w:b/>
                <w:sz w:val="22"/>
                <w:szCs w:val="22"/>
              </w:rPr>
              <w:t>11:59 p.m.</w:t>
            </w:r>
          </w:p>
        </w:tc>
      </w:tr>
      <w:tr w:rsidR="00B47896" w:rsidRPr="007058BD" w14:paraId="4B3CA8F5" w14:textId="77777777" w:rsidTr="0059108F">
        <w:trPr>
          <w:trHeight w:hRule="exact" w:val="532"/>
        </w:trPr>
        <w:tc>
          <w:tcPr>
            <w:cnfStyle w:val="000010000000" w:firstRow="0" w:lastRow="0" w:firstColumn="0" w:lastColumn="0" w:oddVBand="1" w:evenVBand="0" w:oddHBand="0" w:evenHBand="0" w:firstRowFirstColumn="0" w:firstRowLastColumn="0" w:lastRowFirstColumn="0" w:lastRowLastColumn="0"/>
            <w:tcW w:w="4405" w:type="dxa"/>
          </w:tcPr>
          <w:p w14:paraId="1C0D7C40" w14:textId="77777777" w:rsidR="00B47896" w:rsidRPr="007058BD" w:rsidRDefault="00B47896" w:rsidP="008A645F">
            <w:pPr>
              <w:keepNext/>
              <w:keepLines/>
              <w:widowControl w:val="0"/>
              <w:rPr>
                <w:sz w:val="22"/>
                <w:szCs w:val="22"/>
              </w:rPr>
            </w:pPr>
            <w:r w:rsidRPr="007058BD">
              <w:rPr>
                <w:sz w:val="22"/>
                <w:szCs w:val="22"/>
              </w:rPr>
              <w:t>Anticipated Notice of Proposed Award Posting Date</w:t>
            </w:r>
          </w:p>
        </w:tc>
        <w:tc>
          <w:tcPr>
            <w:tcW w:w="3960" w:type="dxa"/>
          </w:tcPr>
          <w:p w14:paraId="4C6453F4" w14:textId="6D240B69" w:rsidR="00B47896" w:rsidRPr="007058BD" w:rsidRDefault="00B47896" w:rsidP="008A645F">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7058BD">
              <w:rPr>
                <w:sz w:val="22"/>
                <w:szCs w:val="22"/>
              </w:rPr>
              <w:t xml:space="preserve">Week of </w:t>
            </w:r>
            <w:r w:rsidR="00B42C5F" w:rsidRPr="007058BD">
              <w:rPr>
                <w:sz w:val="22"/>
                <w:szCs w:val="22"/>
              </w:rPr>
              <w:t>[</w:t>
            </w:r>
            <w:r w:rsidR="002A0A1C" w:rsidRPr="007058BD">
              <w:rPr>
                <w:strike/>
                <w:sz w:val="22"/>
                <w:szCs w:val="22"/>
              </w:rPr>
              <w:t>March</w:t>
            </w:r>
            <w:r w:rsidRPr="007058BD">
              <w:rPr>
                <w:strike/>
                <w:sz w:val="22"/>
                <w:szCs w:val="22"/>
              </w:rPr>
              <w:t xml:space="preserve"> </w:t>
            </w:r>
            <w:r w:rsidR="002A0A1C" w:rsidRPr="007058BD">
              <w:rPr>
                <w:strike/>
                <w:sz w:val="22"/>
                <w:szCs w:val="22"/>
              </w:rPr>
              <w:t>13</w:t>
            </w:r>
            <w:r w:rsidR="00EF3F56" w:rsidRPr="007058BD">
              <w:rPr>
                <w:sz w:val="22"/>
                <w:szCs w:val="22"/>
              </w:rPr>
              <w:t xml:space="preserve">] </w:t>
            </w:r>
            <w:r w:rsidR="00EF3F56" w:rsidRPr="007058BD">
              <w:rPr>
                <w:b/>
                <w:bCs/>
                <w:sz w:val="22"/>
                <w:szCs w:val="22"/>
                <w:u w:val="single"/>
              </w:rPr>
              <w:t xml:space="preserve">April </w:t>
            </w:r>
            <w:r w:rsidR="00ED6A9D" w:rsidRPr="007058BD">
              <w:rPr>
                <w:b/>
                <w:bCs/>
                <w:sz w:val="22"/>
                <w:szCs w:val="22"/>
                <w:u w:val="single"/>
              </w:rPr>
              <w:t>17</w:t>
            </w:r>
            <w:r w:rsidRPr="007058BD">
              <w:rPr>
                <w:sz w:val="22"/>
                <w:szCs w:val="22"/>
              </w:rPr>
              <w:t xml:space="preserve">, </w:t>
            </w:r>
            <w:r w:rsidR="00D4194D" w:rsidRPr="007058BD">
              <w:rPr>
                <w:sz w:val="22"/>
                <w:szCs w:val="22"/>
              </w:rPr>
              <w:t>2023</w:t>
            </w:r>
          </w:p>
        </w:tc>
        <w:tc>
          <w:tcPr>
            <w:cnfStyle w:val="000010000000" w:firstRow="0" w:lastRow="0" w:firstColumn="0" w:lastColumn="0" w:oddVBand="1" w:evenVBand="0" w:oddHBand="0" w:evenHBand="0" w:firstRowFirstColumn="0" w:firstRowLastColumn="0" w:lastRowFirstColumn="0" w:lastRowLastColumn="0"/>
            <w:tcW w:w="1445" w:type="dxa"/>
          </w:tcPr>
          <w:p w14:paraId="3FF59407" w14:textId="77777777" w:rsidR="00B47896" w:rsidRPr="007058BD" w:rsidRDefault="00B47896" w:rsidP="008A645F">
            <w:pPr>
              <w:keepNext/>
              <w:keepLines/>
              <w:widowControl w:val="0"/>
              <w:rPr>
                <w:sz w:val="22"/>
                <w:szCs w:val="22"/>
              </w:rPr>
            </w:pPr>
          </w:p>
        </w:tc>
      </w:tr>
      <w:tr w:rsidR="00B47896" w:rsidRPr="007058BD" w14:paraId="24BE9A70" w14:textId="77777777" w:rsidTr="0059108F">
        <w:trPr>
          <w:cnfStyle w:val="000000100000" w:firstRow="0" w:lastRow="0" w:firstColumn="0" w:lastColumn="0" w:oddVBand="0" w:evenVBand="0" w:oddHBand="1" w:evenHBand="0" w:firstRowFirstColumn="0" w:firstRowLastColumn="0" w:lastRowFirstColumn="0" w:lastRowLastColumn="0"/>
          <w:trHeight w:hRule="exact" w:val="550"/>
        </w:trPr>
        <w:tc>
          <w:tcPr>
            <w:cnfStyle w:val="000010000000" w:firstRow="0" w:lastRow="0" w:firstColumn="0" w:lastColumn="0" w:oddVBand="1" w:evenVBand="0" w:oddHBand="0" w:evenHBand="0" w:firstRowFirstColumn="0" w:firstRowLastColumn="0" w:lastRowFirstColumn="0" w:lastRowLastColumn="0"/>
            <w:tcW w:w="4405" w:type="dxa"/>
          </w:tcPr>
          <w:p w14:paraId="712AA5BA" w14:textId="77777777" w:rsidR="00B47896" w:rsidRPr="007058BD" w:rsidRDefault="00B47896" w:rsidP="008A645F">
            <w:pPr>
              <w:widowControl w:val="0"/>
              <w:rPr>
                <w:sz w:val="22"/>
                <w:szCs w:val="22"/>
              </w:rPr>
            </w:pPr>
            <w:r w:rsidRPr="007058BD">
              <w:rPr>
                <w:sz w:val="22"/>
                <w:szCs w:val="22"/>
              </w:rPr>
              <w:t>Anticipated Energy Commission Business Meeting Date</w:t>
            </w:r>
          </w:p>
        </w:tc>
        <w:tc>
          <w:tcPr>
            <w:tcW w:w="3960" w:type="dxa"/>
          </w:tcPr>
          <w:p w14:paraId="0C24D1E6" w14:textId="5C98399B" w:rsidR="00B47896" w:rsidRPr="007058BD" w:rsidRDefault="005A364C" w:rsidP="008A645F">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7058BD">
              <w:rPr>
                <w:sz w:val="22"/>
                <w:szCs w:val="22"/>
              </w:rPr>
              <w:t>[</w:t>
            </w:r>
            <w:r w:rsidR="002A0A1C" w:rsidRPr="007058BD">
              <w:rPr>
                <w:strike/>
                <w:sz w:val="22"/>
                <w:szCs w:val="22"/>
              </w:rPr>
              <w:t>June</w:t>
            </w:r>
            <w:r w:rsidRPr="007058BD">
              <w:rPr>
                <w:sz w:val="22"/>
                <w:szCs w:val="22"/>
              </w:rPr>
              <w:t xml:space="preserve">] </w:t>
            </w:r>
            <w:r w:rsidRPr="007058BD">
              <w:rPr>
                <w:b/>
                <w:bCs/>
                <w:sz w:val="22"/>
                <w:szCs w:val="22"/>
                <w:u w:val="single"/>
              </w:rPr>
              <w:t>July</w:t>
            </w:r>
            <w:r w:rsidR="00B47896" w:rsidRPr="007058BD">
              <w:rPr>
                <w:sz w:val="22"/>
                <w:szCs w:val="22"/>
              </w:rPr>
              <w:t xml:space="preserve"> 2023</w:t>
            </w:r>
          </w:p>
        </w:tc>
        <w:tc>
          <w:tcPr>
            <w:cnfStyle w:val="000010000000" w:firstRow="0" w:lastRow="0" w:firstColumn="0" w:lastColumn="0" w:oddVBand="1" w:evenVBand="0" w:oddHBand="0" w:evenHBand="0" w:firstRowFirstColumn="0" w:firstRowLastColumn="0" w:lastRowFirstColumn="0" w:lastRowLastColumn="0"/>
            <w:tcW w:w="1445" w:type="dxa"/>
          </w:tcPr>
          <w:p w14:paraId="7B952BCF" w14:textId="77777777" w:rsidR="00B47896" w:rsidRPr="007058BD" w:rsidRDefault="00B47896" w:rsidP="008A645F">
            <w:pPr>
              <w:keepNext/>
              <w:keepLines/>
              <w:widowControl w:val="0"/>
              <w:rPr>
                <w:sz w:val="22"/>
                <w:szCs w:val="22"/>
              </w:rPr>
            </w:pPr>
          </w:p>
        </w:tc>
      </w:tr>
      <w:tr w:rsidR="00B47896" w:rsidRPr="007058BD" w14:paraId="5186B41E" w14:textId="77777777" w:rsidTr="0059108F">
        <w:trPr>
          <w:trHeight w:hRule="exact" w:val="288"/>
        </w:trPr>
        <w:tc>
          <w:tcPr>
            <w:cnfStyle w:val="000010000000" w:firstRow="0" w:lastRow="0" w:firstColumn="0" w:lastColumn="0" w:oddVBand="1" w:evenVBand="0" w:oddHBand="0" w:evenHBand="0" w:firstRowFirstColumn="0" w:firstRowLastColumn="0" w:lastRowFirstColumn="0" w:lastRowLastColumn="0"/>
            <w:tcW w:w="4405" w:type="dxa"/>
          </w:tcPr>
          <w:p w14:paraId="3F378671" w14:textId="77777777" w:rsidR="00B47896" w:rsidRPr="007058BD" w:rsidRDefault="00B47896" w:rsidP="008A645F">
            <w:pPr>
              <w:widowControl w:val="0"/>
              <w:rPr>
                <w:sz w:val="22"/>
                <w:szCs w:val="22"/>
              </w:rPr>
            </w:pPr>
            <w:r w:rsidRPr="007058BD">
              <w:rPr>
                <w:sz w:val="22"/>
                <w:szCs w:val="22"/>
              </w:rPr>
              <w:t>Anticipated Agreement Start Date</w:t>
            </w:r>
          </w:p>
        </w:tc>
        <w:tc>
          <w:tcPr>
            <w:tcW w:w="3960" w:type="dxa"/>
          </w:tcPr>
          <w:p w14:paraId="502D6907" w14:textId="0AE2BF33" w:rsidR="00B47896" w:rsidRPr="007058BD" w:rsidRDefault="00670768" w:rsidP="008A645F">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7058BD">
              <w:rPr>
                <w:sz w:val="22"/>
                <w:szCs w:val="22"/>
              </w:rPr>
              <w:t>[</w:t>
            </w:r>
            <w:r w:rsidR="002A0A1C" w:rsidRPr="007058BD">
              <w:rPr>
                <w:strike/>
                <w:sz w:val="22"/>
                <w:szCs w:val="22"/>
              </w:rPr>
              <w:t>July</w:t>
            </w:r>
            <w:r w:rsidRPr="007058BD">
              <w:rPr>
                <w:sz w:val="22"/>
                <w:szCs w:val="22"/>
              </w:rPr>
              <w:t xml:space="preserve">] </w:t>
            </w:r>
            <w:r w:rsidR="00B248AA" w:rsidRPr="007058BD">
              <w:rPr>
                <w:b/>
                <w:bCs/>
                <w:sz w:val="22"/>
                <w:szCs w:val="22"/>
                <w:u w:val="single"/>
              </w:rPr>
              <w:t>August</w:t>
            </w:r>
            <w:r w:rsidR="00B248AA" w:rsidRPr="007058BD">
              <w:rPr>
                <w:sz w:val="22"/>
                <w:szCs w:val="22"/>
              </w:rPr>
              <w:t xml:space="preserve"> </w:t>
            </w:r>
            <w:r w:rsidR="00B47896" w:rsidRPr="007058BD">
              <w:rPr>
                <w:sz w:val="22"/>
                <w:szCs w:val="22"/>
              </w:rPr>
              <w:t>2023</w:t>
            </w:r>
          </w:p>
        </w:tc>
        <w:tc>
          <w:tcPr>
            <w:cnfStyle w:val="000010000000" w:firstRow="0" w:lastRow="0" w:firstColumn="0" w:lastColumn="0" w:oddVBand="1" w:evenVBand="0" w:oddHBand="0" w:evenHBand="0" w:firstRowFirstColumn="0" w:firstRowLastColumn="0" w:lastRowFirstColumn="0" w:lastRowLastColumn="0"/>
            <w:tcW w:w="1445" w:type="dxa"/>
          </w:tcPr>
          <w:p w14:paraId="7923126C" w14:textId="77777777" w:rsidR="00B47896" w:rsidRPr="007058BD" w:rsidRDefault="00B47896" w:rsidP="008A645F">
            <w:pPr>
              <w:keepNext/>
              <w:keepLines/>
              <w:widowControl w:val="0"/>
              <w:rPr>
                <w:sz w:val="22"/>
                <w:szCs w:val="22"/>
              </w:rPr>
            </w:pPr>
          </w:p>
        </w:tc>
      </w:tr>
      <w:tr w:rsidR="00B47896" w:rsidRPr="007058BD" w14:paraId="735207EF" w14:textId="77777777" w:rsidTr="0059108F">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4405" w:type="dxa"/>
          </w:tcPr>
          <w:p w14:paraId="37B8B88B" w14:textId="199380F5" w:rsidR="00B47896" w:rsidRPr="007058BD" w:rsidRDefault="00B47896" w:rsidP="008A645F">
            <w:pPr>
              <w:widowControl w:val="0"/>
              <w:rPr>
                <w:sz w:val="22"/>
                <w:szCs w:val="22"/>
              </w:rPr>
            </w:pPr>
            <w:r w:rsidRPr="007058BD">
              <w:rPr>
                <w:sz w:val="22"/>
                <w:szCs w:val="22"/>
              </w:rPr>
              <w:t>Anticipated Agreement End Date</w:t>
            </w:r>
          </w:p>
        </w:tc>
        <w:tc>
          <w:tcPr>
            <w:tcW w:w="3960" w:type="dxa"/>
          </w:tcPr>
          <w:p w14:paraId="448C7793" w14:textId="20EBE35F" w:rsidR="00B47896" w:rsidRPr="007058BD" w:rsidRDefault="00670768" w:rsidP="008A645F">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7058BD">
              <w:rPr>
                <w:sz w:val="22"/>
                <w:szCs w:val="22"/>
              </w:rPr>
              <w:t>[</w:t>
            </w:r>
            <w:r w:rsidR="002A0A1C" w:rsidRPr="007058BD">
              <w:rPr>
                <w:strike/>
                <w:sz w:val="22"/>
                <w:szCs w:val="22"/>
              </w:rPr>
              <w:t>July</w:t>
            </w:r>
            <w:r w:rsidRPr="007058BD">
              <w:rPr>
                <w:sz w:val="22"/>
                <w:szCs w:val="22"/>
              </w:rPr>
              <w:t xml:space="preserve">] </w:t>
            </w:r>
            <w:r w:rsidR="00B248AA" w:rsidRPr="007058BD">
              <w:rPr>
                <w:b/>
                <w:bCs/>
                <w:sz w:val="22"/>
                <w:szCs w:val="22"/>
                <w:u w:val="single"/>
              </w:rPr>
              <w:t>August</w:t>
            </w:r>
            <w:r w:rsidR="00B248AA" w:rsidRPr="007058BD">
              <w:rPr>
                <w:sz w:val="22"/>
                <w:szCs w:val="22"/>
              </w:rPr>
              <w:t xml:space="preserve"> </w:t>
            </w:r>
            <w:r w:rsidR="00B47896" w:rsidRPr="007058BD">
              <w:rPr>
                <w:sz w:val="22"/>
                <w:szCs w:val="22"/>
              </w:rPr>
              <w:t>2025</w:t>
            </w:r>
          </w:p>
        </w:tc>
        <w:tc>
          <w:tcPr>
            <w:cnfStyle w:val="000010000000" w:firstRow="0" w:lastRow="0" w:firstColumn="0" w:lastColumn="0" w:oddVBand="1" w:evenVBand="0" w:oddHBand="0" w:evenHBand="0" w:firstRowFirstColumn="0" w:firstRowLastColumn="0" w:lastRowFirstColumn="0" w:lastRowLastColumn="0"/>
            <w:tcW w:w="1445" w:type="dxa"/>
          </w:tcPr>
          <w:p w14:paraId="5BD41C64" w14:textId="77777777" w:rsidR="00B47896" w:rsidRPr="007058BD" w:rsidRDefault="00B47896" w:rsidP="008A645F">
            <w:pPr>
              <w:keepNext/>
              <w:keepLines/>
              <w:widowControl w:val="0"/>
              <w:rPr>
                <w:sz w:val="22"/>
                <w:szCs w:val="22"/>
              </w:rPr>
            </w:pPr>
          </w:p>
        </w:tc>
      </w:tr>
    </w:tbl>
    <w:p w14:paraId="2D075356" w14:textId="77777777" w:rsidR="00B47896" w:rsidRPr="003F6147" w:rsidRDefault="00B47896" w:rsidP="00B47896">
      <w:pPr>
        <w:spacing w:after="0"/>
        <w:jc w:val="both"/>
      </w:pPr>
    </w:p>
    <w:p w14:paraId="0D14D94C" w14:textId="77777777" w:rsidR="00B47896" w:rsidRPr="00756BAC" w:rsidRDefault="00B47896" w:rsidP="00B47896">
      <w:pPr>
        <w:pStyle w:val="Heading2"/>
        <w:numPr>
          <w:ilvl w:val="0"/>
          <w:numId w:val="71"/>
        </w:numPr>
      </w:pPr>
      <w:bookmarkStart w:id="34" w:name="_Toc458602326"/>
      <w:bookmarkStart w:id="35" w:name="_Toc121842075"/>
      <w:r w:rsidRPr="00756BAC">
        <w:t>Notice of Pre-Application Workshop</w:t>
      </w:r>
      <w:bookmarkEnd w:id="34"/>
      <w:bookmarkEnd w:id="35"/>
    </w:p>
    <w:p w14:paraId="73E0DDEC" w14:textId="108C4696" w:rsidR="00B47896" w:rsidRPr="003F6147" w:rsidRDefault="00B47896" w:rsidP="00B47896">
      <w:pPr>
        <w:jc w:val="both"/>
      </w:pPr>
      <w:r>
        <w:t>CEC staff will hold one Pre-Application Workshop to discuss the solicitation with potential applicants. Participation is optional but encouraged. The Pre-Application Workshop will be held remotely. Applicants may attend the workshop via the internet (Zoom, see instructions below), or via conference call on the date and at the time and location listed below. Please refer to the CEC's website at www.energy.ca.gov/contracts/index.html to confirm the date and time.</w:t>
      </w:r>
    </w:p>
    <w:p w14:paraId="14AE921C" w14:textId="77777777" w:rsidR="00B47896" w:rsidRDefault="00B47896" w:rsidP="00B47896">
      <w:pPr>
        <w:spacing w:after="0"/>
        <w:rPr>
          <w:b/>
        </w:rPr>
      </w:pPr>
    </w:p>
    <w:p w14:paraId="0827FAE4" w14:textId="73F02640" w:rsidR="00B47896" w:rsidRPr="003F6147" w:rsidRDefault="00B47896" w:rsidP="00B47896">
      <w:pPr>
        <w:spacing w:after="0"/>
        <w:rPr>
          <w:b/>
        </w:rPr>
      </w:pPr>
      <w:r w:rsidRPr="003F6147">
        <w:rPr>
          <w:b/>
        </w:rPr>
        <w:t xml:space="preserve">Date and time: </w:t>
      </w:r>
      <w:r w:rsidR="00ED7253" w:rsidRPr="00BB24EF">
        <w:t xml:space="preserve">November </w:t>
      </w:r>
      <w:r w:rsidR="002903AA">
        <w:t>7</w:t>
      </w:r>
      <w:r w:rsidRPr="00BB24EF">
        <w:t xml:space="preserve">, 2022 at </w:t>
      </w:r>
      <w:r w:rsidR="00830BA2">
        <w:t>9</w:t>
      </w:r>
      <w:r w:rsidRPr="00BB24EF">
        <w:t xml:space="preserve">:00 </w:t>
      </w:r>
      <w:r w:rsidR="00830BA2">
        <w:t>a</w:t>
      </w:r>
      <w:r w:rsidRPr="00BB24EF">
        <w:t>.m.</w:t>
      </w:r>
    </w:p>
    <w:p w14:paraId="00D0B195" w14:textId="77777777" w:rsidR="00B47896" w:rsidRPr="003F6147" w:rsidRDefault="00B47896" w:rsidP="00B47896">
      <w:pPr>
        <w:spacing w:after="0"/>
        <w:jc w:val="both"/>
        <w:rPr>
          <w:b/>
          <w:u w:val="single"/>
        </w:rPr>
      </w:pPr>
    </w:p>
    <w:p w14:paraId="61394FCF" w14:textId="77777777" w:rsidR="00B47896" w:rsidRPr="003F6147" w:rsidRDefault="00B47896" w:rsidP="00B47896">
      <w:pPr>
        <w:tabs>
          <w:tab w:val="left" w:pos="1080"/>
        </w:tabs>
        <w:jc w:val="both"/>
        <w:rPr>
          <w:b/>
        </w:rPr>
      </w:pPr>
      <w:r>
        <w:rPr>
          <w:b/>
        </w:rPr>
        <w:t>Zoom</w:t>
      </w:r>
      <w:r w:rsidRPr="003F6147">
        <w:rPr>
          <w:b/>
        </w:rPr>
        <w:t xml:space="preserve"> Instructions:</w:t>
      </w:r>
    </w:p>
    <w:p w14:paraId="6EB79842" w14:textId="74CFFBFA" w:rsidR="00B47896" w:rsidRPr="005F101E" w:rsidRDefault="00B47896" w:rsidP="00B47896">
      <w:pPr>
        <w:tabs>
          <w:tab w:val="left" w:pos="810"/>
        </w:tabs>
        <w:jc w:val="both"/>
      </w:pPr>
      <w:r w:rsidRPr="003F6147">
        <w:t xml:space="preserve">To join the </w:t>
      </w:r>
      <w:r>
        <w:t>Zoom</w:t>
      </w:r>
      <w:r w:rsidRPr="003F6147">
        <w:t xml:space="preserve"> meeting, go to </w:t>
      </w:r>
      <w:hyperlink r:id="rId20" w:history="1">
        <w:r w:rsidR="00A0533D" w:rsidRPr="00456E15">
          <w:rPr>
            <w:rStyle w:val="Hyperlink"/>
            <w:rFonts w:cs="Arial"/>
          </w:rPr>
          <w:t>https://zoom.us/join</w:t>
        </w:r>
      </w:hyperlink>
      <w:r w:rsidR="00A0533D">
        <w:t xml:space="preserve"> </w:t>
      </w:r>
      <w:r w:rsidRPr="003F6147">
        <w:t xml:space="preserve">and enter the </w:t>
      </w:r>
      <w:r>
        <w:t>M</w:t>
      </w:r>
      <w:r w:rsidRPr="003F6147">
        <w:t xml:space="preserve">eeting </w:t>
      </w:r>
      <w:r>
        <w:t>ID</w:t>
      </w:r>
      <w:r w:rsidRPr="003F6147">
        <w:t xml:space="preserve"> below</w:t>
      </w:r>
      <w:r>
        <w:t xml:space="preserve"> and</w:t>
      </w:r>
      <w:r w:rsidRPr="00B02478">
        <w:t xml:space="preserve"> select “join from your browser.”</w:t>
      </w:r>
      <w:r>
        <w:t xml:space="preserve"> Participants will then enter the meeting password listed below and their name. Participants will select the “Join” button.</w:t>
      </w:r>
      <w:r w:rsidRPr="003F6147">
        <w:t xml:space="preserve">:  </w:t>
      </w:r>
    </w:p>
    <w:p w14:paraId="1458FC0A" w14:textId="520BB9DF" w:rsidR="00B47896" w:rsidRPr="00CE5820" w:rsidRDefault="00B47896" w:rsidP="00B47896">
      <w:pPr>
        <w:tabs>
          <w:tab w:val="left" w:pos="900"/>
        </w:tabs>
        <w:spacing w:after="0"/>
        <w:ind w:left="720" w:firstLine="360"/>
        <w:rPr>
          <w:b/>
          <w:bCs/>
        </w:rPr>
      </w:pPr>
      <w:r w:rsidRPr="00CE5820">
        <w:rPr>
          <w:b/>
        </w:rPr>
        <w:t>Meeting ID:</w:t>
      </w:r>
      <w:r w:rsidRPr="00CE5820">
        <w:t xml:space="preserve"> </w:t>
      </w:r>
      <w:r w:rsidRPr="00BB24EF">
        <w:t>917 3579 3099</w:t>
      </w:r>
    </w:p>
    <w:p w14:paraId="34C9BA04" w14:textId="04AFDAB1" w:rsidR="00B47896" w:rsidRPr="00CE5820" w:rsidRDefault="00B47896" w:rsidP="00B47896">
      <w:pPr>
        <w:spacing w:after="0"/>
        <w:ind w:left="360" w:firstLine="720"/>
      </w:pPr>
      <w:r w:rsidRPr="00CE5820">
        <w:rPr>
          <w:b/>
        </w:rPr>
        <w:t>Meeting Password:</w:t>
      </w:r>
      <w:r w:rsidRPr="00CE5820">
        <w:t xml:space="preserve"> </w:t>
      </w:r>
      <w:r w:rsidRPr="00BB24EF">
        <w:t>719385</w:t>
      </w:r>
    </w:p>
    <w:p w14:paraId="39F1EFA3" w14:textId="0D1E9B82" w:rsidR="00B47896" w:rsidRPr="00CE5820" w:rsidRDefault="00B47896" w:rsidP="0010213A">
      <w:pPr>
        <w:ind w:left="1800" w:hanging="720"/>
      </w:pPr>
      <w:r w:rsidRPr="00CE5820">
        <w:rPr>
          <w:b/>
        </w:rPr>
        <w:t>Topic:</w:t>
      </w:r>
      <w:r w:rsidRPr="00CE5820">
        <w:t xml:space="preserve"> </w:t>
      </w:r>
      <w:r w:rsidR="007B7A7B" w:rsidRPr="00BB24EF">
        <w:t>Assessing the Role of Hydrogen in California’s Decarbonizing Electric System</w:t>
      </w:r>
      <w:r w:rsidRPr="00BB24EF">
        <w:t xml:space="preserve"> Solicitation Pre-Application Workshop</w:t>
      </w:r>
    </w:p>
    <w:p w14:paraId="1183254C" w14:textId="77777777" w:rsidR="00B47896" w:rsidRPr="003F6147" w:rsidRDefault="00B47896" w:rsidP="00B47896">
      <w:pPr>
        <w:tabs>
          <w:tab w:val="left" w:pos="810"/>
        </w:tabs>
        <w:spacing w:after="0"/>
        <w:jc w:val="both"/>
        <w:rPr>
          <w:b/>
          <w:u w:val="single"/>
        </w:rPr>
      </w:pPr>
    </w:p>
    <w:p w14:paraId="6F3A895B" w14:textId="77777777" w:rsidR="00B47896" w:rsidRPr="003F6147" w:rsidRDefault="00B47896" w:rsidP="00B47896">
      <w:pPr>
        <w:tabs>
          <w:tab w:val="left" w:pos="1080"/>
        </w:tabs>
        <w:jc w:val="both"/>
        <w:rPr>
          <w:b/>
        </w:rPr>
      </w:pPr>
      <w:r w:rsidRPr="003F6147">
        <w:rPr>
          <w:b/>
        </w:rPr>
        <w:t>Telephone Access Only:</w:t>
      </w:r>
    </w:p>
    <w:p w14:paraId="33B46377" w14:textId="77777777" w:rsidR="00B47896" w:rsidRPr="005F101E" w:rsidRDefault="00B47896" w:rsidP="00B47896">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Pr="005F101E">
        <w:rPr>
          <w:rFonts w:ascii="Arial" w:hAnsi="Arial" w:cs="Arial"/>
          <w:b/>
          <w:bCs/>
          <w:sz w:val="22"/>
          <w:szCs w:val="22"/>
        </w:rPr>
        <w:t>1-888 475 4499</w:t>
      </w:r>
      <w:r w:rsidRPr="005F101E">
        <w:rPr>
          <w:rFonts w:ascii="Arial" w:hAnsi="Arial" w:cs="Arial"/>
          <w:sz w:val="22"/>
          <w:szCs w:val="22"/>
        </w:rPr>
        <w:t xml:space="preserve"> (Toll Free) or </w:t>
      </w:r>
      <w:r w:rsidRPr="005F101E">
        <w:rPr>
          <w:rFonts w:ascii="Arial" w:hAnsi="Arial" w:cs="Arial"/>
          <w:b/>
          <w:bCs/>
          <w:sz w:val="22"/>
          <w:szCs w:val="22"/>
        </w:rPr>
        <w:t>1-877 853 5257</w:t>
      </w:r>
      <w:r w:rsidRPr="005F101E">
        <w:rPr>
          <w:rFonts w:ascii="Arial" w:hAnsi="Arial" w:cs="Arial"/>
          <w:sz w:val="22"/>
          <w:szCs w:val="22"/>
        </w:rPr>
        <w:t xml:space="preserve"> (Toll Free). When prompted, enter the meeting number above. </w:t>
      </w:r>
      <w:r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Pr="00624855">
        <w:rPr>
          <w:rStyle w:val="eop"/>
          <w:rFonts w:ascii="Arial" w:hAnsi="Arial" w:cs="Arial"/>
          <w:sz w:val="22"/>
          <w:szCs w:val="22"/>
        </w:rPr>
        <w:t> </w:t>
      </w:r>
    </w:p>
    <w:p w14:paraId="2A58AC5D" w14:textId="77777777" w:rsidR="00B47896" w:rsidRPr="005F101E" w:rsidRDefault="00B47896" w:rsidP="00B47896">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6D94759" w14:textId="77777777" w:rsidR="00B47896" w:rsidRPr="005F101E" w:rsidRDefault="00B47896" w:rsidP="00146E8B">
      <w:pPr>
        <w:pStyle w:val="paragraph"/>
        <w:keepNext/>
        <w:keepLines/>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lastRenderedPageBreak/>
        <w:t>Access by Mobile Device:</w:t>
      </w:r>
      <w:r w:rsidRPr="00624855">
        <w:rPr>
          <w:rStyle w:val="eop"/>
          <w:rFonts w:ascii="Arial" w:hAnsi="Arial" w:cs="Arial"/>
          <w:sz w:val="22"/>
          <w:szCs w:val="22"/>
        </w:rPr>
        <w:t> </w:t>
      </w:r>
    </w:p>
    <w:p w14:paraId="7892F9D2" w14:textId="77777777" w:rsidR="00B47896" w:rsidRPr="005F101E" w:rsidRDefault="00B47896" w:rsidP="00146E8B">
      <w:pPr>
        <w:pStyle w:val="paragraph"/>
        <w:keepNext/>
        <w:keepLines/>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3986DAFC" w14:textId="77777777" w:rsidR="00B47896" w:rsidRPr="005F101E" w:rsidRDefault="00B47896" w:rsidP="00146E8B">
      <w:pPr>
        <w:pStyle w:val="paragraph"/>
        <w:keepNext/>
        <w:keepLines/>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058BCC65" w14:textId="77777777" w:rsidR="00B47896" w:rsidRPr="003F6147" w:rsidRDefault="00B47896" w:rsidP="00B47896">
      <w:pPr>
        <w:spacing w:after="0"/>
        <w:jc w:val="both"/>
        <w:rPr>
          <w:color w:val="0000FF"/>
        </w:rPr>
      </w:pPr>
    </w:p>
    <w:p w14:paraId="5F2CDFCF" w14:textId="77777777" w:rsidR="00B47896" w:rsidRPr="003F6147" w:rsidRDefault="00B47896" w:rsidP="00B47896">
      <w:pPr>
        <w:tabs>
          <w:tab w:val="left" w:pos="1080"/>
        </w:tabs>
        <w:jc w:val="both"/>
        <w:rPr>
          <w:b/>
        </w:rPr>
      </w:pPr>
      <w:r w:rsidRPr="003F6147">
        <w:rPr>
          <w:b/>
        </w:rPr>
        <w:t>Technical Support:</w:t>
      </w:r>
    </w:p>
    <w:p w14:paraId="5792ECFA" w14:textId="77777777" w:rsidR="00B47896" w:rsidRPr="003F6147" w:rsidRDefault="00B47896" w:rsidP="00B47896">
      <w:pPr>
        <w:numPr>
          <w:ilvl w:val="0"/>
          <w:numId w:val="64"/>
        </w:numPr>
        <w:tabs>
          <w:tab w:val="left" w:pos="810"/>
        </w:tabs>
        <w:spacing w:after="0"/>
        <w:ind w:left="450" w:hanging="90"/>
        <w:jc w:val="both"/>
        <w:rPr>
          <w:b/>
          <w:u w:val="single"/>
        </w:rPr>
      </w:pPr>
      <w:r w:rsidRPr="003F6147">
        <w:t xml:space="preserve">For assistance with problems or questions about joining or attending the meeting, </w:t>
      </w:r>
    </w:p>
    <w:p w14:paraId="3A9A186C" w14:textId="77777777" w:rsidR="00B47896" w:rsidRPr="003F6147" w:rsidRDefault="00B47896" w:rsidP="00B47896">
      <w:pPr>
        <w:tabs>
          <w:tab w:val="left" w:pos="810"/>
        </w:tabs>
        <w:spacing w:after="0"/>
        <w:ind w:left="810"/>
        <w:jc w:val="both"/>
        <w:rPr>
          <w:color w:val="0070C0"/>
        </w:rPr>
      </w:pPr>
      <w:r w:rsidRPr="003F6147">
        <w:t xml:space="preserve">please call </w:t>
      </w:r>
      <w:r>
        <w:t>Zoom</w:t>
      </w:r>
      <w:r w:rsidRPr="003F6147">
        <w:t xml:space="preserve"> Technical Support at </w:t>
      </w:r>
      <w:r w:rsidRPr="00343A6C">
        <w:rPr>
          <w:b/>
        </w:rPr>
        <w:t>1-888-799-9666 ext</w:t>
      </w:r>
      <w:r>
        <w:rPr>
          <w:b/>
        </w:rPr>
        <w:t>. 2.</w:t>
      </w:r>
      <w:r w:rsidRPr="003F6147">
        <w:t xml:space="preserve">  You may also contact </w:t>
      </w:r>
      <w:r w:rsidRPr="00A8009F">
        <w:t>the CEC’s Public Advisor’s Office at publicadvisor@energy.ca.gov, or 800-822-622</w:t>
      </w:r>
      <w:r>
        <w:t>8</w:t>
      </w:r>
      <w:r w:rsidRPr="003F6147">
        <w:t>.</w:t>
      </w:r>
    </w:p>
    <w:p w14:paraId="44A7CCC3" w14:textId="77777777" w:rsidR="00B47896" w:rsidRPr="003F6147" w:rsidRDefault="00B47896" w:rsidP="00B47896">
      <w:pPr>
        <w:numPr>
          <w:ilvl w:val="0"/>
          <w:numId w:val="64"/>
        </w:numPr>
        <w:tabs>
          <w:tab w:val="left" w:pos="810"/>
        </w:tabs>
        <w:spacing w:after="0"/>
        <w:ind w:left="450" w:hanging="90"/>
        <w:jc w:val="both"/>
        <w:rPr>
          <w:b/>
          <w:u w:val="single"/>
        </w:rPr>
      </w:pPr>
      <w:r w:rsidRPr="003F6147">
        <w:t>System Requirements: To determine whether your computer is compatible, visit:</w:t>
      </w:r>
    </w:p>
    <w:p w14:paraId="74673365" w14:textId="77777777" w:rsidR="00B47896" w:rsidRPr="005B073B" w:rsidRDefault="00B47896" w:rsidP="00B47896">
      <w:pPr>
        <w:tabs>
          <w:tab w:val="left" w:pos="810"/>
        </w:tabs>
        <w:spacing w:after="0"/>
        <w:ind w:left="720"/>
        <w:jc w:val="both"/>
        <w:rPr>
          <w:color w:val="0000FF"/>
        </w:rPr>
      </w:pPr>
      <w:r w:rsidRPr="003F6147">
        <w:tab/>
      </w:r>
      <w:r w:rsidRPr="002275CB">
        <w:t>https://support.zoom.us/hc/en-us/articles/201362023-System-requirements-for-Windows-macOS-and-Linux</w:t>
      </w:r>
      <w:r w:rsidRPr="005B073B">
        <w:t>.</w:t>
      </w:r>
    </w:p>
    <w:p w14:paraId="362BB2BC" w14:textId="77777777" w:rsidR="00B47896" w:rsidRPr="00B703F3" w:rsidRDefault="00B47896" w:rsidP="00B47896">
      <w:pPr>
        <w:numPr>
          <w:ilvl w:val="0"/>
          <w:numId w:val="64"/>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654-4314 at least five days in advance. </w:t>
      </w:r>
    </w:p>
    <w:p w14:paraId="4574B8AD" w14:textId="77777777" w:rsidR="00B47896" w:rsidRPr="003F6147" w:rsidRDefault="00B47896" w:rsidP="00B47896">
      <w:pPr>
        <w:tabs>
          <w:tab w:val="left" w:pos="810"/>
        </w:tabs>
        <w:spacing w:after="0"/>
        <w:ind w:left="810"/>
        <w:jc w:val="both"/>
        <w:rPr>
          <w:b/>
          <w:u w:val="single"/>
        </w:rPr>
      </w:pPr>
    </w:p>
    <w:p w14:paraId="29DDB1A5" w14:textId="77777777" w:rsidR="00B47896" w:rsidRPr="00756BAC" w:rsidRDefault="00B47896" w:rsidP="00B47896">
      <w:pPr>
        <w:pStyle w:val="Heading2"/>
        <w:numPr>
          <w:ilvl w:val="0"/>
          <w:numId w:val="71"/>
        </w:numPr>
      </w:pPr>
      <w:bookmarkStart w:id="36" w:name="_Toc458602327"/>
      <w:bookmarkStart w:id="37" w:name="_Toc121842076"/>
      <w:bookmarkStart w:id="38" w:name="_Toc336443625"/>
      <w:bookmarkStart w:id="39" w:name="_Toc366671181"/>
      <w:bookmarkStart w:id="40" w:name="_Toc219275088"/>
      <w:r w:rsidRPr="00756BAC">
        <w:t>Questions</w:t>
      </w:r>
      <w:bookmarkEnd w:id="36"/>
      <w:bookmarkEnd w:id="37"/>
    </w:p>
    <w:p w14:paraId="38F4D6E4" w14:textId="77777777" w:rsidR="00B47896" w:rsidRPr="003F6147" w:rsidRDefault="00B47896" w:rsidP="00B47896">
      <w:pPr>
        <w:jc w:val="both"/>
      </w:pPr>
      <w:r w:rsidRPr="003F6147">
        <w:t>During the solicitation process, direct questions to the Commission Agreement Officer listed below:</w:t>
      </w:r>
    </w:p>
    <w:p w14:paraId="23E4BB67" w14:textId="78DB4415" w:rsidR="00B47896" w:rsidRPr="00C4450A" w:rsidRDefault="00065FA3" w:rsidP="00B47896">
      <w:pPr>
        <w:contextualSpacing/>
        <w:jc w:val="center"/>
      </w:pPr>
      <w:r w:rsidRPr="00C4450A">
        <w:t xml:space="preserve">Eilene Cary </w:t>
      </w:r>
      <w:r w:rsidR="00B47896" w:rsidRPr="00C4450A">
        <w:t>, Commission Agreement Officer</w:t>
      </w:r>
    </w:p>
    <w:p w14:paraId="18F61857" w14:textId="77777777" w:rsidR="00B47896" w:rsidRPr="00C4450A" w:rsidRDefault="00B47896" w:rsidP="00B47896">
      <w:pPr>
        <w:contextualSpacing/>
        <w:jc w:val="center"/>
      </w:pPr>
      <w:r w:rsidRPr="00C4450A">
        <w:t>California Energy Commission</w:t>
      </w:r>
    </w:p>
    <w:p w14:paraId="341084BE" w14:textId="764D82D6" w:rsidR="00B47896" w:rsidRPr="00C4450A" w:rsidRDefault="00B47896" w:rsidP="00B47896">
      <w:pPr>
        <w:contextualSpacing/>
        <w:jc w:val="center"/>
      </w:pPr>
      <w:r w:rsidRPr="00C4450A">
        <w:t>715 P, MS-1</w:t>
      </w:r>
      <w:r w:rsidR="00C4450A" w:rsidRPr="00C4450A">
        <w:t>8</w:t>
      </w:r>
    </w:p>
    <w:p w14:paraId="78C13D45" w14:textId="0B6D8853" w:rsidR="00B47896" w:rsidRPr="00C4450A" w:rsidRDefault="00B47896" w:rsidP="00B47896">
      <w:pPr>
        <w:contextualSpacing/>
        <w:jc w:val="center"/>
      </w:pPr>
      <w:r w:rsidRPr="00C4450A">
        <w:t>Sacramento, California, 95814</w:t>
      </w:r>
    </w:p>
    <w:p w14:paraId="28586E83" w14:textId="56073C28" w:rsidR="00B47896" w:rsidRPr="00C4450A" w:rsidRDefault="00B47896" w:rsidP="00B47896">
      <w:pPr>
        <w:contextualSpacing/>
        <w:jc w:val="center"/>
      </w:pPr>
      <w:r w:rsidRPr="00C4450A">
        <w:t xml:space="preserve">Telephone: (916) </w:t>
      </w:r>
      <w:r w:rsidR="00C4450A" w:rsidRPr="00C4450A">
        <w:t>776</w:t>
      </w:r>
      <w:r w:rsidRPr="00C4450A">
        <w:t>-</w:t>
      </w:r>
      <w:r w:rsidR="00C4450A" w:rsidRPr="00C4450A">
        <w:t>0739</w:t>
      </w:r>
    </w:p>
    <w:p w14:paraId="63946789" w14:textId="679298ED" w:rsidR="00B47896" w:rsidRPr="00C4450A" w:rsidRDefault="00B47896" w:rsidP="00B47896">
      <w:pPr>
        <w:spacing w:after="0"/>
        <w:contextualSpacing/>
        <w:jc w:val="center"/>
      </w:pPr>
      <w:r w:rsidRPr="00C4450A">
        <w:t xml:space="preserve">E-mail: </w:t>
      </w:r>
      <w:r w:rsidR="00C4450A" w:rsidRPr="00C4450A">
        <w:t>Eilene.Cary</w:t>
      </w:r>
      <w:r w:rsidRPr="00C4450A">
        <w:t>@energy.ca.gov</w:t>
      </w:r>
    </w:p>
    <w:p w14:paraId="4F54EBB4" w14:textId="77777777" w:rsidR="00B47896" w:rsidRPr="00C4450A" w:rsidRDefault="00B47896" w:rsidP="00B47896">
      <w:pPr>
        <w:spacing w:after="0"/>
        <w:jc w:val="both"/>
      </w:pPr>
    </w:p>
    <w:p w14:paraId="07E338AD" w14:textId="77777777" w:rsidR="00B47896" w:rsidRPr="003F6147" w:rsidRDefault="00B47896" w:rsidP="00B47896">
      <w:pPr>
        <w:jc w:val="both"/>
      </w:pPr>
      <w:r w:rsidRPr="003F6147">
        <w:rPr>
          <w:szCs w:val="22"/>
        </w:rPr>
        <w:t xml:space="preserve">Applicants may ask questions at the Pre-Application Workshop, and may submit written questions via </w:t>
      </w:r>
      <w:r>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questions concerning application format requirements or attachment instructions) may be submitted to the Commission Agreement Officer (CAO) at any time prior </w:t>
      </w:r>
      <w:r w:rsidRPr="00EA0DCF">
        <w:t xml:space="preserve">to 5:00 p.m. of </w:t>
      </w:r>
      <w:r w:rsidRPr="003F6147">
        <w:t>the application deadline</w:t>
      </w:r>
      <w:r>
        <w:t xml:space="preserve"> date</w:t>
      </w:r>
      <w:r w:rsidRPr="003F6147">
        <w:t xml:space="preserve">. </w:t>
      </w:r>
    </w:p>
    <w:p w14:paraId="330207FC" w14:textId="77777777" w:rsidR="00B47896" w:rsidRPr="003F6147" w:rsidRDefault="00B47896" w:rsidP="00B47896">
      <w:pPr>
        <w:spacing w:before="240"/>
        <w:jc w:val="both"/>
      </w:pPr>
      <w:r w:rsidRPr="003F6147">
        <w:t xml:space="preserve">The questions and answers will also be posted on the Commission’s website at: </w:t>
      </w:r>
      <w:r w:rsidRPr="005B073B">
        <w:t>https://www.energy.ca.gov/funding-opportunities/solicitations</w:t>
      </w:r>
    </w:p>
    <w:p w14:paraId="6FF91ECB" w14:textId="7B1E1944" w:rsidR="00B47896" w:rsidRPr="003F6147" w:rsidRDefault="00B47896" w:rsidP="00B47896">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Pr="000C0561">
        <w:rPr>
          <w:szCs w:val="22"/>
        </w:rPr>
        <w:t xml:space="preserve">5:00 p.m. of </w:t>
      </w:r>
      <w:r w:rsidRPr="003F6147">
        <w:rPr>
          <w:szCs w:val="22"/>
        </w:rPr>
        <w:t>the application deadline</w:t>
      </w:r>
      <w:r>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431F4031" w14:textId="77777777" w:rsidR="00B47896" w:rsidRDefault="00B47896" w:rsidP="00B47896">
      <w:pPr>
        <w:spacing w:before="240"/>
        <w:jc w:val="both"/>
        <w:rPr>
          <w:b/>
        </w:rPr>
      </w:pPr>
      <w:r w:rsidRPr="003F6147">
        <w:rPr>
          <w:b/>
        </w:rPr>
        <w:t xml:space="preserve">Any verbal communication with a Commission employee </w:t>
      </w:r>
      <w:r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20EE67C0" w14:textId="77777777" w:rsidR="00B47896" w:rsidRDefault="00B47896" w:rsidP="00B47896">
      <w:pPr>
        <w:spacing w:before="240"/>
        <w:jc w:val="both"/>
        <w:rPr>
          <w:b/>
        </w:rPr>
      </w:pPr>
    </w:p>
    <w:p w14:paraId="750F0351" w14:textId="77777777" w:rsidR="00B47896" w:rsidRPr="00D24E6D" w:rsidRDefault="00B47896" w:rsidP="005243DB">
      <w:pPr>
        <w:pStyle w:val="Heading2"/>
        <w:numPr>
          <w:ilvl w:val="0"/>
          <w:numId w:val="71"/>
        </w:numPr>
      </w:pPr>
      <w:bookmarkStart w:id="41" w:name="_Toc522777845"/>
      <w:bookmarkStart w:id="42" w:name="_Toc26361578"/>
      <w:bookmarkStart w:id="43" w:name="_Toc121842077"/>
      <w:r w:rsidRPr="00BA3BBD">
        <w:lastRenderedPageBreak/>
        <w:t>Applicants’ Admonishment</w:t>
      </w:r>
      <w:bookmarkEnd w:id="41"/>
      <w:bookmarkEnd w:id="42"/>
      <w:bookmarkEnd w:id="43"/>
    </w:p>
    <w:p w14:paraId="5BFF4112" w14:textId="77777777" w:rsidR="00B47896" w:rsidRPr="00505E89" w:rsidRDefault="00B47896" w:rsidP="00B47896">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submitting an application</w:t>
      </w:r>
      <w:r w:rsidRPr="00505E89">
        <w:t xml:space="preserve">.  In particular, please carefully read the </w:t>
      </w:r>
      <w:r w:rsidRPr="00505E89">
        <w:rPr>
          <w:b/>
        </w:rPr>
        <w:t>Screening/Scoring Criteria and</w:t>
      </w:r>
      <w:r w:rsidRPr="00505E89">
        <w:t xml:space="preserve"> </w:t>
      </w:r>
      <w:r w:rsidRPr="00505E89">
        <w:rPr>
          <w:b/>
        </w:rPr>
        <w:t xml:space="preserve">Grounds for Rejection </w:t>
      </w:r>
      <w:r w:rsidRPr="00505E89">
        <w:t xml:space="preserve">in Part IV, and the relevant EPIC Grant terms and conditions located at: http://www.energy.ca.gov/research/contractors.html.  </w:t>
      </w:r>
    </w:p>
    <w:p w14:paraId="6A70391C" w14:textId="3AD38370" w:rsidR="00B47896" w:rsidRPr="00505E89" w:rsidRDefault="00B47896" w:rsidP="00B47896">
      <w:pPr>
        <w:jc w:val="both"/>
      </w:pPr>
      <w:bookmarkStart w:id="44" w:name="_Toc433981277"/>
      <w:bookmarkStart w:id="45" w:name="_Toc395180625"/>
      <w:bookmarkStart w:id="46" w:name="_Toc382571127"/>
      <w:bookmarkStart w:id="47" w:name="_Toc381079868"/>
      <w:r w:rsidRPr="00505E89">
        <w:t>Applicants are solely responsible for the cost of developing applications. This cost cannot be charged to the State. All submitted documents will become publicly available records upon the posting of the Notice of Proposed Award.</w:t>
      </w:r>
      <w:bookmarkEnd w:id="44"/>
      <w:bookmarkEnd w:id="45"/>
      <w:bookmarkEnd w:id="46"/>
      <w:bookmarkEnd w:id="47"/>
    </w:p>
    <w:p w14:paraId="6E4BE4C0" w14:textId="77777777" w:rsidR="00B47896" w:rsidRPr="00BA3BBD" w:rsidRDefault="00B47896" w:rsidP="00B47896">
      <w:pPr>
        <w:jc w:val="both"/>
        <w:rPr>
          <w:b/>
        </w:rPr>
      </w:pPr>
    </w:p>
    <w:p w14:paraId="70938412" w14:textId="23B6BD6D" w:rsidR="00B47896" w:rsidRPr="00D24E6D" w:rsidRDefault="00BD6F40" w:rsidP="005243DB">
      <w:pPr>
        <w:pStyle w:val="Heading2"/>
        <w:numPr>
          <w:ilvl w:val="0"/>
          <w:numId w:val="71"/>
        </w:numPr>
      </w:pPr>
      <w:bookmarkStart w:id="48" w:name="_Toc522777846"/>
      <w:bookmarkStart w:id="49" w:name="_Toc26361579"/>
      <w:bookmarkStart w:id="50" w:name="_Toc121842078"/>
      <w:bookmarkStart w:id="51" w:name="AddReq"/>
      <w:r w:rsidRPr="00BA3BBD">
        <w:t>Additional Requirements</w:t>
      </w:r>
      <w:bookmarkEnd w:id="48"/>
      <w:bookmarkEnd w:id="49"/>
      <w:bookmarkEnd w:id="50"/>
    </w:p>
    <w:bookmarkEnd w:id="51"/>
    <w:p w14:paraId="663E9D26" w14:textId="30E46D21" w:rsidR="00B47896" w:rsidRPr="00BA3BBD" w:rsidRDefault="00B47896" w:rsidP="00B47896">
      <w:pPr>
        <w:numPr>
          <w:ilvl w:val="0"/>
          <w:numId w:val="80"/>
        </w:numPr>
        <w:spacing w:after="160"/>
        <w:ind w:right="720"/>
        <w:jc w:val="both"/>
        <w:rPr>
          <w:szCs w:val="22"/>
        </w:rPr>
      </w:pPr>
      <w:r w:rsidRPr="00BA3BBD">
        <w:rPr>
          <w:szCs w:val="22"/>
        </w:rPr>
        <w:t xml:space="preserve">Time is of the essence. Funds available under this solicitation have encumbrance deadlines as early as </w:t>
      </w:r>
      <w:r w:rsidRPr="00106095">
        <w:t>June 30, 2023</w:t>
      </w:r>
      <w:r w:rsidRPr="00106095">
        <w:rPr>
          <w:szCs w:val="22"/>
        </w:rPr>
        <w:t>.</w:t>
      </w:r>
      <w:r>
        <w:rPr>
          <w:szCs w:val="22"/>
        </w:rPr>
        <w:t xml:space="preserve"> </w:t>
      </w:r>
      <w:r w:rsidRPr="00BA3BBD">
        <w:rPr>
          <w:szCs w:val="22"/>
        </w:rPr>
        <w:t xml:space="preserve">This means that the CEC must approve proposed awards at a business meeting (usually held monthly) prior to </w:t>
      </w:r>
      <w:r w:rsidRPr="00106095">
        <w:rPr>
          <w:szCs w:val="22"/>
        </w:rPr>
        <w:t>June 30</w:t>
      </w:r>
      <w:r w:rsidRPr="00106095">
        <w:t>, 2023</w:t>
      </w:r>
      <w:r w:rsidRPr="008E4819">
        <w:t>,</w:t>
      </w:r>
      <w:r w:rsidRPr="008E4819">
        <w:rPr>
          <w:szCs w:val="22"/>
        </w:rPr>
        <w:t xml:space="preserve"> </w:t>
      </w:r>
      <w:r w:rsidRPr="00BA3BBD">
        <w:rPr>
          <w:szCs w:val="22"/>
        </w:rPr>
        <w:t>in order to avoid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is able to complete its review in time for it to meet its encumbrance deadline.</w:t>
      </w:r>
    </w:p>
    <w:p w14:paraId="0B1FA954" w14:textId="77777777" w:rsidR="00B47896" w:rsidRPr="00BA3BBD" w:rsidRDefault="00B47896" w:rsidP="00B47896">
      <w:pPr>
        <w:numPr>
          <w:ilvl w:val="0"/>
          <w:numId w:val="80"/>
        </w:numPr>
        <w:spacing w:after="160"/>
        <w:ind w:right="720"/>
        <w:jc w:val="both"/>
        <w:rPr>
          <w:szCs w:val="22"/>
        </w:rPr>
      </w:pPr>
      <w:r w:rsidRPr="00BA3BBD">
        <w:rPr>
          <w:szCs w:val="22"/>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58AFABEB" w14:textId="77777777" w:rsidR="00B47896" w:rsidRPr="00BA3BBD" w:rsidRDefault="00B47896" w:rsidP="00B47896">
      <w:pPr>
        <w:numPr>
          <w:ilvl w:val="0"/>
          <w:numId w:val="40"/>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66633D3F" w14:textId="77777777" w:rsidR="00B47896" w:rsidRPr="00BA3BBD" w:rsidRDefault="00B47896" w:rsidP="00B47896">
      <w:pPr>
        <w:numPr>
          <w:ilvl w:val="0"/>
          <w:numId w:val="40"/>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083182CA" w14:textId="77777777" w:rsidR="00B47896" w:rsidRPr="00BA3BBD" w:rsidRDefault="00B47896" w:rsidP="00B47896">
      <w:pPr>
        <w:numPr>
          <w:ilvl w:val="0"/>
          <w:numId w:val="40"/>
        </w:numPr>
        <w:spacing w:after="160"/>
        <w:ind w:left="1080" w:right="720"/>
        <w:jc w:val="both"/>
        <w:rPr>
          <w:szCs w:val="22"/>
        </w:rPr>
      </w:pPr>
      <w:r w:rsidRPr="00BA3BBD">
        <w:rPr>
          <w:szCs w:val="22"/>
        </w:rPr>
        <w:lastRenderedPageBreak/>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6E733E3F" w14:textId="77777777" w:rsidR="00B47896" w:rsidRPr="00BA3BBD" w:rsidRDefault="00B47896" w:rsidP="00B47896">
      <w:pPr>
        <w:numPr>
          <w:ilvl w:val="0"/>
          <w:numId w:val="40"/>
        </w:numPr>
        <w:spacing w:after="160"/>
        <w:ind w:left="1080" w:right="720"/>
        <w:jc w:val="both"/>
        <w:rPr>
          <w:b/>
          <w:szCs w:val="22"/>
        </w:rPr>
      </w:pPr>
      <w:r w:rsidRPr="00BA3BBD">
        <w:rPr>
          <w:szCs w:val="22"/>
        </w:rPr>
        <w:t>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5627DFEF" w14:textId="006A2B02" w:rsidR="00B47896" w:rsidRDefault="00B47896" w:rsidP="00B47896">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52C6C723" w14:textId="77777777" w:rsidR="00B47896" w:rsidRPr="00D24E6D" w:rsidRDefault="00B47896" w:rsidP="005243DB">
      <w:pPr>
        <w:pStyle w:val="Heading2"/>
        <w:numPr>
          <w:ilvl w:val="0"/>
          <w:numId w:val="71"/>
        </w:numPr>
      </w:pPr>
      <w:bookmarkStart w:id="52" w:name="_Toc522777847"/>
      <w:bookmarkStart w:id="53" w:name="_Toc26361580"/>
      <w:bookmarkStart w:id="54" w:name="_Toc121842079"/>
      <w:r w:rsidRPr="00BA3BBD">
        <w:t>Background</w:t>
      </w:r>
      <w:bookmarkEnd w:id="52"/>
      <w:bookmarkEnd w:id="53"/>
      <w:bookmarkEnd w:id="54"/>
    </w:p>
    <w:p w14:paraId="2ED27876" w14:textId="77777777" w:rsidR="00B47896" w:rsidRPr="00BA3BBD" w:rsidRDefault="00B47896" w:rsidP="00B47896">
      <w:pPr>
        <w:numPr>
          <w:ilvl w:val="0"/>
          <w:numId w:val="34"/>
        </w:numPr>
        <w:tabs>
          <w:tab w:val="num" w:pos="360"/>
        </w:tabs>
        <w:rPr>
          <w:b/>
        </w:rPr>
      </w:pPr>
      <w:bookmarkStart w:id="55" w:name="_Toc433981280"/>
      <w:bookmarkStart w:id="56" w:name="_Toc395180627"/>
      <w:bookmarkStart w:id="57" w:name="_Toc382571129"/>
      <w:bookmarkStart w:id="58" w:name="_Toc381079870"/>
      <w:r w:rsidRPr="00BA3BBD">
        <w:rPr>
          <w:b/>
        </w:rPr>
        <w:t>Electric Program Investment Charge (EPIC) Program</w:t>
      </w:r>
      <w:bookmarkEnd w:id="55"/>
      <w:bookmarkEnd w:id="56"/>
      <w:bookmarkEnd w:id="57"/>
      <w:bookmarkEnd w:id="58"/>
    </w:p>
    <w:p w14:paraId="5B640C2D" w14:textId="0354FC90" w:rsidR="00B47896" w:rsidRPr="00BA3BBD" w:rsidRDefault="00B47896" w:rsidP="00B47896">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11"/>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00493805" w:rsidRPr="005243DB">
        <w:rPr>
          <w:b/>
          <w:bCs/>
          <w:u w:val="single"/>
        </w:rPr>
        <w:t>meet the guiding principles of (1) improving safety, (2) increasing reliability, (3) increasing affordability, (4) improving environmental sustainability, and (5) improving equity, all as related to California's electric system.</w:t>
      </w:r>
      <w:r w:rsidR="00493805" w:rsidRPr="005243DB">
        <w:rPr>
          <w:b/>
          <w:bCs/>
          <w:u w:val="single"/>
          <w:vertAlign w:val="superscript"/>
        </w:rPr>
        <w:footnoteReference w:id="12"/>
      </w:r>
      <w:r w:rsidR="00493805" w:rsidRPr="00493805">
        <w:t xml:space="preserve"> </w:t>
      </w:r>
      <w:r w:rsidR="0079746B">
        <w:t>[</w:t>
      </w:r>
      <w:r w:rsidRPr="005243DB">
        <w:rPr>
          <w:strike/>
        </w:rPr>
        <w:t>promote greater electricity reliability, lower costs, and increased safety.</w:t>
      </w:r>
      <w:r w:rsidRPr="005243DB">
        <w:rPr>
          <w:rFonts w:ascii="Times New Roman" w:hAnsi="Times New Roman" w:cs="Times New Roman"/>
          <w:strike/>
          <w:vertAlign w:val="superscript"/>
        </w:rPr>
        <w:footnoteReference w:id="13"/>
      </w:r>
      <w:r w:rsidR="0079746B">
        <w:t>]</w:t>
      </w:r>
      <w:r w:rsidRPr="00BA3BBD">
        <w:t xml:space="preserve"> 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14"/>
      </w:r>
      <w:r w:rsidRPr="00BA3BBD">
        <w:t xml:space="preserve"> The EPIC program is administered by the CEC and the IOUs.</w:t>
      </w:r>
    </w:p>
    <w:p w14:paraId="6C4585F1" w14:textId="77777777" w:rsidR="00B47896" w:rsidRPr="00BA3BBD" w:rsidRDefault="00B47896" w:rsidP="00B47896">
      <w:pPr>
        <w:numPr>
          <w:ilvl w:val="0"/>
          <w:numId w:val="81"/>
        </w:numPr>
        <w:tabs>
          <w:tab w:val="num" w:pos="360"/>
        </w:tabs>
        <w:rPr>
          <w:b/>
        </w:rPr>
      </w:pPr>
      <w:bookmarkStart w:id="59" w:name="PrgmAreas"/>
      <w:bookmarkStart w:id="60" w:name="chkAugment"/>
      <w:r w:rsidRPr="00BA3BBD">
        <w:rPr>
          <w:b/>
        </w:rPr>
        <w:t>Program Areas, Strategic Objectives, and Funding Initiatives</w:t>
      </w:r>
    </w:p>
    <w:bookmarkEnd w:id="59"/>
    <w:p w14:paraId="42306F94" w14:textId="77777777" w:rsidR="00B47896" w:rsidRPr="00BA3BBD" w:rsidRDefault="00B47896" w:rsidP="00B47896">
      <w:pPr>
        <w:ind w:left="360"/>
        <w:jc w:val="both"/>
        <w:rPr>
          <w:b/>
        </w:rPr>
      </w:pPr>
      <w:r w:rsidRPr="00BA3BBD">
        <w:t xml:space="preserve">EPIC projects must fall within the following </w:t>
      </w:r>
      <w:r w:rsidRPr="00BA3BBD">
        <w:rPr>
          <w:b/>
        </w:rPr>
        <w:t xml:space="preserve">program areas </w:t>
      </w:r>
      <w:r w:rsidRPr="00BA3BBD">
        <w:t>identified by the CPUC:</w:t>
      </w:r>
    </w:p>
    <w:p w14:paraId="57355283" w14:textId="77777777" w:rsidR="00B47896" w:rsidRPr="00BA3BBD" w:rsidRDefault="00B47896" w:rsidP="00B47896">
      <w:pPr>
        <w:numPr>
          <w:ilvl w:val="0"/>
          <w:numId w:val="41"/>
        </w:numPr>
        <w:jc w:val="both"/>
      </w:pPr>
      <w:r w:rsidRPr="00BA3BBD">
        <w:lastRenderedPageBreak/>
        <w:t>Applied research and development;</w:t>
      </w:r>
    </w:p>
    <w:p w14:paraId="33AB4BF3" w14:textId="77777777" w:rsidR="00B47896" w:rsidRPr="00BA3BBD" w:rsidRDefault="00B47896" w:rsidP="00B47896">
      <w:pPr>
        <w:numPr>
          <w:ilvl w:val="0"/>
          <w:numId w:val="41"/>
        </w:numPr>
        <w:jc w:val="both"/>
      </w:pPr>
      <w:r w:rsidRPr="00BA3BBD">
        <w:t xml:space="preserve">Technology demonstration and deployment; and </w:t>
      </w:r>
    </w:p>
    <w:p w14:paraId="4D8D7362" w14:textId="77777777" w:rsidR="00B47896" w:rsidRPr="00BA3BBD" w:rsidRDefault="00B47896" w:rsidP="00B47896">
      <w:pPr>
        <w:numPr>
          <w:ilvl w:val="0"/>
          <w:numId w:val="41"/>
        </w:numPr>
        <w:jc w:val="both"/>
      </w:pPr>
      <w:r w:rsidRPr="00BA3BBD">
        <w:t>Market facilitation</w:t>
      </w:r>
      <w:r>
        <w:t>.</w:t>
      </w:r>
    </w:p>
    <w:p w14:paraId="469042BB" w14:textId="1EC9F37F" w:rsidR="00B47896" w:rsidRPr="00BA3BBD" w:rsidRDefault="00B47896" w:rsidP="00B47896">
      <w:pPr>
        <w:jc w:val="both"/>
        <w:rPr>
          <w:szCs w:val="22"/>
        </w:rPr>
      </w:pPr>
      <w:r w:rsidRPr="00BA3BBD">
        <w:t>In addition, projects must fall within one of the general focus areas (</w:t>
      </w:r>
      <w:r w:rsidRPr="00BA3BBD">
        <w:rPr>
          <w:b/>
        </w:rPr>
        <w:t>“strategic objectives”</w:t>
      </w:r>
      <w:r w:rsidRPr="00BA3BBD">
        <w:t>) identified in the CEC’s EPIC Investment Plans</w:t>
      </w:r>
      <w:r w:rsidRPr="00BA3BBD">
        <w:rPr>
          <w:vertAlign w:val="superscript"/>
        </w:rPr>
        <w:footnoteReference w:id="15"/>
      </w:r>
      <w:r w:rsidRPr="00BA3BBD">
        <w:t xml:space="preserve"> </w:t>
      </w:r>
      <w:r w:rsidRPr="00BA3BBD">
        <w:rPr>
          <w:rFonts w:cs="Times New Roman"/>
          <w:vertAlign w:val="superscript"/>
        </w:rPr>
        <w:footnoteReference w:id="16"/>
      </w:r>
      <w:r w:rsidRPr="00BA3BBD">
        <w:t xml:space="preserve"> and within one or more specific focus areas (</w:t>
      </w:r>
      <w:r w:rsidRPr="00BA3BBD">
        <w:rPr>
          <w:b/>
        </w:rPr>
        <w:t>“funding initiatives”</w:t>
      </w:r>
      <w:r w:rsidRPr="00BA3BBD">
        <w:t>) identified in the plan. This solicitation targets the following</w:t>
      </w:r>
      <w:r w:rsidRPr="00BA3BBD">
        <w:rPr>
          <w:szCs w:val="22"/>
        </w:rPr>
        <w:t xml:space="preserve"> program area, strategic objective, and funding initiative:</w:t>
      </w:r>
    </w:p>
    <w:p w14:paraId="275CC864" w14:textId="77777777" w:rsidR="00B47896" w:rsidRPr="00E26EF7" w:rsidRDefault="00B47896" w:rsidP="00B47896">
      <w:pPr>
        <w:jc w:val="both"/>
        <w:rPr>
          <w:b/>
        </w:rPr>
      </w:pPr>
      <w:bookmarkStart w:id="61" w:name="_Hlk96947979"/>
      <w:r w:rsidRPr="00E26EF7">
        <w:rPr>
          <w:b/>
        </w:rPr>
        <w:t>Electric Program Investment Charge Interim Investment Plan 2021</w:t>
      </w:r>
    </w:p>
    <w:p w14:paraId="2D80709B" w14:textId="77777777" w:rsidR="00B47896" w:rsidRPr="00E26EF7" w:rsidRDefault="00B47896" w:rsidP="00B47896">
      <w:pPr>
        <w:pStyle w:val="ListParagraph"/>
        <w:numPr>
          <w:ilvl w:val="0"/>
          <w:numId w:val="89"/>
        </w:numPr>
        <w:ind w:left="720"/>
        <w:jc w:val="both"/>
      </w:pPr>
      <w:bookmarkStart w:id="62" w:name="_Toc395180628"/>
      <w:bookmarkStart w:id="63" w:name="_Toc382571130"/>
      <w:bookmarkStart w:id="64" w:name="_Toc381079871"/>
      <w:bookmarkEnd w:id="61"/>
      <w:r w:rsidRPr="00AC5631">
        <w:rPr>
          <w:b/>
        </w:rPr>
        <w:t>Program Area</w:t>
      </w:r>
      <w:r w:rsidRPr="00BA3BBD">
        <w:t xml:space="preserve">: </w:t>
      </w:r>
      <w:bookmarkEnd w:id="62"/>
      <w:bookmarkEnd w:id="63"/>
      <w:bookmarkEnd w:id="64"/>
      <w:r w:rsidRPr="00E26EF7">
        <w:t>Applied Research and Development</w:t>
      </w:r>
    </w:p>
    <w:p w14:paraId="336CC0B4" w14:textId="5868B3C9" w:rsidR="00B47896" w:rsidRPr="00E26EF7" w:rsidRDefault="00B47896" w:rsidP="00B47896">
      <w:pPr>
        <w:pStyle w:val="ListParagraph"/>
        <w:numPr>
          <w:ilvl w:val="0"/>
          <w:numId w:val="89"/>
        </w:numPr>
        <w:ind w:left="720"/>
        <w:jc w:val="both"/>
        <w:rPr>
          <w:sz w:val="16"/>
          <w:szCs w:val="16"/>
        </w:rPr>
      </w:pPr>
      <w:bookmarkStart w:id="65" w:name="_Toc395180629"/>
      <w:bookmarkStart w:id="66" w:name="_Toc382571131"/>
      <w:bookmarkStart w:id="67" w:name="_Toc381079872"/>
      <w:r w:rsidRPr="00BA3BBD">
        <w:rPr>
          <w:b/>
        </w:rPr>
        <w:t>Strategic Objective</w:t>
      </w:r>
      <w:r>
        <w:rPr>
          <w:b/>
        </w:rPr>
        <w:t xml:space="preserve">/Themes: </w:t>
      </w:r>
      <w:bookmarkEnd w:id="65"/>
      <w:bookmarkEnd w:id="66"/>
      <w:bookmarkEnd w:id="67"/>
      <w:r w:rsidRPr="00EB0A67">
        <w:t>Decarbonization, and Resilience and Reliability</w:t>
      </w:r>
    </w:p>
    <w:p w14:paraId="6E297D6C" w14:textId="15AB5C61" w:rsidR="00B47896" w:rsidRPr="00E26EF7" w:rsidRDefault="00B47896" w:rsidP="00B47896">
      <w:pPr>
        <w:numPr>
          <w:ilvl w:val="1"/>
          <w:numId w:val="42"/>
        </w:numPr>
        <w:jc w:val="both"/>
        <w:rPr>
          <w:sz w:val="16"/>
          <w:szCs w:val="16"/>
        </w:rPr>
      </w:pPr>
      <w:bookmarkStart w:id="68" w:name="_Toc395180630"/>
      <w:bookmarkStart w:id="69" w:name="_Toc382571132"/>
      <w:bookmarkStart w:id="70" w:name="_Toc381079873"/>
      <w:r w:rsidRPr="00BA3BBD">
        <w:rPr>
          <w:b/>
        </w:rPr>
        <w:t>Funding Initiative</w:t>
      </w:r>
      <w:r w:rsidRPr="00BA3BBD">
        <w:t>:</w:t>
      </w:r>
      <w:bookmarkEnd w:id="68"/>
      <w:bookmarkEnd w:id="69"/>
      <w:bookmarkEnd w:id="70"/>
      <w:r w:rsidRPr="00E26EF7">
        <w:t xml:space="preserve"> </w:t>
      </w:r>
      <w:r w:rsidRPr="006F2672">
        <w:rPr>
          <w:b/>
        </w:rPr>
        <w:t>5.</w:t>
      </w:r>
      <w:r>
        <w:t xml:space="preserve"> The Role of Green Hydrogen in a Decarbonized California—A Roadmap and Strategic Plan</w:t>
      </w:r>
      <w:r w:rsidR="00EB0A67">
        <w:t xml:space="preserve"> </w:t>
      </w:r>
    </w:p>
    <w:p w14:paraId="2C265717" w14:textId="77777777" w:rsidR="00B47896" w:rsidRPr="00BA3BBD" w:rsidRDefault="00B47896" w:rsidP="00B47896">
      <w:pPr>
        <w:jc w:val="both"/>
        <w:rPr>
          <w:b/>
        </w:rPr>
      </w:pPr>
      <w:bookmarkStart w:id="71" w:name="AppLaws"/>
      <w:r w:rsidRPr="00BA3BBD">
        <w:rPr>
          <w:b/>
        </w:rPr>
        <w:t xml:space="preserve">Applicable Laws, Policies, and Background Documents </w:t>
      </w:r>
    </w:p>
    <w:bookmarkEnd w:id="71"/>
    <w:p w14:paraId="3CD3D861" w14:textId="77777777" w:rsidR="00B47896" w:rsidRPr="00BA3BBD" w:rsidRDefault="00B47896" w:rsidP="00B47896">
      <w:pPr>
        <w:jc w:val="both"/>
      </w:pPr>
      <w:r w:rsidRPr="00BA3BBD">
        <w:t>This solicitation addresses the energy goals described in the following laws, policies, and background documents.</w:t>
      </w:r>
    </w:p>
    <w:p w14:paraId="5533C36E" w14:textId="77777777" w:rsidR="00B47896" w:rsidRPr="00BA3BBD" w:rsidRDefault="00B47896" w:rsidP="00B47896">
      <w:pPr>
        <w:jc w:val="both"/>
        <w:rPr>
          <w:u w:val="single"/>
        </w:rPr>
      </w:pPr>
      <w:bookmarkStart w:id="72" w:name="RefDocs"/>
      <w:r w:rsidRPr="00BA3BBD">
        <w:rPr>
          <w:u w:val="single"/>
        </w:rPr>
        <w:t>Laws/Regulations</w:t>
      </w:r>
    </w:p>
    <w:p w14:paraId="3DDD2888" w14:textId="77777777" w:rsidR="00B47896" w:rsidRPr="00BA3BBD" w:rsidRDefault="00B47896" w:rsidP="00B47896">
      <w:pPr>
        <w:numPr>
          <w:ilvl w:val="0"/>
          <w:numId w:val="61"/>
        </w:numPr>
        <w:jc w:val="both"/>
        <w:rPr>
          <w:b/>
        </w:rPr>
      </w:pPr>
      <w:r w:rsidRPr="00BA3BBD">
        <w:rPr>
          <w:b/>
        </w:rPr>
        <w:t>Assembly Bill (AB) 32</w:t>
      </w:r>
      <w:r w:rsidRPr="00BA3BBD">
        <w:rPr>
          <w:rFonts w:cs="Times New Roman"/>
          <w:b/>
          <w:vertAlign w:val="superscript"/>
        </w:rPr>
        <w:footnoteReference w:id="17"/>
      </w:r>
      <w:r w:rsidRPr="00BA3BBD">
        <w:rPr>
          <w:b/>
        </w:rPr>
        <w:t xml:space="preserve"> - Global Warming Solutions Act of 2006 </w:t>
      </w:r>
    </w:p>
    <w:p w14:paraId="43C87811" w14:textId="4F40C945" w:rsidR="00F660F8" w:rsidRDefault="00F660F8" w:rsidP="00F660F8">
      <w:pPr>
        <w:ind w:left="720"/>
        <w:jc w:val="both"/>
      </w:pPr>
      <w:r>
        <w:t>AB 32 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GHG emissions and requires CARB to develop a Scoping Plan that describes the approach California will take to reduce GHGs.  CARB must update the plan at least once every five years.</w:t>
      </w:r>
    </w:p>
    <w:p w14:paraId="7CB2EB81" w14:textId="77777777" w:rsidR="00F660F8" w:rsidRDefault="00F660F8" w:rsidP="006D2C5A">
      <w:pPr>
        <w:ind w:left="720"/>
      </w:pPr>
      <w:r>
        <w:t>Additional information: https://leginfo.legislature.ca.gov/faces/billNavClient.xhtml?bill_id=200520060AB32; https://ww2.arb.ca.gov/our-work/programs/ab-32-climate-change-scoping-plan</w:t>
      </w:r>
    </w:p>
    <w:p w14:paraId="2378680C" w14:textId="0551B880" w:rsidR="00B47896" w:rsidRPr="00BA3BBD" w:rsidRDefault="00F660F8" w:rsidP="006D2C5A">
      <w:pPr>
        <w:ind w:left="720"/>
      </w:pPr>
      <w:r>
        <w:t>Applicable Law: California Health and Safety Code §§ 38500 et. seq.</w:t>
      </w:r>
      <w:r w:rsidR="00B47896" w:rsidRPr="00BA3BBD">
        <w:t xml:space="preserve"> </w:t>
      </w:r>
    </w:p>
    <w:p w14:paraId="5D3C6907" w14:textId="77777777" w:rsidR="00B47896" w:rsidRPr="00BA3BBD" w:rsidRDefault="00B47896" w:rsidP="00B47896">
      <w:pPr>
        <w:numPr>
          <w:ilvl w:val="0"/>
          <w:numId w:val="61"/>
        </w:numPr>
        <w:jc w:val="both"/>
        <w:rPr>
          <w:b/>
        </w:rPr>
      </w:pPr>
      <w:r w:rsidRPr="00BA3BBD">
        <w:rPr>
          <w:b/>
        </w:rPr>
        <w:t>Senate Bill (SB) 32 - California Global Warming Solutions Act of 2006: emissions limit</w:t>
      </w:r>
    </w:p>
    <w:p w14:paraId="2A6023D5" w14:textId="3529A7F9" w:rsidR="00111477" w:rsidRDefault="00111477" w:rsidP="00111477">
      <w:pPr>
        <w:ind w:left="720"/>
        <w:jc w:val="both"/>
      </w:pPr>
      <w:r>
        <w:t>SB 32 expands on AB 32 by requiring that CARB ensure statewide GHG emissions are reduced to 40</w:t>
      </w:r>
      <w:r w:rsidR="005D631F">
        <w:t>%</w:t>
      </w:r>
      <w:r>
        <w:t xml:space="preserve"> below the 1990 level by no later than December 31, 2030. SB 32 further </w:t>
      </w:r>
      <w:r>
        <w:lastRenderedPageBreak/>
        <w:t>requires that these emission reductions are achieved in a manner that benefits the state’s most disadvantaged communities and is transparent and accountable to the public and the Legislature.</w:t>
      </w:r>
    </w:p>
    <w:p w14:paraId="454B7254" w14:textId="77777777" w:rsidR="00111477" w:rsidRDefault="00111477" w:rsidP="006D2C5A">
      <w:pPr>
        <w:ind w:left="720"/>
      </w:pPr>
      <w:r>
        <w:t>Additional information: https://leginfo.legislature.ca.gov/faces/billNavClient.xhtml?bill_id=201520160SB32</w:t>
      </w:r>
    </w:p>
    <w:p w14:paraId="25B52F77" w14:textId="2F2BAAC8" w:rsidR="00B47896" w:rsidRPr="00BA3BBD" w:rsidRDefault="00111477" w:rsidP="006D2C5A">
      <w:pPr>
        <w:ind w:left="720"/>
        <w:rPr>
          <w:color w:val="0000FF"/>
          <w:szCs w:val="22"/>
          <w:u w:val="single"/>
        </w:rPr>
      </w:pPr>
      <w:r>
        <w:t>Applicable Law: California Health and Safety Code § 38566.</w:t>
      </w:r>
    </w:p>
    <w:p w14:paraId="6FD0291D" w14:textId="77777777" w:rsidR="00B47896" w:rsidRPr="00BA3BBD" w:rsidRDefault="00B47896" w:rsidP="00B47896">
      <w:pPr>
        <w:numPr>
          <w:ilvl w:val="0"/>
          <w:numId w:val="7"/>
        </w:numPr>
        <w:tabs>
          <w:tab w:val="left" w:pos="360"/>
          <w:tab w:val="left" w:pos="720"/>
        </w:tabs>
        <w:ind w:left="720"/>
        <w:jc w:val="both"/>
        <w:rPr>
          <w:b/>
        </w:rPr>
      </w:pPr>
      <w:r w:rsidRPr="00BA3BBD">
        <w:rPr>
          <w:b/>
        </w:rPr>
        <w:t>AB 2514</w:t>
      </w:r>
      <w:r w:rsidRPr="00BA3BBD">
        <w:rPr>
          <w:rFonts w:cs="Times New Roman"/>
          <w:b/>
          <w:vertAlign w:val="superscript"/>
        </w:rPr>
        <w:footnoteReference w:id="18"/>
      </w:r>
      <w:r w:rsidRPr="00BA3BBD">
        <w:rPr>
          <w:b/>
        </w:rPr>
        <w:t xml:space="preserve"> - Energy Storage Systems, </w:t>
      </w:r>
    </w:p>
    <w:p w14:paraId="1FC630ED" w14:textId="77777777" w:rsidR="00B47896" w:rsidRPr="00BA3BBD" w:rsidRDefault="00B47896" w:rsidP="00B47896">
      <w:pPr>
        <w:tabs>
          <w:tab w:val="left" w:pos="1170"/>
        </w:tabs>
        <w:ind w:left="720"/>
        <w:jc w:val="both"/>
      </w:pPr>
      <w:r w:rsidRPr="00BA3BBD">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114FC373" w14:textId="77777777" w:rsidR="00B47896" w:rsidRPr="00BA3BBD" w:rsidRDefault="00B47896" w:rsidP="00B47896">
      <w:pPr>
        <w:spacing w:after="0"/>
        <w:ind w:left="720"/>
        <w:jc w:val="both"/>
      </w:pPr>
      <w:r w:rsidRPr="00BA3BBD">
        <w:rPr>
          <w:szCs w:val="22"/>
        </w:rPr>
        <w:t>Additional information:</w:t>
      </w:r>
      <w:r w:rsidRPr="00BA3BBD">
        <w:t xml:space="preserve">  http://www.cpuc.ca.gov/general.aspx?id=3462</w:t>
      </w:r>
      <w:r w:rsidRPr="00BA3BBD">
        <w:rPr>
          <w:color w:val="0000FF"/>
          <w:u w:val="single"/>
        </w:rPr>
        <w:t xml:space="preserve"> </w:t>
      </w:r>
    </w:p>
    <w:p w14:paraId="3C09D3F7" w14:textId="77777777" w:rsidR="00B47896" w:rsidRPr="00BA3BBD" w:rsidRDefault="00B47896" w:rsidP="00B47896">
      <w:pPr>
        <w:tabs>
          <w:tab w:val="left" w:pos="720"/>
          <w:tab w:val="left" w:pos="1170"/>
        </w:tabs>
        <w:spacing w:after="240"/>
        <w:ind w:left="720"/>
        <w:jc w:val="both"/>
      </w:pPr>
      <w:r w:rsidRPr="00BA3BBD">
        <w:rPr>
          <w:szCs w:val="22"/>
        </w:rPr>
        <w:t>Applicable Law:</w:t>
      </w:r>
      <w:r w:rsidRPr="00BA3BBD">
        <w:rPr>
          <w:color w:val="000000"/>
          <w:szCs w:val="22"/>
        </w:rPr>
        <w:t xml:space="preserve"> California Public Utilities Code §§ 2835 et. seq., and § 9620 (</w:t>
      </w:r>
      <w:r w:rsidRPr="00BA3BBD">
        <w:t>http://leginfo.legislature.ca.gov/faces/billNavClient.xhtml?bill_id=200920100AB2514)</w:t>
      </w:r>
    </w:p>
    <w:p w14:paraId="22480F36" w14:textId="77777777" w:rsidR="00B47896" w:rsidRPr="00BA3BBD" w:rsidRDefault="00B47896" w:rsidP="00B47896">
      <w:pPr>
        <w:numPr>
          <w:ilvl w:val="0"/>
          <w:numId w:val="62"/>
        </w:numPr>
        <w:spacing w:line="280" w:lineRule="atLeast"/>
        <w:ind w:hanging="302"/>
        <w:jc w:val="both"/>
        <w:rPr>
          <w:rFonts w:ascii="Palatino Linotype" w:hAnsi="Palatino Linotype" w:cs="Times New Roman"/>
          <w:b/>
          <w:color w:val="000000"/>
        </w:rPr>
      </w:pPr>
      <w:r w:rsidRPr="00BA3BBD">
        <w:rPr>
          <w:b/>
          <w:color w:val="000000"/>
        </w:rPr>
        <w:t>SB 350</w:t>
      </w:r>
      <w:r w:rsidRPr="00BA3BBD">
        <w:rPr>
          <w:rFonts w:cs="Times New Roman"/>
          <w:b/>
          <w:color w:val="000000"/>
          <w:vertAlign w:val="superscript"/>
        </w:rPr>
        <w:footnoteReference w:id="19"/>
      </w:r>
      <w:r w:rsidRPr="00BA3BBD">
        <w:rPr>
          <w:b/>
          <w:color w:val="000000"/>
        </w:rPr>
        <w:t xml:space="preserve"> Clean Energy and Pollution Reduction Act of 2015, </w:t>
      </w:r>
    </w:p>
    <w:p w14:paraId="417C509A" w14:textId="77777777" w:rsidR="00B47896" w:rsidRPr="00BA3BBD" w:rsidRDefault="00B47896" w:rsidP="00B47896">
      <w:pPr>
        <w:autoSpaceDE w:val="0"/>
        <w:autoSpaceDN w:val="0"/>
        <w:adjustRightInd w:val="0"/>
        <w:ind w:left="720"/>
        <w:jc w:val="both"/>
        <w:rPr>
          <w:szCs w:val="22"/>
        </w:rPr>
      </w:pPr>
      <w:r w:rsidRPr="00BA3BBD">
        <w:rPr>
          <w:szCs w:val="22"/>
        </w:rPr>
        <w:t>SB 350 does the following: 1) expands California’s RPS goals and requires retail sellers of electricity and local publicly owned electricity to increase their procurement of eligible renewable energy resources; 2) requires the Energy Commission to establish annual targets for statewide energy efficiency savings in electricity and natural gas final end uses of retail customers by January 1, 2030; and 3) provide for transformation of the Independent System Operator into a regional organization.</w:t>
      </w:r>
    </w:p>
    <w:p w14:paraId="592CF072" w14:textId="77777777" w:rsidR="00B47896" w:rsidRPr="00BA3BBD" w:rsidRDefault="00B47896" w:rsidP="00B47896">
      <w:pPr>
        <w:spacing w:after="240" w:line="280" w:lineRule="atLeast"/>
        <w:ind w:left="720"/>
        <w:jc w:val="both"/>
        <w:rPr>
          <w:color w:val="000000"/>
        </w:rPr>
      </w:pPr>
      <w:r w:rsidRPr="00BA3BBD">
        <w:rPr>
          <w:color w:val="000000"/>
        </w:rPr>
        <w:t>Additional information: http://www.leginfo.ca.gov/pub/15-16/bill/sen/sb_0301-0350/sb_350_bill_20151007_chaptered.htm</w:t>
      </w:r>
    </w:p>
    <w:p w14:paraId="2C1130B7" w14:textId="77777777" w:rsidR="00B47896" w:rsidRPr="00BA3BBD" w:rsidRDefault="00B47896" w:rsidP="00B47896">
      <w:pPr>
        <w:numPr>
          <w:ilvl w:val="0"/>
          <w:numId w:val="62"/>
        </w:numPr>
        <w:jc w:val="both"/>
        <w:rPr>
          <w:b/>
          <w:bCs/>
        </w:rPr>
      </w:pPr>
      <w:r w:rsidRPr="00BA3BBD">
        <w:rPr>
          <w:b/>
          <w:bCs/>
        </w:rPr>
        <w:t>Senate Bill (SB) 100 - The 100 Percent Clean Energy Act of 2018</w:t>
      </w:r>
    </w:p>
    <w:p w14:paraId="2A869427" w14:textId="092186DD" w:rsidR="00B47896" w:rsidRPr="00BA3BBD" w:rsidRDefault="00B47896" w:rsidP="00B47896">
      <w:pPr>
        <w:ind w:left="720"/>
        <w:jc w:val="both"/>
        <w:rPr>
          <w:rFonts w:eastAsia="Calibri"/>
        </w:rPr>
      </w:pPr>
      <w:r w:rsidRPr="00BA3BBD">
        <w:t>SB 100 requires that 100</w:t>
      </w:r>
      <w:r w:rsidR="00AF7DD9">
        <w:t>%</w:t>
      </w:r>
      <w:r w:rsidRPr="00BA3BBD">
        <w:t xml:space="preserve"> of retail sales of electricity to California end-use customers and 100</w:t>
      </w:r>
      <w:r w:rsidR="00AF7DD9">
        <w:t>%</w:t>
      </w:r>
      <w:r w:rsidRPr="00BA3BBD">
        <w:t xml:space="preserve">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or contribute to </w:t>
      </w:r>
      <w:r w:rsidR="00D23443">
        <w:t>GHG</w:t>
      </w:r>
      <w:r w:rsidRPr="00BA3BBD">
        <w:t xml:space="preserve"> emissions increases elsewhere in the western grid.</w:t>
      </w:r>
    </w:p>
    <w:p w14:paraId="07EE7470" w14:textId="77777777" w:rsidR="00B47896" w:rsidRPr="00BA3BBD" w:rsidRDefault="00B47896" w:rsidP="00B47896">
      <w:pPr>
        <w:spacing w:after="240"/>
        <w:ind w:left="720"/>
        <w:rPr>
          <w:color w:val="0066FF"/>
        </w:rPr>
      </w:pPr>
      <w:r w:rsidRPr="00BA3BBD">
        <w:t xml:space="preserve">Additional information: </w:t>
      </w:r>
      <w:r w:rsidRPr="00A614D3">
        <w:rPr>
          <w:color w:val="000000"/>
          <w:szCs w:val="22"/>
        </w:rPr>
        <w:t>https://leginfo.legislature.ca.gov/faces/billTextClient.xhtml?bill_id=201720180SB100</w:t>
      </w:r>
      <w:r w:rsidRPr="00BA3BBD">
        <w:rPr>
          <w:color w:val="0066FF"/>
        </w:rPr>
        <w:t xml:space="preserve"> </w:t>
      </w:r>
    </w:p>
    <w:p w14:paraId="48380911" w14:textId="77777777" w:rsidR="00B47896" w:rsidRPr="00BA3BBD" w:rsidRDefault="00B47896" w:rsidP="00B47896">
      <w:pPr>
        <w:keepLines/>
        <w:jc w:val="both"/>
        <w:rPr>
          <w:szCs w:val="24"/>
          <w:u w:val="single"/>
        </w:rPr>
      </w:pPr>
      <w:r w:rsidRPr="00BA3BBD">
        <w:rPr>
          <w:szCs w:val="24"/>
          <w:u w:val="single"/>
        </w:rPr>
        <w:t>Policies/Plans</w:t>
      </w:r>
    </w:p>
    <w:p w14:paraId="1A5EFFA4" w14:textId="77777777" w:rsidR="00B47896" w:rsidRPr="00BA3BBD" w:rsidRDefault="00B47896" w:rsidP="00B47896">
      <w:pPr>
        <w:numPr>
          <w:ilvl w:val="0"/>
          <w:numId w:val="7"/>
        </w:numPr>
        <w:tabs>
          <w:tab w:val="left" w:pos="720"/>
        </w:tabs>
        <w:ind w:left="720"/>
        <w:jc w:val="both"/>
        <w:rPr>
          <w:b/>
          <w:szCs w:val="22"/>
        </w:rPr>
      </w:pPr>
      <w:r w:rsidRPr="00BA3BBD">
        <w:rPr>
          <w:b/>
          <w:szCs w:val="22"/>
        </w:rPr>
        <w:t>Integrated Energy Policy Report (Biennial)</w:t>
      </w:r>
    </w:p>
    <w:p w14:paraId="4982016E" w14:textId="77777777" w:rsidR="00B47896" w:rsidRPr="00BA3BBD" w:rsidRDefault="00B47896" w:rsidP="00B47896">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 xml:space="preserve">The IEPR assesses and forecasts all aspects of energy industry supply, production, transportation, delivery, distribution, demand, and pricing. The Energy </w:t>
      </w:r>
      <w:r w:rsidRPr="00BA3BBD">
        <w:rPr>
          <w:szCs w:val="24"/>
        </w:rPr>
        <w:lastRenderedPageBreak/>
        <w:t>Commission uses these assessments and forecasts to develop energy policies</w:t>
      </w:r>
      <w:r>
        <w:rPr>
          <w:szCs w:val="24"/>
        </w:rPr>
        <w:t xml:space="preserve"> and provide </w:t>
      </w:r>
      <w:r w:rsidRPr="00BA3BBD">
        <w:rPr>
          <w:szCs w:val="24"/>
        </w:rPr>
        <w:t>recommendations for future research and analysis areas.</w:t>
      </w:r>
    </w:p>
    <w:p w14:paraId="1B7DC469" w14:textId="77777777" w:rsidR="00B47896" w:rsidRPr="00BA3BBD" w:rsidRDefault="00B47896" w:rsidP="00B47896">
      <w:pPr>
        <w:ind w:left="720"/>
        <w:jc w:val="both"/>
      </w:pPr>
      <w:r w:rsidRPr="00BA3BBD">
        <w:rPr>
          <w:szCs w:val="22"/>
        </w:rPr>
        <w:t>Additional information:</w:t>
      </w:r>
      <w:r w:rsidRPr="00BA3BBD">
        <w:t xml:space="preserve"> http://www.energy.ca.gov/energypolicy</w:t>
      </w:r>
    </w:p>
    <w:p w14:paraId="42E4B5C1" w14:textId="77777777" w:rsidR="00B47896" w:rsidRPr="00BA3BBD" w:rsidRDefault="00B47896" w:rsidP="00B47896">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5B1D7D23" w14:textId="77777777" w:rsidR="00B47896" w:rsidRPr="00BA3BBD" w:rsidRDefault="00B47896" w:rsidP="00B47896">
      <w:pPr>
        <w:keepNext/>
        <w:numPr>
          <w:ilvl w:val="0"/>
          <w:numId w:val="7"/>
        </w:numPr>
        <w:tabs>
          <w:tab w:val="left" w:pos="720"/>
        </w:tabs>
        <w:ind w:left="720"/>
        <w:jc w:val="both"/>
        <w:rPr>
          <w:b/>
        </w:rPr>
      </w:pPr>
      <w:r w:rsidRPr="00BA3BBD">
        <w:rPr>
          <w:b/>
        </w:rPr>
        <w:t>CPUC Decision 13-10-040, “Decision Adopting Energy Storage Procurement Framework and Design Program” (2013)</w:t>
      </w:r>
    </w:p>
    <w:p w14:paraId="15568142" w14:textId="77777777" w:rsidR="00B47896" w:rsidRPr="00BA3BBD" w:rsidRDefault="00B47896" w:rsidP="00B47896">
      <w:pPr>
        <w:keepNext/>
        <w:tabs>
          <w:tab w:val="left" w:pos="720"/>
        </w:tabs>
        <w:ind w:left="720"/>
        <w:jc w:val="both"/>
      </w:pPr>
      <w:r w:rsidRPr="00BA3BBD">
        <w:t>The Decision establishes policies and mechanisms for energy storage procurement, as required by AB 2514 (described above). The IOU procurement target is 1,325 megawatts of energy storage by 2020, with installations required no later than the end of 2024.</w:t>
      </w:r>
    </w:p>
    <w:p w14:paraId="32A976C7" w14:textId="77777777" w:rsidR="00B47896" w:rsidRPr="00BA3BBD" w:rsidRDefault="00B47896" w:rsidP="00B47896">
      <w:pPr>
        <w:tabs>
          <w:tab w:val="left" w:pos="720"/>
        </w:tabs>
        <w:spacing w:after="240"/>
        <w:ind w:left="720"/>
        <w:rPr>
          <w:szCs w:val="22"/>
        </w:rPr>
      </w:pPr>
      <w:r w:rsidRPr="00BA3BBD">
        <w:rPr>
          <w:szCs w:val="22"/>
        </w:rPr>
        <w:t xml:space="preserve">Additional information: </w:t>
      </w:r>
      <w:r w:rsidRPr="00BA3BBD">
        <w:t>http://www.cpuc.ca.gov/uploadedfiles/cpuc_public_website/content/about_us/organization/former_commissioners/peevey(1)/news_and_announcements/ferron_peevey_concurrence_storaged1310040.pdf</w:t>
      </w:r>
    </w:p>
    <w:p w14:paraId="6C8A7C2D" w14:textId="77777777" w:rsidR="00B47896" w:rsidRPr="00BA3BBD" w:rsidRDefault="00B47896" w:rsidP="00B47896">
      <w:pPr>
        <w:keepLines/>
        <w:widowControl w:val="0"/>
        <w:tabs>
          <w:tab w:val="left" w:pos="360"/>
        </w:tabs>
        <w:spacing w:before="240"/>
        <w:jc w:val="both"/>
        <w:rPr>
          <w:szCs w:val="22"/>
          <w:u w:val="single"/>
        </w:rPr>
      </w:pPr>
      <w:r w:rsidRPr="00BA3BBD">
        <w:rPr>
          <w:szCs w:val="22"/>
          <w:u w:val="single"/>
        </w:rPr>
        <w:t>Reference Documents</w:t>
      </w:r>
    </w:p>
    <w:bookmarkEnd w:id="72"/>
    <w:p w14:paraId="17CAB5B9" w14:textId="47276DC5" w:rsidR="00B47896" w:rsidRPr="00BA3BBD" w:rsidRDefault="00B47896" w:rsidP="00B47896">
      <w:pPr>
        <w:keepLines/>
        <w:widowControl w:val="0"/>
        <w:jc w:val="both"/>
        <w:rPr>
          <w:szCs w:val="22"/>
        </w:rPr>
      </w:pPr>
      <w:r w:rsidRPr="00BA3BBD">
        <w:rPr>
          <w:szCs w:val="22"/>
        </w:rPr>
        <w:t xml:space="preserve">Refer to the link below for information about past CEC research projects and activities: </w:t>
      </w:r>
    </w:p>
    <w:p w14:paraId="56AA38EC" w14:textId="77777777" w:rsidR="00B47896" w:rsidRPr="00A614D3" w:rsidRDefault="00B47896" w:rsidP="00B47896">
      <w:pPr>
        <w:keepLines/>
        <w:widowControl w:val="0"/>
        <w:numPr>
          <w:ilvl w:val="0"/>
          <w:numId w:val="30"/>
        </w:numPr>
        <w:spacing w:after="0"/>
        <w:ind w:hanging="270"/>
        <w:jc w:val="both"/>
        <w:rPr>
          <w:szCs w:val="22"/>
        </w:rPr>
      </w:pPr>
      <w:r w:rsidRPr="00A614D3">
        <w:rPr>
          <w:szCs w:val="22"/>
        </w:rPr>
        <w:t>http://www.energy.ca.gov/research/</w:t>
      </w:r>
    </w:p>
    <w:p w14:paraId="5B5690D9" w14:textId="77777777" w:rsidR="00B47896" w:rsidRPr="00BA3BBD" w:rsidRDefault="00B47896" w:rsidP="00B47896">
      <w:pPr>
        <w:tabs>
          <w:tab w:val="left" w:pos="1170"/>
        </w:tabs>
        <w:spacing w:after="0"/>
        <w:jc w:val="both"/>
      </w:pPr>
    </w:p>
    <w:p w14:paraId="22FFA9E1" w14:textId="7BD539F8" w:rsidR="00B47896" w:rsidRPr="00215E17" w:rsidRDefault="00B47896" w:rsidP="771F77BB">
      <w:pPr>
        <w:tabs>
          <w:tab w:val="left" w:pos="1170"/>
        </w:tabs>
        <w:spacing w:after="240"/>
        <w:jc w:val="both"/>
      </w:pPr>
      <w:r w:rsidRPr="00BA3BBD">
        <w:t>Refer to the documents</w:t>
      </w:r>
      <w:r w:rsidR="009543BB">
        <w:t>/</w:t>
      </w:r>
      <w:r w:rsidR="00F036D6">
        <w:t>webpages</w:t>
      </w:r>
      <w:r w:rsidRPr="00BA3BBD">
        <w:t xml:space="preserve"> below for information about activities associated with </w:t>
      </w:r>
      <w:r w:rsidRPr="00215E17">
        <w:t>hydrogen research and demonstration.</w:t>
      </w:r>
    </w:p>
    <w:p w14:paraId="3DAF6E7E" w14:textId="02D8E3A8" w:rsidR="000B5163" w:rsidRPr="006D2C5A" w:rsidRDefault="0025457A" w:rsidP="00960085">
      <w:pPr>
        <w:numPr>
          <w:ilvl w:val="0"/>
          <w:numId w:val="30"/>
        </w:numPr>
        <w:tabs>
          <w:tab w:val="left" w:pos="720"/>
          <w:tab w:val="left" w:pos="1440"/>
        </w:tabs>
        <w:spacing w:after="240"/>
        <w:rPr>
          <w:rStyle w:val="Hyperlink"/>
          <w:rFonts w:eastAsiaTheme="minorEastAsia" w:cs="Arial"/>
          <w:color w:val="auto"/>
          <w:szCs w:val="22"/>
          <w:u w:val="none"/>
        </w:rPr>
      </w:pPr>
      <w:hyperlink r:id="rId21" w:history="1">
        <w:r w:rsidR="17C041F5" w:rsidRPr="00960085">
          <w:rPr>
            <w:rStyle w:val="Hyperlink"/>
            <w:rFonts w:cs="Arial"/>
          </w:rPr>
          <w:t xml:space="preserve">U.S. Department of Energy </w:t>
        </w:r>
        <w:r w:rsidR="78A2E9CB" w:rsidRPr="00960085">
          <w:rPr>
            <w:rStyle w:val="Hyperlink"/>
            <w:rFonts w:cs="Arial"/>
          </w:rPr>
          <w:t xml:space="preserve">National </w:t>
        </w:r>
        <w:r w:rsidR="17C041F5" w:rsidRPr="00960085">
          <w:rPr>
            <w:rStyle w:val="Hyperlink"/>
            <w:rFonts w:cs="Arial"/>
          </w:rPr>
          <w:t xml:space="preserve">Clean Hydrogen </w:t>
        </w:r>
        <w:r w:rsidR="42DDE686" w:rsidRPr="00960085">
          <w:rPr>
            <w:rStyle w:val="Hyperlink"/>
            <w:rFonts w:cs="Arial"/>
          </w:rPr>
          <w:t xml:space="preserve">Strategy and Roadmap. Draft </w:t>
        </w:r>
        <w:r w:rsidR="007A2FD1" w:rsidRPr="00960085">
          <w:rPr>
            <w:rStyle w:val="Hyperlink"/>
            <w:rFonts w:cs="Arial"/>
          </w:rPr>
          <w:t>-</w:t>
        </w:r>
        <w:r w:rsidR="002C3E6D" w:rsidRPr="00960085">
          <w:rPr>
            <w:rStyle w:val="Hyperlink"/>
            <w:rFonts w:cs="Arial"/>
          </w:rPr>
          <w:t xml:space="preserve"> </w:t>
        </w:r>
        <w:r w:rsidR="42DDE686" w:rsidRPr="00960085">
          <w:rPr>
            <w:rStyle w:val="Hyperlink"/>
            <w:rFonts w:cs="Arial"/>
          </w:rPr>
          <w:t>September 2022</w:t>
        </w:r>
      </w:hyperlink>
      <w:r w:rsidR="42DDE686" w:rsidRPr="00C578A6">
        <w:t xml:space="preserve">. </w:t>
      </w:r>
      <w:r w:rsidR="00835ED2" w:rsidRPr="006D2C5A">
        <w:rPr>
          <w:rStyle w:val="Hyperlink"/>
          <w:rFonts w:eastAsiaTheme="minorEastAsia" w:cs="Arial"/>
          <w:color w:val="auto"/>
          <w:szCs w:val="22"/>
          <w:u w:val="none"/>
        </w:rPr>
        <w:t>https://www.hydrogen.energy.gov/pdfs/clean-hydrogen-strategy-roadmap.pdf</w:t>
      </w:r>
    </w:p>
    <w:p w14:paraId="296E5FCC" w14:textId="50F27D2A" w:rsidR="2F594326" w:rsidRPr="00C578A6" w:rsidRDefault="0025457A" w:rsidP="771F77BB">
      <w:pPr>
        <w:numPr>
          <w:ilvl w:val="0"/>
          <w:numId w:val="30"/>
        </w:numPr>
        <w:tabs>
          <w:tab w:val="left" w:pos="720"/>
          <w:tab w:val="left" w:pos="1440"/>
        </w:tabs>
        <w:spacing w:after="240"/>
        <w:rPr>
          <w:rStyle w:val="Hyperlink"/>
          <w:rFonts w:eastAsiaTheme="minorEastAsia" w:cs="Arial"/>
          <w:color w:val="auto"/>
          <w:szCs w:val="22"/>
          <w:u w:val="none"/>
        </w:rPr>
      </w:pPr>
      <w:hyperlink r:id="rId22" w:history="1">
        <w:r w:rsidR="2F594326" w:rsidRPr="00F8029A">
          <w:rPr>
            <w:rStyle w:val="Hyperlink"/>
            <w:rFonts w:cs="Arial"/>
            <w:szCs w:val="22"/>
          </w:rPr>
          <w:t>U.S. Department of Energy Regional Clean Hydrogen Hubs Program</w:t>
        </w:r>
      </w:hyperlink>
      <w:r w:rsidR="2F594326" w:rsidRPr="00C578A6">
        <w:rPr>
          <w:rStyle w:val="Hyperlink"/>
          <w:rFonts w:cs="Arial"/>
          <w:color w:val="auto"/>
          <w:szCs w:val="22"/>
          <w:u w:val="none"/>
        </w:rPr>
        <w:t xml:space="preserve">. </w:t>
      </w:r>
      <w:r w:rsidR="000D6EE3" w:rsidRPr="00C578A6">
        <w:t xml:space="preserve"> </w:t>
      </w:r>
      <w:r w:rsidR="000D6EE3" w:rsidRPr="006D2C5A">
        <w:t>https://www.energy.gov/oced/regional-clean-hydrogen-hubs</w:t>
      </w:r>
    </w:p>
    <w:p w14:paraId="4524D66F" w14:textId="240CFA45" w:rsidR="00B47896" w:rsidRPr="006D2C5A" w:rsidRDefault="0025457A" w:rsidP="00B47896">
      <w:pPr>
        <w:numPr>
          <w:ilvl w:val="0"/>
          <w:numId w:val="30"/>
        </w:numPr>
        <w:tabs>
          <w:tab w:val="left" w:pos="720"/>
          <w:tab w:val="left" w:pos="1440"/>
        </w:tabs>
        <w:spacing w:after="240"/>
      </w:pPr>
      <w:hyperlink r:id="rId23" w:history="1">
        <w:r w:rsidR="00B47896" w:rsidRPr="00835ED2">
          <w:rPr>
            <w:rStyle w:val="Hyperlink"/>
            <w:rFonts w:cs="Arial"/>
          </w:rPr>
          <w:t>U.S. Department of Energy Hydrogen Program Plan, November 2020</w:t>
        </w:r>
      </w:hyperlink>
      <w:r w:rsidR="00B47896" w:rsidRPr="00621704">
        <w:t>: https://www.hydrogen.energy.gov/pdfs/hydrogen-program-plan-2020.pdf</w:t>
      </w:r>
    </w:p>
    <w:p w14:paraId="314334EB" w14:textId="46F266D8" w:rsidR="00B47896" w:rsidRPr="006D2C5A" w:rsidRDefault="0025457A" w:rsidP="00B47896">
      <w:pPr>
        <w:numPr>
          <w:ilvl w:val="0"/>
          <w:numId w:val="30"/>
        </w:numPr>
        <w:tabs>
          <w:tab w:val="left" w:pos="720"/>
          <w:tab w:val="left" w:pos="1440"/>
        </w:tabs>
        <w:spacing w:after="240"/>
      </w:pPr>
      <w:hyperlink r:id="rId24" w:history="1">
        <w:r w:rsidR="00B47896" w:rsidRPr="00D758EA">
          <w:rPr>
            <w:rStyle w:val="Hyperlink"/>
            <w:rFonts w:cs="Arial"/>
          </w:rPr>
          <w:t>U.S. Department of Energy and U.S. Department of Transportation Hydrogen Posture Plan, December 2006</w:t>
        </w:r>
      </w:hyperlink>
      <w:r w:rsidR="00B47896" w:rsidRPr="006D2C5A">
        <w:t>: https://www.hydrogen.energy.gov/pdfs/hydrogen_posture_plan_dec06.pdf</w:t>
      </w:r>
    </w:p>
    <w:p w14:paraId="7A51F7FB" w14:textId="736AC265" w:rsidR="00B47896" w:rsidRPr="006D2C5A" w:rsidRDefault="0025457A" w:rsidP="00B47896">
      <w:pPr>
        <w:numPr>
          <w:ilvl w:val="0"/>
          <w:numId w:val="30"/>
        </w:numPr>
        <w:tabs>
          <w:tab w:val="left" w:pos="720"/>
          <w:tab w:val="left" w:pos="1440"/>
        </w:tabs>
        <w:spacing w:after="240"/>
      </w:pPr>
      <w:hyperlink r:id="rId25" w:history="1">
        <w:r w:rsidR="00B47896" w:rsidRPr="00A43EF3">
          <w:rPr>
            <w:rStyle w:val="Hyperlink"/>
            <w:rFonts w:cs="Arial"/>
          </w:rPr>
          <w:t>U.S. Department of Energy Hydrogen and Fuel Cells Program Plan, September 2011</w:t>
        </w:r>
      </w:hyperlink>
      <w:r w:rsidR="00B47896" w:rsidRPr="006D2C5A">
        <w:t>: https://www.hydrogen.energy.gov/pdfs/program_plan2011.pdf</w:t>
      </w:r>
    </w:p>
    <w:p w14:paraId="35A34581" w14:textId="4F603049" w:rsidR="00B47896" w:rsidRPr="006D2C5A" w:rsidRDefault="0025457A" w:rsidP="00B47896">
      <w:pPr>
        <w:numPr>
          <w:ilvl w:val="0"/>
          <w:numId w:val="30"/>
        </w:numPr>
        <w:tabs>
          <w:tab w:val="left" w:pos="720"/>
          <w:tab w:val="left" w:pos="1440"/>
        </w:tabs>
        <w:spacing w:after="240"/>
      </w:pPr>
      <w:hyperlink r:id="rId26" w:history="1">
        <w:r w:rsidR="00B47896" w:rsidRPr="00BE1F92">
          <w:rPr>
            <w:rStyle w:val="Hyperlink"/>
            <w:rFonts w:cs="Arial"/>
          </w:rPr>
          <w:t>“Road Map to a US Hydrogen Economy”, March 2020, a combined work of the Fuel Cell &amp; Hydrogen Energy Association, 20 companies and organizations, and others</w:t>
        </w:r>
      </w:hyperlink>
      <w:r w:rsidR="00B47896" w:rsidRPr="006D2C5A">
        <w:t>:  http://www.fchea.org/s/Road-Map-to-a-US-Hydrogen-Economy-Full-Report.pdf</w:t>
      </w:r>
    </w:p>
    <w:p w14:paraId="53AE404D" w14:textId="21AAC1D8" w:rsidR="00B47896" w:rsidRPr="006D2C5A" w:rsidRDefault="0025457A" w:rsidP="00B47896">
      <w:pPr>
        <w:numPr>
          <w:ilvl w:val="0"/>
          <w:numId w:val="30"/>
        </w:numPr>
        <w:tabs>
          <w:tab w:val="left" w:pos="720"/>
          <w:tab w:val="left" w:pos="1440"/>
        </w:tabs>
        <w:spacing w:after="240"/>
      </w:pPr>
      <w:hyperlink r:id="rId27" w:anchor="S32" w:history="1">
        <w:r w:rsidR="00B47896" w:rsidRPr="00C5238C">
          <w:rPr>
            <w:rStyle w:val="Hyperlink"/>
            <w:rFonts w:cs="Arial"/>
          </w:rPr>
          <w:t>California Hydrogen Business Council, Hydrogen FAQs</w:t>
        </w:r>
      </w:hyperlink>
      <w:r w:rsidR="00B47896" w:rsidRPr="006D2C5A">
        <w:t>:  https://www.californiahydrogen.org/resources/hydrogen-faq/#S32</w:t>
      </w:r>
    </w:p>
    <w:p w14:paraId="5EE5AD07" w14:textId="2D56810A" w:rsidR="00B47896" w:rsidRPr="006D2C5A" w:rsidRDefault="0025457A" w:rsidP="00B47896">
      <w:pPr>
        <w:numPr>
          <w:ilvl w:val="0"/>
          <w:numId w:val="30"/>
        </w:numPr>
        <w:tabs>
          <w:tab w:val="left" w:pos="720"/>
          <w:tab w:val="left" w:pos="1440"/>
        </w:tabs>
        <w:spacing w:after="240"/>
      </w:pPr>
      <w:hyperlink r:id="rId28" w:history="1">
        <w:r w:rsidR="00B47896" w:rsidRPr="00C5238C">
          <w:rPr>
            <w:rStyle w:val="Hyperlink"/>
            <w:rFonts w:cs="Arial"/>
          </w:rPr>
          <w:t>California Air Resources Board’s “Unofficial electronic version of the Low Carbon Fuel Standard Regulation”, May 2020</w:t>
        </w:r>
      </w:hyperlink>
      <w:r w:rsidR="00B47896" w:rsidRPr="006D2C5A">
        <w:t>:  https://ww2.arb.ca.gov/sites/default/files/2020-07/2020_lcfs_fro_oal-approved_unofficial_06302020.pdf</w:t>
      </w:r>
    </w:p>
    <w:p w14:paraId="2C2BC454" w14:textId="77777777" w:rsidR="00B47896" w:rsidRPr="006D2C5A" w:rsidRDefault="00B47896" w:rsidP="00B47896">
      <w:pPr>
        <w:numPr>
          <w:ilvl w:val="0"/>
          <w:numId w:val="30"/>
        </w:numPr>
        <w:tabs>
          <w:tab w:val="left" w:pos="720"/>
          <w:tab w:val="left" w:pos="1440"/>
        </w:tabs>
        <w:spacing w:after="240"/>
      </w:pPr>
      <w:r w:rsidRPr="006D2C5A">
        <w:t xml:space="preserve">Joint Agency Staff Report on Assembly Bill 8: 2019 Annual Assessment of Time and Cost Needed to Attain 100 Hydrogen Refueling Stations in California:  </w:t>
      </w:r>
    </w:p>
    <w:p w14:paraId="26179BBD" w14:textId="43AB4909" w:rsidR="00B47896" w:rsidRPr="006D2C5A" w:rsidRDefault="0025457A" w:rsidP="007039F0">
      <w:pPr>
        <w:numPr>
          <w:ilvl w:val="1"/>
          <w:numId w:val="30"/>
        </w:numPr>
        <w:tabs>
          <w:tab w:val="left" w:pos="720"/>
          <w:tab w:val="left" w:pos="1440"/>
        </w:tabs>
        <w:spacing w:after="240"/>
      </w:pPr>
      <w:hyperlink r:id="rId29" w:history="1">
        <w:r w:rsidR="00B47896" w:rsidRPr="00C5238C">
          <w:rPr>
            <w:rStyle w:val="Hyperlink"/>
            <w:rFonts w:cs="Arial"/>
          </w:rPr>
          <w:t>Webpage</w:t>
        </w:r>
      </w:hyperlink>
      <w:r w:rsidR="00B47896" w:rsidRPr="006D2C5A">
        <w:t xml:space="preserve">:  </w:t>
      </w:r>
      <w:r w:rsidR="00B47896" w:rsidRPr="00621704">
        <w:t>https://ww2.energy.ca.gov/publications/displayOneReport_cms.php?pubNum=CEC-600-2019-039</w:t>
      </w:r>
    </w:p>
    <w:p w14:paraId="72BE779A" w14:textId="1AA81F44" w:rsidR="00B47896" w:rsidRPr="006D2C5A" w:rsidRDefault="0025457A" w:rsidP="007039F0">
      <w:pPr>
        <w:numPr>
          <w:ilvl w:val="1"/>
          <w:numId w:val="30"/>
        </w:numPr>
        <w:tabs>
          <w:tab w:val="left" w:pos="720"/>
          <w:tab w:val="left" w:pos="1440"/>
        </w:tabs>
        <w:spacing w:after="240"/>
      </w:pPr>
      <w:hyperlink r:id="rId30" w:history="1">
        <w:r w:rsidR="00B47896" w:rsidRPr="00C5238C">
          <w:rPr>
            <w:rStyle w:val="Hyperlink"/>
            <w:rFonts w:cs="Arial"/>
          </w:rPr>
          <w:t>Report</w:t>
        </w:r>
      </w:hyperlink>
      <w:r w:rsidR="00B47896" w:rsidRPr="006D2C5A">
        <w:t>:  https://www.energy.ca.gov/sites/default/files/2021-05/CEC-600-2019-039.pdf</w:t>
      </w:r>
    </w:p>
    <w:p w14:paraId="0FFF35E6" w14:textId="77777777" w:rsidR="00B47896" w:rsidRPr="00D24E6D" w:rsidRDefault="00B47896" w:rsidP="005243DB">
      <w:pPr>
        <w:pStyle w:val="Heading2"/>
        <w:numPr>
          <w:ilvl w:val="0"/>
          <w:numId w:val="71"/>
        </w:numPr>
      </w:pPr>
      <w:bookmarkStart w:id="73" w:name="_Toc522777848"/>
      <w:bookmarkStart w:id="74" w:name="_Toc26361581"/>
      <w:bookmarkStart w:id="75" w:name="_Toc121842080"/>
      <w:r w:rsidRPr="00BA3BBD">
        <w:t>Match Funding</w:t>
      </w:r>
      <w:bookmarkEnd w:id="73"/>
      <w:bookmarkEnd w:id="74"/>
      <w:bookmarkEnd w:id="75"/>
    </w:p>
    <w:bookmarkEnd w:id="60"/>
    <w:p w14:paraId="4CC38235" w14:textId="77777777" w:rsidR="00B47896" w:rsidRPr="00BA3BBD" w:rsidRDefault="00B47896" w:rsidP="00B47896">
      <w:pPr>
        <w:numPr>
          <w:ilvl w:val="0"/>
          <w:numId w:val="20"/>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03671A4D" w14:textId="77777777" w:rsidR="00B47896" w:rsidRPr="00BA3BBD" w:rsidRDefault="00B47896" w:rsidP="00B47896">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include: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2568B6CB" w14:textId="77777777" w:rsidR="00B47896" w:rsidRPr="00BA3BBD" w:rsidRDefault="00B47896" w:rsidP="00B47896">
      <w:pPr>
        <w:tabs>
          <w:tab w:val="left" w:pos="1080"/>
        </w:tabs>
        <w:ind w:left="1080"/>
        <w:jc w:val="both"/>
        <w:rPr>
          <w:szCs w:val="22"/>
        </w:rPr>
      </w:pPr>
      <w:r w:rsidRPr="00BA3BBD">
        <w:rPr>
          <w:szCs w:val="22"/>
        </w:rPr>
        <w:t>Definitions of “match funding” categories are listed below:</w:t>
      </w:r>
    </w:p>
    <w:p w14:paraId="3D3953C7" w14:textId="5BF5DF6E" w:rsidR="00B47896" w:rsidRPr="00BA3BBD" w:rsidRDefault="00B47896" w:rsidP="00B47896">
      <w:pPr>
        <w:numPr>
          <w:ilvl w:val="2"/>
          <w:numId w:val="20"/>
        </w:numPr>
        <w:tabs>
          <w:tab w:val="left" w:pos="1080"/>
          <w:tab w:val="left" w:pos="1440"/>
          <w:tab w:val="left" w:pos="1530"/>
        </w:tabs>
        <w:spacing w:before="120"/>
        <w:ind w:left="1620"/>
        <w:jc w:val="both"/>
        <w:rPr>
          <w:szCs w:val="22"/>
        </w:rPr>
      </w:pPr>
      <w:r>
        <w:rPr>
          <w:b/>
          <w:szCs w:val="22"/>
        </w:rPr>
        <w:t>“</w:t>
      </w:r>
      <w:r w:rsidRPr="00BA3BBD">
        <w:rPr>
          <w:b/>
          <w:szCs w:val="22"/>
        </w:rPr>
        <w:t>Cash”</w:t>
      </w:r>
      <w:r w:rsidRPr="00BA3BBD">
        <w:rPr>
          <w:szCs w:val="22"/>
        </w:rPr>
        <w:t xml:space="preserve"> </w:t>
      </w:r>
      <w:r w:rsidRPr="00BA3BBD">
        <w:rPr>
          <w:b/>
          <w:szCs w:val="22"/>
        </w:rPr>
        <w:t>match</w:t>
      </w:r>
      <w:r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5B4FBE73" w14:textId="77777777" w:rsidR="00B47896" w:rsidRPr="00BA3BBD" w:rsidRDefault="00B47896" w:rsidP="00B47896">
      <w:pPr>
        <w:numPr>
          <w:ilvl w:val="2"/>
          <w:numId w:val="20"/>
        </w:numPr>
        <w:tabs>
          <w:tab w:val="left" w:pos="1080"/>
          <w:tab w:val="left" w:pos="1440"/>
          <w:tab w:val="left" w:pos="1530"/>
        </w:tabs>
        <w:spacing w:before="120"/>
        <w:ind w:left="162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 (GAAP).</w:t>
      </w:r>
    </w:p>
    <w:p w14:paraId="1D4A34B8" w14:textId="77777777" w:rsidR="00B47896" w:rsidRPr="00BA3BBD" w:rsidRDefault="00B47896" w:rsidP="00B47896">
      <w:pPr>
        <w:numPr>
          <w:ilvl w:val="0"/>
          <w:numId w:val="20"/>
        </w:numPr>
        <w:tabs>
          <w:tab w:val="left" w:pos="1080"/>
        </w:tabs>
        <w:spacing w:after="0"/>
        <w:ind w:left="1080"/>
        <w:jc w:val="both"/>
      </w:pPr>
      <w:r w:rsidRPr="00BA3BBD">
        <w:t>Match funds m</w:t>
      </w:r>
      <w:r>
        <w:t>ust</w:t>
      </w:r>
      <w:r w:rsidRPr="00BA3BBD">
        <w:t xml:space="preserve"> be spent only during the agreement term, either before or concurrently with EPIC funds. Match funds also must be </w:t>
      </w:r>
      <w:r w:rsidRPr="00BA3BBD">
        <w:rPr>
          <w:szCs w:val="22"/>
        </w:rPr>
        <w:t>r</w:t>
      </w:r>
      <w:r w:rsidRPr="00BA3BBD">
        <w:t>eported in invoices submitted to the CEC.</w:t>
      </w:r>
      <w:r w:rsidRPr="00BA3BBD">
        <w:rPr>
          <w:b/>
        </w:rPr>
        <w:t xml:space="preserve"> </w:t>
      </w:r>
    </w:p>
    <w:p w14:paraId="42D542BF" w14:textId="37A2776A" w:rsidR="00B47896" w:rsidRPr="00BA3BBD" w:rsidRDefault="00B47896" w:rsidP="00B47896">
      <w:pPr>
        <w:numPr>
          <w:ilvl w:val="0"/>
          <w:numId w:val="20"/>
        </w:numPr>
        <w:tabs>
          <w:tab w:val="left" w:pos="1080"/>
        </w:tabs>
        <w:suppressAutoHyphens/>
        <w:ind w:left="1080"/>
        <w:jc w:val="both"/>
        <w:rPr>
          <w:szCs w:val="22"/>
        </w:rPr>
      </w:pPr>
      <w:r w:rsidRPr="00BA3BBD">
        <w:rPr>
          <w:szCs w:val="22"/>
        </w:rPr>
        <w:t xml:space="preserve">All applicants providing match funds must submit commitment letters, </w:t>
      </w:r>
      <w:r w:rsidRPr="00BA3BBD">
        <w:rPr>
          <w:b/>
          <w:szCs w:val="22"/>
        </w:rPr>
        <w:t>including prime and subcontractors</w:t>
      </w:r>
      <w:r w:rsidRPr="00BA3BBD">
        <w:rPr>
          <w:szCs w:val="22"/>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w:t>
      </w:r>
      <w:r w:rsidRPr="00BA3BBD">
        <w:rPr>
          <w:szCs w:val="22"/>
        </w:rPr>
        <w:lastRenderedPageBreak/>
        <w:t xml:space="preserve">Attachment 11, Commitment and Support Letter Form. Commitment and support letters must be submitted with the application to be considered. </w:t>
      </w:r>
    </w:p>
    <w:p w14:paraId="0A6E734E" w14:textId="212C8F03" w:rsidR="00B47896" w:rsidRPr="00BA3BBD" w:rsidRDefault="00B47896" w:rsidP="00B47896">
      <w:pPr>
        <w:numPr>
          <w:ilvl w:val="0"/>
          <w:numId w:val="20"/>
        </w:numPr>
        <w:tabs>
          <w:tab w:val="left" w:pos="1080"/>
        </w:tabs>
        <w:suppressAutoHyphens/>
        <w:ind w:left="1080"/>
        <w:jc w:val="both"/>
        <w:rPr>
          <w:szCs w:val="22"/>
        </w:rPr>
      </w:pPr>
      <w:r w:rsidRPr="00BA3BBD">
        <w:rPr>
          <w:color w:val="000000" w:themeColor="text1"/>
          <w:szCs w:val="22"/>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4A4A299D" w14:textId="77777777" w:rsidR="00B47896" w:rsidRPr="00BA3BBD" w:rsidRDefault="00B47896" w:rsidP="00B47896">
      <w:pPr>
        <w:tabs>
          <w:tab w:val="left" w:pos="1080"/>
          <w:tab w:val="left" w:pos="1440"/>
          <w:tab w:val="left" w:pos="1530"/>
        </w:tabs>
        <w:spacing w:after="60"/>
        <w:jc w:val="both"/>
        <w:rPr>
          <w:szCs w:val="22"/>
        </w:rPr>
      </w:pPr>
      <w:r w:rsidRPr="00BA3BBD">
        <w:rPr>
          <w:szCs w:val="22"/>
        </w:rPr>
        <w:t>Examples of preferred match share:</w:t>
      </w:r>
    </w:p>
    <w:p w14:paraId="1A2B414E" w14:textId="3D5083AA" w:rsidR="00B47896" w:rsidRDefault="00B47896" w:rsidP="00B47896">
      <w:pPr>
        <w:numPr>
          <w:ilvl w:val="2"/>
          <w:numId w:val="20"/>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Pr>
          <w:szCs w:val="22"/>
        </w:rPr>
        <w:t xml:space="preserve">, </w:t>
      </w:r>
      <w:r w:rsidRPr="00BA3BBD">
        <w:rPr>
          <w:szCs w:val="22"/>
        </w:rPr>
        <w:t xml:space="preserve">and travel to conferences. EPIC funds are limited to lodging and any form of transportation (e.g., airfare, rental car, public transit, parking, mileage). Use of match funds for out-of-state travel is encouraged, </w:t>
      </w:r>
      <w:r>
        <w:rPr>
          <w:szCs w:val="22"/>
        </w:rPr>
        <w:t>as</w:t>
      </w:r>
      <w:r w:rsidRPr="00BA3BBD">
        <w:rPr>
          <w:szCs w:val="22"/>
        </w:rPr>
        <w:t xml:space="preserve"> the CEC </w:t>
      </w:r>
      <w:r>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08751BF0" w14:textId="5935AEC2" w:rsidR="00B47896" w:rsidRPr="00BA3BBD" w:rsidRDefault="00B47896" w:rsidP="00B47896">
      <w:pPr>
        <w:numPr>
          <w:ilvl w:val="2"/>
          <w:numId w:val="20"/>
        </w:numPr>
        <w:tabs>
          <w:tab w:val="left" w:pos="1620"/>
        </w:tabs>
        <w:spacing w:before="120"/>
        <w:ind w:left="162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Purchasing equipment with match funding is encouraged</w:t>
      </w:r>
      <w:r w:rsidRPr="00BA3BBD">
        <w:rPr>
          <w:snapToGrid w:val="0"/>
          <w:szCs w:val="22"/>
        </w:rPr>
        <w:t xml:space="preserve"> </w:t>
      </w:r>
      <w:r>
        <w:rPr>
          <w:snapToGrid w:val="0"/>
          <w:szCs w:val="22"/>
        </w:rPr>
        <w:t xml:space="preserve"> as</w:t>
      </w:r>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0FBD8E6C" w14:textId="77777777" w:rsidR="00B47896" w:rsidRPr="00B2692C" w:rsidRDefault="00B47896" w:rsidP="00B47896">
      <w:pPr>
        <w:numPr>
          <w:ilvl w:val="2"/>
          <w:numId w:val="20"/>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Pr>
          <w:b/>
          <w:szCs w:val="22"/>
        </w:rPr>
        <w:t>Us</w:t>
      </w:r>
      <w:r w:rsidRPr="004B38BF">
        <w:rPr>
          <w:b/>
          <w:szCs w:val="22"/>
        </w:rPr>
        <w:t xml:space="preserve">ing match funds </w:t>
      </w:r>
      <w:r>
        <w:rPr>
          <w:b/>
          <w:szCs w:val="22"/>
        </w:rPr>
        <w:t>for p</w:t>
      </w:r>
      <w:r w:rsidRPr="00E47EF6">
        <w:rPr>
          <w:b/>
          <w:szCs w:val="22"/>
        </w:rPr>
        <w:t>urchasing items such as laptops, notebooks and</w:t>
      </w:r>
      <w:r>
        <w:rPr>
          <w:b/>
          <w:szCs w:val="22"/>
        </w:rPr>
        <w:t>/or</w:t>
      </w:r>
      <w:r w:rsidRPr="00E47EF6">
        <w:rPr>
          <w:b/>
          <w:szCs w:val="22"/>
        </w:rPr>
        <w:t xml:space="preserve"> </w:t>
      </w:r>
      <w:r>
        <w:rPr>
          <w:b/>
          <w:szCs w:val="22"/>
        </w:rPr>
        <w:t xml:space="preserve">personal </w:t>
      </w:r>
      <w:r w:rsidRPr="00E47EF6">
        <w:rPr>
          <w:b/>
          <w:szCs w:val="22"/>
        </w:rPr>
        <w:t xml:space="preserve">tablets is encouraged, as Energy Commission funds </w:t>
      </w:r>
      <w:r>
        <w:rPr>
          <w:b/>
          <w:szCs w:val="22"/>
        </w:rPr>
        <w:t>for these purchases is not allowed</w:t>
      </w:r>
      <w:r w:rsidRPr="00E47EF6">
        <w:rPr>
          <w:b/>
          <w:szCs w:val="22"/>
        </w:rPr>
        <w:t>.</w:t>
      </w:r>
      <w:r>
        <w:rPr>
          <w:szCs w:val="22"/>
        </w:rPr>
        <w:t xml:space="preserve">  </w:t>
      </w:r>
      <w:r w:rsidRPr="00E47EF6">
        <w:rPr>
          <w:szCs w:val="22"/>
        </w:rPr>
        <w:t xml:space="preserve">  </w:t>
      </w:r>
    </w:p>
    <w:p w14:paraId="760D7C9A" w14:textId="77777777" w:rsidR="00B47896" w:rsidRPr="00BA3BBD" w:rsidRDefault="00B47896" w:rsidP="00B47896">
      <w:pPr>
        <w:tabs>
          <w:tab w:val="left" w:pos="1080"/>
        </w:tabs>
        <w:suppressAutoHyphens/>
        <w:ind w:left="1080"/>
        <w:jc w:val="both"/>
        <w:rPr>
          <w:szCs w:val="22"/>
        </w:rPr>
      </w:pPr>
    </w:p>
    <w:p w14:paraId="7E722910" w14:textId="77777777" w:rsidR="00B47896" w:rsidRPr="00166930" w:rsidRDefault="00B47896" w:rsidP="005243DB">
      <w:pPr>
        <w:pStyle w:val="Heading2"/>
        <w:numPr>
          <w:ilvl w:val="0"/>
          <w:numId w:val="71"/>
        </w:numPr>
      </w:pPr>
      <w:bookmarkStart w:id="76" w:name="_Toc26361582"/>
      <w:bookmarkStart w:id="77" w:name="_Toc121842081"/>
      <w:r w:rsidRPr="00BA3BBD">
        <w:lastRenderedPageBreak/>
        <w:t>Funds Spent in California</w:t>
      </w:r>
      <w:bookmarkEnd w:id="76"/>
      <w:bookmarkEnd w:id="77"/>
    </w:p>
    <w:p w14:paraId="7C9E343C" w14:textId="77777777" w:rsidR="00B47896" w:rsidRPr="00BA3BBD" w:rsidRDefault="00B47896" w:rsidP="00B47896">
      <w:pPr>
        <w:keepNext/>
        <w:keepLines/>
        <w:numPr>
          <w:ilvl w:val="0"/>
          <w:numId w:val="47"/>
        </w:numPr>
        <w:spacing w:before="60" w:after="60"/>
        <w:jc w:val="both"/>
        <w:outlineLvl w:val="2"/>
        <w:rPr>
          <w:b/>
        </w:rPr>
      </w:pPr>
      <w:r w:rsidRPr="00BA3BBD">
        <w:t>Only CEC reimbursable funds counts towards funds spent in California total.</w:t>
      </w:r>
    </w:p>
    <w:p w14:paraId="5C46D183" w14:textId="77777777" w:rsidR="00B47896" w:rsidRPr="00BA3BBD" w:rsidRDefault="00B47896" w:rsidP="00B47896">
      <w:pPr>
        <w:keepNext/>
        <w:keepLines/>
        <w:numPr>
          <w:ilvl w:val="0"/>
          <w:numId w:val="47"/>
        </w:numPr>
        <w:spacing w:before="60" w:after="60"/>
        <w:jc w:val="both"/>
        <w:outlineLvl w:val="2"/>
      </w:pPr>
      <w:r w:rsidRPr="00BA3BBD">
        <w:t xml:space="preserve">"Spent in California" means that: </w:t>
      </w:r>
    </w:p>
    <w:p w14:paraId="23E08833" w14:textId="77777777" w:rsidR="00B47896" w:rsidRPr="00BA3BBD" w:rsidRDefault="00B47896" w:rsidP="00B47896">
      <w:pPr>
        <w:keepNext/>
        <w:keepLines/>
        <w:numPr>
          <w:ilvl w:val="1"/>
          <w:numId w:val="47"/>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77D5DECC" w14:textId="77777777" w:rsidR="00B47896" w:rsidRPr="00BA3BBD" w:rsidRDefault="00B47896" w:rsidP="00B47896">
      <w:pPr>
        <w:keepNext/>
        <w:keepLines/>
        <w:numPr>
          <w:ilvl w:val="1"/>
          <w:numId w:val="47"/>
        </w:numPr>
        <w:spacing w:before="60" w:after="60"/>
        <w:jc w:val="both"/>
        <w:outlineLvl w:val="2"/>
      </w:pPr>
      <w:r w:rsidRPr="00BA3BBD">
        <w:t xml:space="preserve">(2) Business transactions (e.g., material and equipment purchases, leases, and rentals) are entered into with a business located in California. </w:t>
      </w:r>
    </w:p>
    <w:p w14:paraId="62D122E1" w14:textId="77777777" w:rsidR="00B47896" w:rsidRPr="00BA3BBD" w:rsidRDefault="00B47896" w:rsidP="00B47896">
      <w:pPr>
        <w:keepNext/>
        <w:keepLines/>
        <w:numPr>
          <w:ilvl w:val="1"/>
          <w:numId w:val="47"/>
        </w:numPr>
        <w:spacing w:before="60" w:after="60"/>
        <w:jc w:val="both"/>
        <w:outlineLvl w:val="2"/>
        <w:rPr>
          <w:b/>
        </w:rPr>
      </w:pPr>
      <w:r w:rsidRPr="00BA3BBD">
        <w:t>(3) Total should include any applicable subcontractors.</w:t>
      </w:r>
    </w:p>
    <w:p w14:paraId="0C340BCD" w14:textId="77777777" w:rsidR="00B47896" w:rsidRPr="00BA3BBD" w:rsidRDefault="00B47896" w:rsidP="00B47896">
      <w:pPr>
        <w:tabs>
          <w:tab w:val="left" w:pos="1170"/>
        </w:tabs>
        <w:autoSpaceDE w:val="0"/>
        <w:autoSpaceDN w:val="0"/>
        <w:adjustRightInd w:val="0"/>
        <w:spacing w:after="0"/>
        <w:ind w:left="720"/>
        <w:jc w:val="both"/>
      </w:pPr>
    </w:p>
    <w:p w14:paraId="43B566D4" w14:textId="77777777" w:rsidR="00B47896" w:rsidRPr="00BA3BBD" w:rsidRDefault="00B47896" w:rsidP="00B47896">
      <w:pPr>
        <w:keepNext/>
        <w:keepLines/>
        <w:numPr>
          <w:ilvl w:val="0"/>
          <w:numId w:val="47"/>
        </w:numPr>
        <w:spacing w:before="60" w:after="60"/>
        <w:jc w:val="both"/>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136A510" w14:textId="2AA29F18" w:rsidR="00B47896" w:rsidRPr="00BA3BBD" w:rsidRDefault="00B47896" w:rsidP="00B47896">
      <w:pPr>
        <w:numPr>
          <w:ilvl w:val="1"/>
          <w:numId w:val="47"/>
        </w:numPr>
        <w:tabs>
          <w:tab w:val="left" w:pos="1800"/>
        </w:tabs>
        <w:autoSpaceDE w:val="0"/>
        <w:autoSpaceDN w:val="0"/>
        <w:adjustRightInd w:val="0"/>
        <w:jc w:val="both"/>
        <w:rPr>
          <w:szCs w:val="22"/>
        </w:rPr>
      </w:pPr>
      <w:r w:rsidRPr="00BA3BBD">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48672CAE" w14:textId="5207FE44" w:rsidR="00B47896" w:rsidRPr="00BA3BBD" w:rsidRDefault="00B47896" w:rsidP="00B47896">
      <w:pPr>
        <w:numPr>
          <w:ilvl w:val="1"/>
          <w:numId w:val="47"/>
        </w:numPr>
        <w:tabs>
          <w:tab w:val="left" w:pos="1800"/>
        </w:tabs>
        <w:autoSpaceDE w:val="0"/>
        <w:autoSpaceDN w:val="0"/>
        <w:adjustRightInd w:val="0"/>
        <w:jc w:val="both"/>
        <w:rPr>
          <w:szCs w:val="22"/>
        </w:rPr>
      </w:pPr>
      <w:r w:rsidRPr="00BA3BBD">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3929EF32" w14:textId="77777777" w:rsidR="00B47896" w:rsidRDefault="00B47896" w:rsidP="00B47896">
      <w:pPr>
        <w:spacing w:after="0"/>
        <w:rPr>
          <w:b/>
        </w:rPr>
      </w:pPr>
      <w:r>
        <w:rPr>
          <w:b/>
        </w:rPr>
        <w:br w:type="page"/>
      </w:r>
    </w:p>
    <w:p w14:paraId="18CA1ECB" w14:textId="77777777" w:rsidR="00B47896" w:rsidRDefault="00B47896" w:rsidP="00B47896">
      <w:pPr>
        <w:pStyle w:val="Heading1"/>
        <w:keepLines w:val="0"/>
        <w:spacing w:before="0" w:after="120"/>
        <w:jc w:val="both"/>
      </w:pPr>
      <w:bookmarkStart w:id="78" w:name="_Toc336443618"/>
      <w:bookmarkStart w:id="79" w:name="_Toc366671173"/>
      <w:bookmarkStart w:id="80" w:name="_Toc121842082"/>
      <w:bookmarkStart w:id="81" w:name="_Toc310513471"/>
      <w:bookmarkStart w:id="82" w:name="_Toc198951306"/>
      <w:bookmarkStart w:id="83" w:name="_Toc201713533"/>
      <w:bookmarkStart w:id="84" w:name="_Toc217726087"/>
      <w:bookmarkStart w:id="85" w:name="_Toc219275083"/>
      <w:bookmarkEnd w:id="0"/>
      <w:bookmarkEnd w:id="1"/>
      <w:bookmarkEnd w:id="2"/>
      <w:bookmarkEnd w:id="3"/>
      <w:bookmarkEnd w:id="4"/>
      <w:bookmarkEnd w:id="5"/>
      <w:bookmarkEnd w:id="38"/>
      <w:bookmarkEnd w:id="39"/>
      <w:bookmarkEnd w:id="40"/>
      <w:r w:rsidRPr="00C31C1D">
        <w:lastRenderedPageBreak/>
        <w:t>II.</w:t>
      </w:r>
      <w:r w:rsidRPr="00C31C1D">
        <w:tab/>
        <w:t>Eligibility Requirements</w:t>
      </w:r>
      <w:bookmarkEnd w:id="78"/>
      <w:bookmarkEnd w:id="79"/>
      <w:bookmarkEnd w:id="80"/>
    </w:p>
    <w:p w14:paraId="1D0C0C1E" w14:textId="77777777" w:rsidR="00B47896" w:rsidRPr="00756BAC" w:rsidRDefault="00B47896" w:rsidP="00B47896">
      <w:pPr>
        <w:pStyle w:val="Heading2"/>
        <w:numPr>
          <w:ilvl w:val="0"/>
          <w:numId w:val="72"/>
        </w:numPr>
      </w:pPr>
      <w:bookmarkStart w:id="86" w:name="_Toc336443619"/>
      <w:bookmarkStart w:id="87" w:name="_Toc366671174"/>
      <w:bookmarkStart w:id="88" w:name="_Toc121842083"/>
      <w:bookmarkEnd w:id="81"/>
      <w:r w:rsidRPr="00756BAC">
        <w:t>Applicant</w:t>
      </w:r>
      <w:bookmarkEnd w:id="86"/>
      <w:bookmarkEnd w:id="87"/>
      <w:r w:rsidRPr="00756BAC">
        <w:t xml:space="preserve"> Requirements</w:t>
      </w:r>
      <w:bookmarkEnd w:id="88"/>
    </w:p>
    <w:p w14:paraId="7239A17A" w14:textId="77777777" w:rsidR="00B47896" w:rsidRPr="00BE64A5" w:rsidRDefault="00B47896" w:rsidP="00B47896">
      <w:pPr>
        <w:numPr>
          <w:ilvl w:val="0"/>
          <w:numId w:val="28"/>
        </w:numPr>
        <w:spacing w:before="240"/>
        <w:jc w:val="both"/>
        <w:rPr>
          <w:b/>
          <w:szCs w:val="22"/>
        </w:rPr>
      </w:pPr>
      <w:bookmarkStart w:id="89" w:name="Elig"/>
      <w:r w:rsidRPr="00BE64A5">
        <w:rPr>
          <w:b/>
          <w:szCs w:val="22"/>
        </w:rPr>
        <w:t>Eligibility</w:t>
      </w:r>
    </w:p>
    <w:bookmarkEnd w:id="89"/>
    <w:p w14:paraId="74E5B071" w14:textId="77777777" w:rsidR="00B47896" w:rsidRPr="00527202" w:rsidRDefault="00B47896" w:rsidP="00B47896">
      <w:pPr>
        <w:jc w:val="both"/>
        <w:rPr>
          <w:szCs w:val="22"/>
        </w:rPr>
      </w:pPr>
      <w:r w:rsidRPr="00527202">
        <w:rPr>
          <w:szCs w:val="22"/>
        </w:rPr>
        <w:t xml:space="preserve">This solicitation is open to all public and </w:t>
      </w:r>
      <w:r>
        <w:rPr>
          <w:szCs w:val="22"/>
        </w:rPr>
        <w:t>private entities</w:t>
      </w:r>
      <w:r w:rsidRPr="00527202">
        <w:rPr>
          <w:szCs w:val="22"/>
        </w:rPr>
        <w:t xml:space="preserve"> with the exception of </w:t>
      </w:r>
      <w:r>
        <w:rPr>
          <w:szCs w:val="22"/>
        </w:rPr>
        <w:t xml:space="preserve">local </w:t>
      </w:r>
      <w:r w:rsidRPr="00527202">
        <w:rPr>
          <w:szCs w:val="22"/>
        </w:rPr>
        <w:t>publicly</w:t>
      </w:r>
      <w:r>
        <w:rPr>
          <w:szCs w:val="22"/>
        </w:rPr>
        <w:t xml:space="preserve"> </w:t>
      </w:r>
      <w:r w:rsidRPr="00527202">
        <w:rPr>
          <w:szCs w:val="22"/>
        </w:rPr>
        <w:t xml:space="preserve">owned </w:t>
      </w:r>
      <w:r>
        <w:rPr>
          <w:szCs w:val="22"/>
        </w:rPr>
        <w:t xml:space="preserve">electric </w:t>
      </w:r>
      <w:r w:rsidRPr="00527202">
        <w:rPr>
          <w:szCs w:val="22"/>
        </w:rPr>
        <w:t>utilities.</w:t>
      </w:r>
      <w:r>
        <w:rPr>
          <w:rStyle w:val="FootnoteReference"/>
          <w:szCs w:val="22"/>
        </w:rPr>
        <w:footnoteReference w:id="20"/>
      </w:r>
      <w:r w:rsidRPr="00527202">
        <w:rPr>
          <w:szCs w:val="22"/>
        </w:rPr>
        <w:t xml:space="preserve"> </w:t>
      </w:r>
      <w:r>
        <w:rPr>
          <w:szCs w:val="22"/>
        </w:rPr>
        <w:t xml:space="preserve"> </w:t>
      </w:r>
      <w:r w:rsidRPr="00527202">
        <w:rPr>
          <w:szCs w:val="22"/>
        </w:rPr>
        <w:t xml:space="preserve">In accordance with CPUC Decision 12-05-037, funds administered by the </w:t>
      </w:r>
      <w:r>
        <w:rPr>
          <w:szCs w:val="22"/>
        </w:rPr>
        <w:t>CEC</w:t>
      </w:r>
      <w:r w:rsidRPr="00527202">
        <w:rPr>
          <w:szCs w:val="22"/>
        </w:rPr>
        <w:t xml:space="preserve"> may not be used for any purposes associated with </w:t>
      </w:r>
      <w:r>
        <w:rPr>
          <w:szCs w:val="22"/>
        </w:rPr>
        <w:t xml:space="preserve">local </w:t>
      </w:r>
      <w:r w:rsidRPr="00527202">
        <w:rPr>
          <w:szCs w:val="22"/>
        </w:rPr>
        <w:t>publicly</w:t>
      </w:r>
      <w:r>
        <w:rPr>
          <w:szCs w:val="22"/>
        </w:rPr>
        <w:t xml:space="preserve"> </w:t>
      </w:r>
      <w:r w:rsidRPr="00527202">
        <w:rPr>
          <w:szCs w:val="22"/>
        </w:rPr>
        <w:t xml:space="preserve">owned </w:t>
      </w:r>
      <w:r>
        <w:rPr>
          <w:szCs w:val="22"/>
        </w:rPr>
        <w:t xml:space="preserve">electric </w:t>
      </w:r>
      <w:r w:rsidRPr="00527202">
        <w:rPr>
          <w:szCs w:val="22"/>
        </w:rPr>
        <w:t xml:space="preserve">utility activities. </w:t>
      </w:r>
    </w:p>
    <w:p w14:paraId="279C393A" w14:textId="77777777" w:rsidR="00B47896" w:rsidRPr="00EB4A0E" w:rsidRDefault="00B47896" w:rsidP="00B47896">
      <w:pPr>
        <w:numPr>
          <w:ilvl w:val="0"/>
          <w:numId w:val="28"/>
        </w:numPr>
        <w:spacing w:before="240"/>
        <w:jc w:val="both"/>
        <w:rPr>
          <w:rFonts w:ascii="Arial Bold" w:hAnsi="Arial Bold"/>
          <w:b/>
          <w:smallCaps/>
          <w:u w:val="single"/>
        </w:rPr>
      </w:pPr>
      <w:bookmarkStart w:id="90" w:name="_Toc381079914"/>
      <w:bookmarkStart w:id="91" w:name="_Toc382571176"/>
      <w:bookmarkStart w:id="92" w:name="_Toc395180678"/>
      <w:bookmarkStart w:id="93" w:name="_Toc433981305"/>
      <w:r w:rsidRPr="00C07F85">
        <w:rPr>
          <w:b/>
        </w:rPr>
        <w:t>Terms and Conditions</w:t>
      </w:r>
      <w:bookmarkEnd w:id="90"/>
      <w:bookmarkEnd w:id="91"/>
      <w:bookmarkEnd w:id="92"/>
      <w:bookmarkEnd w:id="93"/>
    </w:p>
    <w:p w14:paraId="2F4C2E61" w14:textId="77777777" w:rsidR="00B47896" w:rsidRPr="00C24522" w:rsidRDefault="00B47896" w:rsidP="00B47896">
      <w:pPr>
        <w:jc w:val="both"/>
        <w:rPr>
          <w:szCs w:val="22"/>
        </w:rPr>
      </w:pPr>
      <w:r w:rsidRPr="00DD6442">
        <w:rPr>
          <w:szCs w:val="22"/>
        </w:rPr>
        <w:t xml:space="preserve">Each grant agreement resulting from this solicitation </w:t>
      </w:r>
      <w:r>
        <w:rPr>
          <w:szCs w:val="22"/>
        </w:rPr>
        <w:t>will include</w:t>
      </w:r>
      <w:r w:rsidRPr="00DD6442">
        <w:rPr>
          <w:szCs w:val="22"/>
        </w:rPr>
        <w:t xml:space="preserve"> terms and conditions that set forth the recipient’s rights and</w:t>
      </w:r>
      <w:r>
        <w:rPr>
          <w:szCs w:val="22"/>
        </w:rPr>
        <w:t xml:space="preserve"> </w:t>
      </w:r>
      <w:r w:rsidRPr="00F32736">
        <w:rPr>
          <w:szCs w:val="22"/>
        </w:rPr>
        <w:t xml:space="preserve">responsibilities. By signing the Application Form (Attachment 1), each applicant </w:t>
      </w:r>
      <w:r w:rsidRPr="00F32736">
        <w:rPr>
          <w:bCs/>
          <w:iCs/>
          <w:szCs w:val="22"/>
        </w:rPr>
        <w:t xml:space="preserve">agrees to </w:t>
      </w:r>
      <w:r w:rsidRPr="00F32736">
        <w:rPr>
          <w:rStyle w:val="Style10pt"/>
          <w:szCs w:val="22"/>
        </w:rPr>
        <w:t xml:space="preserve">enter into an agreement with the </w:t>
      </w:r>
      <w:r>
        <w:rPr>
          <w:rStyle w:val="Style10pt"/>
          <w:szCs w:val="22"/>
        </w:rPr>
        <w:t>CEC</w:t>
      </w:r>
      <w:r w:rsidRPr="00F32736">
        <w:rPr>
          <w:rStyle w:val="Style10pt"/>
          <w:szCs w:val="22"/>
        </w:rPr>
        <w:t xml:space="preserve"> to conduct the proposed project according to the terms and conditions </w:t>
      </w:r>
      <w:r>
        <w:rPr>
          <w:rStyle w:val="Style10pt"/>
          <w:szCs w:val="22"/>
        </w:rPr>
        <w:t xml:space="preserve">that correspond to its organization, </w:t>
      </w:r>
      <w:r w:rsidRPr="00F32736">
        <w:rPr>
          <w:rStyle w:val="Style10pt"/>
          <w:szCs w:val="22"/>
        </w:rPr>
        <w:t>without negotiation</w:t>
      </w:r>
      <w:r w:rsidRPr="00F32736">
        <w:rPr>
          <w:szCs w:val="22"/>
        </w:rPr>
        <w:t xml:space="preserve">: (1) University of California </w:t>
      </w:r>
      <w:r>
        <w:rPr>
          <w:szCs w:val="22"/>
        </w:rPr>
        <w:t xml:space="preserve">and California State University </w:t>
      </w:r>
      <w:r w:rsidRPr="00F32736">
        <w:rPr>
          <w:szCs w:val="22"/>
        </w:rPr>
        <w:t xml:space="preserve">terms and conditions; (2) </w:t>
      </w:r>
      <w:r>
        <w:rPr>
          <w:szCs w:val="22"/>
        </w:rPr>
        <w:t xml:space="preserve">U.S. Department of Energy </w:t>
      </w:r>
      <w:r w:rsidRPr="00F32736">
        <w:rPr>
          <w:szCs w:val="22"/>
        </w:rPr>
        <w:t xml:space="preserve">terms and conditions; or (3) </w:t>
      </w:r>
      <w:r>
        <w:rPr>
          <w:szCs w:val="22"/>
        </w:rPr>
        <w:t>standard</w:t>
      </w:r>
      <w:r w:rsidRPr="00F32736">
        <w:rPr>
          <w:szCs w:val="22"/>
        </w:rPr>
        <w:t xml:space="preserve"> terms and conditions. </w:t>
      </w:r>
      <w:r>
        <w:rPr>
          <w:szCs w:val="22"/>
        </w:rPr>
        <w:t xml:space="preserve">All </w:t>
      </w:r>
      <w:r w:rsidRPr="00F32736">
        <w:rPr>
          <w:szCs w:val="22"/>
        </w:rPr>
        <w:t xml:space="preserve">terms and conditions are located </w:t>
      </w:r>
      <w:r>
        <w:rPr>
          <w:szCs w:val="22"/>
        </w:rPr>
        <w:t xml:space="preserve">at </w:t>
      </w:r>
      <w:r w:rsidRPr="00616F23">
        <w:rPr>
          <w:szCs w:val="22"/>
        </w:rPr>
        <w:t>http://www.energy.ca.gov/research/contractors.html</w:t>
      </w:r>
      <w:r w:rsidRPr="00F32736">
        <w:rPr>
          <w:szCs w:val="22"/>
        </w:rPr>
        <w:t xml:space="preserve">. </w:t>
      </w:r>
      <w:r w:rsidRPr="007E22AE">
        <w:rPr>
          <w:szCs w:val="22"/>
        </w:rPr>
        <w:t xml:space="preserve">Please refer to the applicable </w:t>
      </w:r>
      <w:r>
        <w:rPr>
          <w:szCs w:val="22"/>
        </w:rPr>
        <w:t>EPIC</w:t>
      </w:r>
      <w:r w:rsidRPr="007E22AE">
        <w:rPr>
          <w:szCs w:val="22"/>
        </w:rPr>
        <w:t xml:space="preserve"> Grant terms and conditions.</w:t>
      </w:r>
      <w:r>
        <w:rPr>
          <w:szCs w:val="22"/>
        </w:rPr>
        <w:t xml:space="preserve"> </w:t>
      </w:r>
      <w:r w:rsidRPr="00F32736">
        <w:rPr>
          <w:szCs w:val="22"/>
        </w:rPr>
        <w:t>Failure to agree to the terms and conditions by taking actions such as failing</w:t>
      </w:r>
      <w:r>
        <w:rPr>
          <w:szCs w:val="22"/>
        </w:rPr>
        <w:t xml:space="preserve"> to </w:t>
      </w:r>
      <w:r w:rsidRPr="00302296">
        <w:rPr>
          <w:szCs w:val="22"/>
        </w:rPr>
        <w:t xml:space="preserve">sign the Application Form </w:t>
      </w:r>
      <w:r>
        <w:rPr>
          <w:szCs w:val="22"/>
        </w:rPr>
        <w:t xml:space="preserve">or indicating that acceptance is based on modification of the terms </w:t>
      </w:r>
      <w:r w:rsidRPr="00302296">
        <w:rPr>
          <w:szCs w:val="22"/>
        </w:rPr>
        <w:t xml:space="preserve">will result in </w:t>
      </w:r>
      <w:r>
        <w:rPr>
          <w:b/>
          <w:szCs w:val="22"/>
        </w:rPr>
        <w:t>reject</w:t>
      </w:r>
      <w:r w:rsidRPr="00302296">
        <w:rPr>
          <w:b/>
          <w:szCs w:val="22"/>
        </w:rPr>
        <w:t>ion</w:t>
      </w:r>
      <w:r w:rsidRPr="00302296">
        <w:rPr>
          <w:szCs w:val="22"/>
        </w:rPr>
        <w:t xml:space="preserve"> of the application.</w:t>
      </w:r>
      <w:r>
        <w:rPr>
          <w:szCs w:val="22"/>
        </w:rPr>
        <w:t xml:space="preserve"> </w:t>
      </w:r>
      <w:r w:rsidRPr="00C24522">
        <w:rPr>
          <w:szCs w:val="22"/>
        </w:rPr>
        <w:t xml:space="preserve">Applicants </w:t>
      </w:r>
      <w:r w:rsidRPr="00260636">
        <w:rPr>
          <w:b/>
          <w:szCs w:val="22"/>
        </w:rPr>
        <w:t>must</w:t>
      </w:r>
      <w:r w:rsidRPr="00C24522">
        <w:rPr>
          <w:szCs w:val="22"/>
        </w:rPr>
        <w:t xml:space="preserve"> </w:t>
      </w:r>
      <w:r w:rsidRPr="00193F48">
        <w:rPr>
          <w:b/>
          <w:szCs w:val="22"/>
        </w:rPr>
        <w:t xml:space="preserve">read </w:t>
      </w:r>
      <w:r w:rsidRPr="000F2F2A">
        <w:rPr>
          <w:szCs w:val="22"/>
        </w:rPr>
        <w:t>the terms and conditions carefully.</w:t>
      </w:r>
      <w:r w:rsidRPr="00C24522">
        <w:rPr>
          <w:b/>
          <w:szCs w:val="22"/>
        </w:rPr>
        <w:t xml:space="preserve"> </w:t>
      </w:r>
      <w:r w:rsidRPr="00C24522">
        <w:rPr>
          <w:bCs/>
          <w:szCs w:val="22"/>
        </w:rPr>
        <w:t xml:space="preserve">The </w:t>
      </w:r>
      <w:r>
        <w:rPr>
          <w:bCs/>
          <w:szCs w:val="22"/>
        </w:rPr>
        <w:t>CEC</w:t>
      </w:r>
      <w:r w:rsidRPr="00C24522">
        <w:rPr>
          <w:bCs/>
          <w:szCs w:val="22"/>
        </w:rPr>
        <w:t xml:space="preserve"> reserves the right to modify the terms and conditions</w:t>
      </w:r>
      <w:r w:rsidRPr="00C24522">
        <w:rPr>
          <w:b/>
          <w:bCs/>
          <w:szCs w:val="22"/>
        </w:rPr>
        <w:t xml:space="preserve"> </w:t>
      </w:r>
      <w:r w:rsidRPr="00C24522">
        <w:rPr>
          <w:szCs w:val="22"/>
        </w:rPr>
        <w:t xml:space="preserve">prior to executing grant agreements.  </w:t>
      </w:r>
    </w:p>
    <w:p w14:paraId="189BFD95" w14:textId="77777777" w:rsidR="00B47896" w:rsidRPr="00C07F85" w:rsidRDefault="00B47896" w:rsidP="00B47896">
      <w:pPr>
        <w:numPr>
          <w:ilvl w:val="0"/>
          <w:numId w:val="28"/>
        </w:numPr>
        <w:spacing w:before="240"/>
        <w:jc w:val="both"/>
        <w:rPr>
          <w:b/>
          <w:szCs w:val="22"/>
        </w:rPr>
      </w:pPr>
      <w:r w:rsidRPr="00C07F85">
        <w:rPr>
          <w:b/>
          <w:szCs w:val="22"/>
        </w:rPr>
        <w:t>California Secretary of State Registration</w:t>
      </w:r>
    </w:p>
    <w:p w14:paraId="335BF567" w14:textId="5BAE87EA" w:rsidR="00B47896" w:rsidRDefault="00B47896" w:rsidP="00B47896">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CEC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Sole proprietors using a fictitious business name must be registered with the appropriate county and provide evidence of registration to the CEC prior to their project being recommended for approval at an CEC Business Meeting.</w:t>
      </w:r>
    </w:p>
    <w:p w14:paraId="69E233B4" w14:textId="1F54DC95" w:rsidR="00B47896" w:rsidRPr="00621704" w:rsidRDefault="00B47896" w:rsidP="00621704">
      <w:pPr>
        <w:numPr>
          <w:ilvl w:val="0"/>
          <w:numId w:val="28"/>
        </w:numPr>
        <w:spacing w:before="240"/>
        <w:jc w:val="both"/>
        <w:rPr>
          <w:b/>
          <w:szCs w:val="22"/>
        </w:rPr>
      </w:pPr>
      <w:r w:rsidRPr="00621704">
        <w:rPr>
          <w:b/>
          <w:szCs w:val="22"/>
        </w:rPr>
        <w:t>Disadvantaged &amp; Low-income Communities</w:t>
      </w:r>
    </w:p>
    <w:p w14:paraId="25E65E94" w14:textId="5DC71A7B" w:rsidR="00B47896" w:rsidRPr="007039F0" w:rsidRDefault="00B47896" w:rsidP="00B47896">
      <w:pPr>
        <w:jc w:val="both"/>
        <w:rPr>
          <w:bCs/>
        </w:rPr>
      </w:pPr>
      <w:r w:rsidRPr="001F73F4">
        <w:t>At least 25</w:t>
      </w:r>
      <w:r w:rsidR="00AF463C">
        <w:t>%</w:t>
      </w:r>
      <w:r w:rsidRPr="001F73F4">
        <w:t xml:space="preserve"> of available EPIC technology demonstration and deployment funding must be allocated to project sites located in, and benefiting, disadvantaged communities; and an additional minimum 10</w:t>
      </w:r>
      <w:r w:rsidR="00614F96">
        <w:t>%</w:t>
      </w:r>
      <w:r w:rsidRPr="001F73F4">
        <w:t xml:space="preserve"> of funds must be allocated to projects sites located in and benefiting low-income communities.</w:t>
      </w:r>
      <w:r w:rsidRPr="001F73F4">
        <w:rPr>
          <w:vertAlign w:val="superscript"/>
        </w:rPr>
        <w:footnoteReference w:id="21"/>
      </w:r>
      <w:r w:rsidRPr="001F73F4">
        <w:t xml:space="preserve"> The Energy Commission in administering EPIC must also take into account adverse localized health impacts of proposed projects to the greatest extent possible,</w:t>
      </w:r>
      <w:r w:rsidRPr="001F73F4">
        <w:footnoteReference w:id="22"/>
      </w:r>
      <w:r w:rsidRPr="001F73F4">
        <w:t xml:space="preserve"> and give </w:t>
      </w:r>
      <w:r w:rsidRPr="001F73F4">
        <w:lastRenderedPageBreak/>
        <w:t>preference for funding to clean energy projects that benefit residents of low-income or disadvantaged communities.</w:t>
      </w:r>
      <w:r w:rsidRPr="007039F0">
        <w:rPr>
          <w:rStyle w:val="FootnoteReference"/>
          <w:bCs/>
        </w:rPr>
        <w:footnoteReference w:id="23"/>
      </w:r>
    </w:p>
    <w:p w14:paraId="6C164283" w14:textId="77777777" w:rsidR="00B47896" w:rsidRPr="009F702B" w:rsidRDefault="00B47896" w:rsidP="00B47896">
      <w:pPr>
        <w:autoSpaceDE w:val="0"/>
        <w:autoSpaceDN w:val="0"/>
        <w:adjustRightInd w:val="0"/>
        <w:spacing w:after="240"/>
        <w:jc w:val="both"/>
        <w:rPr>
          <w:bCs/>
          <w:color w:val="000000"/>
          <w:szCs w:val="22"/>
        </w:rPr>
      </w:pPr>
      <w:r w:rsidRPr="009F702B">
        <w:rPr>
          <w:bCs/>
          <w:color w:val="000000"/>
          <w:szCs w:val="22"/>
        </w:rPr>
        <w:t>The California Energy Commission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GFO.</w:t>
      </w:r>
    </w:p>
    <w:p w14:paraId="6C37D9A0" w14:textId="77777777" w:rsidR="00B47896" w:rsidRPr="00CF6DED" w:rsidRDefault="00B47896" w:rsidP="00B47896">
      <w:pPr>
        <w:pStyle w:val="Heading2"/>
        <w:numPr>
          <w:ilvl w:val="0"/>
          <w:numId w:val="72"/>
        </w:numPr>
      </w:pPr>
      <w:bookmarkStart w:id="94" w:name="_Toc336443620"/>
      <w:bookmarkStart w:id="95" w:name="_Toc366671175"/>
      <w:bookmarkStart w:id="96" w:name="_Toc121842084"/>
      <w:bookmarkStart w:id="97" w:name="PrjReq"/>
      <w:r w:rsidRPr="00CF6DED">
        <w:t>Project</w:t>
      </w:r>
      <w:bookmarkEnd w:id="94"/>
      <w:bookmarkEnd w:id="95"/>
      <w:r w:rsidRPr="00CF6DED">
        <w:t xml:space="preserve"> Requirements</w:t>
      </w:r>
      <w:bookmarkEnd w:id="96"/>
    </w:p>
    <w:p w14:paraId="35A4BC12" w14:textId="77777777" w:rsidR="00B47896" w:rsidRPr="003E3D8C" w:rsidRDefault="00B47896" w:rsidP="00B47896">
      <w:pPr>
        <w:numPr>
          <w:ilvl w:val="0"/>
          <w:numId w:val="27"/>
        </w:numPr>
        <w:ind w:left="720"/>
        <w:jc w:val="both"/>
        <w:rPr>
          <w:b/>
          <w:szCs w:val="22"/>
        </w:rPr>
      </w:pPr>
      <w:bookmarkStart w:id="98" w:name="_Toc433981307"/>
      <w:bookmarkEnd w:id="97"/>
      <w:r w:rsidRPr="005A507F">
        <w:rPr>
          <w:b/>
          <w:szCs w:val="22"/>
        </w:rPr>
        <w:t xml:space="preserve">Applied Research and Development </w:t>
      </w:r>
      <w:r w:rsidRPr="003E3D8C">
        <w:rPr>
          <w:b/>
          <w:szCs w:val="22"/>
        </w:rPr>
        <w:t>Stage</w:t>
      </w:r>
    </w:p>
    <w:p w14:paraId="038B37EA" w14:textId="77777777" w:rsidR="00B47896" w:rsidRDefault="00B47896" w:rsidP="00B47896">
      <w:bookmarkStart w:id="99" w:name="_Toc395180682"/>
      <w:bookmarkStart w:id="100" w:name="_Toc433981309"/>
      <w:bookmarkEnd w:id="98"/>
      <w:r>
        <w:t>P</w:t>
      </w:r>
      <w:r w:rsidRPr="0099059E">
        <w:t>roject</w:t>
      </w:r>
      <w:r>
        <w:t>s</w:t>
      </w:r>
      <w:r w:rsidRPr="0099059E">
        <w:t xml:space="preserve"> </w:t>
      </w:r>
      <w:r>
        <w:t xml:space="preserve">must </w:t>
      </w:r>
      <w:r w:rsidRPr="0099059E">
        <w:t>f</w:t>
      </w:r>
      <w:r>
        <w:t>all</w:t>
      </w:r>
      <w:r w:rsidRPr="0099059E">
        <w:t xml:space="preserve"> within the “applied research and development” sta</w:t>
      </w:r>
      <w:r>
        <w:t>ge, which includes activities that</w:t>
      </w:r>
      <w:r w:rsidRPr="0099059E">
        <w:t xml:space="preserve"> support pre</w:t>
      </w:r>
      <w:r>
        <w:t>-</w:t>
      </w:r>
      <w:r w:rsidRPr="0099059E">
        <w:t xml:space="preserve">commercial technologies and approaches </w:t>
      </w:r>
      <w:r>
        <w:t>that are designed</w:t>
      </w:r>
      <w:r w:rsidRPr="0099059E">
        <w:t xml:space="preserve"> to solve specific problems in the electricity sector.</w:t>
      </w:r>
      <w:r>
        <w:t xml:space="preserve"> </w:t>
      </w:r>
      <w:r w:rsidRPr="001C3A45">
        <w:t>Applied research and development activities include early, pilot-scale testing activities that are necessary to demonstrate the feasibility of pre-commercial technologies.</w:t>
      </w:r>
      <w:r>
        <w:t xml:space="preserve"> By contrast, the “technology demonstration and deployment” stage involves the installation and operation of pre-commercial technologies or strategies at a scale sufficiently large and in conditions sufficiently reflective of anticipated actual operating environments to enable appraisal of the operational and performance characteristics and the financial risks.</w:t>
      </w:r>
      <w:r>
        <w:rPr>
          <w:rStyle w:val="FootnoteReference"/>
          <w:b/>
          <w:szCs w:val="22"/>
        </w:rPr>
        <w:footnoteReference w:id="24"/>
      </w:r>
      <w:r>
        <w:t xml:space="preserve">  </w:t>
      </w:r>
      <w:bookmarkEnd w:id="99"/>
      <w:bookmarkEnd w:id="100"/>
    </w:p>
    <w:p w14:paraId="1AB0B022" w14:textId="77777777" w:rsidR="00B47896" w:rsidRPr="009F702B" w:rsidRDefault="00B47896" w:rsidP="00B47896">
      <w:pPr>
        <w:numPr>
          <w:ilvl w:val="0"/>
          <w:numId w:val="27"/>
        </w:numPr>
        <w:ind w:left="720"/>
        <w:jc w:val="both"/>
        <w:rPr>
          <w:b/>
        </w:rPr>
      </w:pPr>
      <w:bookmarkStart w:id="101" w:name="_Toc381079916"/>
      <w:bookmarkStart w:id="102" w:name="_Toc382571178"/>
      <w:bookmarkStart w:id="103" w:name="_Toc395180687"/>
      <w:bookmarkStart w:id="104" w:name="_Toc433981316"/>
      <w:bookmarkStart w:id="105" w:name="_Toc366671176"/>
      <w:r w:rsidRPr="009F702B">
        <w:rPr>
          <w:b/>
        </w:rPr>
        <w:t>Ratepayer Benefits, Technological Advancements, and Breakthroughs</w:t>
      </w:r>
      <w:bookmarkEnd w:id="101"/>
      <w:bookmarkEnd w:id="102"/>
      <w:bookmarkEnd w:id="103"/>
      <w:bookmarkEnd w:id="104"/>
    </w:p>
    <w:p w14:paraId="0761D5FB" w14:textId="77777777" w:rsidR="00B47896" w:rsidRDefault="00B47896" w:rsidP="00B47896">
      <w:pPr>
        <w:ind w:left="720"/>
      </w:pPr>
      <w:bookmarkStart w:id="106" w:name="_Toc381079917"/>
      <w:bookmarkStart w:id="107" w:name="_Toc382571179"/>
      <w:bookmarkStart w:id="108" w:name="_Toc395180688"/>
      <w:bookmarkStart w:id="109" w:name="_Toc433981317"/>
      <w:r w:rsidRPr="00C31C1D">
        <w:t>California Public Resources Code Section 25711.5(a) requires EPIC-funded projects to:</w:t>
      </w:r>
      <w:bookmarkEnd w:id="106"/>
      <w:bookmarkEnd w:id="107"/>
      <w:bookmarkEnd w:id="108"/>
      <w:bookmarkEnd w:id="109"/>
    </w:p>
    <w:p w14:paraId="4F5AB88D" w14:textId="77777777" w:rsidR="00B47896" w:rsidRDefault="00B47896" w:rsidP="00B47896">
      <w:pPr>
        <w:pStyle w:val="ListParagraph"/>
        <w:numPr>
          <w:ilvl w:val="0"/>
          <w:numId w:val="26"/>
        </w:numPr>
      </w:pPr>
      <w:bookmarkStart w:id="110" w:name="_Toc381079918"/>
      <w:bookmarkStart w:id="111" w:name="_Toc382571180"/>
      <w:bookmarkStart w:id="112" w:name="_Toc395180689"/>
      <w:bookmarkStart w:id="113" w:name="_Toc433981318"/>
      <w:r w:rsidRPr="00E843E2">
        <w:t xml:space="preserve">Benefit electricity ratepayers; </w:t>
      </w:r>
      <w:r>
        <w:t>and</w:t>
      </w:r>
      <w:bookmarkEnd w:id="110"/>
      <w:bookmarkEnd w:id="111"/>
      <w:bookmarkEnd w:id="112"/>
      <w:bookmarkEnd w:id="113"/>
      <w:r>
        <w:t xml:space="preserve"> </w:t>
      </w:r>
    </w:p>
    <w:p w14:paraId="6666E62B" w14:textId="77777777" w:rsidR="00B47896" w:rsidRDefault="00B47896" w:rsidP="00B47896">
      <w:pPr>
        <w:pStyle w:val="ListParagraph"/>
        <w:numPr>
          <w:ilvl w:val="0"/>
          <w:numId w:val="26"/>
        </w:numPr>
      </w:pPr>
      <w:bookmarkStart w:id="114" w:name="_Toc381079919"/>
      <w:bookmarkStart w:id="115" w:name="_Toc382571181"/>
      <w:bookmarkStart w:id="116" w:name="_Toc395180690"/>
      <w:bookmarkStart w:id="117" w:name="_Toc433981319"/>
      <w:r w:rsidRPr="00E843E2">
        <w:t>Lead to technological advancement and breakthroughs to overcome the barriers that prevent the achievement of the state’</w:t>
      </w:r>
      <w:r>
        <w:t>s statutory energy goals.</w:t>
      </w:r>
      <w:bookmarkEnd w:id="114"/>
      <w:bookmarkEnd w:id="115"/>
      <w:bookmarkEnd w:id="116"/>
      <w:bookmarkEnd w:id="117"/>
      <w:r w:rsidRPr="00E843E2">
        <w:t xml:space="preserve"> </w:t>
      </w:r>
    </w:p>
    <w:p w14:paraId="1498DD82" w14:textId="0301CB7E" w:rsidR="00B47896" w:rsidRDefault="00111FEA" w:rsidP="00B47896">
      <w:pPr>
        <w:ind w:left="720"/>
      </w:pPr>
      <w:bookmarkStart w:id="118" w:name="_Toc395180691"/>
      <w:bookmarkStart w:id="119" w:name="_Toc433981320"/>
      <w:bookmarkStart w:id="120" w:name="_Toc381079920"/>
      <w:bookmarkStart w:id="121" w:name="_Toc382571182"/>
      <w:r w:rsidRPr="005243DB">
        <w:rPr>
          <w:b/>
          <w:bCs/>
          <w:u w:val="single"/>
        </w:rPr>
        <w:t>EPIC's mandatory guiding principle is to provide ratepayer benefits, which is defined as (1) improving safety, (2) increasing reliability, (3) increasing affordability, (4) improving environmental sustainability, and (5) improving equity, all as related to California's electric system.</w:t>
      </w:r>
      <w:r w:rsidR="00AF3575">
        <w:rPr>
          <w:rStyle w:val="FootnoteReference"/>
          <w:b/>
          <w:bCs/>
          <w:u w:val="single"/>
        </w:rPr>
        <w:footnoteReference w:id="25"/>
      </w:r>
      <w:r>
        <w:t xml:space="preserve"> </w:t>
      </w:r>
      <w:r w:rsidR="005679C0">
        <w:t>[</w:t>
      </w:r>
      <w:r w:rsidR="00B47896" w:rsidRPr="005243DB">
        <w:rPr>
          <w:strike/>
        </w:rPr>
        <w:t>The CPUC defines “ratepayer benefits” as greater reliability, lower costs, and increased safety.</w:t>
      </w:r>
      <w:r w:rsidR="00B47896" w:rsidRPr="005243DB">
        <w:rPr>
          <w:rStyle w:val="FootnoteReference"/>
          <w:rFonts w:cs="Arial"/>
          <w:b/>
          <w:strike/>
        </w:rPr>
        <w:footnoteReference w:id="26"/>
      </w:r>
      <w:r w:rsidR="00B47896" w:rsidRPr="005243DB">
        <w:rPr>
          <w:strike/>
        </w:rPr>
        <w:t xml:space="preserve"> The CPUC has also adopted the following guiding principles as complements to the key principle of electricity ratepayer benefits: societal benefits; GHG emissions mitigation and adaptation in the electricity sector at the lowest possible cost; the loading order; low-emission vehicles/transportation; economic development; and efficient use of ratepayer monies.</w:t>
      </w:r>
      <w:r w:rsidR="00B47896" w:rsidRPr="005243DB">
        <w:rPr>
          <w:rStyle w:val="FootnoteReference"/>
          <w:b/>
          <w:strike/>
        </w:rPr>
        <w:footnoteReference w:id="27"/>
      </w:r>
      <w:bookmarkEnd w:id="118"/>
      <w:bookmarkEnd w:id="119"/>
      <w:r w:rsidR="005679C0">
        <w:t>]</w:t>
      </w:r>
    </w:p>
    <w:p w14:paraId="47768E8E" w14:textId="16EE3528" w:rsidR="00B47896" w:rsidRPr="00314131" w:rsidRDefault="00B47896" w:rsidP="00B47896">
      <w:pPr>
        <w:ind w:left="720"/>
        <w:rPr>
          <w:szCs w:val="22"/>
        </w:rPr>
      </w:pPr>
      <w:bookmarkStart w:id="122" w:name="_Toc395180692"/>
      <w:bookmarkStart w:id="123" w:name="_Toc433981321"/>
      <w:r w:rsidRPr="00314131">
        <w:rPr>
          <w:szCs w:val="22"/>
        </w:rPr>
        <w:t>Accordingly, the Project Narrative Form (Attachment</w:t>
      </w:r>
      <w:r w:rsidR="00815605" w:rsidRPr="005243DB">
        <w:rPr>
          <w:b/>
          <w:bCs/>
          <w:szCs w:val="22"/>
          <w:u w:val="single"/>
        </w:rPr>
        <w:t>)</w:t>
      </w:r>
      <w:r w:rsidRPr="00314131">
        <w:rPr>
          <w:szCs w:val="22"/>
        </w:rPr>
        <w:t xml:space="preserve"> and the “Goals and Objectives” section of the Scope of Work Template (Attachment) must describe how the project will: (1) benefit California IOU ratepayers by </w:t>
      </w:r>
      <w:r w:rsidR="00917F3F" w:rsidRPr="005243DB">
        <w:rPr>
          <w:b/>
          <w:bCs/>
          <w:szCs w:val="22"/>
          <w:u w:val="single"/>
        </w:rPr>
        <w:t xml:space="preserve">improving safety, increasing reliability, </w:t>
      </w:r>
      <w:r w:rsidR="00917F3F" w:rsidRPr="005243DB">
        <w:rPr>
          <w:b/>
          <w:bCs/>
          <w:szCs w:val="22"/>
          <w:u w:val="single"/>
        </w:rPr>
        <w:lastRenderedPageBreak/>
        <w:t>increasing affordability, improving environmental sustainability, and improving equity, all as related to California's electric system</w:t>
      </w:r>
      <w:r w:rsidR="00917F3F" w:rsidRPr="00917F3F">
        <w:rPr>
          <w:szCs w:val="22"/>
        </w:rPr>
        <w:t xml:space="preserve"> </w:t>
      </w:r>
      <w:r w:rsidR="00B636A1">
        <w:rPr>
          <w:szCs w:val="22"/>
        </w:rPr>
        <w:t>[</w:t>
      </w:r>
      <w:r w:rsidRPr="005243DB">
        <w:rPr>
          <w:strike/>
          <w:szCs w:val="22"/>
        </w:rPr>
        <w:t>increasing reliability, lowering costs, and/or increasing safety</w:t>
      </w:r>
      <w:r w:rsidR="00B636A1">
        <w:rPr>
          <w:szCs w:val="22"/>
        </w:rPr>
        <w:t>]</w:t>
      </w:r>
      <w:r w:rsidRPr="00314131">
        <w:rPr>
          <w:szCs w:val="22"/>
        </w:rPr>
        <w:t>; and (2) lead to technological advancement and breakthroughs to overcome barriers to achieving the state’s statutory energy goals.</w:t>
      </w:r>
      <w:bookmarkEnd w:id="120"/>
      <w:bookmarkEnd w:id="121"/>
      <w:bookmarkEnd w:id="122"/>
      <w:bookmarkEnd w:id="123"/>
      <w:r w:rsidRPr="00314131">
        <w:rPr>
          <w:szCs w:val="22"/>
        </w:rPr>
        <w:t xml:space="preserve">  Any estimates of energy and water savings or GHG impacts must </w:t>
      </w:r>
      <w:r w:rsidR="009839F3" w:rsidRPr="005243DB">
        <w:rPr>
          <w:b/>
          <w:bCs/>
          <w:szCs w:val="22"/>
          <w:u w:val="single"/>
        </w:rPr>
        <w:t>include citations to the data sources used to calculate the estimates.</w:t>
      </w:r>
      <w:r w:rsidR="009839F3" w:rsidRPr="00314131">
        <w:rPr>
          <w:szCs w:val="22"/>
        </w:rPr>
        <w:t xml:space="preserve"> </w:t>
      </w:r>
      <w:r w:rsidR="00497D71" w:rsidRPr="00314131">
        <w:rPr>
          <w:szCs w:val="22"/>
        </w:rPr>
        <w:t>[</w:t>
      </w:r>
      <w:r w:rsidRPr="005243DB">
        <w:rPr>
          <w:strike/>
          <w:szCs w:val="22"/>
        </w:rPr>
        <w:t>be calculated using the References for Calculating Electricity End-Use, Electricity Demand, and GHG Emissions (Attachment.</w:t>
      </w:r>
      <w:r w:rsidR="009839F3" w:rsidRPr="00314131">
        <w:rPr>
          <w:szCs w:val="22"/>
        </w:rPr>
        <w:t>]</w:t>
      </w:r>
      <w:r w:rsidRPr="00314131">
        <w:rPr>
          <w:szCs w:val="22"/>
        </w:rPr>
        <w:t xml:space="preserve"> </w:t>
      </w:r>
    </w:p>
    <w:p w14:paraId="1D6895DB" w14:textId="6D98F241" w:rsidR="00B47896" w:rsidRPr="00186264" w:rsidRDefault="00B47896" w:rsidP="00673CBD">
      <w:pPr>
        <w:keepNext/>
        <w:keepLines/>
        <w:numPr>
          <w:ilvl w:val="0"/>
          <w:numId w:val="27"/>
        </w:numPr>
        <w:ind w:left="720"/>
        <w:jc w:val="both"/>
      </w:pPr>
      <w:bookmarkStart w:id="124" w:name="TechKnow"/>
      <w:bookmarkStart w:id="125" w:name="_Toc395180693"/>
      <w:bookmarkStart w:id="126" w:name="_Toc433981322"/>
      <w:bookmarkStart w:id="127" w:name="_Toc381079922"/>
      <w:bookmarkStart w:id="128" w:name="_Toc382571183"/>
      <w:r w:rsidRPr="00122853">
        <w:rPr>
          <w:b/>
        </w:rPr>
        <w:t xml:space="preserve">Knowledge </w:t>
      </w:r>
      <w:r w:rsidRPr="009F702B">
        <w:rPr>
          <w:b/>
        </w:rPr>
        <w:t>Transfer Expenditures</w:t>
      </w:r>
      <w:r>
        <w:t xml:space="preserve"> </w:t>
      </w:r>
      <w:bookmarkEnd w:id="124"/>
    </w:p>
    <w:p w14:paraId="5049BFF5" w14:textId="629721E4" w:rsidR="005D7D30" w:rsidRDefault="00B47896" w:rsidP="00673CBD">
      <w:pPr>
        <w:pStyle w:val="HeadingNew1"/>
        <w:keepNext/>
        <w:keepLines/>
        <w:numPr>
          <w:ilvl w:val="0"/>
          <w:numId w:val="0"/>
        </w:numPr>
        <w:ind w:left="720"/>
        <w:rPr>
          <w:b w:val="0"/>
        </w:rPr>
      </w:pPr>
      <w:r>
        <w:rPr>
          <w:b w:val="0"/>
        </w:rPr>
        <w:t>To maximize the impact of EPIC projects and to promote the further development and deployment of EPIC-funded technologies, a minimum of 5 percent of CEC funds requested should go towards knowledge transfer activities. Appropriate knowledge transfer activities for this solicitation are listed in the Scope of Work Template (Attachment). The Budget Forms (Attachment) should clearly distinguish funds dedicated for knowledge transfer.</w:t>
      </w:r>
    </w:p>
    <w:p w14:paraId="5AFC0F01" w14:textId="77777777" w:rsidR="005D7D30" w:rsidRDefault="005D7D30">
      <w:pPr>
        <w:spacing w:after="160" w:line="259" w:lineRule="auto"/>
        <w:rPr>
          <w:szCs w:val="22"/>
        </w:rPr>
      </w:pPr>
      <w:r>
        <w:rPr>
          <w:b/>
        </w:rPr>
        <w:br w:type="page"/>
      </w:r>
    </w:p>
    <w:p w14:paraId="273C15AF" w14:textId="77777777" w:rsidR="00B47896" w:rsidRDefault="00B47896" w:rsidP="00B47896">
      <w:pPr>
        <w:pStyle w:val="Heading1"/>
        <w:keepLines w:val="0"/>
        <w:spacing w:before="0" w:after="120"/>
        <w:jc w:val="both"/>
      </w:pPr>
      <w:bookmarkStart w:id="129" w:name="_Toc12770892"/>
      <w:bookmarkStart w:id="130" w:name="_Toc219275109"/>
      <w:bookmarkStart w:id="131" w:name="_Toc336443626"/>
      <w:bookmarkStart w:id="132" w:name="_Toc366671182"/>
      <w:bookmarkStart w:id="133" w:name="_Toc121842085"/>
      <w:bookmarkStart w:id="134" w:name="_Toc219275098"/>
      <w:bookmarkEnd w:id="82"/>
      <w:bookmarkEnd w:id="83"/>
      <w:bookmarkEnd w:id="84"/>
      <w:bookmarkEnd w:id="85"/>
      <w:bookmarkEnd w:id="105"/>
      <w:bookmarkEnd w:id="125"/>
      <w:bookmarkEnd w:id="126"/>
      <w:bookmarkEnd w:id="127"/>
      <w:bookmarkEnd w:id="128"/>
      <w:r w:rsidRPr="00C31C1D">
        <w:lastRenderedPageBreak/>
        <w:t>III.</w:t>
      </w:r>
      <w:r w:rsidRPr="00C31C1D">
        <w:tab/>
      </w:r>
      <w:bookmarkEnd w:id="129"/>
      <w:r w:rsidRPr="00C31C1D">
        <w:t xml:space="preserve">Application Organization and Submission </w:t>
      </w:r>
      <w:bookmarkEnd w:id="130"/>
      <w:bookmarkEnd w:id="131"/>
      <w:bookmarkEnd w:id="132"/>
      <w:r w:rsidRPr="00C31C1D">
        <w:t>Instructions</w:t>
      </w:r>
      <w:bookmarkEnd w:id="133"/>
    </w:p>
    <w:p w14:paraId="4718A14F" w14:textId="77777777" w:rsidR="00B47896" w:rsidRPr="00CF6DED" w:rsidRDefault="00B47896" w:rsidP="00B47896">
      <w:pPr>
        <w:pStyle w:val="Heading2"/>
        <w:numPr>
          <w:ilvl w:val="0"/>
          <w:numId w:val="73"/>
        </w:numPr>
      </w:pPr>
      <w:bookmarkStart w:id="135" w:name="_Toc201713573"/>
      <w:bookmarkStart w:id="136" w:name="_Toc121842086"/>
      <w:bookmarkStart w:id="137" w:name="_Toc219275111"/>
      <w:bookmarkStart w:id="138" w:name="_Toc336443628"/>
      <w:bookmarkStart w:id="139" w:name="_Toc366671184"/>
      <w:r w:rsidRPr="00CF6DED">
        <w:t>Application Format</w:t>
      </w:r>
      <w:bookmarkEnd w:id="135"/>
      <w:r w:rsidRPr="00CF6DED">
        <w:t>, Page Limits, and Number of Copies</w:t>
      </w:r>
      <w:bookmarkEnd w:id="136"/>
      <w:r w:rsidRPr="00CF6DED">
        <w:t xml:space="preserve"> </w:t>
      </w:r>
      <w:bookmarkEnd w:id="137"/>
      <w:bookmarkEnd w:id="138"/>
      <w:bookmarkEnd w:id="139"/>
    </w:p>
    <w:p w14:paraId="16F1302A" w14:textId="77777777" w:rsidR="00B47896" w:rsidRPr="00C31C1D" w:rsidRDefault="00B47896" w:rsidP="00B47896">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Pr>
          <w:szCs w:val="22"/>
        </w:rPr>
        <w:t>recommendations</w:t>
      </w:r>
      <w:r w:rsidRPr="00C31C1D">
        <w:rPr>
          <w:szCs w:val="22"/>
        </w:rPr>
        <w:t>:</w:t>
      </w:r>
    </w:p>
    <w:p w14:paraId="3DD17447" w14:textId="77777777" w:rsidR="00B47896" w:rsidRDefault="00B47896" w:rsidP="00B47896">
      <w:pPr>
        <w:keepLines/>
        <w:widowControl w:val="0"/>
        <w:spacing w:after="0"/>
        <w:jc w:val="both"/>
        <w:rPr>
          <w:szCs w:val="22"/>
        </w:rPr>
      </w:pPr>
    </w:p>
    <w:p w14:paraId="2766AA67" w14:textId="77777777" w:rsidR="00B47896" w:rsidRDefault="00B47896" w:rsidP="00B47896">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2CA7447" w14:textId="77777777" w:rsidR="00B47896" w:rsidRPr="00C31C1D" w:rsidRDefault="00B47896" w:rsidP="00B47896">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B47896" w:rsidRPr="00C31C1D" w14:paraId="21D00A01" w14:textId="77777777">
        <w:trPr>
          <w:trHeight w:val="2980"/>
        </w:trPr>
        <w:tc>
          <w:tcPr>
            <w:tcW w:w="2185" w:type="dxa"/>
          </w:tcPr>
          <w:p w14:paraId="1BDB9B7E" w14:textId="77777777" w:rsidR="00B47896" w:rsidRPr="00C31C1D" w:rsidRDefault="00B47896">
            <w:pPr>
              <w:jc w:val="both"/>
              <w:rPr>
                <w:b/>
                <w:szCs w:val="24"/>
              </w:rPr>
            </w:pPr>
            <w:r w:rsidRPr="00C31C1D">
              <w:rPr>
                <w:b/>
                <w:szCs w:val="24"/>
              </w:rPr>
              <w:t>Format</w:t>
            </w:r>
          </w:p>
        </w:tc>
        <w:tc>
          <w:tcPr>
            <w:tcW w:w="7057" w:type="dxa"/>
          </w:tcPr>
          <w:p w14:paraId="52E8E021" w14:textId="77777777" w:rsidR="00B47896" w:rsidRDefault="00B47896">
            <w:pPr>
              <w:numPr>
                <w:ilvl w:val="0"/>
                <w:numId w:val="13"/>
              </w:numPr>
              <w:spacing w:after="0"/>
              <w:jc w:val="both"/>
              <w:rPr>
                <w:szCs w:val="24"/>
              </w:rPr>
            </w:pPr>
            <w:r w:rsidRPr="008D33BE">
              <w:rPr>
                <w:b/>
                <w:szCs w:val="24"/>
              </w:rPr>
              <w:t>Font:</w:t>
            </w:r>
            <w:r>
              <w:rPr>
                <w:szCs w:val="24"/>
              </w:rPr>
              <w:t xml:space="preserve"> </w:t>
            </w:r>
            <w:r w:rsidRPr="00C31C1D">
              <w:rPr>
                <w:szCs w:val="24"/>
              </w:rPr>
              <w:t>11-</w:t>
            </w:r>
            <w:r>
              <w:rPr>
                <w:szCs w:val="24"/>
              </w:rPr>
              <w:t>point, Arial (excluding Excel spreadsheets, original template headers and footers, and commitment or support letters</w:t>
            </w:r>
            <w:r w:rsidRPr="00FB5A02">
              <w:rPr>
                <w:szCs w:val="24"/>
              </w:rPr>
              <w:t>)</w:t>
            </w:r>
          </w:p>
          <w:p w14:paraId="4AEB2409" w14:textId="77777777" w:rsidR="00B47896" w:rsidRDefault="00B47896">
            <w:pPr>
              <w:numPr>
                <w:ilvl w:val="0"/>
                <w:numId w:val="13"/>
              </w:numPr>
              <w:spacing w:after="0"/>
              <w:jc w:val="both"/>
              <w:rPr>
                <w:szCs w:val="24"/>
              </w:rPr>
            </w:pPr>
            <w:r w:rsidRPr="00CE3194">
              <w:rPr>
                <w:b/>
                <w:szCs w:val="24"/>
              </w:rPr>
              <w:t>Margins:</w:t>
            </w:r>
            <w:r>
              <w:rPr>
                <w:szCs w:val="24"/>
              </w:rPr>
              <w:t xml:space="preserve"> No less than one inch on all sides (excluding headers and footers)</w:t>
            </w:r>
          </w:p>
          <w:p w14:paraId="39D24323" w14:textId="77777777" w:rsidR="00B47896" w:rsidRPr="00C31C1D" w:rsidRDefault="00B47896">
            <w:pPr>
              <w:numPr>
                <w:ilvl w:val="0"/>
                <w:numId w:val="13"/>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526675B2" w14:textId="77777777" w:rsidR="00B47896" w:rsidRPr="00FB5A02" w:rsidRDefault="00B47896">
            <w:pPr>
              <w:numPr>
                <w:ilvl w:val="0"/>
                <w:numId w:val="13"/>
              </w:numPr>
              <w:spacing w:after="0"/>
              <w:jc w:val="both"/>
              <w:rPr>
                <w:szCs w:val="24"/>
              </w:rPr>
            </w:pPr>
            <w:r w:rsidRPr="00FB5A02">
              <w:rPr>
                <w:b/>
                <w:szCs w:val="24"/>
              </w:rPr>
              <w:t>Signatures</w:t>
            </w:r>
            <w:r w:rsidRPr="00FB5A02">
              <w:rPr>
                <w:szCs w:val="24"/>
              </w:rPr>
              <w:t xml:space="preserve">: </w:t>
            </w:r>
            <w:r>
              <w:rPr>
                <w:szCs w:val="24"/>
              </w:rPr>
              <w:t>Wet signatures only</w:t>
            </w:r>
            <w:r w:rsidRPr="00FB5A02">
              <w:rPr>
                <w:szCs w:val="24"/>
              </w:rPr>
              <w:t xml:space="preserve"> (i.e., not electronic)</w:t>
            </w:r>
          </w:p>
          <w:p w14:paraId="3FBE21A7" w14:textId="77777777" w:rsidR="00B47896" w:rsidRPr="005E76CE" w:rsidRDefault="00B47896">
            <w:pPr>
              <w:numPr>
                <w:ilvl w:val="0"/>
                <w:numId w:val="13"/>
              </w:numPr>
              <w:spacing w:after="0"/>
              <w:jc w:val="both"/>
              <w:rPr>
                <w:szCs w:val="24"/>
              </w:rPr>
            </w:pPr>
            <w:r w:rsidRPr="005E76CE">
              <w:rPr>
                <w:b/>
                <w:szCs w:val="24"/>
              </w:rPr>
              <w:t>File Format:</w:t>
            </w:r>
            <w:r w:rsidRPr="005E76CE">
              <w:rPr>
                <w:szCs w:val="24"/>
              </w:rPr>
              <w:t xml:space="preserve"> MS Word </w:t>
            </w:r>
            <w:r>
              <w:rPr>
                <w:szCs w:val="24"/>
              </w:rPr>
              <w:t xml:space="preserve">version 2007 or later </w:t>
            </w:r>
            <w:r w:rsidRPr="005E76CE">
              <w:rPr>
                <w:szCs w:val="24"/>
              </w:rPr>
              <w:t xml:space="preserve">(.doc </w:t>
            </w:r>
            <w:r>
              <w:rPr>
                <w:szCs w:val="24"/>
              </w:rPr>
              <w:t xml:space="preserve">or .docx </w:t>
            </w:r>
            <w:r w:rsidRPr="005E76CE">
              <w:rPr>
                <w:szCs w:val="24"/>
              </w:rPr>
              <w:t xml:space="preserve">format), excluding </w:t>
            </w:r>
            <w:r>
              <w:rPr>
                <w:szCs w:val="24"/>
              </w:rPr>
              <w:t>E</w:t>
            </w:r>
            <w:r w:rsidRPr="005E76CE">
              <w:rPr>
                <w:szCs w:val="24"/>
              </w:rPr>
              <w:t>xcel spreadsheets</w:t>
            </w:r>
            <w:r>
              <w:rPr>
                <w:szCs w:val="24"/>
              </w:rPr>
              <w:t xml:space="preserve"> and commitment or support letters (PDF files are acceptable for the letters)</w:t>
            </w:r>
          </w:p>
          <w:p w14:paraId="7C1DE466" w14:textId="77777777" w:rsidR="00B47896" w:rsidRPr="0044145F" w:rsidRDefault="00B47896">
            <w:pPr>
              <w:numPr>
                <w:ilvl w:val="0"/>
                <w:numId w:val="13"/>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Pr>
                <w:szCs w:val="24"/>
              </w:rPr>
              <w:t xml:space="preserve"> when submitting via </w:t>
            </w:r>
            <w:r w:rsidRPr="003A0A6F">
              <w:rPr>
                <w:b/>
                <w:szCs w:val="24"/>
              </w:rPr>
              <w:t>hard copy</w:t>
            </w:r>
            <w:r>
              <w:rPr>
                <w:b/>
                <w:szCs w:val="24"/>
              </w:rPr>
              <w:t>.</w:t>
            </w:r>
          </w:p>
        </w:tc>
      </w:tr>
      <w:tr w:rsidR="00B47896" w:rsidRPr="00C31C1D" w14:paraId="7BE3E9A6" w14:textId="77777777">
        <w:tc>
          <w:tcPr>
            <w:tcW w:w="2185" w:type="dxa"/>
          </w:tcPr>
          <w:p w14:paraId="451C8009" w14:textId="77777777" w:rsidR="00B47896" w:rsidRPr="00C31C1D" w:rsidRDefault="00B47896">
            <w:pPr>
              <w:rPr>
                <w:b/>
                <w:szCs w:val="24"/>
              </w:rPr>
            </w:pPr>
            <w:r>
              <w:rPr>
                <w:b/>
                <w:szCs w:val="24"/>
              </w:rPr>
              <w:t xml:space="preserve">Maximum </w:t>
            </w:r>
            <w:r w:rsidRPr="00C31C1D">
              <w:rPr>
                <w:b/>
                <w:szCs w:val="24"/>
              </w:rPr>
              <w:t>Page Limit</w:t>
            </w:r>
            <w:r>
              <w:rPr>
                <w:b/>
                <w:szCs w:val="24"/>
              </w:rPr>
              <w:t xml:space="preserve"> Recommendation</w:t>
            </w:r>
            <w:r w:rsidRPr="00C31C1D">
              <w:rPr>
                <w:b/>
                <w:szCs w:val="24"/>
              </w:rPr>
              <w:t>s</w:t>
            </w:r>
          </w:p>
        </w:tc>
        <w:tc>
          <w:tcPr>
            <w:tcW w:w="7057" w:type="dxa"/>
          </w:tcPr>
          <w:p w14:paraId="7168B188" w14:textId="77777777" w:rsidR="00B47896" w:rsidRPr="00C31C1D" w:rsidRDefault="00B47896">
            <w:pPr>
              <w:spacing w:after="0"/>
              <w:ind w:left="360"/>
              <w:jc w:val="both"/>
              <w:rPr>
                <w:szCs w:val="24"/>
              </w:rPr>
            </w:pPr>
          </w:p>
          <w:p w14:paraId="586FAD8F" w14:textId="77777777" w:rsidR="00B47896" w:rsidRDefault="00B47896">
            <w:pPr>
              <w:numPr>
                <w:ilvl w:val="0"/>
                <w:numId w:val="14"/>
              </w:numPr>
              <w:spacing w:after="0"/>
              <w:jc w:val="both"/>
              <w:rPr>
                <w:szCs w:val="24"/>
              </w:rPr>
            </w:pPr>
            <w:r w:rsidRPr="00BA7A1D">
              <w:rPr>
                <w:b/>
                <w:szCs w:val="24"/>
              </w:rPr>
              <w:t>Executive Summary</w:t>
            </w:r>
            <w:r>
              <w:rPr>
                <w:b/>
                <w:szCs w:val="24"/>
              </w:rPr>
              <w:t xml:space="preserve"> </w:t>
            </w:r>
            <w:r w:rsidRPr="00C020D7">
              <w:rPr>
                <w:szCs w:val="24"/>
              </w:rPr>
              <w:t>(Attachment):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4F622A3B" w14:textId="77777777" w:rsidR="00B47896" w:rsidRDefault="00B47896">
            <w:pPr>
              <w:numPr>
                <w:ilvl w:val="0"/>
                <w:numId w:val="14"/>
              </w:numPr>
              <w:spacing w:after="0"/>
              <w:jc w:val="both"/>
              <w:rPr>
                <w:szCs w:val="24"/>
              </w:rPr>
            </w:pPr>
            <w:r w:rsidRPr="00BA7A1D">
              <w:rPr>
                <w:b/>
                <w:szCs w:val="24"/>
              </w:rPr>
              <w:t>Project Narrative Form</w:t>
            </w:r>
            <w:r>
              <w:rPr>
                <w:b/>
                <w:szCs w:val="24"/>
              </w:rPr>
              <w:t xml:space="preserve"> </w:t>
            </w:r>
            <w:r w:rsidRPr="00C020D7">
              <w:rPr>
                <w:szCs w:val="24"/>
              </w:rPr>
              <w:t xml:space="preserve">(Attachment): </w:t>
            </w:r>
            <w:r w:rsidRPr="00907E7C">
              <w:rPr>
                <w:b/>
                <w:szCs w:val="24"/>
              </w:rPr>
              <w:t>t</w:t>
            </w:r>
            <w:r>
              <w:rPr>
                <w:b/>
                <w:szCs w:val="24"/>
              </w:rPr>
              <w:t>w</w:t>
            </w:r>
            <w:r w:rsidRPr="00907E7C">
              <w:rPr>
                <w:b/>
                <w:szCs w:val="24"/>
              </w:rPr>
              <w:t>en</w:t>
            </w:r>
            <w:r>
              <w:rPr>
                <w:b/>
                <w:szCs w:val="24"/>
              </w:rPr>
              <w:t>ty</w:t>
            </w:r>
            <w:r w:rsidRPr="00C31C1D">
              <w:rPr>
                <w:szCs w:val="24"/>
              </w:rPr>
              <w:t xml:space="preserve"> pages </w:t>
            </w:r>
            <w:r>
              <w:rPr>
                <w:szCs w:val="24"/>
              </w:rPr>
              <w:t>excluding documentation for CEQA</w:t>
            </w:r>
          </w:p>
          <w:p w14:paraId="03FAE6C3" w14:textId="77777777" w:rsidR="00B47896" w:rsidRDefault="00B47896">
            <w:pPr>
              <w:numPr>
                <w:ilvl w:val="0"/>
                <w:numId w:val="14"/>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4B738BB3" w14:textId="77777777" w:rsidR="00B47896" w:rsidRDefault="00B47896">
            <w:pPr>
              <w:numPr>
                <w:ilvl w:val="0"/>
                <w:numId w:val="14"/>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Pr>
                <w:szCs w:val="24"/>
              </w:rPr>
              <w:t xml:space="preserve">: </w:t>
            </w:r>
            <w:r w:rsidRPr="00311141">
              <w:rPr>
                <w:b/>
                <w:szCs w:val="24"/>
              </w:rPr>
              <w:t>one</w:t>
            </w:r>
            <w:r>
              <w:rPr>
                <w:szCs w:val="24"/>
              </w:rPr>
              <w:t xml:space="preserve"> page for each reference, </w:t>
            </w:r>
            <w:r w:rsidRPr="00907E7C">
              <w:rPr>
                <w:b/>
                <w:szCs w:val="24"/>
              </w:rPr>
              <w:t>two</w:t>
            </w:r>
            <w:r>
              <w:rPr>
                <w:szCs w:val="24"/>
              </w:rPr>
              <w:t xml:space="preserve"> pages for each project description</w:t>
            </w:r>
          </w:p>
          <w:p w14:paraId="2AC32918" w14:textId="77777777" w:rsidR="00B47896" w:rsidRDefault="00B47896">
            <w:pPr>
              <w:numPr>
                <w:ilvl w:val="0"/>
                <w:numId w:val="14"/>
              </w:numPr>
              <w:jc w:val="both"/>
              <w:rPr>
                <w:szCs w:val="24"/>
              </w:rPr>
            </w:pPr>
            <w:r w:rsidRPr="00D23107">
              <w:rPr>
                <w:b/>
                <w:szCs w:val="24"/>
              </w:rPr>
              <w:t>Commitment and Support</w:t>
            </w:r>
            <w:r>
              <w:rPr>
                <w:b/>
                <w:szCs w:val="24"/>
              </w:rPr>
              <w:t xml:space="preserve"> Letter Form </w:t>
            </w:r>
            <w:r>
              <w:rPr>
                <w:szCs w:val="24"/>
              </w:rPr>
              <w:t>(Attachment</w:t>
            </w:r>
            <w:r w:rsidRPr="00D23107">
              <w:rPr>
                <w:szCs w:val="24"/>
              </w:rPr>
              <w:t>)</w:t>
            </w:r>
            <w:r>
              <w:rPr>
                <w:szCs w:val="24"/>
              </w:rPr>
              <w:t xml:space="preserve">: </w:t>
            </w:r>
            <w:r w:rsidRPr="00907E7C">
              <w:rPr>
                <w:b/>
                <w:szCs w:val="24"/>
              </w:rPr>
              <w:t>two</w:t>
            </w:r>
            <w:r>
              <w:rPr>
                <w:szCs w:val="24"/>
              </w:rPr>
              <w:t xml:space="preserve"> pages, excluding the cover page</w:t>
            </w:r>
          </w:p>
          <w:p w14:paraId="1C0C5A1C" w14:textId="77777777" w:rsidR="00B47896" w:rsidRDefault="00B47896">
            <w:pPr>
              <w:numPr>
                <w:ilvl w:val="0"/>
                <w:numId w:val="14"/>
              </w:numPr>
              <w:jc w:val="both"/>
              <w:rPr>
                <w:szCs w:val="24"/>
              </w:rPr>
            </w:pPr>
            <w:r>
              <w:rPr>
                <w:b/>
                <w:szCs w:val="24"/>
              </w:rPr>
              <w:t>Scope of Work</w:t>
            </w:r>
            <w:r>
              <w:rPr>
                <w:szCs w:val="24"/>
              </w:rPr>
              <w:t xml:space="preserve"> (Attachment): </w:t>
            </w:r>
            <w:r>
              <w:rPr>
                <w:b/>
                <w:szCs w:val="24"/>
              </w:rPr>
              <w:t>thirty</w:t>
            </w:r>
            <w:r>
              <w:rPr>
                <w:szCs w:val="24"/>
              </w:rPr>
              <w:t xml:space="preserve"> pages</w:t>
            </w:r>
          </w:p>
          <w:p w14:paraId="20E9963A" w14:textId="77777777" w:rsidR="00B47896" w:rsidRDefault="00B47896">
            <w:pPr>
              <w:numPr>
                <w:ilvl w:val="0"/>
                <w:numId w:val="14"/>
              </w:numPr>
              <w:jc w:val="both"/>
              <w:rPr>
                <w:szCs w:val="24"/>
              </w:rPr>
            </w:pPr>
            <w:r>
              <w:rPr>
                <w:b/>
                <w:szCs w:val="24"/>
              </w:rPr>
              <w:t>Project Schedule</w:t>
            </w:r>
            <w:r>
              <w:rPr>
                <w:szCs w:val="24"/>
              </w:rPr>
              <w:t xml:space="preserve"> (Attachment): </w:t>
            </w:r>
            <w:r>
              <w:rPr>
                <w:b/>
                <w:szCs w:val="24"/>
              </w:rPr>
              <w:t>four</w:t>
            </w:r>
            <w:r>
              <w:rPr>
                <w:szCs w:val="24"/>
              </w:rPr>
              <w:t xml:space="preserve"> pages</w:t>
            </w:r>
          </w:p>
          <w:p w14:paraId="3C34EF6F" w14:textId="77777777" w:rsidR="00B47896" w:rsidRPr="00C31C1D" w:rsidRDefault="00B47896">
            <w:pPr>
              <w:numPr>
                <w:ilvl w:val="0"/>
                <w:numId w:val="14"/>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55D25049" w14:textId="77777777" w:rsidR="00B47896" w:rsidRDefault="00B47896">
            <w:pPr>
              <w:numPr>
                <w:ilvl w:val="1"/>
                <w:numId w:val="14"/>
              </w:numPr>
              <w:spacing w:after="0"/>
              <w:ind w:left="702"/>
              <w:jc w:val="both"/>
              <w:rPr>
                <w:szCs w:val="24"/>
              </w:rPr>
            </w:pPr>
            <w:r w:rsidRPr="00BA7A1D">
              <w:rPr>
                <w:b/>
                <w:szCs w:val="24"/>
              </w:rPr>
              <w:t>Application Form</w:t>
            </w:r>
            <w:r>
              <w:rPr>
                <w:szCs w:val="24"/>
              </w:rPr>
              <w:t xml:space="preserve"> (Attachment</w:t>
            </w:r>
            <w:r w:rsidRPr="00C31C1D">
              <w:rPr>
                <w:szCs w:val="24"/>
              </w:rPr>
              <w:t xml:space="preserve">) </w:t>
            </w:r>
          </w:p>
          <w:p w14:paraId="005EEDFE" w14:textId="77777777" w:rsidR="00B47896" w:rsidRDefault="00B47896">
            <w:pPr>
              <w:numPr>
                <w:ilvl w:val="1"/>
                <w:numId w:val="14"/>
              </w:numPr>
              <w:spacing w:after="0"/>
              <w:ind w:left="702"/>
              <w:jc w:val="both"/>
              <w:rPr>
                <w:szCs w:val="24"/>
              </w:rPr>
            </w:pPr>
            <w:r w:rsidRPr="00BA7A1D">
              <w:rPr>
                <w:b/>
                <w:szCs w:val="24"/>
              </w:rPr>
              <w:t>Budget Forms</w:t>
            </w:r>
            <w:r>
              <w:rPr>
                <w:szCs w:val="24"/>
              </w:rPr>
              <w:t xml:space="preserve"> (Attachment</w:t>
            </w:r>
            <w:r w:rsidRPr="00C31C1D">
              <w:rPr>
                <w:szCs w:val="24"/>
              </w:rPr>
              <w:t>)</w:t>
            </w:r>
          </w:p>
          <w:p w14:paraId="54DCEB36" w14:textId="77777777" w:rsidR="00B47896" w:rsidRDefault="00B47896">
            <w:pPr>
              <w:numPr>
                <w:ilvl w:val="1"/>
                <w:numId w:val="14"/>
              </w:numPr>
              <w:spacing w:after="0"/>
              <w:ind w:left="702"/>
              <w:jc w:val="both"/>
              <w:rPr>
                <w:szCs w:val="24"/>
              </w:rPr>
            </w:pPr>
            <w:r w:rsidRPr="00BA7A1D">
              <w:rPr>
                <w:b/>
                <w:szCs w:val="24"/>
              </w:rPr>
              <w:t>CEQA Compliance Form</w:t>
            </w:r>
            <w:r>
              <w:rPr>
                <w:szCs w:val="24"/>
              </w:rPr>
              <w:t xml:space="preserve"> (Attachment</w:t>
            </w:r>
            <w:r w:rsidRPr="00C31C1D">
              <w:rPr>
                <w:szCs w:val="24"/>
              </w:rPr>
              <w:t>)</w:t>
            </w:r>
            <w:r>
              <w:rPr>
                <w:szCs w:val="24"/>
              </w:rPr>
              <w:t xml:space="preserve"> </w:t>
            </w:r>
          </w:p>
          <w:p w14:paraId="3A384A77" w14:textId="77777777" w:rsidR="00B47896" w:rsidRDefault="00B47896">
            <w:pPr>
              <w:numPr>
                <w:ilvl w:val="1"/>
                <w:numId w:val="14"/>
              </w:numPr>
              <w:spacing w:after="0"/>
              <w:ind w:left="702"/>
              <w:jc w:val="both"/>
              <w:rPr>
                <w:szCs w:val="24"/>
              </w:rPr>
            </w:pPr>
            <w:r w:rsidRPr="008964A1">
              <w:rPr>
                <w:b/>
                <w:szCs w:val="24"/>
              </w:rPr>
              <w:t>Project Performance Metrics</w:t>
            </w:r>
            <w:r>
              <w:rPr>
                <w:szCs w:val="24"/>
              </w:rPr>
              <w:t xml:space="preserve"> (Attachment)</w:t>
            </w:r>
          </w:p>
          <w:p w14:paraId="1C8D82E9" w14:textId="77777777" w:rsidR="00B47896" w:rsidRDefault="00B47896">
            <w:pPr>
              <w:spacing w:after="0"/>
              <w:jc w:val="both"/>
              <w:rPr>
                <w:szCs w:val="24"/>
              </w:rPr>
            </w:pPr>
          </w:p>
        </w:tc>
      </w:tr>
    </w:tbl>
    <w:p w14:paraId="718790AB" w14:textId="77777777" w:rsidR="00B47896" w:rsidRPr="00C31C1D" w:rsidRDefault="00B47896" w:rsidP="00B47896">
      <w:pPr>
        <w:spacing w:after="0"/>
        <w:ind w:left="360"/>
        <w:jc w:val="both"/>
        <w:rPr>
          <w:szCs w:val="22"/>
        </w:rPr>
      </w:pPr>
    </w:p>
    <w:p w14:paraId="78C5EAA0" w14:textId="77777777" w:rsidR="00B47896" w:rsidRPr="00CF6DED" w:rsidRDefault="00B47896" w:rsidP="00B47896">
      <w:pPr>
        <w:pStyle w:val="Heading2"/>
        <w:numPr>
          <w:ilvl w:val="0"/>
          <w:numId w:val="73"/>
        </w:numPr>
      </w:pPr>
      <w:bookmarkStart w:id="140" w:name="_Toc428191083"/>
      <w:bookmarkStart w:id="141" w:name="_Toc121842087"/>
      <w:bookmarkStart w:id="142" w:name="_Toc201713575"/>
      <w:bookmarkStart w:id="143" w:name="_Toc219275113"/>
      <w:bookmarkStart w:id="144" w:name="_Toc336443630"/>
      <w:bookmarkStart w:id="145" w:name="_Toc366671186"/>
      <w:r w:rsidRPr="00CF6DED">
        <w:t>Method For Delivery</w:t>
      </w:r>
      <w:bookmarkEnd w:id="140"/>
      <w:bookmarkEnd w:id="141"/>
    </w:p>
    <w:p w14:paraId="5BC6FBBA" w14:textId="77777777" w:rsidR="00B47896" w:rsidRDefault="00B47896" w:rsidP="00B47896">
      <w:pPr>
        <w:keepNext/>
        <w:jc w:val="both"/>
        <w:rPr>
          <w:b/>
        </w:rPr>
      </w:pPr>
      <w:r>
        <w:t xml:space="preserve">The only method of submitting applications to this solicitation is the CEC Grant Solicitation System (GSS), available at: </w:t>
      </w:r>
      <w:r w:rsidRPr="00616F23">
        <w:rPr>
          <w:rFonts w:cs="Times New Roman"/>
        </w:rPr>
        <w:t>https://gss.energy.ca.gov/</w:t>
      </w:r>
      <w:r>
        <w:t xml:space="preserve">. This online tool allows applicants to submit their electronic documents to the CEC prior to the date and time specified in this solicitation. Electronic files must be in Microsoft Word XP (.doc format) or newer and Excel Office Suite formats unless originally provided in the solicitation in another format.  Attachments requiring signatures may be </w:t>
      </w:r>
      <w:r>
        <w:lastRenderedPageBreak/>
        <w:t>scanned and submitted in PDF format.  Completed Budget Forms, (</w:t>
      </w:r>
      <w:r w:rsidRPr="001212D2">
        <w:t>Attachment</w:t>
      </w:r>
      <w:r>
        <w:t>)</w:t>
      </w:r>
      <w:r w:rsidRPr="001212D2">
        <w:t>,</w:t>
      </w:r>
      <w:r>
        <w:t xml:space="preserve"> must be in Excel format.  </w:t>
      </w:r>
    </w:p>
    <w:p w14:paraId="7BB3F54B" w14:textId="77777777" w:rsidR="00B47896" w:rsidRPr="00FA17A4" w:rsidRDefault="00B47896" w:rsidP="00B47896">
      <w:pPr>
        <w:keepNext/>
        <w:jc w:val="both"/>
        <w:rPr>
          <w:bCs/>
        </w:rPr>
      </w:pPr>
      <w:r w:rsidRPr="00FA17A4">
        <w:rPr>
          <w:bCs/>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41D63F93" w14:textId="77777777" w:rsidR="00B47896" w:rsidRPr="00FA17A4" w:rsidRDefault="00B47896" w:rsidP="00B47896">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5351B1A9" w14:textId="77777777" w:rsidR="00B47896" w:rsidRDefault="00B47896" w:rsidP="00B47896">
      <w:pPr>
        <w:keepNext/>
        <w:jc w:val="both"/>
      </w:pPr>
      <w:r w:rsidRPr="00FA17A4">
        <w:rPr>
          <w:bCs/>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14:paraId="00197046" w14:textId="77777777" w:rsidR="00B47896" w:rsidRPr="00C07F85" w:rsidRDefault="00B47896" w:rsidP="00B47896">
      <w:pPr>
        <w:keepNext/>
        <w:jc w:val="both"/>
      </w:pPr>
      <w:r>
        <w:t>First time users must register as a new user to access the system. Applicants will receive a confirmation email after all required documents have been successfully uploaded.  A tutorial of the system will be provided at the pre-application workshop, and you may contact the Commission Agreement Officer identified in the Questions section of the solicitation for more assistance.</w:t>
      </w:r>
    </w:p>
    <w:p w14:paraId="6AF4D2AB" w14:textId="77777777" w:rsidR="00B47896" w:rsidRPr="00CF6DED" w:rsidRDefault="00B47896" w:rsidP="00B47896">
      <w:pPr>
        <w:pStyle w:val="Heading2"/>
        <w:numPr>
          <w:ilvl w:val="0"/>
          <w:numId w:val="73"/>
        </w:numPr>
      </w:pPr>
      <w:bookmarkStart w:id="146" w:name="_Toc121842088"/>
      <w:bookmarkStart w:id="147" w:name="_Toc219275114"/>
      <w:bookmarkStart w:id="148" w:name="_Toc336443632"/>
      <w:bookmarkStart w:id="149" w:name="_Toc366671188"/>
      <w:bookmarkEnd w:id="142"/>
      <w:bookmarkEnd w:id="143"/>
      <w:bookmarkEnd w:id="144"/>
      <w:bookmarkEnd w:id="145"/>
      <w:r w:rsidRPr="00CF6DED">
        <w:t>Application Content</w:t>
      </w:r>
      <w:bookmarkEnd w:id="146"/>
    </w:p>
    <w:p w14:paraId="4D42CE87" w14:textId="77777777" w:rsidR="00B47896" w:rsidRPr="00C31C1D" w:rsidRDefault="00B47896" w:rsidP="00B47896">
      <w:bookmarkStart w:id="150" w:name="_Toc381079929"/>
      <w:bookmarkStart w:id="151" w:name="_Toc382571192"/>
      <w:bookmarkStart w:id="152" w:name="_Toc395180702"/>
      <w:bookmarkStart w:id="153" w:name="_Toc433981331"/>
      <w:bookmarkStart w:id="154" w:name="_Toc35074593"/>
      <w:bookmarkStart w:id="155" w:name="_Toc366671191"/>
      <w:bookmarkEnd w:id="147"/>
      <w:bookmarkEnd w:id="148"/>
      <w:bookmarkEnd w:id="149"/>
      <w:r w:rsidRPr="00C31C1D">
        <w:t xml:space="preserve">Below is a </w:t>
      </w:r>
      <w:r>
        <w:t xml:space="preserve">general </w:t>
      </w:r>
      <w:r w:rsidRPr="00C31C1D">
        <w:t xml:space="preserve">description of each </w:t>
      </w:r>
      <w:r>
        <w:t xml:space="preserve">required </w:t>
      </w:r>
      <w:r w:rsidRPr="00C31C1D">
        <w:t>section of the application</w:t>
      </w:r>
      <w:r>
        <w:t xml:space="preserve">.  </w:t>
      </w:r>
      <w:r w:rsidRPr="00736A5C">
        <w:t>Please reference each individual attachment for a detailed description of the information requested by that attachment.</w:t>
      </w:r>
      <w:r>
        <w:t xml:space="preserve"> Completeness in submitting all the information requested in each attachment will be factored into </w:t>
      </w:r>
      <w:r w:rsidRPr="00BF6C04">
        <w:t>application</w:t>
      </w:r>
      <w:r>
        <w:t xml:space="preserve"> scoring</w:t>
      </w:r>
      <w:bookmarkEnd w:id="150"/>
      <w:bookmarkEnd w:id="151"/>
      <w:bookmarkEnd w:id="152"/>
      <w:bookmarkEnd w:id="153"/>
      <w:r>
        <w:t>.</w:t>
      </w:r>
    </w:p>
    <w:bookmarkEnd w:id="154"/>
    <w:bookmarkEnd w:id="155"/>
    <w:p w14:paraId="16F9E198" w14:textId="77777777" w:rsidR="00B47896" w:rsidRPr="007065BB" w:rsidRDefault="00B47896" w:rsidP="00B47896">
      <w:pPr>
        <w:pStyle w:val="HeadingNew1"/>
        <w:ind w:left="360"/>
      </w:pPr>
      <w:r w:rsidRPr="007065BB">
        <w:t>Application Form (Attachment 1)</w:t>
      </w:r>
    </w:p>
    <w:p w14:paraId="0B5041D0" w14:textId="77777777" w:rsidR="00B47896" w:rsidRPr="00C31C1D" w:rsidRDefault="00B47896" w:rsidP="00B47896">
      <w:pPr>
        <w:widowControl w:val="0"/>
        <w:spacing w:after="0"/>
        <w:ind w:left="360"/>
        <w:jc w:val="both"/>
      </w:pPr>
      <w:r>
        <w:t xml:space="preserve">This form requests basic information about the applicant and the project.  </w:t>
      </w:r>
      <w:r w:rsidRPr="00C31C1D">
        <w:t xml:space="preserve">The application </w:t>
      </w:r>
      <w:r>
        <w:t xml:space="preserve">must </w:t>
      </w:r>
      <w:r w:rsidRPr="00C31C1D">
        <w:t xml:space="preserve">include an original </w:t>
      </w:r>
      <w:r w:rsidRPr="00B513CA">
        <w:t>Application</w:t>
      </w:r>
      <w:r w:rsidRPr="00B513CA">
        <w:rPr>
          <w:color w:val="0078D4"/>
          <w:szCs w:val="22"/>
          <w:shd w:val="clear" w:color="auto" w:fill="FFFFFF"/>
        </w:rPr>
        <w:t xml:space="preserve"> </w:t>
      </w:r>
      <w:r>
        <w:t>F</w:t>
      </w:r>
      <w:r w:rsidRPr="00C31C1D">
        <w:t xml:space="preserve">orm </w:t>
      </w:r>
      <w:r>
        <w:t xml:space="preserve">that includes all requested information.  The </w:t>
      </w:r>
      <w:r w:rsidRPr="00B449E1">
        <w:t>Application Form</w:t>
      </w:r>
      <w:r>
        <w:t xml:space="preserve"> must be </w:t>
      </w:r>
      <w:r w:rsidRPr="00C31C1D">
        <w:t>signed by an au</w:t>
      </w:r>
      <w:r>
        <w:t>thorized representative of the a</w:t>
      </w:r>
      <w:r w:rsidRPr="00C31C1D">
        <w:t>pplicant’s organization</w:t>
      </w:r>
      <w:r>
        <w:t xml:space="preserve"> or will be failed as indicated in Section IV.E</w:t>
      </w:r>
      <w:r w:rsidRPr="00C31C1D">
        <w:rPr>
          <w:noProof/>
        </w:rPr>
        <w:t>.</w:t>
      </w:r>
      <w:r w:rsidRPr="00C31C1D">
        <w:t xml:space="preserve"> </w:t>
      </w:r>
    </w:p>
    <w:p w14:paraId="20F987E1" w14:textId="77777777" w:rsidR="00B47896" w:rsidRDefault="00B47896" w:rsidP="00B47896">
      <w:pPr>
        <w:spacing w:after="0"/>
        <w:ind w:left="720"/>
        <w:jc w:val="both"/>
      </w:pPr>
    </w:p>
    <w:p w14:paraId="1FDE88E0" w14:textId="77777777" w:rsidR="00B47896" w:rsidRDefault="00B47896" w:rsidP="00B47896">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735AD73" w14:textId="77777777" w:rsidR="00B47896" w:rsidRPr="00C31C1D" w:rsidRDefault="00B47896" w:rsidP="00B47896">
      <w:pPr>
        <w:spacing w:after="0"/>
        <w:ind w:left="720"/>
        <w:jc w:val="both"/>
      </w:pPr>
    </w:p>
    <w:p w14:paraId="214BF7D6" w14:textId="77777777" w:rsidR="00B47896" w:rsidRPr="007065BB" w:rsidRDefault="00B47896" w:rsidP="00B47896">
      <w:pPr>
        <w:pStyle w:val="HeadingNew1"/>
        <w:ind w:left="360"/>
      </w:pPr>
      <w:r w:rsidRPr="007065BB">
        <w:t>Executive Summary Form (Attachment 2)</w:t>
      </w:r>
    </w:p>
    <w:p w14:paraId="7A6F8529" w14:textId="77777777" w:rsidR="00B47896" w:rsidRDefault="00B47896" w:rsidP="00B47896">
      <w:pPr>
        <w:spacing w:after="0"/>
        <w:ind w:left="360" w:right="360"/>
        <w:jc w:val="both"/>
      </w:pPr>
      <w:r w:rsidRPr="00C31C1D">
        <w:t>The Executive Summary include</w:t>
      </w:r>
      <w:r>
        <w:t>s:</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t>ll management of the agreement.</w:t>
      </w:r>
    </w:p>
    <w:p w14:paraId="23546D7B" w14:textId="77777777" w:rsidR="00B47896" w:rsidRDefault="00B47896" w:rsidP="00B47896">
      <w:pPr>
        <w:spacing w:after="0"/>
        <w:ind w:left="360" w:right="360"/>
        <w:jc w:val="both"/>
        <w:rPr>
          <w:b/>
        </w:rPr>
      </w:pPr>
    </w:p>
    <w:p w14:paraId="78F8DDA0" w14:textId="77777777" w:rsidR="00B47896" w:rsidRPr="007065BB" w:rsidRDefault="00B47896" w:rsidP="005D7D30">
      <w:pPr>
        <w:pStyle w:val="HeadingNew1"/>
        <w:keepNext/>
        <w:keepLines/>
        <w:ind w:left="360"/>
      </w:pPr>
      <w:r w:rsidRPr="007065BB">
        <w:lastRenderedPageBreak/>
        <w:t xml:space="preserve">Project Narrative Form (Attachment </w:t>
      </w:r>
      <w:r>
        <w:t>3</w:t>
      </w:r>
      <w:r w:rsidRPr="007065BB">
        <w:t xml:space="preserve">) </w:t>
      </w:r>
    </w:p>
    <w:p w14:paraId="7E5B2A13" w14:textId="77777777" w:rsidR="00B47896" w:rsidRPr="00142AAE" w:rsidRDefault="00B47896" w:rsidP="005D7D30">
      <w:pPr>
        <w:keepNext/>
        <w:keepLines/>
        <w:ind w:left="360" w:right="360"/>
        <w:jc w:val="both"/>
      </w:pPr>
      <w:r>
        <w:t>T</w:t>
      </w:r>
      <w:r w:rsidRPr="00C31C1D">
        <w:t>h</w:t>
      </w:r>
      <w:r>
        <w:t>is</w:t>
      </w:r>
      <w:r w:rsidRPr="00C31C1D">
        <w:t xml:space="preserve"> </w:t>
      </w:r>
      <w:r>
        <w:t>f</w:t>
      </w:r>
      <w:r w:rsidRPr="00C31C1D">
        <w:t>orm</w:t>
      </w:r>
      <w:r>
        <w:t xml:space="preserve"> will include the majority of the applicant’s responses to the Scoring Criteria in Section IV</w:t>
      </w:r>
      <w:r w:rsidRPr="00142AAE">
        <w:t>, including the following which must be addressed for both Applied Research &amp; Technology Demonstration projects:</w:t>
      </w:r>
    </w:p>
    <w:p w14:paraId="0A6A0AEC" w14:textId="678349BC" w:rsidR="00B47896" w:rsidRPr="00142AAE" w:rsidRDefault="00B47896" w:rsidP="00B47896">
      <w:pPr>
        <w:numPr>
          <w:ilvl w:val="1"/>
          <w:numId w:val="28"/>
        </w:numPr>
        <w:tabs>
          <w:tab w:val="left" w:pos="288"/>
        </w:tabs>
        <w:spacing w:after="0"/>
        <w:ind w:left="1350" w:hanging="450"/>
        <w:rPr>
          <w:rFonts w:eastAsia="MS Mincho" w:cs="Times New Roman"/>
          <w:szCs w:val="24"/>
        </w:rPr>
      </w:pPr>
      <w:r w:rsidRPr="00142AAE">
        <w:rPr>
          <w:rFonts w:eastAsia="MS Mincho" w:cs="Times New Roman"/>
          <w:b/>
          <w:szCs w:val="24"/>
        </w:rPr>
        <w:t>Specific Questions</w:t>
      </w:r>
    </w:p>
    <w:p w14:paraId="2131C87E" w14:textId="3A8BA73D" w:rsidR="00B47896" w:rsidRPr="007039F0" w:rsidRDefault="00B47896" w:rsidP="00B47896">
      <w:pPr>
        <w:numPr>
          <w:ilvl w:val="2"/>
          <w:numId w:val="28"/>
        </w:numPr>
        <w:tabs>
          <w:tab w:val="left" w:pos="288"/>
        </w:tabs>
        <w:ind w:left="1886" w:hanging="446"/>
        <w:rPr>
          <w:rFonts w:eastAsia="MS Mincho" w:cs="Times New Roman"/>
          <w:szCs w:val="22"/>
        </w:rPr>
      </w:pPr>
      <w:r w:rsidRPr="00BF0ABC">
        <w:rPr>
          <w:rFonts w:eastAsia="MS Mincho" w:cs="Times New Roman"/>
          <w:szCs w:val="22"/>
        </w:rPr>
        <w:t>Include required specific information (see Section I.C.</w:t>
      </w:r>
      <w:r w:rsidRPr="007039F0">
        <w:rPr>
          <w:rFonts w:eastAsia="MS Mincho" w:cs="Times New Roman"/>
          <w:szCs w:val="22"/>
        </w:rPr>
        <w:t xml:space="preserve">) in the specified sections. </w:t>
      </w:r>
    </w:p>
    <w:p w14:paraId="0DE54B90" w14:textId="77777777" w:rsidR="00B47896" w:rsidRPr="00142AAE" w:rsidRDefault="00B47896" w:rsidP="00B47896">
      <w:pPr>
        <w:numPr>
          <w:ilvl w:val="1"/>
          <w:numId w:val="28"/>
        </w:numPr>
        <w:tabs>
          <w:tab w:val="left" w:pos="288"/>
        </w:tabs>
        <w:spacing w:after="0"/>
        <w:ind w:left="1350" w:hanging="450"/>
        <w:rPr>
          <w:rFonts w:eastAsia="MS Mincho" w:cs="Times New Roman"/>
          <w:sz w:val="24"/>
          <w:szCs w:val="24"/>
        </w:rPr>
      </w:pPr>
      <w:r w:rsidRPr="00142AAE">
        <w:rPr>
          <w:rFonts w:eastAsia="MS Mincho" w:cs="Times New Roman"/>
          <w:b/>
          <w:bCs/>
          <w:color w:val="000000"/>
          <w:szCs w:val="22"/>
        </w:rPr>
        <w:t>Project Readiness</w:t>
      </w:r>
    </w:p>
    <w:p w14:paraId="30909939" w14:textId="77777777" w:rsidR="00B47896" w:rsidRPr="00453F01" w:rsidRDefault="00B47896" w:rsidP="00B47896">
      <w:pPr>
        <w:numPr>
          <w:ilvl w:val="2"/>
          <w:numId w:val="28"/>
        </w:numPr>
        <w:tabs>
          <w:tab w:val="left" w:pos="288"/>
        </w:tabs>
        <w:spacing w:after="0"/>
        <w:ind w:left="1890" w:hanging="450"/>
        <w:rPr>
          <w:rFonts w:eastAsia="MS Mincho" w:cs="Times New Roman"/>
          <w:sz w:val="24"/>
          <w:szCs w:val="24"/>
        </w:rPr>
      </w:pPr>
      <w:r w:rsidRPr="721BCCCA">
        <w:rPr>
          <w:rFonts w:eastAsia="MS Mincho" w:cs="Times New Roman"/>
        </w:rPr>
        <w:t>Include information about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I.E).</w:t>
      </w:r>
      <w:r w:rsidRPr="00453F01">
        <w:rPr>
          <w:rFonts w:cs="Times New Roman"/>
        </w:rPr>
        <w:t xml:space="preserve"> All supporting documentation must be included in Attachment 8.</w:t>
      </w:r>
    </w:p>
    <w:p w14:paraId="3652E53E" w14:textId="77777777" w:rsidR="00B47896" w:rsidRPr="00C31C1D" w:rsidRDefault="00B47896" w:rsidP="00B47896">
      <w:pPr>
        <w:spacing w:after="0"/>
        <w:ind w:left="770" w:right="360"/>
        <w:jc w:val="both"/>
        <w:rPr>
          <w:b/>
        </w:rPr>
      </w:pPr>
    </w:p>
    <w:p w14:paraId="25314495" w14:textId="77777777" w:rsidR="00B47896" w:rsidRPr="007065BB" w:rsidRDefault="00B47896" w:rsidP="00B47896">
      <w:pPr>
        <w:pStyle w:val="HeadingNew1"/>
        <w:ind w:left="360"/>
      </w:pPr>
      <w:r w:rsidRPr="007065BB">
        <w:t xml:space="preserve">Project Team Form (Attachment </w:t>
      </w:r>
      <w:r>
        <w:t>4</w:t>
      </w:r>
      <w:r w:rsidRPr="007065BB">
        <w:t>)</w:t>
      </w:r>
    </w:p>
    <w:p w14:paraId="6E20BF6C" w14:textId="225F9993" w:rsidR="00B47896" w:rsidRPr="00C31C1D" w:rsidRDefault="00B47896" w:rsidP="00B47896">
      <w:pPr>
        <w:keepLines/>
        <w:widowControl w:val="0"/>
        <w:tabs>
          <w:tab w:val="left" w:pos="1170"/>
        </w:tabs>
        <w:spacing w:after="0"/>
        <w:ind w:left="360"/>
        <w:jc w:val="both"/>
        <w:rPr>
          <w:szCs w:val="22"/>
        </w:rPr>
      </w:pPr>
      <w:r w:rsidRPr="00C31C1D">
        <w:rPr>
          <w:szCs w:val="22"/>
        </w:rPr>
        <w:t>Identify by name all key personnel</w:t>
      </w:r>
      <w:r>
        <w:rPr>
          <w:rStyle w:val="FootnoteReference"/>
          <w:rFonts w:cs="Arial"/>
          <w:szCs w:val="22"/>
        </w:rPr>
        <w:footnoteReference w:id="28"/>
      </w:r>
      <w:r w:rsidRPr="00C31C1D">
        <w:rPr>
          <w:szCs w:val="22"/>
        </w:rPr>
        <w:t xml:space="preserve"> assigned to the project, including the </w:t>
      </w:r>
      <w:r>
        <w:rPr>
          <w:szCs w:val="22"/>
        </w:rPr>
        <w:t>project m</w:t>
      </w:r>
      <w:r w:rsidRPr="00C31C1D">
        <w:rPr>
          <w:szCs w:val="22"/>
        </w:rPr>
        <w:t>anager</w:t>
      </w:r>
      <w:r>
        <w:rPr>
          <w:szCs w:val="22"/>
        </w:rPr>
        <w:t xml:space="preserve"> and principal investigator (if applicable), </w:t>
      </w:r>
      <w:r w:rsidRPr="004D6FD1">
        <w:rPr>
          <w:szCs w:val="22"/>
        </w:rPr>
        <w:t xml:space="preserve">and individuals employed by any major subcontractor (a </w:t>
      </w:r>
      <w:r>
        <w:rPr>
          <w:szCs w:val="22"/>
        </w:rPr>
        <w:t xml:space="preserve">major </w:t>
      </w:r>
      <w:r w:rsidRPr="004D6FD1">
        <w:rPr>
          <w:szCs w:val="22"/>
        </w:rPr>
        <w:t>subcontractor</w:t>
      </w:r>
      <w:r>
        <w:rPr>
          <w:szCs w:val="22"/>
        </w:rPr>
        <w:t xml:space="preserve"> is a subcontractor</w:t>
      </w:r>
      <w:r w:rsidRPr="004D6FD1">
        <w:rPr>
          <w:szCs w:val="22"/>
        </w:rPr>
        <w:t xml:space="preserve"> receiving at least 25</w:t>
      </w:r>
      <w:r w:rsidR="0068035E">
        <w:rPr>
          <w:szCs w:val="22"/>
        </w:rPr>
        <w:t>%</w:t>
      </w:r>
      <w:r w:rsidRPr="004D6FD1">
        <w:rPr>
          <w:szCs w:val="22"/>
        </w:rPr>
        <w:t xml:space="preserve"> of Commission funds or $100,000, whichever is less)</w:t>
      </w:r>
      <w:r>
        <w:rPr>
          <w:szCs w:val="22"/>
        </w:rPr>
        <w:t xml:space="preserve">. </w:t>
      </w:r>
      <w:r w:rsidRPr="00B0148E">
        <w:rPr>
          <w:szCs w:val="22"/>
        </w:rPr>
        <w:t>Clearly describe their individual areas of responsibility.</w:t>
      </w:r>
      <w:r w:rsidRPr="00C31C1D">
        <w:rPr>
          <w:szCs w:val="22"/>
        </w:rPr>
        <w:t xml:space="preserve"> </w:t>
      </w:r>
      <w:r>
        <w:rPr>
          <w:szCs w:val="22"/>
        </w:rPr>
        <w:t>Include the information required f</w:t>
      </w:r>
      <w:r w:rsidRPr="00C31C1D">
        <w:rPr>
          <w:szCs w:val="22"/>
        </w:rPr>
        <w:t xml:space="preserve">or each individual, </w:t>
      </w:r>
      <w:r>
        <w:rPr>
          <w:szCs w:val="22"/>
        </w:rPr>
        <w:t>including</w:t>
      </w:r>
      <w:r w:rsidRPr="00C31C1D">
        <w:rPr>
          <w:szCs w:val="22"/>
        </w:rPr>
        <w:t xml:space="preserve"> </w:t>
      </w:r>
      <w:r>
        <w:rPr>
          <w:szCs w:val="22"/>
        </w:rPr>
        <w:t>a</w:t>
      </w:r>
      <w:r w:rsidRPr="00C31C1D">
        <w:rPr>
          <w:szCs w:val="22"/>
        </w:rPr>
        <w:t xml:space="preserve"> resume (maximum </w:t>
      </w:r>
      <w:r>
        <w:rPr>
          <w:szCs w:val="22"/>
        </w:rPr>
        <w:t>two</w:t>
      </w:r>
      <w:r w:rsidRPr="00C31C1D">
        <w:rPr>
          <w:szCs w:val="22"/>
        </w:rPr>
        <w:t xml:space="preserve"> page</w:t>
      </w:r>
      <w:r>
        <w:rPr>
          <w:szCs w:val="22"/>
        </w:rPr>
        <w:t>s</w:t>
      </w:r>
      <w:r w:rsidRPr="00C31C1D">
        <w:rPr>
          <w:szCs w:val="22"/>
        </w:rPr>
        <w:t xml:space="preserve">, </w:t>
      </w:r>
      <w:r>
        <w:rPr>
          <w:szCs w:val="22"/>
        </w:rPr>
        <w:t>printed double-sided)</w:t>
      </w:r>
      <w:r w:rsidRPr="00C31C1D">
        <w:rPr>
          <w:szCs w:val="22"/>
        </w:rPr>
        <w:t>.</w:t>
      </w:r>
    </w:p>
    <w:p w14:paraId="795C9462" w14:textId="77777777" w:rsidR="00B47896" w:rsidRDefault="00B47896" w:rsidP="00B47896">
      <w:pPr>
        <w:keepLines/>
        <w:widowControl w:val="0"/>
        <w:spacing w:after="0"/>
        <w:ind w:left="360"/>
        <w:jc w:val="both"/>
        <w:rPr>
          <w:b/>
          <w:szCs w:val="22"/>
        </w:rPr>
      </w:pPr>
    </w:p>
    <w:p w14:paraId="6FB56112" w14:textId="77777777" w:rsidR="00B47896" w:rsidRPr="007065BB" w:rsidRDefault="00B47896" w:rsidP="00B47896">
      <w:pPr>
        <w:pStyle w:val="HeadingNew1"/>
        <w:ind w:left="360"/>
      </w:pPr>
      <w:r w:rsidRPr="007065BB">
        <w:t xml:space="preserve">Scope of Work Template (Attachments </w:t>
      </w:r>
      <w:r>
        <w:t>5</w:t>
      </w:r>
      <w:r w:rsidRPr="007065BB">
        <w:t>)</w:t>
      </w:r>
    </w:p>
    <w:p w14:paraId="1C59D7EB" w14:textId="77777777" w:rsidR="00B47896" w:rsidRPr="00C31C1D" w:rsidRDefault="00B47896" w:rsidP="00B47896">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r>
        <w:t xml:space="preserve">See requirements in section III.A. </w:t>
      </w:r>
    </w:p>
    <w:p w14:paraId="3DBD06E5" w14:textId="77777777" w:rsidR="00B47896" w:rsidRPr="00C31C1D" w:rsidRDefault="00B47896" w:rsidP="00B47896">
      <w:pPr>
        <w:pStyle w:val="BulletedList"/>
        <w:spacing w:after="0"/>
        <w:ind w:left="720" w:firstLine="0"/>
        <w:jc w:val="both"/>
      </w:pPr>
    </w:p>
    <w:p w14:paraId="17BE65B2" w14:textId="77777777" w:rsidR="00B47896" w:rsidRPr="00142AAE" w:rsidRDefault="00B47896" w:rsidP="00B47896">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t xml:space="preserve">must be in </w:t>
      </w:r>
      <w:r w:rsidRPr="00C17EB0">
        <w:rPr>
          <w:b/>
        </w:rPr>
        <w:t>MS</w:t>
      </w:r>
      <w:r>
        <w:rPr>
          <w:b/>
        </w:rPr>
        <w:t xml:space="preserve"> </w:t>
      </w:r>
      <w:r w:rsidRPr="00C17EB0">
        <w:rPr>
          <w:b/>
        </w:rPr>
        <w:t>Word</w:t>
      </w:r>
      <w:r>
        <w:t xml:space="preserve"> file format</w:t>
      </w:r>
      <w:r>
        <w:rPr>
          <w:b/>
        </w:rPr>
        <w:t>.</w:t>
      </w:r>
    </w:p>
    <w:p w14:paraId="7E5023B8" w14:textId="77777777" w:rsidR="00B47896" w:rsidRPr="00C31C1D" w:rsidRDefault="00B47896" w:rsidP="00B47896">
      <w:pPr>
        <w:pStyle w:val="BulletedList"/>
        <w:spacing w:after="0"/>
        <w:ind w:left="720" w:firstLine="0"/>
        <w:jc w:val="both"/>
        <w:rPr>
          <w:b/>
        </w:rPr>
      </w:pPr>
    </w:p>
    <w:p w14:paraId="637743AD" w14:textId="77777777" w:rsidR="00B47896" w:rsidRDefault="00B47896" w:rsidP="00B47896">
      <w:pPr>
        <w:pStyle w:val="HeadingNew1"/>
        <w:ind w:left="360"/>
      </w:pPr>
      <w:bookmarkStart w:id="156" w:name="_Toc35074602"/>
      <w:r>
        <w:t>Project Schedule (Attachment 6)</w:t>
      </w:r>
    </w:p>
    <w:p w14:paraId="716C2B2C" w14:textId="77777777" w:rsidR="00B47896" w:rsidRDefault="00B47896" w:rsidP="00B47896">
      <w:pPr>
        <w:pStyle w:val="HeadingNew1"/>
        <w:numPr>
          <w:ilvl w:val="0"/>
          <w:numId w:val="0"/>
        </w:numPr>
        <w:ind w:left="360"/>
        <w:rPr>
          <w:b w:val="0"/>
        </w:rPr>
      </w:pPr>
      <w:r>
        <w:rPr>
          <w:b w:val="0"/>
        </w:rPr>
        <w:t xml:space="preserve">The Project Schedule includes a list of all </w:t>
      </w:r>
      <w:r w:rsidRPr="00504960">
        <w:rPr>
          <w:b w:val="0"/>
        </w:rPr>
        <w:t>product</w:t>
      </w:r>
      <w:r w:rsidRPr="006D2C5A">
        <w:rPr>
          <w:b w:val="0"/>
          <w:shd w:val="clear" w:color="auto" w:fill="E6E6E6"/>
        </w:rPr>
        <w:t>s</w:t>
      </w:r>
      <w:r>
        <w:rPr>
          <w:b w:val="0"/>
        </w:rPr>
        <w:t xml:space="preserve">, meetings, and due dates. </w:t>
      </w:r>
      <w:r w:rsidRPr="003B24B0">
        <w:rPr>
          <w:b w:val="0"/>
        </w:rPr>
        <w:t xml:space="preserve">All work must be scheduled for completion </w:t>
      </w:r>
      <w:r>
        <w:rPr>
          <w:b w:val="0"/>
        </w:rPr>
        <w:t>by the “Key Dates” section of this solicitation manual</w:t>
      </w:r>
      <w:r w:rsidRPr="003B24B0">
        <w:rPr>
          <w:b w:val="0"/>
        </w:rPr>
        <w:t>.</w:t>
      </w:r>
    </w:p>
    <w:p w14:paraId="5DC12354" w14:textId="77777777" w:rsidR="00B47896" w:rsidRPr="00CC1385" w:rsidRDefault="00B47896" w:rsidP="00B47896">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55754088" w14:textId="77777777" w:rsidR="00B47896" w:rsidRPr="007065BB" w:rsidRDefault="00B47896" w:rsidP="00B47896">
      <w:pPr>
        <w:pStyle w:val="HeadingNew1"/>
        <w:ind w:left="360"/>
      </w:pPr>
      <w:r w:rsidRPr="007065BB">
        <w:t>Budget Forms (Attachment 7)</w:t>
      </w:r>
    </w:p>
    <w:bookmarkEnd w:id="156"/>
    <w:p w14:paraId="0E397448" w14:textId="2FA5709F" w:rsidR="00B47896" w:rsidRPr="004D354D" w:rsidRDefault="00B47896" w:rsidP="00B47896">
      <w:pPr>
        <w:pStyle w:val="BulletedList"/>
        <w:ind w:left="360" w:firstLine="0"/>
        <w:jc w:val="both"/>
      </w:pPr>
      <w:r w:rsidRPr="00C31C1D">
        <w:t xml:space="preserve">The </w:t>
      </w:r>
      <w:r>
        <w:t xml:space="preserve">budget </w:t>
      </w:r>
      <w:r w:rsidRPr="00C31C1D">
        <w:t xml:space="preserve">forms are in </w:t>
      </w:r>
      <w:r>
        <w:t xml:space="preserve">MS </w:t>
      </w:r>
      <w:r w:rsidRPr="00C31C1D">
        <w:t>Excel format.</w:t>
      </w:r>
      <w:r>
        <w:t xml:space="preserve"> </w:t>
      </w:r>
      <w:r w:rsidRPr="00C31C1D">
        <w:t>Detailed i</w:t>
      </w:r>
      <w:r>
        <w:t xml:space="preserve">nstructions for completing them </w:t>
      </w:r>
      <w:r w:rsidRPr="00C31C1D">
        <w:t xml:space="preserve">are included at the beginning of </w:t>
      </w:r>
      <w:r>
        <w:t>A</w:t>
      </w:r>
      <w:r w:rsidRPr="00B6089E">
        <w:t>ttachment</w:t>
      </w:r>
      <w:r>
        <w:t xml:space="preserve"> 7</w:t>
      </w:r>
      <w:r w:rsidRPr="00C31C1D">
        <w:t xml:space="preserve">. </w:t>
      </w:r>
      <w:r>
        <w:rPr>
          <w:b/>
        </w:rPr>
        <w:t>R</w:t>
      </w:r>
      <w:r w:rsidRPr="00C31C1D">
        <w:rPr>
          <w:b/>
        </w:rPr>
        <w:t>ead the</w:t>
      </w:r>
      <w:r>
        <w:rPr>
          <w:b/>
        </w:rPr>
        <w:t xml:space="preserve"> </w:t>
      </w:r>
      <w:r w:rsidRPr="00C31C1D">
        <w:rPr>
          <w:b/>
        </w:rPr>
        <w:t xml:space="preserve">instructions before </w:t>
      </w:r>
      <w:r>
        <w:rPr>
          <w:b/>
        </w:rPr>
        <w:t>completing</w:t>
      </w:r>
      <w:r w:rsidRPr="00C31C1D">
        <w:rPr>
          <w:b/>
        </w:rPr>
        <w:t xml:space="preserve"> the</w:t>
      </w:r>
      <w:r>
        <w:rPr>
          <w:b/>
        </w:rPr>
        <w:t xml:space="preserve"> 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4D2E9D96" w14:textId="5B7E2630" w:rsidR="00B47896" w:rsidRDefault="00B47896" w:rsidP="00B47896">
      <w:pPr>
        <w:keepLines/>
        <w:widowControl w:val="0"/>
        <w:numPr>
          <w:ilvl w:val="0"/>
          <w:numId w:val="12"/>
        </w:numPr>
        <w:tabs>
          <w:tab w:val="left" w:pos="1080"/>
        </w:tabs>
        <w:spacing w:after="60"/>
        <w:ind w:left="1080"/>
        <w:jc w:val="both"/>
        <w:rPr>
          <w:szCs w:val="22"/>
        </w:rPr>
      </w:pPr>
      <w:r w:rsidRPr="00C31C1D">
        <w:rPr>
          <w:szCs w:val="22"/>
        </w:rPr>
        <w:lastRenderedPageBreak/>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 of </w:t>
      </w:r>
      <w:r w:rsidRPr="00C31C1D">
        <w:rPr>
          <w:szCs w:val="22"/>
        </w:rPr>
        <w:t xml:space="preserve">this solicitation. </w:t>
      </w:r>
      <w:r w:rsidRPr="00EC213B">
        <w:rPr>
          <w:szCs w:val="22"/>
        </w:rPr>
        <w:t xml:space="preserve">The entire term of the agreement and projected rate increases must be considered when preparing the budget.  </w:t>
      </w:r>
    </w:p>
    <w:p w14:paraId="10605C83" w14:textId="77777777" w:rsidR="00B47896" w:rsidRDefault="00B47896" w:rsidP="00B47896">
      <w:pPr>
        <w:keepLines/>
        <w:widowControl w:val="0"/>
        <w:numPr>
          <w:ilvl w:val="0"/>
          <w:numId w:val="12"/>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BC9B8F9" w14:textId="7129DAE8" w:rsidR="00B47896" w:rsidRDefault="00B47896" w:rsidP="00B47896">
      <w:pPr>
        <w:keepLines/>
        <w:numPr>
          <w:ilvl w:val="0"/>
          <w:numId w:val="12"/>
        </w:numPr>
        <w:tabs>
          <w:tab w:val="left" w:pos="1080"/>
        </w:tabs>
        <w:spacing w:after="60"/>
        <w:ind w:left="1080"/>
        <w:jc w:val="both"/>
        <w:rPr>
          <w:szCs w:val="22"/>
        </w:rPr>
      </w:pPr>
      <w:r w:rsidRPr="00C31C1D">
        <w:rPr>
          <w:szCs w:val="22"/>
        </w:rPr>
        <w:t xml:space="preserve">The proposed rates are considered capped and </w:t>
      </w:r>
      <w:r>
        <w:rPr>
          <w:szCs w:val="22"/>
        </w:rPr>
        <w:t xml:space="preserve">may not change during the </w:t>
      </w:r>
      <w:r w:rsidRPr="00F03208">
        <w:rPr>
          <w:szCs w:val="22"/>
        </w:rPr>
        <w:t>agreement</w:t>
      </w:r>
      <w:r>
        <w:rPr>
          <w:szCs w:val="22"/>
        </w:rPr>
        <w:t xml:space="preserve"> term</w:t>
      </w:r>
      <w:r w:rsidRPr="00F03208">
        <w:rPr>
          <w:szCs w:val="22"/>
        </w:rPr>
        <w:t xml:space="preserve">. </w:t>
      </w:r>
      <w:r w:rsidRPr="00850149">
        <w:rPr>
          <w:spacing w:val="-3"/>
          <w:szCs w:val="22"/>
        </w:rPr>
        <w:t xml:space="preserve">The Recipient will only be reimbursed for </w:t>
      </w:r>
      <w:r w:rsidRPr="00EC213B">
        <w:rPr>
          <w:b/>
          <w:spacing w:val="-3"/>
          <w:szCs w:val="22"/>
        </w:rPr>
        <w:t>actual</w:t>
      </w:r>
      <w:r w:rsidRPr="00850149">
        <w:rPr>
          <w:spacing w:val="-3"/>
          <w:szCs w:val="22"/>
        </w:rPr>
        <w:t xml:space="preserve"> rates up to the rate caps.  </w:t>
      </w:r>
    </w:p>
    <w:p w14:paraId="64CA08D0" w14:textId="58D92079" w:rsidR="00B47896" w:rsidRDefault="00B47896" w:rsidP="00B47896">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Pr>
          <w:szCs w:val="22"/>
        </w:rPr>
        <w:t xml:space="preserve"> (subcontractor profit is allowable, though the maximum percentage allowed is 10</w:t>
      </w:r>
      <w:r w:rsidR="004D4AC7">
        <w:rPr>
          <w:szCs w:val="22"/>
        </w:rPr>
        <w:t>%</w:t>
      </w:r>
      <w:r>
        <w:rPr>
          <w:szCs w:val="22"/>
        </w:rPr>
        <w:t xml:space="preserve"> of </w:t>
      </w:r>
      <w:r w:rsidRPr="00DF20D4">
        <w:rPr>
          <w:szCs w:val="22"/>
        </w:rPr>
        <w:t>the total subcontractor rates for labor, and other direct and indirect costs as indicated in the Category Budget form</w:t>
      </w:r>
      <w:r>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Pr>
          <w:szCs w:val="22"/>
        </w:rPr>
        <w:t xml:space="preserve">and budget forms </w:t>
      </w:r>
      <w:r w:rsidRPr="00C31C1D">
        <w:rPr>
          <w:szCs w:val="22"/>
        </w:rPr>
        <w:t xml:space="preserve">for additional </w:t>
      </w:r>
      <w:r>
        <w:rPr>
          <w:szCs w:val="22"/>
        </w:rPr>
        <w:t xml:space="preserve">restrictions and </w:t>
      </w:r>
      <w:r w:rsidRPr="00C31C1D">
        <w:rPr>
          <w:szCs w:val="22"/>
        </w:rPr>
        <w:t>requirements.</w:t>
      </w:r>
    </w:p>
    <w:p w14:paraId="35C10408" w14:textId="77777777" w:rsidR="00B47896" w:rsidRDefault="00B47896" w:rsidP="00B47896">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Pr>
          <w:szCs w:val="22"/>
        </w:rPr>
        <w:t>CEC</w:t>
      </w:r>
      <w:r w:rsidRPr="00C31C1D">
        <w:rPr>
          <w:szCs w:val="22"/>
        </w:rPr>
        <w:t xml:space="preserve"> </w:t>
      </w:r>
      <w:r>
        <w:rPr>
          <w:szCs w:val="22"/>
        </w:rPr>
        <w:t>or by conference call, as determined by the Commission Agreement Manager</w:t>
      </w:r>
      <w:r w:rsidRPr="00C31C1D">
        <w:rPr>
          <w:szCs w:val="22"/>
        </w:rPr>
        <w:t>.</w:t>
      </w:r>
    </w:p>
    <w:p w14:paraId="48C47308" w14:textId="77777777" w:rsidR="00B47896" w:rsidRDefault="00B47896" w:rsidP="00B47896">
      <w:pPr>
        <w:keepLines/>
        <w:widowControl w:val="0"/>
        <w:numPr>
          <w:ilvl w:val="0"/>
          <w:numId w:val="12"/>
        </w:numPr>
        <w:spacing w:after="60"/>
        <w:ind w:left="1080"/>
        <w:jc w:val="both"/>
        <w:rPr>
          <w:szCs w:val="22"/>
        </w:rPr>
      </w:pPr>
      <w:r w:rsidRPr="009C4C3F">
        <w:rPr>
          <w:szCs w:val="22"/>
        </w:rPr>
        <w:t>Applicants must budget for permits and insurance</w:t>
      </w:r>
      <w:r w:rsidRPr="00285E47">
        <w:rPr>
          <w:szCs w:val="22"/>
        </w:rPr>
        <w:t xml:space="preserve">. </w:t>
      </w:r>
      <w:r>
        <w:rPr>
          <w:szCs w:val="22"/>
        </w:rPr>
        <w:t xml:space="preserve">Permitting costs </w:t>
      </w:r>
      <w:r w:rsidRPr="00285E47">
        <w:rPr>
          <w:szCs w:val="22"/>
        </w:rPr>
        <w:t>may be accounted for in match share</w:t>
      </w:r>
      <w:r>
        <w:rPr>
          <w:szCs w:val="22"/>
        </w:rPr>
        <w:t xml:space="preserve">. </w:t>
      </w:r>
      <w:r w:rsidRPr="002B474F">
        <w:rPr>
          <w:szCs w:val="22"/>
        </w:rPr>
        <w:t>Permit costs and the expenses associated with obtaining permits are not reimbursable under this Agreement</w:t>
      </w:r>
      <w:r>
        <w:rPr>
          <w:szCs w:val="22"/>
        </w:rPr>
        <w:t xml:space="preserve"> with CEC funds</w:t>
      </w:r>
      <w:r w:rsidRPr="002B474F">
        <w:rPr>
          <w:szCs w:val="22"/>
        </w:rPr>
        <w:t>, with the exception of costs incurred by University of California recipients.</w:t>
      </w:r>
      <w:r>
        <w:rPr>
          <w:szCs w:val="22"/>
        </w:rPr>
        <w:t xml:space="preserve"> </w:t>
      </w:r>
    </w:p>
    <w:p w14:paraId="337DE8BA" w14:textId="00B41CCD" w:rsidR="00B47896" w:rsidRPr="00A16CE4" w:rsidRDefault="00B47896" w:rsidP="00B47896">
      <w:pPr>
        <w:keepLines/>
        <w:widowControl w:val="0"/>
        <w:numPr>
          <w:ilvl w:val="0"/>
          <w:numId w:val="12"/>
        </w:numPr>
        <w:spacing w:after="60"/>
        <w:ind w:left="1080"/>
        <w:jc w:val="both"/>
        <w:rPr>
          <w:szCs w:val="22"/>
        </w:rPr>
      </w:pPr>
      <w:r w:rsidRPr="003A4967">
        <w:rPr>
          <w:bCs/>
        </w:rPr>
        <w:t>The budget must NOT identify that EPIC funds will be spent outside of the United States or for out</w:t>
      </w:r>
      <w:r>
        <w:rPr>
          <w:bCs/>
        </w:rPr>
        <w:t>-</w:t>
      </w:r>
      <w:r w:rsidRPr="003A4967">
        <w:rPr>
          <w:bCs/>
        </w:rPr>
        <w:t>of</w:t>
      </w:r>
      <w:r>
        <w:rPr>
          <w:bCs/>
        </w:rPr>
        <w:t>-</w:t>
      </w:r>
      <w:r w:rsidRPr="003A4967">
        <w:rPr>
          <w:bCs/>
        </w:rPr>
        <w:t>country travel. However, match funds may cover these costs if there are no legal restrictions.</w:t>
      </w:r>
    </w:p>
    <w:p w14:paraId="0055F3DA" w14:textId="16B570FE" w:rsidR="00B47896" w:rsidRPr="003A4967" w:rsidRDefault="00B47896" w:rsidP="00B47896">
      <w:pPr>
        <w:keepLines/>
        <w:widowControl w:val="0"/>
        <w:numPr>
          <w:ilvl w:val="0"/>
          <w:numId w:val="12"/>
        </w:numPr>
        <w:spacing w:after="60"/>
        <w:ind w:left="1080"/>
        <w:jc w:val="both"/>
        <w:rPr>
          <w:szCs w:val="22"/>
        </w:rPr>
      </w:pPr>
      <w:r w:rsidRPr="001B277D">
        <w:rPr>
          <w:szCs w:val="22"/>
        </w:rP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p>
    <w:p w14:paraId="7C78A239" w14:textId="4ED89B39" w:rsidR="00B47896" w:rsidRPr="00AD2D4A" w:rsidRDefault="00B47896" w:rsidP="00B47896">
      <w:pPr>
        <w:keepLines/>
        <w:widowControl w:val="0"/>
        <w:numPr>
          <w:ilvl w:val="0"/>
          <w:numId w:val="12"/>
        </w:numPr>
        <w:spacing w:after="60"/>
        <w:ind w:left="1080"/>
        <w:jc w:val="both"/>
        <w:rPr>
          <w:bCs/>
        </w:rPr>
      </w:pPr>
      <w:r w:rsidRPr="00A8248C">
        <w:rPr>
          <w:b/>
          <w:szCs w:val="22"/>
        </w:rPr>
        <w:t>Prevailing wage requirement:</w:t>
      </w:r>
      <w:r>
        <w:rPr>
          <w:szCs w:val="22"/>
        </w:rPr>
        <w:t xml:space="preserve"> </w:t>
      </w:r>
      <w:r w:rsidRPr="00DF34CF">
        <w:rPr>
          <w:bCs/>
        </w:rPr>
        <w:t xml:space="preserve">Projects that receive an award of public funds from the </w:t>
      </w:r>
      <w:r>
        <w:rPr>
          <w:bCs/>
        </w:rPr>
        <w:t>CEC</w:t>
      </w:r>
      <w:r w:rsidRPr="00DF34CF">
        <w:rPr>
          <w:bCs/>
        </w:rPr>
        <w:t xml:space="preserve"> often involve construction, alteration, demolition, installation, repair or maintenance work over $1,000. </w:t>
      </w:r>
      <w:r>
        <w:rPr>
          <w:bCs/>
        </w:rPr>
        <w:t>For this reason, p</w:t>
      </w:r>
      <w:r w:rsidRPr="00DF34CF">
        <w:rPr>
          <w:bCs/>
        </w:rPr>
        <w:t xml:space="preserve">rojects that receive an award of public funds from the </w:t>
      </w:r>
      <w:r>
        <w:rPr>
          <w:bCs/>
        </w:rPr>
        <w:t>CEC</w:t>
      </w:r>
      <w:r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Pr="00AD2D4A">
        <w:rPr>
          <w:bCs/>
        </w:rPr>
        <w:t>.</w:t>
      </w:r>
    </w:p>
    <w:p w14:paraId="3AF44F1B" w14:textId="77777777" w:rsidR="00B47896" w:rsidRDefault="00B47896" w:rsidP="00B47896">
      <w:pPr>
        <w:keepLines/>
        <w:widowControl w:val="0"/>
        <w:spacing w:after="60"/>
        <w:ind w:left="1080"/>
        <w:jc w:val="both"/>
        <w:rPr>
          <w:bCs/>
        </w:rPr>
      </w:pPr>
    </w:p>
    <w:p w14:paraId="498BA456" w14:textId="77777777" w:rsidR="00B47896" w:rsidRDefault="00B47896" w:rsidP="00B47896">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78E47C26" w14:textId="77777777" w:rsidR="00B47896" w:rsidRDefault="00B47896" w:rsidP="00B47896">
      <w:pPr>
        <w:keepNext/>
        <w:keepLines/>
        <w:widowControl w:val="0"/>
        <w:autoSpaceDE w:val="0"/>
        <w:autoSpaceDN w:val="0"/>
        <w:adjustRightInd w:val="0"/>
        <w:ind w:left="1440"/>
        <w:rPr>
          <w:rFonts w:eastAsia="Calibri"/>
          <w:szCs w:val="24"/>
        </w:rPr>
      </w:pPr>
      <w:r>
        <w:rPr>
          <w:rFonts w:eastAsia="Calibri"/>
          <w:szCs w:val="24"/>
        </w:rPr>
        <w:lastRenderedPageBreak/>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707BC679" w14:textId="77777777" w:rsidR="00B47896" w:rsidRDefault="00B47896" w:rsidP="00B47896">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5779F5C9" w14:textId="77777777" w:rsidR="00B47896" w:rsidRPr="006E2AF3" w:rsidRDefault="00B47896" w:rsidP="00B47896">
      <w:pPr>
        <w:keepLines/>
        <w:widowControl w:val="0"/>
        <w:numPr>
          <w:ilvl w:val="0"/>
          <w:numId w:val="44"/>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7CD6F429" w14:textId="77777777" w:rsidR="00B47896" w:rsidRDefault="00B47896" w:rsidP="00B47896">
      <w:pPr>
        <w:keepLines/>
        <w:widowControl w:val="0"/>
        <w:numPr>
          <w:ilvl w:val="0"/>
          <w:numId w:val="44"/>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5D61C86C" w14:textId="77777777" w:rsidR="00B47896" w:rsidRDefault="00B47896" w:rsidP="00B47896">
      <w:pPr>
        <w:keepLines/>
        <w:widowControl w:val="0"/>
        <w:numPr>
          <w:ilvl w:val="0"/>
          <w:numId w:val="44"/>
        </w:numPr>
        <w:autoSpaceDE w:val="0"/>
        <w:autoSpaceDN w:val="0"/>
        <w:adjustRightInd w:val="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obligations; </w:t>
      </w:r>
    </w:p>
    <w:p w14:paraId="0B52B712" w14:textId="77777777" w:rsidR="00B47896" w:rsidRDefault="00B47896" w:rsidP="00B47896">
      <w:pPr>
        <w:pStyle w:val="ListParagraph"/>
        <w:keepLines/>
        <w:widowControl w:val="0"/>
        <w:rPr>
          <w:rFonts w:ascii="ArialMT" w:eastAsia="Calibri" w:hAnsi="ArialMT" w:cs="ArialMT"/>
          <w:szCs w:val="24"/>
        </w:rPr>
      </w:pPr>
      <w:r>
        <w:rPr>
          <w:rFonts w:ascii="ArialMT" w:eastAsia="Calibri" w:hAnsi="ArialMT" w:cs="ArialMT"/>
          <w:szCs w:val="24"/>
        </w:rPr>
        <w:t>or,</w:t>
      </w:r>
    </w:p>
    <w:p w14:paraId="7F45ED39" w14:textId="0EF35418" w:rsidR="00B47896" w:rsidRPr="00DF34CF" w:rsidRDefault="00B47896" w:rsidP="00B47896">
      <w:pPr>
        <w:keepLines/>
        <w:widowControl w:val="0"/>
        <w:spacing w:after="60"/>
        <w:ind w:left="1080"/>
        <w:jc w:val="both"/>
        <w:rPr>
          <w:bCs/>
        </w:rPr>
      </w:pPr>
      <w:r>
        <w:rPr>
          <w:rFonts w:eastAsia="Calibri"/>
          <w:szCs w:val="24"/>
        </w:rPr>
        <w:t>(b)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8AAB30C" w14:textId="77777777" w:rsidR="00B47896" w:rsidRPr="00424A73" w:rsidRDefault="00B47896" w:rsidP="00B47896">
      <w:pPr>
        <w:keepLines/>
        <w:widowControl w:val="0"/>
        <w:spacing w:after="0"/>
        <w:ind w:left="1440"/>
        <w:jc w:val="both"/>
        <w:rPr>
          <w:szCs w:val="22"/>
        </w:rPr>
      </w:pPr>
    </w:p>
    <w:p w14:paraId="07A39945" w14:textId="77777777" w:rsidR="00B47896" w:rsidRPr="007065BB" w:rsidRDefault="00B47896" w:rsidP="00B47896">
      <w:pPr>
        <w:pStyle w:val="HeadingNew1"/>
        <w:ind w:left="360"/>
      </w:pPr>
      <w:r w:rsidRPr="007065BB">
        <w:t>California Environmental Quality Act (CEQA) Compliance Form</w:t>
      </w:r>
      <w:r w:rsidRPr="007065BB" w:rsidDel="00E3682B">
        <w:t xml:space="preserve"> </w:t>
      </w:r>
      <w:r w:rsidRPr="007065BB">
        <w:t>(Attachment 8)</w:t>
      </w:r>
    </w:p>
    <w:p w14:paraId="2A3BB19A" w14:textId="1BCD3C04" w:rsidR="00B47896" w:rsidRPr="0075281F" w:rsidRDefault="00B47896" w:rsidP="00B47896">
      <w:pPr>
        <w:keepLines/>
        <w:widowControl w:val="0"/>
        <w:spacing w:after="0"/>
        <w:ind w:left="720"/>
        <w:jc w:val="both"/>
        <w:rPr>
          <w:i/>
          <w:szCs w:val="22"/>
        </w:rPr>
      </w:pPr>
      <w:r w:rsidRPr="00424A73">
        <w:rPr>
          <w:szCs w:val="22"/>
        </w:rPr>
        <w:t xml:space="preserve">The </w:t>
      </w:r>
      <w:r>
        <w:rPr>
          <w:szCs w:val="22"/>
        </w:rPr>
        <w:t>CEC</w:t>
      </w:r>
      <w:r w:rsidRPr="00424A73">
        <w:rPr>
          <w:szCs w:val="22"/>
        </w:rPr>
        <w:t xml:space="preserve"> requires the information on this form to facilitate its evaluation of </w:t>
      </w:r>
      <w:r>
        <w:rPr>
          <w:szCs w:val="22"/>
        </w:rPr>
        <w:t>proposed activities</w:t>
      </w:r>
      <w:r w:rsidRPr="00424A73">
        <w:rPr>
          <w:szCs w:val="22"/>
        </w:rPr>
        <w:t xml:space="preserve"> under CEQA (</w:t>
      </w:r>
      <w:r>
        <w:rPr>
          <w:szCs w:val="22"/>
        </w:rPr>
        <w:t xml:space="preserve">California </w:t>
      </w:r>
      <w:r w:rsidRPr="00424A73">
        <w:rPr>
          <w:szCs w:val="22"/>
        </w:rPr>
        <w:t xml:space="preserve">Public Resources Code Section 21000 et. seq.), a law that requires state and local agencies in California to </w:t>
      </w:r>
      <w:r>
        <w:rPr>
          <w:szCs w:val="22"/>
        </w:rPr>
        <w:t xml:space="preserve">assess the potential </w:t>
      </w:r>
      <w:r w:rsidRPr="00424A73">
        <w:rPr>
          <w:szCs w:val="22"/>
        </w:rPr>
        <w:t xml:space="preserve">environmental impacts of their </w:t>
      </w:r>
      <w:r>
        <w:rPr>
          <w:szCs w:val="22"/>
        </w:rPr>
        <w:t xml:space="preserve">proposed </w:t>
      </w:r>
      <w:r w:rsidRPr="00424A73">
        <w:rPr>
          <w:szCs w:val="22"/>
        </w:rPr>
        <w:t xml:space="preserve">actions. The form will also help applicants to determine CEQA compliance obligations by identifying which </w:t>
      </w:r>
      <w:r>
        <w:rPr>
          <w:szCs w:val="22"/>
        </w:rPr>
        <w:t xml:space="preserve">proposed activities </w:t>
      </w:r>
      <w:r w:rsidRPr="00424A73">
        <w:rPr>
          <w:szCs w:val="22"/>
        </w:rPr>
        <w:t>may</w:t>
      </w:r>
      <w:r>
        <w:rPr>
          <w:szCs w:val="22"/>
        </w:rPr>
        <w:t xml:space="preserve"> be exempt from </w:t>
      </w:r>
      <w:r w:rsidRPr="00424A73">
        <w:rPr>
          <w:szCs w:val="22"/>
        </w:rPr>
        <w:t>CEQA</w:t>
      </w:r>
      <w:r>
        <w:rPr>
          <w:szCs w:val="22"/>
        </w:rPr>
        <w:t xml:space="preserve"> and which activities may require additional environmental review</w:t>
      </w:r>
      <w:r w:rsidRPr="00424A73">
        <w:rPr>
          <w:szCs w:val="22"/>
        </w:rPr>
        <w:t xml:space="preserve">. If </w:t>
      </w:r>
      <w:r>
        <w:rPr>
          <w:szCs w:val="22"/>
        </w:rPr>
        <w:t xml:space="preserve">proposed </w:t>
      </w:r>
      <w:r w:rsidRPr="00424A73">
        <w:rPr>
          <w:szCs w:val="22"/>
        </w:rPr>
        <w:t>activities</w:t>
      </w:r>
      <w:r>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F192A00" w14:textId="77777777" w:rsidR="00B47896" w:rsidRPr="00C31C1D" w:rsidRDefault="00B47896" w:rsidP="00B47896">
      <w:pPr>
        <w:keepLines/>
        <w:widowControl w:val="0"/>
        <w:spacing w:after="0"/>
        <w:ind w:left="720"/>
        <w:jc w:val="both"/>
        <w:rPr>
          <w:szCs w:val="22"/>
        </w:rPr>
      </w:pPr>
    </w:p>
    <w:p w14:paraId="136D1FAA" w14:textId="77777777" w:rsidR="00B47896" w:rsidRPr="00C31C1D" w:rsidRDefault="00B47896" w:rsidP="00B47896">
      <w:pPr>
        <w:keepLines/>
        <w:widowControl w:val="0"/>
        <w:spacing w:after="0"/>
        <w:ind w:left="72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CEC’s Notice of Proposed Award </w:t>
      </w:r>
      <w:r w:rsidRPr="00C31C1D">
        <w:rPr>
          <w:szCs w:val="22"/>
        </w:rPr>
        <w:t xml:space="preserve">may result in </w:t>
      </w:r>
      <w:r>
        <w:rPr>
          <w:szCs w:val="22"/>
        </w:rPr>
        <w:t xml:space="preserve">the </w:t>
      </w:r>
      <w:r w:rsidRPr="00C31C1D">
        <w:rPr>
          <w:szCs w:val="22"/>
        </w:rPr>
        <w:t>cancellation of</w:t>
      </w:r>
      <w:r>
        <w:rPr>
          <w:szCs w:val="22"/>
        </w:rPr>
        <w:t xml:space="preserve"> a</w:t>
      </w:r>
      <w:r w:rsidRPr="00C31C1D">
        <w:rPr>
          <w:szCs w:val="22"/>
        </w:rPr>
        <w:t xml:space="preserve"> </w:t>
      </w:r>
      <w:r>
        <w:rPr>
          <w:szCs w:val="22"/>
        </w:rPr>
        <w:t>proposed</w:t>
      </w:r>
      <w:r w:rsidRPr="00C31C1D">
        <w:rPr>
          <w:szCs w:val="22"/>
        </w:rPr>
        <w:t xml:space="preserve"> award and </w:t>
      </w:r>
      <w:r>
        <w:rPr>
          <w:szCs w:val="22"/>
        </w:rPr>
        <w:t>allocation of funding</w:t>
      </w:r>
      <w:r w:rsidRPr="00C31C1D">
        <w:rPr>
          <w:szCs w:val="22"/>
        </w:rPr>
        <w:t xml:space="preserve"> </w:t>
      </w:r>
      <w:r>
        <w:rPr>
          <w:szCs w:val="22"/>
        </w:rPr>
        <w:t xml:space="preserve">elsewhere, such as </w:t>
      </w:r>
      <w:r w:rsidRPr="00C31C1D">
        <w:rPr>
          <w:szCs w:val="22"/>
        </w:rPr>
        <w:t>to the next highest</w:t>
      </w:r>
      <w:r>
        <w:rPr>
          <w:szCs w:val="22"/>
        </w:rPr>
        <w:t>-</w:t>
      </w:r>
      <w:r w:rsidRPr="00C31C1D">
        <w:rPr>
          <w:szCs w:val="22"/>
        </w:rPr>
        <w:t>scoring project.</w:t>
      </w:r>
    </w:p>
    <w:p w14:paraId="5C64722E" w14:textId="77777777" w:rsidR="00B47896" w:rsidRPr="00C31C1D" w:rsidRDefault="00B47896" w:rsidP="00B47896">
      <w:pPr>
        <w:keepLines/>
        <w:widowControl w:val="0"/>
        <w:spacing w:after="0"/>
        <w:ind w:left="720"/>
        <w:jc w:val="both"/>
        <w:rPr>
          <w:szCs w:val="22"/>
        </w:rPr>
      </w:pPr>
    </w:p>
    <w:p w14:paraId="147D3C1C" w14:textId="77777777" w:rsidR="00B47896" w:rsidRPr="00C31C1D" w:rsidRDefault="00B47896" w:rsidP="00B47896">
      <w:pPr>
        <w:pStyle w:val="HeadingNew1"/>
        <w:ind w:left="360"/>
        <w:rPr>
          <w:b w:val="0"/>
        </w:rPr>
      </w:pPr>
      <w:r w:rsidRPr="007065BB">
        <w:t>Reference and Work Product Form (Attachment 9)</w:t>
      </w:r>
    </w:p>
    <w:p w14:paraId="2377B924" w14:textId="77777777" w:rsidR="00B47896" w:rsidRDefault="00B47896" w:rsidP="00B47896">
      <w:pPr>
        <w:keepLines/>
        <w:widowControl w:val="0"/>
        <w:numPr>
          <w:ilvl w:val="2"/>
          <w:numId w:val="21"/>
        </w:numPr>
        <w:tabs>
          <w:tab w:val="left" w:pos="1080"/>
        </w:tabs>
        <w:spacing w:after="0"/>
        <w:ind w:left="108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4306720B" w14:textId="77777777" w:rsidR="00B47896" w:rsidRDefault="00B47896" w:rsidP="00B47896">
      <w:pPr>
        <w:keepLines/>
        <w:widowControl w:val="0"/>
        <w:numPr>
          <w:ilvl w:val="2"/>
          <w:numId w:val="21"/>
        </w:numPr>
        <w:tabs>
          <w:tab w:val="left" w:pos="720"/>
          <w:tab w:val="left" w:pos="1080"/>
        </w:tabs>
        <w:spacing w:after="0"/>
        <w:ind w:hanging="1260"/>
        <w:jc w:val="both"/>
        <w:rPr>
          <w:szCs w:val="22"/>
        </w:rPr>
      </w:pPr>
      <w:r w:rsidRPr="00D8053E">
        <w:rPr>
          <w:szCs w:val="22"/>
          <w:u w:val="single"/>
        </w:rPr>
        <w:t>Section 2</w:t>
      </w:r>
      <w:r w:rsidRPr="00D8053E">
        <w:rPr>
          <w:szCs w:val="22"/>
        </w:rPr>
        <w:t xml:space="preserve">:  Provide a list of past projects detailing technical and business experience </w:t>
      </w:r>
    </w:p>
    <w:p w14:paraId="6951F346" w14:textId="0477C2A3" w:rsidR="00B47896" w:rsidRPr="00753051" w:rsidRDefault="00B47896" w:rsidP="00B47896">
      <w:pPr>
        <w:keepLines/>
        <w:widowControl w:val="0"/>
        <w:tabs>
          <w:tab w:val="left" w:pos="720"/>
          <w:tab w:val="left" w:pos="1080"/>
        </w:tabs>
        <w:spacing w:after="0"/>
        <w:ind w:left="108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07EEB81F" w14:textId="77777777" w:rsidR="00B47896" w:rsidRDefault="00B47896" w:rsidP="00B47896">
      <w:pPr>
        <w:spacing w:after="0"/>
        <w:jc w:val="both"/>
        <w:rPr>
          <w:szCs w:val="24"/>
        </w:rPr>
      </w:pPr>
    </w:p>
    <w:p w14:paraId="6C1A421E" w14:textId="77777777" w:rsidR="00B47896" w:rsidRPr="007065BB" w:rsidRDefault="00B47896" w:rsidP="00B47896">
      <w:pPr>
        <w:pStyle w:val="HeadingNew1"/>
        <w:ind w:left="360"/>
      </w:pPr>
      <w:r w:rsidRPr="00E74B5A">
        <w:rPr>
          <w:b w:val="0"/>
          <w:szCs w:val="24"/>
        </w:rPr>
        <w:t xml:space="preserve"> </w:t>
      </w:r>
      <w:bookmarkStart w:id="157" w:name="CommLttr"/>
      <w:r w:rsidRPr="007065BB">
        <w:t>Commitment and Su</w:t>
      </w:r>
      <w:r>
        <w:t>pport Letter Form (Attachment 10</w:t>
      </w:r>
      <w:r w:rsidRPr="007065BB">
        <w:t>)</w:t>
      </w:r>
      <w:bookmarkEnd w:id="157"/>
    </w:p>
    <w:p w14:paraId="46677654" w14:textId="634ABFD0" w:rsidR="00B47896" w:rsidRDefault="00B47896" w:rsidP="00B47896">
      <w:pPr>
        <w:tabs>
          <w:tab w:val="left" w:pos="720"/>
          <w:tab w:val="left" w:pos="810"/>
          <w:tab w:val="left" w:pos="1080"/>
        </w:tabs>
        <w:ind w:left="806"/>
        <w:jc w:val="both"/>
        <w:rPr>
          <w:szCs w:val="22"/>
        </w:rPr>
      </w:pPr>
      <w:r>
        <w:rPr>
          <w:szCs w:val="22"/>
        </w:rPr>
        <w:t xml:space="preserve">A commitment letter commits an entity or individual to providing the service or funding described in the letter. A support letter details an entity or individual’s support for the project. </w:t>
      </w:r>
      <w:r w:rsidRPr="004B221F">
        <w:rPr>
          <w:szCs w:val="22"/>
        </w:rPr>
        <w:t xml:space="preserve">Commitment and Support Letters must be submitted with the application. Letters </w:t>
      </w:r>
      <w:r w:rsidRPr="004B221F">
        <w:rPr>
          <w:szCs w:val="22"/>
        </w:rPr>
        <w:lastRenderedPageBreak/>
        <w:t xml:space="preserve">that are not submitted </w:t>
      </w:r>
      <w:r>
        <w:rPr>
          <w:szCs w:val="22"/>
        </w:rPr>
        <w:t xml:space="preserve">by the application deadline </w:t>
      </w:r>
      <w:r w:rsidRPr="004B221F">
        <w:rPr>
          <w:szCs w:val="22"/>
        </w:rPr>
        <w:t>will not be reviewed and counted towards meeting the requirement specified in the solicitation</w:t>
      </w:r>
      <w:r>
        <w:rPr>
          <w:szCs w:val="22"/>
        </w:rPr>
        <w:t>.</w:t>
      </w:r>
    </w:p>
    <w:p w14:paraId="0A33510E" w14:textId="77777777" w:rsidR="00B47896" w:rsidRDefault="00B47896" w:rsidP="00B47896">
      <w:pPr>
        <w:numPr>
          <w:ilvl w:val="2"/>
          <w:numId w:val="21"/>
        </w:numPr>
        <w:tabs>
          <w:tab w:val="left" w:pos="720"/>
          <w:tab w:val="left" w:pos="1080"/>
          <w:tab w:val="left" w:pos="1170"/>
        </w:tabs>
        <w:spacing w:after="0"/>
        <w:ind w:left="1170"/>
        <w:jc w:val="both"/>
        <w:rPr>
          <w:b/>
          <w:u w:val="single"/>
        </w:rPr>
      </w:pPr>
      <w:r w:rsidRPr="00992EBB">
        <w:rPr>
          <w:szCs w:val="22"/>
          <w:u w:val="single"/>
        </w:rPr>
        <w:t>Commitment Letters</w:t>
      </w:r>
      <w:r>
        <w:rPr>
          <w:szCs w:val="22"/>
          <w:u w:val="single"/>
        </w:rPr>
        <w:t xml:space="preserve"> </w:t>
      </w:r>
    </w:p>
    <w:p w14:paraId="6DB94612" w14:textId="77777777" w:rsidR="00B47896" w:rsidRPr="0075281F" w:rsidRDefault="00B47896" w:rsidP="00B47896">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signed</w:t>
      </w:r>
      <w:r w:rsidRPr="0075281F">
        <w:rPr>
          <w:b/>
          <w:szCs w:val="22"/>
        </w:rPr>
        <w:t xml:space="preserve"> </w:t>
      </w:r>
      <w:r w:rsidRPr="0075281F">
        <w:rPr>
          <w:szCs w:val="22"/>
        </w:rPr>
        <w:t xml:space="preserve">by </w:t>
      </w:r>
      <w:r w:rsidRPr="0075281F">
        <w:rPr>
          <w:szCs w:val="22"/>
          <w:u w:val="single"/>
        </w:rPr>
        <w:t>each</w:t>
      </w:r>
      <w:r w:rsidRPr="0075281F">
        <w:rPr>
          <w:b/>
          <w:szCs w:val="22"/>
        </w:rPr>
        <w:t xml:space="preserve"> </w:t>
      </w:r>
      <w:r w:rsidRPr="0075281F">
        <w:rPr>
          <w:szCs w:val="22"/>
        </w:rPr>
        <w:t xml:space="preserve">representative of the entity </w:t>
      </w:r>
      <w:r w:rsidRPr="0075281F">
        <w:rPr>
          <w:szCs w:val="22"/>
          <w:u w:val="single"/>
        </w:rPr>
        <w:t>or i</w:t>
      </w:r>
      <w:r w:rsidRPr="0075281F">
        <w:rPr>
          <w:szCs w:val="22"/>
        </w:rPr>
        <w:t>ndividual that is committing to providing match funding. The letter must: (1) identify the source(s) of the funds; and (2) guarantee the availability of the funds for the project.</w:t>
      </w:r>
    </w:p>
    <w:p w14:paraId="77C22562" w14:textId="02897C95" w:rsidR="00B47896" w:rsidRPr="0075281F" w:rsidRDefault="00B47896" w:rsidP="00B47896">
      <w:pPr>
        <w:numPr>
          <w:ilvl w:val="0"/>
          <w:numId w:val="45"/>
        </w:numPr>
        <w:tabs>
          <w:tab w:val="left" w:pos="720"/>
          <w:tab w:val="left" w:pos="1170"/>
          <w:tab w:val="left" w:pos="1260"/>
          <w:tab w:val="left" w:pos="1620"/>
        </w:tabs>
        <w:spacing w:after="0"/>
        <w:ind w:left="1627"/>
        <w:jc w:val="both"/>
        <w:rPr>
          <w:b/>
          <w:bCs/>
        </w:rPr>
      </w:pPr>
      <w:r>
        <w:t xml:space="preserve">If the project involves </w:t>
      </w:r>
      <w:r w:rsidRPr="006D2C5A">
        <w:rPr>
          <w:b/>
        </w:rPr>
        <w:t>pilot testing/ demonstration/ deployment</w:t>
      </w:r>
      <w:r>
        <w:t xml:space="preserve"> (select applicable site) activities, the applicant must include a site commitment letter signed by an authorized representative of the proposed test/ demonstration/ deployment site. The letter should: (1) identify the location of the site (street address, parcel number, tract map, plot map, etc.) which must be consistent with Attachments 1 and 8. and (2) commit to providing the site for the proposed activities.  </w:t>
      </w:r>
    </w:p>
    <w:p w14:paraId="6E2122C0" w14:textId="2AC27C48" w:rsidR="00B47896" w:rsidRPr="0075281F" w:rsidRDefault="00B47896" w:rsidP="00B47896">
      <w:pPr>
        <w:numPr>
          <w:ilvl w:val="0"/>
          <w:numId w:val="45"/>
        </w:numPr>
        <w:tabs>
          <w:tab w:val="left" w:pos="720"/>
          <w:tab w:val="left" w:pos="1170"/>
          <w:tab w:val="left" w:pos="1260"/>
          <w:tab w:val="left" w:pos="1620"/>
        </w:tabs>
        <w:ind w:left="1627"/>
        <w:jc w:val="both"/>
        <w:rPr>
          <w:b/>
        </w:rPr>
      </w:pPr>
      <w:r w:rsidRPr="0075281F">
        <w:rPr>
          <w:b/>
        </w:rPr>
        <w:t>Project partners</w:t>
      </w:r>
      <w:r w:rsidRPr="0075281F">
        <w:t xml:space="preserve"> that are making contributions other than match funding or a </w:t>
      </w:r>
      <w:r>
        <w:t xml:space="preserve">test/ demonstration/ deployment (select applicable site) </w:t>
      </w:r>
      <w:r w:rsidRPr="0075281F">
        <w:t>site</w:t>
      </w:r>
      <w:r>
        <w:t>,</w:t>
      </w:r>
      <w:r w:rsidRPr="0075281F">
        <w:t xml:space="preserve"> </w:t>
      </w:r>
      <w:r>
        <w:t xml:space="preserve">and are not receiving CEC funds, </w:t>
      </w:r>
      <w:r w:rsidRPr="0075281F">
        <w:t xml:space="preserve">must submit a commitment letter signed by an authorized representative that: (1) identifies how the partner will contribute to the project; and (2) commits to making the contribution. </w:t>
      </w:r>
    </w:p>
    <w:p w14:paraId="083F0D39" w14:textId="77777777" w:rsidR="00B47896" w:rsidRDefault="00B47896" w:rsidP="00B47896">
      <w:pPr>
        <w:numPr>
          <w:ilvl w:val="2"/>
          <w:numId w:val="21"/>
        </w:numPr>
        <w:tabs>
          <w:tab w:val="left" w:pos="720"/>
          <w:tab w:val="left" w:pos="1170"/>
          <w:tab w:val="left" w:pos="1260"/>
        </w:tabs>
        <w:spacing w:after="0"/>
        <w:ind w:left="1170"/>
        <w:jc w:val="both"/>
        <w:rPr>
          <w:b/>
          <w:u w:val="single"/>
        </w:rPr>
      </w:pPr>
      <w:r w:rsidRPr="00992EBB">
        <w:rPr>
          <w:szCs w:val="22"/>
          <w:u w:val="single"/>
        </w:rPr>
        <w:t>Support Letters</w:t>
      </w:r>
    </w:p>
    <w:p w14:paraId="75EB05B7" w14:textId="1F4391F1" w:rsidR="00B47896" w:rsidRDefault="00B47896" w:rsidP="00B47896">
      <w:pPr>
        <w:tabs>
          <w:tab w:val="left" w:pos="720"/>
          <w:tab w:val="left" w:pos="1170"/>
          <w:tab w:val="left" w:pos="1260"/>
        </w:tabs>
        <w:spacing w:after="0"/>
        <w:ind w:left="1170"/>
        <w:jc w:val="both"/>
        <w:rPr>
          <w:szCs w:val="22"/>
        </w:rPr>
      </w:pPr>
      <w:r>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w:t>
      </w:r>
      <w:r w:rsidRPr="00A6230B">
        <w:rPr>
          <w:szCs w:val="22"/>
        </w:rPr>
        <w:t xml:space="preserve">describes </w:t>
      </w:r>
      <w:r>
        <w:rPr>
          <w:szCs w:val="22"/>
        </w:rPr>
        <w:t xml:space="preserve">any support it intends (but does not necessarily commit) to provide for the project, such as funding or the provision of a </w:t>
      </w:r>
      <w:r>
        <w:t xml:space="preserve">test/ demonstration/ deployment </w:t>
      </w:r>
      <w:r w:rsidRPr="007760B5">
        <w:rPr>
          <w:szCs w:val="22"/>
        </w:rPr>
        <w:t>site</w:t>
      </w:r>
      <w:r>
        <w:rPr>
          <w:szCs w:val="22"/>
        </w:rPr>
        <w:t>.</w:t>
      </w:r>
    </w:p>
    <w:p w14:paraId="54473EA8" w14:textId="77777777" w:rsidR="00B47896" w:rsidRDefault="00B47896" w:rsidP="00B47896">
      <w:pPr>
        <w:tabs>
          <w:tab w:val="left" w:pos="720"/>
          <w:tab w:val="left" w:pos="1170"/>
          <w:tab w:val="left" w:pos="1260"/>
        </w:tabs>
        <w:spacing w:after="0"/>
        <w:ind w:left="1170"/>
        <w:jc w:val="both"/>
        <w:rPr>
          <w:b/>
        </w:rPr>
      </w:pPr>
    </w:p>
    <w:p w14:paraId="4C3B9290" w14:textId="77777777" w:rsidR="00B47896" w:rsidRDefault="00B47896" w:rsidP="00B47896">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4728EDB" w14:textId="77777777" w:rsidR="00B47896" w:rsidRPr="00B152AA" w:rsidRDefault="00B47896" w:rsidP="00B47896">
      <w:pPr>
        <w:tabs>
          <w:tab w:val="left" w:pos="720"/>
          <w:tab w:val="left" w:pos="1170"/>
          <w:tab w:val="left" w:pos="1260"/>
        </w:tabs>
        <w:spacing w:after="0"/>
        <w:ind w:left="1170"/>
        <w:jc w:val="both"/>
        <w:rPr>
          <w:b/>
        </w:rPr>
      </w:pPr>
    </w:p>
    <w:p w14:paraId="59DF3AA7" w14:textId="77777777" w:rsidR="00B47896" w:rsidRPr="00943E11" w:rsidRDefault="00B47896" w:rsidP="00B47896">
      <w:pPr>
        <w:pStyle w:val="HeadingNew1"/>
        <w:ind w:left="360"/>
      </w:pPr>
      <w:r w:rsidRPr="00943E11">
        <w:t>Project Performance Metrics</w:t>
      </w:r>
      <w:r>
        <w:t xml:space="preserve"> (Attachment 11</w:t>
      </w:r>
      <w:r w:rsidRPr="007065BB">
        <w:t>)</w:t>
      </w:r>
    </w:p>
    <w:p w14:paraId="63DA035D" w14:textId="77777777" w:rsidR="00B47896" w:rsidRDefault="00B47896" w:rsidP="00B47896">
      <w:pPr>
        <w:spacing w:after="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BFF9CD" w14:textId="77777777" w:rsidR="00B47896" w:rsidRDefault="00B47896" w:rsidP="00B47896">
      <w:pPr>
        <w:spacing w:after="0"/>
        <w:ind w:left="720"/>
      </w:pPr>
    </w:p>
    <w:p w14:paraId="08DF0059" w14:textId="77777777" w:rsidR="00B47896" w:rsidRPr="007065BB" w:rsidRDefault="00B47896" w:rsidP="00B47896">
      <w:pPr>
        <w:pStyle w:val="HeadingNew1"/>
        <w:ind w:left="360"/>
      </w:pPr>
      <w:r>
        <w:t>Applicant Declaration (Attachment 12</w:t>
      </w:r>
      <w:r w:rsidRPr="007065BB">
        <w:t>)</w:t>
      </w:r>
    </w:p>
    <w:p w14:paraId="6E1D05C2" w14:textId="77777777" w:rsidR="00B47896" w:rsidRDefault="00B47896" w:rsidP="00B47896">
      <w:pPr>
        <w:spacing w:after="0"/>
        <w:contextualSpacing/>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Pr>
          <w:szCs w:val="24"/>
        </w:rPr>
        <w:t xml:space="preserve">are </w:t>
      </w:r>
      <w:r w:rsidRPr="00122853">
        <w:t>complying with any demand letter made on the Applicant by the Energy Commission or another public agency or entity</w:t>
      </w:r>
      <w:r w:rsidRPr="00122853">
        <w:rPr>
          <w:szCs w:val="24"/>
        </w:rPr>
        <w:t xml:space="preserve">; and are </w:t>
      </w:r>
      <w:r w:rsidRPr="00342998">
        <w:rPr>
          <w:szCs w:val="24"/>
        </w:rPr>
        <w:t xml:space="preserve">not in active litigation with the Energy Commission regarding the Applicant’s actions under a current or past contract, grant, or </w:t>
      </w:r>
      <w:r w:rsidRPr="00342998">
        <w:rPr>
          <w:szCs w:val="24"/>
        </w:rPr>
        <w:lastRenderedPageBreak/>
        <w:t>loan with the Energy Commission. The declaration must be signed under penalty of perjury by an authorized representative of the applicant’s organization.</w:t>
      </w:r>
      <w:r w:rsidRPr="00616F23">
        <w:t xml:space="preserve"> </w:t>
      </w:r>
    </w:p>
    <w:p w14:paraId="6A72E2DA" w14:textId="77777777" w:rsidR="00B47896" w:rsidRDefault="00B47896" w:rsidP="00B47896">
      <w:pPr>
        <w:spacing w:after="0"/>
        <w:contextualSpacing/>
      </w:pPr>
    </w:p>
    <w:p w14:paraId="5475BD4E" w14:textId="77777777" w:rsidR="00B47896" w:rsidRDefault="00B47896" w:rsidP="00B47896">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43EC39B2" w14:textId="77777777" w:rsidR="00B47896" w:rsidRDefault="00B47896" w:rsidP="00B47896">
      <w:pPr>
        <w:spacing w:after="0"/>
        <w:jc w:val="both"/>
      </w:pPr>
    </w:p>
    <w:p w14:paraId="586E2BC4" w14:textId="4AE9AA5C" w:rsidR="00B47896" w:rsidRPr="005243DB" w:rsidRDefault="00632A66" w:rsidP="005243DB">
      <w:pPr>
        <w:pStyle w:val="HeadingNew1"/>
        <w:numPr>
          <w:ilvl w:val="0"/>
          <w:numId w:val="0"/>
        </w:numPr>
        <w:rPr>
          <w:bCs/>
          <w:strike/>
        </w:rPr>
      </w:pPr>
      <w:r w:rsidRPr="005243DB">
        <w:rPr>
          <w:b w:val="0"/>
          <w:bCs/>
        </w:rPr>
        <w:t>[</w:t>
      </w:r>
      <w:r>
        <w:rPr>
          <w:strike/>
        </w:rPr>
        <w:t xml:space="preserve">13. </w:t>
      </w:r>
      <w:r w:rsidR="00B47896" w:rsidRPr="005243DB">
        <w:rPr>
          <w:strike/>
        </w:rPr>
        <w:t>References for Calculating Energy End-Use and GHG Emissions (Attachment 13)</w:t>
      </w:r>
    </w:p>
    <w:p w14:paraId="1591F0B2" w14:textId="7B5BC67D" w:rsidR="00B47896" w:rsidRPr="005243DB" w:rsidRDefault="00B47896" w:rsidP="00B47896">
      <w:pPr>
        <w:spacing w:after="0"/>
        <w:contextualSpacing/>
        <w:rPr>
          <w:strike/>
        </w:rPr>
      </w:pPr>
      <w:r w:rsidRPr="005243DB">
        <w:rPr>
          <w:strike/>
        </w:rPr>
        <w:t>Any estimates of energy savings or GHG impacts described in the application should be calculated as specified on this form, to the extent that the references apply to the proposed project.</w:t>
      </w:r>
      <w:r w:rsidR="001311F8" w:rsidRPr="005243DB">
        <w:t>]</w:t>
      </w:r>
    </w:p>
    <w:p w14:paraId="147BD2A3" w14:textId="77777777" w:rsidR="00B47896" w:rsidRPr="00B45766" w:rsidRDefault="00B47896" w:rsidP="00B47896">
      <w:pPr>
        <w:spacing w:after="0"/>
        <w:contextualSpacing/>
      </w:pPr>
      <w:r w:rsidRPr="00B45766">
        <w:br w:type="page"/>
      </w:r>
    </w:p>
    <w:p w14:paraId="6D4C7447" w14:textId="77777777" w:rsidR="00B47896" w:rsidRPr="00C31C1D" w:rsidRDefault="00B47896" w:rsidP="00B47896">
      <w:pPr>
        <w:spacing w:after="0"/>
        <w:rPr>
          <w:szCs w:val="24"/>
        </w:rPr>
      </w:pPr>
    </w:p>
    <w:p w14:paraId="2915C96C" w14:textId="431B30F0" w:rsidR="00B47896" w:rsidRPr="00C31C1D" w:rsidRDefault="00B47896" w:rsidP="00B47896">
      <w:pPr>
        <w:pStyle w:val="Heading1"/>
        <w:spacing w:before="0" w:after="120"/>
        <w:jc w:val="both"/>
      </w:pPr>
      <w:bookmarkStart w:id="158" w:name="_Toc121842089"/>
      <w:bookmarkStart w:id="159" w:name="_Toc336443635"/>
      <w:bookmarkStart w:id="160" w:name="_Toc366671192"/>
      <w:r w:rsidRPr="00C31C1D">
        <w:t>IV.</w:t>
      </w:r>
      <w:r w:rsidRPr="00C31C1D">
        <w:tab/>
        <w:t xml:space="preserve">Evaluation </w:t>
      </w:r>
      <w:r>
        <w:t xml:space="preserve">and Award </w:t>
      </w:r>
      <w:r w:rsidRPr="00C31C1D">
        <w:t>Process</w:t>
      </w:r>
      <w:bookmarkEnd w:id="158"/>
      <w:r w:rsidRPr="00C31C1D">
        <w:t xml:space="preserve"> </w:t>
      </w:r>
      <w:bookmarkEnd w:id="134"/>
      <w:bookmarkEnd w:id="159"/>
      <w:bookmarkEnd w:id="160"/>
    </w:p>
    <w:p w14:paraId="43DCF100" w14:textId="77777777" w:rsidR="00B47896" w:rsidRPr="00CF6DED" w:rsidRDefault="00B47896" w:rsidP="00B47896">
      <w:pPr>
        <w:pStyle w:val="Heading2"/>
        <w:numPr>
          <w:ilvl w:val="0"/>
          <w:numId w:val="74"/>
        </w:numPr>
      </w:pPr>
      <w:bookmarkStart w:id="161" w:name="_Toc339284338"/>
      <w:bookmarkStart w:id="162" w:name="_Toc366671194"/>
      <w:bookmarkStart w:id="163" w:name="_Toc121842090"/>
      <w:bookmarkStart w:id="164" w:name="_Toc338162913"/>
      <w:bookmarkStart w:id="165" w:name="_Toc35074632"/>
      <w:bookmarkStart w:id="166" w:name="_Toc219275099"/>
      <w:bookmarkStart w:id="167" w:name="_Toc336443636"/>
      <w:r w:rsidRPr="00CF6DED">
        <w:t>Application Evaluation</w:t>
      </w:r>
      <w:bookmarkEnd w:id="161"/>
      <w:bookmarkEnd w:id="162"/>
      <w:bookmarkEnd w:id="163"/>
    </w:p>
    <w:bookmarkEnd w:id="164"/>
    <w:p w14:paraId="0E1672C2" w14:textId="333FA71A" w:rsidR="00B47896" w:rsidRPr="00EE24D3" w:rsidRDefault="00B47896" w:rsidP="00B47896">
      <w:pPr>
        <w:jc w:val="both"/>
        <w:rPr>
          <w:szCs w:val="24"/>
        </w:rPr>
      </w:pPr>
      <w:r w:rsidRPr="00C31C1D">
        <w:rPr>
          <w:szCs w:val="24"/>
        </w:rPr>
        <w:t>Applications will be evaluated and scored based on responses to the information requested in this solicitation</w:t>
      </w:r>
      <w:r>
        <w:rPr>
          <w:szCs w:val="24"/>
        </w:rPr>
        <w:t xml:space="preserve"> and on any other information available, such as on past performance of CEC agreements. </w:t>
      </w:r>
      <w:r w:rsidRPr="00C31C1D">
        <w:rPr>
          <w:szCs w:val="24"/>
        </w:rPr>
        <w:t xml:space="preserve">To evaluate applications, the </w:t>
      </w:r>
      <w:r>
        <w:rPr>
          <w:szCs w:val="24"/>
        </w:rPr>
        <w:t>CEC</w:t>
      </w:r>
      <w:r w:rsidRPr="00C31C1D">
        <w:rPr>
          <w:szCs w:val="24"/>
        </w:rPr>
        <w:t xml:space="preserve"> will organize an Evaluation Committee that consist</w:t>
      </w:r>
      <w:r>
        <w:rPr>
          <w:szCs w:val="24"/>
        </w:rPr>
        <w:t>s primarily</w:t>
      </w:r>
      <w:r w:rsidRPr="00C31C1D">
        <w:rPr>
          <w:szCs w:val="24"/>
        </w:rPr>
        <w:t xml:space="preserve"> of </w:t>
      </w:r>
      <w:r>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0E3D2338" w14:textId="77777777" w:rsidR="00B47896" w:rsidRPr="00E13674" w:rsidRDefault="00B47896" w:rsidP="00B47896">
      <w:pPr>
        <w:pStyle w:val="ListParagraph"/>
        <w:numPr>
          <w:ilvl w:val="0"/>
          <w:numId w:val="35"/>
        </w:numPr>
        <w:tabs>
          <w:tab w:val="num" w:pos="360"/>
        </w:tabs>
        <w:rPr>
          <w:b/>
        </w:rPr>
      </w:pPr>
      <w:bookmarkStart w:id="168" w:name="_Toc381079932"/>
      <w:bookmarkStart w:id="169" w:name="_Toc382571195"/>
      <w:bookmarkStart w:id="170" w:name="_Toc395180705"/>
      <w:bookmarkStart w:id="171" w:name="_Toc433981334"/>
      <w:bookmarkStart w:id="172" w:name="_Toc360545784"/>
      <w:bookmarkStart w:id="173" w:name="_Toc366671195"/>
      <w:bookmarkStart w:id="174" w:name="_Toc339284339"/>
      <w:r w:rsidRPr="00E13674">
        <w:rPr>
          <w:b/>
        </w:rPr>
        <w:t>Stage One:  Application Screening</w:t>
      </w:r>
      <w:bookmarkEnd w:id="168"/>
      <w:bookmarkEnd w:id="169"/>
      <w:bookmarkEnd w:id="170"/>
      <w:bookmarkEnd w:id="171"/>
      <w:r w:rsidRPr="00E13674">
        <w:rPr>
          <w:b/>
        </w:rPr>
        <w:t xml:space="preserve"> </w:t>
      </w:r>
      <w:bookmarkEnd w:id="172"/>
      <w:bookmarkEnd w:id="173"/>
    </w:p>
    <w:p w14:paraId="5A7CCB4C" w14:textId="77777777" w:rsidR="00B47896" w:rsidRPr="00125E7A" w:rsidRDefault="00B47896" w:rsidP="00B47896">
      <w:pPr>
        <w:spacing w:after="0"/>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Pr>
          <w:b/>
        </w:rPr>
        <w:t>reject</w:t>
      </w:r>
      <w:r w:rsidRPr="000E6E9B">
        <w:rPr>
          <w:b/>
        </w:rPr>
        <w:t>ed.</w:t>
      </w:r>
      <w:bookmarkStart w:id="175" w:name="_Toc339284340"/>
      <w:bookmarkEnd w:id="174"/>
      <w:r>
        <w:rPr>
          <w:b/>
        </w:rPr>
        <w:t xml:space="preserve"> </w:t>
      </w:r>
      <w:r w:rsidRPr="00125E7A">
        <w:t xml:space="preserve">The Evaluation Committee may conduct optional telephone </w:t>
      </w:r>
      <w:r w:rsidRPr="00032904">
        <w:rPr>
          <w:b/>
        </w:rPr>
        <w:t>Clarification Interviews</w:t>
      </w:r>
      <w:r w:rsidRPr="00125E7A">
        <w:t xml:space="preserve"> with applicants during the </w:t>
      </w:r>
      <w:r>
        <w:t>screening</w:t>
      </w:r>
      <w:r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0090060B" w14:textId="77777777" w:rsidR="00B47896" w:rsidRDefault="00B47896" w:rsidP="00B47896">
      <w:pPr>
        <w:spacing w:after="240"/>
        <w:jc w:val="both"/>
      </w:pPr>
    </w:p>
    <w:p w14:paraId="304488E6" w14:textId="77777777" w:rsidR="00B47896" w:rsidRPr="008E38AF" w:rsidRDefault="00B47896" w:rsidP="00B47896">
      <w:pPr>
        <w:pStyle w:val="ListParagraph"/>
        <w:numPr>
          <w:ilvl w:val="0"/>
          <w:numId w:val="35"/>
        </w:numPr>
        <w:tabs>
          <w:tab w:val="num" w:pos="360"/>
        </w:tabs>
        <w:rPr>
          <w:b/>
        </w:rPr>
      </w:pPr>
      <w:bookmarkStart w:id="176" w:name="_Toc381079933"/>
      <w:bookmarkStart w:id="177" w:name="_Toc382571196"/>
      <w:bookmarkStart w:id="178" w:name="_Toc395180706"/>
      <w:bookmarkStart w:id="179" w:name="_Toc433981335"/>
      <w:bookmarkStart w:id="180" w:name="_Toc360545785"/>
      <w:bookmarkStart w:id="181" w:name="_Toc366671198"/>
      <w:bookmarkStart w:id="182" w:name="Stg2AppScr"/>
      <w:r w:rsidRPr="008E38AF">
        <w:rPr>
          <w:b/>
        </w:rPr>
        <w:t>Stage Two:  Application Scoring</w:t>
      </w:r>
      <w:bookmarkEnd w:id="176"/>
      <w:bookmarkEnd w:id="177"/>
      <w:bookmarkEnd w:id="178"/>
      <w:bookmarkEnd w:id="179"/>
      <w:r w:rsidRPr="008E38AF">
        <w:rPr>
          <w:b/>
        </w:rPr>
        <w:t xml:space="preserve"> </w:t>
      </w:r>
      <w:bookmarkEnd w:id="180"/>
      <w:bookmarkEnd w:id="181"/>
    </w:p>
    <w:bookmarkEnd w:id="182"/>
    <w:p w14:paraId="50449C2C" w14:textId="77777777" w:rsidR="00B47896" w:rsidRPr="003E6D28" w:rsidRDefault="00B47896" w:rsidP="00B47896">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7328274D" w14:textId="77777777" w:rsidR="00B47896" w:rsidRPr="004B1445" w:rsidRDefault="00B47896" w:rsidP="00B47896">
      <w:pPr>
        <w:numPr>
          <w:ilvl w:val="0"/>
          <w:numId w:val="29"/>
        </w:numPr>
        <w:spacing w:after="0"/>
        <w:ind w:left="720"/>
        <w:jc w:val="both"/>
      </w:pPr>
      <w:r w:rsidRPr="004B1445">
        <w:t xml:space="preserve">The scores for each application will be the average of the combined scores of all Evaluation Committee members. </w:t>
      </w:r>
    </w:p>
    <w:p w14:paraId="667898ED" w14:textId="77777777" w:rsidR="00B47896" w:rsidRPr="00624855" w:rsidRDefault="00B47896" w:rsidP="00B47896">
      <w:pPr>
        <w:numPr>
          <w:ilvl w:val="0"/>
          <w:numId w:val="29"/>
        </w:numPr>
        <w:spacing w:after="0"/>
        <w:ind w:left="720"/>
        <w:jc w:val="both"/>
        <w:rPr>
          <w:u w:val="single"/>
        </w:rPr>
      </w:pPr>
      <w:r w:rsidRPr="004B1445">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1043D52C" w14:textId="77777777" w:rsidR="00B47896" w:rsidRPr="004B1445" w:rsidRDefault="00B47896" w:rsidP="00B47896">
      <w:pPr>
        <w:numPr>
          <w:ilvl w:val="0"/>
          <w:numId w:val="29"/>
        </w:numPr>
        <w:spacing w:after="0"/>
        <w:ind w:left="720"/>
        <w:jc w:val="both"/>
      </w:pPr>
      <w:r w:rsidRPr="004B1445">
        <w:rPr>
          <w:b/>
        </w:rPr>
        <w:t xml:space="preserve">A minimum score of </w:t>
      </w:r>
      <w:r>
        <w:rPr>
          <w:b/>
        </w:rPr>
        <w:t>7</w:t>
      </w:r>
      <w:r w:rsidRPr="004B1445">
        <w:rPr>
          <w:b/>
        </w:rPr>
        <w:t xml:space="preserve">0.0 points </w:t>
      </w:r>
      <w:r w:rsidRPr="004B1445">
        <w:t xml:space="preserve">is required for </w:t>
      </w:r>
      <w:r>
        <w:t>criteria 1-7</w:t>
      </w:r>
      <w:r w:rsidRPr="004B1445">
        <w:t xml:space="preserve"> to be eligible for funding.  In addition, the application must receive a minimum score of </w:t>
      </w:r>
      <w:r>
        <w:rPr>
          <w:b/>
        </w:rPr>
        <w:t>52</w:t>
      </w:r>
      <w:r w:rsidRPr="004B1445">
        <w:rPr>
          <w:b/>
        </w:rPr>
        <w:t>.</w:t>
      </w:r>
      <w:r>
        <w:rPr>
          <w:b/>
        </w:rPr>
        <w:t>5</w:t>
      </w:r>
      <w:r w:rsidRPr="004B1445">
        <w:rPr>
          <w:b/>
        </w:rPr>
        <w:t xml:space="preserve">0 points for criteria </w:t>
      </w:r>
      <w:r>
        <w:rPr>
          <w:b/>
        </w:rPr>
        <w:t>1</w:t>
      </w:r>
      <w:r w:rsidRPr="004B1445">
        <w:rPr>
          <w:b/>
        </w:rPr>
        <w:t>−</w:t>
      </w:r>
      <w:r>
        <w:rPr>
          <w:b/>
        </w:rPr>
        <w:t>4</w:t>
      </w:r>
      <w:r w:rsidRPr="004B1445">
        <w:rPr>
          <w:b/>
        </w:rPr>
        <w:t xml:space="preserve"> </w:t>
      </w:r>
      <w:r w:rsidRPr="004B1445">
        <w:t xml:space="preserve">to be eligible for funding. </w:t>
      </w:r>
    </w:p>
    <w:p w14:paraId="6067E2AC" w14:textId="77777777" w:rsidR="00B47896" w:rsidRPr="004B1445" w:rsidRDefault="00B47896" w:rsidP="00B47896">
      <w:pPr>
        <w:spacing w:after="0"/>
        <w:ind w:left="720"/>
        <w:jc w:val="both"/>
      </w:pPr>
    </w:p>
    <w:p w14:paraId="0C6FD53A" w14:textId="77777777" w:rsidR="00B47896" w:rsidRPr="00CF6DED" w:rsidRDefault="00B47896" w:rsidP="00B47896">
      <w:pPr>
        <w:pStyle w:val="Heading2"/>
        <w:numPr>
          <w:ilvl w:val="0"/>
          <w:numId w:val="74"/>
        </w:numPr>
      </w:pPr>
      <w:bookmarkStart w:id="183" w:name="_Toc121842091"/>
      <w:r w:rsidRPr="00CF6DED">
        <w:t>Ranking, Notice of Proposed Award, and Agreement Development</w:t>
      </w:r>
      <w:bookmarkEnd w:id="183"/>
    </w:p>
    <w:p w14:paraId="3953C566" w14:textId="77777777" w:rsidR="00B47896" w:rsidRPr="008E38AF" w:rsidRDefault="00B47896" w:rsidP="00B47896">
      <w:pPr>
        <w:numPr>
          <w:ilvl w:val="0"/>
          <w:numId w:val="25"/>
        </w:numPr>
        <w:tabs>
          <w:tab w:val="left" w:pos="720"/>
        </w:tabs>
        <w:ind w:left="360" w:firstLine="0"/>
        <w:jc w:val="both"/>
        <w:rPr>
          <w:b/>
        </w:rPr>
      </w:pPr>
      <w:r w:rsidRPr="008E38AF">
        <w:rPr>
          <w:b/>
        </w:rPr>
        <w:t>Ranking and Notice of Proposed Award</w:t>
      </w:r>
    </w:p>
    <w:p w14:paraId="5DC89DCA" w14:textId="77777777" w:rsidR="00B47896" w:rsidRDefault="00B47896" w:rsidP="00B47896">
      <w:pPr>
        <w:jc w:val="both"/>
      </w:pPr>
      <w:r w:rsidRPr="008E38AF">
        <w:t xml:space="preserve">Applications that receive </w:t>
      </w:r>
      <w:r>
        <w:t>at least the</w:t>
      </w:r>
      <w:r w:rsidRPr="008E38AF">
        <w:t xml:space="preserve"> minimum </w:t>
      </w:r>
      <w:r>
        <w:t xml:space="preserve">required </w:t>
      </w:r>
      <w:r w:rsidRPr="008E38AF">
        <w:t xml:space="preserve">score </w:t>
      </w:r>
      <w:r w:rsidRPr="003E6D28">
        <w:t>for all criteria will be ranked according to their score.</w:t>
      </w:r>
      <w:r w:rsidRPr="00C31C1D">
        <w:t xml:space="preserve"> </w:t>
      </w:r>
    </w:p>
    <w:p w14:paraId="745A3003" w14:textId="77777777" w:rsidR="00B47896" w:rsidRPr="00F14D0E" w:rsidRDefault="00B47896" w:rsidP="00B47896">
      <w:pPr>
        <w:numPr>
          <w:ilvl w:val="0"/>
          <w:numId w:val="23"/>
        </w:numPr>
        <w:spacing w:after="0"/>
        <w:jc w:val="both"/>
      </w:pPr>
      <w:r>
        <w:t>CEC staff will post</w:t>
      </w:r>
      <w:r w:rsidRPr="00C31C1D">
        <w:t xml:space="preserve"> a </w:t>
      </w:r>
      <w:r w:rsidRPr="00F14D0E">
        <w:rPr>
          <w:b/>
        </w:rPr>
        <w:t>Notice of Proposed Award (NOPA)</w:t>
      </w:r>
      <w:r>
        <w:t xml:space="preserve"> that includes: (1) </w:t>
      </w:r>
      <w:r>
        <w:rPr>
          <w:szCs w:val="22"/>
        </w:rPr>
        <w:t>the</w:t>
      </w:r>
      <w:r w:rsidRPr="0004356A">
        <w:rPr>
          <w:szCs w:val="22"/>
        </w:rPr>
        <w:t xml:space="preserve"> </w:t>
      </w:r>
      <w:r>
        <w:rPr>
          <w:szCs w:val="22"/>
        </w:rPr>
        <w:t xml:space="preserve">total </w:t>
      </w:r>
      <w:r w:rsidRPr="0004356A">
        <w:rPr>
          <w:szCs w:val="22"/>
        </w:rPr>
        <w:t>proposed fun</w:t>
      </w:r>
      <w:r>
        <w:rPr>
          <w:szCs w:val="22"/>
        </w:rPr>
        <w:t>ding amount; (2) the rank order of applicants;</w:t>
      </w:r>
      <w:r w:rsidRPr="0004356A">
        <w:rPr>
          <w:szCs w:val="22"/>
        </w:rPr>
        <w:t xml:space="preserve"> and </w:t>
      </w:r>
      <w:r>
        <w:rPr>
          <w:szCs w:val="22"/>
        </w:rPr>
        <w:t xml:space="preserve">(3) </w:t>
      </w:r>
      <w:r w:rsidRPr="0004356A">
        <w:rPr>
          <w:szCs w:val="22"/>
        </w:rPr>
        <w:t>the amount of each proposed award</w:t>
      </w:r>
      <w:r>
        <w:rPr>
          <w:szCs w:val="22"/>
        </w:rPr>
        <w:t>. The CEC will post the NOPA at its</w:t>
      </w:r>
      <w:r w:rsidRPr="0004356A">
        <w:rPr>
          <w:szCs w:val="22"/>
        </w:rPr>
        <w:t xml:space="preserve"> headquarters in S</w:t>
      </w:r>
      <w:r>
        <w:rPr>
          <w:szCs w:val="22"/>
        </w:rPr>
        <w:t>acramento and on its w</w:t>
      </w:r>
      <w:r w:rsidRPr="0004356A">
        <w:rPr>
          <w:szCs w:val="22"/>
        </w:rPr>
        <w:t>eb</w:t>
      </w:r>
      <w:r>
        <w:rPr>
          <w:szCs w:val="22"/>
        </w:rPr>
        <w:t>s</w:t>
      </w:r>
      <w:r w:rsidRPr="0004356A">
        <w:rPr>
          <w:szCs w:val="22"/>
        </w:rPr>
        <w:t xml:space="preserve">ite, and will mail </w:t>
      </w:r>
      <w:r>
        <w:rPr>
          <w:szCs w:val="22"/>
        </w:rPr>
        <w:t>it</w:t>
      </w:r>
      <w:r w:rsidRPr="0004356A">
        <w:rPr>
          <w:szCs w:val="22"/>
        </w:rPr>
        <w:t xml:space="preserve"> to all </w:t>
      </w:r>
      <w:r>
        <w:rPr>
          <w:szCs w:val="22"/>
        </w:rPr>
        <w:t>entities</w:t>
      </w:r>
      <w:r w:rsidRPr="0004356A">
        <w:rPr>
          <w:szCs w:val="22"/>
        </w:rPr>
        <w:t xml:space="preserve"> that submitted an application</w:t>
      </w:r>
      <w:r w:rsidRPr="0004356A">
        <w:rPr>
          <w:szCs w:val="24"/>
        </w:rPr>
        <w:t xml:space="preserve">.  </w:t>
      </w:r>
      <w:r>
        <w:rPr>
          <w:szCs w:val="24"/>
        </w:rPr>
        <w:t>Proposed awards must be approved by the CEC at a business meeting.</w:t>
      </w:r>
    </w:p>
    <w:p w14:paraId="42F0D6EE" w14:textId="77777777" w:rsidR="00B47896" w:rsidRDefault="00B47896" w:rsidP="00B47896">
      <w:pPr>
        <w:numPr>
          <w:ilvl w:val="0"/>
          <w:numId w:val="24"/>
        </w:numPr>
        <w:spacing w:after="0"/>
        <w:ind w:left="360" w:firstLine="0"/>
        <w:jc w:val="both"/>
      </w:pPr>
      <w:r w:rsidRPr="00DD53E9">
        <w:rPr>
          <w:b/>
        </w:rPr>
        <w:t>Debriefings:</w:t>
      </w:r>
      <w:r>
        <w:t xml:space="preserve">  </w:t>
      </w:r>
      <w:r w:rsidRPr="00DD53E9">
        <w:rPr>
          <w:szCs w:val="22"/>
        </w:rPr>
        <w:t>Unsuccessful applicants may request a debriefing after the release of the</w:t>
      </w:r>
    </w:p>
    <w:p w14:paraId="2C723B68" w14:textId="64DB44D3" w:rsidR="00B47896" w:rsidRPr="00BC0F1F" w:rsidRDefault="00B47896" w:rsidP="00B47896">
      <w:pPr>
        <w:spacing w:after="0"/>
        <w:ind w:left="720"/>
        <w:jc w:val="both"/>
      </w:pPr>
      <w:r w:rsidRPr="00DD53E9">
        <w:rPr>
          <w:szCs w:val="22"/>
        </w:rPr>
        <w:t>NOPA</w:t>
      </w:r>
      <w:r>
        <w:rPr>
          <w:szCs w:val="22"/>
        </w:rPr>
        <w:t xml:space="preserve"> by contacting the Commission Agreement Officer listed in Part I</w:t>
      </w:r>
      <w:r w:rsidRPr="00DD53E9">
        <w:rPr>
          <w:szCs w:val="22"/>
        </w:rPr>
        <w:t xml:space="preserve">. 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355DE18B" w14:textId="77777777" w:rsidR="00B47896" w:rsidRDefault="00B47896" w:rsidP="00B47896">
      <w:pPr>
        <w:numPr>
          <w:ilvl w:val="0"/>
          <w:numId w:val="24"/>
        </w:numPr>
        <w:spacing w:after="0"/>
        <w:ind w:left="360" w:firstLine="0"/>
        <w:jc w:val="both"/>
      </w:pPr>
      <w:r>
        <w:t>In addition to any of its other rights, t</w:t>
      </w:r>
      <w:r w:rsidRPr="0093474F">
        <w:t xml:space="preserve">he </w:t>
      </w:r>
      <w:r>
        <w:t>CEC</w:t>
      </w:r>
      <w:r w:rsidRPr="0093474F">
        <w:t xml:space="preserve"> reserves the right to:</w:t>
      </w:r>
    </w:p>
    <w:p w14:paraId="6DA26663" w14:textId="77777777" w:rsidR="00B47896" w:rsidRDefault="00B47896" w:rsidP="00B47896">
      <w:pPr>
        <w:numPr>
          <w:ilvl w:val="1"/>
          <w:numId w:val="24"/>
        </w:numPr>
        <w:tabs>
          <w:tab w:val="left" w:pos="1440"/>
        </w:tabs>
        <w:spacing w:after="0"/>
        <w:ind w:left="1440" w:hanging="270"/>
        <w:jc w:val="both"/>
      </w:pPr>
      <w:r w:rsidRPr="0093474F">
        <w:lastRenderedPageBreak/>
        <w:t>Allocate any additional funds to passing applications</w:t>
      </w:r>
      <w:r>
        <w:t>, in rank order</w:t>
      </w:r>
      <w:r w:rsidRPr="0093474F">
        <w:t>;</w:t>
      </w:r>
      <w:r>
        <w:t xml:space="preserve"> and</w:t>
      </w:r>
    </w:p>
    <w:p w14:paraId="0A3EDC74" w14:textId="77777777" w:rsidR="00B47896" w:rsidRDefault="00B47896" w:rsidP="00B47896">
      <w:pPr>
        <w:numPr>
          <w:ilvl w:val="1"/>
          <w:numId w:val="24"/>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schedule, project team entity that will receive the award, location and/or level of funding.</w:t>
      </w:r>
    </w:p>
    <w:p w14:paraId="289C049E" w14:textId="77777777" w:rsidR="00B47896" w:rsidRDefault="00B47896" w:rsidP="00B47896">
      <w:pPr>
        <w:spacing w:after="0"/>
        <w:ind w:left="1800"/>
        <w:jc w:val="both"/>
      </w:pPr>
    </w:p>
    <w:p w14:paraId="0469D6E7" w14:textId="77777777" w:rsidR="00B47896" w:rsidRPr="005522EA" w:rsidRDefault="00B47896" w:rsidP="00B47896">
      <w:pPr>
        <w:numPr>
          <w:ilvl w:val="0"/>
          <w:numId w:val="25"/>
        </w:numPr>
        <w:tabs>
          <w:tab w:val="left" w:pos="720"/>
        </w:tabs>
        <w:ind w:left="360" w:firstLine="0"/>
        <w:jc w:val="both"/>
      </w:pPr>
      <w:r w:rsidRPr="004C668B">
        <w:rPr>
          <w:b/>
        </w:rPr>
        <w:t xml:space="preserve"> </w:t>
      </w:r>
      <w:r w:rsidRPr="00E13674">
        <w:rPr>
          <w:b/>
        </w:rPr>
        <w:t>Agreements</w:t>
      </w:r>
    </w:p>
    <w:p w14:paraId="6B66038D" w14:textId="4E1FBCB3" w:rsidR="00B47896" w:rsidRDefault="00B47896" w:rsidP="00B47896">
      <w:pPr>
        <w:jc w:val="both"/>
      </w:pPr>
      <w:r w:rsidRPr="00C31C1D">
        <w:t xml:space="preserve">Applications recommended for funding will be developed into a </w:t>
      </w:r>
      <w:r>
        <w:t xml:space="preserve">proposed </w:t>
      </w:r>
      <w:r w:rsidRPr="00C31C1D">
        <w:t xml:space="preserve">grant agreement to be considered at a </w:t>
      </w:r>
      <w:r>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 CEC business meeting and signature by the Recipient and the CEC)</w:t>
      </w:r>
      <w:r w:rsidRPr="00BB6E63">
        <w:t>.</w:t>
      </w:r>
    </w:p>
    <w:p w14:paraId="43A33BCC" w14:textId="2568AB98" w:rsidR="00B47896" w:rsidRPr="00BB6E63" w:rsidRDefault="00B47896" w:rsidP="00B47896">
      <w:pPr>
        <w:numPr>
          <w:ilvl w:val="0"/>
          <w:numId w:val="22"/>
        </w:numPr>
        <w:spacing w:after="0"/>
        <w:jc w:val="both"/>
      </w:pPr>
      <w:r w:rsidRPr="00E4013B">
        <w:rPr>
          <w:b/>
        </w:rPr>
        <w:t>Agreement Development:</w:t>
      </w:r>
      <w:r>
        <w:t xml:space="preserve"> The Contracts, Grants, and Loans Office will send the Recipient </w:t>
      </w:r>
      <w:r w:rsidRPr="00BB6E63">
        <w:t>a grant agreement</w:t>
      </w:r>
      <w:r>
        <w:t xml:space="preserve"> </w:t>
      </w:r>
      <w:r w:rsidRPr="00BB6E63">
        <w:t xml:space="preserve">for </w:t>
      </w:r>
      <w:r>
        <w:t>approval</w:t>
      </w:r>
      <w:r w:rsidRPr="00BB6E63">
        <w:t xml:space="preserve"> and signature.</w:t>
      </w:r>
      <w:r>
        <w:t xml:space="preserve">  The agreement will include the applicable terms and c</w:t>
      </w:r>
      <w:r w:rsidRPr="00BB6E63">
        <w:t>onditions</w:t>
      </w:r>
      <w:r w:rsidRPr="00F00B82">
        <w:t xml:space="preserve"> </w:t>
      </w:r>
      <w:r>
        <w:t xml:space="preserve">and will incorporate this solicitation and the application by reference. </w:t>
      </w:r>
      <w:r w:rsidRPr="00BB6E63">
        <w:t xml:space="preserve">The </w:t>
      </w:r>
      <w:r>
        <w:t>CEC</w:t>
      </w:r>
      <w:r w:rsidRPr="00BB6E63">
        <w:t xml:space="preserve"> reserves the right to modify the </w:t>
      </w:r>
      <w:r>
        <w:t xml:space="preserve">award documents (including the </w:t>
      </w:r>
      <w:r w:rsidRPr="00BB6E63">
        <w:t>terms and conditions</w:t>
      </w:r>
      <w:r>
        <w:t>) prior to executing any agreement.</w:t>
      </w:r>
    </w:p>
    <w:p w14:paraId="6839D973" w14:textId="77777777" w:rsidR="00B47896" w:rsidRDefault="00B47896" w:rsidP="00B47896">
      <w:pPr>
        <w:numPr>
          <w:ilvl w:val="0"/>
          <w:numId w:val="22"/>
        </w:numPr>
        <w:spacing w:after="0"/>
        <w:jc w:val="both"/>
      </w:pPr>
      <w:r w:rsidRPr="00E4013B">
        <w:rPr>
          <w:b/>
        </w:rPr>
        <w:t>Failure to Execute an Agreement:</w:t>
      </w:r>
      <w:r>
        <w:t xml:space="preserve"> If the CEC is </w:t>
      </w:r>
      <w:r w:rsidRPr="0093474F">
        <w:t>unable to succe</w:t>
      </w:r>
      <w:r>
        <w:t>ssfully execute an agreement with an a</w:t>
      </w:r>
      <w:r w:rsidRPr="0093474F">
        <w:t>pplicant</w:t>
      </w:r>
      <w:r>
        <w:t xml:space="preserve"> in a timely manner</w:t>
      </w:r>
      <w:r w:rsidRPr="0093474F">
        <w:t xml:space="preserve">, </w:t>
      </w:r>
      <w:r>
        <w:t xml:space="preserve">it reserves the right to </w:t>
      </w:r>
      <w:r w:rsidRPr="0093474F">
        <w:t xml:space="preserve">cancel the pending </w:t>
      </w:r>
      <w:r>
        <w:t>award and use the funds elsewhere, such as to fund the next highest-</w:t>
      </w:r>
      <w:r w:rsidRPr="0093474F">
        <w:t>ranked</w:t>
      </w:r>
      <w:r>
        <w:t>,</w:t>
      </w:r>
      <w:r w:rsidRPr="0093474F">
        <w:t xml:space="preserve"> eligible application.</w:t>
      </w:r>
    </w:p>
    <w:p w14:paraId="0E57F08A" w14:textId="0B8E2736" w:rsidR="00B47896" w:rsidRPr="006D2C5A" w:rsidRDefault="00B47896" w:rsidP="00B47896">
      <w:pPr>
        <w:numPr>
          <w:ilvl w:val="0"/>
          <w:numId w:val="22"/>
        </w:numPr>
        <w:spacing w:after="0"/>
        <w:jc w:val="both"/>
      </w:pPr>
      <w:r w:rsidRPr="006D2C5A">
        <w:rPr>
          <w:b/>
          <w:bCs/>
        </w:rPr>
        <w:t>Agreement Amendment:</w:t>
      </w:r>
      <w:r w:rsidRPr="006D2C5A">
        <w:t xml:space="preserve"> The executed agreement may be amended by mutual consent of the CEC and the Recipient. The agreement may require an amendment as a result of project review, changes in project scope, and/or availability of funding.</w:t>
      </w:r>
    </w:p>
    <w:p w14:paraId="2AAF164B" w14:textId="77777777" w:rsidR="00B47896" w:rsidRPr="00CF6DED" w:rsidRDefault="00B47896" w:rsidP="00B47896">
      <w:pPr>
        <w:pStyle w:val="Heading2"/>
        <w:numPr>
          <w:ilvl w:val="0"/>
          <w:numId w:val="74"/>
        </w:numPr>
      </w:pPr>
      <w:bookmarkStart w:id="184" w:name="_Toc108697478"/>
      <w:bookmarkStart w:id="185" w:name="_Toc121842092"/>
      <w:bookmarkStart w:id="186" w:name="_Toc366671196"/>
      <w:bookmarkEnd w:id="184"/>
      <w:r w:rsidRPr="00CF6DED">
        <w:t>Grounds to Reject an Application or Cancel an Award</w:t>
      </w:r>
      <w:bookmarkEnd w:id="185"/>
    </w:p>
    <w:bookmarkEnd w:id="186"/>
    <w:p w14:paraId="19F700B5" w14:textId="07DA3BA1" w:rsidR="00B47896" w:rsidRPr="00C31C1D" w:rsidRDefault="00B47896" w:rsidP="00B47896">
      <w:pPr>
        <w:jc w:val="both"/>
      </w:pPr>
      <w:r>
        <w:t>Applications that do not pass the screening stage will be rejected. In addition</w:t>
      </w:r>
      <w:r w:rsidRPr="00C31C1D">
        <w:t xml:space="preserve">, the </w:t>
      </w:r>
      <w:r>
        <w:t>CEC</w:t>
      </w:r>
      <w:r w:rsidRPr="00C31C1D">
        <w:t xml:space="preserve"> reserves the right to reject an application and/or </w:t>
      </w:r>
      <w:r>
        <w:t xml:space="preserve">to </w:t>
      </w:r>
      <w:r w:rsidRPr="00C31C1D">
        <w:t xml:space="preserve">cancel an award </w:t>
      </w:r>
      <w:r>
        <w:t>for any reason, including any of</w:t>
      </w:r>
      <w:r w:rsidRPr="00C31C1D">
        <w:t xml:space="preserve"> the following</w:t>
      </w:r>
      <w:r>
        <w:t>:</w:t>
      </w:r>
      <w:r w:rsidRPr="00C31C1D">
        <w:t xml:space="preserve"> </w:t>
      </w:r>
    </w:p>
    <w:p w14:paraId="33E2E1D7" w14:textId="77777777" w:rsidR="00B47896" w:rsidRPr="00C31C1D" w:rsidRDefault="00B47896" w:rsidP="00B47896">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21FED6E4" w14:textId="77777777" w:rsidR="00B47896" w:rsidRPr="00C31C1D" w:rsidRDefault="00B47896" w:rsidP="00B47896">
      <w:pPr>
        <w:numPr>
          <w:ilvl w:val="0"/>
          <w:numId w:val="9"/>
        </w:numPr>
        <w:spacing w:after="0"/>
        <w:jc w:val="both"/>
      </w:pPr>
      <w:r w:rsidRPr="00C31C1D">
        <w:t>The</w:t>
      </w:r>
      <w:r>
        <w:t xml:space="preserve"> a</w:t>
      </w:r>
      <w:r w:rsidRPr="00C31C1D">
        <w:t xml:space="preserve">pplication is intended to erroneously and fallaciously mislead the State in </w:t>
      </w:r>
      <w:r>
        <w:t xml:space="preserve">any way.  </w:t>
      </w:r>
    </w:p>
    <w:p w14:paraId="48869DE1" w14:textId="77777777" w:rsidR="00B47896" w:rsidRDefault="00B47896" w:rsidP="00B47896">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6F638B4A" w14:textId="77777777" w:rsidR="00B47896" w:rsidRPr="00C31C1D" w:rsidRDefault="00B47896" w:rsidP="00B47896">
      <w:pPr>
        <w:numPr>
          <w:ilvl w:val="0"/>
          <w:numId w:val="10"/>
        </w:numPr>
        <w:spacing w:after="0"/>
        <w:jc w:val="both"/>
      </w:pPr>
      <w:r w:rsidRPr="00C31C1D">
        <w:rPr>
          <w:szCs w:val="22"/>
        </w:rPr>
        <w:t>The applicant has previously received funding through a</w:t>
      </w:r>
      <w:r>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58E38BD2" w14:textId="77777777" w:rsidR="00B47896" w:rsidRDefault="00B47896" w:rsidP="00B47896">
      <w:pPr>
        <w:numPr>
          <w:ilvl w:val="0"/>
          <w:numId w:val="10"/>
        </w:numPr>
        <w:spacing w:after="0"/>
        <w:jc w:val="both"/>
      </w:pPr>
      <w:r>
        <w:t>The a</w:t>
      </w:r>
      <w:r w:rsidRPr="00C31C1D">
        <w:t xml:space="preserve">pplicant has received unsatisfactory </w:t>
      </w:r>
      <w:r>
        <w:t xml:space="preserve">agreement </w:t>
      </w:r>
      <w:r w:rsidRPr="00C31C1D">
        <w:t xml:space="preserve">evaluations from the </w:t>
      </w:r>
      <w:r>
        <w:t>CEC</w:t>
      </w:r>
      <w:r w:rsidRPr="00C31C1D">
        <w:t xml:space="preserve"> or another California state agenc</w:t>
      </w:r>
      <w:r>
        <w:t>y</w:t>
      </w:r>
      <w:r w:rsidRPr="00C31C1D">
        <w:t>.</w:t>
      </w:r>
    </w:p>
    <w:p w14:paraId="2C77CD88" w14:textId="77777777" w:rsidR="00B47896" w:rsidRPr="00C31C1D" w:rsidRDefault="00B47896" w:rsidP="00B47896">
      <w:pPr>
        <w:numPr>
          <w:ilvl w:val="0"/>
          <w:numId w:val="10"/>
        </w:numPr>
        <w:spacing w:after="0"/>
        <w:jc w:val="both"/>
      </w:pPr>
      <w:r>
        <w:t>The applicant is a business entity required to be registered with the California Secretary of State and is not in good standing.</w:t>
      </w:r>
    </w:p>
    <w:p w14:paraId="0B14B6DF" w14:textId="77777777" w:rsidR="00B47896" w:rsidRDefault="00B47896" w:rsidP="00B47896">
      <w:pPr>
        <w:numPr>
          <w:ilvl w:val="0"/>
          <w:numId w:val="10"/>
        </w:numPr>
        <w:spacing w:after="0"/>
        <w:jc w:val="both"/>
      </w:pPr>
      <w:r>
        <w:t>The a</w:t>
      </w:r>
      <w:r w:rsidRPr="00C31C1D">
        <w:t>pplicant has not demonstrated that it has the financial capability to complete the project.</w:t>
      </w:r>
    </w:p>
    <w:p w14:paraId="34B84208" w14:textId="77777777" w:rsidR="00B47896" w:rsidRDefault="00B47896" w:rsidP="00B47896">
      <w:pPr>
        <w:numPr>
          <w:ilvl w:val="0"/>
          <w:numId w:val="10"/>
        </w:numPr>
        <w:spacing w:after="0"/>
        <w:jc w:val="both"/>
      </w:pPr>
      <w:r>
        <w:t xml:space="preserve">The applicant fails to meet CEQA compliance within </w:t>
      </w:r>
      <w:r w:rsidRPr="00CF255E">
        <w:t xml:space="preserve">sufficient time for the </w:t>
      </w:r>
      <w:r>
        <w:t>CEC</w:t>
      </w:r>
      <w:r w:rsidRPr="00CF255E">
        <w:t xml:space="preserve"> to meet its encumbrance deadline</w:t>
      </w:r>
      <w:r>
        <w:t xml:space="preserve"> or any other deadlines</w:t>
      </w:r>
      <w:r w:rsidRPr="00CF255E">
        <w:t xml:space="preserve">, as the </w:t>
      </w:r>
      <w:r>
        <w:t>CEC</w:t>
      </w:r>
      <w:r w:rsidRPr="00CF255E">
        <w:t xml:space="preserve"> in its sole and absolute discretion may determine</w:t>
      </w:r>
      <w:r w:rsidRPr="0078204F">
        <w:t>.</w:t>
      </w:r>
    </w:p>
    <w:p w14:paraId="1BCA0F84" w14:textId="77777777" w:rsidR="00B47896" w:rsidRDefault="00B47896" w:rsidP="00B47896">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p>
    <w:p w14:paraId="31C1EFEE" w14:textId="77777777" w:rsidR="00B47896" w:rsidRPr="00CE1D19" w:rsidRDefault="00B47896" w:rsidP="00B47896">
      <w:pPr>
        <w:numPr>
          <w:ilvl w:val="0"/>
          <w:numId w:val="10"/>
        </w:numPr>
        <w:spacing w:after="0"/>
        <w:jc w:val="both"/>
      </w:pPr>
      <w:r w:rsidRPr="005A6240">
        <w:lastRenderedPageBreak/>
        <w:t>The application contain</w:t>
      </w:r>
      <w:r>
        <w:t>s</w:t>
      </w:r>
      <w:r w:rsidRPr="005A6240">
        <w:t xml:space="preserve"> confidential information or identif</w:t>
      </w:r>
      <w:r>
        <w:t>ies</w:t>
      </w:r>
      <w:r w:rsidRPr="005A6240">
        <w:t xml:space="preserve"> any portion of the application as confidential.</w:t>
      </w:r>
    </w:p>
    <w:p w14:paraId="3BB23D0E" w14:textId="77777777" w:rsidR="00B47896" w:rsidRPr="00CF6DED" w:rsidRDefault="00B47896" w:rsidP="00B47896">
      <w:pPr>
        <w:pStyle w:val="Heading2"/>
        <w:numPr>
          <w:ilvl w:val="0"/>
          <w:numId w:val="74"/>
        </w:numPr>
      </w:pPr>
      <w:bookmarkStart w:id="187" w:name="_Toc121842093"/>
      <w:r w:rsidRPr="00CF6DED">
        <w:t>Miscellaneous</w:t>
      </w:r>
      <w:bookmarkEnd w:id="187"/>
    </w:p>
    <w:p w14:paraId="3FDD17E1" w14:textId="77777777" w:rsidR="00B47896" w:rsidRPr="00CF255E" w:rsidRDefault="00B47896" w:rsidP="00B47896">
      <w:pPr>
        <w:pStyle w:val="ListParagraph"/>
        <w:numPr>
          <w:ilvl w:val="0"/>
          <w:numId w:val="36"/>
        </w:numPr>
        <w:tabs>
          <w:tab w:val="num" w:pos="360"/>
        </w:tabs>
        <w:rPr>
          <w:b/>
        </w:rPr>
      </w:pPr>
      <w:bookmarkStart w:id="188" w:name="_Toc381079937"/>
      <w:bookmarkStart w:id="189" w:name="_Toc382571200"/>
      <w:bookmarkStart w:id="190" w:name="_Toc395180710"/>
      <w:bookmarkStart w:id="191" w:name="_Toc433981339"/>
      <w:r w:rsidRPr="00CF255E">
        <w:rPr>
          <w:b/>
        </w:rPr>
        <w:t>Solicitation Cancellation and Amendment</w:t>
      </w:r>
      <w:bookmarkEnd w:id="188"/>
      <w:bookmarkEnd w:id="189"/>
      <w:bookmarkEnd w:id="190"/>
      <w:bookmarkEnd w:id="191"/>
    </w:p>
    <w:p w14:paraId="1FE9EBC1" w14:textId="77777777" w:rsidR="00B47896" w:rsidRDefault="00B47896" w:rsidP="00B47896">
      <w:bookmarkStart w:id="192" w:name="_Toc381079938"/>
      <w:bookmarkStart w:id="193" w:name="_Toc382571201"/>
      <w:bookmarkStart w:id="194" w:name="_Toc395180711"/>
      <w:r w:rsidRPr="00AF6F4C">
        <w:t xml:space="preserve">It is the policy of the </w:t>
      </w:r>
      <w:r>
        <w:t>CEC</w:t>
      </w:r>
      <w:r w:rsidRPr="00AF6F4C">
        <w:t xml:space="preserve"> not to solicit applications unless there is a b</w:t>
      </w:r>
      <w:r>
        <w:t xml:space="preserve">ona fide intention to award an agreement. </w:t>
      </w:r>
      <w:r w:rsidRPr="00AF6F4C">
        <w:t xml:space="preserve">However, if it is in the State’s best interest, the </w:t>
      </w:r>
      <w:r>
        <w:t>CEC</w:t>
      </w:r>
      <w:r w:rsidRPr="00AF6F4C">
        <w:t xml:space="preserve"> reserves the right</w:t>
      </w:r>
      <w:r>
        <w:t>, in addition to any other rights it has,</w:t>
      </w:r>
      <w:r w:rsidRPr="00AF6F4C">
        <w:t xml:space="preserve"> to do any of the following:</w:t>
      </w:r>
      <w:bookmarkEnd w:id="192"/>
      <w:bookmarkEnd w:id="193"/>
      <w:bookmarkEnd w:id="194"/>
    </w:p>
    <w:p w14:paraId="6C061CDC" w14:textId="77777777" w:rsidR="00B47896" w:rsidRDefault="00B47896" w:rsidP="00B47896">
      <w:pPr>
        <w:numPr>
          <w:ilvl w:val="0"/>
          <w:numId w:val="11"/>
        </w:numPr>
        <w:spacing w:after="0"/>
        <w:ind w:left="810" w:hanging="450"/>
        <w:jc w:val="both"/>
        <w:rPr>
          <w:szCs w:val="22"/>
        </w:rPr>
      </w:pPr>
      <w:r w:rsidRPr="00D35C41">
        <w:rPr>
          <w:szCs w:val="22"/>
        </w:rPr>
        <w:t>Cancel this solicitation;</w:t>
      </w:r>
    </w:p>
    <w:p w14:paraId="418E0448" w14:textId="77777777" w:rsidR="00B47896" w:rsidRDefault="00B47896" w:rsidP="00B47896">
      <w:pPr>
        <w:numPr>
          <w:ilvl w:val="0"/>
          <w:numId w:val="11"/>
        </w:numPr>
        <w:spacing w:after="0"/>
        <w:ind w:left="810" w:hanging="450"/>
        <w:jc w:val="both"/>
        <w:rPr>
          <w:szCs w:val="22"/>
        </w:rPr>
      </w:pPr>
      <w:r w:rsidRPr="00D35C41">
        <w:rPr>
          <w:szCs w:val="22"/>
        </w:rPr>
        <w:t>Revise the amount of funds available under this solicitation;</w:t>
      </w:r>
    </w:p>
    <w:p w14:paraId="0047086A" w14:textId="77777777" w:rsidR="00B47896" w:rsidRDefault="00B47896" w:rsidP="00B47896">
      <w:pPr>
        <w:numPr>
          <w:ilvl w:val="0"/>
          <w:numId w:val="11"/>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401A7E35" w14:textId="77777777" w:rsidR="00B47896" w:rsidRDefault="00B47896" w:rsidP="00B47896">
      <w:pPr>
        <w:numPr>
          <w:ilvl w:val="0"/>
          <w:numId w:val="11"/>
        </w:numPr>
        <w:ind w:left="810" w:hanging="450"/>
        <w:jc w:val="both"/>
        <w:rPr>
          <w:szCs w:val="22"/>
        </w:rPr>
      </w:pPr>
      <w:r w:rsidRPr="00D35C41">
        <w:rPr>
          <w:szCs w:val="22"/>
        </w:rPr>
        <w:t>Reject any or all applications received in response to this solicitation</w:t>
      </w:r>
      <w:r>
        <w:rPr>
          <w:szCs w:val="22"/>
        </w:rPr>
        <w:t>.</w:t>
      </w:r>
    </w:p>
    <w:p w14:paraId="53689DD5" w14:textId="77777777" w:rsidR="00B47896" w:rsidRPr="00D35C41" w:rsidRDefault="00B47896" w:rsidP="00B47896">
      <w:pPr>
        <w:jc w:val="both"/>
        <w:rPr>
          <w:szCs w:val="22"/>
        </w:rPr>
      </w:pPr>
      <w:r w:rsidRPr="00D35C41">
        <w:rPr>
          <w:szCs w:val="22"/>
        </w:rPr>
        <w:t xml:space="preserve">If the solicitation is amended, the </w:t>
      </w:r>
      <w:r>
        <w:rPr>
          <w:szCs w:val="22"/>
        </w:rPr>
        <w:t>CEC</w:t>
      </w:r>
      <w:r w:rsidRPr="00D35C41">
        <w:rPr>
          <w:szCs w:val="22"/>
        </w:rPr>
        <w:t xml:space="preserve"> will send an addendum to all </w:t>
      </w:r>
      <w:r>
        <w:rPr>
          <w:szCs w:val="22"/>
        </w:rPr>
        <w:t>entities</w:t>
      </w:r>
      <w:r w:rsidRPr="00D35C41">
        <w:rPr>
          <w:szCs w:val="22"/>
        </w:rPr>
        <w:t xml:space="preserve"> </w:t>
      </w:r>
      <w:r>
        <w:rPr>
          <w:szCs w:val="22"/>
        </w:rPr>
        <w:t>that</w:t>
      </w:r>
      <w:r w:rsidRPr="00D35C41">
        <w:rPr>
          <w:szCs w:val="22"/>
        </w:rPr>
        <w:t xml:space="preserve"> requested the solicitation, and will also post it on the </w:t>
      </w:r>
      <w:r>
        <w:rPr>
          <w:szCs w:val="22"/>
        </w:rPr>
        <w:t>CEC</w:t>
      </w:r>
      <w:r w:rsidRPr="00D35C41">
        <w:rPr>
          <w:szCs w:val="22"/>
        </w:rPr>
        <w:t xml:space="preserve">’s website at: </w:t>
      </w:r>
      <w:r w:rsidRPr="00616F23">
        <w:rPr>
          <w:szCs w:val="22"/>
        </w:rPr>
        <w:t>www.energy.ca.gov/contracts</w:t>
      </w:r>
      <w:r w:rsidRPr="00D35C41">
        <w:rPr>
          <w:szCs w:val="22"/>
        </w:rPr>
        <w:t>.</w:t>
      </w:r>
      <w:r>
        <w:rPr>
          <w:szCs w:val="22"/>
        </w:rPr>
        <w:t xml:space="preserve"> The CEC will not reimburse applicants for application development expenses under any circumstances, including cancellation of the solicitation.</w:t>
      </w:r>
    </w:p>
    <w:p w14:paraId="6F7BCFCA" w14:textId="77777777" w:rsidR="00B47896" w:rsidRPr="004D0A67" w:rsidRDefault="00B47896" w:rsidP="00B47896">
      <w:pPr>
        <w:pStyle w:val="ListParagraph"/>
        <w:numPr>
          <w:ilvl w:val="0"/>
          <w:numId w:val="36"/>
        </w:numPr>
        <w:tabs>
          <w:tab w:val="num" w:pos="360"/>
        </w:tabs>
        <w:rPr>
          <w:b/>
        </w:rPr>
      </w:pPr>
      <w:bookmarkStart w:id="195" w:name="_Toc381079939"/>
      <w:bookmarkStart w:id="196" w:name="_Toc382571202"/>
      <w:bookmarkStart w:id="197" w:name="_Toc395180712"/>
      <w:bookmarkStart w:id="198" w:name="_Toc433981340"/>
      <w:r w:rsidRPr="004D0A67">
        <w:rPr>
          <w:b/>
        </w:rPr>
        <w:t>Modification or Withdrawal of Application</w:t>
      </w:r>
      <w:bookmarkEnd w:id="195"/>
      <w:bookmarkEnd w:id="196"/>
      <w:bookmarkEnd w:id="197"/>
      <w:bookmarkEnd w:id="198"/>
    </w:p>
    <w:p w14:paraId="7BDF694C" w14:textId="02E063A9" w:rsidR="00B47896" w:rsidRPr="00D35C41" w:rsidRDefault="00B47896" w:rsidP="00B47896">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Pr>
          <w:szCs w:val="22"/>
        </w:rPr>
        <w:t xml:space="preserve">Commission Agreement Officer listed in Part I. </w:t>
      </w:r>
      <w:r w:rsidRPr="00D35C41">
        <w:rPr>
          <w:szCs w:val="22"/>
        </w:rPr>
        <w:t>Applications cannot be changed after that date and time. An Application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44D77E9F" w14:textId="77777777" w:rsidR="00B47896" w:rsidRPr="004D0A67" w:rsidRDefault="00B47896" w:rsidP="00B47896">
      <w:pPr>
        <w:pStyle w:val="ListParagraph"/>
        <w:numPr>
          <w:ilvl w:val="0"/>
          <w:numId w:val="36"/>
        </w:numPr>
        <w:tabs>
          <w:tab w:val="num" w:pos="360"/>
        </w:tabs>
        <w:rPr>
          <w:b/>
        </w:rPr>
      </w:pPr>
      <w:bookmarkStart w:id="199" w:name="_Toc381079940"/>
      <w:bookmarkStart w:id="200" w:name="_Toc382571203"/>
      <w:bookmarkStart w:id="201" w:name="_Toc395180713"/>
      <w:bookmarkStart w:id="202" w:name="_Toc433981341"/>
      <w:bookmarkStart w:id="203" w:name="_Toc381079941"/>
      <w:r w:rsidRPr="004D0A67">
        <w:rPr>
          <w:b/>
        </w:rPr>
        <w:t>Confidentiality</w:t>
      </w:r>
      <w:bookmarkEnd w:id="199"/>
      <w:bookmarkEnd w:id="200"/>
      <w:bookmarkEnd w:id="201"/>
      <w:bookmarkEnd w:id="202"/>
    </w:p>
    <w:p w14:paraId="1A2176E6" w14:textId="603EC39F" w:rsidR="00B47896" w:rsidRPr="006D2C5A" w:rsidRDefault="00B47896" w:rsidP="00B47896">
      <w:pPr>
        <w:spacing w:after="160"/>
        <w:jc w:val="both"/>
        <w:rPr>
          <w:i/>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Pr>
          <w:b/>
        </w:rPr>
        <w:t>ly</w:t>
      </w:r>
      <w:r w:rsidRPr="00D20F46">
        <w:rPr>
          <w:b/>
        </w:rPr>
        <w:t xml:space="preserve"> </w:t>
      </w:r>
      <w:r>
        <w:rPr>
          <w:b/>
        </w:rPr>
        <w:t xml:space="preserve">available </w:t>
      </w:r>
      <w:r w:rsidRPr="00D20F46">
        <w:rPr>
          <w:b/>
        </w:rPr>
        <w:t>records</w:t>
      </w:r>
      <w:r w:rsidRPr="00BC0F1F">
        <w:t xml:space="preserve"> after the </w:t>
      </w:r>
      <w:r>
        <w:t>CEC</w:t>
      </w:r>
      <w:r w:rsidRPr="00BC0F1F">
        <w:t xml:space="preserve"> posts the NOPA or the solicitation is cancelled.</w:t>
      </w:r>
      <w:r>
        <w:t xml:space="preserve"> </w:t>
      </w:r>
      <w:r w:rsidRPr="00A535A6">
        <w:rPr>
          <w:b/>
        </w:rPr>
        <w:t xml:space="preserve">The </w:t>
      </w:r>
      <w:r>
        <w:rPr>
          <w:b/>
        </w:rPr>
        <w:t>CEC</w:t>
      </w:r>
      <w:r w:rsidRPr="00A535A6">
        <w:rPr>
          <w:b/>
        </w:rPr>
        <w:t xml:space="preserve"> will not accept or retain applications that identify any </w:t>
      </w:r>
      <w:r>
        <w:rPr>
          <w:b/>
        </w:rPr>
        <w:t>portion</w:t>
      </w:r>
      <w:r w:rsidRPr="00A535A6">
        <w:rPr>
          <w:b/>
        </w:rPr>
        <w:t xml:space="preserve"> as confidential.</w:t>
      </w:r>
      <w:r w:rsidDel="005028D9">
        <w:t xml:space="preserve"> </w:t>
      </w:r>
    </w:p>
    <w:p w14:paraId="10DB26EE" w14:textId="77777777" w:rsidR="00B47896" w:rsidRPr="004D0A67" w:rsidRDefault="00B47896" w:rsidP="00B47896">
      <w:pPr>
        <w:pStyle w:val="ListParagraph"/>
        <w:numPr>
          <w:ilvl w:val="0"/>
          <w:numId w:val="36"/>
        </w:numPr>
        <w:tabs>
          <w:tab w:val="num" w:pos="360"/>
        </w:tabs>
        <w:spacing w:after="160"/>
        <w:rPr>
          <w:b/>
        </w:rPr>
      </w:pPr>
      <w:bookmarkStart w:id="204" w:name="_Toc382571204"/>
      <w:bookmarkStart w:id="205" w:name="_Toc395180714"/>
      <w:bookmarkStart w:id="206" w:name="_Toc433981342"/>
      <w:r w:rsidRPr="004D0A67">
        <w:rPr>
          <w:b/>
        </w:rPr>
        <w:t>Solicitation Errors</w:t>
      </w:r>
      <w:bookmarkEnd w:id="203"/>
      <w:bookmarkEnd w:id="204"/>
      <w:bookmarkEnd w:id="205"/>
      <w:bookmarkEnd w:id="206"/>
    </w:p>
    <w:p w14:paraId="427135FA" w14:textId="6EDE1AFA" w:rsidR="00B47896" w:rsidRPr="00D35C41" w:rsidRDefault="00B47896" w:rsidP="00B47896">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The CEC will provide m</w:t>
      </w:r>
      <w:r w:rsidRPr="00D35C41">
        <w:rPr>
          <w:szCs w:val="22"/>
        </w:rPr>
        <w:t xml:space="preserve">odifications or clarifications </w:t>
      </w:r>
      <w:r>
        <w:rPr>
          <w:szCs w:val="22"/>
        </w:rPr>
        <w:t>by written notice to</w:t>
      </w:r>
      <w:r w:rsidRPr="00D35C41">
        <w:rPr>
          <w:szCs w:val="22"/>
        </w:rPr>
        <w:t xml:space="preserve"> all </w:t>
      </w:r>
      <w:r>
        <w:rPr>
          <w:szCs w:val="22"/>
        </w:rPr>
        <w:t>entities that</w:t>
      </w:r>
      <w:r w:rsidRPr="00D35C41">
        <w:rPr>
          <w:szCs w:val="22"/>
        </w:rPr>
        <w:t xml:space="preserve"> requested the solicitation. The </w:t>
      </w:r>
      <w:r>
        <w:rPr>
          <w:szCs w:val="22"/>
        </w:rPr>
        <w:t>CEC</w:t>
      </w:r>
      <w:r w:rsidRPr="00D35C41">
        <w:rPr>
          <w:szCs w:val="22"/>
        </w:rPr>
        <w:t xml:space="preserve"> will not be responsible for failure to correct errors.</w:t>
      </w:r>
    </w:p>
    <w:p w14:paraId="0C309688" w14:textId="77777777" w:rsidR="00B47896" w:rsidRPr="004D0A67" w:rsidRDefault="00B47896" w:rsidP="00B47896">
      <w:pPr>
        <w:pStyle w:val="ListParagraph"/>
        <w:numPr>
          <w:ilvl w:val="0"/>
          <w:numId w:val="36"/>
        </w:numPr>
        <w:tabs>
          <w:tab w:val="num" w:pos="360"/>
        </w:tabs>
        <w:rPr>
          <w:b/>
        </w:rPr>
      </w:pPr>
      <w:bookmarkStart w:id="207" w:name="_Toc381079942"/>
      <w:bookmarkStart w:id="208" w:name="_Toc382571205"/>
      <w:bookmarkStart w:id="209" w:name="_Toc395180715"/>
      <w:bookmarkStart w:id="210" w:name="_Toc433981343"/>
      <w:r w:rsidRPr="004D0A67">
        <w:rPr>
          <w:b/>
        </w:rPr>
        <w:t>Immaterial Defect</w:t>
      </w:r>
      <w:bookmarkEnd w:id="207"/>
      <w:bookmarkEnd w:id="208"/>
      <w:bookmarkEnd w:id="209"/>
      <w:bookmarkEnd w:id="210"/>
    </w:p>
    <w:p w14:paraId="3F0BA9A9" w14:textId="031B5AAE" w:rsidR="00B47896" w:rsidRPr="00D35C41" w:rsidRDefault="00B47896" w:rsidP="00B47896">
      <w:pPr>
        <w:jc w:val="both"/>
        <w:rPr>
          <w:szCs w:val="22"/>
        </w:rPr>
      </w:pPr>
      <w:r w:rsidRPr="00D35C41">
        <w:rPr>
          <w:szCs w:val="22"/>
        </w:rPr>
        <w:t xml:space="preserve">The </w:t>
      </w:r>
      <w:r>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3D789275" w14:textId="77777777" w:rsidR="00B47896" w:rsidRPr="004D0A67" w:rsidRDefault="00B47896" w:rsidP="00B47896">
      <w:pPr>
        <w:pStyle w:val="ListParagraph"/>
        <w:numPr>
          <w:ilvl w:val="0"/>
          <w:numId w:val="36"/>
        </w:numPr>
        <w:tabs>
          <w:tab w:val="num" w:pos="360"/>
        </w:tabs>
        <w:rPr>
          <w:b/>
        </w:rPr>
      </w:pPr>
      <w:bookmarkStart w:id="211" w:name="_Toc381079943"/>
      <w:bookmarkStart w:id="212" w:name="_Toc382571206"/>
      <w:bookmarkStart w:id="213" w:name="_Toc395180716"/>
      <w:bookmarkStart w:id="214" w:name="_Toc433981344"/>
      <w:r w:rsidRPr="004D0A67">
        <w:rPr>
          <w:b/>
        </w:rPr>
        <w:t>Disposition of Applicant’s Documents</w:t>
      </w:r>
      <w:bookmarkEnd w:id="211"/>
      <w:bookmarkEnd w:id="212"/>
      <w:bookmarkEnd w:id="213"/>
      <w:bookmarkEnd w:id="214"/>
    </w:p>
    <w:p w14:paraId="55977914" w14:textId="753EAE89" w:rsidR="00B47896" w:rsidRDefault="00B47896" w:rsidP="00B47896">
      <w:pPr>
        <w:jc w:val="both"/>
        <w:rPr>
          <w:szCs w:val="22"/>
        </w:rPr>
      </w:pPr>
      <w:r>
        <w:rPr>
          <w:szCs w:val="22"/>
        </w:rPr>
        <w:t>Upon the posting of</w:t>
      </w:r>
      <w:r w:rsidRPr="00D35C41">
        <w:rPr>
          <w:szCs w:val="22"/>
        </w:rPr>
        <w:t xml:space="preserve"> the NOPA, all applications and related materials submitted in response to this solicitation </w:t>
      </w:r>
      <w:r>
        <w:rPr>
          <w:szCs w:val="22"/>
        </w:rPr>
        <w:t xml:space="preserve">will </w:t>
      </w:r>
      <w:r w:rsidRPr="00D35C41">
        <w:rPr>
          <w:szCs w:val="22"/>
        </w:rPr>
        <w:t>become property of the State and public</w:t>
      </w:r>
      <w:r>
        <w:rPr>
          <w:szCs w:val="22"/>
        </w:rPr>
        <w:t>ly</w:t>
      </w:r>
      <w:r w:rsidRPr="00D35C41">
        <w:rPr>
          <w:szCs w:val="22"/>
        </w:rPr>
        <w:t xml:space="preserve"> </w:t>
      </w:r>
      <w:r>
        <w:rPr>
          <w:szCs w:val="22"/>
        </w:rPr>
        <w:t xml:space="preserve">available </w:t>
      </w:r>
      <w:r w:rsidRPr="00D35C41">
        <w:rPr>
          <w:szCs w:val="22"/>
        </w:rPr>
        <w:t>record</w:t>
      </w:r>
      <w:r>
        <w:rPr>
          <w:szCs w:val="22"/>
        </w:rPr>
        <w:t>s</w:t>
      </w:r>
      <w:r w:rsidRPr="00D35C41">
        <w:rPr>
          <w:szCs w:val="22"/>
        </w:rPr>
        <w:t xml:space="preserve">. </w:t>
      </w:r>
      <w:r>
        <w:rPr>
          <w:szCs w:val="22"/>
        </w:rPr>
        <w:t>Unsuccessful a</w:t>
      </w:r>
      <w:r w:rsidRPr="00D35C41">
        <w:rPr>
          <w:szCs w:val="22"/>
        </w:rPr>
        <w:t xml:space="preserve">pplicants who seek the return of any materials </w:t>
      </w:r>
      <w:r>
        <w:rPr>
          <w:szCs w:val="22"/>
        </w:rPr>
        <w:t>must</w:t>
      </w:r>
      <w:r w:rsidRPr="00D35C41">
        <w:rPr>
          <w:szCs w:val="22"/>
        </w:rPr>
        <w:t xml:space="preserve"> make this request </w:t>
      </w:r>
      <w:r>
        <w:rPr>
          <w:szCs w:val="22"/>
        </w:rPr>
        <w:t xml:space="preserve">to the Agreement Officer listed in Part I, </w:t>
      </w:r>
      <w:r w:rsidRPr="00D35C41">
        <w:rPr>
          <w:szCs w:val="22"/>
        </w:rPr>
        <w:t>and provide sufficient postage to fund the cost of returning the materials.</w:t>
      </w:r>
    </w:p>
    <w:p w14:paraId="2F0CE7A8" w14:textId="77777777" w:rsidR="00B47896" w:rsidRDefault="00B47896" w:rsidP="00B47896">
      <w:pPr>
        <w:spacing w:after="0"/>
        <w:rPr>
          <w:szCs w:val="22"/>
        </w:rPr>
      </w:pPr>
      <w:r>
        <w:rPr>
          <w:szCs w:val="22"/>
        </w:rPr>
        <w:br w:type="page"/>
      </w:r>
    </w:p>
    <w:p w14:paraId="1D1FE762" w14:textId="77777777" w:rsidR="00B47896" w:rsidRPr="00CF6DED" w:rsidRDefault="00B47896" w:rsidP="00B47896">
      <w:pPr>
        <w:pStyle w:val="Heading2"/>
        <w:numPr>
          <w:ilvl w:val="0"/>
          <w:numId w:val="74"/>
        </w:numPr>
      </w:pPr>
      <w:bookmarkStart w:id="215" w:name="_Toc433981345"/>
      <w:bookmarkStart w:id="216" w:name="_Toc121842094"/>
      <w:r w:rsidRPr="00CF6DED">
        <w:lastRenderedPageBreak/>
        <w:t>Stage One:  Application Screening</w:t>
      </w:r>
      <w:bookmarkEnd w:id="215"/>
      <w:bookmarkEnd w:id="21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B47896" w:rsidRPr="00C31C1D" w14:paraId="352696F8" w14:textId="77777777">
        <w:trPr>
          <w:trHeight w:val="586"/>
          <w:tblHeader/>
        </w:trPr>
        <w:tc>
          <w:tcPr>
            <w:tcW w:w="7231" w:type="dxa"/>
            <w:shd w:val="clear" w:color="auto" w:fill="D9D9D9" w:themeFill="background1" w:themeFillShade="D9"/>
            <w:vAlign w:val="center"/>
          </w:tcPr>
          <w:p w14:paraId="6BFC5BC9" w14:textId="77777777" w:rsidR="00B47896" w:rsidRPr="00FC390E" w:rsidRDefault="00B47896">
            <w:pPr>
              <w:jc w:val="center"/>
              <w:rPr>
                <w:b/>
                <w:caps/>
                <w:szCs w:val="24"/>
              </w:rPr>
            </w:pPr>
            <w:r w:rsidRPr="00FC390E">
              <w:rPr>
                <w:b/>
                <w:caps/>
                <w:szCs w:val="24"/>
              </w:rPr>
              <w:t xml:space="preserve">Screening Criteria </w:t>
            </w:r>
          </w:p>
          <w:p w14:paraId="4B5A2F45" w14:textId="77777777" w:rsidR="00B47896" w:rsidRPr="00DD6604" w:rsidRDefault="00B4789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5DD450A4" w14:textId="77777777" w:rsidR="00B47896" w:rsidRPr="00C31C1D" w:rsidRDefault="00B47896">
            <w:pPr>
              <w:jc w:val="center"/>
              <w:rPr>
                <w:b/>
                <w:szCs w:val="24"/>
              </w:rPr>
            </w:pPr>
            <w:r w:rsidRPr="00C31C1D">
              <w:rPr>
                <w:b/>
                <w:noProof/>
                <w:szCs w:val="24"/>
              </w:rPr>
              <w:t>Pass/Fail</w:t>
            </w:r>
          </w:p>
        </w:tc>
      </w:tr>
      <w:tr w:rsidR="00B47896" w:rsidRPr="00C31C1D" w14:paraId="4055A0E2" w14:textId="77777777">
        <w:tc>
          <w:tcPr>
            <w:tcW w:w="7231" w:type="dxa"/>
          </w:tcPr>
          <w:p w14:paraId="247A7772" w14:textId="77777777" w:rsidR="00B47896" w:rsidRPr="00C31C1D" w:rsidRDefault="00B47896">
            <w:pPr>
              <w:numPr>
                <w:ilvl w:val="0"/>
                <w:numId w:val="8"/>
              </w:numPr>
              <w:jc w:val="both"/>
            </w:pPr>
            <w:r>
              <w:t>The a</w:t>
            </w:r>
            <w:r w:rsidRPr="00C31C1D">
              <w:t xml:space="preserve">pplication </w:t>
            </w:r>
            <w:r>
              <w:t xml:space="preserve">is </w:t>
            </w:r>
            <w:r w:rsidRPr="00C31C1D">
              <w:t xml:space="preserve">received by the </w:t>
            </w:r>
            <w:r>
              <w:t>CEC</w:t>
            </w:r>
            <w:r w:rsidRPr="00C31C1D">
              <w:t xml:space="preserve">’s </w:t>
            </w:r>
            <w:r>
              <w:t xml:space="preserve">Contracts, </w:t>
            </w:r>
            <w:r w:rsidRPr="00C31C1D">
              <w:t>Grants</w:t>
            </w:r>
            <w:r>
              <w:t>,</w:t>
            </w:r>
            <w:r w:rsidRPr="00C31C1D">
              <w:t xml:space="preserve"> and Loans Office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0945119B" w14:textId="77777777" w:rsidR="00B47896" w:rsidRPr="00C31C1D" w:rsidRDefault="00B4789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5457A">
              <w:rPr>
                <w:color w:val="2B579A"/>
                <w:sz w:val="20"/>
                <w:shd w:val="clear" w:color="auto" w:fill="E6E6E6"/>
              </w:rPr>
            </w:r>
            <w:r w:rsidR="0025457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5457A">
              <w:rPr>
                <w:color w:val="2B579A"/>
                <w:sz w:val="20"/>
                <w:shd w:val="clear" w:color="auto" w:fill="E6E6E6"/>
              </w:rPr>
            </w:r>
            <w:r w:rsidR="0025457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39C11BD6" w14:textId="77777777" w:rsidR="00B47896" w:rsidRPr="00C31C1D" w:rsidRDefault="00B47896">
            <w:pPr>
              <w:spacing w:after="0"/>
              <w:jc w:val="both"/>
              <w:rPr>
                <w:noProof/>
              </w:rPr>
            </w:pPr>
          </w:p>
        </w:tc>
      </w:tr>
      <w:tr w:rsidR="00B47896" w:rsidRPr="00C31C1D" w14:paraId="580305C7" w14:textId="77777777" w:rsidTr="007039F0">
        <w:tc>
          <w:tcPr>
            <w:tcW w:w="7231" w:type="dxa"/>
            <w:tcBorders>
              <w:bottom w:val="single" w:sz="8" w:space="0" w:color="000000"/>
            </w:tcBorders>
          </w:tcPr>
          <w:p w14:paraId="3009C429" w14:textId="77777777" w:rsidR="00B47896" w:rsidRDefault="00B47896">
            <w:pPr>
              <w:numPr>
                <w:ilvl w:val="0"/>
                <w:numId w:val="8"/>
              </w:numPr>
              <w:jc w:val="both"/>
            </w:pPr>
            <w:r>
              <w:t>The application Form (Attachment 1) is signed where indicated.</w:t>
            </w:r>
          </w:p>
        </w:tc>
        <w:tc>
          <w:tcPr>
            <w:tcW w:w="2119" w:type="dxa"/>
            <w:tcBorders>
              <w:bottom w:val="single" w:sz="8" w:space="0" w:color="000000"/>
            </w:tcBorders>
          </w:tcPr>
          <w:p w14:paraId="01B72C5E" w14:textId="77777777" w:rsidR="00B47896" w:rsidRPr="00C31C1D" w:rsidRDefault="00B4789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5457A">
              <w:rPr>
                <w:color w:val="2B579A"/>
                <w:sz w:val="20"/>
                <w:shd w:val="clear" w:color="auto" w:fill="E6E6E6"/>
              </w:rPr>
            </w:r>
            <w:r w:rsidR="0025457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5457A">
              <w:rPr>
                <w:color w:val="2B579A"/>
                <w:sz w:val="20"/>
                <w:shd w:val="clear" w:color="auto" w:fill="E6E6E6"/>
              </w:rPr>
            </w:r>
            <w:r w:rsidR="0025457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B2DD2F6" w14:textId="77777777" w:rsidR="00B47896" w:rsidRPr="005F374A" w:rsidRDefault="00B47896">
            <w:pPr>
              <w:keepLines/>
              <w:spacing w:after="0"/>
              <w:jc w:val="both"/>
              <w:rPr>
                <w:sz w:val="20"/>
              </w:rPr>
            </w:pPr>
          </w:p>
        </w:tc>
      </w:tr>
      <w:tr w:rsidR="00B47896" w:rsidRPr="005F374A" w14:paraId="75886DED" w14:textId="77777777">
        <w:tc>
          <w:tcPr>
            <w:tcW w:w="7231" w:type="dxa"/>
            <w:tcBorders>
              <w:top w:val="single" w:sz="8" w:space="0" w:color="000000"/>
              <w:bottom w:val="single" w:sz="24" w:space="0" w:color="000000"/>
            </w:tcBorders>
          </w:tcPr>
          <w:p w14:paraId="07018F1E" w14:textId="77777777" w:rsidR="00B47896" w:rsidRDefault="00B47896">
            <w:pPr>
              <w:numPr>
                <w:ilvl w:val="0"/>
                <w:numId w:val="8"/>
              </w:numPr>
              <w:jc w:val="both"/>
            </w:pPr>
            <w:r>
              <w:t xml:space="preserve">The Applicant Declaration Form (Attachment 12) is signed where indicated. </w:t>
            </w:r>
          </w:p>
        </w:tc>
        <w:tc>
          <w:tcPr>
            <w:tcW w:w="2119" w:type="dxa"/>
            <w:tcBorders>
              <w:top w:val="single" w:sz="8" w:space="0" w:color="000000"/>
              <w:bottom w:val="single" w:sz="24" w:space="0" w:color="000000"/>
            </w:tcBorders>
          </w:tcPr>
          <w:p w14:paraId="61DC33FC" w14:textId="77777777" w:rsidR="00B47896" w:rsidRPr="00C31C1D" w:rsidRDefault="00B4789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5457A">
              <w:rPr>
                <w:color w:val="2B579A"/>
                <w:sz w:val="20"/>
                <w:shd w:val="clear" w:color="auto" w:fill="E6E6E6"/>
              </w:rPr>
            </w:r>
            <w:r w:rsidR="0025457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5457A">
              <w:rPr>
                <w:color w:val="2B579A"/>
                <w:sz w:val="20"/>
                <w:shd w:val="clear" w:color="auto" w:fill="E6E6E6"/>
              </w:rPr>
            </w:r>
            <w:r w:rsidR="0025457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57C32C54" w14:textId="77777777" w:rsidR="00B47896" w:rsidRPr="005F374A" w:rsidRDefault="00B47896">
            <w:pPr>
              <w:keepLines/>
              <w:spacing w:after="0"/>
              <w:jc w:val="both"/>
              <w:rPr>
                <w:sz w:val="20"/>
              </w:rPr>
            </w:pPr>
          </w:p>
        </w:tc>
      </w:tr>
      <w:tr w:rsidR="00B47896" w:rsidRPr="00C31C1D" w14:paraId="1C54AE81" w14:textId="77777777">
        <w:tc>
          <w:tcPr>
            <w:tcW w:w="7231" w:type="dxa"/>
          </w:tcPr>
          <w:p w14:paraId="6381A32B" w14:textId="303A7FB2" w:rsidR="00B47896" w:rsidRPr="007039F0" w:rsidRDefault="00B47896">
            <w:pPr>
              <w:numPr>
                <w:ilvl w:val="0"/>
                <w:numId w:val="8"/>
              </w:numPr>
              <w:jc w:val="both"/>
              <w:rPr>
                <w:noProof/>
              </w:rPr>
            </w:pPr>
            <w:bookmarkStart w:id="217" w:name="Screen5"/>
            <w:bookmarkEnd w:id="217"/>
            <w:r w:rsidRPr="006A5EC6">
              <w:t>The Application includes Commitment Letters that total the minimum of 10</w:t>
            </w:r>
            <w:r w:rsidR="006D7CEB">
              <w:t>%</w:t>
            </w:r>
            <w:r w:rsidRPr="006A5EC6">
              <w:t xml:space="preserve"> in match share of the total requested CEC funds.</w:t>
            </w:r>
            <w:r w:rsidRPr="006D2C5A">
              <w:rPr>
                <w:shd w:val="clear" w:color="auto" w:fill="E6E6E6"/>
              </w:rPr>
              <w:t xml:space="preserve">  </w:t>
            </w:r>
          </w:p>
        </w:tc>
        <w:tc>
          <w:tcPr>
            <w:tcW w:w="2119" w:type="dxa"/>
          </w:tcPr>
          <w:p w14:paraId="7F5DA586" w14:textId="77777777" w:rsidR="00B47896" w:rsidRPr="003E3AAB" w:rsidRDefault="00B47896">
            <w:pPr>
              <w:keepLines/>
              <w:spacing w:after="0"/>
              <w:jc w:val="both"/>
              <w:rPr>
                <w:noProof/>
              </w:rPr>
            </w:pPr>
            <w:r w:rsidRPr="006D2C5A">
              <w:rPr>
                <w:sz w:val="20"/>
                <w:shd w:val="clear" w:color="auto" w:fill="E6E6E6"/>
              </w:rPr>
              <w:fldChar w:fldCharType="begin">
                <w:ffData>
                  <w:name w:val="Check30"/>
                  <w:enabled/>
                  <w:calcOnExit w:val="0"/>
                  <w:checkBox>
                    <w:sizeAuto/>
                    <w:default w:val="0"/>
                  </w:checkBox>
                </w:ffData>
              </w:fldChar>
            </w:r>
            <w:r w:rsidRPr="006D2C5A">
              <w:rPr>
                <w:sz w:val="20"/>
                <w:shd w:val="clear" w:color="auto" w:fill="E6E6E6"/>
              </w:rPr>
              <w:instrText xml:space="preserve"> FORMCHECKBOX </w:instrText>
            </w:r>
            <w:r w:rsidR="0025457A">
              <w:rPr>
                <w:sz w:val="20"/>
                <w:shd w:val="clear" w:color="auto" w:fill="E6E6E6"/>
              </w:rPr>
            </w:r>
            <w:r w:rsidR="0025457A">
              <w:rPr>
                <w:sz w:val="20"/>
                <w:shd w:val="clear" w:color="auto" w:fill="E6E6E6"/>
              </w:rPr>
              <w:fldChar w:fldCharType="separate"/>
            </w:r>
            <w:r w:rsidRPr="006D2C5A">
              <w:rPr>
                <w:sz w:val="20"/>
                <w:shd w:val="clear" w:color="auto" w:fill="E6E6E6"/>
              </w:rPr>
              <w:fldChar w:fldCharType="end"/>
            </w:r>
            <w:r w:rsidRPr="00596C63">
              <w:rPr>
                <w:noProof/>
              </w:rPr>
              <w:t xml:space="preserve"> Pass   </w:t>
            </w:r>
            <w:r w:rsidRPr="006D2C5A">
              <w:rPr>
                <w:sz w:val="20"/>
                <w:shd w:val="clear" w:color="auto" w:fill="E6E6E6"/>
              </w:rPr>
              <w:fldChar w:fldCharType="begin">
                <w:ffData>
                  <w:name w:val="Check30"/>
                  <w:enabled/>
                  <w:calcOnExit w:val="0"/>
                  <w:checkBox>
                    <w:sizeAuto/>
                    <w:default w:val="0"/>
                  </w:checkBox>
                </w:ffData>
              </w:fldChar>
            </w:r>
            <w:r w:rsidRPr="006D2C5A">
              <w:rPr>
                <w:sz w:val="20"/>
                <w:shd w:val="clear" w:color="auto" w:fill="E6E6E6"/>
              </w:rPr>
              <w:instrText xml:space="preserve"> FORMCHECKBOX </w:instrText>
            </w:r>
            <w:r w:rsidR="0025457A">
              <w:rPr>
                <w:sz w:val="20"/>
                <w:shd w:val="clear" w:color="auto" w:fill="E6E6E6"/>
              </w:rPr>
            </w:r>
            <w:r w:rsidR="0025457A">
              <w:rPr>
                <w:sz w:val="20"/>
                <w:shd w:val="clear" w:color="auto" w:fill="E6E6E6"/>
              </w:rPr>
              <w:fldChar w:fldCharType="separate"/>
            </w:r>
            <w:r w:rsidRPr="006D2C5A">
              <w:rPr>
                <w:sz w:val="20"/>
                <w:shd w:val="clear" w:color="auto" w:fill="E6E6E6"/>
              </w:rPr>
              <w:fldChar w:fldCharType="end"/>
            </w:r>
            <w:r w:rsidRPr="00596C63">
              <w:rPr>
                <w:noProof/>
              </w:rPr>
              <w:t xml:space="preserve"> Fail</w:t>
            </w:r>
          </w:p>
          <w:p w14:paraId="46A3FE04" w14:textId="77777777" w:rsidR="00B47896" w:rsidRPr="000D4EE0" w:rsidRDefault="00B47896">
            <w:pPr>
              <w:keepLines/>
              <w:spacing w:after="0"/>
              <w:jc w:val="both"/>
              <w:rPr>
                <w:strike/>
                <w:noProof/>
              </w:rPr>
            </w:pPr>
          </w:p>
        </w:tc>
      </w:tr>
    </w:tbl>
    <w:p w14:paraId="3E290A01" w14:textId="77777777" w:rsidR="00B47896" w:rsidRDefault="00B47896" w:rsidP="00B47896">
      <w:pPr>
        <w:spacing w:after="0"/>
        <w:rPr>
          <w:b/>
          <w:caps/>
        </w:rPr>
      </w:pPr>
      <w:bookmarkStart w:id="218" w:name="Screen6"/>
      <w:bookmarkEnd w:id="218"/>
    </w:p>
    <w:p w14:paraId="47719E61" w14:textId="77777777" w:rsidR="00B47896" w:rsidRPr="00624855" w:rsidRDefault="00B47896" w:rsidP="00B47896">
      <w:pPr>
        <w:spacing w:after="0"/>
        <w:ind w:left="-90"/>
        <w:jc w:val="both"/>
      </w:pPr>
      <w:r w:rsidRPr="00624855">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CD5DD28" w14:textId="77777777" w:rsidR="00B47896" w:rsidRPr="00FC390E" w:rsidRDefault="00B47896" w:rsidP="00B47896">
      <w:pPr>
        <w:spacing w:after="0"/>
        <w:ind w:left="720"/>
        <w:rPr>
          <w:b/>
          <w:caps/>
        </w:rPr>
      </w:pPr>
    </w:p>
    <w:p w14:paraId="63923347" w14:textId="77777777" w:rsidR="00B47896" w:rsidRPr="00DB3B66" w:rsidRDefault="00B47896" w:rsidP="00B47896">
      <w:pPr>
        <w:pStyle w:val="Heading3"/>
      </w:pPr>
      <w:r w:rsidRPr="00C31C1D">
        <w:br w:type="page"/>
      </w:r>
    </w:p>
    <w:p w14:paraId="7AC60C6C" w14:textId="77777777" w:rsidR="00B47896" w:rsidRPr="00CF6DED" w:rsidRDefault="00B47896" w:rsidP="00B47896">
      <w:pPr>
        <w:pStyle w:val="Heading2"/>
        <w:numPr>
          <w:ilvl w:val="0"/>
          <w:numId w:val="74"/>
        </w:numPr>
      </w:pPr>
      <w:bookmarkStart w:id="219" w:name="_Toc433981346"/>
      <w:bookmarkStart w:id="220" w:name="_Toc121842095"/>
      <w:r w:rsidRPr="00CF6DED">
        <w:lastRenderedPageBreak/>
        <w:t>Stage Two:  Application Scoring</w:t>
      </w:r>
      <w:bookmarkEnd w:id="219"/>
      <w:bookmarkEnd w:id="220"/>
    </w:p>
    <w:bookmarkEnd w:id="175"/>
    <w:p w14:paraId="1AD77F13" w14:textId="65AF6977" w:rsidR="00B47896" w:rsidRPr="00D21FEE" w:rsidRDefault="00B47896" w:rsidP="00B47896">
      <w:pPr>
        <w:spacing w:after="0"/>
        <w:jc w:val="both"/>
        <w:rPr>
          <w:szCs w:val="24"/>
        </w:rPr>
      </w:pPr>
      <w:r>
        <w:t>Proposals that pass ALL</w:t>
      </w:r>
      <w:r w:rsidRPr="00C31C1D">
        <w:t xml:space="preserve"> Stage One Screening Criteria </w:t>
      </w:r>
      <w:r w:rsidRPr="00C36CCE">
        <w:t>and are not rejected as described in Section IV.C. will be evaluated based on the Scoring Criteria on the next page and the Scoring Scale below (with the exception of criteria 6−</w:t>
      </w:r>
      <w:r>
        <w:t>7</w:t>
      </w:r>
      <w:r w:rsidRPr="00C36CCE">
        <w:t xml:space="preserve">, which will be evaluated as described in each criterion). Each criterion has an assigned number of possible points, and </w:t>
      </w:r>
      <w:r w:rsidRPr="00C31C1D">
        <w:t xml:space="preserve">is divided into multiple sub-criteria. The sub-criteria are not equally weighted. </w:t>
      </w:r>
      <w:r w:rsidRPr="00625809">
        <w:t>Th</w:t>
      </w:r>
      <w:r>
        <w:t>e Project Narrative (Attachment</w:t>
      </w:r>
      <w:r w:rsidRPr="00625809">
        <w:t>) must respond to each sub-criterion</w:t>
      </w:r>
      <w:r>
        <w:t>, unless otherwise indicated</w:t>
      </w:r>
      <w:r w:rsidRPr="00C31C1D">
        <w:t xml:space="preserve">. </w:t>
      </w:r>
    </w:p>
    <w:p w14:paraId="5832CED9" w14:textId="77777777" w:rsidR="00B47896" w:rsidRPr="00933C13" w:rsidRDefault="00B47896" w:rsidP="00B47896">
      <w:pPr>
        <w:spacing w:after="0"/>
        <w:ind w:left="360"/>
        <w:jc w:val="both"/>
        <w:rPr>
          <w:b/>
        </w:rPr>
      </w:pPr>
    </w:p>
    <w:p w14:paraId="30363798" w14:textId="77777777" w:rsidR="00B47896" w:rsidRDefault="00B47896" w:rsidP="00B47896">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B47896" w:rsidRPr="00050087" w14:paraId="59C75282" w14:textId="77777777">
        <w:trPr>
          <w:trHeight w:val="800"/>
        </w:trPr>
        <w:tc>
          <w:tcPr>
            <w:tcW w:w="1417" w:type="dxa"/>
            <w:shd w:val="clear" w:color="auto" w:fill="D9D9D9"/>
            <w:vAlign w:val="center"/>
          </w:tcPr>
          <w:p w14:paraId="2AFF971D" w14:textId="77777777" w:rsidR="00B47896" w:rsidRPr="00050087" w:rsidRDefault="00B47896">
            <w:pPr>
              <w:spacing w:after="0"/>
              <w:jc w:val="center"/>
              <w:rPr>
                <w:b/>
                <w:szCs w:val="22"/>
              </w:rPr>
            </w:pPr>
            <w:r w:rsidRPr="00050087">
              <w:rPr>
                <w:b/>
                <w:szCs w:val="22"/>
              </w:rPr>
              <w:t>% of Possible Points</w:t>
            </w:r>
          </w:p>
        </w:tc>
        <w:tc>
          <w:tcPr>
            <w:tcW w:w="1620" w:type="dxa"/>
            <w:shd w:val="clear" w:color="auto" w:fill="D9D9D9"/>
            <w:vAlign w:val="center"/>
          </w:tcPr>
          <w:p w14:paraId="2A5505A9" w14:textId="77777777" w:rsidR="00B47896" w:rsidRPr="00050087" w:rsidRDefault="00B47896">
            <w:pPr>
              <w:spacing w:after="0"/>
              <w:jc w:val="center"/>
              <w:rPr>
                <w:b/>
                <w:szCs w:val="22"/>
              </w:rPr>
            </w:pPr>
            <w:r w:rsidRPr="00050087">
              <w:rPr>
                <w:b/>
                <w:szCs w:val="22"/>
              </w:rPr>
              <w:t>Interpretation</w:t>
            </w:r>
          </w:p>
        </w:tc>
        <w:tc>
          <w:tcPr>
            <w:tcW w:w="6205" w:type="dxa"/>
            <w:shd w:val="clear" w:color="auto" w:fill="D9D9D9"/>
            <w:vAlign w:val="center"/>
          </w:tcPr>
          <w:p w14:paraId="1AC6DADF" w14:textId="77777777" w:rsidR="00B47896" w:rsidRPr="00050087" w:rsidRDefault="00B47896">
            <w:pPr>
              <w:spacing w:after="0"/>
              <w:jc w:val="center"/>
              <w:rPr>
                <w:b/>
                <w:szCs w:val="22"/>
              </w:rPr>
            </w:pPr>
            <w:r w:rsidRPr="00050087">
              <w:rPr>
                <w:b/>
                <w:szCs w:val="22"/>
              </w:rPr>
              <w:t xml:space="preserve">Explanation for Percentage Points </w:t>
            </w:r>
          </w:p>
        </w:tc>
      </w:tr>
      <w:tr w:rsidR="00B47896" w:rsidRPr="00050087" w14:paraId="568606B6" w14:textId="77777777">
        <w:trPr>
          <w:trHeight w:val="253"/>
        </w:trPr>
        <w:tc>
          <w:tcPr>
            <w:tcW w:w="1417" w:type="dxa"/>
            <w:vAlign w:val="center"/>
          </w:tcPr>
          <w:p w14:paraId="4EB53997" w14:textId="77777777" w:rsidR="00B47896" w:rsidRPr="00050087" w:rsidRDefault="00B47896">
            <w:pPr>
              <w:spacing w:after="0"/>
              <w:jc w:val="center"/>
              <w:rPr>
                <w:szCs w:val="22"/>
              </w:rPr>
            </w:pPr>
            <w:r w:rsidRPr="00050087">
              <w:rPr>
                <w:szCs w:val="22"/>
              </w:rPr>
              <w:t>0%</w:t>
            </w:r>
          </w:p>
        </w:tc>
        <w:tc>
          <w:tcPr>
            <w:tcW w:w="1620" w:type="dxa"/>
            <w:vAlign w:val="center"/>
          </w:tcPr>
          <w:p w14:paraId="196F3312" w14:textId="77777777" w:rsidR="00B47896" w:rsidRPr="00050087" w:rsidRDefault="00B47896">
            <w:pPr>
              <w:spacing w:after="0"/>
              <w:jc w:val="center"/>
              <w:rPr>
                <w:szCs w:val="22"/>
              </w:rPr>
            </w:pPr>
            <w:r w:rsidRPr="00050087">
              <w:rPr>
                <w:szCs w:val="22"/>
              </w:rPr>
              <w:t>Not Responsive</w:t>
            </w:r>
          </w:p>
        </w:tc>
        <w:tc>
          <w:tcPr>
            <w:tcW w:w="6205" w:type="dxa"/>
          </w:tcPr>
          <w:p w14:paraId="5A06EB84" w14:textId="7605A11C" w:rsidR="00B47896" w:rsidRPr="00050087" w:rsidRDefault="00B47896">
            <w:pPr>
              <w:spacing w:after="0"/>
              <w:rPr>
                <w:szCs w:val="22"/>
              </w:rPr>
            </w:pPr>
            <w:r w:rsidRPr="00050087">
              <w:rPr>
                <w:szCs w:val="22"/>
              </w:rPr>
              <w:t>Response does not include or fails to address the requirements being scored. The omission(s), flaw(s), or defect(s) are significant and unacceptable.</w:t>
            </w:r>
          </w:p>
        </w:tc>
      </w:tr>
      <w:tr w:rsidR="00B47896" w:rsidRPr="00050087" w14:paraId="408F1794" w14:textId="77777777">
        <w:trPr>
          <w:trHeight w:val="253"/>
        </w:trPr>
        <w:tc>
          <w:tcPr>
            <w:tcW w:w="1417" w:type="dxa"/>
            <w:vAlign w:val="center"/>
          </w:tcPr>
          <w:p w14:paraId="6EBC5333" w14:textId="77777777" w:rsidR="00B47896" w:rsidRPr="00050087" w:rsidRDefault="00B47896">
            <w:pPr>
              <w:spacing w:after="0"/>
              <w:jc w:val="center"/>
              <w:rPr>
                <w:szCs w:val="22"/>
              </w:rPr>
            </w:pPr>
            <w:r w:rsidRPr="00050087">
              <w:rPr>
                <w:szCs w:val="22"/>
              </w:rPr>
              <w:t>10-30%</w:t>
            </w:r>
          </w:p>
        </w:tc>
        <w:tc>
          <w:tcPr>
            <w:tcW w:w="1620" w:type="dxa"/>
            <w:vAlign w:val="center"/>
          </w:tcPr>
          <w:p w14:paraId="49D0B89F" w14:textId="77777777" w:rsidR="00B47896" w:rsidRPr="00050087" w:rsidRDefault="00B47896">
            <w:pPr>
              <w:spacing w:after="0"/>
              <w:jc w:val="center"/>
              <w:rPr>
                <w:szCs w:val="22"/>
              </w:rPr>
            </w:pPr>
            <w:r w:rsidRPr="00050087">
              <w:rPr>
                <w:szCs w:val="22"/>
              </w:rPr>
              <w:t>Minimally Responsive</w:t>
            </w:r>
          </w:p>
        </w:tc>
        <w:tc>
          <w:tcPr>
            <w:tcW w:w="6205" w:type="dxa"/>
          </w:tcPr>
          <w:p w14:paraId="67479795" w14:textId="7661E5C3" w:rsidR="00B47896" w:rsidRPr="00050087" w:rsidRDefault="00B47896">
            <w:pPr>
              <w:spacing w:after="0"/>
              <w:rPr>
                <w:szCs w:val="22"/>
              </w:rPr>
            </w:pPr>
            <w:r w:rsidRPr="00050087">
              <w:rPr>
                <w:szCs w:val="22"/>
              </w:rPr>
              <w:t>Response minimally addresses the requirements being scored. The omission(s), flaw(s), or defect(s) are significant and unacceptable.</w:t>
            </w:r>
          </w:p>
        </w:tc>
      </w:tr>
      <w:tr w:rsidR="00B47896" w:rsidRPr="00050087" w14:paraId="493A761F" w14:textId="77777777">
        <w:trPr>
          <w:trHeight w:val="253"/>
        </w:trPr>
        <w:tc>
          <w:tcPr>
            <w:tcW w:w="1417" w:type="dxa"/>
            <w:vAlign w:val="center"/>
          </w:tcPr>
          <w:p w14:paraId="4C886A8C" w14:textId="77777777" w:rsidR="00B47896" w:rsidRPr="00050087" w:rsidRDefault="00B47896">
            <w:pPr>
              <w:spacing w:after="0"/>
              <w:jc w:val="center"/>
              <w:rPr>
                <w:szCs w:val="22"/>
              </w:rPr>
            </w:pPr>
            <w:r w:rsidRPr="00050087">
              <w:rPr>
                <w:szCs w:val="22"/>
              </w:rPr>
              <w:t>40-60%</w:t>
            </w:r>
          </w:p>
        </w:tc>
        <w:tc>
          <w:tcPr>
            <w:tcW w:w="1620" w:type="dxa"/>
            <w:vAlign w:val="center"/>
          </w:tcPr>
          <w:p w14:paraId="286C5846" w14:textId="77777777" w:rsidR="00B47896" w:rsidRPr="00050087" w:rsidRDefault="00B47896">
            <w:pPr>
              <w:spacing w:after="0"/>
              <w:jc w:val="center"/>
              <w:rPr>
                <w:szCs w:val="22"/>
              </w:rPr>
            </w:pPr>
            <w:r w:rsidRPr="00050087">
              <w:rPr>
                <w:szCs w:val="22"/>
              </w:rPr>
              <w:t>Inadequate</w:t>
            </w:r>
          </w:p>
        </w:tc>
        <w:tc>
          <w:tcPr>
            <w:tcW w:w="6205" w:type="dxa"/>
          </w:tcPr>
          <w:p w14:paraId="5F833FFB" w14:textId="77777777" w:rsidR="00B47896" w:rsidRPr="00050087" w:rsidRDefault="00B47896">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B47896" w:rsidRPr="00050087" w14:paraId="6C8BB2F8" w14:textId="77777777">
        <w:trPr>
          <w:trHeight w:val="253"/>
        </w:trPr>
        <w:tc>
          <w:tcPr>
            <w:tcW w:w="1417" w:type="dxa"/>
            <w:vAlign w:val="center"/>
          </w:tcPr>
          <w:p w14:paraId="62D2595A" w14:textId="77777777" w:rsidR="00B47896" w:rsidRPr="00050087" w:rsidRDefault="00B47896">
            <w:pPr>
              <w:spacing w:after="0"/>
              <w:jc w:val="center"/>
              <w:rPr>
                <w:szCs w:val="22"/>
              </w:rPr>
            </w:pPr>
            <w:r w:rsidRPr="00050087">
              <w:rPr>
                <w:szCs w:val="22"/>
              </w:rPr>
              <w:t>70%</w:t>
            </w:r>
          </w:p>
        </w:tc>
        <w:tc>
          <w:tcPr>
            <w:tcW w:w="1620" w:type="dxa"/>
            <w:vAlign w:val="center"/>
          </w:tcPr>
          <w:p w14:paraId="3ABAC696" w14:textId="77777777" w:rsidR="00B47896" w:rsidRPr="00050087" w:rsidRDefault="00B47896">
            <w:pPr>
              <w:spacing w:after="0"/>
              <w:jc w:val="center"/>
              <w:rPr>
                <w:szCs w:val="22"/>
              </w:rPr>
            </w:pPr>
            <w:r w:rsidRPr="00050087">
              <w:rPr>
                <w:szCs w:val="22"/>
              </w:rPr>
              <w:t>Adequate</w:t>
            </w:r>
          </w:p>
        </w:tc>
        <w:tc>
          <w:tcPr>
            <w:tcW w:w="6205" w:type="dxa"/>
          </w:tcPr>
          <w:p w14:paraId="2A6129C2" w14:textId="2227DCB5" w:rsidR="00B47896" w:rsidRPr="00050087" w:rsidRDefault="00B47896">
            <w:pPr>
              <w:spacing w:after="0"/>
              <w:rPr>
                <w:szCs w:val="22"/>
              </w:rPr>
            </w:pPr>
            <w:r w:rsidRPr="00050087">
              <w:rPr>
                <w:szCs w:val="22"/>
              </w:rPr>
              <w:t>Response adequately addresses the requirements being scored. Any omission(s), flaw(s), or defect(s) are inconsequential and acceptable.</w:t>
            </w:r>
          </w:p>
        </w:tc>
      </w:tr>
      <w:tr w:rsidR="00B47896" w:rsidRPr="00050087" w14:paraId="5C237A46" w14:textId="77777777">
        <w:trPr>
          <w:trHeight w:val="253"/>
        </w:trPr>
        <w:tc>
          <w:tcPr>
            <w:tcW w:w="1417" w:type="dxa"/>
            <w:vAlign w:val="center"/>
          </w:tcPr>
          <w:p w14:paraId="465DB679" w14:textId="77777777" w:rsidR="00B47896" w:rsidRPr="00050087" w:rsidRDefault="00B47896">
            <w:pPr>
              <w:spacing w:after="0"/>
              <w:jc w:val="center"/>
              <w:rPr>
                <w:szCs w:val="22"/>
              </w:rPr>
            </w:pPr>
            <w:r>
              <w:rPr>
                <w:szCs w:val="22"/>
              </w:rPr>
              <w:t>75%</w:t>
            </w:r>
          </w:p>
        </w:tc>
        <w:tc>
          <w:tcPr>
            <w:tcW w:w="1620" w:type="dxa"/>
            <w:vAlign w:val="center"/>
          </w:tcPr>
          <w:p w14:paraId="142E2CD5" w14:textId="77777777" w:rsidR="00B47896" w:rsidRPr="00050087" w:rsidRDefault="00B47896">
            <w:pPr>
              <w:spacing w:after="0"/>
              <w:jc w:val="center"/>
              <w:rPr>
                <w:szCs w:val="22"/>
              </w:rPr>
            </w:pPr>
            <w:r>
              <w:rPr>
                <w:szCs w:val="22"/>
              </w:rPr>
              <w:t>Between Adequate and Good</w:t>
            </w:r>
          </w:p>
        </w:tc>
        <w:tc>
          <w:tcPr>
            <w:tcW w:w="6205" w:type="dxa"/>
          </w:tcPr>
          <w:p w14:paraId="4A7A97EF" w14:textId="77777777" w:rsidR="00B47896" w:rsidRPr="00050087" w:rsidRDefault="00B47896">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B47896" w:rsidRPr="00050087" w14:paraId="2EDBF467" w14:textId="77777777">
        <w:trPr>
          <w:trHeight w:val="253"/>
        </w:trPr>
        <w:tc>
          <w:tcPr>
            <w:tcW w:w="1417" w:type="dxa"/>
            <w:vAlign w:val="center"/>
          </w:tcPr>
          <w:p w14:paraId="5816B016" w14:textId="77777777" w:rsidR="00B47896" w:rsidRPr="00050087" w:rsidRDefault="00B47896">
            <w:pPr>
              <w:spacing w:after="0"/>
              <w:jc w:val="center"/>
              <w:rPr>
                <w:szCs w:val="22"/>
              </w:rPr>
            </w:pPr>
            <w:r w:rsidRPr="00050087">
              <w:rPr>
                <w:szCs w:val="22"/>
              </w:rPr>
              <w:t>80%</w:t>
            </w:r>
          </w:p>
        </w:tc>
        <w:tc>
          <w:tcPr>
            <w:tcW w:w="1620" w:type="dxa"/>
            <w:vAlign w:val="center"/>
          </w:tcPr>
          <w:p w14:paraId="796E21F7" w14:textId="77777777" w:rsidR="00B47896" w:rsidRPr="00050087" w:rsidRDefault="00B47896">
            <w:pPr>
              <w:spacing w:after="0"/>
              <w:jc w:val="center"/>
              <w:rPr>
                <w:szCs w:val="22"/>
              </w:rPr>
            </w:pPr>
            <w:r w:rsidRPr="00050087">
              <w:rPr>
                <w:szCs w:val="22"/>
              </w:rPr>
              <w:t>Good</w:t>
            </w:r>
          </w:p>
        </w:tc>
        <w:tc>
          <w:tcPr>
            <w:tcW w:w="6205" w:type="dxa"/>
          </w:tcPr>
          <w:p w14:paraId="111A091A" w14:textId="4CF8BF47" w:rsidR="00B47896" w:rsidRPr="00050087" w:rsidRDefault="00B47896">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B47896" w:rsidRPr="00050087" w14:paraId="701AD311" w14:textId="77777777">
        <w:trPr>
          <w:trHeight w:val="253"/>
        </w:trPr>
        <w:tc>
          <w:tcPr>
            <w:tcW w:w="1417" w:type="dxa"/>
            <w:vAlign w:val="center"/>
          </w:tcPr>
          <w:p w14:paraId="473BD19C" w14:textId="77777777" w:rsidR="00B47896" w:rsidRPr="00050087" w:rsidRDefault="00B47896">
            <w:pPr>
              <w:spacing w:after="0"/>
              <w:jc w:val="center"/>
              <w:rPr>
                <w:szCs w:val="22"/>
              </w:rPr>
            </w:pPr>
            <w:r>
              <w:rPr>
                <w:szCs w:val="22"/>
              </w:rPr>
              <w:t>85%</w:t>
            </w:r>
          </w:p>
        </w:tc>
        <w:tc>
          <w:tcPr>
            <w:tcW w:w="1620" w:type="dxa"/>
            <w:vAlign w:val="center"/>
          </w:tcPr>
          <w:p w14:paraId="5CE51E5E" w14:textId="77777777" w:rsidR="00B47896" w:rsidRPr="00050087" w:rsidRDefault="00B47896">
            <w:pPr>
              <w:spacing w:after="0"/>
              <w:jc w:val="center"/>
              <w:rPr>
                <w:szCs w:val="22"/>
              </w:rPr>
            </w:pPr>
            <w:r>
              <w:rPr>
                <w:szCs w:val="22"/>
              </w:rPr>
              <w:t>Between Good and Excellent</w:t>
            </w:r>
          </w:p>
        </w:tc>
        <w:tc>
          <w:tcPr>
            <w:tcW w:w="6205" w:type="dxa"/>
          </w:tcPr>
          <w:p w14:paraId="5CCAEE0A" w14:textId="446DAB6A" w:rsidR="00B47896" w:rsidRPr="00050087" w:rsidRDefault="00B47896">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B47896" w:rsidRPr="00050087" w14:paraId="0E069521" w14:textId="77777777">
        <w:trPr>
          <w:trHeight w:val="253"/>
        </w:trPr>
        <w:tc>
          <w:tcPr>
            <w:tcW w:w="1417" w:type="dxa"/>
            <w:vAlign w:val="center"/>
          </w:tcPr>
          <w:p w14:paraId="5020206C" w14:textId="77777777" w:rsidR="00B47896" w:rsidRPr="00050087" w:rsidRDefault="00B47896">
            <w:pPr>
              <w:spacing w:after="0"/>
              <w:jc w:val="center"/>
              <w:rPr>
                <w:szCs w:val="22"/>
              </w:rPr>
            </w:pPr>
            <w:r w:rsidRPr="00050087">
              <w:rPr>
                <w:szCs w:val="22"/>
              </w:rPr>
              <w:t>90%</w:t>
            </w:r>
          </w:p>
        </w:tc>
        <w:tc>
          <w:tcPr>
            <w:tcW w:w="1620" w:type="dxa"/>
            <w:vAlign w:val="center"/>
          </w:tcPr>
          <w:p w14:paraId="7B88A2C7" w14:textId="77777777" w:rsidR="00B47896" w:rsidRPr="00050087" w:rsidRDefault="00B47896">
            <w:pPr>
              <w:spacing w:after="0"/>
              <w:jc w:val="center"/>
              <w:rPr>
                <w:szCs w:val="22"/>
              </w:rPr>
            </w:pPr>
            <w:r w:rsidRPr="00050087">
              <w:rPr>
                <w:szCs w:val="22"/>
              </w:rPr>
              <w:t>Excellent</w:t>
            </w:r>
          </w:p>
        </w:tc>
        <w:tc>
          <w:tcPr>
            <w:tcW w:w="6205" w:type="dxa"/>
          </w:tcPr>
          <w:p w14:paraId="43D99A70" w14:textId="63A4D056" w:rsidR="00B47896" w:rsidRPr="00050087" w:rsidRDefault="00B47896">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B47896" w:rsidRPr="00050087" w14:paraId="6ADC9CDD" w14:textId="77777777">
        <w:trPr>
          <w:trHeight w:val="253"/>
        </w:trPr>
        <w:tc>
          <w:tcPr>
            <w:tcW w:w="1417" w:type="dxa"/>
            <w:vAlign w:val="center"/>
          </w:tcPr>
          <w:p w14:paraId="2D93CFAF" w14:textId="77777777" w:rsidR="00B47896" w:rsidRPr="00050087" w:rsidRDefault="00B47896">
            <w:pPr>
              <w:spacing w:after="0"/>
              <w:jc w:val="center"/>
              <w:rPr>
                <w:szCs w:val="22"/>
              </w:rPr>
            </w:pPr>
            <w:r>
              <w:rPr>
                <w:szCs w:val="22"/>
              </w:rPr>
              <w:t>95%</w:t>
            </w:r>
          </w:p>
        </w:tc>
        <w:tc>
          <w:tcPr>
            <w:tcW w:w="1620" w:type="dxa"/>
            <w:vAlign w:val="center"/>
          </w:tcPr>
          <w:p w14:paraId="1A9324FF" w14:textId="77777777" w:rsidR="00B47896" w:rsidRPr="00050087" w:rsidRDefault="00B47896">
            <w:pPr>
              <w:spacing w:after="0"/>
              <w:jc w:val="center"/>
              <w:rPr>
                <w:szCs w:val="22"/>
              </w:rPr>
            </w:pPr>
            <w:r>
              <w:rPr>
                <w:szCs w:val="22"/>
              </w:rPr>
              <w:t>Between Excellent and Exceptional</w:t>
            </w:r>
          </w:p>
        </w:tc>
        <w:tc>
          <w:tcPr>
            <w:tcW w:w="6205" w:type="dxa"/>
          </w:tcPr>
          <w:p w14:paraId="19FF1BDD" w14:textId="33B5092F" w:rsidR="00B47896" w:rsidRPr="00050087" w:rsidRDefault="00B47896">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B47896" w:rsidRPr="00050087" w14:paraId="68E317A3" w14:textId="77777777">
        <w:trPr>
          <w:trHeight w:val="253"/>
        </w:trPr>
        <w:tc>
          <w:tcPr>
            <w:tcW w:w="1417" w:type="dxa"/>
            <w:vAlign w:val="center"/>
          </w:tcPr>
          <w:p w14:paraId="2C7AB13D" w14:textId="77777777" w:rsidR="00B47896" w:rsidRPr="00050087" w:rsidRDefault="00B47896">
            <w:pPr>
              <w:spacing w:after="0"/>
              <w:jc w:val="center"/>
              <w:rPr>
                <w:szCs w:val="22"/>
              </w:rPr>
            </w:pPr>
            <w:r w:rsidRPr="00050087">
              <w:rPr>
                <w:szCs w:val="22"/>
              </w:rPr>
              <w:lastRenderedPageBreak/>
              <w:t>100%</w:t>
            </w:r>
          </w:p>
        </w:tc>
        <w:tc>
          <w:tcPr>
            <w:tcW w:w="1620" w:type="dxa"/>
            <w:vAlign w:val="center"/>
          </w:tcPr>
          <w:p w14:paraId="79EE3AD0" w14:textId="77777777" w:rsidR="00B47896" w:rsidRPr="00050087" w:rsidRDefault="00B47896">
            <w:pPr>
              <w:spacing w:after="0"/>
              <w:jc w:val="center"/>
              <w:rPr>
                <w:szCs w:val="22"/>
              </w:rPr>
            </w:pPr>
            <w:r w:rsidRPr="00050087">
              <w:rPr>
                <w:szCs w:val="22"/>
              </w:rPr>
              <w:t>Exceptional</w:t>
            </w:r>
          </w:p>
        </w:tc>
        <w:tc>
          <w:tcPr>
            <w:tcW w:w="6205" w:type="dxa"/>
          </w:tcPr>
          <w:p w14:paraId="43532C9B" w14:textId="77777777" w:rsidR="00B47896" w:rsidRPr="00050087" w:rsidRDefault="00B47896">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6B0EC68B" w14:textId="77777777" w:rsidR="00B47896" w:rsidRDefault="00B47896" w:rsidP="00B47896">
      <w:pPr>
        <w:jc w:val="center"/>
        <w:rPr>
          <w:b/>
          <w:caps/>
          <w:u w:val="single"/>
        </w:rPr>
      </w:pPr>
    </w:p>
    <w:p w14:paraId="30E3A5C7" w14:textId="77777777" w:rsidR="00B47896" w:rsidRPr="002F106F" w:rsidRDefault="00B47896" w:rsidP="00B47896">
      <w:pPr>
        <w:jc w:val="center"/>
        <w:rPr>
          <w:b/>
          <w:caps/>
          <w:sz w:val="8"/>
          <w:szCs w:val="8"/>
          <w:u w:val="single"/>
        </w:rPr>
      </w:pPr>
    </w:p>
    <w:p w14:paraId="285B90B2" w14:textId="77777777" w:rsidR="00B47896" w:rsidRDefault="00B47896" w:rsidP="00B47896">
      <w:pPr>
        <w:spacing w:after="0"/>
        <w:jc w:val="center"/>
        <w:rPr>
          <w:b/>
          <w:caps/>
          <w:sz w:val="28"/>
          <w:u w:val="single"/>
        </w:rPr>
      </w:pPr>
      <w:r w:rsidRPr="00C31C1D">
        <w:br w:type="page"/>
      </w:r>
      <w:bookmarkEnd w:id="165"/>
      <w:bookmarkEnd w:id="166"/>
      <w:bookmarkEnd w:id="167"/>
      <w:r w:rsidRPr="003A2FCD">
        <w:rPr>
          <w:b/>
          <w:caps/>
          <w:sz w:val="28"/>
          <w:u w:val="single"/>
        </w:rPr>
        <w:lastRenderedPageBreak/>
        <w:t xml:space="preserve"> </w:t>
      </w:r>
    </w:p>
    <w:p w14:paraId="5BCAC87D" w14:textId="77777777" w:rsidR="00B47896" w:rsidRDefault="00B47896" w:rsidP="00B47896">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D7A5CB9" w14:textId="77777777" w:rsidR="00B47896" w:rsidRPr="00291F8E" w:rsidRDefault="00B47896" w:rsidP="00B47896">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B47896" w:rsidRPr="00734FF3" w14:paraId="7E5E0302" w14:textId="77777777">
        <w:trPr>
          <w:cantSplit/>
          <w:tblHeader/>
        </w:trPr>
        <w:tc>
          <w:tcPr>
            <w:tcW w:w="8365" w:type="dxa"/>
            <w:shd w:val="clear" w:color="auto" w:fill="D9D9D9" w:themeFill="background1" w:themeFillShade="D9"/>
            <w:vAlign w:val="center"/>
          </w:tcPr>
          <w:p w14:paraId="2A43DB9B" w14:textId="77777777" w:rsidR="00B47896" w:rsidRPr="007039F0" w:rsidRDefault="00B47896">
            <w:pPr>
              <w:spacing w:before="60" w:after="60" w:line="360" w:lineRule="auto"/>
              <w:rPr>
                <w:b/>
                <w:sz w:val="22"/>
                <w:szCs w:val="22"/>
              </w:rPr>
            </w:pPr>
            <w:r w:rsidRPr="00CF3BF2">
              <w:rPr>
                <w:b/>
                <w:sz w:val="22"/>
                <w:szCs w:val="24"/>
              </w:rPr>
              <w:t>Screening Criteria</w:t>
            </w:r>
          </w:p>
        </w:tc>
        <w:tc>
          <w:tcPr>
            <w:tcW w:w="1350" w:type="dxa"/>
            <w:shd w:val="clear" w:color="auto" w:fill="D9D9D9" w:themeFill="background1" w:themeFillShade="D9"/>
            <w:vAlign w:val="center"/>
          </w:tcPr>
          <w:p w14:paraId="084C9E35" w14:textId="77777777" w:rsidR="00B47896" w:rsidRPr="007039F0" w:rsidRDefault="00B47896">
            <w:pPr>
              <w:spacing w:before="60" w:after="60"/>
              <w:jc w:val="center"/>
              <w:rPr>
                <w:b/>
                <w:sz w:val="22"/>
                <w:szCs w:val="22"/>
              </w:rPr>
            </w:pPr>
          </w:p>
        </w:tc>
      </w:tr>
      <w:tr w:rsidR="00B47896" w14:paraId="3E6973D7" w14:textId="77777777">
        <w:tc>
          <w:tcPr>
            <w:tcW w:w="8365" w:type="dxa"/>
          </w:tcPr>
          <w:p w14:paraId="77A666EC" w14:textId="77777777" w:rsidR="00B47896" w:rsidRPr="00CF3BF2" w:rsidRDefault="00B47896">
            <w:pPr>
              <w:spacing w:before="120"/>
              <w:ind w:left="360"/>
              <w:rPr>
                <w:b/>
                <w:sz w:val="24"/>
                <w:szCs w:val="24"/>
              </w:rPr>
            </w:pPr>
            <w:r w:rsidRPr="00CF3BF2">
              <w:rPr>
                <w:b/>
                <w:sz w:val="22"/>
                <w:szCs w:val="24"/>
              </w:rPr>
              <w:t>Applicant Past Performance with Energy Commission</w:t>
            </w:r>
          </w:p>
          <w:p w14:paraId="45C76E09" w14:textId="77777777" w:rsidR="00B47896" w:rsidRPr="00CF3BF2" w:rsidRDefault="00B47896">
            <w:pPr>
              <w:spacing w:before="120"/>
              <w:ind w:left="360"/>
              <w:rPr>
                <w:sz w:val="24"/>
                <w:szCs w:val="24"/>
              </w:rPr>
            </w:pPr>
            <w:r w:rsidRPr="00CF3BF2">
              <w:rPr>
                <w:sz w:val="22"/>
                <w:szCs w:val="24"/>
              </w:rPr>
              <w:t xml:space="preserve">The applicant—defined as at least one of the following: the business, principal investigator, or lead individual acting on behalf of themselves—received funds from the Energy Commission (e.g., contract, grant, or loan) and entered into an agreement(s) with the Commission and demonstrated </w:t>
            </w:r>
            <w:r w:rsidRPr="00CF3BF2">
              <w:rPr>
                <w:b/>
                <w:sz w:val="22"/>
                <w:szCs w:val="24"/>
              </w:rPr>
              <w:t xml:space="preserve">severe performance issues </w:t>
            </w:r>
            <w:r w:rsidRPr="00CF3BF2">
              <w:rPr>
                <w:sz w:val="22"/>
                <w:szCs w:val="24"/>
              </w:rPr>
              <w:t>characterized by significant negative outcomes including:</w:t>
            </w:r>
          </w:p>
          <w:p w14:paraId="0ED52451" w14:textId="77777777" w:rsidR="00B47896" w:rsidRPr="00CF3BF2" w:rsidRDefault="00B47896">
            <w:pPr>
              <w:pStyle w:val="ListParagraph"/>
              <w:numPr>
                <w:ilvl w:val="0"/>
                <w:numId w:val="85"/>
              </w:numPr>
              <w:spacing w:after="0"/>
              <w:rPr>
                <w:sz w:val="24"/>
                <w:szCs w:val="24"/>
              </w:rPr>
            </w:pPr>
            <w:r w:rsidRPr="00CF3BF2">
              <w:rPr>
                <w:sz w:val="22"/>
                <w:szCs w:val="24"/>
              </w:rPr>
              <w:t>Significant deviation from agreement requirements;</w:t>
            </w:r>
          </w:p>
          <w:p w14:paraId="21DEF11F" w14:textId="77777777" w:rsidR="00B47896" w:rsidRPr="00CF3BF2" w:rsidRDefault="00B47896">
            <w:pPr>
              <w:pStyle w:val="ListParagraph"/>
              <w:numPr>
                <w:ilvl w:val="0"/>
                <w:numId w:val="85"/>
              </w:numPr>
              <w:spacing w:after="0"/>
              <w:rPr>
                <w:sz w:val="24"/>
                <w:szCs w:val="24"/>
              </w:rPr>
            </w:pPr>
            <w:r w:rsidRPr="00CF3BF2">
              <w:rPr>
                <w:sz w:val="22"/>
                <w:szCs w:val="24"/>
              </w:rPr>
              <w:t>Termination with cause;</w:t>
            </w:r>
          </w:p>
          <w:p w14:paraId="00D506DC" w14:textId="77777777" w:rsidR="00B47896" w:rsidRPr="00CF3BF2" w:rsidRDefault="00B47896">
            <w:pPr>
              <w:pStyle w:val="ListParagraph"/>
              <w:numPr>
                <w:ilvl w:val="0"/>
                <w:numId w:val="85"/>
              </w:numPr>
              <w:spacing w:after="0"/>
              <w:rPr>
                <w:sz w:val="24"/>
                <w:szCs w:val="24"/>
              </w:rPr>
            </w:pPr>
            <w:r w:rsidRPr="00CF3BF2">
              <w:rPr>
                <w:sz w:val="22"/>
                <w:szCs w:val="24"/>
              </w:rPr>
              <w:t xml:space="preserve">Demonstrated poor communication, project management, and/or </w:t>
            </w:r>
            <w:r w:rsidRPr="00CF3BF2">
              <w:rPr>
                <w:color w:val="000000"/>
                <w:sz w:val="22"/>
                <w:szCs w:val="24"/>
                <w:shd w:val="clear" w:color="auto" w:fill="FFFFFF"/>
              </w:rPr>
              <w:t>inability, due to circumstances within its control, from materially completing the project</w:t>
            </w:r>
            <w:r w:rsidRPr="00CF3BF2">
              <w:rPr>
                <w:sz w:val="22"/>
                <w:szCs w:val="24"/>
              </w:rPr>
              <w:t>;</w:t>
            </w:r>
          </w:p>
          <w:p w14:paraId="0774DC2C" w14:textId="77777777" w:rsidR="00B47896" w:rsidRPr="00CF3BF2" w:rsidRDefault="00B47896">
            <w:pPr>
              <w:pStyle w:val="ListParagraph"/>
              <w:numPr>
                <w:ilvl w:val="0"/>
                <w:numId w:val="85"/>
              </w:numPr>
              <w:spacing w:after="0"/>
              <w:rPr>
                <w:sz w:val="24"/>
                <w:szCs w:val="24"/>
              </w:rPr>
            </w:pPr>
            <w:r w:rsidRPr="00CF3BF2">
              <w:rPr>
                <w:sz w:val="22"/>
                <w:szCs w:val="24"/>
              </w:rPr>
              <w:t>Quality issues with deliverables including poorly written final report that prevents publishing; and</w:t>
            </w:r>
          </w:p>
          <w:p w14:paraId="292F4AF2" w14:textId="77777777" w:rsidR="00B47896" w:rsidRPr="00CF3BF2" w:rsidRDefault="00B47896">
            <w:pPr>
              <w:pStyle w:val="ListParagraph"/>
              <w:numPr>
                <w:ilvl w:val="0"/>
                <w:numId w:val="85"/>
              </w:numPr>
              <w:spacing w:after="0"/>
              <w:rPr>
                <w:sz w:val="24"/>
                <w:szCs w:val="24"/>
              </w:rPr>
            </w:pPr>
            <w:r w:rsidRPr="00CF3BF2">
              <w:rPr>
                <w:sz w:val="22"/>
                <w:szCs w:val="24"/>
              </w:rPr>
              <w:t>Severe unresolved negative audit findings.</w:t>
            </w:r>
          </w:p>
          <w:p w14:paraId="165AE56B" w14:textId="77777777" w:rsidR="00B47896" w:rsidRPr="007039F0" w:rsidRDefault="00B47896">
            <w:pPr>
              <w:pStyle w:val="ListParagraph"/>
              <w:spacing w:after="0"/>
              <w:ind w:left="1080"/>
              <w:rPr>
                <w:sz w:val="22"/>
                <w:szCs w:val="22"/>
              </w:rPr>
            </w:pPr>
          </w:p>
        </w:tc>
        <w:tc>
          <w:tcPr>
            <w:tcW w:w="1350" w:type="dxa"/>
          </w:tcPr>
          <w:p w14:paraId="381FFE3E" w14:textId="77777777" w:rsidR="00B47896" w:rsidRPr="007039F0" w:rsidRDefault="00B47896">
            <w:pPr>
              <w:spacing w:before="120"/>
              <w:jc w:val="center"/>
              <w:rPr>
                <w:b/>
                <w:sz w:val="22"/>
                <w:szCs w:val="22"/>
              </w:rPr>
            </w:pPr>
          </w:p>
        </w:tc>
      </w:tr>
      <w:tr w:rsidR="00B47896" w14:paraId="1A0E6433" w14:textId="77777777">
        <w:trPr>
          <w:trHeight w:val="674"/>
        </w:trPr>
        <w:tc>
          <w:tcPr>
            <w:tcW w:w="8365" w:type="dxa"/>
            <w:tcBorders>
              <w:bottom w:val="single" w:sz="4" w:space="0" w:color="auto"/>
            </w:tcBorders>
            <w:shd w:val="clear" w:color="auto" w:fill="D9D9D9" w:themeFill="background1" w:themeFillShade="D9"/>
            <w:vAlign w:val="center"/>
          </w:tcPr>
          <w:p w14:paraId="6E8DE30F" w14:textId="77777777" w:rsidR="00B47896" w:rsidRPr="00CF3BF2" w:rsidRDefault="00B47896">
            <w:pPr>
              <w:spacing w:before="60" w:after="0"/>
              <w:jc w:val="both"/>
              <w:rPr>
                <w:b/>
                <w:sz w:val="22"/>
                <w:szCs w:val="24"/>
              </w:rPr>
            </w:pPr>
            <w:r w:rsidRPr="00CF3BF2">
              <w:rPr>
                <w:b/>
                <w:sz w:val="22"/>
                <w:szCs w:val="24"/>
              </w:rPr>
              <w:t>Must pass to continue with Scoring Criteria</w:t>
            </w:r>
          </w:p>
        </w:tc>
        <w:tc>
          <w:tcPr>
            <w:tcW w:w="1350" w:type="dxa"/>
            <w:tcBorders>
              <w:bottom w:val="single" w:sz="4" w:space="0" w:color="auto"/>
            </w:tcBorders>
            <w:shd w:val="clear" w:color="auto" w:fill="D9D9D9" w:themeFill="background1" w:themeFillShade="D9"/>
            <w:vAlign w:val="center"/>
          </w:tcPr>
          <w:p w14:paraId="544C9C20" w14:textId="77777777" w:rsidR="00B47896" w:rsidRPr="007039F0" w:rsidRDefault="00B47896">
            <w:pPr>
              <w:spacing w:after="0"/>
              <w:jc w:val="center"/>
              <w:rPr>
                <w:b/>
                <w:sz w:val="22"/>
                <w:szCs w:val="22"/>
              </w:rPr>
            </w:pPr>
            <w:r w:rsidRPr="00CF3BF2">
              <w:rPr>
                <w:b/>
                <w:sz w:val="22"/>
                <w:szCs w:val="24"/>
              </w:rPr>
              <w:t>Pass/Fail</w:t>
            </w:r>
          </w:p>
        </w:tc>
      </w:tr>
    </w:tbl>
    <w:p w14:paraId="1987DB7E" w14:textId="77777777" w:rsidR="00BB64AB" w:rsidRDefault="00BB64AB"/>
    <w:tbl>
      <w:tblPr>
        <w:tblStyle w:val="TableGrid"/>
        <w:tblW w:w="97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licitation Application Scoring Criteria "/>
        <w:tblDescription w:val="This table details how applicants will be scored."/>
      </w:tblPr>
      <w:tblGrid>
        <w:gridCol w:w="9715"/>
      </w:tblGrid>
      <w:tr w:rsidR="00B47896" w14:paraId="4A301ADB" w14:textId="77777777" w:rsidTr="005243DB">
        <w:trPr>
          <w:cantSplit/>
          <w:trHeight w:val="2520"/>
        </w:trPr>
        <w:tc>
          <w:tcPr>
            <w:tcW w:w="9715" w:type="dxa"/>
            <w:shd w:val="clear" w:color="auto" w:fill="auto"/>
          </w:tcPr>
          <w:p w14:paraId="28C3C6FA" w14:textId="77777777" w:rsidR="00B47896" w:rsidRPr="007039F0" w:rsidRDefault="00B47896">
            <w:pPr>
              <w:tabs>
                <w:tab w:val="left" w:pos="1530"/>
              </w:tabs>
              <w:jc w:val="both"/>
              <w:rPr>
                <w:b/>
                <w:sz w:val="22"/>
                <w:szCs w:val="22"/>
              </w:rPr>
            </w:pPr>
          </w:p>
          <w:p w14:paraId="79B51D9D" w14:textId="77777777" w:rsidR="00B47896" w:rsidRDefault="00B47896">
            <w:pPr>
              <w:tabs>
                <w:tab w:val="left" w:pos="1530"/>
              </w:tabs>
              <w:jc w:val="center"/>
              <w:rPr>
                <w:b/>
                <w:szCs w:val="24"/>
              </w:rPr>
            </w:pPr>
            <w:r w:rsidRPr="00EA02BA">
              <w:rPr>
                <w:b/>
                <w:caps/>
                <w:sz w:val="28"/>
                <w:u w:val="single"/>
              </w:rPr>
              <w:t>Scoring CRITERIA</w:t>
            </w:r>
          </w:p>
          <w:p w14:paraId="343E041A" w14:textId="11C04545" w:rsidR="00B47896" w:rsidRPr="007039F0" w:rsidRDefault="00B47896">
            <w:pPr>
              <w:spacing w:before="180" w:after="0"/>
              <w:jc w:val="both"/>
              <w:rPr>
                <w:b/>
                <w:sz w:val="22"/>
                <w:szCs w:val="22"/>
              </w:rPr>
            </w:pPr>
            <w:r w:rsidRPr="00CF3BF2">
              <w:rPr>
                <w:b/>
                <w:sz w:val="22"/>
                <w:szCs w:val="24"/>
              </w:rPr>
              <w:t xml:space="preserve">The Project Narrative (Attachment) </w:t>
            </w:r>
            <w:r w:rsidRPr="00CF3BF2">
              <w:rPr>
                <w:sz w:val="22"/>
                <w:szCs w:val="24"/>
              </w:rPr>
              <w:t xml:space="preserve">must respond to each criterion below. The responses must directly relate to the solicitation requirements and focus as stated in the solicitation. Any estimates of energy savings or GHG </w:t>
            </w:r>
            <w:r w:rsidRPr="00C07AFE">
              <w:rPr>
                <w:sz w:val="22"/>
                <w:szCs w:val="22"/>
              </w:rPr>
              <w:t xml:space="preserve">impacts </w:t>
            </w:r>
            <w:r w:rsidR="00C07AFE" w:rsidRPr="005243DB">
              <w:rPr>
                <w:b/>
                <w:bCs/>
                <w:szCs w:val="22"/>
                <w:u w:val="single"/>
              </w:rPr>
              <w:t xml:space="preserve">must </w:t>
            </w:r>
            <w:r w:rsidR="00C94372" w:rsidRPr="005243DB">
              <w:rPr>
                <w:b/>
                <w:bCs/>
                <w:szCs w:val="22"/>
                <w:u w:val="single"/>
              </w:rPr>
              <w:t xml:space="preserve">include citations </w:t>
            </w:r>
            <w:r w:rsidR="00634DD0" w:rsidRPr="005243DB">
              <w:rPr>
                <w:b/>
                <w:bCs/>
                <w:szCs w:val="22"/>
                <w:u w:val="single"/>
              </w:rPr>
              <w:t xml:space="preserve">to the </w:t>
            </w:r>
            <w:r w:rsidR="00C80E58" w:rsidRPr="005243DB">
              <w:rPr>
                <w:b/>
                <w:bCs/>
                <w:szCs w:val="22"/>
                <w:u w:val="single"/>
              </w:rPr>
              <w:t>data sources used to calculate the estimates</w:t>
            </w:r>
            <w:r w:rsidR="00DF454A" w:rsidRPr="005243DB">
              <w:rPr>
                <w:b/>
                <w:bCs/>
                <w:szCs w:val="22"/>
                <w:u w:val="single"/>
              </w:rPr>
              <w:t>.</w:t>
            </w:r>
            <w:r w:rsidR="00DF454A" w:rsidRPr="00C07AFE">
              <w:rPr>
                <w:sz w:val="22"/>
                <w:szCs w:val="22"/>
              </w:rPr>
              <w:t xml:space="preserve"> [</w:t>
            </w:r>
            <w:r w:rsidR="00F80BB8" w:rsidRPr="005243DB">
              <w:rPr>
                <w:strike/>
                <w:szCs w:val="22"/>
              </w:rPr>
              <w:t xml:space="preserve">should </w:t>
            </w:r>
            <w:r w:rsidRPr="005243DB">
              <w:rPr>
                <w:strike/>
                <w:szCs w:val="22"/>
              </w:rPr>
              <w:t>be calculated as specified in the References for Calculating Energy End-Use and GHG Emissions (Attachment), to the extent that the references apply to the proposed project.</w:t>
            </w:r>
            <w:r w:rsidR="00DF454A" w:rsidRPr="00C07AFE">
              <w:rPr>
                <w:sz w:val="22"/>
                <w:szCs w:val="22"/>
              </w:rPr>
              <w:t>]</w:t>
            </w:r>
          </w:p>
        </w:tc>
      </w:tr>
    </w:tbl>
    <w:p w14:paraId="3283335A" w14:textId="77777777" w:rsidR="00B47896" w:rsidRDefault="00B47896" w:rsidP="00B47896">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473"/>
        <w:gridCol w:w="1231"/>
      </w:tblGrid>
      <w:tr w:rsidR="005A002A" w:rsidRPr="00616F23" w14:paraId="0B1E4A28" w14:textId="77777777" w:rsidTr="23DB9A67">
        <w:trPr>
          <w:cantSplit/>
          <w:trHeight w:val="550"/>
          <w:tblHeader/>
        </w:trPr>
        <w:tc>
          <w:tcPr>
            <w:tcW w:w="8545" w:type="dxa"/>
            <w:shd w:val="clear" w:color="auto" w:fill="D9D9D9" w:themeFill="background1" w:themeFillShade="D9"/>
            <w:vAlign w:val="center"/>
          </w:tcPr>
          <w:p w14:paraId="6E55DDD5" w14:textId="77777777" w:rsidR="00B47896" w:rsidRPr="00616F23" w:rsidRDefault="00B47896" w:rsidP="00695A97">
            <w:pPr>
              <w:spacing w:after="0"/>
              <w:jc w:val="both"/>
              <w:rPr>
                <w:b/>
                <w:i/>
                <w:sz w:val="20"/>
              </w:rPr>
            </w:pPr>
            <w:r w:rsidRPr="00616F23">
              <w:rPr>
                <w:b/>
              </w:rPr>
              <w:lastRenderedPageBreak/>
              <w:t>Scoring Criteria</w:t>
            </w:r>
          </w:p>
        </w:tc>
        <w:tc>
          <w:tcPr>
            <w:tcW w:w="1159" w:type="dxa"/>
            <w:shd w:val="clear" w:color="auto" w:fill="D9D9D9" w:themeFill="background1" w:themeFillShade="D9"/>
            <w:vAlign w:val="center"/>
          </w:tcPr>
          <w:p w14:paraId="6F2C21EC" w14:textId="77777777" w:rsidR="00B47896" w:rsidRPr="00616F23" w:rsidRDefault="00B47896" w:rsidP="00695A97">
            <w:pPr>
              <w:spacing w:after="0"/>
              <w:jc w:val="center"/>
              <w:rPr>
                <w:b/>
              </w:rPr>
            </w:pPr>
            <w:r w:rsidRPr="00616F23">
              <w:rPr>
                <w:b/>
              </w:rPr>
              <w:t>Maximum Points</w:t>
            </w:r>
          </w:p>
        </w:tc>
      </w:tr>
      <w:tr w:rsidR="00684B88" w:rsidRPr="00616F23" w14:paraId="6C61AE3E" w14:textId="77777777" w:rsidTr="00842363">
        <w:trPr>
          <w:cantSplit/>
        </w:trPr>
        <w:tc>
          <w:tcPr>
            <w:tcW w:w="8545" w:type="dxa"/>
          </w:tcPr>
          <w:p w14:paraId="240F97E8" w14:textId="679BDD98" w:rsidR="00B47896" w:rsidRPr="00616F23" w:rsidRDefault="00B47896">
            <w:pPr>
              <w:numPr>
                <w:ilvl w:val="0"/>
                <w:numId w:val="49"/>
              </w:numPr>
              <w:spacing w:before="120"/>
              <w:jc w:val="both"/>
              <w:rPr>
                <w:rFonts w:cs="Times New Roman"/>
                <w:b/>
                <w:bCs/>
                <w:smallCaps/>
              </w:rPr>
            </w:pPr>
            <w:bookmarkStart w:id="221" w:name="_Toc366671201"/>
            <w:r w:rsidRPr="00616F23">
              <w:rPr>
                <w:b/>
              </w:rPr>
              <w:t>Technical Merit</w:t>
            </w:r>
            <w:bookmarkEnd w:id="221"/>
            <w:r w:rsidRPr="00616F23">
              <w:rPr>
                <w:b/>
              </w:rPr>
              <w:t xml:space="preserve"> </w:t>
            </w:r>
          </w:p>
          <w:p w14:paraId="05435BAD" w14:textId="77777777" w:rsidR="00B47896" w:rsidRPr="001C0856" w:rsidRDefault="00B47896">
            <w:pPr>
              <w:numPr>
                <w:ilvl w:val="0"/>
                <w:numId w:val="15"/>
              </w:numPr>
              <w:ind w:left="1140"/>
              <w:jc w:val="both"/>
            </w:pPr>
            <w:r w:rsidRPr="001C0856">
              <w:t xml:space="preserve">The proposed project provides a clear and concise description of the technological, scientific knowledge advancement, and/or innovation </w:t>
            </w:r>
            <w:r w:rsidRPr="001C0856">
              <w:rPr>
                <w:szCs w:val="22"/>
              </w:rPr>
              <w:t>that will overcome barriers to achieving the State’s statutory energy goals.</w:t>
            </w:r>
          </w:p>
          <w:p w14:paraId="6A8D7150" w14:textId="77777777" w:rsidR="00B47896" w:rsidRPr="00980388" w:rsidRDefault="00B47896">
            <w:pPr>
              <w:numPr>
                <w:ilvl w:val="0"/>
                <w:numId w:val="15"/>
              </w:numPr>
              <w:ind w:left="1140"/>
              <w:jc w:val="both"/>
            </w:pPr>
            <w:r w:rsidRPr="00596C63">
              <w:t>Describe how the proposed model/tool/study will be used by key stakeholders (e.g. policy-makers, project developers, other researchers, etc.).</w:t>
            </w:r>
          </w:p>
          <w:p w14:paraId="11740A7B" w14:textId="6C14E174" w:rsidR="00B47896" w:rsidRPr="00616F23" w:rsidRDefault="00B47896" w:rsidP="00C5636A">
            <w:pPr>
              <w:numPr>
                <w:ilvl w:val="0"/>
                <w:numId w:val="15"/>
              </w:numPr>
              <w:ind w:left="1140"/>
              <w:jc w:val="both"/>
            </w:pPr>
            <w:r w:rsidRPr="00596C63">
              <w:t>Describes the advantage of the proposed model/tool/study over that currently being used by key stakeholders.</w:t>
            </w:r>
          </w:p>
        </w:tc>
        <w:tc>
          <w:tcPr>
            <w:tcW w:w="1159" w:type="dxa"/>
          </w:tcPr>
          <w:p w14:paraId="2BC2D492" w14:textId="77777777" w:rsidR="00B47896" w:rsidRPr="00616F23" w:rsidRDefault="00B47896">
            <w:pPr>
              <w:spacing w:before="120"/>
              <w:jc w:val="center"/>
              <w:rPr>
                <w:b/>
              </w:rPr>
            </w:pPr>
            <w:r w:rsidRPr="00616F23">
              <w:rPr>
                <w:b/>
              </w:rPr>
              <w:t>15</w:t>
            </w:r>
          </w:p>
        </w:tc>
      </w:tr>
      <w:tr w:rsidR="00684B88" w:rsidRPr="00616F23" w14:paraId="144868E1" w14:textId="77777777" w:rsidTr="00842363">
        <w:trPr>
          <w:cantSplit/>
        </w:trPr>
        <w:tc>
          <w:tcPr>
            <w:tcW w:w="8545" w:type="dxa"/>
          </w:tcPr>
          <w:p w14:paraId="7A666C1E" w14:textId="30F00D78" w:rsidR="00B47896" w:rsidRPr="00AC06F3" w:rsidRDefault="00B47896">
            <w:pPr>
              <w:numPr>
                <w:ilvl w:val="0"/>
                <w:numId w:val="49"/>
              </w:numPr>
              <w:spacing w:before="120"/>
              <w:jc w:val="both"/>
              <w:rPr>
                <w:rFonts w:cs="Times New Roman"/>
                <w:b/>
                <w:bCs/>
                <w:smallCaps/>
              </w:rPr>
            </w:pPr>
            <w:bookmarkStart w:id="222" w:name="_Toc366671202"/>
            <w:r w:rsidRPr="00AC06F3">
              <w:rPr>
                <w:b/>
              </w:rPr>
              <w:t>Technical Approach</w:t>
            </w:r>
            <w:bookmarkEnd w:id="222"/>
            <w:r w:rsidRPr="00AC06F3">
              <w:rPr>
                <w:b/>
              </w:rPr>
              <w:t xml:space="preserve"> </w:t>
            </w:r>
          </w:p>
          <w:p w14:paraId="464EB4CF" w14:textId="77777777" w:rsidR="00B47896" w:rsidRPr="00AC06F3" w:rsidRDefault="00B47896">
            <w:pPr>
              <w:numPr>
                <w:ilvl w:val="0"/>
                <w:numId w:val="86"/>
              </w:numPr>
              <w:ind w:left="1140"/>
              <w:jc w:val="both"/>
            </w:pPr>
            <w:r w:rsidRPr="00AC06F3">
              <w:t xml:space="preserve">Proposal describes the technique, approach, and methods to be used in performing the work described in the Scope of Work. </w:t>
            </w:r>
          </w:p>
          <w:p w14:paraId="547B310E" w14:textId="64CA9086" w:rsidR="00B47896" w:rsidRPr="00AC06F3" w:rsidRDefault="00B47896">
            <w:pPr>
              <w:numPr>
                <w:ilvl w:val="0"/>
                <w:numId w:val="86"/>
              </w:numPr>
              <w:ind w:left="1140"/>
              <w:jc w:val="both"/>
            </w:pPr>
            <w:r w:rsidRPr="00AC06F3">
              <w:t xml:space="preserve">The Scope of Work identifies goals, objectives, and deliverables, details the work to be performed, and aligns with the information presented in </w:t>
            </w:r>
            <w:r w:rsidR="00325FF2" w:rsidRPr="00AC06F3">
              <w:t xml:space="preserve">the </w:t>
            </w:r>
            <w:r w:rsidRPr="00AC06F3">
              <w:t>Project Narrative.</w:t>
            </w:r>
          </w:p>
          <w:p w14:paraId="7F8D4BF6" w14:textId="77777777" w:rsidR="00B47896" w:rsidRPr="00AC06F3" w:rsidRDefault="00B47896">
            <w:pPr>
              <w:numPr>
                <w:ilvl w:val="0"/>
                <w:numId w:val="86"/>
              </w:numPr>
              <w:ind w:left="1140"/>
              <w:jc w:val="both"/>
            </w:pPr>
            <w:r w:rsidRPr="00596C63">
              <w:t>Identifies and discusses factors critical for success, in addition to risks, barriers, and limitations (e.g. loss of demonstration site, key subcontractor, lack of data</w:t>
            </w:r>
            <w:r w:rsidRPr="006D2C5A">
              <w:t xml:space="preserve"> to support a case study analysis</w:t>
            </w:r>
            <w:r w:rsidRPr="00596C63">
              <w:t>).  Provides a plan to address them.</w:t>
            </w:r>
            <w:r w:rsidRPr="006D2C5A">
              <w:rPr>
                <w:shd w:val="clear" w:color="auto" w:fill="E6E6E6"/>
              </w:rPr>
              <w:t xml:space="preserve"> </w:t>
            </w:r>
          </w:p>
          <w:p w14:paraId="6AA82A21" w14:textId="77777777" w:rsidR="00B47896" w:rsidRPr="00AC06F3" w:rsidRDefault="00B47896">
            <w:pPr>
              <w:numPr>
                <w:ilvl w:val="0"/>
                <w:numId w:val="86"/>
              </w:numPr>
              <w:ind w:left="1140"/>
              <w:jc w:val="both"/>
            </w:pPr>
            <w:r w:rsidRPr="00AC06F3">
              <w:t>Discusses the degree to which the proposed work is technically feasible and achievable within the proposed Project Schedule and the key activities schedule in Section I.E.</w:t>
            </w:r>
          </w:p>
          <w:p w14:paraId="7B128F26" w14:textId="243ED55F" w:rsidR="00B47896" w:rsidRPr="00AC06F3" w:rsidRDefault="00B47896" w:rsidP="007039F0">
            <w:pPr>
              <w:numPr>
                <w:ilvl w:val="0"/>
                <w:numId w:val="86"/>
              </w:numPr>
              <w:ind w:left="1140"/>
              <w:jc w:val="both"/>
            </w:pPr>
            <w:r w:rsidRPr="00AC06F3">
              <w:t>Describes the knowledge transfer plan, including how key stakeholders and potential users will be engaged, and the plan to disseminate knowledge of the project’s results to those stakeholders and users.</w:t>
            </w:r>
          </w:p>
          <w:p w14:paraId="305065A7" w14:textId="7B94BCB8" w:rsidR="00B47896" w:rsidRPr="006D2C5A" w:rsidRDefault="00B47896">
            <w:pPr>
              <w:numPr>
                <w:ilvl w:val="0"/>
                <w:numId w:val="86"/>
              </w:numPr>
              <w:ind w:left="1140"/>
              <w:jc w:val="both"/>
              <w:rPr>
                <w:rFonts w:cs="Times New Roman"/>
                <w:b/>
                <w:smallCaps/>
              </w:rPr>
            </w:pPr>
            <w:r w:rsidRPr="00AC06F3">
              <w:t>Provides information described in Section I.C.</w:t>
            </w:r>
            <w:r w:rsidRPr="006D2C5A" w:rsidDel="00520068">
              <w:t xml:space="preserve"> </w:t>
            </w:r>
          </w:p>
        </w:tc>
        <w:tc>
          <w:tcPr>
            <w:tcW w:w="1159" w:type="dxa"/>
          </w:tcPr>
          <w:p w14:paraId="17588A04" w14:textId="77777777" w:rsidR="00B47896" w:rsidRPr="00AC06F3" w:rsidRDefault="00B47896">
            <w:pPr>
              <w:spacing w:before="120"/>
              <w:jc w:val="center"/>
              <w:rPr>
                <w:b/>
              </w:rPr>
            </w:pPr>
            <w:r w:rsidRPr="00AC06F3">
              <w:rPr>
                <w:b/>
              </w:rPr>
              <w:t>25</w:t>
            </w:r>
          </w:p>
          <w:p w14:paraId="3AB386D5" w14:textId="77777777" w:rsidR="00B47896" w:rsidRPr="00AC06F3" w:rsidRDefault="00B47896">
            <w:pPr>
              <w:keepNext/>
              <w:keepLines/>
              <w:spacing w:before="60" w:after="60"/>
              <w:jc w:val="center"/>
              <w:outlineLvl w:val="2"/>
              <w:rPr>
                <w:b/>
                <w:sz w:val="18"/>
                <w:szCs w:val="18"/>
              </w:rPr>
            </w:pPr>
          </w:p>
        </w:tc>
      </w:tr>
      <w:tr w:rsidR="00684B88" w:rsidRPr="00616F23" w14:paraId="66870E31" w14:textId="77777777" w:rsidTr="00842363">
        <w:trPr>
          <w:cantSplit/>
          <w:trHeight w:val="422"/>
        </w:trPr>
        <w:tc>
          <w:tcPr>
            <w:tcW w:w="8545" w:type="dxa"/>
          </w:tcPr>
          <w:p w14:paraId="38EC4EDD" w14:textId="33FCC8F0" w:rsidR="00B47896" w:rsidRPr="00582143" w:rsidRDefault="00B47896">
            <w:pPr>
              <w:numPr>
                <w:ilvl w:val="0"/>
                <w:numId w:val="49"/>
              </w:numPr>
              <w:spacing w:before="120"/>
              <w:jc w:val="both"/>
              <w:rPr>
                <w:rFonts w:cs="Times New Roman"/>
                <w:b/>
                <w:bCs/>
                <w:smallCaps/>
              </w:rPr>
            </w:pPr>
            <w:bookmarkStart w:id="223" w:name="_Toc366671203"/>
            <w:r w:rsidRPr="00582143">
              <w:rPr>
                <w:b/>
              </w:rPr>
              <w:lastRenderedPageBreak/>
              <w:t>Impacts and Benefits for California</w:t>
            </w:r>
            <w:bookmarkEnd w:id="223"/>
            <w:r w:rsidRPr="00582143">
              <w:rPr>
                <w:b/>
              </w:rPr>
              <w:t xml:space="preserve"> IOU Ratepayers </w:t>
            </w:r>
          </w:p>
          <w:p w14:paraId="259FFFB7" w14:textId="77777777" w:rsidR="00B47896" w:rsidRPr="00582143" w:rsidRDefault="00B47896">
            <w:pPr>
              <w:numPr>
                <w:ilvl w:val="0"/>
                <w:numId w:val="17"/>
              </w:numPr>
              <w:spacing w:after="60"/>
              <w:ind w:left="1140"/>
              <w:jc w:val="both"/>
            </w:pPr>
            <w:r w:rsidRPr="00582143">
              <w:t xml:space="preserve">Explains how the proposed project will benefit California Investor-Owned Utility (IOU) ratepayers and provides clear, plausible, and justifiable (quantitative preferred) potential benefits. Estimates the energy benefits including: </w:t>
            </w:r>
          </w:p>
          <w:p w14:paraId="0621CE80" w14:textId="77777777" w:rsidR="00B47896" w:rsidRPr="006D2C5A" w:rsidRDefault="00B47896">
            <w:pPr>
              <w:numPr>
                <w:ilvl w:val="1"/>
                <w:numId w:val="39"/>
              </w:numPr>
              <w:spacing w:after="60"/>
              <w:jc w:val="both"/>
            </w:pPr>
            <w:r w:rsidRPr="00596C63">
              <w:t>annual electricity (EPIC) and thermal savings (PIER NG) (kilowatt-hour and therms), energy cost reductions, peak load reduction and/or shifting, infrastructure resiliency, infrastructure reliability.</w:t>
            </w:r>
          </w:p>
          <w:p w14:paraId="59FBAEC2" w14:textId="77777777" w:rsidR="00B47896" w:rsidRPr="006D2C5A" w:rsidRDefault="00B47896">
            <w:pPr>
              <w:spacing w:after="60"/>
              <w:ind w:left="720"/>
              <w:jc w:val="both"/>
              <w:rPr>
                <w:b/>
              </w:rPr>
            </w:pPr>
            <w:r w:rsidRPr="00596C63">
              <w:rPr>
                <w:b/>
              </w:rPr>
              <w:t>In addition, estimates the non-energy benefits including:</w:t>
            </w:r>
            <w:r w:rsidRPr="006D2C5A">
              <w:rPr>
                <w:b/>
                <w:shd w:val="clear" w:color="auto" w:fill="E6E6E6"/>
              </w:rPr>
              <w:t xml:space="preserve"> </w:t>
            </w:r>
          </w:p>
          <w:p w14:paraId="276C3367" w14:textId="781A1F6B" w:rsidR="00B47896" w:rsidRPr="006D2C5A" w:rsidRDefault="00D23443">
            <w:pPr>
              <w:numPr>
                <w:ilvl w:val="0"/>
                <w:numId w:val="38"/>
              </w:numPr>
              <w:spacing w:after="60"/>
              <w:jc w:val="both"/>
            </w:pPr>
            <w:r w:rsidRPr="00596C63">
              <w:t>GHG</w:t>
            </w:r>
            <w:r w:rsidR="00B47896" w:rsidRPr="00596C63">
              <w:t xml:space="preserve"> emission reductions, air emission reductions (e.g. NOx), water savings and cost reduction, and/or increased safety.</w:t>
            </w:r>
          </w:p>
          <w:p w14:paraId="7CFCB19C" w14:textId="77777777" w:rsidR="00B47896" w:rsidRPr="00582143" w:rsidRDefault="00B47896">
            <w:pPr>
              <w:numPr>
                <w:ilvl w:val="0"/>
                <w:numId w:val="17"/>
              </w:numPr>
              <w:spacing w:after="60"/>
              <w:ind w:left="1140"/>
              <w:jc w:val="both"/>
            </w:pPr>
            <w:r w:rsidRPr="00582143">
              <w:t xml:space="preserve">States the timeframe, assumptions with sources, and calculations for the estimated benefits, and explains their reasonableness. Include baseline or “business as usual” over timeframe. </w:t>
            </w:r>
          </w:p>
          <w:p w14:paraId="4C5D0AC6" w14:textId="77777777" w:rsidR="00B47896" w:rsidRPr="00582143" w:rsidRDefault="00B47896">
            <w:pPr>
              <w:numPr>
                <w:ilvl w:val="0"/>
                <w:numId w:val="17"/>
              </w:numPr>
              <w:spacing w:after="60"/>
              <w:ind w:left="1140"/>
              <w:jc w:val="both"/>
            </w:pPr>
            <w:r w:rsidRPr="00582143">
              <w:t xml:space="preserve">Identifies how outputs of the </w:t>
            </w:r>
            <w:r w:rsidRPr="00596C63">
              <w:t>model/tool/study</w:t>
            </w:r>
            <w:r w:rsidRPr="006D2C5A">
              <w:t xml:space="preserve"> </w:t>
            </w:r>
            <w:r w:rsidRPr="00582143">
              <w:t>will benefit key stakeholders (e.g., streamline planning, help eliminate barriers, stimulate growth of applicable market sectors).</w:t>
            </w:r>
          </w:p>
        </w:tc>
        <w:tc>
          <w:tcPr>
            <w:tcW w:w="1159" w:type="dxa"/>
          </w:tcPr>
          <w:p w14:paraId="28733362" w14:textId="77777777" w:rsidR="00B47896" w:rsidRPr="00582143" w:rsidRDefault="00B47896">
            <w:pPr>
              <w:spacing w:before="120"/>
              <w:jc w:val="center"/>
            </w:pPr>
            <w:r w:rsidRPr="00582143">
              <w:rPr>
                <w:b/>
              </w:rPr>
              <w:t>20</w:t>
            </w:r>
          </w:p>
        </w:tc>
      </w:tr>
      <w:tr w:rsidR="00684B88" w:rsidRPr="00616F23" w14:paraId="6EAD7DA9" w14:textId="77777777" w:rsidTr="00842363">
        <w:trPr>
          <w:cantSplit/>
          <w:trHeight w:val="3248"/>
        </w:trPr>
        <w:tc>
          <w:tcPr>
            <w:tcW w:w="8545" w:type="dxa"/>
          </w:tcPr>
          <w:p w14:paraId="6638549A" w14:textId="276F1591" w:rsidR="00B47896" w:rsidRPr="00616F23" w:rsidRDefault="00B47896">
            <w:pPr>
              <w:numPr>
                <w:ilvl w:val="0"/>
                <w:numId w:val="49"/>
              </w:numPr>
              <w:spacing w:before="120"/>
              <w:jc w:val="both"/>
              <w:rPr>
                <w:rFonts w:cs="Times New Roman"/>
                <w:b/>
                <w:bCs/>
                <w:smallCaps/>
              </w:rPr>
            </w:pPr>
            <w:bookmarkStart w:id="224" w:name="_Toc366671205"/>
            <w:r w:rsidRPr="00616F23">
              <w:rPr>
                <w:b/>
              </w:rPr>
              <w:t>Team Qualifications, Capabilities, and Resources</w:t>
            </w:r>
            <w:bookmarkEnd w:id="224"/>
          </w:p>
          <w:p w14:paraId="1A1279E1" w14:textId="77777777" w:rsidR="00B47896" w:rsidRPr="00616F23" w:rsidRDefault="00B47896">
            <w:pPr>
              <w:ind w:left="720"/>
              <w:jc w:val="both"/>
            </w:pPr>
            <w:r w:rsidRPr="00616F23">
              <w:t xml:space="preserve">Evaluations of ongoing or previous projects </w:t>
            </w:r>
            <w:r>
              <w:t xml:space="preserve">including project performance by applicant and team members </w:t>
            </w:r>
            <w:r w:rsidRPr="00616F23">
              <w:t>will be used in scoring for this criterion.</w:t>
            </w:r>
            <w:r>
              <w:t xml:space="preserve"> This can include contacting references.</w:t>
            </w:r>
          </w:p>
          <w:p w14:paraId="51DA6FB9" w14:textId="77777777" w:rsidR="00B47896" w:rsidRPr="00616F23" w:rsidRDefault="00B47896">
            <w:pPr>
              <w:numPr>
                <w:ilvl w:val="0"/>
                <w:numId w:val="18"/>
              </w:numPr>
              <w:ind w:left="1140"/>
              <w:jc w:val="both"/>
            </w:pPr>
            <w:r w:rsidRPr="00616F23">
              <w:t xml:space="preserve">Identifies credentials of prime and any subcontractor key personnel, including the project manager, principal investigator and technology and knowledge transfer lead </w:t>
            </w:r>
            <w:r w:rsidRPr="00616F23">
              <w:rPr>
                <w:i/>
              </w:rPr>
              <w:t>(include this information in the Project Team Form).</w:t>
            </w:r>
          </w:p>
          <w:p w14:paraId="5A4B526C" w14:textId="77777777" w:rsidR="00B47896" w:rsidRPr="00616F23" w:rsidRDefault="00B47896">
            <w:pPr>
              <w:numPr>
                <w:ilvl w:val="0"/>
                <w:numId w:val="18"/>
              </w:numPr>
              <w:ind w:left="1140"/>
              <w:jc w:val="both"/>
            </w:pPr>
            <w:r w:rsidRPr="00616F23">
              <w:t>Explains the team structure and how various tasks will be managed and coordinated.</w:t>
            </w:r>
          </w:p>
          <w:p w14:paraId="16A5EEA6" w14:textId="77777777" w:rsidR="00B47896" w:rsidRPr="00616F23" w:rsidRDefault="00B47896">
            <w:pPr>
              <w:numPr>
                <w:ilvl w:val="0"/>
                <w:numId w:val="18"/>
              </w:numPr>
              <w:ind w:left="1140"/>
              <w:jc w:val="both"/>
            </w:pPr>
            <w:r w:rsidRPr="00616F23">
              <w:t>Describes the facilities, infrastructure, and resources available that directly support the project.</w:t>
            </w:r>
          </w:p>
          <w:p w14:paraId="76C121FB" w14:textId="77777777" w:rsidR="00B47896" w:rsidRPr="00616F23" w:rsidRDefault="00B47896">
            <w:pPr>
              <w:numPr>
                <w:ilvl w:val="0"/>
                <w:numId w:val="18"/>
              </w:numPr>
              <w:ind w:left="1140"/>
              <w:jc w:val="both"/>
            </w:pPr>
            <w:r w:rsidRPr="00616F23">
              <w:t>Describes the team’s history of successfully completing projects in the past 10 years including subsequent deployments and commercialization.</w:t>
            </w:r>
          </w:p>
        </w:tc>
        <w:tc>
          <w:tcPr>
            <w:tcW w:w="1159" w:type="dxa"/>
          </w:tcPr>
          <w:p w14:paraId="6A41858E" w14:textId="77777777" w:rsidR="00B47896" w:rsidRPr="00616F23" w:rsidRDefault="00B47896">
            <w:pPr>
              <w:spacing w:before="120"/>
              <w:jc w:val="center"/>
              <w:rPr>
                <w:b/>
              </w:rPr>
            </w:pPr>
            <w:r w:rsidRPr="00616F23">
              <w:rPr>
                <w:b/>
              </w:rPr>
              <w:t>15</w:t>
            </w:r>
          </w:p>
        </w:tc>
      </w:tr>
      <w:tr w:rsidR="005A002A" w:rsidRPr="00616F23" w14:paraId="12F823E2" w14:textId="77777777" w:rsidTr="23DB9A67">
        <w:trPr>
          <w:cantSplit/>
          <w:trHeight w:val="485"/>
        </w:trPr>
        <w:tc>
          <w:tcPr>
            <w:tcW w:w="8545" w:type="dxa"/>
            <w:shd w:val="clear" w:color="auto" w:fill="D9D9D9" w:themeFill="background1" w:themeFillShade="D9"/>
          </w:tcPr>
          <w:p w14:paraId="10BABDE0" w14:textId="77777777" w:rsidR="00B47896" w:rsidRPr="00616F23" w:rsidRDefault="00B47896">
            <w:pPr>
              <w:spacing w:before="60" w:after="0"/>
              <w:ind w:left="360"/>
              <w:jc w:val="both"/>
              <w:rPr>
                <w:b/>
              </w:rPr>
            </w:pPr>
            <w:r w:rsidRPr="00616F23">
              <w:rPr>
                <w:b/>
              </w:rPr>
              <w:t xml:space="preserve">Total Possible Points for criteria 1− </w:t>
            </w:r>
            <w:r>
              <w:rPr>
                <w:b/>
              </w:rPr>
              <w:t>4</w:t>
            </w:r>
          </w:p>
          <w:p w14:paraId="6712E90E" w14:textId="72B027EA" w:rsidR="00B47896" w:rsidRPr="00616F23" w:rsidRDefault="00B47896">
            <w:pPr>
              <w:spacing w:after="0"/>
              <w:ind w:left="360"/>
              <w:jc w:val="both"/>
              <w:rPr>
                <w:b/>
              </w:rPr>
            </w:pPr>
            <w:r w:rsidRPr="00616F23">
              <w:rPr>
                <w:b/>
              </w:rPr>
              <w:t xml:space="preserve">(Minimum Passing Score for criteria 1− </w:t>
            </w:r>
            <w:r>
              <w:rPr>
                <w:b/>
              </w:rPr>
              <w:t>4</w:t>
            </w:r>
            <w:r w:rsidRPr="00616F23">
              <w:rPr>
                <w:b/>
              </w:rPr>
              <w:t xml:space="preserve"> is 70</w:t>
            </w:r>
            <w:r w:rsidR="00CE08B4">
              <w:rPr>
                <w:b/>
              </w:rPr>
              <w:t>%</w:t>
            </w:r>
            <w:r w:rsidRPr="00616F23">
              <w:rPr>
                <w:b/>
              </w:rPr>
              <w:t xml:space="preserve"> or </w:t>
            </w:r>
            <w:r>
              <w:rPr>
                <w:b/>
                <w:u w:val="single"/>
              </w:rPr>
              <w:t>52</w:t>
            </w:r>
            <w:r w:rsidRPr="00616F23">
              <w:rPr>
                <w:b/>
                <w:u w:val="single"/>
              </w:rPr>
              <w:t>.</w:t>
            </w:r>
            <w:r>
              <w:rPr>
                <w:b/>
                <w:u w:val="single"/>
              </w:rPr>
              <w:t>5</w:t>
            </w:r>
            <w:r w:rsidRPr="00616F23">
              <w:rPr>
                <w:b/>
                <w:u w:val="single"/>
              </w:rPr>
              <w:t>0</w:t>
            </w:r>
            <w:r w:rsidRPr="00616F23">
              <w:rPr>
                <w:b/>
              </w:rPr>
              <w:t>)</w:t>
            </w:r>
          </w:p>
        </w:tc>
        <w:tc>
          <w:tcPr>
            <w:tcW w:w="1159" w:type="dxa"/>
            <w:shd w:val="clear" w:color="auto" w:fill="D9D9D9" w:themeFill="background1" w:themeFillShade="D9"/>
          </w:tcPr>
          <w:p w14:paraId="5B839E25" w14:textId="77777777" w:rsidR="00B47896" w:rsidRPr="00616F23" w:rsidRDefault="00B47896">
            <w:pPr>
              <w:spacing w:after="0"/>
              <w:jc w:val="both"/>
              <w:rPr>
                <w:b/>
              </w:rPr>
            </w:pPr>
          </w:p>
          <w:p w14:paraId="6356C609" w14:textId="77777777" w:rsidR="00B47896" w:rsidRPr="00616F23" w:rsidRDefault="00B47896">
            <w:pPr>
              <w:jc w:val="center"/>
              <w:rPr>
                <w:b/>
              </w:rPr>
            </w:pPr>
            <w:r>
              <w:rPr>
                <w:b/>
              </w:rPr>
              <w:t>75</w:t>
            </w:r>
          </w:p>
        </w:tc>
      </w:tr>
      <w:tr w:rsidR="006C5201" w:rsidRPr="00616F23" w14:paraId="5DC686DB" w14:textId="77777777" w:rsidTr="00842363">
        <w:trPr>
          <w:cantSplit/>
        </w:trPr>
        <w:tc>
          <w:tcPr>
            <w:tcW w:w="8545" w:type="dxa"/>
            <w:tcBorders>
              <w:bottom w:val="single" w:sz="4" w:space="0" w:color="auto"/>
            </w:tcBorders>
          </w:tcPr>
          <w:p w14:paraId="54855C0F" w14:textId="77777777" w:rsidR="00B47896" w:rsidRPr="00B82D55" w:rsidRDefault="00B47896">
            <w:pPr>
              <w:numPr>
                <w:ilvl w:val="0"/>
                <w:numId w:val="49"/>
              </w:numPr>
              <w:spacing w:before="120"/>
              <w:jc w:val="both"/>
              <w:rPr>
                <w:rFonts w:cs="Times New Roman"/>
                <w:b/>
                <w:bCs/>
                <w:smallCaps/>
              </w:rPr>
            </w:pPr>
            <w:r w:rsidRPr="00B82D55">
              <w:rPr>
                <w:b/>
              </w:rPr>
              <w:lastRenderedPageBreak/>
              <w:t>Budget and Cost-Effectiveness</w:t>
            </w:r>
          </w:p>
          <w:p w14:paraId="1B2985D1" w14:textId="279B09FA" w:rsidR="00B47896" w:rsidRPr="00B82D55" w:rsidRDefault="00B47896">
            <w:pPr>
              <w:numPr>
                <w:ilvl w:val="0"/>
                <w:numId w:val="19"/>
              </w:numPr>
              <w:spacing w:before="120" w:after="0"/>
              <w:ind w:left="1140"/>
              <w:jc w:val="both"/>
            </w:pPr>
            <w:r w:rsidRPr="00B82D55">
              <w:t xml:space="preserve">Budget forms are complete for the applicant and all subcontractors, as </w:t>
            </w:r>
            <w:r w:rsidR="00A9113B" w:rsidRPr="006D2C5A">
              <w:t xml:space="preserve">instructed </w:t>
            </w:r>
            <w:r w:rsidRPr="00B82D55">
              <w:t>in the Budget</w:t>
            </w:r>
            <w:r w:rsidR="00A9113B" w:rsidRPr="00B82D55">
              <w:t xml:space="preserve"> Forms Attachment</w:t>
            </w:r>
            <w:r w:rsidRPr="00B82D55">
              <w:t>.</w:t>
            </w:r>
          </w:p>
          <w:p w14:paraId="22FF58A7" w14:textId="77777777" w:rsidR="00B47896" w:rsidRPr="00B82D55" w:rsidRDefault="00B47896">
            <w:pPr>
              <w:numPr>
                <w:ilvl w:val="0"/>
                <w:numId w:val="19"/>
              </w:numPr>
              <w:spacing w:before="120" w:after="0"/>
              <w:ind w:left="1140"/>
              <w:jc w:val="both"/>
            </w:pPr>
            <w:r w:rsidRPr="00B82D55">
              <w:t>Justifies the reasonableness of the requested funds relative to the project goals, objectives, and tasks.</w:t>
            </w:r>
          </w:p>
          <w:p w14:paraId="38F8BB36" w14:textId="77777777" w:rsidR="00B47896" w:rsidRPr="00B82D55" w:rsidRDefault="00B47896">
            <w:pPr>
              <w:numPr>
                <w:ilvl w:val="0"/>
                <w:numId w:val="19"/>
              </w:numPr>
              <w:spacing w:before="120" w:after="0"/>
              <w:ind w:left="1140"/>
              <w:jc w:val="both"/>
            </w:pPr>
            <w:r w:rsidRPr="00B82D55">
              <w:t>Justifies the reasonableness of direct costs (e.g., labor, fringe benefits, equipment, materials &amp; misc. travel, and subcontractors).</w:t>
            </w:r>
          </w:p>
          <w:p w14:paraId="3932D777" w14:textId="77777777" w:rsidR="00B47896" w:rsidRPr="00B82D55" w:rsidRDefault="00B47896">
            <w:pPr>
              <w:numPr>
                <w:ilvl w:val="0"/>
                <w:numId w:val="19"/>
              </w:numPr>
              <w:spacing w:before="120"/>
              <w:ind w:left="1138"/>
              <w:jc w:val="both"/>
            </w:pPr>
            <w:r w:rsidRPr="00B82D55">
              <w:t xml:space="preserve">Justifies the reasonableness of indirect costs (e.g., overhead, facility charges (e.g., rent, utilities), burdens, subcontractor profit, and other like costs). </w:t>
            </w:r>
          </w:p>
        </w:tc>
        <w:tc>
          <w:tcPr>
            <w:tcW w:w="1159" w:type="dxa"/>
            <w:tcBorders>
              <w:bottom w:val="single" w:sz="4" w:space="0" w:color="auto"/>
            </w:tcBorders>
          </w:tcPr>
          <w:p w14:paraId="6E80C9B1" w14:textId="77777777" w:rsidR="00B47896" w:rsidRPr="00B82D55" w:rsidRDefault="00B47896">
            <w:pPr>
              <w:spacing w:before="120"/>
              <w:jc w:val="center"/>
              <w:rPr>
                <w:b/>
              </w:rPr>
            </w:pPr>
            <w:r w:rsidRPr="00B82D55">
              <w:rPr>
                <w:b/>
              </w:rPr>
              <w:t>10</w:t>
            </w:r>
          </w:p>
        </w:tc>
      </w:tr>
      <w:tr w:rsidR="006C5201" w:rsidRPr="00616F23" w14:paraId="267CE9F9" w14:textId="77777777" w:rsidTr="003C108F">
        <w:trPr>
          <w:cantSplit/>
          <w:trHeight w:val="4112"/>
        </w:trPr>
        <w:tc>
          <w:tcPr>
            <w:tcW w:w="8545" w:type="dxa"/>
            <w:tcBorders>
              <w:top w:val="single" w:sz="4" w:space="0" w:color="auto"/>
              <w:bottom w:val="single" w:sz="4" w:space="0" w:color="auto"/>
            </w:tcBorders>
          </w:tcPr>
          <w:p w14:paraId="24306DA1" w14:textId="77777777" w:rsidR="00B47896" w:rsidRPr="00616F23" w:rsidRDefault="00B47896">
            <w:pPr>
              <w:numPr>
                <w:ilvl w:val="0"/>
                <w:numId w:val="49"/>
              </w:numPr>
              <w:spacing w:before="120"/>
              <w:jc w:val="both"/>
              <w:rPr>
                <w:rFonts w:cs="Times New Roman"/>
                <w:b/>
                <w:bCs/>
                <w:smallCaps/>
              </w:rPr>
            </w:pPr>
            <w:r w:rsidRPr="00616F23">
              <w:rPr>
                <w:b/>
              </w:rPr>
              <w:t>CEC Funds Spent in California</w:t>
            </w:r>
          </w:p>
          <w:p w14:paraId="70EA8CCE" w14:textId="77777777" w:rsidR="00B47896" w:rsidRPr="00616F23" w:rsidRDefault="00B47896">
            <w:pPr>
              <w:tabs>
                <w:tab w:val="left" w:pos="1170"/>
              </w:tabs>
              <w:autoSpaceDE w:val="0"/>
              <w:autoSpaceDN w:val="0"/>
              <w:adjustRightInd w:val="0"/>
              <w:spacing w:after="0"/>
              <w:ind w:left="360"/>
              <w:jc w:val="both"/>
              <w:rPr>
                <w:szCs w:val="22"/>
              </w:rPr>
            </w:pPr>
            <w:r w:rsidRPr="00616F23">
              <w:t>Projects that maximize the spending of CEC funds in California will receive points as indicated in the table below (see CEC Funds Spent in California section for more details).</w:t>
            </w:r>
          </w:p>
          <w:p w14:paraId="7128BA70" w14:textId="77777777" w:rsidR="00B47896" w:rsidRPr="006D2C5A" w:rsidRDefault="00B47896">
            <w:pPr>
              <w:tabs>
                <w:tab w:val="left" w:pos="1170"/>
              </w:tabs>
              <w:autoSpaceDE w:val="0"/>
              <w:autoSpaceDN w:val="0"/>
              <w:adjustRightInd w:val="0"/>
              <w:spacing w:after="0"/>
              <w:jc w:val="center"/>
              <w:rPr>
                <w:sz w:val="16"/>
                <w:szCs w:val="16"/>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503"/>
            </w:tblGrid>
            <w:tr w:rsidR="00B47896" w:rsidRPr="00616F23" w14:paraId="78A20700" w14:textId="77777777" w:rsidTr="006A56CB">
              <w:tc>
                <w:tcPr>
                  <w:tcW w:w="3685" w:type="dxa"/>
                  <w:tcBorders>
                    <w:top w:val="single" w:sz="4" w:space="0" w:color="auto"/>
                    <w:left w:val="single" w:sz="4" w:space="0" w:color="auto"/>
                    <w:bottom w:val="single" w:sz="4" w:space="0" w:color="auto"/>
                    <w:right w:val="single" w:sz="4" w:space="0" w:color="auto"/>
                  </w:tcBorders>
                </w:tcPr>
                <w:p w14:paraId="4285416A" w14:textId="77777777" w:rsidR="00B47896" w:rsidRPr="006A56CB" w:rsidRDefault="00B47896">
                  <w:pPr>
                    <w:widowControl w:val="0"/>
                    <w:spacing w:after="0"/>
                    <w:jc w:val="both"/>
                    <w:rPr>
                      <w:b/>
                      <w:sz w:val="20"/>
                    </w:rPr>
                  </w:pPr>
                  <w:r w:rsidRPr="006A56CB">
                    <w:rPr>
                      <w:b/>
                      <w:sz w:val="20"/>
                    </w:rPr>
                    <w:t>Percentage of CEC funds spent in CA vs Total CEC funds requested</w:t>
                  </w:r>
                </w:p>
                <w:p w14:paraId="0D2B5A8D" w14:textId="69918B83"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(derived from budget Attachment)</w:t>
                  </w:r>
                </w:p>
              </w:tc>
              <w:tc>
                <w:tcPr>
                  <w:tcW w:w="3503" w:type="dxa"/>
                  <w:tcBorders>
                    <w:top w:val="single" w:sz="4" w:space="0" w:color="auto"/>
                    <w:left w:val="single" w:sz="4" w:space="0" w:color="auto"/>
                    <w:bottom w:val="single" w:sz="4" w:space="0" w:color="auto"/>
                    <w:right w:val="single" w:sz="4" w:space="0" w:color="auto"/>
                  </w:tcBorders>
                </w:tcPr>
                <w:p w14:paraId="533D7AEF" w14:textId="77777777" w:rsidR="00B47896" w:rsidRPr="00616F23" w:rsidRDefault="00B47896">
                  <w:pPr>
                    <w:widowControl w:val="0"/>
                    <w:tabs>
                      <w:tab w:val="left" w:pos="1170"/>
                    </w:tabs>
                    <w:autoSpaceDE w:val="0"/>
                    <w:autoSpaceDN w:val="0"/>
                    <w:adjustRightInd w:val="0"/>
                    <w:spacing w:after="0"/>
                    <w:jc w:val="both"/>
                    <w:rPr>
                      <w:sz w:val="18"/>
                      <w:szCs w:val="18"/>
                    </w:rPr>
                  </w:pPr>
                  <w:r w:rsidRPr="006A56CB">
                    <w:rPr>
                      <w:b/>
                      <w:sz w:val="20"/>
                    </w:rPr>
                    <w:t>Percentage of Possible Points</w:t>
                  </w:r>
                </w:p>
              </w:tc>
            </w:tr>
            <w:tr w:rsidR="00B47896" w:rsidRPr="00616F23" w14:paraId="3DFD36FA" w14:textId="77777777" w:rsidTr="006A56CB">
              <w:tc>
                <w:tcPr>
                  <w:tcW w:w="3685" w:type="dxa"/>
                  <w:tcBorders>
                    <w:top w:val="single" w:sz="4" w:space="0" w:color="auto"/>
                    <w:left w:val="single" w:sz="4" w:space="0" w:color="auto"/>
                    <w:bottom w:val="single" w:sz="4" w:space="0" w:color="auto"/>
                    <w:right w:val="single" w:sz="4" w:space="0" w:color="auto"/>
                  </w:tcBorders>
                </w:tcPr>
                <w:p w14:paraId="7AF38594"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3503" w:type="dxa"/>
                  <w:tcBorders>
                    <w:top w:val="single" w:sz="4" w:space="0" w:color="auto"/>
                    <w:left w:val="single" w:sz="4" w:space="0" w:color="auto"/>
                    <w:bottom w:val="single" w:sz="4" w:space="0" w:color="auto"/>
                    <w:right w:val="single" w:sz="4" w:space="0" w:color="auto"/>
                  </w:tcBorders>
                </w:tcPr>
                <w:p w14:paraId="6B588542"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20%</w:t>
                  </w:r>
                </w:p>
              </w:tc>
            </w:tr>
            <w:tr w:rsidR="00B47896" w:rsidRPr="00616F23" w14:paraId="18032442" w14:textId="77777777" w:rsidTr="006A56CB">
              <w:tc>
                <w:tcPr>
                  <w:tcW w:w="3685" w:type="dxa"/>
                  <w:tcBorders>
                    <w:top w:val="single" w:sz="4" w:space="0" w:color="auto"/>
                    <w:left w:val="single" w:sz="4" w:space="0" w:color="auto"/>
                    <w:bottom w:val="single" w:sz="4" w:space="0" w:color="auto"/>
                    <w:right w:val="single" w:sz="4" w:space="0" w:color="auto"/>
                  </w:tcBorders>
                </w:tcPr>
                <w:p w14:paraId="3632F45B"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3503" w:type="dxa"/>
                  <w:tcBorders>
                    <w:top w:val="single" w:sz="4" w:space="0" w:color="auto"/>
                    <w:left w:val="single" w:sz="4" w:space="0" w:color="auto"/>
                    <w:bottom w:val="single" w:sz="4" w:space="0" w:color="auto"/>
                    <w:right w:val="single" w:sz="4" w:space="0" w:color="auto"/>
                  </w:tcBorders>
                </w:tcPr>
                <w:p w14:paraId="5BD5113C"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30%</w:t>
                  </w:r>
                </w:p>
              </w:tc>
            </w:tr>
            <w:tr w:rsidR="00B47896" w:rsidRPr="00616F23" w14:paraId="1000E05B" w14:textId="77777777" w:rsidTr="006A56CB">
              <w:tc>
                <w:tcPr>
                  <w:tcW w:w="3685" w:type="dxa"/>
                  <w:tcBorders>
                    <w:top w:val="single" w:sz="4" w:space="0" w:color="auto"/>
                    <w:left w:val="single" w:sz="4" w:space="0" w:color="auto"/>
                    <w:bottom w:val="single" w:sz="4" w:space="0" w:color="auto"/>
                    <w:right w:val="single" w:sz="4" w:space="0" w:color="auto"/>
                  </w:tcBorders>
                </w:tcPr>
                <w:p w14:paraId="4B92BC50"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3503" w:type="dxa"/>
                  <w:tcBorders>
                    <w:top w:val="single" w:sz="4" w:space="0" w:color="auto"/>
                    <w:left w:val="single" w:sz="4" w:space="0" w:color="auto"/>
                    <w:bottom w:val="single" w:sz="4" w:space="0" w:color="auto"/>
                    <w:right w:val="single" w:sz="4" w:space="0" w:color="auto"/>
                  </w:tcBorders>
                </w:tcPr>
                <w:p w14:paraId="574F15B7"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40%</w:t>
                  </w:r>
                </w:p>
              </w:tc>
            </w:tr>
            <w:tr w:rsidR="00B47896" w:rsidRPr="00616F23" w14:paraId="28C6AD59" w14:textId="77777777" w:rsidTr="006A56CB">
              <w:tc>
                <w:tcPr>
                  <w:tcW w:w="3685" w:type="dxa"/>
                  <w:tcBorders>
                    <w:top w:val="single" w:sz="4" w:space="0" w:color="auto"/>
                    <w:left w:val="single" w:sz="4" w:space="0" w:color="auto"/>
                    <w:bottom w:val="single" w:sz="4" w:space="0" w:color="auto"/>
                    <w:right w:val="single" w:sz="4" w:space="0" w:color="auto"/>
                  </w:tcBorders>
                </w:tcPr>
                <w:p w14:paraId="0CABB27E"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3503" w:type="dxa"/>
                  <w:tcBorders>
                    <w:top w:val="single" w:sz="4" w:space="0" w:color="auto"/>
                    <w:left w:val="single" w:sz="4" w:space="0" w:color="auto"/>
                    <w:bottom w:val="single" w:sz="4" w:space="0" w:color="auto"/>
                    <w:right w:val="single" w:sz="4" w:space="0" w:color="auto"/>
                  </w:tcBorders>
                </w:tcPr>
                <w:p w14:paraId="31EB3E6D"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50%</w:t>
                  </w:r>
                </w:p>
              </w:tc>
            </w:tr>
            <w:tr w:rsidR="00B47896" w:rsidRPr="00616F23" w14:paraId="46EC70E4" w14:textId="77777777" w:rsidTr="006A56CB">
              <w:tc>
                <w:tcPr>
                  <w:tcW w:w="3685" w:type="dxa"/>
                  <w:tcBorders>
                    <w:top w:val="single" w:sz="4" w:space="0" w:color="auto"/>
                    <w:left w:val="single" w:sz="4" w:space="0" w:color="auto"/>
                    <w:bottom w:val="single" w:sz="4" w:space="0" w:color="auto"/>
                    <w:right w:val="single" w:sz="4" w:space="0" w:color="auto"/>
                  </w:tcBorders>
                </w:tcPr>
                <w:p w14:paraId="68F4E953"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3503" w:type="dxa"/>
                  <w:tcBorders>
                    <w:top w:val="single" w:sz="4" w:space="0" w:color="auto"/>
                    <w:left w:val="single" w:sz="4" w:space="0" w:color="auto"/>
                    <w:bottom w:val="single" w:sz="4" w:space="0" w:color="auto"/>
                    <w:right w:val="single" w:sz="4" w:space="0" w:color="auto"/>
                  </w:tcBorders>
                </w:tcPr>
                <w:p w14:paraId="16A8059F"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60%</w:t>
                  </w:r>
                </w:p>
              </w:tc>
            </w:tr>
            <w:tr w:rsidR="00B47896" w:rsidRPr="00616F23" w14:paraId="3114AFA7" w14:textId="77777777" w:rsidTr="006A56CB">
              <w:tc>
                <w:tcPr>
                  <w:tcW w:w="3685" w:type="dxa"/>
                  <w:tcBorders>
                    <w:top w:val="single" w:sz="4" w:space="0" w:color="auto"/>
                    <w:left w:val="single" w:sz="4" w:space="0" w:color="auto"/>
                    <w:bottom w:val="single" w:sz="4" w:space="0" w:color="auto"/>
                    <w:right w:val="single" w:sz="4" w:space="0" w:color="auto"/>
                  </w:tcBorders>
                </w:tcPr>
                <w:p w14:paraId="77B3A348"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3503" w:type="dxa"/>
                  <w:tcBorders>
                    <w:top w:val="single" w:sz="4" w:space="0" w:color="auto"/>
                    <w:left w:val="single" w:sz="4" w:space="0" w:color="auto"/>
                    <w:bottom w:val="single" w:sz="4" w:space="0" w:color="auto"/>
                    <w:right w:val="single" w:sz="4" w:space="0" w:color="auto"/>
                  </w:tcBorders>
                </w:tcPr>
                <w:p w14:paraId="418BF3CC"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70%</w:t>
                  </w:r>
                </w:p>
              </w:tc>
            </w:tr>
            <w:tr w:rsidR="00B47896" w:rsidRPr="00616F23" w14:paraId="488DC96D" w14:textId="77777777" w:rsidTr="006A56CB">
              <w:tc>
                <w:tcPr>
                  <w:tcW w:w="3685" w:type="dxa"/>
                  <w:tcBorders>
                    <w:top w:val="single" w:sz="4" w:space="0" w:color="auto"/>
                    <w:left w:val="single" w:sz="4" w:space="0" w:color="auto"/>
                    <w:bottom w:val="single" w:sz="4" w:space="0" w:color="auto"/>
                    <w:right w:val="single" w:sz="4" w:space="0" w:color="auto"/>
                  </w:tcBorders>
                </w:tcPr>
                <w:p w14:paraId="01A36BA5"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3503" w:type="dxa"/>
                  <w:tcBorders>
                    <w:top w:val="single" w:sz="4" w:space="0" w:color="auto"/>
                    <w:left w:val="single" w:sz="4" w:space="0" w:color="auto"/>
                    <w:bottom w:val="single" w:sz="4" w:space="0" w:color="auto"/>
                    <w:right w:val="single" w:sz="4" w:space="0" w:color="auto"/>
                  </w:tcBorders>
                </w:tcPr>
                <w:p w14:paraId="7565417A"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80%</w:t>
                  </w:r>
                </w:p>
              </w:tc>
            </w:tr>
            <w:tr w:rsidR="00B47896" w:rsidRPr="00616F23" w14:paraId="13479E59" w14:textId="77777777" w:rsidTr="006A56CB">
              <w:tc>
                <w:tcPr>
                  <w:tcW w:w="3685" w:type="dxa"/>
                  <w:tcBorders>
                    <w:top w:val="single" w:sz="4" w:space="0" w:color="auto"/>
                    <w:left w:val="single" w:sz="4" w:space="0" w:color="auto"/>
                    <w:bottom w:val="single" w:sz="4" w:space="0" w:color="auto"/>
                    <w:right w:val="single" w:sz="4" w:space="0" w:color="auto"/>
                  </w:tcBorders>
                </w:tcPr>
                <w:p w14:paraId="02753364"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3503" w:type="dxa"/>
                  <w:tcBorders>
                    <w:top w:val="single" w:sz="4" w:space="0" w:color="auto"/>
                    <w:left w:val="single" w:sz="4" w:space="0" w:color="auto"/>
                    <w:bottom w:val="single" w:sz="4" w:space="0" w:color="auto"/>
                    <w:right w:val="single" w:sz="4" w:space="0" w:color="auto"/>
                  </w:tcBorders>
                </w:tcPr>
                <w:p w14:paraId="6541402B"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90%</w:t>
                  </w:r>
                </w:p>
              </w:tc>
            </w:tr>
            <w:tr w:rsidR="00B47896" w:rsidRPr="00616F23" w14:paraId="13591470" w14:textId="77777777" w:rsidTr="006A56CB">
              <w:tc>
                <w:tcPr>
                  <w:tcW w:w="3685" w:type="dxa"/>
                  <w:tcBorders>
                    <w:top w:val="single" w:sz="4" w:space="0" w:color="auto"/>
                    <w:left w:val="single" w:sz="4" w:space="0" w:color="auto"/>
                    <w:bottom w:val="single" w:sz="4" w:space="0" w:color="auto"/>
                    <w:right w:val="single" w:sz="4" w:space="0" w:color="auto"/>
                  </w:tcBorders>
                </w:tcPr>
                <w:p w14:paraId="3D9275F4"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3503" w:type="dxa"/>
                  <w:tcBorders>
                    <w:top w:val="single" w:sz="4" w:space="0" w:color="auto"/>
                    <w:left w:val="single" w:sz="4" w:space="0" w:color="auto"/>
                    <w:bottom w:val="single" w:sz="4" w:space="0" w:color="auto"/>
                    <w:right w:val="single" w:sz="4" w:space="0" w:color="auto"/>
                  </w:tcBorders>
                </w:tcPr>
                <w:p w14:paraId="36C3DF44" w14:textId="77777777" w:rsidR="00B47896" w:rsidRPr="00616F23" w:rsidRDefault="00B47896">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5B71D345" w14:textId="206796B8" w:rsidR="00B47896" w:rsidRPr="00616F23" w:rsidRDefault="00B47896">
            <w:pPr>
              <w:spacing w:after="0"/>
              <w:ind w:left="360"/>
              <w:jc w:val="both"/>
              <w:rPr>
                <w:b/>
              </w:rPr>
            </w:pPr>
          </w:p>
        </w:tc>
        <w:tc>
          <w:tcPr>
            <w:tcW w:w="1159" w:type="dxa"/>
            <w:tcBorders>
              <w:top w:val="single" w:sz="4" w:space="0" w:color="auto"/>
              <w:bottom w:val="single" w:sz="4" w:space="0" w:color="auto"/>
            </w:tcBorders>
          </w:tcPr>
          <w:p w14:paraId="38C2DBF4" w14:textId="77777777" w:rsidR="00B47896" w:rsidRPr="00616F23" w:rsidRDefault="00B47896">
            <w:pPr>
              <w:spacing w:before="120"/>
              <w:jc w:val="center"/>
              <w:rPr>
                <w:b/>
              </w:rPr>
            </w:pPr>
            <w:r w:rsidRPr="00616F23">
              <w:rPr>
                <w:b/>
              </w:rPr>
              <w:t>10</w:t>
            </w:r>
          </w:p>
        </w:tc>
      </w:tr>
      <w:tr w:rsidR="00537064" w:rsidRPr="00616F23" w14:paraId="28D93E63" w14:textId="77777777" w:rsidTr="00842363">
        <w:trPr>
          <w:cantSplit/>
        </w:trPr>
        <w:tc>
          <w:tcPr>
            <w:tcW w:w="8545" w:type="dxa"/>
            <w:tcBorders>
              <w:top w:val="single" w:sz="4" w:space="0" w:color="auto"/>
              <w:bottom w:val="single" w:sz="4" w:space="0" w:color="auto"/>
            </w:tcBorders>
          </w:tcPr>
          <w:p w14:paraId="2128B021" w14:textId="77777777" w:rsidR="00B47896" w:rsidRPr="00D94F44" w:rsidRDefault="00B47896">
            <w:pPr>
              <w:numPr>
                <w:ilvl w:val="0"/>
                <w:numId w:val="49"/>
              </w:numPr>
              <w:spacing w:before="120"/>
              <w:jc w:val="both"/>
              <w:rPr>
                <w:rFonts w:cs="Times New Roman"/>
                <w:b/>
                <w:bCs/>
                <w:smallCaps/>
              </w:rPr>
            </w:pPr>
            <w:r w:rsidRPr="00D94F44">
              <w:rPr>
                <w:b/>
              </w:rPr>
              <w:lastRenderedPageBreak/>
              <w:t>Ratio of Direct Labor to Indirect Costs</w:t>
            </w:r>
          </w:p>
          <w:p w14:paraId="30F99E15" w14:textId="77777777" w:rsidR="00B47896" w:rsidRPr="00D94F44" w:rsidRDefault="00B47896">
            <w:pPr>
              <w:spacing w:before="120"/>
              <w:ind w:left="330"/>
              <w:jc w:val="both"/>
            </w:pPr>
            <w:r w:rsidRPr="00D94F44">
              <w:t>The score for this criterion will be calculated by the following formula:</w:t>
            </w:r>
          </w:p>
          <w:p w14:paraId="73325907" w14:textId="77777777" w:rsidR="00B47896" w:rsidRPr="00D94F44" w:rsidRDefault="00B47896">
            <w:pPr>
              <w:spacing w:before="120"/>
              <w:ind w:left="330"/>
              <w:jc w:val="center"/>
            </w:pPr>
          </w:p>
          <w:p w14:paraId="6D8E53BB" w14:textId="77777777" w:rsidR="00B47896" w:rsidRPr="00D94F44" w:rsidRDefault="0025457A">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187A25E0" w14:textId="77777777" w:rsidR="008104CE" w:rsidRPr="00D94F44" w:rsidRDefault="008104CE">
            <w:pPr>
              <w:spacing w:before="120"/>
              <w:ind w:left="330"/>
              <w:jc w:val="both"/>
              <w:rPr>
                <w:sz w:val="16"/>
                <w:szCs w:val="16"/>
              </w:rPr>
            </w:pPr>
          </w:p>
          <w:p w14:paraId="082F263F" w14:textId="05DD5E5F" w:rsidR="00B47896" w:rsidRPr="00D94F44" w:rsidRDefault="00B47896">
            <w:pPr>
              <w:spacing w:before="120"/>
              <w:ind w:left="330"/>
              <w:jc w:val="both"/>
            </w:pPr>
            <w:r w:rsidRPr="00D94F44">
              <w:t>This ratio will then be multiplied by the maximum possible points for this criterion and rounded to two decimal places.</w:t>
            </w:r>
          </w:p>
          <w:p w14:paraId="13DAF55D" w14:textId="77777777" w:rsidR="00B47896" w:rsidRPr="00D94F44" w:rsidRDefault="00B47896">
            <w:pPr>
              <w:spacing w:before="120"/>
              <w:ind w:left="330"/>
              <w:jc w:val="both"/>
            </w:pPr>
            <w:r w:rsidRPr="00D94F44">
              <w:t>NOTE: For the purposes of this criterion, the CEC will include the facility charges (e.g., rent, utilities, etc.), burdens and other like costs that are budgeted as direct costs into the indirect costs in the formula.</w:t>
            </w:r>
          </w:p>
          <w:p w14:paraId="5203A648" w14:textId="77777777" w:rsidR="00B47896" w:rsidRPr="006D2C5A" w:rsidRDefault="00B47896">
            <w:pPr>
              <w:spacing w:before="120"/>
              <w:ind w:left="330"/>
              <w:jc w:val="both"/>
            </w:pPr>
            <w:r w:rsidRPr="003D54D5">
              <w:t>NOTE: The formula will be calculated based on the Direct Labor, Fringe Benefits, Indirect Costs and Profit amounts listed in the Budget Attachments for the Applicant and its major subcontractors and ONLY includes CEC funds amounts, not match funds.</w:t>
            </w:r>
          </w:p>
          <w:p w14:paraId="710F0C84" w14:textId="3E69E1F1" w:rsidR="00B47896" w:rsidRPr="00D94F44" w:rsidRDefault="00B47896">
            <w:pPr>
              <w:spacing w:before="120"/>
              <w:ind w:left="330"/>
              <w:jc w:val="both"/>
            </w:pPr>
            <w:r w:rsidRPr="003D54D5">
              <w:t>NOTE: In the event that the Applicant and its major subcontractors’ Budget Attachments have a zero value ($0) total for Direct Labor, or it is covered entirely with match funds, the combined total of the Applicants’ and major subcontractors’ CEC funds amounts from the Travel, Equipment, and Materials &amp; Miscellaneous budget categories will be substituted for the Total Direct Labor amount in the formula above.</w:t>
            </w:r>
          </w:p>
        </w:tc>
        <w:tc>
          <w:tcPr>
            <w:tcW w:w="1159" w:type="dxa"/>
            <w:tcBorders>
              <w:top w:val="single" w:sz="4" w:space="0" w:color="auto"/>
              <w:bottom w:val="single" w:sz="4" w:space="0" w:color="auto"/>
            </w:tcBorders>
          </w:tcPr>
          <w:p w14:paraId="69602786" w14:textId="77777777" w:rsidR="00B47896" w:rsidRPr="00D94F44" w:rsidRDefault="00B47896">
            <w:pPr>
              <w:spacing w:before="120"/>
              <w:jc w:val="center"/>
              <w:rPr>
                <w:b/>
              </w:rPr>
            </w:pPr>
            <w:r w:rsidRPr="00D94F44">
              <w:rPr>
                <w:b/>
              </w:rPr>
              <w:t>5</w:t>
            </w:r>
          </w:p>
        </w:tc>
      </w:tr>
      <w:tr w:rsidR="0015001C" w:rsidRPr="00616F23" w14:paraId="5F04D71A" w14:textId="77777777" w:rsidTr="23DB9A67">
        <w:trPr>
          <w:cantSplit/>
          <w:trHeight w:val="638"/>
        </w:trPr>
        <w:tc>
          <w:tcPr>
            <w:tcW w:w="8545" w:type="dxa"/>
            <w:tcBorders>
              <w:top w:val="single" w:sz="4" w:space="0" w:color="auto"/>
              <w:bottom w:val="single" w:sz="4" w:space="0" w:color="auto"/>
            </w:tcBorders>
            <w:shd w:val="clear" w:color="auto" w:fill="D9D9D9" w:themeFill="background1" w:themeFillShade="D9"/>
          </w:tcPr>
          <w:p w14:paraId="313B155C" w14:textId="77777777" w:rsidR="00B47896" w:rsidRPr="00616F23" w:rsidRDefault="00B47896">
            <w:pPr>
              <w:spacing w:before="120" w:after="0"/>
              <w:jc w:val="both"/>
              <w:rPr>
                <w:b/>
              </w:rPr>
            </w:pPr>
            <w:r w:rsidRPr="00616F23">
              <w:rPr>
                <w:b/>
              </w:rPr>
              <w:t>Total Possible Points</w:t>
            </w:r>
          </w:p>
          <w:p w14:paraId="42AF4982" w14:textId="4ED1C4E2" w:rsidR="00B47896" w:rsidRPr="00616F23" w:rsidRDefault="00B47896">
            <w:pPr>
              <w:jc w:val="both"/>
              <w:rPr>
                <w:b/>
              </w:rPr>
            </w:pPr>
            <w:r w:rsidRPr="00616F23">
              <w:rPr>
                <w:b/>
              </w:rPr>
              <w:t xml:space="preserve">(Minimum Passing Score for Criteria 1 – </w:t>
            </w:r>
            <w:r>
              <w:rPr>
                <w:b/>
              </w:rPr>
              <w:t>7</w:t>
            </w:r>
            <w:r w:rsidRPr="00616F23">
              <w:rPr>
                <w:b/>
              </w:rPr>
              <w:t xml:space="preserve"> is 70</w:t>
            </w:r>
            <w:r w:rsidR="003A11DA">
              <w:rPr>
                <w:b/>
              </w:rPr>
              <w:t>%</w:t>
            </w:r>
            <w:r w:rsidRPr="00616F23">
              <w:rPr>
                <w:b/>
              </w:rPr>
              <w:t xml:space="preserve"> or </w:t>
            </w:r>
            <w:r>
              <w:rPr>
                <w:b/>
                <w:u w:val="single"/>
              </w:rPr>
              <w:t>7</w:t>
            </w:r>
            <w:r w:rsidRPr="00616F23">
              <w:rPr>
                <w:b/>
                <w:u w:val="single"/>
              </w:rPr>
              <w:t>0.</w:t>
            </w:r>
            <w:r>
              <w:rPr>
                <w:b/>
                <w:u w:val="single"/>
              </w:rPr>
              <w:t>00</w:t>
            </w:r>
            <w:r w:rsidRPr="00616F23">
              <w:rPr>
                <w:b/>
              </w:rPr>
              <w:t>)</w:t>
            </w:r>
          </w:p>
        </w:tc>
        <w:tc>
          <w:tcPr>
            <w:tcW w:w="1159" w:type="dxa"/>
            <w:tcBorders>
              <w:top w:val="single" w:sz="4" w:space="0" w:color="auto"/>
              <w:bottom w:val="single" w:sz="4" w:space="0" w:color="auto"/>
            </w:tcBorders>
            <w:shd w:val="clear" w:color="auto" w:fill="D9D9D9" w:themeFill="background1" w:themeFillShade="D9"/>
            <w:vAlign w:val="center"/>
          </w:tcPr>
          <w:p w14:paraId="7B1490D3" w14:textId="77777777" w:rsidR="00B47896" w:rsidRPr="00616F23" w:rsidRDefault="00B47896">
            <w:pPr>
              <w:jc w:val="center"/>
              <w:rPr>
                <w:b/>
              </w:rPr>
            </w:pPr>
            <w:r w:rsidRPr="00616F23">
              <w:rPr>
                <w:b/>
              </w:rPr>
              <w:t>1</w:t>
            </w:r>
            <w:r>
              <w:rPr>
                <w:b/>
              </w:rPr>
              <w:t>00</w:t>
            </w:r>
          </w:p>
        </w:tc>
      </w:tr>
      <w:tr w:rsidR="005A002A" w:rsidRPr="00616F23" w14:paraId="69C24A43" w14:textId="77777777" w:rsidTr="23DB9A67">
        <w:trPr>
          <w:cantSplit/>
          <w:trHeight w:val="683"/>
        </w:trPr>
        <w:tc>
          <w:tcPr>
            <w:tcW w:w="9704" w:type="dxa"/>
            <w:gridSpan w:val="2"/>
            <w:tcBorders>
              <w:top w:val="single" w:sz="4" w:space="0" w:color="auto"/>
            </w:tcBorders>
            <w:shd w:val="clear" w:color="auto" w:fill="D9D9D9" w:themeFill="background1" w:themeFillShade="D9"/>
            <w:vAlign w:val="center"/>
          </w:tcPr>
          <w:p w14:paraId="0910EF8B" w14:textId="758DCB5F" w:rsidR="00B47896" w:rsidRPr="00616F23" w:rsidRDefault="00B47896">
            <w:pPr>
              <w:spacing w:after="0"/>
              <w:jc w:val="both"/>
              <w:rPr>
                <w:b/>
                <w:szCs w:val="22"/>
              </w:rPr>
            </w:pPr>
            <w:r w:rsidRPr="00616F23">
              <w:rPr>
                <w:b/>
                <w:sz w:val="24"/>
                <w:szCs w:val="22"/>
              </w:rPr>
              <w:t xml:space="preserve">Preference Points </w:t>
            </w:r>
            <w:r w:rsidRPr="00616F23">
              <w:rPr>
                <w:sz w:val="24"/>
                <w:szCs w:val="22"/>
              </w:rPr>
              <w:t>Applications must meet all minimum passing scores (Scoring Criteria 1-</w:t>
            </w:r>
            <w:r>
              <w:rPr>
                <w:sz w:val="24"/>
                <w:szCs w:val="22"/>
              </w:rPr>
              <w:t>4</w:t>
            </w:r>
            <w:r w:rsidRPr="00616F23">
              <w:rPr>
                <w:sz w:val="24"/>
                <w:szCs w:val="22"/>
              </w:rPr>
              <w:t>, 1-</w:t>
            </w:r>
            <w:r>
              <w:rPr>
                <w:sz w:val="24"/>
                <w:szCs w:val="22"/>
              </w:rPr>
              <w:t>7</w:t>
            </w:r>
            <w:r w:rsidRPr="00616F23">
              <w:rPr>
                <w:sz w:val="24"/>
                <w:szCs w:val="22"/>
              </w:rPr>
              <w:t>) to be eligible for the additional points.</w:t>
            </w:r>
          </w:p>
        </w:tc>
      </w:tr>
    </w:tbl>
    <w:p w14:paraId="5F6FDC3C" w14:textId="2E936F9B" w:rsidR="0004396A" w:rsidRDefault="0004396A" w:rsidP="00B47896">
      <w:pPr>
        <w:rPr>
          <w:b/>
          <w:caps/>
          <w:u w:val="single"/>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6765D3" w:rsidRPr="00CE5562" w14:paraId="1C87FA98" w14:textId="77777777" w:rsidTr="00695A97">
        <w:trPr>
          <w:cantSplit/>
          <w:trHeight w:val="530"/>
          <w:tblHeader/>
        </w:trPr>
        <w:tc>
          <w:tcPr>
            <w:tcW w:w="8362" w:type="dxa"/>
            <w:tcBorders>
              <w:bottom w:val="single" w:sz="4" w:space="0" w:color="auto"/>
            </w:tcBorders>
            <w:shd w:val="clear" w:color="auto" w:fill="D9D9D9" w:themeFill="background1" w:themeFillShade="D9"/>
            <w:vAlign w:val="center"/>
          </w:tcPr>
          <w:p w14:paraId="045E42E0" w14:textId="2E936F9B" w:rsidR="006765D3" w:rsidRPr="00CE5562" w:rsidRDefault="00DC1A32" w:rsidP="00695A97">
            <w:pPr>
              <w:keepNext/>
              <w:spacing w:after="0"/>
              <w:jc w:val="both"/>
              <w:rPr>
                <w:b/>
                <w:szCs w:val="22"/>
              </w:rPr>
            </w:pPr>
            <w:r>
              <w:rPr>
                <w:b/>
              </w:rPr>
              <w:lastRenderedPageBreak/>
              <w:t>Scoring</w:t>
            </w:r>
            <w:r w:rsidRPr="00C31C1D">
              <w:rPr>
                <w:b/>
              </w:rPr>
              <w:t xml:space="preserve"> Criteria</w:t>
            </w:r>
          </w:p>
        </w:tc>
        <w:tc>
          <w:tcPr>
            <w:tcW w:w="1342" w:type="dxa"/>
            <w:tcBorders>
              <w:bottom w:val="single" w:sz="4" w:space="0" w:color="auto"/>
            </w:tcBorders>
            <w:shd w:val="clear" w:color="auto" w:fill="D9D9D9" w:themeFill="background1" w:themeFillShade="D9"/>
            <w:vAlign w:val="center"/>
          </w:tcPr>
          <w:p w14:paraId="2F3843A6" w14:textId="77777777" w:rsidR="006765D3" w:rsidRPr="00CE5562" w:rsidRDefault="005A46C5" w:rsidP="00695A97">
            <w:pPr>
              <w:keepNext/>
              <w:spacing w:after="0"/>
              <w:jc w:val="center"/>
              <w:rPr>
                <w:b/>
                <w:szCs w:val="22"/>
              </w:rPr>
            </w:pPr>
            <w:r>
              <w:rPr>
                <w:b/>
              </w:rPr>
              <w:t>Maximum</w:t>
            </w:r>
            <w:r w:rsidRPr="00C31C1D">
              <w:rPr>
                <w:b/>
              </w:rPr>
              <w:t xml:space="preserve"> Points</w:t>
            </w:r>
          </w:p>
        </w:tc>
      </w:tr>
      <w:tr w:rsidR="00B47896" w:rsidRPr="00CE5562" w14:paraId="357519F4" w14:textId="77777777" w:rsidTr="00427734">
        <w:trPr>
          <w:cantSplit/>
          <w:trHeight w:val="4850"/>
        </w:trPr>
        <w:tc>
          <w:tcPr>
            <w:tcW w:w="8362" w:type="dxa"/>
            <w:tcBorders>
              <w:bottom w:val="single" w:sz="4" w:space="0" w:color="auto"/>
            </w:tcBorders>
            <w:shd w:val="clear" w:color="auto" w:fill="auto"/>
          </w:tcPr>
          <w:p w14:paraId="7E42C162" w14:textId="77777777" w:rsidR="00B47896" w:rsidRPr="00F547FC" w:rsidRDefault="00B47896">
            <w:pPr>
              <w:keepNext/>
              <w:numPr>
                <w:ilvl w:val="0"/>
                <w:numId w:val="49"/>
              </w:numPr>
              <w:spacing w:before="120"/>
              <w:jc w:val="both"/>
              <w:rPr>
                <w:b/>
                <w:szCs w:val="22"/>
              </w:rPr>
            </w:pPr>
            <w:r w:rsidRPr="00F547FC">
              <w:rPr>
                <w:b/>
                <w:szCs w:val="22"/>
              </w:rPr>
              <w:t xml:space="preserve">Match Funds </w:t>
            </w:r>
          </w:p>
          <w:p w14:paraId="6201D81E" w14:textId="77777777" w:rsidR="00B47896" w:rsidRPr="006D2C5A" w:rsidRDefault="00B47896" w:rsidP="00695A97">
            <w:pPr>
              <w:keepNext/>
              <w:numPr>
                <w:ilvl w:val="0"/>
                <w:numId w:val="78"/>
              </w:numPr>
              <w:spacing w:line="280" w:lineRule="atLeast"/>
              <w:ind w:left="1051"/>
              <w:rPr>
                <w:szCs w:val="22"/>
              </w:rPr>
            </w:pPr>
            <w:r w:rsidRPr="006D2C5A">
              <w:rPr>
                <w:szCs w:val="22"/>
              </w:rPr>
              <w:t>Cash match share is preferred; however, in-kind cost share is permitted and will be considered</w:t>
            </w:r>
            <w:r w:rsidRPr="006D2C5A">
              <w:rPr>
                <w:rFonts w:ascii="Palatino Linotype" w:hAnsi="Palatino Linotype" w:cs="Times New Roman"/>
              </w:rPr>
              <w:t xml:space="preserve"> </w:t>
            </w:r>
            <w:r w:rsidRPr="006D2C5A">
              <w:rPr>
                <w:szCs w:val="22"/>
              </w:rPr>
              <w:t>for solicitation match requirements. Points for this criterion will be evaluated based on the proposed cash match relative to the total match (cash + in-kind) contributions using the Cash Match Scoring Table:</w:t>
            </w:r>
          </w:p>
          <w:p w14:paraId="7BCCD920" w14:textId="77777777" w:rsidR="00B47896" w:rsidRPr="006D2C5A" w:rsidRDefault="00B47896">
            <w:pPr>
              <w:keepNext/>
              <w:spacing w:after="0" w:line="280" w:lineRule="atLeast"/>
              <w:jc w:val="center"/>
              <w:rPr>
                <w:szCs w:val="22"/>
              </w:rPr>
            </w:pPr>
            <w:r w:rsidRPr="00F547FC">
              <w:rPr>
                <w:b/>
                <w:sz w:val="28"/>
                <w:szCs w:val="22"/>
              </w:rPr>
              <w:t>Cash 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B47896" w:rsidRPr="00F547FC" w14:paraId="1D70CDD2" w14:textId="77777777" w:rsidTr="00112B47">
              <w:trPr>
                <w:cnfStyle w:val="100000000000" w:firstRow="1" w:lastRow="0" w:firstColumn="0" w:lastColumn="0" w:oddVBand="0" w:evenVBand="0" w:oddHBand="0" w:evenHBand="0" w:firstRowFirstColumn="0" w:firstRowLastColumn="0" w:lastRowFirstColumn="0" w:lastRowLastColumn="0"/>
                <w:trHeight w:val="782"/>
                <w:tblHeader/>
                <w:jc w:val="center"/>
              </w:trPr>
              <w:tc>
                <w:tcPr>
                  <w:tcW w:w="2500" w:type="dxa"/>
                  <w:shd w:val="clear" w:color="auto" w:fill="BFBFBF"/>
                </w:tcPr>
                <w:p w14:paraId="7CB2A5D8" w14:textId="77777777" w:rsidR="00B47896" w:rsidRPr="00F547FC" w:rsidRDefault="00B47896" w:rsidP="00695A97">
                  <w:pPr>
                    <w:keepNext/>
                    <w:spacing w:after="60" w:line="280" w:lineRule="atLeast"/>
                    <w:rPr>
                      <w:sz w:val="22"/>
                      <w:szCs w:val="22"/>
                    </w:rPr>
                  </w:pPr>
                  <w:r w:rsidRPr="00F547FC">
                    <w:rPr>
                      <w:szCs w:val="22"/>
                    </w:rPr>
                    <w:t>Percentage of Proposed Cash Match Funds</w:t>
                  </w:r>
                </w:p>
              </w:tc>
              <w:tc>
                <w:tcPr>
                  <w:tcW w:w="975" w:type="dxa"/>
                  <w:shd w:val="clear" w:color="auto" w:fill="BFBFBF"/>
                </w:tcPr>
                <w:p w14:paraId="6C914E2C" w14:textId="77777777" w:rsidR="00B47896" w:rsidRPr="00F547FC" w:rsidRDefault="00B47896" w:rsidP="009B4DEC">
                  <w:pPr>
                    <w:keepNext/>
                    <w:spacing w:after="0" w:line="280" w:lineRule="atLeast"/>
                    <w:rPr>
                      <w:sz w:val="22"/>
                      <w:szCs w:val="22"/>
                    </w:rPr>
                  </w:pPr>
                  <w:r w:rsidRPr="00F547FC">
                    <w:rPr>
                      <w:szCs w:val="22"/>
                    </w:rPr>
                    <w:t>Score</w:t>
                  </w:r>
                </w:p>
              </w:tc>
            </w:tr>
            <w:tr w:rsidR="00B47896" w:rsidRPr="00F547FC" w14:paraId="128674D6" w14:textId="77777777">
              <w:trPr>
                <w:trHeight w:val="344"/>
                <w:jc w:val="center"/>
              </w:trPr>
              <w:tc>
                <w:tcPr>
                  <w:tcW w:w="2500" w:type="dxa"/>
                  <w:vAlign w:val="bottom"/>
                </w:tcPr>
                <w:p w14:paraId="0B94B10E" w14:textId="77777777" w:rsidR="00B47896" w:rsidRPr="00F547FC" w:rsidRDefault="00B47896">
                  <w:pPr>
                    <w:keepNext/>
                    <w:spacing w:after="60"/>
                    <w:jc w:val="center"/>
                    <w:rPr>
                      <w:sz w:val="22"/>
                      <w:szCs w:val="22"/>
                    </w:rPr>
                  </w:pPr>
                  <w:r w:rsidRPr="00F547FC">
                    <w:rPr>
                      <w:szCs w:val="22"/>
                    </w:rPr>
                    <w:t>80 to 100%</w:t>
                  </w:r>
                </w:p>
              </w:tc>
              <w:tc>
                <w:tcPr>
                  <w:tcW w:w="975" w:type="dxa"/>
                  <w:vAlign w:val="bottom"/>
                </w:tcPr>
                <w:p w14:paraId="62592FAA" w14:textId="77777777" w:rsidR="00B47896" w:rsidRPr="00F547FC" w:rsidRDefault="00B47896">
                  <w:pPr>
                    <w:keepNext/>
                    <w:spacing w:after="60"/>
                    <w:ind w:left="58"/>
                    <w:jc w:val="center"/>
                    <w:rPr>
                      <w:sz w:val="22"/>
                      <w:szCs w:val="22"/>
                    </w:rPr>
                  </w:pPr>
                  <w:r w:rsidRPr="00F547FC">
                    <w:rPr>
                      <w:szCs w:val="22"/>
                    </w:rPr>
                    <w:t>5</w:t>
                  </w:r>
                </w:p>
              </w:tc>
            </w:tr>
            <w:tr w:rsidR="00B47896" w:rsidRPr="00F547FC" w14:paraId="61B34B1D" w14:textId="77777777">
              <w:trPr>
                <w:trHeight w:val="372"/>
                <w:jc w:val="center"/>
              </w:trPr>
              <w:tc>
                <w:tcPr>
                  <w:tcW w:w="2500" w:type="dxa"/>
                  <w:vAlign w:val="bottom"/>
                </w:tcPr>
                <w:p w14:paraId="4B3CF4AE" w14:textId="77777777" w:rsidR="00B47896" w:rsidRPr="00F547FC" w:rsidRDefault="00B47896">
                  <w:pPr>
                    <w:keepNext/>
                    <w:spacing w:after="60"/>
                    <w:ind w:left="61"/>
                    <w:jc w:val="center"/>
                    <w:rPr>
                      <w:sz w:val="22"/>
                      <w:szCs w:val="22"/>
                    </w:rPr>
                  </w:pPr>
                  <w:r w:rsidRPr="00F547FC">
                    <w:rPr>
                      <w:szCs w:val="22"/>
                    </w:rPr>
                    <w:t>60 to &lt;80%</w:t>
                  </w:r>
                </w:p>
              </w:tc>
              <w:tc>
                <w:tcPr>
                  <w:tcW w:w="975" w:type="dxa"/>
                  <w:vAlign w:val="bottom"/>
                </w:tcPr>
                <w:p w14:paraId="7C83A73A" w14:textId="77777777" w:rsidR="00B47896" w:rsidRPr="00F547FC" w:rsidRDefault="00B47896">
                  <w:pPr>
                    <w:keepNext/>
                    <w:spacing w:after="60"/>
                    <w:ind w:left="61"/>
                    <w:jc w:val="center"/>
                    <w:rPr>
                      <w:sz w:val="22"/>
                      <w:szCs w:val="22"/>
                    </w:rPr>
                  </w:pPr>
                  <w:r w:rsidRPr="00F547FC">
                    <w:rPr>
                      <w:szCs w:val="22"/>
                    </w:rPr>
                    <w:t>4</w:t>
                  </w:r>
                </w:p>
              </w:tc>
            </w:tr>
            <w:tr w:rsidR="00B47896" w:rsidRPr="00F547FC" w14:paraId="1DBFCE51" w14:textId="77777777">
              <w:trPr>
                <w:trHeight w:val="363"/>
                <w:jc w:val="center"/>
              </w:trPr>
              <w:tc>
                <w:tcPr>
                  <w:tcW w:w="2500" w:type="dxa"/>
                  <w:vAlign w:val="bottom"/>
                </w:tcPr>
                <w:p w14:paraId="365578DE" w14:textId="77777777" w:rsidR="00B47896" w:rsidRPr="00F547FC" w:rsidRDefault="00B47896">
                  <w:pPr>
                    <w:keepNext/>
                    <w:spacing w:after="60"/>
                    <w:ind w:left="61"/>
                    <w:jc w:val="center"/>
                    <w:rPr>
                      <w:sz w:val="22"/>
                      <w:szCs w:val="22"/>
                    </w:rPr>
                  </w:pPr>
                  <w:r w:rsidRPr="00F547FC">
                    <w:rPr>
                      <w:szCs w:val="22"/>
                    </w:rPr>
                    <w:t>40 to &lt;60%</w:t>
                  </w:r>
                </w:p>
              </w:tc>
              <w:tc>
                <w:tcPr>
                  <w:tcW w:w="975" w:type="dxa"/>
                  <w:vAlign w:val="bottom"/>
                </w:tcPr>
                <w:p w14:paraId="080AB49E" w14:textId="77777777" w:rsidR="00B47896" w:rsidRPr="00F547FC" w:rsidRDefault="00B47896">
                  <w:pPr>
                    <w:keepNext/>
                    <w:spacing w:after="60"/>
                    <w:ind w:left="61"/>
                    <w:jc w:val="center"/>
                    <w:rPr>
                      <w:sz w:val="22"/>
                      <w:szCs w:val="22"/>
                    </w:rPr>
                  </w:pPr>
                  <w:r w:rsidRPr="00F547FC">
                    <w:rPr>
                      <w:szCs w:val="22"/>
                    </w:rPr>
                    <w:t>3</w:t>
                  </w:r>
                </w:p>
              </w:tc>
            </w:tr>
            <w:tr w:rsidR="00B47896" w:rsidRPr="00F547FC" w14:paraId="20EA8D87" w14:textId="77777777">
              <w:trPr>
                <w:trHeight w:val="363"/>
                <w:jc w:val="center"/>
              </w:trPr>
              <w:tc>
                <w:tcPr>
                  <w:tcW w:w="2500" w:type="dxa"/>
                  <w:vAlign w:val="bottom"/>
                </w:tcPr>
                <w:p w14:paraId="625AC6C0" w14:textId="77777777" w:rsidR="00B47896" w:rsidRPr="00F547FC" w:rsidRDefault="00B47896">
                  <w:pPr>
                    <w:keepNext/>
                    <w:spacing w:after="60"/>
                    <w:ind w:left="58"/>
                    <w:jc w:val="center"/>
                    <w:rPr>
                      <w:sz w:val="22"/>
                      <w:szCs w:val="22"/>
                    </w:rPr>
                  </w:pPr>
                  <w:r w:rsidRPr="00F547FC">
                    <w:rPr>
                      <w:szCs w:val="22"/>
                    </w:rPr>
                    <w:t>20 to &lt;40%</w:t>
                  </w:r>
                </w:p>
              </w:tc>
              <w:tc>
                <w:tcPr>
                  <w:tcW w:w="975" w:type="dxa"/>
                  <w:vAlign w:val="bottom"/>
                </w:tcPr>
                <w:p w14:paraId="4F879EF9" w14:textId="77777777" w:rsidR="00B47896" w:rsidRPr="00F547FC" w:rsidRDefault="00B47896">
                  <w:pPr>
                    <w:keepNext/>
                    <w:spacing w:after="60"/>
                    <w:ind w:left="58"/>
                    <w:jc w:val="center"/>
                    <w:rPr>
                      <w:sz w:val="22"/>
                      <w:szCs w:val="22"/>
                    </w:rPr>
                  </w:pPr>
                  <w:r w:rsidRPr="00F547FC">
                    <w:rPr>
                      <w:szCs w:val="22"/>
                    </w:rPr>
                    <w:t>2</w:t>
                  </w:r>
                </w:p>
              </w:tc>
            </w:tr>
            <w:tr w:rsidR="00B47896" w:rsidRPr="00F547FC" w14:paraId="4019D595" w14:textId="77777777">
              <w:trPr>
                <w:trHeight w:val="363"/>
                <w:jc w:val="center"/>
              </w:trPr>
              <w:tc>
                <w:tcPr>
                  <w:tcW w:w="2500" w:type="dxa"/>
                  <w:vAlign w:val="bottom"/>
                </w:tcPr>
                <w:p w14:paraId="61442A11" w14:textId="77777777" w:rsidR="00B47896" w:rsidRPr="00F547FC" w:rsidRDefault="00B47896">
                  <w:pPr>
                    <w:keepNext/>
                    <w:spacing w:after="60"/>
                    <w:ind w:left="58"/>
                    <w:jc w:val="center"/>
                    <w:rPr>
                      <w:sz w:val="22"/>
                      <w:szCs w:val="22"/>
                    </w:rPr>
                  </w:pPr>
                  <w:r w:rsidRPr="00F547FC">
                    <w:rPr>
                      <w:szCs w:val="22"/>
                    </w:rPr>
                    <w:t>10 to &lt;20%</w:t>
                  </w:r>
                </w:p>
              </w:tc>
              <w:tc>
                <w:tcPr>
                  <w:tcW w:w="975" w:type="dxa"/>
                  <w:vAlign w:val="bottom"/>
                </w:tcPr>
                <w:p w14:paraId="0F0EA698" w14:textId="77777777" w:rsidR="00B47896" w:rsidRPr="00F547FC" w:rsidRDefault="00B47896">
                  <w:pPr>
                    <w:keepNext/>
                    <w:spacing w:after="60"/>
                    <w:ind w:left="58"/>
                    <w:jc w:val="center"/>
                    <w:rPr>
                      <w:sz w:val="22"/>
                      <w:szCs w:val="22"/>
                    </w:rPr>
                  </w:pPr>
                  <w:r w:rsidRPr="00F547FC">
                    <w:rPr>
                      <w:szCs w:val="22"/>
                    </w:rPr>
                    <w:t>1</w:t>
                  </w:r>
                </w:p>
              </w:tc>
            </w:tr>
          </w:tbl>
          <w:p w14:paraId="3A239018" w14:textId="6BA01542" w:rsidR="00B47896" w:rsidRPr="006D2C5A" w:rsidRDefault="00B47896">
            <w:pPr>
              <w:keepNext/>
              <w:spacing w:line="280" w:lineRule="atLeast"/>
              <w:jc w:val="both"/>
              <w:rPr>
                <w:iCs/>
                <w:szCs w:val="22"/>
              </w:rPr>
            </w:pPr>
            <w:r w:rsidRPr="006D2C5A">
              <w:rPr>
                <w:szCs w:val="22"/>
              </w:rPr>
              <w:t>NOTE:  Only the total match amount pledged in the commitment letter(s) will be considered.</w:t>
            </w:r>
          </w:p>
        </w:tc>
        <w:tc>
          <w:tcPr>
            <w:tcW w:w="1342" w:type="dxa"/>
            <w:tcBorders>
              <w:bottom w:val="single" w:sz="4" w:space="0" w:color="auto"/>
            </w:tcBorders>
            <w:shd w:val="clear" w:color="auto" w:fill="auto"/>
          </w:tcPr>
          <w:p w14:paraId="015BAFD4" w14:textId="77777777" w:rsidR="00B47896" w:rsidRPr="00F547FC" w:rsidRDefault="00B47896">
            <w:pPr>
              <w:keepNext/>
              <w:spacing w:before="120" w:after="0"/>
              <w:jc w:val="center"/>
              <w:rPr>
                <w:b/>
                <w:szCs w:val="22"/>
              </w:rPr>
            </w:pPr>
            <w:r w:rsidRPr="00F547FC">
              <w:rPr>
                <w:b/>
                <w:szCs w:val="22"/>
              </w:rPr>
              <w:t>5</w:t>
            </w:r>
          </w:p>
        </w:tc>
      </w:tr>
      <w:tr w:rsidR="00B47896" w:rsidRPr="00CE5562" w14:paraId="75B81F20" w14:textId="77777777" w:rsidTr="00427734">
        <w:trPr>
          <w:cantSplit/>
          <w:trHeight w:val="647"/>
        </w:trPr>
        <w:tc>
          <w:tcPr>
            <w:tcW w:w="8362" w:type="dxa"/>
            <w:tcBorders>
              <w:bottom w:val="single" w:sz="4" w:space="0" w:color="auto"/>
            </w:tcBorders>
            <w:shd w:val="clear" w:color="auto" w:fill="auto"/>
          </w:tcPr>
          <w:p w14:paraId="6871797C" w14:textId="1E591300" w:rsidR="00B47896" w:rsidRPr="006D2C5A" w:rsidRDefault="00B47896" w:rsidP="007039F0">
            <w:pPr>
              <w:keepNext/>
              <w:numPr>
                <w:ilvl w:val="0"/>
                <w:numId w:val="78"/>
              </w:numPr>
              <w:spacing w:line="280" w:lineRule="atLeast"/>
              <w:ind w:left="1050"/>
            </w:pPr>
            <w:r w:rsidRPr="007D10EB">
              <w:t xml:space="preserve">Additional points will be awarded to applications that exceed the minimum match requirements based on the </w:t>
            </w:r>
            <w:r w:rsidRPr="003D54D5">
              <w:t xml:space="preserve">following formula to calculate the </w:t>
            </w:r>
            <w:r w:rsidRPr="007D10EB">
              <w:t xml:space="preserve">percentage </w:t>
            </w:r>
            <w:r w:rsidRPr="003D54D5">
              <w:t>above minimum</w:t>
            </w:r>
            <w:r w:rsidRPr="007D10EB">
              <w:t xml:space="preserve"> </w:t>
            </w:r>
            <w:r w:rsidRPr="003D54D5">
              <w:t xml:space="preserve">match, </w:t>
            </w:r>
            <w:r w:rsidRPr="006D2C5A">
              <w:t xml:space="preserve">and then </w:t>
            </w:r>
            <w:r w:rsidRPr="007D10EB">
              <w:t xml:space="preserve">using </w:t>
            </w:r>
            <w:r w:rsidRPr="003D54D5">
              <w:t>this percentage value in</w:t>
            </w:r>
            <w:r w:rsidRPr="007D10EB">
              <w:t xml:space="preserve"> the Exceeds Minimum Match Scoring table </w:t>
            </w:r>
            <w:r w:rsidRPr="006D2C5A">
              <w:t>shown below to determine the points to award.</w:t>
            </w:r>
          </w:p>
          <w:p w14:paraId="644E792A" w14:textId="52F12364" w:rsidR="00B47896" w:rsidRPr="005479BC" w:rsidRDefault="0025457A" w:rsidP="007039F0">
            <w:pPr>
              <w:spacing w:before="120"/>
              <w:ind w:left="330"/>
              <w:jc w:val="center"/>
              <w:rPr>
                <w:rFonts w:ascii="Cambria Math" w:hAnsi="Cambria Math"/>
                <w:i/>
              </w:rPr>
            </w:pPr>
            <m:oMathPara>
              <m:oMath>
                <m:f>
                  <m:fPr>
                    <m:ctrlPr>
                      <w:rPr>
                        <w:rFonts w:ascii="Cambria Math" w:hAnsi="Cambria Math"/>
                        <w:i/>
                      </w:rPr>
                    </m:ctrlPr>
                  </m:fPr>
                  <m:num>
                    <m:r>
                      <w:rPr>
                        <w:rFonts w:ascii="Cambria Math" w:hAnsi="Cambria Math"/>
                      </w:rPr>
                      <m:t>Match funding above the minimum match funding amount</m:t>
                    </m:r>
                  </m:num>
                  <m:den>
                    <m:r>
                      <w:rPr>
                        <w:rFonts w:ascii="Cambria Math" w:hAnsi="Cambria Math"/>
                      </w:rPr>
                      <m:t>Total amount of CEC funds requested</m:t>
                    </m:r>
                  </m:den>
                </m:f>
              </m:oMath>
            </m:oMathPara>
          </w:p>
          <w:p w14:paraId="318B2869" w14:textId="6782F903" w:rsidR="00B47896" w:rsidRPr="007D10EB" w:rsidRDefault="00B47896">
            <w:pPr>
              <w:keepLines/>
              <w:spacing w:before="120"/>
              <w:jc w:val="center"/>
            </w:pPr>
            <w:r w:rsidRPr="007D10EB">
              <w:rPr>
                <w:b/>
                <w:sz w:val="28"/>
                <w:szCs w:val="28"/>
              </w:rPr>
              <w:t xml:space="preserve">Exceeds Minimum </w:t>
            </w:r>
            <w:r w:rsidRPr="007D10EB">
              <w:br/>
            </w:r>
            <w:r w:rsidRPr="007D10EB">
              <w:rPr>
                <w:b/>
                <w:sz w:val="28"/>
                <w:szCs w:val="28"/>
              </w:rP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B47896" w:rsidRPr="007D10EB" w14:paraId="1ED31CD2" w14:textId="77777777">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429A0A0E" w14:textId="77777777" w:rsidR="00B47896" w:rsidRPr="007D10EB" w:rsidRDefault="00B47896" w:rsidP="00695A97">
                  <w:pPr>
                    <w:spacing w:after="60" w:line="280" w:lineRule="atLeast"/>
                    <w:rPr>
                      <w:sz w:val="22"/>
                      <w:szCs w:val="22"/>
                    </w:rPr>
                  </w:pPr>
                  <w:r w:rsidRPr="007D10EB">
                    <w:rPr>
                      <w:szCs w:val="22"/>
                    </w:rPr>
                    <w:t xml:space="preserve">Percentage above Minimum Match </w:t>
                  </w:r>
                  <w:r w:rsidRPr="007D10EB">
                    <w:rPr>
                      <w:rFonts w:ascii="Calibri" w:eastAsia="Calibri" w:hAnsi="Calibri" w:cs="Times New Roman"/>
                      <w:szCs w:val="22"/>
                    </w:rPr>
                    <w:t>(cash and in-kind)</w:t>
                  </w:r>
                </w:p>
              </w:tc>
              <w:tc>
                <w:tcPr>
                  <w:tcW w:w="990" w:type="dxa"/>
                  <w:shd w:val="clear" w:color="auto" w:fill="BFBFBF"/>
                </w:tcPr>
                <w:p w14:paraId="2A80809F" w14:textId="77777777" w:rsidR="00B47896" w:rsidRPr="007D10EB" w:rsidRDefault="00B47896">
                  <w:pPr>
                    <w:spacing w:after="0" w:line="280" w:lineRule="atLeast"/>
                    <w:rPr>
                      <w:sz w:val="22"/>
                      <w:szCs w:val="22"/>
                    </w:rPr>
                  </w:pPr>
                  <w:r w:rsidRPr="007D10EB">
                    <w:rPr>
                      <w:szCs w:val="22"/>
                    </w:rPr>
                    <w:t>Score</w:t>
                  </w:r>
                </w:p>
              </w:tc>
            </w:tr>
            <w:tr w:rsidR="00B47896" w:rsidRPr="007D10EB" w14:paraId="57154230" w14:textId="77777777">
              <w:trPr>
                <w:trHeight w:val="344"/>
                <w:jc w:val="center"/>
              </w:trPr>
              <w:tc>
                <w:tcPr>
                  <w:tcW w:w="2590" w:type="dxa"/>
                  <w:vAlign w:val="bottom"/>
                </w:tcPr>
                <w:p w14:paraId="24055B97" w14:textId="77777777" w:rsidR="00B47896" w:rsidRPr="007D10EB" w:rsidRDefault="00B47896">
                  <w:pPr>
                    <w:spacing w:after="60"/>
                    <w:jc w:val="center"/>
                    <w:rPr>
                      <w:sz w:val="22"/>
                      <w:szCs w:val="22"/>
                    </w:rPr>
                  </w:pPr>
                  <m:oMath>
                    <m:r>
                      <w:rPr>
                        <w:rFonts w:ascii="Cambria Math" w:hAnsi="Cambria Math"/>
                        <w:szCs w:val="22"/>
                      </w:rPr>
                      <m:t>≥</m:t>
                    </m:r>
                  </m:oMath>
                  <w:r w:rsidRPr="007D10EB">
                    <w:rPr>
                      <w:szCs w:val="22"/>
                    </w:rPr>
                    <w:t xml:space="preserve"> 80%</w:t>
                  </w:r>
                </w:p>
              </w:tc>
              <w:tc>
                <w:tcPr>
                  <w:tcW w:w="990" w:type="dxa"/>
                  <w:vAlign w:val="bottom"/>
                </w:tcPr>
                <w:p w14:paraId="7C976547" w14:textId="77777777" w:rsidR="00B47896" w:rsidRPr="007D10EB" w:rsidRDefault="00B47896">
                  <w:pPr>
                    <w:spacing w:after="60"/>
                    <w:ind w:left="58"/>
                    <w:jc w:val="center"/>
                    <w:rPr>
                      <w:sz w:val="22"/>
                      <w:szCs w:val="22"/>
                    </w:rPr>
                  </w:pPr>
                  <w:r w:rsidRPr="007D10EB">
                    <w:rPr>
                      <w:szCs w:val="22"/>
                    </w:rPr>
                    <w:t>5</w:t>
                  </w:r>
                </w:p>
              </w:tc>
            </w:tr>
            <w:tr w:rsidR="00B47896" w:rsidRPr="007D10EB" w14:paraId="7A5979AF" w14:textId="77777777">
              <w:trPr>
                <w:trHeight w:val="372"/>
                <w:jc w:val="center"/>
              </w:trPr>
              <w:tc>
                <w:tcPr>
                  <w:tcW w:w="2590" w:type="dxa"/>
                  <w:vAlign w:val="bottom"/>
                </w:tcPr>
                <w:p w14:paraId="65990CC4" w14:textId="77777777" w:rsidR="00B47896" w:rsidRPr="007D10EB" w:rsidRDefault="00B47896">
                  <w:pPr>
                    <w:spacing w:after="60"/>
                    <w:ind w:left="61"/>
                    <w:jc w:val="center"/>
                    <w:rPr>
                      <w:sz w:val="22"/>
                      <w:szCs w:val="22"/>
                    </w:rPr>
                  </w:pPr>
                  <w:r w:rsidRPr="007D10EB">
                    <w:rPr>
                      <w:szCs w:val="22"/>
                    </w:rPr>
                    <w:t>60 to &lt;80%</w:t>
                  </w:r>
                </w:p>
              </w:tc>
              <w:tc>
                <w:tcPr>
                  <w:tcW w:w="990" w:type="dxa"/>
                  <w:vAlign w:val="bottom"/>
                </w:tcPr>
                <w:p w14:paraId="3B8BB988" w14:textId="77777777" w:rsidR="00B47896" w:rsidRPr="007D10EB" w:rsidRDefault="00B47896">
                  <w:pPr>
                    <w:spacing w:after="60"/>
                    <w:ind w:left="61"/>
                    <w:jc w:val="center"/>
                    <w:rPr>
                      <w:sz w:val="22"/>
                      <w:szCs w:val="22"/>
                    </w:rPr>
                  </w:pPr>
                  <w:r w:rsidRPr="007D10EB">
                    <w:rPr>
                      <w:szCs w:val="22"/>
                    </w:rPr>
                    <w:t>4</w:t>
                  </w:r>
                </w:p>
              </w:tc>
            </w:tr>
            <w:tr w:rsidR="00B47896" w:rsidRPr="007D10EB" w14:paraId="311A1E61" w14:textId="77777777">
              <w:trPr>
                <w:trHeight w:val="363"/>
                <w:jc w:val="center"/>
              </w:trPr>
              <w:tc>
                <w:tcPr>
                  <w:tcW w:w="2590" w:type="dxa"/>
                  <w:vAlign w:val="bottom"/>
                </w:tcPr>
                <w:p w14:paraId="559E2243" w14:textId="77777777" w:rsidR="00B47896" w:rsidRPr="007D10EB" w:rsidRDefault="00B47896">
                  <w:pPr>
                    <w:spacing w:after="60"/>
                    <w:ind w:left="61"/>
                    <w:jc w:val="center"/>
                    <w:rPr>
                      <w:sz w:val="22"/>
                      <w:szCs w:val="22"/>
                    </w:rPr>
                  </w:pPr>
                  <w:r w:rsidRPr="007D10EB">
                    <w:rPr>
                      <w:szCs w:val="22"/>
                    </w:rPr>
                    <w:t>40 to &lt;60%</w:t>
                  </w:r>
                </w:p>
              </w:tc>
              <w:tc>
                <w:tcPr>
                  <w:tcW w:w="990" w:type="dxa"/>
                  <w:vAlign w:val="bottom"/>
                </w:tcPr>
                <w:p w14:paraId="2E954F90" w14:textId="77777777" w:rsidR="00B47896" w:rsidRPr="007D10EB" w:rsidRDefault="00B47896">
                  <w:pPr>
                    <w:spacing w:after="60"/>
                    <w:ind w:left="61"/>
                    <w:jc w:val="center"/>
                    <w:rPr>
                      <w:sz w:val="22"/>
                      <w:szCs w:val="22"/>
                    </w:rPr>
                  </w:pPr>
                  <w:r w:rsidRPr="007D10EB">
                    <w:rPr>
                      <w:szCs w:val="22"/>
                    </w:rPr>
                    <w:t>3</w:t>
                  </w:r>
                </w:p>
              </w:tc>
            </w:tr>
            <w:tr w:rsidR="00B47896" w:rsidRPr="007D10EB" w14:paraId="62B3C1DC" w14:textId="77777777">
              <w:trPr>
                <w:trHeight w:val="363"/>
                <w:jc w:val="center"/>
              </w:trPr>
              <w:tc>
                <w:tcPr>
                  <w:tcW w:w="2590" w:type="dxa"/>
                  <w:vAlign w:val="bottom"/>
                </w:tcPr>
                <w:p w14:paraId="520C4BA0" w14:textId="77777777" w:rsidR="00B47896" w:rsidRPr="007D10EB" w:rsidRDefault="00B47896">
                  <w:pPr>
                    <w:spacing w:after="60"/>
                    <w:ind w:left="58"/>
                    <w:jc w:val="center"/>
                    <w:rPr>
                      <w:sz w:val="22"/>
                      <w:szCs w:val="22"/>
                    </w:rPr>
                  </w:pPr>
                  <w:r w:rsidRPr="007D10EB">
                    <w:rPr>
                      <w:szCs w:val="22"/>
                    </w:rPr>
                    <w:t>20 to &lt;40%</w:t>
                  </w:r>
                </w:p>
              </w:tc>
              <w:tc>
                <w:tcPr>
                  <w:tcW w:w="990" w:type="dxa"/>
                  <w:vAlign w:val="bottom"/>
                </w:tcPr>
                <w:p w14:paraId="3CBE118A" w14:textId="77777777" w:rsidR="00B47896" w:rsidRPr="007D10EB" w:rsidRDefault="00B47896">
                  <w:pPr>
                    <w:spacing w:after="60"/>
                    <w:ind w:left="58"/>
                    <w:jc w:val="center"/>
                    <w:rPr>
                      <w:sz w:val="22"/>
                      <w:szCs w:val="22"/>
                    </w:rPr>
                  </w:pPr>
                  <w:r w:rsidRPr="007D10EB">
                    <w:rPr>
                      <w:szCs w:val="22"/>
                    </w:rPr>
                    <w:t>2</w:t>
                  </w:r>
                </w:p>
              </w:tc>
            </w:tr>
            <w:tr w:rsidR="00B47896" w:rsidRPr="007D10EB" w14:paraId="35932F57" w14:textId="77777777">
              <w:trPr>
                <w:trHeight w:val="363"/>
                <w:jc w:val="center"/>
              </w:trPr>
              <w:tc>
                <w:tcPr>
                  <w:tcW w:w="2590" w:type="dxa"/>
                  <w:tcBorders>
                    <w:bottom w:val="single" w:sz="4" w:space="0" w:color="auto"/>
                  </w:tcBorders>
                  <w:vAlign w:val="bottom"/>
                </w:tcPr>
                <w:p w14:paraId="2520EFE3" w14:textId="607AEE56" w:rsidR="00B47896" w:rsidRPr="007D10EB" w:rsidRDefault="00B47896">
                  <w:pPr>
                    <w:spacing w:after="60"/>
                    <w:ind w:left="58"/>
                    <w:jc w:val="center"/>
                    <w:rPr>
                      <w:sz w:val="22"/>
                      <w:szCs w:val="22"/>
                    </w:rPr>
                  </w:pPr>
                  <w:r w:rsidRPr="007D10EB">
                    <w:rPr>
                      <w:szCs w:val="22"/>
                    </w:rPr>
                    <w:t>10 to &lt;20%</w:t>
                  </w:r>
                </w:p>
              </w:tc>
              <w:tc>
                <w:tcPr>
                  <w:tcW w:w="990" w:type="dxa"/>
                  <w:tcBorders>
                    <w:bottom w:val="single" w:sz="4" w:space="0" w:color="auto"/>
                  </w:tcBorders>
                  <w:vAlign w:val="bottom"/>
                </w:tcPr>
                <w:p w14:paraId="7B9F9E92" w14:textId="77777777" w:rsidR="00B47896" w:rsidRPr="007D10EB" w:rsidRDefault="00B47896">
                  <w:pPr>
                    <w:spacing w:after="60"/>
                    <w:ind w:left="58"/>
                    <w:jc w:val="center"/>
                    <w:rPr>
                      <w:sz w:val="22"/>
                      <w:szCs w:val="22"/>
                    </w:rPr>
                  </w:pPr>
                  <w:r w:rsidRPr="007D10EB">
                    <w:rPr>
                      <w:szCs w:val="22"/>
                    </w:rPr>
                    <w:t>1</w:t>
                  </w:r>
                </w:p>
              </w:tc>
            </w:tr>
          </w:tbl>
          <w:p w14:paraId="6A8BF073" w14:textId="014B283A" w:rsidR="00B47896" w:rsidRPr="007D10EB" w:rsidRDefault="00B47896">
            <w:pPr>
              <w:keepLines/>
              <w:spacing w:before="120"/>
              <w:jc w:val="both"/>
            </w:pPr>
            <w:r w:rsidRPr="006D2C5A">
              <w:rPr>
                <w:szCs w:val="22"/>
              </w:rPr>
              <w:t>NOTE:  Only the total match amount pledged in the commitment letter(s) will be considered.</w:t>
            </w:r>
          </w:p>
        </w:tc>
        <w:tc>
          <w:tcPr>
            <w:tcW w:w="1342" w:type="dxa"/>
            <w:tcBorders>
              <w:bottom w:val="single" w:sz="4" w:space="0" w:color="auto"/>
            </w:tcBorders>
            <w:shd w:val="clear" w:color="auto" w:fill="auto"/>
          </w:tcPr>
          <w:p w14:paraId="15944F6F" w14:textId="77777777" w:rsidR="00B47896" w:rsidRPr="007D10EB" w:rsidRDefault="00B47896">
            <w:pPr>
              <w:spacing w:before="120" w:after="0"/>
              <w:jc w:val="center"/>
              <w:rPr>
                <w:b/>
                <w:szCs w:val="22"/>
              </w:rPr>
            </w:pPr>
            <w:r w:rsidRPr="007D10EB">
              <w:rPr>
                <w:b/>
                <w:szCs w:val="22"/>
              </w:rPr>
              <w:t>5</w:t>
            </w:r>
          </w:p>
        </w:tc>
      </w:tr>
      <w:tr w:rsidR="00B47896" w:rsidRPr="00CE5562" w14:paraId="1D71EC08" w14:textId="77777777" w:rsidTr="1FE86E21">
        <w:trPr>
          <w:cantSplit/>
          <w:trHeight w:val="647"/>
        </w:trPr>
        <w:tc>
          <w:tcPr>
            <w:tcW w:w="9704" w:type="dxa"/>
            <w:gridSpan w:val="2"/>
            <w:tcBorders>
              <w:top w:val="single" w:sz="4" w:space="0" w:color="auto"/>
            </w:tcBorders>
            <w:shd w:val="clear" w:color="auto" w:fill="D9D9D9" w:themeFill="background1" w:themeFillShade="D9"/>
          </w:tcPr>
          <w:p w14:paraId="11BD1240" w14:textId="77777777" w:rsidR="00B47896" w:rsidRPr="00CE5562" w:rsidRDefault="00B47896">
            <w:pPr>
              <w:spacing w:before="60" w:after="0"/>
              <w:jc w:val="both"/>
              <w:rPr>
                <w:b/>
                <w:szCs w:val="22"/>
              </w:rPr>
            </w:pPr>
            <w:r w:rsidRPr="00CE5562">
              <w:rPr>
                <w:b/>
                <w:szCs w:val="22"/>
              </w:rPr>
              <w:lastRenderedPageBreak/>
              <w:t>Preference Points:</w:t>
            </w:r>
            <w:r w:rsidRPr="00CE5562">
              <w:rPr>
                <w:szCs w:val="22"/>
              </w:rPr>
              <w:t xml:space="preserve"> For applications proposing projects located in and benefiting low-income and/or disadvantaged communities within IOU service territories. Applications must meet </w:t>
            </w:r>
            <w:r>
              <w:rPr>
                <w:szCs w:val="22"/>
              </w:rPr>
              <w:t>all</w:t>
            </w:r>
            <w:r w:rsidRPr="00CE5562">
              <w:rPr>
                <w:szCs w:val="22"/>
              </w:rPr>
              <w:t xml:space="preserve"> minimum passing scores (Scoring Criteria 1-</w:t>
            </w:r>
            <w:r>
              <w:rPr>
                <w:szCs w:val="22"/>
              </w:rPr>
              <w:t>4</w:t>
            </w:r>
            <w:r w:rsidRPr="00CE5562">
              <w:rPr>
                <w:szCs w:val="22"/>
              </w:rPr>
              <w:t>, and 1-</w:t>
            </w:r>
            <w:r>
              <w:rPr>
                <w:szCs w:val="22"/>
              </w:rPr>
              <w:t>7)</w:t>
            </w:r>
            <w:r w:rsidRPr="00CE5562">
              <w:rPr>
                <w:szCs w:val="22"/>
              </w:rPr>
              <w:t xml:space="preserve"> to be eligible for the additional points.</w:t>
            </w:r>
          </w:p>
        </w:tc>
      </w:tr>
      <w:tr w:rsidR="00B47896" w:rsidRPr="00CE5562" w14:paraId="11A3A887" w14:textId="77777777" w:rsidTr="00427734">
        <w:trPr>
          <w:cantSplit/>
          <w:trHeight w:val="647"/>
        </w:trPr>
        <w:tc>
          <w:tcPr>
            <w:tcW w:w="8362" w:type="dxa"/>
            <w:shd w:val="clear" w:color="auto" w:fill="auto"/>
          </w:tcPr>
          <w:p w14:paraId="3678AD06" w14:textId="77777777" w:rsidR="00B47896" w:rsidRPr="00CE5562" w:rsidRDefault="00B47896">
            <w:pPr>
              <w:keepNext/>
              <w:numPr>
                <w:ilvl w:val="0"/>
                <w:numId w:val="49"/>
              </w:numPr>
              <w:spacing w:before="120"/>
              <w:jc w:val="both"/>
              <w:rPr>
                <w:b/>
                <w:szCs w:val="22"/>
              </w:rPr>
            </w:pPr>
            <w:r w:rsidRPr="00CE5562">
              <w:rPr>
                <w:b/>
                <w:szCs w:val="22"/>
              </w:rPr>
              <w:t>Disadvantaged &amp; Low-Income Communities</w:t>
            </w:r>
          </w:p>
          <w:p w14:paraId="4E9288E9" w14:textId="77777777" w:rsidR="00B47896" w:rsidRPr="00CE5562" w:rsidRDefault="00B47896">
            <w:pPr>
              <w:ind w:left="360"/>
              <w:jc w:val="both"/>
              <w:outlineLvl w:val="2"/>
              <w:rPr>
                <w:szCs w:val="22"/>
              </w:rPr>
            </w:pPr>
            <w:r>
              <w:rPr>
                <w:szCs w:val="22"/>
              </w:rPr>
              <w:t>In order to receive or qualify for additional points, t</w:t>
            </w:r>
            <w:r w:rsidRPr="00CE5562">
              <w:rPr>
                <w:szCs w:val="22"/>
              </w:rPr>
              <w:t xml:space="preserve">he </w:t>
            </w:r>
            <w:r>
              <w:rPr>
                <w:szCs w:val="22"/>
              </w:rPr>
              <w:t xml:space="preserve">proposed </w:t>
            </w:r>
            <w:r w:rsidRPr="00CE5562">
              <w:rPr>
                <w:szCs w:val="22"/>
              </w:rPr>
              <w:t>project</w:t>
            </w:r>
            <w:r>
              <w:rPr>
                <w:szCs w:val="22"/>
              </w:rPr>
              <w:t xml:space="preserve"> must demonstrate</w:t>
            </w:r>
            <w:r w:rsidRPr="00CE5562">
              <w:rPr>
                <w:szCs w:val="22"/>
              </w:rPr>
              <w:t xml:space="preserve"> benefits</w:t>
            </w:r>
            <w:r>
              <w:rPr>
                <w:szCs w:val="22"/>
              </w:rPr>
              <w:t xml:space="preserve"> to</w:t>
            </w:r>
            <w:r w:rsidRPr="00CE5562">
              <w:rPr>
                <w:szCs w:val="22"/>
              </w:rPr>
              <w:t xml:space="preserve"> the disadvantaged and/or low-income community in order to receive additional points.  </w:t>
            </w:r>
          </w:p>
          <w:p w14:paraId="669B224B" w14:textId="77777777" w:rsidR="00B47896" w:rsidRPr="00CE5562" w:rsidRDefault="00B47896">
            <w:pPr>
              <w:numPr>
                <w:ilvl w:val="0"/>
                <w:numId w:val="79"/>
              </w:numPr>
              <w:jc w:val="both"/>
              <w:outlineLvl w:val="2"/>
              <w:rPr>
                <w:szCs w:val="22"/>
              </w:rPr>
            </w:pPr>
            <w:r w:rsidRPr="00CE5562">
              <w:rPr>
                <w:szCs w:val="22"/>
              </w:rPr>
              <w:t>Proposal identifies how the target market(s) will benefit disadvantaged and/or low-income communities.</w:t>
            </w:r>
          </w:p>
          <w:p w14:paraId="687F744E" w14:textId="77777777" w:rsidR="00B47896" w:rsidRPr="00CE5562" w:rsidRDefault="00B47896">
            <w:pPr>
              <w:numPr>
                <w:ilvl w:val="0"/>
                <w:numId w:val="79"/>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7C9DC51A" w14:textId="77777777" w:rsidR="00B47896" w:rsidRPr="00CE5562" w:rsidRDefault="00B47896">
            <w:pPr>
              <w:numPr>
                <w:ilvl w:val="0"/>
                <w:numId w:val="79"/>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4B9F5E72" w14:textId="7E49ECC8" w:rsidR="00B47896" w:rsidRPr="00CE5562" w:rsidDel="004C06FD" w:rsidRDefault="00B47896">
            <w:pPr>
              <w:numPr>
                <w:ilvl w:val="0"/>
                <w:numId w:val="79"/>
              </w:numPr>
              <w:jc w:val="both"/>
              <w:outlineLvl w:val="2"/>
              <w:rPr>
                <w:szCs w:val="22"/>
              </w:rPr>
            </w:pPr>
            <w:r w:rsidRPr="00CE5562">
              <w:rPr>
                <w:szCs w:val="22"/>
              </w:rPr>
              <w:t>Applicants have letters of support from technology partners, community based organizations, environmental justice organizations, or other partners that demonstrate</w:t>
            </w:r>
            <w:r>
              <w:rPr>
                <w:szCs w:val="22"/>
              </w:rPr>
              <w:t xml:space="preserve"> their belief that the proposed project will lead to increased</w:t>
            </w:r>
            <w:r w:rsidRPr="00CE5562">
              <w:rPr>
                <w:szCs w:val="22"/>
              </w:rPr>
              <w:t xml:space="preserve"> equity, </w:t>
            </w:r>
            <w:r>
              <w:rPr>
                <w:szCs w:val="22"/>
              </w:rPr>
              <w:t xml:space="preserve">and is both </w:t>
            </w:r>
            <w:r w:rsidRPr="00CE5562">
              <w:rPr>
                <w:szCs w:val="22"/>
              </w:rPr>
              <w:t>feasib</w:t>
            </w:r>
            <w:r>
              <w:rPr>
                <w:szCs w:val="22"/>
              </w:rPr>
              <w:t>le</w:t>
            </w:r>
            <w:r w:rsidRPr="00CE5562">
              <w:rPr>
                <w:szCs w:val="22"/>
              </w:rPr>
              <w:t xml:space="preserve"> and commercial</w:t>
            </w:r>
            <w:r>
              <w:rPr>
                <w:szCs w:val="22"/>
              </w:rPr>
              <w:t>ly</w:t>
            </w:r>
            <w:r w:rsidRPr="00CE5562">
              <w:rPr>
                <w:szCs w:val="22"/>
              </w:rPr>
              <w:t xml:space="preserve"> viabl</w:t>
            </w:r>
            <w:r>
              <w:rPr>
                <w:szCs w:val="22"/>
              </w:rPr>
              <w:t>e</w:t>
            </w:r>
            <w:r w:rsidRPr="00CE5562">
              <w:rPr>
                <w:szCs w:val="22"/>
              </w:rPr>
              <w:t xml:space="preserve"> in </w:t>
            </w:r>
            <w:r>
              <w:rPr>
                <w:szCs w:val="22"/>
              </w:rPr>
              <w:t xml:space="preserve">the identified </w:t>
            </w:r>
            <w:r w:rsidRPr="00CE5562">
              <w:rPr>
                <w:szCs w:val="22"/>
              </w:rPr>
              <w:t>low-income and</w:t>
            </w:r>
            <w:r>
              <w:rPr>
                <w:szCs w:val="22"/>
              </w:rPr>
              <w:t>/or</w:t>
            </w:r>
            <w:r w:rsidRPr="00CE5562">
              <w:rPr>
                <w:szCs w:val="22"/>
              </w:rPr>
              <w:t xml:space="preserve"> disadvantaged communities.</w:t>
            </w:r>
          </w:p>
        </w:tc>
        <w:tc>
          <w:tcPr>
            <w:tcW w:w="1342" w:type="dxa"/>
            <w:shd w:val="clear" w:color="auto" w:fill="auto"/>
          </w:tcPr>
          <w:p w14:paraId="3BF719C0" w14:textId="77777777" w:rsidR="00B47896" w:rsidRPr="00CE5562" w:rsidRDefault="00B47896">
            <w:pPr>
              <w:spacing w:before="120" w:after="0"/>
              <w:jc w:val="center"/>
              <w:rPr>
                <w:rFonts w:cs="Times New Roman"/>
                <w:b/>
                <w:bCs/>
                <w:smallCaps/>
                <w:szCs w:val="22"/>
              </w:rPr>
            </w:pPr>
            <w:r w:rsidRPr="00CE5562">
              <w:rPr>
                <w:b/>
                <w:szCs w:val="22"/>
              </w:rPr>
              <w:t>5</w:t>
            </w:r>
          </w:p>
        </w:tc>
      </w:tr>
    </w:tbl>
    <w:p w14:paraId="4E850B59" w14:textId="77777777" w:rsidR="00B47896" w:rsidRDefault="00B47896" w:rsidP="00B47896">
      <w:pPr>
        <w:tabs>
          <w:tab w:val="left" w:pos="1530"/>
        </w:tabs>
        <w:jc w:val="both"/>
        <w:rPr>
          <w:b/>
          <w:szCs w:val="22"/>
        </w:rPr>
      </w:pPr>
    </w:p>
    <w:p w14:paraId="2C864857" w14:textId="77777777" w:rsidR="00E5028F" w:rsidRPr="00CE5562" w:rsidRDefault="00E5028F" w:rsidP="00B47896">
      <w:pPr>
        <w:tabs>
          <w:tab w:val="left" w:pos="1530"/>
        </w:tabs>
        <w:jc w:val="both"/>
        <w:rPr>
          <w:b/>
          <w:szCs w:val="22"/>
        </w:rPr>
      </w:pPr>
    </w:p>
    <w:sectPr w:rsidR="00E5028F" w:rsidRPr="00CE5562" w:rsidSect="00022EF2">
      <w:headerReference w:type="default" r:id="rId31"/>
      <w:pgSz w:w="12240" w:h="15840" w:code="1"/>
      <w:pgMar w:top="1440" w:right="1440" w:bottom="1440" w:left="1440" w:header="720" w:footer="576"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FF66" w14:textId="77777777" w:rsidR="0037316C" w:rsidRDefault="0037316C" w:rsidP="00B47896">
      <w:pPr>
        <w:spacing w:after="0"/>
      </w:pPr>
      <w:r>
        <w:separator/>
      </w:r>
    </w:p>
  </w:endnote>
  <w:endnote w:type="continuationSeparator" w:id="0">
    <w:p w14:paraId="7B46681C" w14:textId="77777777" w:rsidR="0037316C" w:rsidRDefault="0037316C" w:rsidP="00B47896">
      <w:pPr>
        <w:spacing w:after="0"/>
      </w:pPr>
      <w:r>
        <w:continuationSeparator/>
      </w:r>
    </w:p>
  </w:endnote>
  <w:endnote w:type="continuationNotice" w:id="1">
    <w:p w14:paraId="574F6F3B" w14:textId="77777777" w:rsidR="0037316C" w:rsidRDefault="003731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D0E21C" w14:paraId="71F617A0" w14:textId="77777777" w:rsidTr="005243DB">
      <w:tc>
        <w:tcPr>
          <w:tcW w:w="3120" w:type="dxa"/>
        </w:tcPr>
        <w:p w14:paraId="5768C63C" w14:textId="362E6F7B" w:rsidR="1CD0E21C" w:rsidRDefault="1CD0E21C" w:rsidP="005243DB">
          <w:pPr>
            <w:pStyle w:val="Header"/>
            <w:ind w:left="-115"/>
            <w:rPr>
              <w:szCs w:val="24"/>
            </w:rPr>
          </w:pPr>
        </w:p>
      </w:tc>
      <w:tc>
        <w:tcPr>
          <w:tcW w:w="3120" w:type="dxa"/>
        </w:tcPr>
        <w:p w14:paraId="38DE218F" w14:textId="62B97D3A" w:rsidR="1CD0E21C" w:rsidRDefault="1CD0E21C" w:rsidP="005243DB">
          <w:pPr>
            <w:pStyle w:val="Header"/>
            <w:jc w:val="center"/>
            <w:rPr>
              <w:szCs w:val="24"/>
            </w:rPr>
          </w:pPr>
        </w:p>
      </w:tc>
      <w:tc>
        <w:tcPr>
          <w:tcW w:w="3120" w:type="dxa"/>
        </w:tcPr>
        <w:p w14:paraId="2C391BDF" w14:textId="674B6160" w:rsidR="1CD0E21C" w:rsidRDefault="1CD0E21C" w:rsidP="005243DB">
          <w:pPr>
            <w:pStyle w:val="Header"/>
            <w:ind w:right="-115"/>
            <w:jc w:val="right"/>
            <w:rPr>
              <w:szCs w:val="24"/>
            </w:rPr>
          </w:pPr>
        </w:p>
      </w:tc>
    </w:tr>
  </w:tbl>
  <w:p w14:paraId="55693E2B" w14:textId="379E4012" w:rsidR="1CD0E21C" w:rsidRDefault="1CD0E21C" w:rsidP="00524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7BC0" w14:textId="77777777" w:rsidR="00B47896" w:rsidRDefault="00B47896">
    <w:pPr>
      <w:pStyle w:val="Footer"/>
    </w:pPr>
    <w:r>
      <w:t>Template Version July 2016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550A" w14:textId="0C8F767C" w:rsidR="006D04E5" w:rsidRDefault="00E865A8" w:rsidP="006D04E5">
    <w:pPr>
      <w:tabs>
        <w:tab w:val="left" w:pos="0"/>
        <w:tab w:val="center" w:pos="4680"/>
        <w:tab w:val="right" w:pos="9360"/>
      </w:tabs>
      <w:spacing w:after="0"/>
      <w:rPr>
        <w:sz w:val="20"/>
        <w:szCs w:val="16"/>
      </w:rPr>
    </w:pPr>
    <w:r>
      <w:rPr>
        <w:sz w:val="20"/>
        <w:szCs w:val="16"/>
      </w:rPr>
      <w:t>[</w:t>
    </w:r>
    <w:r w:rsidR="00020E1F" w:rsidRPr="005243DB">
      <w:rPr>
        <w:strike/>
        <w:sz w:val="20"/>
        <w:szCs w:val="16"/>
      </w:rPr>
      <w:t>October</w:t>
    </w:r>
    <w:r w:rsidR="00B13CC1">
      <w:rPr>
        <w:sz w:val="20"/>
        <w:szCs w:val="16"/>
      </w:rPr>
      <w:t xml:space="preserve">] </w:t>
    </w:r>
    <w:r w:rsidR="00B13CC1" w:rsidRPr="005243DB">
      <w:rPr>
        <w:b/>
        <w:bCs/>
        <w:sz w:val="20"/>
        <w:szCs w:val="16"/>
        <w:u w:val="single"/>
      </w:rPr>
      <w:t>December</w:t>
    </w:r>
    <w:r w:rsidR="00020E1F">
      <w:rPr>
        <w:sz w:val="20"/>
        <w:szCs w:val="16"/>
      </w:rPr>
      <w:t xml:space="preserve"> 2</w:t>
    </w:r>
    <w:r w:rsidR="002C7344">
      <w:rPr>
        <w:sz w:val="20"/>
        <w:szCs w:val="16"/>
      </w:rPr>
      <w:t>022</w:t>
    </w:r>
    <w:r w:rsidR="00B47896" w:rsidRPr="00122853">
      <w:rPr>
        <w:sz w:val="20"/>
        <w:szCs w:val="16"/>
      </w:rPr>
      <w:tab/>
    </w:r>
    <w:r w:rsidR="001F00B5" w:rsidRPr="00CE6000">
      <w:rPr>
        <w:sz w:val="20"/>
      </w:rPr>
      <w:t xml:space="preserve">Page </w:t>
    </w:r>
    <w:r w:rsidR="001F00B5" w:rsidRPr="00CE6000">
      <w:rPr>
        <w:rStyle w:val="PageNumber"/>
      </w:rPr>
      <w:fldChar w:fldCharType="begin"/>
    </w:r>
    <w:r w:rsidR="001F00B5" w:rsidRPr="00CE6000">
      <w:rPr>
        <w:rStyle w:val="PageNumber"/>
      </w:rPr>
      <w:instrText xml:space="preserve"> PAGE </w:instrText>
    </w:r>
    <w:r w:rsidR="001F00B5" w:rsidRPr="00CE6000">
      <w:rPr>
        <w:rStyle w:val="PageNumber"/>
      </w:rPr>
      <w:fldChar w:fldCharType="separate"/>
    </w:r>
    <w:r w:rsidR="001F00B5">
      <w:rPr>
        <w:rStyle w:val="PageNumber"/>
      </w:rPr>
      <w:t>1</w:t>
    </w:r>
    <w:r w:rsidR="001F00B5" w:rsidRPr="00CE6000">
      <w:rPr>
        <w:rStyle w:val="PageNumber"/>
      </w:rPr>
      <w:fldChar w:fldCharType="end"/>
    </w:r>
    <w:r w:rsidR="001F00B5" w:rsidRPr="00CE6000">
      <w:rPr>
        <w:rStyle w:val="PageNumber"/>
      </w:rPr>
      <w:t xml:space="preserve"> of </w:t>
    </w:r>
    <w:r w:rsidR="001F00B5" w:rsidRPr="00CE6000">
      <w:rPr>
        <w:rStyle w:val="PageNumber"/>
      </w:rPr>
      <w:fldChar w:fldCharType="begin"/>
    </w:r>
    <w:r w:rsidR="001F00B5" w:rsidRPr="00CE6000">
      <w:rPr>
        <w:rStyle w:val="PageNumber"/>
      </w:rPr>
      <w:instrText xml:space="preserve"> NUMPAGES </w:instrText>
    </w:r>
    <w:r w:rsidR="001F00B5" w:rsidRPr="00CE6000">
      <w:rPr>
        <w:rStyle w:val="PageNumber"/>
      </w:rPr>
      <w:fldChar w:fldCharType="separate"/>
    </w:r>
    <w:r w:rsidR="001F00B5">
      <w:rPr>
        <w:rStyle w:val="PageNumber"/>
      </w:rPr>
      <w:t>1</w:t>
    </w:r>
    <w:r w:rsidR="001F00B5" w:rsidRPr="00CE6000">
      <w:rPr>
        <w:rStyle w:val="PageNumber"/>
      </w:rPr>
      <w:fldChar w:fldCharType="end"/>
    </w:r>
    <w:r w:rsidR="00B47896" w:rsidRPr="00122853">
      <w:rPr>
        <w:sz w:val="20"/>
        <w:szCs w:val="16"/>
      </w:rPr>
      <w:tab/>
    </w:r>
    <w:r w:rsidR="0069704C">
      <w:rPr>
        <w:sz w:val="20"/>
        <w:szCs w:val="16"/>
      </w:rPr>
      <w:t>[</w:t>
    </w:r>
    <w:r w:rsidR="00B47896" w:rsidRPr="005243DB">
      <w:rPr>
        <w:strike/>
        <w:sz w:val="20"/>
        <w:szCs w:val="16"/>
      </w:rPr>
      <w:t>GFO-</w:t>
    </w:r>
    <w:r w:rsidR="003031C8" w:rsidRPr="005243DB">
      <w:rPr>
        <w:strike/>
        <w:sz w:val="20"/>
        <w:szCs w:val="16"/>
      </w:rPr>
      <w:t>20</w:t>
    </w:r>
    <w:r w:rsidR="00B47896" w:rsidRPr="005243DB">
      <w:rPr>
        <w:strike/>
        <w:sz w:val="20"/>
        <w:szCs w:val="16"/>
      </w:rPr>
      <w:t>-</w:t>
    </w:r>
    <w:r w:rsidR="003031C8" w:rsidRPr="005243DB">
      <w:rPr>
        <w:strike/>
        <w:sz w:val="20"/>
        <w:szCs w:val="16"/>
      </w:rPr>
      <w:t>304</w:t>
    </w:r>
    <w:r w:rsidR="0069704C">
      <w:rPr>
        <w:sz w:val="20"/>
        <w:szCs w:val="16"/>
      </w:rPr>
      <w:t>]</w:t>
    </w:r>
    <w:r w:rsidR="00091D10">
      <w:rPr>
        <w:sz w:val="20"/>
        <w:szCs w:val="16"/>
      </w:rPr>
      <w:t xml:space="preserve"> </w:t>
    </w:r>
    <w:r w:rsidR="0069704C" w:rsidRPr="005243DB">
      <w:rPr>
        <w:b/>
        <w:bCs/>
        <w:sz w:val="20"/>
        <w:szCs w:val="16"/>
        <w:u w:val="single"/>
      </w:rPr>
      <w:t>GFO-2</w:t>
    </w:r>
    <w:r w:rsidR="0069704C">
      <w:rPr>
        <w:b/>
        <w:bCs/>
        <w:sz w:val="20"/>
        <w:szCs w:val="16"/>
        <w:u w:val="single"/>
      </w:rPr>
      <w:t>2</w:t>
    </w:r>
    <w:r w:rsidR="0069704C" w:rsidRPr="005243DB">
      <w:rPr>
        <w:b/>
        <w:bCs/>
        <w:sz w:val="20"/>
        <w:szCs w:val="16"/>
        <w:u w:val="single"/>
      </w:rPr>
      <w:t>-304</w:t>
    </w:r>
    <w:r w:rsidR="003031C8">
      <w:rPr>
        <w:sz w:val="20"/>
        <w:szCs w:val="16"/>
      </w:rPr>
      <w:br/>
    </w:r>
    <w:r w:rsidR="00C32AFC">
      <w:rPr>
        <w:sz w:val="20"/>
        <w:szCs w:val="16"/>
      </w:rPr>
      <w:tab/>
    </w:r>
    <w:r w:rsidR="00C32AFC">
      <w:rPr>
        <w:sz w:val="20"/>
        <w:szCs w:val="16"/>
      </w:rPr>
      <w:tab/>
    </w:r>
    <w:r w:rsidR="0053245B" w:rsidRPr="0053245B">
      <w:rPr>
        <w:sz w:val="20"/>
        <w:szCs w:val="16"/>
      </w:rPr>
      <w:t xml:space="preserve">Assessing the Role of Hydrogen in </w:t>
    </w:r>
  </w:p>
  <w:p w14:paraId="316CB928" w14:textId="52FB8D8C" w:rsidR="00B47896" w:rsidRPr="00122853" w:rsidRDefault="006D04E5" w:rsidP="006D04E5">
    <w:pPr>
      <w:tabs>
        <w:tab w:val="left" w:pos="0"/>
        <w:tab w:val="center" w:pos="4680"/>
        <w:tab w:val="right" w:pos="9360"/>
      </w:tabs>
      <w:spacing w:after="0"/>
      <w:rPr>
        <w:sz w:val="20"/>
        <w:szCs w:val="16"/>
      </w:rPr>
    </w:pPr>
    <w:r>
      <w:rPr>
        <w:sz w:val="20"/>
        <w:szCs w:val="16"/>
      </w:rPr>
      <w:tab/>
    </w:r>
    <w:r>
      <w:rPr>
        <w:sz w:val="20"/>
        <w:szCs w:val="16"/>
      </w:rPr>
      <w:tab/>
    </w:r>
    <w:r w:rsidR="0053245B" w:rsidRPr="0053245B">
      <w:rPr>
        <w:sz w:val="20"/>
        <w:szCs w:val="16"/>
      </w:rPr>
      <w:t>California’s Decarbonizing Electric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76A0" w14:textId="77777777" w:rsidR="0037316C" w:rsidRDefault="0037316C" w:rsidP="00B47896">
      <w:pPr>
        <w:spacing w:after="0"/>
      </w:pPr>
      <w:r>
        <w:separator/>
      </w:r>
    </w:p>
  </w:footnote>
  <w:footnote w:type="continuationSeparator" w:id="0">
    <w:p w14:paraId="20198A09" w14:textId="77777777" w:rsidR="0037316C" w:rsidRDefault="0037316C" w:rsidP="00B47896">
      <w:pPr>
        <w:spacing w:after="0"/>
      </w:pPr>
      <w:r>
        <w:continuationSeparator/>
      </w:r>
    </w:p>
  </w:footnote>
  <w:footnote w:type="continuationNotice" w:id="1">
    <w:p w14:paraId="0BDE1156" w14:textId="77777777" w:rsidR="0037316C" w:rsidRDefault="0037316C">
      <w:pPr>
        <w:spacing w:after="0"/>
      </w:pPr>
    </w:p>
  </w:footnote>
  <w:footnote w:id="2">
    <w:p w14:paraId="43B78F88" w14:textId="77777777" w:rsidR="00B47896" w:rsidRDefault="00B47896" w:rsidP="00B47896">
      <w:pPr>
        <w:pStyle w:val="FootnoteText"/>
      </w:pPr>
      <w:r w:rsidRPr="00590E11">
        <w:rPr>
          <w:rStyle w:val="FootnoteReference"/>
        </w:rPr>
        <w:footnoteRef/>
      </w:r>
      <w:r w:rsidRPr="00590E11">
        <w:t xml:space="preserve"> </w:t>
      </w:r>
      <w:r>
        <w:t>California Energy Commission Proposed EPIC Interim Investment Plan 2021, https://efiling.energy.ca.gov/GetDocument.aspx?tn=236882 and approved by CPUC decision 21-07-006, July 15, 2021, https://docs.cpuc.ca.gov/SearchRes.aspx?docformat=ALL&amp;docid=394265545.</w:t>
      </w:r>
    </w:p>
  </w:footnote>
  <w:footnote w:id="3">
    <w:p w14:paraId="5BC25049" w14:textId="77777777" w:rsidR="00B47896" w:rsidRDefault="00B47896" w:rsidP="00B47896">
      <w:pPr>
        <w:pStyle w:val="FootnoteText"/>
      </w:pPr>
      <w:r>
        <w:rPr>
          <w:rStyle w:val="FootnoteReference"/>
        </w:rPr>
        <w:footnoteRef/>
      </w:r>
      <w:r>
        <w:t xml:space="preserve"> </w:t>
      </w:r>
      <w:hyperlink r:id="rId1" w:history="1">
        <w:r>
          <w:rPr>
            <w:rStyle w:val="Hyperlink"/>
          </w:rPr>
          <w:t>SB 100 Joint Agency Report | California Energy Commission</w:t>
        </w:r>
      </w:hyperlink>
      <w:r>
        <w:t xml:space="preserve"> </w:t>
      </w:r>
      <w:r w:rsidRPr="006C5AF3">
        <w:t>https://www.energy.ca.gov/sb100</w:t>
      </w:r>
    </w:p>
  </w:footnote>
  <w:footnote w:id="4">
    <w:p w14:paraId="3B845B83" w14:textId="0D4DE6B3" w:rsidR="000E22B3" w:rsidRDefault="000E22B3">
      <w:pPr>
        <w:pStyle w:val="FootnoteText"/>
      </w:pPr>
      <w:r>
        <w:rPr>
          <w:rStyle w:val="FootnoteReference"/>
        </w:rPr>
        <w:footnoteRef/>
      </w:r>
      <w:r>
        <w:t xml:space="preserve"> </w:t>
      </w:r>
      <w:hyperlink r:id="rId2" w:history="1">
        <w:r w:rsidRPr="00796D60">
          <w:rPr>
            <w:rStyle w:val="Hyperlink"/>
            <w:rFonts w:cs="Arial"/>
          </w:rPr>
          <w:t xml:space="preserve">SB </w:t>
        </w:r>
        <w:r w:rsidR="003C33A3" w:rsidRPr="00796D60">
          <w:rPr>
            <w:rStyle w:val="Hyperlink"/>
            <w:rFonts w:cs="Arial"/>
          </w:rPr>
          <w:t>1369</w:t>
        </w:r>
        <w:r w:rsidR="00796D60" w:rsidRPr="00796D60">
          <w:rPr>
            <w:rStyle w:val="Hyperlink"/>
            <w:rFonts w:cs="Arial"/>
          </w:rPr>
          <w:t xml:space="preserve"> – Energy: green electrolytic hydrogen</w:t>
        </w:r>
      </w:hyperlink>
      <w:r w:rsidR="003C33A3">
        <w:t xml:space="preserve">. </w:t>
      </w:r>
      <w:r w:rsidR="003C33A3" w:rsidRPr="003C33A3">
        <w:t>https://leginfo.legislature.ca.gov/faces/billTextClient.xhtml?bill_id=201720180SB1369</w:t>
      </w:r>
    </w:p>
  </w:footnote>
  <w:footnote w:id="5">
    <w:p w14:paraId="309A665F" w14:textId="44D40C59" w:rsidR="00515F06" w:rsidRDefault="00515F06">
      <w:pPr>
        <w:pStyle w:val="FootnoteText"/>
      </w:pPr>
      <w:r>
        <w:rPr>
          <w:rStyle w:val="FootnoteReference"/>
        </w:rPr>
        <w:footnoteRef/>
      </w:r>
      <w:r>
        <w:t xml:space="preserve"> U.S. DOE. </w:t>
      </w:r>
      <w:hyperlink r:id="rId3" w:history="1">
        <w:r w:rsidR="00A9713F" w:rsidRPr="00A9713F">
          <w:rPr>
            <w:rStyle w:val="Hyperlink"/>
            <w:rFonts w:cs="Arial"/>
          </w:rPr>
          <w:t>Regional Clean Hydrogen Hubs</w:t>
        </w:r>
      </w:hyperlink>
      <w:r w:rsidR="00A9713F">
        <w:t xml:space="preserve">. </w:t>
      </w:r>
      <w:r w:rsidR="00A9713F" w:rsidRPr="00A9713F">
        <w:t>https://www.energy.gov/bil/regional-clean-hydrogen-hubs</w:t>
      </w:r>
    </w:p>
  </w:footnote>
  <w:footnote w:id="6">
    <w:p w14:paraId="4543BF2B" w14:textId="77777777" w:rsidR="00027A10" w:rsidRDefault="00027A10" w:rsidP="00027A10">
      <w:pPr>
        <w:pStyle w:val="FootnoteText"/>
      </w:pPr>
      <w:r>
        <w:rPr>
          <w:rStyle w:val="FootnoteReference"/>
        </w:rPr>
        <w:footnoteRef/>
      </w:r>
      <w:r>
        <w:t xml:space="preserve"> California Governor’s Office of Business and Economic Development. 2022. </w:t>
      </w:r>
      <w:hyperlink r:id="rId4" w:history="1">
        <w:r w:rsidRPr="00C24994">
          <w:rPr>
            <w:rStyle w:val="Hyperlink"/>
            <w:rFonts w:cs="Arial"/>
          </w:rPr>
          <w:t>California Formally Announces Intention to Create Renewable Hydrogen Hub</w:t>
        </w:r>
      </w:hyperlink>
      <w:r>
        <w:t xml:space="preserve">. </w:t>
      </w:r>
      <w:r w:rsidRPr="00C24994">
        <w:t>https://business.ca.gov/california-formally-announces-intention-to-create-a-renewable-hydrogen-hub/</w:t>
      </w:r>
    </w:p>
  </w:footnote>
  <w:footnote w:id="7">
    <w:p w14:paraId="1081F421" w14:textId="1AB5BAE4" w:rsidR="003646B1" w:rsidRDefault="003646B1">
      <w:pPr>
        <w:pStyle w:val="FootnoteText"/>
      </w:pPr>
      <w:r>
        <w:rPr>
          <w:rStyle w:val="FootnoteReference"/>
        </w:rPr>
        <w:footnoteRef/>
      </w:r>
      <w:r>
        <w:t xml:space="preserve"> AB 209 – </w:t>
      </w:r>
      <w:hyperlink r:id="rId5" w:history="1">
        <w:r w:rsidRPr="00546D7E">
          <w:rPr>
            <w:rStyle w:val="Hyperlink"/>
            <w:rFonts w:cs="Arial"/>
          </w:rPr>
          <w:t>Energy and Climate.</w:t>
        </w:r>
      </w:hyperlink>
      <w:r>
        <w:t xml:space="preserve"> </w:t>
      </w:r>
      <w:r w:rsidR="00546D7E" w:rsidRPr="00546D7E">
        <w:t>https://leginfo.legislature.ca.gov/faces/billTextClient.xhtml?bill_id=202120220AB209</w:t>
      </w:r>
    </w:p>
  </w:footnote>
  <w:footnote w:id="8">
    <w:p w14:paraId="59038530" w14:textId="77777777" w:rsidR="009C6293" w:rsidRDefault="009C6293" w:rsidP="009C6293">
      <w:pPr>
        <w:pStyle w:val="FootnoteText"/>
      </w:pPr>
      <w:r>
        <w:rPr>
          <w:rStyle w:val="FootnoteReference"/>
        </w:rPr>
        <w:footnoteRef/>
      </w:r>
      <w:r>
        <w:t xml:space="preserve"> The </w:t>
      </w:r>
      <w:hyperlink r:id="rId6" w:history="1">
        <w:r w:rsidRPr="00EC7F5C">
          <w:rPr>
            <w:rStyle w:val="Hyperlink"/>
            <w:rFonts w:cs="Arial"/>
          </w:rPr>
          <w:t>2021-2025 EPIC Investment Plan</w:t>
        </w:r>
      </w:hyperlink>
      <w:r>
        <w:t xml:space="preserve"> approved by CPUC includes funding initiative #7 titled “Green Hydrogen Roadmap Implementation”. </w:t>
      </w:r>
      <w:r w:rsidRPr="00572DB4">
        <w:t>https://www.energy.ca.gov/publications/2021/electric-program-investment-charge-proposed-2021-2025-investment-plan-epic-4</w:t>
      </w:r>
    </w:p>
  </w:footnote>
  <w:footnote w:id="9">
    <w:p w14:paraId="09A78820" w14:textId="77777777" w:rsidR="00B47896" w:rsidRDefault="00B47896" w:rsidP="00B47896">
      <w:pPr>
        <w:pStyle w:val="FootnoteText"/>
      </w:pPr>
      <w:r>
        <w:rPr>
          <w:rStyle w:val="FootnoteReference"/>
        </w:rPr>
        <w:footnoteRef/>
      </w:r>
      <w:r>
        <w:t xml:space="preserve"> Pacific Standard Time or Pacific Daylight Time, whichever is being observed.</w:t>
      </w:r>
    </w:p>
  </w:footnote>
  <w:footnote w:id="10">
    <w:p w14:paraId="7B1DE8F8" w14:textId="77777777" w:rsidR="00B47896" w:rsidRDefault="00B47896" w:rsidP="00B47896">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11">
    <w:p w14:paraId="457F7EE2" w14:textId="77777777" w:rsidR="00B47896" w:rsidRDefault="00B47896" w:rsidP="00B47896">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2">
    <w:p w14:paraId="6C53850A" w14:textId="77777777" w:rsidR="00493805" w:rsidRPr="005243DB" w:rsidRDefault="00493805" w:rsidP="00493805">
      <w:pPr>
        <w:pStyle w:val="FootnoteText"/>
        <w:rPr>
          <w:b/>
          <w:bCs/>
          <w:u w:val="single"/>
        </w:rPr>
      </w:pPr>
      <w:r w:rsidRPr="005243DB">
        <w:rPr>
          <w:rStyle w:val="FootnoteReference"/>
          <w:b/>
          <w:bCs/>
          <w:u w:val="single"/>
        </w:rPr>
        <w:footnoteRef/>
      </w:r>
      <w:r w:rsidRPr="005243DB">
        <w:rPr>
          <w:b/>
          <w:bCs/>
          <w:u w:val="single"/>
        </w:rPr>
        <w:t xml:space="preserve"> </w:t>
      </w:r>
      <w:r w:rsidRPr="005243DB">
        <w:rPr>
          <w:rFonts w:eastAsia="Arial"/>
          <w:b/>
          <w:bCs/>
          <w:u w:val="single"/>
        </w:rPr>
        <w:t xml:space="preserve">CPUC Decision 21-11-028, Appendix A https://docs.cpuc.ca.gov/PublishedDocs/Published/G000/M425/K515/425515575.PDF (revising former guiding principles within CPUC “Phase 2” Decision 12-05-037, Ordering Paragraph 2 </w:t>
      </w:r>
      <w:r w:rsidRPr="005243DB">
        <w:rPr>
          <w:b/>
          <w:bCs/>
          <w:u w:val="single"/>
        </w:rPr>
        <w:t>http://docs.cpuc.ca.gov/PublishedDocs/WORD_PDF/FINAL_DECISION/167664.PDF.</w:t>
      </w:r>
      <w:r w:rsidRPr="005243DB">
        <w:rPr>
          <w:rFonts w:eastAsia="Arial"/>
          <w:b/>
          <w:bCs/>
          <w:u w:val="single"/>
        </w:rPr>
        <w:t>).</w:t>
      </w:r>
    </w:p>
  </w:footnote>
  <w:footnote w:id="13">
    <w:p w14:paraId="473389A1" w14:textId="6A69A464" w:rsidR="00B47896" w:rsidRPr="005243DB" w:rsidRDefault="00B47896" w:rsidP="00B47896">
      <w:pPr>
        <w:pStyle w:val="FootnoteText"/>
        <w:rPr>
          <w:strike/>
        </w:rPr>
      </w:pPr>
      <w:r w:rsidRPr="005243DB">
        <w:rPr>
          <w:rStyle w:val="FootnoteReference"/>
          <w:strike/>
        </w:rPr>
        <w:footnoteRef/>
      </w:r>
      <w:r w:rsidRPr="00F2626E">
        <w:t xml:space="preserve"> </w:t>
      </w:r>
      <w:r w:rsidR="00F2626E" w:rsidRPr="00F2626E">
        <w:t>[</w:t>
      </w:r>
      <w:r w:rsidRPr="005243DB">
        <w:rPr>
          <w:strike/>
        </w:rPr>
        <w:t xml:space="preserve">See CPUC “Phase 2” Decision 12-05-037, May 24, 2012, </w:t>
      </w:r>
      <w:r w:rsidRPr="005243DB">
        <w:rPr>
          <w:rFonts w:cs="Times New Roman"/>
          <w:strike/>
        </w:rPr>
        <w:t>http://docs.cpuc.ca.gov/PublishedDocs/WORD_PDF/FINAL_DECISION/167664.PDF</w:t>
      </w:r>
      <w:r w:rsidRPr="005243DB">
        <w:rPr>
          <w:strike/>
        </w:rPr>
        <w:t>.</w:t>
      </w:r>
      <w:r w:rsidR="00F2626E" w:rsidRPr="00F2626E">
        <w:t>]</w:t>
      </w:r>
    </w:p>
  </w:footnote>
  <w:footnote w:id="14">
    <w:p w14:paraId="1F33C40D" w14:textId="77777777" w:rsidR="00B47896" w:rsidRDefault="00B47896" w:rsidP="00B47896">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15">
    <w:p w14:paraId="1FF4E30B" w14:textId="77777777" w:rsidR="00B47896" w:rsidRDefault="00B47896" w:rsidP="00B47896">
      <w:pPr>
        <w:pStyle w:val="FootnoteText"/>
      </w:pPr>
      <w:r>
        <w:rPr>
          <w:rStyle w:val="FootnoteReference"/>
        </w:rPr>
        <w:footnoteRef/>
      </w:r>
      <w:r>
        <w:t xml:space="preserve"> </w:t>
      </w:r>
      <w:r w:rsidRPr="006F2672">
        <w:t xml:space="preserve">Electric Program Investment Charge Interim Investment Plan 2021, </w:t>
      </w:r>
      <w:r w:rsidRPr="006F2672">
        <w:rPr>
          <w:rFonts w:cs="Times New Roman"/>
        </w:rPr>
        <w:t>https://efiling.energy.ca.gov/GetDocument.aspx?tn=236882</w:t>
      </w:r>
      <w:r w:rsidRPr="006F2672">
        <w:t xml:space="preserve">, as modified and approved by CPUC Decision 21-07-006, July 15, 2021, </w:t>
      </w:r>
      <w:r w:rsidRPr="006F2672">
        <w:rPr>
          <w:rFonts w:cs="Times New Roman"/>
        </w:rPr>
        <w:t>https://docs.cpuc.ca.gov/PublishedDocs/Published/G000/M394/K265/394265545.PDF</w:t>
      </w:r>
      <w:r w:rsidRPr="006F2672">
        <w:t xml:space="preserve">.  </w:t>
      </w:r>
    </w:p>
  </w:footnote>
  <w:footnote w:id="16">
    <w:p w14:paraId="10B6D8F1" w14:textId="05562969" w:rsidR="00B47896" w:rsidRDefault="00B47896" w:rsidP="00B47896">
      <w:pPr>
        <w:pStyle w:val="FootnoteText"/>
      </w:pPr>
      <w:r>
        <w:rPr>
          <w:rStyle w:val="FootnoteReference"/>
        </w:rPr>
        <w:footnoteRef/>
      </w:r>
      <w:r>
        <w:t xml:space="preserve"> </w:t>
      </w:r>
      <w:r w:rsidRPr="006F2672">
        <w:t xml:space="preserve">2018-2020 EPIC Triennial Investment Plan, </w:t>
      </w:r>
      <w:r w:rsidRPr="006F2672">
        <w:rPr>
          <w:rFonts w:cs="Times New Roman"/>
        </w:rPr>
        <w:t>https://www.energy.ca.gov/publications/2017/electric-program-investment-charge-proposed-2018-2020-triennial-investment-plan</w:t>
      </w:r>
      <w:r w:rsidRPr="006F2672">
        <w:t xml:space="preserve">, as modified and approved by CPUC decision 18-01-008, July 11, 2018, http://docs.cpuc.ca.gov/PublishedDocs/Published/G000/M206/K319/206319491.PDF.   </w:t>
      </w:r>
    </w:p>
  </w:footnote>
  <w:footnote w:id="17">
    <w:p w14:paraId="51AD5504" w14:textId="77777777" w:rsidR="00B47896" w:rsidRDefault="00B47896" w:rsidP="00B47896">
      <w:pPr>
        <w:pStyle w:val="FootnoteText"/>
      </w:pPr>
      <w:r>
        <w:rPr>
          <w:rStyle w:val="FootnoteReference"/>
        </w:rPr>
        <w:footnoteRef/>
      </w:r>
      <w:r>
        <w:t xml:space="preserve"> AB 32 (Statutes of 2006, chapter 488)</w:t>
      </w:r>
    </w:p>
  </w:footnote>
  <w:footnote w:id="18">
    <w:p w14:paraId="781564FD" w14:textId="77777777" w:rsidR="00B47896" w:rsidRDefault="00B47896" w:rsidP="00B47896">
      <w:pPr>
        <w:pStyle w:val="FootnoteText"/>
      </w:pPr>
      <w:r>
        <w:rPr>
          <w:rStyle w:val="FootnoteReference"/>
        </w:rPr>
        <w:footnoteRef/>
      </w:r>
      <w:r>
        <w:t xml:space="preserve"> AB 2514 (Statutes of 2010, chapter 469)</w:t>
      </w:r>
    </w:p>
  </w:footnote>
  <w:footnote w:id="19">
    <w:p w14:paraId="390BA5CE" w14:textId="77777777" w:rsidR="00B47896" w:rsidRDefault="00B47896" w:rsidP="00B47896">
      <w:pPr>
        <w:pStyle w:val="FootnoteText"/>
      </w:pPr>
      <w:r>
        <w:rPr>
          <w:rStyle w:val="FootnoteReference"/>
        </w:rPr>
        <w:footnoteRef/>
      </w:r>
      <w:r>
        <w:t xml:space="preserve"> SB 350 (Statutes of 2015, chapter 547</w:t>
      </w:r>
    </w:p>
  </w:footnote>
  <w:footnote w:id="20">
    <w:p w14:paraId="0EE4A6E8" w14:textId="77777777" w:rsidR="00B47896" w:rsidRDefault="00B47896" w:rsidP="00B47896">
      <w:pPr>
        <w:pStyle w:val="FootnoteText"/>
      </w:pPr>
      <w:r>
        <w:rPr>
          <w:rStyle w:val="FootnoteReference"/>
        </w:rPr>
        <w:footnoteRef/>
      </w:r>
      <w:r>
        <w:t xml:space="preserve"> A local publicly owned electric utility is an entity as defined in California Public Utilities Code section 224.3.</w:t>
      </w:r>
    </w:p>
  </w:footnote>
  <w:footnote w:id="21">
    <w:p w14:paraId="618830C0" w14:textId="77777777" w:rsidR="00B47896" w:rsidRDefault="00B47896" w:rsidP="00B47896">
      <w:pPr>
        <w:pStyle w:val="FootnoteText"/>
      </w:pPr>
      <w:r>
        <w:rPr>
          <w:rStyle w:val="FootnoteReference"/>
        </w:rPr>
        <w:footnoteRef/>
      </w:r>
      <w:r>
        <w:t xml:space="preserve"> Public Resources Code § 25711.6.  </w:t>
      </w:r>
    </w:p>
  </w:footnote>
  <w:footnote w:id="22">
    <w:p w14:paraId="40C31C7A" w14:textId="77777777" w:rsidR="00B47896" w:rsidRDefault="00B47896" w:rsidP="00B47896">
      <w:pPr>
        <w:pStyle w:val="FootnoteText"/>
      </w:pPr>
      <w:r>
        <w:rPr>
          <w:rStyle w:val="FootnoteReference"/>
        </w:rPr>
        <w:footnoteRef/>
      </w:r>
      <w:r>
        <w:t xml:space="preserve"> Public Resources Code § 25711.5. </w:t>
      </w:r>
    </w:p>
  </w:footnote>
  <w:footnote w:id="23">
    <w:p w14:paraId="18284F49" w14:textId="77777777" w:rsidR="00B47896" w:rsidRDefault="00B47896" w:rsidP="00B47896">
      <w:pPr>
        <w:pStyle w:val="FootnoteText"/>
      </w:pPr>
      <w:r>
        <w:rPr>
          <w:rStyle w:val="FootnoteReference"/>
        </w:rPr>
        <w:footnoteRef/>
      </w:r>
      <w:r>
        <w:t xml:space="preserve"> Public Resources Code § 25711.6.  </w:t>
      </w:r>
    </w:p>
  </w:footnote>
  <w:footnote w:id="24">
    <w:p w14:paraId="5D766AA0" w14:textId="77777777" w:rsidR="00B47896" w:rsidRDefault="00B47896" w:rsidP="00B47896">
      <w:pPr>
        <w:pStyle w:val="FootnoteText"/>
      </w:pPr>
      <w:r>
        <w:rPr>
          <w:rStyle w:val="FootnoteReference"/>
        </w:rPr>
        <w:footnoteRef/>
      </w:r>
      <w:r>
        <w:t xml:space="preserve"> See CPUC “Phase 2” Decision 12-05-037 at pp. 90, </w:t>
      </w:r>
      <w:r w:rsidRPr="00616F23">
        <w:t>http://docs.cpuc.ca.gov/PublishedDocs/WORD_PDF/FINAL_DECISION/167664.PDF</w:t>
      </w:r>
      <w:r>
        <w:t>.</w:t>
      </w:r>
    </w:p>
  </w:footnote>
  <w:footnote w:id="25">
    <w:p w14:paraId="76E85B37" w14:textId="29915DF7" w:rsidR="00AF3575" w:rsidRDefault="00AF3575">
      <w:pPr>
        <w:pStyle w:val="FootnoteText"/>
      </w:pPr>
      <w:r w:rsidRPr="005243DB">
        <w:rPr>
          <w:rStyle w:val="FootnoteReference"/>
          <w:b/>
          <w:bCs/>
          <w:u w:val="single"/>
        </w:rPr>
        <w:footnoteRef/>
      </w:r>
      <w:r w:rsidRPr="005243DB">
        <w:rPr>
          <w:b/>
          <w:bCs/>
          <w:u w:val="single"/>
        </w:rPr>
        <w:t xml:space="preserve"> </w:t>
      </w:r>
      <w:r w:rsidRPr="001E4EAC">
        <w:rPr>
          <w:b/>
          <w:bCs/>
          <w:u w:val="single"/>
        </w:rPr>
        <w:t>CPUC Decision 21-11-028, Appendix A https://docs.cpuc.ca.gov/PublishedDocs/Published/G000/M425/K515/425515575.PDF (revising former guiding principles within CPUC “Phase 2” Decision 12-05-037, Ordering Paragraph 2 http://docs.cpuc.ca.gov/PublishedDocs/WORD_PDF/FINAL_DECISION/167664.PDF.).</w:t>
      </w:r>
    </w:p>
  </w:footnote>
  <w:footnote w:id="26">
    <w:p w14:paraId="25BB3BB5" w14:textId="34F48109" w:rsidR="00B47896" w:rsidRDefault="00B47896" w:rsidP="00B47896">
      <w:pPr>
        <w:pStyle w:val="FootnoteText"/>
      </w:pPr>
      <w:r w:rsidRPr="005243DB">
        <w:rPr>
          <w:rStyle w:val="FootnoteReference"/>
          <w:rFonts w:cs="Arial"/>
          <w:strike/>
        </w:rPr>
        <w:footnoteRef/>
      </w:r>
      <w:r>
        <w:t xml:space="preserve"> </w:t>
      </w:r>
      <w:r w:rsidR="007A1928" w:rsidRPr="000E47D3">
        <w:t>[</w:t>
      </w:r>
      <w:r w:rsidRPr="005243DB">
        <w:rPr>
          <w:i/>
          <w:strike/>
        </w:rPr>
        <w:t>Id.</w:t>
      </w:r>
      <w:r w:rsidRPr="005243DB">
        <w:rPr>
          <w:strike/>
        </w:rPr>
        <w:t xml:space="preserve"> at p. 19.</w:t>
      </w:r>
      <w:r w:rsidR="007A1928" w:rsidRPr="000E47D3">
        <w:t>]</w:t>
      </w:r>
    </w:p>
  </w:footnote>
  <w:footnote w:id="27">
    <w:p w14:paraId="1AEE5890" w14:textId="43B94DDB" w:rsidR="00B47896" w:rsidRDefault="00B47896" w:rsidP="00B47896">
      <w:pPr>
        <w:pStyle w:val="FootnoteText"/>
      </w:pPr>
      <w:r w:rsidRPr="005243DB">
        <w:rPr>
          <w:rStyle w:val="FootnoteReference"/>
          <w:strike/>
        </w:rPr>
        <w:footnoteRef/>
      </w:r>
      <w:r>
        <w:t xml:space="preserve"> </w:t>
      </w:r>
      <w:r w:rsidR="000E47D3" w:rsidRPr="000E47D3">
        <w:t>[</w:t>
      </w:r>
      <w:r w:rsidRPr="005243DB">
        <w:rPr>
          <w:i/>
          <w:strike/>
        </w:rPr>
        <w:t>Id.</w:t>
      </w:r>
      <w:r w:rsidRPr="005243DB">
        <w:rPr>
          <w:strike/>
        </w:rPr>
        <w:t xml:space="preserve"> at pp. 19-20.</w:t>
      </w:r>
      <w:r w:rsidR="000E47D3" w:rsidRPr="000E47D3">
        <w:t>]</w:t>
      </w:r>
    </w:p>
  </w:footnote>
  <w:footnote w:id="28">
    <w:p w14:paraId="44C83C91" w14:textId="77777777" w:rsidR="00B47896" w:rsidRDefault="00B47896" w:rsidP="00B47896">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D0E21C" w14:paraId="33C52CD2" w14:textId="77777777" w:rsidTr="005243DB">
      <w:tc>
        <w:tcPr>
          <w:tcW w:w="3120" w:type="dxa"/>
        </w:tcPr>
        <w:p w14:paraId="68F8DF2D" w14:textId="476B81C4" w:rsidR="1CD0E21C" w:rsidRDefault="1CD0E21C" w:rsidP="005243DB">
          <w:pPr>
            <w:pStyle w:val="Header"/>
            <w:ind w:left="-115"/>
            <w:rPr>
              <w:szCs w:val="24"/>
            </w:rPr>
          </w:pPr>
        </w:p>
      </w:tc>
      <w:tc>
        <w:tcPr>
          <w:tcW w:w="3120" w:type="dxa"/>
        </w:tcPr>
        <w:p w14:paraId="3072BDE9" w14:textId="018CBD51" w:rsidR="1CD0E21C" w:rsidRDefault="1CD0E21C" w:rsidP="005243DB">
          <w:pPr>
            <w:pStyle w:val="Header"/>
            <w:jc w:val="center"/>
            <w:rPr>
              <w:szCs w:val="24"/>
            </w:rPr>
          </w:pPr>
        </w:p>
      </w:tc>
      <w:tc>
        <w:tcPr>
          <w:tcW w:w="3120" w:type="dxa"/>
        </w:tcPr>
        <w:p w14:paraId="7425F8C1" w14:textId="3ADADDEF" w:rsidR="1CD0E21C" w:rsidRDefault="1CD0E21C" w:rsidP="005243DB">
          <w:pPr>
            <w:pStyle w:val="Header"/>
            <w:ind w:right="-115"/>
            <w:jc w:val="right"/>
            <w:rPr>
              <w:szCs w:val="24"/>
            </w:rPr>
          </w:pPr>
        </w:p>
      </w:tc>
    </w:tr>
  </w:tbl>
  <w:p w14:paraId="75B77127" w14:textId="43340817" w:rsidR="1CD0E21C" w:rsidRDefault="1CD0E21C" w:rsidP="005243DB">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D0E21C" w14:paraId="72A78208" w14:textId="77777777" w:rsidTr="005243DB">
      <w:tc>
        <w:tcPr>
          <w:tcW w:w="3120" w:type="dxa"/>
        </w:tcPr>
        <w:p w14:paraId="4E0C606F" w14:textId="60D756D4" w:rsidR="1CD0E21C" w:rsidRDefault="1CD0E21C" w:rsidP="005243DB">
          <w:pPr>
            <w:pStyle w:val="Header"/>
            <w:ind w:left="-115"/>
            <w:rPr>
              <w:szCs w:val="24"/>
            </w:rPr>
          </w:pPr>
        </w:p>
      </w:tc>
      <w:tc>
        <w:tcPr>
          <w:tcW w:w="3120" w:type="dxa"/>
        </w:tcPr>
        <w:p w14:paraId="64B5A484" w14:textId="05D58754" w:rsidR="1CD0E21C" w:rsidRDefault="1CD0E21C" w:rsidP="005243DB">
          <w:pPr>
            <w:pStyle w:val="Header"/>
            <w:jc w:val="center"/>
            <w:rPr>
              <w:szCs w:val="24"/>
            </w:rPr>
          </w:pPr>
        </w:p>
      </w:tc>
      <w:tc>
        <w:tcPr>
          <w:tcW w:w="3120" w:type="dxa"/>
        </w:tcPr>
        <w:p w14:paraId="7D61FDAB" w14:textId="2A293D2C" w:rsidR="1CD0E21C" w:rsidRDefault="1CD0E21C" w:rsidP="005243DB">
          <w:pPr>
            <w:pStyle w:val="Header"/>
            <w:ind w:right="-115"/>
            <w:jc w:val="right"/>
            <w:rPr>
              <w:szCs w:val="24"/>
            </w:rPr>
          </w:pPr>
        </w:p>
      </w:tc>
    </w:tr>
  </w:tbl>
  <w:p w14:paraId="3DC5D586" w14:textId="01A09F19" w:rsidR="1CD0E21C" w:rsidRDefault="1CD0E21C" w:rsidP="005243DB">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1C56" w14:textId="77777777" w:rsidR="00B47896" w:rsidRPr="00970719" w:rsidRDefault="00B478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3F6C" w14:textId="77777777" w:rsidR="00276861" w:rsidRPr="00C53E15" w:rsidRDefault="00276861">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B857C1"/>
    <w:multiLevelType w:val="hybridMultilevel"/>
    <w:tmpl w:val="1B9A2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36D8D"/>
    <w:multiLevelType w:val="hybridMultilevel"/>
    <w:tmpl w:val="0262A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E37E60"/>
    <w:multiLevelType w:val="hybridMultilevel"/>
    <w:tmpl w:val="E394304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11EF1F91"/>
    <w:multiLevelType w:val="hybridMultilevel"/>
    <w:tmpl w:val="1C9039C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355600"/>
    <w:multiLevelType w:val="hybridMultilevel"/>
    <w:tmpl w:val="7AE8857E"/>
    <w:lvl w:ilvl="0" w:tplc="7D189E94">
      <w:start w:val="1"/>
      <w:numFmt w:val="bullet"/>
      <w:lvlText w:val=""/>
      <w:lvlJc w:val="left"/>
      <w:pPr>
        <w:ind w:left="720" w:hanging="360"/>
      </w:pPr>
      <w:rPr>
        <w:rFonts w:ascii="Symbol" w:hAnsi="Symbol" w:hint="default"/>
        <w:color w:val="auto"/>
      </w:rPr>
    </w:lvl>
    <w:lvl w:ilvl="1" w:tplc="9A24D84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3D3ACB"/>
    <w:multiLevelType w:val="hybridMultilevel"/>
    <w:tmpl w:val="45C88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3E06A9"/>
    <w:multiLevelType w:val="multilevel"/>
    <w:tmpl w:val="83B062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D4B0605"/>
    <w:multiLevelType w:val="hybridMultilevel"/>
    <w:tmpl w:val="B9B25D48"/>
    <w:lvl w:ilvl="0" w:tplc="AAF290E6">
      <w:start w:val="1"/>
      <w:numFmt w:val="decimal"/>
      <w:lvlText w:val="%1."/>
      <w:lvlJc w:val="left"/>
      <w:pPr>
        <w:ind w:left="720" w:hanging="360"/>
      </w:pPr>
      <w:rPr>
        <w:b/>
        <w:bCs/>
        <w:u w:val="single"/>
      </w:rPr>
    </w:lvl>
    <w:lvl w:ilvl="1" w:tplc="0CA45AAA">
      <w:start w:val="1"/>
      <w:numFmt w:val="lowerLetter"/>
      <w:lvlText w:val="%2."/>
      <w:lvlJc w:val="left"/>
      <w:pPr>
        <w:ind w:left="1440" w:hanging="360"/>
      </w:pPr>
      <w:rPr>
        <w:b/>
        <w:bCs/>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141780"/>
    <w:multiLevelType w:val="hybridMultilevel"/>
    <w:tmpl w:val="64BAD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BC6556"/>
    <w:multiLevelType w:val="hybridMultilevel"/>
    <w:tmpl w:val="55D435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3D842AF"/>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1"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32" w15:restartNumberingAfterBreak="0">
    <w:nsid w:val="32616EEC"/>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35844963"/>
    <w:multiLevelType w:val="hybridMultilevel"/>
    <w:tmpl w:val="4ABC9326"/>
    <w:lvl w:ilvl="0" w:tplc="77964E76">
      <w:start w:val="1"/>
      <w:numFmt w:val="bullet"/>
      <w:lvlText w:val=""/>
      <w:lvlJc w:val="left"/>
      <w:pPr>
        <w:ind w:left="720" w:hanging="360"/>
      </w:pPr>
      <w:rPr>
        <w:rFonts w:ascii="Symbol" w:hAnsi="Symbol" w:hint="default"/>
        <w:color w:val="auto"/>
      </w:rPr>
    </w:lvl>
    <w:lvl w:ilvl="1" w:tplc="9194508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EE3965"/>
    <w:multiLevelType w:val="hybridMultilevel"/>
    <w:tmpl w:val="5086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750C09"/>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40F70B93"/>
    <w:multiLevelType w:val="hybridMultilevel"/>
    <w:tmpl w:val="FD86865C"/>
    <w:lvl w:ilvl="0" w:tplc="FFFFFFFF">
      <w:start w:val="1"/>
      <w:numFmt w:val="lowerLetter"/>
      <w:lvlText w:val="%1."/>
      <w:lvlJc w:val="left"/>
      <w:pPr>
        <w:ind w:left="720" w:hanging="360"/>
      </w:pPr>
      <w:rPr>
        <w:rFonts w:cs="Times New Roman" w:hint="default"/>
        <w:b w:val="0"/>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4"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5FE6D4C"/>
    <w:multiLevelType w:val="hybridMultilevel"/>
    <w:tmpl w:val="1B9A2E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601667F"/>
    <w:multiLevelType w:val="multilevel"/>
    <w:tmpl w:val="A51211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9"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0"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CC43BF6"/>
    <w:multiLevelType w:val="hybridMultilevel"/>
    <w:tmpl w:val="F936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65"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66"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67"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68"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651A6894"/>
    <w:multiLevelType w:val="hybridMultilevel"/>
    <w:tmpl w:val="C2D06108"/>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7E102C"/>
    <w:multiLevelType w:val="hybridMultilevel"/>
    <w:tmpl w:val="DBEA297C"/>
    <w:lvl w:ilvl="0" w:tplc="1BA4C206">
      <w:start w:val="1"/>
      <w:numFmt w:val="lowerLetter"/>
      <w:lvlText w:val="%1."/>
      <w:lvlJc w:val="left"/>
      <w:pPr>
        <w:ind w:left="720" w:hanging="360"/>
      </w:pPr>
      <w:rPr>
        <w:rFonts w:cs="Times New Roman" w:hint="default"/>
        <w:b w:val="0"/>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75" w15:restartNumberingAfterBreak="0">
    <w:nsid w:val="6DA51812"/>
    <w:multiLevelType w:val="hybridMultilevel"/>
    <w:tmpl w:val="4900E0DC"/>
    <w:lvl w:ilvl="0" w:tplc="EC10E8A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C80B88"/>
    <w:multiLevelType w:val="hybridMultilevel"/>
    <w:tmpl w:val="0A280A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0" w15:restartNumberingAfterBreak="0">
    <w:nsid w:val="71395FEE"/>
    <w:multiLevelType w:val="hybridMultilevel"/>
    <w:tmpl w:val="55D435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1593863"/>
    <w:multiLevelType w:val="hybridMultilevel"/>
    <w:tmpl w:val="C25CC84E"/>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4CA31D5"/>
    <w:multiLevelType w:val="hybridMultilevel"/>
    <w:tmpl w:val="FB2EDF4C"/>
    <w:lvl w:ilvl="0" w:tplc="ADDEA28C">
      <w:start w:val="1"/>
      <w:numFmt w:val="decimal"/>
      <w:lvlText w:val="%1."/>
      <w:lvlJc w:val="left"/>
      <w:pPr>
        <w:tabs>
          <w:tab w:val="num" w:pos="720"/>
        </w:tabs>
        <w:ind w:left="720" w:hanging="720"/>
      </w:p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85"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72A4B85"/>
    <w:multiLevelType w:val="hybridMultilevel"/>
    <w:tmpl w:val="F02C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A4D365E"/>
    <w:multiLevelType w:val="multilevel"/>
    <w:tmpl w:val="75B63EC6"/>
    <w:lvl w:ilvl="0">
      <w:start w:val="1"/>
      <w:numFmt w:val="decimal"/>
      <w:lvlText w:val="%1."/>
      <w:lvlJc w:val="left"/>
      <w:pPr>
        <w:ind w:left="720" w:hanging="360"/>
      </w:pPr>
      <w:rPr>
        <w:rFonts w:hint="default"/>
        <w:color w:val="00B050"/>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9" w15:restartNumberingAfterBreak="0">
    <w:nsid w:val="7C79712F"/>
    <w:multiLevelType w:val="hybridMultilevel"/>
    <w:tmpl w:val="90DE1EB8"/>
    <w:lvl w:ilvl="0" w:tplc="6FD0197E">
      <w:start w:val="1"/>
      <w:numFmt w:val="lowerLetter"/>
      <w:lvlText w:val="%1."/>
      <w:lvlJc w:val="left"/>
      <w:pPr>
        <w:ind w:left="720" w:hanging="360"/>
      </w:pPr>
      <w:rPr>
        <w:rFonts w:cs="Times New Roman"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CE664C2"/>
    <w:multiLevelType w:val="hybridMultilevel"/>
    <w:tmpl w:val="79E49C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1"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EC645C1"/>
    <w:multiLevelType w:val="hybridMultilevel"/>
    <w:tmpl w:val="9FD2E39E"/>
    <w:lvl w:ilvl="0" w:tplc="13DA0792">
      <w:start w:val="1"/>
      <w:numFmt w:val="decimal"/>
      <w:lvlText w:val="%1."/>
      <w:lvlJc w:val="left"/>
      <w:pPr>
        <w:tabs>
          <w:tab w:val="num" w:pos="720"/>
        </w:tabs>
        <w:ind w:left="720" w:hanging="720"/>
      </w:pPr>
    </w:lvl>
    <w:lvl w:ilvl="1" w:tplc="C0D68B1E">
      <w:start w:val="1"/>
      <w:numFmt w:val="decimal"/>
      <w:lvlText w:val="%2."/>
      <w:lvlJc w:val="left"/>
      <w:pPr>
        <w:tabs>
          <w:tab w:val="num" w:pos="1440"/>
        </w:tabs>
        <w:ind w:left="1440" w:hanging="720"/>
      </w:pPr>
    </w:lvl>
    <w:lvl w:ilvl="2" w:tplc="7EBA47A6">
      <w:start w:val="1"/>
      <w:numFmt w:val="decimal"/>
      <w:lvlText w:val="%3."/>
      <w:lvlJc w:val="left"/>
      <w:pPr>
        <w:tabs>
          <w:tab w:val="num" w:pos="2160"/>
        </w:tabs>
        <w:ind w:left="2160" w:hanging="720"/>
      </w:pPr>
    </w:lvl>
    <w:lvl w:ilvl="3" w:tplc="0ABAF71C">
      <w:start w:val="1"/>
      <w:numFmt w:val="decimal"/>
      <w:lvlText w:val="%4."/>
      <w:lvlJc w:val="left"/>
      <w:pPr>
        <w:tabs>
          <w:tab w:val="num" w:pos="2880"/>
        </w:tabs>
        <w:ind w:left="2880" w:hanging="720"/>
      </w:pPr>
    </w:lvl>
    <w:lvl w:ilvl="4" w:tplc="A19458E4">
      <w:start w:val="1"/>
      <w:numFmt w:val="decimal"/>
      <w:lvlText w:val="%5."/>
      <w:lvlJc w:val="left"/>
      <w:pPr>
        <w:tabs>
          <w:tab w:val="num" w:pos="3600"/>
        </w:tabs>
        <w:ind w:left="3600" w:hanging="720"/>
      </w:pPr>
    </w:lvl>
    <w:lvl w:ilvl="5" w:tplc="92380CA0">
      <w:start w:val="1"/>
      <w:numFmt w:val="decimal"/>
      <w:lvlText w:val="%6."/>
      <w:lvlJc w:val="left"/>
      <w:pPr>
        <w:tabs>
          <w:tab w:val="num" w:pos="4320"/>
        </w:tabs>
        <w:ind w:left="4320" w:hanging="720"/>
      </w:pPr>
    </w:lvl>
    <w:lvl w:ilvl="6" w:tplc="BFAA8A64">
      <w:start w:val="1"/>
      <w:numFmt w:val="decimal"/>
      <w:lvlText w:val="%7."/>
      <w:lvlJc w:val="left"/>
      <w:pPr>
        <w:tabs>
          <w:tab w:val="num" w:pos="5040"/>
        </w:tabs>
        <w:ind w:left="5040" w:hanging="720"/>
      </w:pPr>
    </w:lvl>
    <w:lvl w:ilvl="7" w:tplc="954E74C2">
      <w:start w:val="1"/>
      <w:numFmt w:val="decimal"/>
      <w:lvlText w:val="%8."/>
      <w:lvlJc w:val="left"/>
      <w:pPr>
        <w:tabs>
          <w:tab w:val="num" w:pos="5760"/>
        </w:tabs>
        <w:ind w:left="5760" w:hanging="720"/>
      </w:pPr>
    </w:lvl>
    <w:lvl w:ilvl="8" w:tplc="C1FEDD44">
      <w:start w:val="1"/>
      <w:numFmt w:val="decimal"/>
      <w:lvlText w:val="%9."/>
      <w:lvlJc w:val="left"/>
      <w:pPr>
        <w:tabs>
          <w:tab w:val="num" w:pos="6480"/>
        </w:tabs>
        <w:ind w:left="6480" w:hanging="720"/>
      </w:pPr>
    </w:lvl>
  </w:abstractNum>
  <w:abstractNum w:abstractNumId="9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511888">
    <w:abstractNumId w:val="3"/>
  </w:num>
  <w:num w:numId="2" w16cid:durableId="102261954">
    <w:abstractNumId w:val="2"/>
  </w:num>
  <w:num w:numId="3" w16cid:durableId="880168187">
    <w:abstractNumId w:val="74"/>
  </w:num>
  <w:num w:numId="4" w16cid:durableId="2032489366">
    <w:abstractNumId w:val="67"/>
  </w:num>
  <w:num w:numId="5" w16cid:durableId="1600944247">
    <w:abstractNumId w:val="39"/>
  </w:num>
  <w:num w:numId="6" w16cid:durableId="1270166870">
    <w:abstractNumId w:val="40"/>
  </w:num>
  <w:num w:numId="7" w16cid:durableId="1563558599">
    <w:abstractNumId w:val="85"/>
  </w:num>
  <w:num w:numId="8" w16cid:durableId="678510296">
    <w:abstractNumId w:val="8"/>
  </w:num>
  <w:num w:numId="9" w16cid:durableId="455375771">
    <w:abstractNumId w:val="29"/>
  </w:num>
  <w:num w:numId="10" w16cid:durableId="1102067332">
    <w:abstractNumId w:val="63"/>
  </w:num>
  <w:num w:numId="11" w16cid:durableId="894052092">
    <w:abstractNumId w:val="7"/>
  </w:num>
  <w:num w:numId="12" w16cid:durableId="1519583442">
    <w:abstractNumId w:val="30"/>
  </w:num>
  <w:num w:numId="13" w16cid:durableId="824393821">
    <w:abstractNumId w:val="87"/>
  </w:num>
  <w:num w:numId="14" w16cid:durableId="37246198">
    <w:abstractNumId w:val="60"/>
  </w:num>
  <w:num w:numId="15" w16cid:durableId="678891901">
    <w:abstractNumId w:val="53"/>
  </w:num>
  <w:num w:numId="16" w16cid:durableId="537746663">
    <w:abstractNumId w:val="89"/>
  </w:num>
  <w:num w:numId="17" w16cid:durableId="1461797825">
    <w:abstractNumId w:val="76"/>
  </w:num>
  <w:num w:numId="18" w16cid:durableId="66266368">
    <w:abstractNumId w:val="91"/>
  </w:num>
  <w:num w:numId="19" w16cid:durableId="552890526">
    <w:abstractNumId w:val="92"/>
  </w:num>
  <w:num w:numId="20" w16cid:durableId="1015890040">
    <w:abstractNumId w:val="83"/>
  </w:num>
  <w:num w:numId="21" w16cid:durableId="243953575">
    <w:abstractNumId w:val="70"/>
  </w:num>
  <w:num w:numId="22" w16cid:durableId="923955728">
    <w:abstractNumId w:val="94"/>
  </w:num>
  <w:num w:numId="23" w16cid:durableId="845898021">
    <w:abstractNumId w:val="50"/>
  </w:num>
  <w:num w:numId="24" w16cid:durableId="545798395">
    <w:abstractNumId w:val="61"/>
  </w:num>
  <w:num w:numId="25" w16cid:durableId="949164619">
    <w:abstractNumId w:val="56"/>
  </w:num>
  <w:num w:numId="26" w16cid:durableId="1698038501">
    <w:abstractNumId w:val="33"/>
  </w:num>
  <w:num w:numId="27" w16cid:durableId="1108240348">
    <w:abstractNumId w:val="78"/>
  </w:num>
  <w:num w:numId="28" w16cid:durableId="805242867">
    <w:abstractNumId w:val="82"/>
  </w:num>
  <w:num w:numId="29" w16cid:durableId="711736419">
    <w:abstractNumId w:val="12"/>
  </w:num>
  <w:num w:numId="30" w16cid:durableId="1860198232">
    <w:abstractNumId w:val="16"/>
  </w:num>
  <w:num w:numId="31" w16cid:durableId="138235002">
    <w:abstractNumId w:val="36"/>
  </w:num>
  <w:num w:numId="32" w16cid:durableId="11886429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20256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77494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69745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10355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2368353">
    <w:abstractNumId w:val="27"/>
  </w:num>
  <w:num w:numId="38" w16cid:durableId="1175415612">
    <w:abstractNumId w:val="17"/>
  </w:num>
  <w:num w:numId="39" w16cid:durableId="443691283">
    <w:abstractNumId w:val="6"/>
  </w:num>
  <w:num w:numId="40" w16cid:durableId="1614364329">
    <w:abstractNumId w:val="51"/>
  </w:num>
  <w:num w:numId="41" w16cid:durableId="182786290">
    <w:abstractNumId w:val="72"/>
  </w:num>
  <w:num w:numId="42" w16cid:durableId="842939394">
    <w:abstractNumId w:val="35"/>
  </w:num>
  <w:num w:numId="43" w16cid:durableId="1059550355">
    <w:abstractNumId w:val="78"/>
    <w:lvlOverride w:ilvl="0">
      <w:startOverride w:val="1"/>
    </w:lvlOverride>
  </w:num>
  <w:num w:numId="44" w16cid:durableId="2041083414">
    <w:abstractNumId w:val="1"/>
  </w:num>
  <w:num w:numId="45" w16cid:durableId="1801729825">
    <w:abstractNumId w:val="71"/>
  </w:num>
  <w:num w:numId="46" w16cid:durableId="1006136046">
    <w:abstractNumId w:val="90"/>
  </w:num>
  <w:num w:numId="47" w16cid:durableId="28068233">
    <w:abstractNumId w:val="19"/>
  </w:num>
  <w:num w:numId="48" w16cid:durableId="1487893357">
    <w:abstractNumId w:val="18"/>
  </w:num>
  <w:num w:numId="49" w16cid:durableId="1645767469">
    <w:abstractNumId w:val="34"/>
  </w:num>
  <w:num w:numId="50" w16cid:durableId="1670136268">
    <w:abstractNumId w:val="66"/>
  </w:num>
  <w:num w:numId="51" w16cid:durableId="1575429972">
    <w:abstractNumId w:val="43"/>
  </w:num>
  <w:num w:numId="52" w16cid:durableId="2117098637">
    <w:abstractNumId w:val="14"/>
  </w:num>
  <w:num w:numId="53" w16cid:durableId="1649938518">
    <w:abstractNumId w:val="59"/>
  </w:num>
  <w:num w:numId="54" w16cid:durableId="1646621104">
    <w:abstractNumId w:val="77"/>
  </w:num>
  <w:num w:numId="55" w16cid:durableId="868421129">
    <w:abstractNumId w:val="28"/>
  </w:num>
  <w:num w:numId="56" w16cid:durableId="693464395">
    <w:abstractNumId w:val="58"/>
  </w:num>
  <w:num w:numId="57" w16cid:durableId="322900260">
    <w:abstractNumId w:val="48"/>
  </w:num>
  <w:num w:numId="58" w16cid:durableId="1081222187">
    <w:abstractNumId w:val="49"/>
  </w:num>
  <w:num w:numId="59" w16cid:durableId="1104686437">
    <w:abstractNumId w:val="65"/>
  </w:num>
  <w:num w:numId="60" w16cid:durableId="900486174">
    <w:abstractNumId w:val="4"/>
  </w:num>
  <w:num w:numId="61" w16cid:durableId="1194998643">
    <w:abstractNumId w:val="0"/>
  </w:num>
  <w:num w:numId="62" w16cid:durableId="1982884595">
    <w:abstractNumId w:val="57"/>
  </w:num>
  <w:num w:numId="63" w16cid:durableId="1098259349">
    <w:abstractNumId w:val="22"/>
  </w:num>
  <w:num w:numId="64" w16cid:durableId="1192110368">
    <w:abstractNumId w:val="15"/>
  </w:num>
  <w:num w:numId="65" w16cid:durableId="1679771076">
    <w:abstractNumId w:val="11"/>
  </w:num>
  <w:num w:numId="66" w16cid:durableId="983043205">
    <w:abstractNumId w:val="31"/>
  </w:num>
  <w:num w:numId="67" w16cid:durableId="235019436">
    <w:abstractNumId w:val="41"/>
  </w:num>
  <w:num w:numId="68" w16cid:durableId="608465088">
    <w:abstractNumId w:val="64"/>
  </w:num>
  <w:num w:numId="69" w16cid:durableId="1347755905">
    <w:abstractNumId w:val="62"/>
  </w:num>
  <w:num w:numId="70" w16cid:durableId="1272662164">
    <w:abstractNumId w:val="13"/>
  </w:num>
  <w:num w:numId="71" w16cid:durableId="681203822">
    <w:abstractNumId w:val="54"/>
  </w:num>
  <w:num w:numId="72" w16cid:durableId="1245795259">
    <w:abstractNumId w:val="81"/>
  </w:num>
  <w:num w:numId="73" w16cid:durableId="1957441862">
    <w:abstractNumId w:val="45"/>
  </w:num>
  <w:num w:numId="74" w16cid:durableId="284582600">
    <w:abstractNumId w:val="44"/>
  </w:num>
  <w:num w:numId="75" w16cid:durableId="1328484928">
    <w:abstractNumId w:val="68"/>
  </w:num>
  <w:num w:numId="76" w16cid:durableId="6317849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001945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69546384">
    <w:abstractNumId w:val="69"/>
  </w:num>
  <w:num w:numId="79" w16cid:durableId="2029989960">
    <w:abstractNumId w:val="52"/>
  </w:num>
  <w:num w:numId="80" w16cid:durableId="166435330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4697915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19178700">
    <w:abstractNumId w:val="38"/>
  </w:num>
  <w:num w:numId="83" w16cid:durableId="1402632182">
    <w:abstractNumId w:val="93"/>
  </w:num>
  <w:num w:numId="84" w16cid:durableId="1507328636">
    <w:abstractNumId w:val="24"/>
  </w:num>
  <w:num w:numId="85" w16cid:durableId="1963076153">
    <w:abstractNumId w:val="9"/>
  </w:num>
  <w:num w:numId="86" w16cid:durableId="293756927">
    <w:abstractNumId w:val="26"/>
  </w:num>
  <w:num w:numId="87" w16cid:durableId="163209116">
    <w:abstractNumId w:val="10"/>
  </w:num>
  <w:num w:numId="88" w16cid:durableId="531501331">
    <w:abstractNumId w:val="79"/>
  </w:num>
  <w:num w:numId="89" w16cid:durableId="1170024453">
    <w:abstractNumId w:val="75"/>
  </w:num>
  <w:num w:numId="90" w16cid:durableId="30226439">
    <w:abstractNumId w:val="80"/>
  </w:num>
  <w:num w:numId="91" w16cid:durableId="391083111">
    <w:abstractNumId w:val="23"/>
  </w:num>
  <w:num w:numId="92" w16cid:durableId="1842087628">
    <w:abstractNumId w:val="42"/>
  </w:num>
  <w:num w:numId="93" w16cid:durableId="21789790">
    <w:abstractNumId w:val="73"/>
  </w:num>
  <w:num w:numId="94" w16cid:durableId="4796524">
    <w:abstractNumId w:val="55"/>
  </w:num>
  <w:num w:numId="95" w16cid:durableId="1998998794">
    <w:abstractNumId w:val="47"/>
  </w:num>
  <w:num w:numId="96" w16cid:durableId="945112244">
    <w:abstractNumId w:val="88"/>
  </w:num>
  <w:num w:numId="97" w16cid:durableId="447546982">
    <w:abstractNumId w:val="32"/>
  </w:num>
  <w:num w:numId="98" w16cid:durableId="1437555894">
    <w:abstractNumId w:val="46"/>
  </w:num>
  <w:num w:numId="99" w16cid:durableId="1434352659">
    <w:abstractNumId w:val="37"/>
  </w:num>
  <w:num w:numId="100" w16cid:durableId="477306848">
    <w:abstractNumId w:val="5"/>
  </w:num>
  <w:num w:numId="101" w16cid:durableId="1844977855">
    <w:abstractNumId w:val="86"/>
  </w:num>
  <w:num w:numId="102" w16cid:durableId="1877351909">
    <w:abstractNumId w:val="20"/>
  </w:num>
  <w:num w:numId="103" w16cid:durableId="952593095">
    <w:abstractNumId w:val="2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34"/>
    <w:rsid w:val="00004789"/>
    <w:rsid w:val="00005251"/>
    <w:rsid w:val="00005F72"/>
    <w:rsid w:val="00006C1B"/>
    <w:rsid w:val="00006DF8"/>
    <w:rsid w:val="000076D7"/>
    <w:rsid w:val="00007FF0"/>
    <w:rsid w:val="00010909"/>
    <w:rsid w:val="00010947"/>
    <w:rsid w:val="000110FB"/>
    <w:rsid w:val="00012A31"/>
    <w:rsid w:val="0001328D"/>
    <w:rsid w:val="000164C9"/>
    <w:rsid w:val="00017484"/>
    <w:rsid w:val="000178EB"/>
    <w:rsid w:val="00017F6E"/>
    <w:rsid w:val="00020E1F"/>
    <w:rsid w:val="00020FD3"/>
    <w:rsid w:val="00021AF9"/>
    <w:rsid w:val="00022EF2"/>
    <w:rsid w:val="00023B0D"/>
    <w:rsid w:val="00024CC2"/>
    <w:rsid w:val="00027A10"/>
    <w:rsid w:val="00030380"/>
    <w:rsid w:val="00030C99"/>
    <w:rsid w:val="0003604C"/>
    <w:rsid w:val="000372A0"/>
    <w:rsid w:val="000403F3"/>
    <w:rsid w:val="00040C95"/>
    <w:rsid w:val="0004120A"/>
    <w:rsid w:val="00042CFB"/>
    <w:rsid w:val="0004396A"/>
    <w:rsid w:val="00043D6E"/>
    <w:rsid w:val="00044ED0"/>
    <w:rsid w:val="00045A14"/>
    <w:rsid w:val="00045BAC"/>
    <w:rsid w:val="00047131"/>
    <w:rsid w:val="00047236"/>
    <w:rsid w:val="0004749A"/>
    <w:rsid w:val="000505AD"/>
    <w:rsid w:val="0005148F"/>
    <w:rsid w:val="00051CA8"/>
    <w:rsid w:val="00051EB6"/>
    <w:rsid w:val="000522A8"/>
    <w:rsid w:val="0005303E"/>
    <w:rsid w:val="00054197"/>
    <w:rsid w:val="000543F1"/>
    <w:rsid w:val="00054830"/>
    <w:rsid w:val="00056BEF"/>
    <w:rsid w:val="000579AD"/>
    <w:rsid w:val="00057A2C"/>
    <w:rsid w:val="00060CC7"/>
    <w:rsid w:val="00060EEA"/>
    <w:rsid w:val="0006122B"/>
    <w:rsid w:val="000618BF"/>
    <w:rsid w:val="000624E7"/>
    <w:rsid w:val="0006253E"/>
    <w:rsid w:val="0006272E"/>
    <w:rsid w:val="0006355F"/>
    <w:rsid w:val="0006397F"/>
    <w:rsid w:val="00065D6E"/>
    <w:rsid w:val="00065FA3"/>
    <w:rsid w:val="0006782D"/>
    <w:rsid w:val="00070475"/>
    <w:rsid w:val="0007177C"/>
    <w:rsid w:val="00071A77"/>
    <w:rsid w:val="000731A3"/>
    <w:rsid w:val="00073E5B"/>
    <w:rsid w:val="00073FD4"/>
    <w:rsid w:val="000746E7"/>
    <w:rsid w:val="00077E2A"/>
    <w:rsid w:val="00082754"/>
    <w:rsid w:val="00082D92"/>
    <w:rsid w:val="0008325B"/>
    <w:rsid w:val="00083669"/>
    <w:rsid w:val="00084788"/>
    <w:rsid w:val="000853A7"/>
    <w:rsid w:val="00085B3F"/>
    <w:rsid w:val="00086069"/>
    <w:rsid w:val="000879B2"/>
    <w:rsid w:val="00087D16"/>
    <w:rsid w:val="00091D10"/>
    <w:rsid w:val="00092145"/>
    <w:rsid w:val="00093129"/>
    <w:rsid w:val="000943CE"/>
    <w:rsid w:val="0009555E"/>
    <w:rsid w:val="000A074F"/>
    <w:rsid w:val="000A09B6"/>
    <w:rsid w:val="000A1A7C"/>
    <w:rsid w:val="000A3698"/>
    <w:rsid w:val="000A38D2"/>
    <w:rsid w:val="000A3E4B"/>
    <w:rsid w:val="000A59A0"/>
    <w:rsid w:val="000A5AFF"/>
    <w:rsid w:val="000A5CA8"/>
    <w:rsid w:val="000A65E1"/>
    <w:rsid w:val="000A6DC0"/>
    <w:rsid w:val="000B0282"/>
    <w:rsid w:val="000B12E8"/>
    <w:rsid w:val="000B19AF"/>
    <w:rsid w:val="000B26D6"/>
    <w:rsid w:val="000B298D"/>
    <w:rsid w:val="000B30F5"/>
    <w:rsid w:val="000B3134"/>
    <w:rsid w:val="000B31F7"/>
    <w:rsid w:val="000B337E"/>
    <w:rsid w:val="000B36BE"/>
    <w:rsid w:val="000B5163"/>
    <w:rsid w:val="000B5C26"/>
    <w:rsid w:val="000B5F56"/>
    <w:rsid w:val="000B7810"/>
    <w:rsid w:val="000B7FD1"/>
    <w:rsid w:val="000C00FF"/>
    <w:rsid w:val="000C0315"/>
    <w:rsid w:val="000C0B78"/>
    <w:rsid w:val="000C1235"/>
    <w:rsid w:val="000C18B0"/>
    <w:rsid w:val="000C1D3E"/>
    <w:rsid w:val="000C23F2"/>
    <w:rsid w:val="000C2AD7"/>
    <w:rsid w:val="000C4B8B"/>
    <w:rsid w:val="000C4E78"/>
    <w:rsid w:val="000C6E09"/>
    <w:rsid w:val="000D001B"/>
    <w:rsid w:val="000D0B18"/>
    <w:rsid w:val="000D1587"/>
    <w:rsid w:val="000D1C71"/>
    <w:rsid w:val="000D2E6E"/>
    <w:rsid w:val="000D3D77"/>
    <w:rsid w:val="000D52E1"/>
    <w:rsid w:val="000D5407"/>
    <w:rsid w:val="000D5EFE"/>
    <w:rsid w:val="000D60C0"/>
    <w:rsid w:val="000D6D44"/>
    <w:rsid w:val="000D6EE3"/>
    <w:rsid w:val="000D6F17"/>
    <w:rsid w:val="000D6F87"/>
    <w:rsid w:val="000D76F8"/>
    <w:rsid w:val="000D7704"/>
    <w:rsid w:val="000E0AD1"/>
    <w:rsid w:val="000E22B3"/>
    <w:rsid w:val="000E2A8C"/>
    <w:rsid w:val="000E2E8C"/>
    <w:rsid w:val="000E3CFF"/>
    <w:rsid w:val="000E47D3"/>
    <w:rsid w:val="000E4BD5"/>
    <w:rsid w:val="000E5B29"/>
    <w:rsid w:val="000E6DA2"/>
    <w:rsid w:val="000E791B"/>
    <w:rsid w:val="000F013B"/>
    <w:rsid w:val="000F0DE3"/>
    <w:rsid w:val="000F13E8"/>
    <w:rsid w:val="000F2270"/>
    <w:rsid w:val="000F28ED"/>
    <w:rsid w:val="000F39C0"/>
    <w:rsid w:val="000F5757"/>
    <w:rsid w:val="000F5B01"/>
    <w:rsid w:val="000F7283"/>
    <w:rsid w:val="000F7B68"/>
    <w:rsid w:val="000F7C5F"/>
    <w:rsid w:val="00100E4F"/>
    <w:rsid w:val="0010213A"/>
    <w:rsid w:val="00102511"/>
    <w:rsid w:val="001026F4"/>
    <w:rsid w:val="00102853"/>
    <w:rsid w:val="00102FE8"/>
    <w:rsid w:val="001044F2"/>
    <w:rsid w:val="00105C25"/>
    <w:rsid w:val="00105EF2"/>
    <w:rsid w:val="00106095"/>
    <w:rsid w:val="00106324"/>
    <w:rsid w:val="00106CC9"/>
    <w:rsid w:val="00106D07"/>
    <w:rsid w:val="00111477"/>
    <w:rsid w:val="00111CC4"/>
    <w:rsid w:val="00111F88"/>
    <w:rsid w:val="00111FEA"/>
    <w:rsid w:val="00112342"/>
    <w:rsid w:val="00112B47"/>
    <w:rsid w:val="00114022"/>
    <w:rsid w:val="0011630C"/>
    <w:rsid w:val="00116348"/>
    <w:rsid w:val="00116D9C"/>
    <w:rsid w:val="001170EE"/>
    <w:rsid w:val="001173D2"/>
    <w:rsid w:val="001209A0"/>
    <w:rsid w:val="00121D06"/>
    <w:rsid w:val="00122A24"/>
    <w:rsid w:val="0012339C"/>
    <w:rsid w:val="0012373E"/>
    <w:rsid w:val="00123B1A"/>
    <w:rsid w:val="00123CA0"/>
    <w:rsid w:val="00124D9D"/>
    <w:rsid w:val="001251D4"/>
    <w:rsid w:val="001260C8"/>
    <w:rsid w:val="001266FE"/>
    <w:rsid w:val="00126BEF"/>
    <w:rsid w:val="001276BE"/>
    <w:rsid w:val="00127965"/>
    <w:rsid w:val="00127EDF"/>
    <w:rsid w:val="0013025A"/>
    <w:rsid w:val="00130950"/>
    <w:rsid w:val="001311F8"/>
    <w:rsid w:val="00132ACB"/>
    <w:rsid w:val="00133BD5"/>
    <w:rsid w:val="00134E12"/>
    <w:rsid w:val="001356F1"/>
    <w:rsid w:val="00136136"/>
    <w:rsid w:val="001370EA"/>
    <w:rsid w:val="00137198"/>
    <w:rsid w:val="00137770"/>
    <w:rsid w:val="00140A74"/>
    <w:rsid w:val="00140CE8"/>
    <w:rsid w:val="00141129"/>
    <w:rsid w:val="00141274"/>
    <w:rsid w:val="00141662"/>
    <w:rsid w:val="001416F7"/>
    <w:rsid w:val="0014310C"/>
    <w:rsid w:val="00143B79"/>
    <w:rsid w:val="00143E63"/>
    <w:rsid w:val="001469CB"/>
    <w:rsid w:val="001469CE"/>
    <w:rsid w:val="00146B63"/>
    <w:rsid w:val="00146E8B"/>
    <w:rsid w:val="00147061"/>
    <w:rsid w:val="0015001C"/>
    <w:rsid w:val="001529B0"/>
    <w:rsid w:val="00153A79"/>
    <w:rsid w:val="00155D24"/>
    <w:rsid w:val="00156753"/>
    <w:rsid w:val="00156C46"/>
    <w:rsid w:val="0015776E"/>
    <w:rsid w:val="00157962"/>
    <w:rsid w:val="001616FA"/>
    <w:rsid w:val="001632A4"/>
    <w:rsid w:val="00163542"/>
    <w:rsid w:val="001647D9"/>
    <w:rsid w:val="001656F5"/>
    <w:rsid w:val="00166930"/>
    <w:rsid w:val="00167BE3"/>
    <w:rsid w:val="001700A8"/>
    <w:rsid w:val="00170C59"/>
    <w:rsid w:val="00171320"/>
    <w:rsid w:val="00172838"/>
    <w:rsid w:val="00172C21"/>
    <w:rsid w:val="00172EC6"/>
    <w:rsid w:val="00173D4B"/>
    <w:rsid w:val="00174117"/>
    <w:rsid w:val="0017470A"/>
    <w:rsid w:val="00174930"/>
    <w:rsid w:val="00174E30"/>
    <w:rsid w:val="00175716"/>
    <w:rsid w:val="00176E07"/>
    <w:rsid w:val="001777CB"/>
    <w:rsid w:val="00180167"/>
    <w:rsid w:val="001803B1"/>
    <w:rsid w:val="00182E15"/>
    <w:rsid w:val="001864C1"/>
    <w:rsid w:val="00187C56"/>
    <w:rsid w:val="001900C9"/>
    <w:rsid w:val="001906AE"/>
    <w:rsid w:val="00190F61"/>
    <w:rsid w:val="00191DD9"/>
    <w:rsid w:val="001926CD"/>
    <w:rsid w:val="0019291E"/>
    <w:rsid w:val="00192BFE"/>
    <w:rsid w:val="00192EC0"/>
    <w:rsid w:val="00192F2D"/>
    <w:rsid w:val="00194548"/>
    <w:rsid w:val="001949BC"/>
    <w:rsid w:val="00194F79"/>
    <w:rsid w:val="00195E70"/>
    <w:rsid w:val="00195F2B"/>
    <w:rsid w:val="001969A0"/>
    <w:rsid w:val="00197AC4"/>
    <w:rsid w:val="001A0F6F"/>
    <w:rsid w:val="001A117C"/>
    <w:rsid w:val="001A1590"/>
    <w:rsid w:val="001A1E97"/>
    <w:rsid w:val="001A35E5"/>
    <w:rsid w:val="001A366C"/>
    <w:rsid w:val="001A471D"/>
    <w:rsid w:val="001A52A8"/>
    <w:rsid w:val="001A58A3"/>
    <w:rsid w:val="001B01B2"/>
    <w:rsid w:val="001B07B7"/>
    <w:rsid w:val="001B0834"/>
    <w:rsid w:val="001B0E49"/>
    <w:rsid w:val="001B1201"/>
    <w:rsid w:val="001B13AD"/>
    <w:rsid w:val="001B1D3C"/>
    <w:rsid w:val="001B29AE"/>
    <w:rsid w:val="001B328D"/>
    <w:rsid w:val="001B3B36"/>
    <w:rsid w:val="001B6057"/>
    <w:rsid w:val="001B61B5"/>
    <w:rsid w:val="001B65BF"/>
    <w:rsid w:val="001B6845"/>
    <w:rsid w:val="001C044B"/>
    <w:rsid w:val="001C05D4"/>
    <w:rsid w:val="001C0DBC"/>
    <w:rsid w:val="001C12CA"/>
    <w:rsid w:val="001C1740"/>
    <w:rsid w:val="001C17F2"/>
    <w:rsid w:val="001C1DE2"/>
    <w:rsid w:val="001C2D22"/>
    <w:rsid w:val="001C38CC"/>
    <w:rsid w:val="001C4931"/>
    <w:rsid w:val="001C6CD6"/>
    <w:rsid w:val="001C79D5"/>
    <w:rsid w:val="001D02B8"/>
    <w:rsid w:val="001D0E0F"/>
    <w:rsid w:val="001D1AD6"/>
    <w:rsid w:val="001D3F37"/>
    <w:rsid w:val="001D4534"/>
    <w:rsid w:val="001D47BD"/>
    <w:rsid w:val="001D4882"/>
    <w:rsid w:val="001D7180"/>
    <w:rsid w:val="001E10FD"/>
    <w:rsid w:val="001E14E8"/>
    <w:rsid w:val="001E28F2"/>
    <w:rsid w:val="001E3280"/>
    <w:rsid w:val="001E3B3C"/>
    <w:rsid w:val="001E3CE6"/>
    <w:rsid w:val="001E421C"/>
    <w:rsid w:val="001E4D3A"/>
    <w:rsid w:val="001E4F11"/>
    <w:rsid w:val="001E5FFE"/>
    <w:rsid w:val="001E6DBB"/>
    <w:rsid w:val="001E6FA6"/>
    <w:rsid w:val="001E7D6A"/>
    <w:rsid w:val="001F00B5"/>
    <w:rsid w:val="001F0612"/>
    <w:rsid w:val="001F0C10"/>
    <w:rsid w:val="001F11D4"/>
    <w:rsid w:val="001F2A26"/>
    <w:rsid w:val="001F3C3E"/>
    <w:rsid w:val="001F3E19"/>
    <w:rsid w:val="001F5381"/>
    <w:rsid w:val="001F5471"/>
    <w:rsid w:val="001F5475"/>
    <w:rsid w:val="001F66FF"/>
    <w:rsid w:val="001F6E85"/>
    <w:rsid w:val="001F73F4"/>
    <w:rsid w:val="001F7AEB"/>
    <w:rsid w:val="00200E37"/>
    <w:rsid w:val="00201BDF"/>
    <w:rsid w:val="00201DBD"/>
    <w:rsid w:val="00202CEF"/>
    <w:rsid w:val="002034C2"/>
    <w:rsid w:val="0020559B"/>
    <w:rsid w:val="0020592B"/>
    <w:rsid w:val="0020597D"/>
    <w:rsid w:val="00207608"/>
    <w:rsid w:val="00207654"/>
    <w:rsid w:val="00207C59"/>
    <w:rsid w:val="00207E1A"/>
    <w:rsid w:val="002115E8"/>
    <w:rsid w:val="00211859"/>
    <w:rsid w:val="00211A20"/>
    <w:rsid w:val="00212594"/>
    <w:rsid w:val="00212A07"/>
    <w:rsid w:val="00212C23"/>
    <w:rsid w:val="00213970"/>
    <w:rsid w:val="0021409C"/>
    <w:rsid w:val="002146F2"/>
    <w:rsid w:val="00215867"/>
    <w:rsid w:val="00215E17"/>
    <w:rsid w:val="00217141"/>
    <w:rsid w:val="002177C2"/>
    <w:rsid w:val="00217CBF"/>
    <w:rsid w:val="0022051C"/>
    <w:rsid w:val="00220971"/>
    <w:rsid w:val="00221598"/>
    <w:rsid w:val="002220C7"/>
    <w:rsid w:val="002222C1"/>
    <w:rsid w:val="002249FD"/>
    <w:rsid w:val="0022504B"/>
    <w:rsid w:val="00225788"/>
    <w:rsid w:val="00227311"/>
    <w:rsid w:val="00230476"/>
    <w:rsid w:val="0023155B"/>
    <w:rsid w:val="00231878"/>
    <w:rsid w:val="002336DB"/>
    <w:rsid w:val="00233E0E"/>
    <w:rsid w:val="00234A2B"/>
    <w:rsid w:val="00234F3E"/>
    <w:rsid w:val="002358D0"/>
    <w:rsid w:val="00235924"/>
    <w:rsid w:val="00235C3C"/>
    <w:rsid w:val="00235D42"/>
    <w:rsid w:val="00237987"/>
    <w:rsid w:val="002407DC"/>
    <w:rsid w:val="0024138E"/>
    <w:rsid w:val="00241D58"/>
    <w:rsid w:val="0024329A"/>
    <w:rsid w:val="00243E01"/>
    <w:rsid w:val="002446AB"/>
    <w:rsid w:val="0024481E"/>
    <w:rsid w:val="00245475"/>
    <w:rsid w:val="00245A22"/>
    <w:rsid w:val="00246034"/>
    <w:rsid w:val="002460DD"/>
    <w:rsid w:val="00246265"/>
    <w:rsid w:val="00247980"/>
    <w:rsid w:val="002501DC"/>
    <w:rsid w:val="00250C11"/>
    <w:rsid w:val="00250FF6"/>
    <w:rsid w:val="002510FA"/>
    <w:rsid w:val="00251414"/>
    <w:rsid w:val="00252590"/>
    <w:rsid w:val="00252714"/>
    <w:rsid w:val="00252D02"/>
    <w:rsid w:val="002532A4"/>
    <w:rsid w:val="00254122"/>
    <w:rsid w:val="0025457A"/>
    <w:rsid w:val="00254AB6"/>
    <w:rsid w:val="00255182"/>
    <w:rsid w:val="002556C3"/>
    <w:rsid w:val="00255957"/>
    <w:rsid w:val="00255D06"/>
    <w:rsid w:val="00256A9B"/>
    <w:rsid w:val="00256AD9"/>
    <w:rsid w:val="00257FA5"/>
    <w:rsid w:val="00260E70"/>
    <w:rsid w:val="002610B5"/>
    <w:rsid w:val="00261663"/>
    <w:rsid w:val="00261D7F"/>
    <w:rsid w:val="00261E2A"/>
    <w:rsid w:val="00262933"/>
    <w:rsid w:val="00262F6F"/>
    <w:rsid w:val="00265BA0"/>
    <w:rsid w:val="00265CCB"/>
    <w:rsid w:val="002666A0"/>
    <w:rsid w:val="0026685C"/>
    <w:rsid w:val="00266E05"/>
    <w:rsid w:val="0026739F"/>
    <w:rsid w:val="0027151C"/>
    <w:rsid w:val="00271A88"/>
    <w:rsid w:val="002725EF"/>
    <w:rsid w:val="00272825"/>
    <w:rsid w:val="002737DA"/>
    <w:rsid w:val="00273BD4"/>
    <w:rsid w:val="0027415F"/>
    <w:rsid w:val="00275D5C"/>
    <w:rsid w:val="002760F6"/>
    <w:rsid w:val="0027637E"/>
    <w:rsid w:val="00276861"/>
    <w:rsid w:val="00276E2F"/>
    <w:rsid w:val="00280C09"/>
    <w:rsid w:val="00282FB2"/>
    <w:rsid w:val="00283D01"/>
    <w:rsid w:val="002844ED"/>
    <w:rsid w:val="002847FE"/>
    <w:rsid w:val="00285504"/>
    <w:rsid w:val="00285C35"/>
    <w:rsid w:val="00285F77"/>
    <w:rsid w:val="002903AA"/>
    <w:rsid w:val="00290D7A"/>
    <w:rsid w:val="00291731"/>
    <w:rsid w:val="002924DF"/>
    <w:rsid w:val="002935FE"/>
    <w:rsid w:val="002941A8"/>
    <w:rsid w:val="00295C69"/>
    <w:rsid w:val="00295CE0"/>
    <w:rsid w:val="0029619D"/>
    <w:rsid w:val="00296BDA"/>
    <w:rsid w:val="00296E76"/>
    <w:rsid w:val="00297078"/>
    <w:rsid w:val="00297D4C"/>
    <w:rsid w:val="002A0A1C"/>
    <w:rsid w:val="002A1141"/>
    <w:rsid w:val="002A2400"/>
    <w:rsid w:val="002A2E2E"/>
    <w:rsid w:val="002A2E67"/>
    <w:rsid w:val="002A2E93"/>
    <w:rsid w:val="002A3B87"/>
    <w:rsid w:val="002A3D5F"/>
    <w:rsid w:val="002A41F0"/>
    <w:rsid w:val="002A44A4"/>
    <w:rsid w:val="002A4D30"/>
    <w:rsid w:val="002A4D8A"/>
    <w:rsid w:val="002A6D99"/>
    <w:rsid w:val="002A75CC"/>
    <w:rsid w:val="002B0246"/>
    <w:rsid w:val="002B10F9"/>
    <w:rsid w:val="002B1157"/>
    <w:rsid w:val="002B1AAE"/>
    <w:rsid w:val="002B298C"/>
    <w:rsid w:val="002B2D92"/>
    <w:rsid w:val="002B356E"/>
    <w:rsid w:val="002B37E0"/>
    <w:rsid w:val="002B3A54"/>
    <w:rsid w:val="002B4C25"/>
    <w:rsid w:val="002B4DF6"/>
    <w:rsid w:val="002B7E90"/>
    <w:rsid w:val="002B7EB8"/>
    <w:rsid w:val="002C08D3"/>
    <w:rsid w:val="002C2749"/>
    <w:rsid w:val="002C3006"/>
    <w:rsid w:val="002C3E6D"/>
    <w:rsid w:val="002C4A92"/>
    <w:rsid w:val="002C521C"/>
    <w:rsid w:val="002C68F7"/>
    <w:rsid w:val="002C7344"/>
    <w:rsid w:val="002C7DC1"/>
    <w:rsid w:val="002D030C"/>
    <w:rsid w:val="002D0552"/>
    <w:rsid w:val="002D1840"/>
    <w:rsid w:val="002D2783"/>
    <w:rsid w:val="002D2A8F"/>
    <w:rsid w:val="002D3395"/>
    <w:rsid w:val="002D3B22"/>
    <w:rsid w:val="002D4411"/>
    <w:rsid w:val="002D6C1D"/>
    <w:rsid w:val="002D72FE"/>
    <w:rsid w:val="002D7599"/>
    <w:rsid w:val="002D77D5"/>
    <w:rsid w:val="002D7C1C"/>
    <w:rsid w:val="002E22C7"/>
    <w:rsid w:val="002E2673"/>
    <w:rsid w:val="002E3BFA"/>
    <w:rsid w:val="002E3C27"/>
    <w:rsid w:val="002E3FB7"/>
    <w:rsid w:val="002E5DD7"/>
    <w:rsid w:val="002E60D9"/>
    <w:rsid w:val="002E62B4"/>
    <w:rsid w:val="002E6A08"/>
    <w:rsid w:val="002E7914"/>
    <w:rsid w:val="002F2876"/>
    <w:rsid w:val="002F32FD"/>
    <w:rsid w:val="002F3FFB"/>
    <w:rsid w:val="002F463B"/>
    <w:rsid w:val="002F4B95"/>
    <w:rsid w:val="002F7C69"/>
    <w:rsid w:val="002F7CB3"/>
    <w:rsid w:val="003009CB"/>
    <w:rsid w:val="00301C52"/>
    <w:rsid w:val="00301FE0"/>
    <w:rsid w:val="0030264E"/>
    <w:rsid w:val="00302A00"/>
    <w:rsid w:val="003031C8"/>
    <w:rsid w:val="00303360"/>
    <w:rsid w:val="00303499"/>
    <w:rsid w:val="00304278"/>
    <w:rsid w:val="00304414"/>
    <w:rsid w:val="003048CA"/>
    <w:rsid w:val="003050D4"/>
    <w:rsid w:val="0030527A"/>
    <w:rsid w:val="00305F8E"/>
    <w:rsid w:val="0030654B"/>
    <w:rsid w:val="003069FE"/>
    <w:rsid w:val="00307E3D"/>
    <w:rsid w:val="00310A6B"/>
    <w:rsid w:val="00310FBB"/>
    <w:rsid w:val="0031176A"/>
    <w:rsid w:val="0031185F"/>
    <w:rsid w:val="00312370"/>
    <w:rsid w:val="00312652"/>
    <w:rsid w:val="003128E3"/>
    <w:rsid w:val="0031294B"/>
    <w:rsid w:val="00312D64"/>
    <w:rsid w:val="00314131"/>
    <w:rsid w:val="003142C7"/>
    <w:rsid w:val="0031494B"/>
    <w:rsid w:val="00317AEE"/>
    <w:rsid w:val="00317F90"/>
    <w:rsid w:val="00322DB0"/>
    <w:rsid w:val="00324769"/>
    <w:rsid w:val="0032497F"/>
    <w:rsid w:val="0032587A"/>
    <w:rsid w:val="00325B78"/>
    <w:rsid w:val="00325FF2"/>
    <w:rsid w:val="003265C2"/>
    <w:rsid w:val="00326742"/>
    <w:rsid w:val="003274D9"/>
    <w:rsid w:val="00327C0A"/>
    <w:rsid w:val="0033083A"/>
    <w:rsid w:val="00331299"/>
    <w:rsid w:val="003317D8"/>
    <w:rsid w:val="00331C0D"/>
    <w:rsid w:val="00332CED"/>
    <w:rsid w:val="00333008"/>
    <w:rsid w:val="00333C1E"/>
    <w:rsid w:val="003356E4"/>
    <w:rsid w:val="003367AA"/>
    <w:rsid w:val="00337173"/>
    <w:rsid w:val="00337A28"/>
    <w:rsid w:val="00337C27"/>
    <w:rsid w:val="003406DB"/>
    <w:rsid w:val="0034087F"/>
    <w:rsid w:val="003408CF"/>
    <w:rsid w:val="00342B9A"/>
    <w:rsid w:val="003439B3"/>
    <w:rsid w:val="003441A6"/>
    <w:rsid w:val="003466B4"/>
    <w:rsid w:val="003466CD"/>
    <w:rsid w:val="00346709"/>
    <w:rsid w:val="00350458"/>
    <w:rsid w:val="00350951"/>
    <w:rsid w:val="00352240"/>
    <w:rsid w:val="00352ECA"/>
    <w:rsid w:val="00353F5F"/>
    <w:rsid w:val="00355B21"/>
    <w:rsid w:val="00357396"/>
    <w:rsid w:val="0036014A"/>
    <w:rsid w:val="0036052F"/>
    <w:rsid w:val="00360883"/>
    <w:rsid w:val="003609E4"/>
    <w:rsid w:val="003610B1"/>
    <w:rsid w:val="00361198"/>
    <w:rsid w:val="00362081"/>
    <w:rsid w:val="003628C9"/>
    <w:rsid w:val="00363EF9"/>
    <w:rsid w:val="003646B1"/>
    <w:rsid w:val="00364CD4"/>
    <w:rsid w:val="0036616B"/>
    <w:rsid w:val="00366B32"/>
    <w:rsid w:val="00370522"/>
    <w:rsid w:val="00370919"/>
    <w:rsid w:val="0037289A"/>
    <w:rsid w:val="00372BDA"/>
    <w:rsid w:val="00372D7C"/>
    <w:rsid w:val="0037316C"/>
    <w:rsid w:val="00374719"/>
    <w:rsid w:val="00374750"/>
    <w:rsid w:val="0037485C"/>
    <w:rsid w:val="003756EC"/>
    <w:rsid w:val="00377B33"/>
    <w:rsid w:val="00377CAA"/>
    <w:rsid w:val="00377FEB"/>
    <w:rsid w:val="0038146A"/>
    <w:rsid w:val="00382778"/>
    <w:rsid w:val="00382E3E"/>
    <w:rsid w:val="00383150"/>
    <w:rsid w:val="003836CA"/>
    <w:rsid w:val="003844C1"/>
    <w:rsid w:val="00384586"/>
    <w:rsid w:val="00385208"/>
    <w:rsid w:val="00385A9F"/>
    <w:rsid w:val="00385C84"/>
    <w:rsid w:val="00385F93"/>
    <w:rsid w:val="003864BC"/>
    <w:rsid w:val="00386632"/>
    <w:rsid w:val="003919AA"/>
    <w:rsid w:val="00392081"/>
    <w:rsid w:val="003923C8"/>
    <w:rsid w:val="0039282F"/>
    <w:rsid w:val="00392E26"/>
    <w:rsid w:val="003938E5"/>
    <w:rsid w:val="00393BF3"/>
    <w:rsid w:val="00394683"/>
    <w:rsid w:val="00394B3F"/>
    <w:rsid w:val="00394D6B"/>
    <w:rsid w:val="003958D0"/>
    <w:rsid w:val="00395B49"/>
    <w:rsid w:val="00396B1F"/>
    <w:rsid w:val="003A11DA"/>
    <w:rsid w:val="003A2905"/>
    <w:rsid w:val="003A318D"/>
    <w:rsid w:val="003A3899"/>
    <w:rsid w:val="003A3AA5"/>
    <w:rsid w:val="003A409C"/>
    <w:rsid w:val="003A4251"/>
    <w:rsid w:val="003A4A24"/>
    <w:rsid w:val="003A56D9"/>
    <w:rsid w:val="003A571D"/>
    <w:rsid w:val="003A58AE"/>
    <w:rsid w:val="003A6387"/>
    <w:rsid w:val="003B0385"/>
    <w:rsid w:val="003B2431"/>
    <w:rsid w:val="003B2C73"/>
    <w:rsid w:val="003B5079"/>
    <w:rsid w:val="003B7290"/>
    <w:rsid w:val="003B7532"/>
    <w:rsid w:val="003C018F"/>
    <w:rsid w:val="003C108F"/>
    <w:rsid w:val="003C19C7"/>
    <w:rsid w:val="003C281B"/>
    <w:rsid w:val="003C2C10"/>
    <w:rsid w:val="003C3379"/>
    <w:rsid w:val="003C33A3"/>
    <w:rsid w:val="003C455A"/>
    <w:rsid w:val="003C5D5B"/>
    <w:rsid w:val="003C63BD"/>
    <w:rsid w:val="003C73F3"/>
    <w:rsid w:val="003D03E6"/>
    <w:rsid w:val="003D0C91"/>
    <w:rsid w:val="003D0E1D"/>
    <w:rsid w:val="003D0E50"/>
    <w:rsid w:val="003D1514"/>
    <w:rsid w:val="003D15EC"/>
    <w:rsid w:val="003D17A9"/>
    <w:rsid w:val="003D1B91"/>
    <w:rsid w:val="003D1BEA"/>
    <w:rsid w:val="003D4C2D"/>
    <w:rsid w:val="003D522F"/>
    <w:rsid w:val="003D54D5"/>
    <w:rsid w:val="003D5A06"/>
    <w:rsid w:val="003D61C9"/>
    <w:rsid w:val="003D648A"/>
    <w:rsid w:val="003D6562"/>
    <w:rsid w:val="003D676C"/>
    <w:rsid w:val="003D677A"/>
    <w:rsid w:val="003D6C4C"/>
    <w:rsid w:val="003D6F20"/>
    <w:rsid w:val="003D7AFD"/>
    <w:rsid w:val="003E12B8"/>
    <w:rsid w:val="003E13EA"/>
    <w:rsid w:val="003E1898"/>
    <w:rsid w:val="003E1F4E"/>
    <w:rsid w:val="003E2B36"/>
    <w:rsid w:val="003E320B"/>
    <w:rsid w:val="003E32C7"/>
    <w:rsid w:val="003E34ED"/>
    <w:rsid w:val="003E35B3"/>
    <w:rsid w:val="003E38B0"/>
    <w:rsid w:val="003E3AAB"/>
    <w:rsid w:val="003E528E"/>
    <w:rsid w:val="003E6948"/>
    <w:rsid w:val="003E6CF5"/>
    <w:rsid w:val="003E7CD4"/>
    <w:rsid w:val="003F0496"/>
    <w:rsid w:val="003F0E5B"/>
    <w:rsid w:val="003F0F34"/>
    <w:rsid w:val="003F3572"/>
    <w:rsid w:val="003F3CE1"/>
    <w:rsid w:val="003F3DEC"/>
    <w:rsid w:val="003F3DF4"/>
    <w:rsid w:val="003F4307"/>
    <w:rsid w:val="003F4703"/>
    <w:rsid w:val="003F52FB"/>
    <w:rsid w:val="003F53A0"/>
    <w:rsid w:val="003F5ABF"/>
    <w:rsid w:val="003F6881"/>
    <w:rsid w:val="003F6F77"/>
    <w:rsid w:val="00400BAE"/>
    <w:rsid w:val="00400E46"/>
    <w:rsid w:val="00401D15"/>
    <w:rsid w:val="00401FB4"/>
    <w:rsid w:val="00404700"/>
    <w:rsid w:val="00404C9E"/>
    <w:rsid w:val="00404F9C"/>
    <w:rsid w:val="00405195"/>
    <w:rsid w:val="00405445"/>
    <w:rsid w:val="004054F4"/>
    <w:rsid w:val="00406118"/>
    <w:rsid w:val="00407153"/>
    <w:rsid w:val="00407659"/>
    <w:rsid w:val="004079A1"/>
    <w:rsid w:val="00407C44"/>
    <w:rsid w:val="00407DC6"/>
    <w:rsid w:val="00410479"/>
    <w:rsid w:val="00410620"/>
    <w:rsid w:val="00410B54"/>
    <w:rsid w:val="0041198C"/>
    <w:rsid w:val="00411B59"/>
    <w:rsid w:val="00412767"/>
    <w:rsid w:val="004143AD"/>
    <w:rsid w:val="004143E5"/>
    <w:rsid w:val="0041572E"/>
    <w:rsid w:val="00415CAE"/>
    <w:rsid w:val="0041679A"/>
    <w:rsid w:val="004169CC"/>
    <w:rsid w:val="004169D8"/>
    <w:rsid w:val="00417873"/>
    <w:rsid w:val="00417F31"/>
    <w:rsid w:val="00420394"/>
    <w:rsid w:val="00421B95"/>
    <w:rsid w:val="00422D50"/>
    <w:rsid w:val="00422DA6"/>
    <w:rsid w:val="00422DBA"/>
    <w:rsid w:val="00423750"/>
    <w:rsid w:val="00423A95"/>
    <w:rsid w:val="00423F13"/>
    <w:rsid w:val="00426266"/>
    <w:rsid w:val="004263BD"/>
    <w:rsid w:val="004272E6"/>
    <w:rsid w:val="00427734"/>
    <w:rsid w:val="00430B05"/>
    <w:rsid w:val="00430C2D"/>
    <w:rsid w:val="00432426"/>
    <w:rsid w:val="00432A99"/>
    <w:rsid w:val="00433FEB"/>
    <w:rsid w:val="00435D92"/>
    <w:rsid w:val="004365D9"/>
    <w:rsid w:val="004373C2"/>
    <w:rsid w:val="00437E6E"/>
    <w:rsid w:val="00440ED9"/>
    <w:rsid w:val="0044296C"/>
    <w:rsid w:val="00442ECD"/>
    <w:rsid w:val="00443C5B"/>
    <w:rsid w:val="00443CAE"/>
    <w:rsid w:val="00444B87"/>
    <w:rsid w:val="00446486"/>
    <w:rsid w:val="00446F99"/>
    <w:rsid w:val="00450170"/>
    <w:rsid w:val="0045085C"/>
    <w:rsid w:val="004508F8"/>
    <w:rsid w:val="00450F7F"/>
    <w:rsid w:val="0045199E"/>
    <w:rsid w:val="004534EF"/>
    <w:rsid w:val="0045436B"/>
    <w:rsid w:val="00454D43"/>
    <w:rsid w:val="00456237"/>
    <w:rsid w:val="00456616"/>
    <w:rsid w:val="00456FD3"/>
    <w:rsid w:val="00461442"/>
    <w:rsid w:val="00461520"/>
    <w:rsid w:val="004630B3"/>
    <w:rsid w:val="00464B21"/>
    <w:rsid w:val="00464E44"/>
    <w:rsid w:val="00465AD0"/>
    <w:rsid w:val="00465B1F"/>
    <w:rsid w:val="004672A7"/>
    <w:rsid w:val="00467976"/>
    <w:rsid w:val="00470153"/>
    <w:rsid w:val="00470A32"/>
    <w:rsid w:val="00471575"/>
    <w:rsid w:val="00471860"/>
    <w:rsid w:val="00472E5E"/>
    <w:rsid w:val="00473140"/>
    <w:rsid w:val="0047386F"/>
    <w:rsid w:val="00473DDF"/>
    <w:rsid w:val="0047416D"/>
    <w:rsid w:val="00474205"/>
    <w:rsid w:val="004744D7"/>
    <w:rsid w:val="004744D8"/>
    <w:rsid w:val="004754AD"/>
    <w:rsid w:val="00475B31"/>
    <w:rsid w:val="00477CE9"/>
    <w:rsid w:val="00480683"/>
    <w:rsid w:val="00481572"/>
    <w:rsid w:val="00483CB1"/>
    <w:rsid w:val="00484F80"/>
    <w:rsid w:val="004859D3"/>
    <w:rsid w:val="0048749F"/>
    <w:rsid w:val="00487A4B"/>
    <w:rsid w:val="0049054F"/>
    <w:rsid w:val="00490B0A"/>
    <w:rsid w:val="004922CA"/>
    <w:rsid w:val="00492460"/>
    <w:rsid w:val="0049278B"/>
    <w:rsid w:val="00493536"/>
    <w:rsid w:val="00493805"/>
    <w:rsid w:val="00493F25"/>
    <w:rsid w:val="00494427"/>
    <w:rsid w:val="00494D89"/>
    <w:rsid w:val="00494F1B"/>
    <w:rsid w:val="00495012"/>
    <w:rsid w:val="0049524C"/>
    <w:rsid w:val="00495C23"/>
    <w:rsid w:val="00495DCA"/>
    <w:rsid w:val="00496815"/>
    <w:rsid w:val="00496889"/>
    <w:rsid w:val="00497D71"/>
    <w:rsid w:val="004A00C7"/>
    <w:rsid w:val="004A14D0"/>
    <w:rsid w:val="004A19D5"/>
    <w:rsid w:val="004A20AC"/>
    <w:rsid w:val="004A3400"/>
    <w:rsid w:val="004A5153"/>
    <w:rsid w:val="004A52FF"/>
    <w:rsid w:val="004A5CED"/>
    <w:rsid w:val="004A6417"/>
    <w:rsid w:val="004A6E45"/>
    <w:rsid w:val="004A7153"/>
    <w:rsid w:val="004A769E"/>
    <w:rsid w:val="004B08B6"/>
    <w:rsid w:val="004B18BF"/>
    <w:rsid w:val="004B1AB1"/>
    <w:rsid w:val="004B1CC0"/>
    <w:rsid w:val="004B2E3E"/>
    <w:rsid w:val="004B3527"/>
    <w:rsid w:val="004B523D"/>
    <w:rsid w:val="004B6A0B"/>
    <w:rsid w:val="004B6FA6"/>
    <w:rsid w:val="004C2BCB"/>
    <w:rsid w:val="004C34FB"/>
    <w:rsid w:val="004C48BF"/>
    <w:rsid w:val="004C5071"/>
    <w:rsid w:val="004C5959"/>
    <w:rsid w:val="004C59DD"/>
    <w:rsid w:val="004C6DEC"/>
    <w:rsid w:val="004C7727"/>
    <w:rsid w:val="004C7A5C"/>
    <w:rsid w:val="004C7ED5"/>
    <w:rsid w:val="004D0439"/>
    <w:rsid w:val="004D0601"/>
    <w:rsid w:val="004D06EC"/>
    <w:rsid w:val="004D0976"/>
    <w:rsid w:val="004D0E38"/>
    <w:rsid w:val="004D0FE1"/>
    <w:rsid w:val="004D1DB4"/>
    <w:rsid w:val="004D2858"/>
    <w:rsid w:val="004D3BB6"/>
    <w:rsid w:val="004D4AC7"/>
    <w:rsid w:val="004D58D9"/>
    <w:rsid w:val="004D5CA2"/>
    <w:rsid w:val="004D6AD1"/>
    <w:rsid w:val="004D7953"/>
    <w:rsid w:val="004E0511"/>
    <w:rsid w:val="004E06C7"/>
    <w:rsid w:val="004E1504"/>
    <w:rsid w:val="004E19DC"/>
    <w:rsid w:val="004E1B4B"/>
    <w:rsid w:val="004E2629"/>
    <w:rsid w:val="004E2754"/>
    <w:rsid w:val="004E2A00"/>
    <w:rsid w:val="004E2D70"/>
    <w:rsid w:val="004E360B"/>
    <w:rsid w:val="004E368C"/>
    <w:rsid w:val="004E3918"/>
    <w:rsid w:val="004E4475"/>
    <w:rsid w:val="004E44A7"/>
    <w:rsid w:val="004E4658"/>
    <w:rsid w:val="004E48B2"/>
    <w:rsid w:val="004E6361"/>
    <w:rsid w:val="004E69FE"/>
    <w:rsid w:val="004F00FC"/>
    <w:rsid w:val="004F0656"/>
    <w:rsid w:val="004F1663"/>
    <w:rsid w:val="004F1A66"/>
    <w:rsid w:val="004F24E0"/>
    <w:rsid w:val="004F492C"/>
    <w:rsid w:val="004F5393"/>
    <w:rsid w:val="004F5EE2"/>
    <w:rsid w:val="004F5F71"/>
    <w:rsid w:val="004F6E47"/>
    <w:rsid w:val="005009A7"/>
    <w:rsid w:val="00501F46"/>
    <w:rsid w:val="00503053"/>
    <w:rsid w:val="005030D4"/>
    <w:rsid w:val="005031A4"/>
    <w:rsid w:val="00504960"/>
    <w:rsid w:val="005054AD"/>
    <w:rsid w:val="005060DD"/>
    <w:rsid w:val="0050624D"/>
    <w:rsid w:val="005072AA"/>
    <w:rsid w:val="0050780C"/>
    <w:rsid w:val="00510E61"/>
    <w:rsid w:val="0051114E"/>
    <w:rsid w:val="00511597"/>
    <w:rsid w:val="00511B5E"/>
    <w:rsid w:val="00512850"/>
    <w:rsid w:val="00512955"/>
    <w:rsid w:val="00512A23"/>
    <w:rsid w:val="005134BC"/>
    <w:rsid w:val="005143E0"/>
    <w:rsid w:val="00514C40"/>
    <w:rsid w:val="0051572A"/>
    <w:rsid w:val="0051595F"/>
    <w:rsid w:val="00515C36"/>
    <w:rsid w:val="00515C39"/>
    <w:rsid w:val="00515F06"/>
    <w:rsid w:val="00515F21"/>
    <w:rsid w:val="005162D3"/>
    <w:rsid w:val="00516809"/>
    <w:rsid w:val="00520861"/>
    <w:rsid w:val="005211CC"/>
    <w:rsid w:val="00521D54"/>
    <w:rsid w:val="005229B4"/>
    <w:rsid w:val="00522F52"/>
    <w:rsid w:val="005233E7"/>
    <w:rsid w:val="0052365A"/>
    <w:rsid w:val="005241CC"/>
    <w:rsid w:val="005242A3"/>
    <w:rsid w:val="005243DB"/>
    <w:rsid w:val="005248B3"/>
    <w:rsid w:val="00524952"/>
    <w:rsid w:val="005256AC"/>
    <w:rsid w:val="00525E27"/>
    <w:rsid w:val="005263D8"/>
    <w:rsid w:val="0053070E"/>
    <w:rsid w:val="0053192E"/>
    <w:rsid w:val="00532348"/>
    <w:rsid w:val="0053245B"/>
    <w:rsid w:val="00535287"/>
    <w:rsid w:val="0053624E"/>
    <w:rsid w:val="005365BB"/>
    <w:rsid w:val="00536C83"/>
    <w:rsid w:val="00536F3A"/>
    <w:rsid w:val="00537064"/>
    <w:rsid w:val="00537FF9"/>
    <w:rsid w:val="0054182A"/>
    <w:rsid w:val="005420C4"/>
    <w:rsid w:val="0054223B"/>
    <w:rsid w:val="00542575"/>
    <w:rsid w:val="00542605"/>
    <w:rsid w:val="00544731"/>
    <w:rsid w:val="00544CA9"/>
    <w:rsid w:val="00544EB5"/>
    <w:rsid w:val="00544FF8"/>
    <w:rsid w:val="00545579"/>
    <w:rsid w:val="0054627E"/>
    <w:rsid w:val="005467B0"/>
    <w:rsid w:val="00546956"/>
    <w:rsid w:val="00546D7E"/>
    <w:rsid w:val="0054748A"/>
    <w:rsid w:val="005479BC"/>
    <w:rsid w:val="00550612"/>
    <w:rsid w:val="00550C1A"/>
    <w:rsid w:val="00550C77"/>
    <w:rsid w:val="00552313"/>
    <w:rsid w:val="005538A1"/>
    <w:rsid w:val="00554539"/>
    <w:rsid w:val="00554F80"/>
    <w:rsid w:val="005553F9"/>
    <w:rsid w:val="00555BC9"/>
    <w:rsid w:val="00556834"/>
    <w:rsid w:val="00556DC1"/>
    <w:rsid w:val="005573E0"/>
    <w:rsid w:val="00560C46"/>
    <w:rsid w:val="0056135C"/>
    <w:rsid w:val="005623B1"/>
    <w:rsid w:val="0056249B"/>
    <w:rsid w:val="00562F6C"/>
    <w:rsid w:val="005631E2"/>
    <w:rsid w:val="0056342F"/>
    <w:rsid w:val="005646CD"/>
    <w:rsid w:val="005659B1"/>
    <w:rsid w:val="005675A1"/>
    <w:rsid w:val="005679C0"/>
    <w:rsid w:val="00567FEF"/>
    <w:rsid w:val="0057014A"/>
    <w:rsid w:val="005705A0"/>
    <w:rsid w:val="00570C2B"/>
    <w:rsid w:val="00570FEB"/>
    <w:rsid w:val="00571AE2"/>
    <w:rsid w:val="00572B26"/>
    <w:rsid w:val="00572DB4"/>
    <w:rsid w:val="00572F02"/>
    <w:rsid w:val="00573626"/>
    <w:rsid w:val="00574492"/>
    <w:rsid w:val="00574734"/>
    <w:rsid w:val="00574B5C"/>
    <w:rsid w:val="00576350"/>
    <w:rsid w:val="00577388"/>
    <w:rsid w:val="005776DB"/>
    <w:rsid w:val="00581133"/>
    <w:rsid w:val="00581CFB"/>
    <w:rsid w:val="00581E0C"/>
    <w:rsid w:val="00582143"/>
    <w:rsid w:val="0058227B"/>
    <w:rsid w:val="00582BA1"/>
    <w:rsid w:val="005832AE"/>
    <w:rsid w:val="00583588"/>
    <w:rsid w:val="00584BCE"/>
    <w:rsid w:val="00584DFC"/>
    <w:rsid w:val="00585686"/>
    <w:rsid w:val="00586130"/>
    <w:rsid w:val="005867C3"/>
    <w:rsid w:val="00587082"/>
    <w:rsid w:val="0059108F"/>
    <w:rsid w:val="00591BC4"/>
    <w:rsid w:val="00591E7C"/>
    <w:rsid w:val="00592CCF"/>
    <w:rsid w:val="00593C1C"/>
    <w:rsid w:val="00593C85"/>
    <w:rsid w:val="00593F5B"/>
    <w:rsid w:val="00594134"/>
    <w:rsid w:val="005943CA"/>
    <w:rsid w:val="005947D0"/>
    <w:rsid w:val="00594DE4"/>
    <w:rsid w:val="00596133"/>
    <w:rsid w:val="00596B82"/>
    <w:rsid w:val="00596C2D"/>
    <w:rsid w:val="00596C63"/>
    <w:rsid w:val="00597636"/>
    <w:rsid w:val="00597DB7"/>
    <w:rsid w:val="005A002A"/>
    <w:rsid w:val="005A0731"/>
    <w:rsid w:val="005A17F5"/>
    <w:rsid w:val="005A1F38"/>
    <w:rsid w:val="005A1F88"/>
    <w:rsid w:val="005A2105"/>
    <w:rsid w:val="005A35A4"/>
    <w:rsid w:val="005A364C"/>
    <w:rsid w:val="005A38A0"/>
    <w:rsid w:val="005A3969"/>
    <w:rsid w:val="005A3E0E"/>
    <w:rsid w:val="005A46C5"/>
    <w:rsid w:val="005A507F"/>
    <w:rsid w:val="005A6196"/>
    <w:rsid w:val="005A6472"/>
    <w:rsid w:val="005A6942"/>
    <w:rsid w:val="005A6F54"/>
    <w:rsid w:val="005A724F"/>
    <w:rsid w:val="005A7447"/>
    <w:rsid w:val="005A7AA7"/>
    <w:rsid w:val="005A7C4B"/>
    <w:rsid w:val="005A7D90"/>
    <w:rsid w:val="005B006B"/>
    <w:rsid w:val="005B0F69"/>
    <w:rsid w:val="005B1100"/>
    <w:rsid w:val="005B24CC"/>
    <w:rsid w:val="005B2649"/>
    <w:rsid w:val="005B2DE1"/>
    <w:rsid w:val="005B3087"/>
    <w:rsid w:val="005B378E"/>
    <w:rsid w:val="005B384E"/>
    <w:rsid w:val="005B3DAA"/>
    <w:rsid w:val="005B5283"/>
    <w:rsid w:val="005B6069"/>
    <w:rsid w:val="005B6916"/>
    <w:rsid w:val="005B6A59"/>
    <w:rsid w:val="005B75D4"/>
    <w:rsid w:val="005B77F9"/>
    <w:rsid w:val="005B78DD"/>
    <w:rsid w:val="005B7D78"/>
    <w:rsid w:val="005B7E26"/>
    <w:rsid w:val="005C0F7A"/>
    <w:rsid w:val="005C135E"/>
    <w:rsid w:val="005C1464"/>
    <w:rsid w:val="005C14AF"/>
    <w:rsid w:val="005C289D"/>
    <w:rsid w:val="005C2CB9"/>
    <w:rsid w:val="005C39F4"/>
    <w:rsid w:val="005C46A2"/>
    <w:rsid w:val="005C49D5"/>
    <w:rsid w:val="005C5CAE"/>
    <w:rsid w:val="005C619C"/>
    <w:rsid w:val="005C688D"/>
    <w:rsid w:val="005C7CA7"/>
    <w:rsid w:val="005D0F08"/>
    <w:rsid w:val="005D12CB"/>
    <w:rsid w:val="005D15F7"/>
    <w:rsid w:val="005D1B4E"/>
    <w:rsid w:val="005D3AA7"/>
    <w:rsid w:val="005D44C7"/>
    <w:rsid w:val="005D465F"/>
    <w:rsid w:val="005D631F"/>
    <w:rsid w:val="005D6548"/>
    <w:rsid w:val="005D69E7"/>
    <w:rsid w:val="005D6B50"/>
    <w:rsid w:val="005D7D30"/>
    <w:rsid w:val="005D7ED1"/>
    <w:rsid w:val="005E003B"/>
    <w:rsid w:val="005E009D"/>
    <w:rsid w:val="005E1DCA"/>
    <w:rsid w:val="005E1E53"/>
    <w:rsid w:val="005E2877"/>
    <w:rsid w:val="005E35EA"/>
    <w:rsid w:val="005E4097"/>
    <w:rsid w:val="005E47E8"/>
    <w:rsid w:val="005E503A"/>
    <w:rsid w:val="005E54A0"/>
    <w:rsid w:val="005E65D2"/>
    <w:rsid w:val="005E6EED"/>
    <w:rsid w:val="005F094A"/>
    <w:rsid w:val="005F15E8"/>
    <w:rsid w:val="005F2044"/>
    <w:rsid w:val="005F2B5F"/>
    <w:rsid w:val="005F393E"/>
    <w:rsid w:val="005F4C46"/>
    <w:rsid w:val="005F556D"/>
    <w:rsid w:val="005F5761"/>
    <w:rsid w:val="005F7161"/>
    <w:rsid w:val="005F7C0A"/>
    <w:rsid w:val="0060028E"/>
    <w:rsid w:val="00601103"/>
    <w:rsid w:val="0060125D"/>
    <w:rsid w:val="00602228"/>
    <w:rsid w:val="00602709"/>
    <w:rsid w:val="0060279F"/>
    <w:rsid w:val="00602818"/>
    <w:rsid w:val="006036EF"/>
    <w:rsid w:val="00603A2C"/>
    <w:rsid w:val="00604BEC"/>
    <w:rsid w:val="00605650"/>
    <w:rsid w:val="00605F8C"/>
    <w:rsid w:val="0060613D"/>
    <w:rsid w:val="00606CCA"/>
    <w:rsid w:val="0061278B"/>
    <w:rsid w:val="00612CD9"/>
    <w:rsid w:val="00614F96"/>
    <w:rsid w:val="00615A04"/>
    <w:rsid w:val="00615E00"/>
    <w:rsid w:val="006160A3"/>
    <w:rsid w:val="00616609"/>
    <w:rsid w:val="00616988"/>
    <w:rsid w:val="006172B2"/>
    <w:rsid w:val="006178A3"/>
    <w:rsid w:val="00617DF1"/>
    <w:rsid w:val="00621320"/>
    <w:rsid w:val="00621704"/>
    <w:rsid w:val="00622A3D"/>
    <w:rsid w:val="00623009"/>
    <w:rsid w:val="0062401B"/>
    <w:rsid w:val="0062756D"/>
    <w:rsid w:val="00627A5D"/>
    <w:rsid w:val="006304E3"/>
    <w:rsid w:val="00630580"/>
    <w:rsid w:val="006323B6"/>
    <w:rsid w:val="00632A66"/>
    <w:rsid w:val="00634143"/>
    <w:rsid w:val="00634DD0"/>
    <w:rsid w:val="0063545E"/>
    <w:rsid w:val="0063666D"/>
    <w:rsid w:val="006374EE"/>
    <w:rsid w:val="00637972"/>
    <w:rsid w:val="0064050D"/>
    <w:rsid w:val="00640BB1"/>
    <w:rsid w:val="00640C66"/>
    <w:rsid w:val="00641035"/>
    <w:rsid w:val="00641B78"/>
    <w:rsid w:val="0064243F"/>
    <w:rsid w:val="00643088"/>
    <w:rsid w:val="00643895"/>
    <w:rsid w:val="00644669"/>
    <w:rsid w:val="006449DB"/>
    <w:rsid w:val="0064510D"/>
    <w:rsid w:val="0064572B"/>
    <w:rsid w:val="00645B75"/>
    <w:rsid w:val="006469F4"/>
    <w:rsid w:val="006500B2"/>
    <w:rsid w:val="00650D80"/>
    <w:rsid w:val="00651420"/>
    <w:rsid w:val="00651FA6"/>
    <w:rsid w:val="00652059"/>
    <w:rsid w:val="00652E9E"/>
    <w:rsid w:val="00652FA8"/>
    <w:rsid w:val="0065359E"/>
    <w:rsid w:val="00654BAC"/>
    <w:rsid w:val="00655611"/>
    <w:rsid w:val="006559A8"/>
    <w:rsid w:val="0065671D"/>
    <w:rsid w:val="006568FC"/>
    <w:rsid w:val="00657C32"/>
    <w:rsid w:val="006600BC"/>
    <w:rsid w:val="00660C21"/>
    <w:rsid w:val="00660D08"/>
    <w:rsid w:val="0066266D"/>
    <w:rsid w:val="00666545"/>
    <w:rsid w:val="00670768"/>
    <w:rsid w:val="00672E87"/>
    <w:rsid w:val="00673CBD"/>
    <w:rsid w:val="00674647"/>
    <w:rsid w:val="00675601"/>
    <w:rsid w:val="00675EC9"/>
    <w:rsid w:val="006765D3"/>
    <w:rsid w:val="00677DAC"/>
    <w:rsid w:val="0068035E"/>
    <w:rsid w:val="0068163A"/>
    <w:rsid w:val="00682490"/>
    <w:rsid w:val="00683F68"/>
    <w:rsid w:val="00684B88"/>
    <w:rsid w:val="00684EA2"/>
    <w:rsid w:val="006852D5"/>
    <w:rsid w:val="00686D3C"/>
    <w:rsid w:val="00690BEA"/>
    <w:rsid w:val="00690CD3"/>
    <w:rsid w:val="00691146"/>
    <w:rsid w:val="00692980"/>
    <w:rsid w:val="00692F04"/>
    <w:rsid w:val="00692F42"/>
    <w:rsid w:val="006957EB"/>
    <w:rsid w:val="006959AE"/>
    <w:rsid w:val="00695A97"/>
    <w:rsid w:val="00696F7F"/>
    <w:rsid w:val="0069704C"/>
    <w:rsid w:val="0069714C"/>
    <w:rsid w:val="0069787A"/>
    <w:rsid w:val="006A0E81"/>
    <w:rsid w:val="006A249E"/>
    <w:rsid w:val="006A280F"/>
    <w:rsid w:val="006A2F9A"/>
    <w:rsid w:val="006A3778"/>
    <w:rsid w:val="006A39EF"/>
    <w:rsid w:val="006A3FA4"/>
    <w:rsid w:val="006A4759"/>
    <w:rsid w:val="006A54E2"/>
    <w:rsid w:val="006A56CB"/>
    <w:rsid w:val="006A5EC6"/>
    <w:rsid w:val="006A6315"/>
    <w:rsid w:val="006A64B8"/>
    <w:rsid w:val="006A650E"/>
    <w:rsid w:val="006A6A33"/>
    <w:rsid w:val="006A6A43"/>
    <w:rsid w:val="006B158E"/>
    <w:rsid w:val="006B2616"/>
    <w:rsid w:val="006B2C01"/>
    <w:rsid w:val="006B2EA1"/>
    <w:rsid w:val="006B300A"/>
    <w:rsid w:val="006B3532"/>
    <w:rsid w:val="006B37E6"/>
    <w:rsid w:val="006B39D0"/>
    <w:rsid w:val="006B518A"/>
    <w:rsid w:val="006B5430"/>
    <w:rsid w:val="006B6FEE"/>
    <w:rsid w:val="006C0042"/>
    <w:rsid w:val="006C015E"/>
    <w:rsid w:val="006C01E3"/>
    <w:rsid w:val="006C0228"/>
    <w:rsid w:val="006C1421"/>
    <w:rsid w:val="006C1442"/>
    <w:rsid w:val="006C3217"/>
    <w:rsid w:val="006C3767"/>
    <w:rsid w:val="006C38AE"/>
    <w:rsid w:val="006C50CD"/>
    <w:rsid w:val="006C5201"/>
    <w:rsid w:val="006C6589"/>
    <w:rsid w:val="006C7030"/>
    <w:rsid w:val="006C7C8E"/>
    <w:rsid w:val="006D04E5"/>
    <w:rsid w:val="006D126A"/>
    <w:rsid w:val="006D133D"/>
    <w:rsid w:val="006D1574"/>
    <w:rsid w:val="006D1CB4"/>
    <w:rsid w:val="006D2C5A"/>
    <w:rsid w:val="006D305F"/>
    <w:rsid w:val="006D390E"/>
    <w:rsid w:val="006D408F"/>
    <w:rsid w:val="006D480C"/>
    <w:rsid w:val="006D578C"/>
    <w:rsid w:val="006D59E2"/>
    <w:rsid w:val="006D6C3D"/>
    <w:rsid w:val="006D6DBA"/>
    <w:rsid w:val="006D7779"/>
    <w:rsid w:val="006D7CEB"/>
    <w:rsid w:val="006E1345"/>
    <w:rsid w:val="006E13C5"/>
    <w:rsid w:val="006E1EBE"/>
    <w:rsid w:val="006E399A"/>
    <w:rsid w:val="006E426F"/>
    <w:rsid w:val="006E428A"/>
    <w:rsid w:val="006E5548"/>
    <w:rsid w:val="006E59CF"/>
    <w:rsid w:val="006E5B5C"/>
    <w:rsid w:val="006E5D23"/>
    <w:rsid w:val="006E60FD"/>
    <w:rsid w:val="006F0047"/>
    <w:rsid w:val="006F0C26"/>
    <w:rsid w:val="006F11F0"/>
    <w:rsid w:val="006F1235"/>
    <w:rsid w:val="006F1881"/>
    <w:rsid w:val="006F1B03"/>
    <w:rsid w:val="006F1F75"/>
    <w:rsid w:val="006F2672"/>
    <w:rsid w:val="006F3F2D"/>
    <w:rsid w:val="006F45D8"/>
    <w:rsid w:val="006F477C"/>
    <w:rsid w:val="006F5092"/>
    <w:rsid w:val="006F5E4D"/>
    <w:rsid w:val="006F6A09"/>
    <w:rsid w:val="006F6C72"/>
    <w:rsid w:val="007001B9"/>
    <w:rsid w:val="00702173"/>
    <w:rsid w:val="00702393"/>
    <w:rsid w:val="007031EA"/>
    <w:rsid w:val="007039F0"/>
    <w:rsid w:val="007040BA"/>
    <w:rsid w:val="007058BD"/>
    <w:rsid w:val="00705969"/>
    <w:rsid w:val="007062E9"/>
    <w:rsid w:val="007067B8"/>
    <w:rsid w:val="007070B6"/>
    <w:rsid w:val="007105C2"/>
    <w:rsid w:val="007106F1"/>
    <w:rsid w:val="00710C36"/>
    <w:rsid w:val="00710CE4"/>
    <w:rsid w:val="00710E3A"/>
    <w:rsid w:val="00712C11"/>
    <w:rsid w:val="007132F3"/>
    <w:rsid w:val="00714321"/>
    <w:rsid w:val="00714B86"/>
    <w:rsid w:val="007155F6"/>
    <w:rsid w:val="00717178"/>
    <w:rsid w:val="00717AEF"/>
    <w:rsid w:val="00720FEE"/>
    <w:rsid w:val="00721490"/>
    <w:rsid w:val="00721F34"/>
    <w:rsid w:val="00722123"/>
    <w:rsid w:val="00724A63"/>
    <w:rsid w:val="007259BE"/>
    <w:rsid w:val="00725D42"/>
    <w:rsid w:val="00731116"/>
    <w:rsid w:val="007313C0"/>
    <w:rsid w:val="007316F6"/>
    <w:rsid w:val="00731708"/>
    <w:rsid w:val="00733622"/>
    <w:rsid w:val="00734F0A"/>
    <w:rsid w:val="007355F4"/>
    <w:rsid w:val="007372DC"/>
    <w:rsid w:val="00737411"/>
    <w:rsid w:val="00737843"/>
    <w:rsid w:val="0074078A"/>
    <w:rsid w:val="00740A6B"/>
    <w:rsid w:val="00740BF2"/>
    <w:rsid w:val="00741C9E"/>
    <w:rsid w:val="00741FB5"/>
    <w:rsid w:val="007433CC"/>
    <w:rsid w:val="00743F00"/>
    <w:rsid w:val="00743F7D"/>
    <w:rsid w:val="00744468"/>
    <w:rsid w:val="007452CA"/>
    <w:rsid w:val="007464AA"/>
    <w:rsid w:val="00747003"/>
    <w:rsid w:val="00747685"/>
    <w:rsid w:val="00750BB5"/>
    <w:rsid w:val="00751B3C"/>
    <w:rsid w:val="00751D1D"/>
    <w:rsid w:val="00751F62"/>
    <w:rsid w:val="00752791"/>
    <w:rsid w:val="00752C8E"/>
    <w:rsid w:val="00754856"/>
    <w:rsid w:val="00754DD2"/>
    <w:rsid w:val="00754F8D"/>
    <w:rsid w:val="007553BB"/>
    <w:rsid w:val="00755552"/>
    <w:rsid w:val="00755C3A"/>
    <w:rsid w:val="0075666F"/>
    <w:rsid w:val="00761F32"/>
    <w:rsid w:val="00761F97"/>
    <w:rsid w:val="0076201A"/>
    <w:rsid w:val="007624AF"/>
    <w:rsid w:val="00763510"/>
    <w:rsid w:val="00763C08"/>
    <w:rsid w:val="007641AF"/>
    <w:rsid w:val="007646A1"/>
    <w:rsid w:val="00764B11"/>
    <w:rsid w:val="00764C2F"/>
    <w:rsid w:val="00764C5E"/>
    <w:rsid w:val="0076518F"/>
    <w:rsid w:val="0076550D"/>
    <w:rsid w:val="00765542"/>
    <w:rsid w:val="00766C20"/>
    <w:rsid w:val="00766E5A"/>
    <w:rsid w:val="00770810"/>
    <w:rsid w:val="007718BF"/>
    <w:rsid w:val="007720BF"/>
    <w:rsid w:val="007724E7"/>
    <w:rsid w:val="007739B1"/>
    <w:rsid w:val="0077401D"/>
    <w:rsid w:val="00775639"/>
    <w:rsid w:val="00775CAC"/>
    <w:rsid w:val="00775DED"/>
    <w:rsid w:val="00775F25"/>
    <w:rsid w:val="00776E15"/>
    <w:rsid w:val="00777883"/>
    <w:rsid w:val="00780159"/>
    <w:rsid w:val="00783434"/>
    <w:rsid w:val="0078366B"/>
    <w:rsid w:val="00783CEC"/>
    <w:rsid w:val="00785984"/>
    <w:rsid w:val="00785CD0"/>
    <w:rsid w:val="00786359"/>
    <w:rsid w:val="00786560"/>
    <w:rsid w:val="00787019"/>
    <w:rsid w:val="0078717B"/>
    <w:rsid w:val="007874A2"/>
    <w:rsid w:val="00791B5A"/>
    <w:rsid w:val="00793A32"/>
    <w:rsid w:val="00794F7C"/>
    <w:rsid w:val="0079501F"/>
    <w:rsid w:val="00795462"/>
    <w:rsid w:val="00795488"/>
    <w:rsid w:val="0079573A"/>
    <w:rsid w:val="00795E96"/>
    <w:rsid w:val="00795E97"/>
    <w:rsid w:val="00796CF5"/>
    <w:rsid w:val="00796D60"/>
    <w:rsid w:val="0079712E"/>
    <w:rsid w:val="0079746B"/>
    <w:rsid w:val="007A0487"/>
    <w:rsid w:val="007A0C4A"/>
    <w:rsid w:val="007A1928"/>
    <w:rsid w:val="007A2280"/>
    <w:rsid w:val="007A2988"/>
    <w:rsid w:val="007A2F44"/>
    <w:rsid w:val="007A2FD1"/>
    <w:rsid w:val="007A46D5"/>
    <w:rsid w:val="007A5017"/>
    <w:rsid w:val="007A5EAA"/>
    <w:rsid w:val="007A6299"/>
    <w:rsid w:val="007A6AB2"/>
    <w:rsid w:val="007A6CA8"/>
    <w:rsid w:val="007A6E08"/>
    <w:rsid w:val="007A6FD7"/>
    <w:rsid w:val="007A75B0"/>
    <w:rsid w:val="007A7C4C"/>
    <w:rsid w:val="007A7D22"/>
    <w:rsid w:val="007B1079"/>
    <w:rsid w:val="007B1559"/>
    <w:rsid w:val="007B1611"/>
    <w:rsid w:val="007B1A22"/>
    <w:rsid w:val="007B1EA8"/>
    <w:rsid w:val="007B23A9"/>
    <w:rsid w:val="007B27BC"/>
    <w:rsid w:val="007B3B65"/>
    <w:rsid w:val="007B51E7"/>
    <w:rsid w:val="007B5D62"/>
    <w:rsid w:val="007B627C"/>
    <w:rsid w:val="007B67F1"/>
    <w:rsid w:val="007B6B97"/>
    <w:rsid w:val="007B78B8"/>
    <w:rsid w:val="007B7A7B"/>
    <w:rsid w:val="007C02EE"/>
    <w:rsid w:val="007C0ADA"/>
    <w:rsid w:val="007C0C1C"/>
    <w:rsid w:val="007C0F8D"/>
    <w:rsid w:val="007C1F70"/>
    <w:rsid w:val="007C322B"/>
    <w:rsid w:val="007C4078"/>
    <w:rsid w:val="007C4259"/>
    <w:rsid w:val="007C42D1"/>
    <w:rsid w:val="007C4FE3"/>
    <w:rsid w:val="007C54C2"/>
    <w:rsid w:val="007C570D"/>
    <w:rsid w:val="007C5C4B"/>
    <w:rsid w:val="007C6B6C"/>
    <w:rsid w:val="007C6EDA"/>
    <w:rsid w:val="007C76AE"/>
    <w:rsid w:val="007C76D4"/>
    <w:rsid w:val="007C7DD4"/>
    <w:rsid w:val="007D0ADA"/>
    <w:rsid w:val="007D10EB"/>
    <w:rsid w:val="007D1530"/>
    <w:rsid w:val="007D1AF4"/>
    <w:rsid w:val="007D1EDD"/>
    <w:rsid w:val="007D47D8"/>
    <w:rsid w:val="007D5858"/>
    <w:rsid w:val="007D75F4"/>
    <w:rsid w:val="007D77D9"/>
    <w:rsid w:val="007E017F"/>
    <w:rsid w:val="007E0CBC"/>
    <w:rsid w:val="007E1447"/>
    <w:rsid w:val="007E48A9"/>
    <w:rsid w:val="007E49C6"/>
    <w:rsid w:val="007E4B02"/>
    <w:rsid w:val="007E57D1"/>
    <w:rsid w:val="007E636F"/>
    <w:rsid w:val="007E674F"/>
    <w:rsid w:val="007E6D88"/>
    <w:rsid w:val="007E75A9"/>
    <w:rsid w:val="007F0697"/>
    <w:rsid w:val="007F1421"/>
    <w:rsid w:val="007F2A86"/>
    <w:rsid w:val="007F2B2A"/>
    <w:rsid w:val="007F2F50"/>
    <w:rsid w:val="007F57C5"/>
    <w:rsid w:val="007F57D3"/>
    <w:rsid w:val="007F63EA"/>
    <w:rsid w:val="007F727F"/>
    <w:rsid w:val="007F76AE"/>
    <w:rsid w:val="007F792B"/>
    <w:rsid w:val="007F7E54"/>
    <w:rsid w:val="008012B0"/>
    <w:rsid w:val="00804C68"/>
    <w:rsid w:val="0080507F"/>
    <w:rsid w:val="0080633A"/>
    <w:rsid w:val="00806512"/>
    <w:rsid w:val="00806CA2"/>
    <w:rsid w:val="00810265"/>
    <w:rsid w:val="008104CE"/>
    <w:rsid w:val="008120E3"/>
    <w:rsid w:val="00812F31"/>
    <w:rsid w:val="00813726"/>
    <w:rsid w:val="00814597"/>
    <w:rsid w:val="00814C76"/>
    <w:rsid w:val="00815147"/>
    <w:rsid w:val="008153D8"/>
    <w:rsid w:val="00815605"/>
    <w:rsid w:val="00815A6E"/>
    <w:rsid w:val="00815F77"/>
    <w:rsid w:val="008170E9"/>
    <w:rsid w:val="00817384"/>
    <w:rsid w:val="00817CF1"/>
    <w:rsid w:val="00822090"/>
    <w:rsid w:val="00822D1C"/>
    <w:rsid w:val="00822E71"/>
    <w:rsid w:val="00822FB4"/>
    <w:rsid w:val="0082338A"/>
    <w:rsid w:val="00823AE7"/>
    <w:rsid w:val="00824A10"/>
    <w:rsid w:val="00824F2F"/>
    <w:rsid w:val="0082510C"/>
    <w:rsid w:val="00825960"/>
    <w:rsid w:val="0082709F"/>
    <w:rsid w:val="00827757"/>
    <w:rsid w:val="00827EAA"/>
    <w:rsid w:val="00830619"/>
    <w:rsid w:val="00830BA2"/>
    <w:rsid w:val="0083119B"/>
    <w:rsid w:val="0083173F"/>
    <w:rsid w:val="00831924"/>
    <w:rsid w:val="00831FE4"/>
    <w:rsid w:val="0083299A"/>
    <w:rsid w:val="00832D13"/>
    <w:rsid w:val="008334B0"/>
    <w:rsid w:val="00833F3F"/>
    <w:rsid w:val="00834E9D"/>
    <w:rsid w:val="00835AD2"/>
    <w:rsid w:val="00835ED2"/>
    <w:rsid w:val="00835FEC"/>
    <w:rsid w:val="00836666"/>
    <w:rsid w:val="0083672D"/>
    <w:rsid w:val="00836733"/>
    <w:rsid w:val="00836BE2"/>
    <w:rsid w:val="00836F16"/>
    <w:rsid w:val="008379FB"/>
    <w:rsid w:val="00837B7B"/>
    <w:rsid w:val="00841A4E"/>
    <w:rsid w:val="00842363"/>
    <w:rsid w:val="00842472"/>
    <w:rsid w:val="00843776"/>
    <w:rsid w:val="00843C0A"/>
    <w:rsid w:val="008458F4"/>
    <w:rsid w:val="00845BEA"/>
    <w:rsid w:val="00845CCC"/>
    <w:rsid w:val="0084760F"/>
    <w:rsid w:val="00850EF3"/>
    <w:rsid w:val="00851D34"/>
    <w:rsid w:val="00852359"/>
    <w:rsid w:val="00853177"/>
    <w:rsid w:val="00853A28"/>
    <w:rsid w:val="00853D08"/>
    <w:rsid w:val="00854006"/>
    <w:rsid w:val="00854294"/>
    <w:rsid w:val="00855896"/>
    <w:rsid w:val="00856718"/>
    <w:rsid w:val="0085727A"/>
    <w:rsid w:val="00857E0E"/>
    <w:rsid w:val="008603EA"/>
    <w:rsid w:val="008608AC"/>
    <w:rsid w:val="00860A10"/>
    <w:rsid w:val="00860D9B"/>
    <w:rsid w:val="00861697"/>
    <w:rsid w:val="008617F3"/>
    <w:rsid w:val="0086180F"/>
    <w:rsid w:val="00861CC4"/>
    <w:rsid w:val="00861D6B"/>
    <w:rsid w:val="00861F37"/>
    <w:rsid w:val="00863288"/>
    <w:rsid w:val="00863602"/>
    <w:rsid w:val="00863A26"/>
    <w:rsid w:val="0086494B"/>
    <w:rsid w:val="00864F38"/>
    <w:rsid w:val="00865C31"/>
    <w:rsid w:val="008660C8"/>
    <w:rsid w:val="008672B1"/>
    <w:rsid w:val="0087026B"/>
    <w:rsid w:val="008706D0"/>
    <w:rsid w:val="00871B12"/>
    <w:rsid w:val="00873393"/>
    <w:rsid w:val="00873CD1"/>
    <w:rsid w:val="00874A26"/>
    <w:rsid w:val="00875257"/>
    <w:rsid w:val="008753AE"/>
    <w:rsid w:val="00877247"/>
    <w:rsid w:val="008778CE"/>
    <w:rsid w:val="00881038"/>
    <w:rsid w:val="00881077"/>
    <w:rsid w:val="00882739"/>
    <w:rsid w:val="008828DD"/>
    <w:rsid w:val="00884E07"/>
    <w:rsid w:val="00885EA5"/>
    <w:rsid w:val="00886B8C"/>
    <w:rsid w:val="00890B32"/>
    <w:rsid w:val="0089190B"/>
    <w:rsid w:val="008928F2"/>
    <w:rsid w:val="00892D8F"/>
    <w:rsid w:val="00893317"/>
    <w:rsid w:val="00893E85"/>
    <w:rsid w:val="0089466F"/>
    <w:rsid w:val="00894755"/>
    <w:rsid w:val="00897287"/>
    <w:rsid w:val="00897DD2"/>
    <w:rsid w:val="008A108F"/>
    <w:rsid w:val="008A1977"/>
    <w:rsid w:val="008A1A7A"/>
    <w:rsid w:val="008A1DCF"/>
    <w:rsid w:val="008A4853"/>
    <w:rsid w:val="008A5494"/>
    <w:rsid w:val="008A5AC6"/>
    <w:rsid w:val="008A5D4A"/>
    <w:rsid w:val="008A60EF"/>
    <w:rsid w:val="008A645F"/>
    <w:rsid w:val="008A6798"/>
    <w:rsid w:val="008A743B"/>
    <w:rsid w:val="008A7833"/>
    <w:rsid w:val="008B0358"/>
    <w:rsid w:val="008B078F"/>
    <w:rsid w:val="008B3BA3"/>
    <w:rsid w:val="008B420D"/>
    <w:rsid w:val="008B43BA"/>
    <w:rsid w:val="008B5737"/>
    <w:rsid w:val="008B6127"/>
    <w:rsid w:val="008B6518"/>
    <w:rsid w:val="008B73D5"/>
    <w:rsid w:val="008B7D16"/>
    <w:rsid w:val="008C09D7"/>
    <w:rsid w:val="008C0A81"/>
    <w:rsid w:val="008C1440"/>
    <w:rsid w:val="008C1960"/>
    <w:rsid w:val="008C2139"/>
    <w:rsid w:val="008C2C91"/>
    <w:rsid w:val="008C3F95"/>
    <w:rsid w:val="008C430C"/>
    <w:rsid w:val="008C45C8"/>
    <w:rsid w:val="008C5F3B"/>
    <w:rsid w:val="008C60FF"/>
    <w:rsid w:val="008C6539"/>
    <w:rsid w:val="008C65DD"/>
    <w:rsid w:val="008C6D18"/>
    <w:rsid w:val="008D30B4"/>
    <w:rsid w:val="008D3A1F"/>
    <w:rsid w:val="008D3C56"/>
    <w:rsid w:val="008D3C68"/>
    <w:rsid w:val="008D4BF3"/>
    <w:rsid w:val="008D5652"/>
    <w:rsid w:val="008D5C1E"/>
    <w:rsid w:val="008D680B"/>
    <w:rsid w:val="008D6C1A"/>
    <w:rsid w:val="008D7753"/>
    <w:rsid w:val="008D7A19"/>
    <w:rsid w:val="008E064D"/>
    <w:rsid w:val="008E09B4"/>
    <w:rsid w:val="008E0B2B"/>
    <w:rsid w:val="008E0BA5"/>
    <w:rsid w:val="008E1BD6"/>
    <w:rsid w:val="008E2AB9"/>
    <w:rsid w:val="008E2B0E"/>
    <w:rsid w:val="008E3149"/>
    <w:rsid w:val="008E3B8E"/>
    <w:rsid w:val="008E3E8B"/>
    <w:rsid w:val="008E3F9E"/>
    <w:rsid w:val="008E419B"/>
    <w:rsid w:val="008E4EE1"/>
    <w:rsid w:val="008E51CB"/>
    <w:rsid w:val="008E5A09"/>
    <w:rsid w:val="008E5AE4"/>
    <w:rsid w:val="008E5D00"/>
    <w:rsid w:val="008E64A4"/>
    <w:rsid w:val="008E698F"/>
    <w:rsid w:val="008F0625"/>
    <w:rsid w:val="008F0789"/>
    <w:rsid w:val="008F0B73"/>
    <w:rsid w:val="008F350B"/>
    <w:rsid w:val="008F372F"/>
    <w:rsid w:val="008F4B41"/>
    <w:rsid w:val="008F4B86"/>
    <w:rsid w:val="008F5BC4"/>
    <w:rsid w:val="008F5D9C"/>
    <w:rsid w:val="008F6208"/>
    <w:rsid w:val="008F73D0"/>
    <w:rsid w:val="008F7856"/>
    <w:rsid w:val="008F797C"/>
    <w:rsid w:val="008F7BCA"/>
    <w:rsid w:val="008F7F54"/>
    <w:rsid w:val="009001A8"/>
    <w:rsid w:val="009002BD"/>
    <w:rsid w:val="00902A67"/>
    <w:rsid w:val="009049A0"/>
    <w:rsid w:val="00905D15"/>
    <w:rsid w:val="00905D1D"/>
    <w:rsid w:val="00905F09"/>
    <w:rsid w:val="009074A2"/>
    <w:rsid w:val="009109DD"/>
    <w:rsid w:val="00910FF2"/>
    <w:rsid w:val="009125DE"/>
    <w:rsid w:val="0091281C"/>
    <w:rsid w:val="00912E68"/>
    <w:rsid w:val="0091481F"/>
    <w:rsid w:val="00914E5D"/>
    <w:rsid w:val="00916E07"/>
    <w:rsid w:val="00917F3F"/>
    <w:rsid w:val="0092130F"/>
    <w:rsid w:val="00921DF5"/>
    <w:rsid w:val="00922072"/>
    <w:rsid w:val="0092208E"/>
    <w:rsid w:val="009223CC"/>
    <w:rsid w:val="009225E4"/>
    <w:rsid w:val="00925FBA"/>
    <w:rsid w:val="009270A4"/>
    <w:rsid w:val="009276A5"/>
    <w:rsid w:val="009302DD"/>
    <w:rsid w:val="00930449"/>
    <w:rsid w:val="00931227"/>
    <w:rsid w:val="00931706"/>
    <w:rsid w:val="009331EF"/>
    <w:rsid w:val="00933522"/>
    <w:rsid w:val="00933DBD"/>
    <w:rsid w:val="009340CA"/>
    <w:rsid w:val="009348B5"/>
    <w:rsid w:val="0093524F"/>
    <w:rsid w:val="009357F9"/>
    <w:rsid w:val="00935B0B"/>
    <w:rsid w:val="00935B89"/>
    <w:rsid w:val="00936B02"/>
    <w:rsid w:val="00936C7D"/>
    <w:rsid w:val="00936CAD"/>
    <w:rsid w:val="00936CD6"/>
    <w:rsid w:val="0093746D"/>
    <w:rsid w:val="00937537"/>
    <w:rsid w:val="00940D5E"/>
    <w:rsid w:val="00941E9A"/>
    <w:rsid w:val="009424DB"/>
    <w:rsid w:val="00942CC1"/>
    <w:rsid w:val="009436FD"/>
    <w:rsid w:val="00943ED2"/>
    <w:rsid w:val="00944F04"/>
    <w:rsid w:val="00945AA2"/>
    <w:rsid w:val="00945E4F"/>
    <w:rsid w:val="0094604B"/>
    <w:rsid w:val="00946223"/>
    <w:rsid w:val="0094660C"/>
    <w:rsid w:val="00950D42"/>
    <w:rsid w:val="00951A1F"/>
    <w:rsid w:val="009521B9"/>
    <w:rsid w:val="00952462"/>
    <w:rsid w:val="00952469"/>
    <w:rsid w:val="00952627"/>
    <w:rsid w:val="00953A30"/>
    <w:rsid w:val="009540AB"/>
    <w:rsid w:val="009543BB"/>
    <w:rsid w:val="0095473F"/>
    <w:rsid w:val="00954E3C"/>
    <w:rsid w:val="00955B0C"/>
    <w:rsid w:val="00955B68"/>
    <w:rsid w:val="00955D4D"/>
    <w:rsid w:val="00956089"/>
    <w:rsid w:val="009578F9"/>
    <w:rsid w:val="00957DF5"/>
    <w:rsid w:val="0096001C"/>
    <w:rsid w:val="00960085"/>
    <w:rsid w:val="00960324"/>
    <w:rsid w:val="00960F9E"/>
    <w:rsid w:val="00961720"/>
    <w:rsid w:val="00961B84"/>
    <w:rsid w:val="009625CD"/>
    <w:rsid w:val="00962AF5"/>
    <w:rsid w:val="00964471"/>
    <w:rsid w:val="00964FEF"/>
    <w:rsid w:val="0096609D"/>
    <w:rsid w:val="00966467"/>
    <w:rsid w:val="00967B65"/>
    <w:rsid w:val="00970002"/>
    <w:rsid w:val="00970346"/>
    <w:rsid w:val="0097123E"/>
    <w:rsid w:val="009719C2"/>
    <w:rsid w:val="009721B3"/>
    <w:rsid w:val="009722CA"/>
    <w:rsid w:val="009724AC"/>
    <w:rsid w:val="00972B44"/>
    <w:rsid w:val="009736E8"/>
    <w:rsid w:val="00974BC6"/>
    <w:rsid w:val="009752BE"/>
    <w:rsid w:val="009764F7"/>
    <w:rsid w:val="009774E6"/>
    <w:rsid w:val="0097773D"/>
    <w:rsid w:val="00977849"/>
    <w:rsid w:val="0097790E"/>
    <w:rsid w:val="00980388"/>
    <w:rsid w:val="0098095B"/>
    <w:rsid w:val="009809B8"/>
    <w:rsid w:val="00980CDB"/>
    <w:rsid w:val="00980E2B"/>
    <w:rsid w:val="00983113"/>
    <w:rsid w:val="009834A0"/>
    <w:rsid w:val="009839F3"/>
    <w:rsid w:val="00983A80"/>
    <w:rsid w:val="00984BB2"/>
    <w:rsid w:val="00985069"/>
    <w:rsid w:val="00985216"/>
    <w:rsid w:val="009863AE"/>
    <w:rsid w:val="00987069"/>
    <w:rsid w:val="009871E1"/>
    <w:rsid w:val="00987E20"/>
    <w:rsid w:val="00990393"/>
    <w:rsid w:val="009904E4"/>
    <w:rsid w:val="00990955"/>
    <w:rsid w:val="00990FFD"/>
    <w:rsid w:val="00991A6E"/>
    <w:rsid w:val="009924EF"/>
    <w:rsid w:val="00992837"/>
    <w:rsid w:val="00992B84"/>
    <w:rsid w:val="009938FC"/>
    <w:rsid w:val="009949B2"/>
    <w:rsid w:val="009A0155"/>
    <w:rsid w:val="009A107B"/>
    <w:rsid w:val="009A12F7"/>
    <w:rsid w:val="009A1ED2"/>
    <w:rsid w:val="009A1FB2"/>
    <w:rsid w:val="009A206D"/>
    <w:rsid w:val="009A25C7"/>
    <w:rsid w:val="009A3325"/>
    <w:rsid w:val="009A3DA3"/>
    <w:rsid w:val="009A50BA"/>
    <w:rsid w:val="009A576B"/>
    <w:rsid w:val="009A596C"/>
    <w:rsid w:val="009A5A0F"/>
    <w:rsid w:val="009A5A25"/>
    <w:rsid w:val="009A5EB0"/>
    <w:rsid w:val="009A5FF1"/>
    <w:rsid w:val="009A6BF5"/>
    <w:rsid w:val="009A76B6"/>
    <w:rsid w:val="009B10BA"/>
    <w:rsid w:val="009B3332"/>
    <w:rsid w:val="009B45B5"/>
    <w:rsid w:val="009B4DEC"/>
    <w:rsid w:val="009B59D5"/>
    <w:rsid w:val="009B680C"/>
    <w:rsid w:val="009B6C0C"/>
    <w:rsid w:val="009B6EF0"/>
    <w:rsid w:val="009B791B"/>
    <w:rsid w:val="009C1BCF"/>
    <w:rsid w:val="009C346A"/>
    <w:rsid w:val="009C404F"/>
    <w:rsid w:val="009C4AC3"/>
    <w:rsid w:val="009C4B8A"/>
    <w:rsid w:val="009C61E8"/>
    <w:rsid w:val="009C6293"/>
    <w:rsid w:val="009C7F21"/>
    <w:rsid w:val="009C7F44"/>
    <w:rsid w:val="009D0598"/>
    <w:rsid w:val="009D09D1"/>
    <w:rsid w:val="009D0BF0"/>
    <w:rsid w:val="009D1DBC"/>
    <w:rsid w:val="009D2531"/>
    <w:rsid w:val="009D32D5"/>
    <w:rsid w:val="009D3B37"/>
    <w:rsid w:val="009D4816"/>
    <w:rsid w:val="009E0CEB"/>
    <w:rsid w:val="009E13D3"/>
    <w:rsid w:val="009E15D2"/>
    <w:rsid w:val="009E1825"/>
    <w:rsid w:val="009E2B4D"/>
    <w:rsid w:val="009E3BD4"/>
    <w:rsid w:val="009E492B"/>
    <w:rsid w:val="009E4C91"/>
    <w:rsid w:val="009E4F35"/>
    <w:rsid w:val="009E54AB"/>
    <w:rsid w:val="009E6114"/>
    <w:rsid w:val="009E72D0"/>
    <w:rsid w:val="009E7609"/>
    <w:rsid w:val="009E7EF7"/>
    <w:rsid w:val="009F1B46"/>
    <w:rsid w:val="009F26E2"/>
    <w:rsid w:val="009F3646"/>
    <w:rsid w:val="009F4999"/>
    <w:rsid w:val="009F5A45"/>
    <w:rsid w:val="009F77F6"/>
    <w:rsid w:val="009F7954"/>
    <w:rsid w:val="00A014EC"/>
    <w:rsid w:val="00A02428"/>
    <w:rsid w:val="00A02775"/>
    <w:rsid w:val="00A02FA2"/>
    <w:rsid w:val="00A043C8"/>
    <w:rsid w:val="00A04781"/>
    <w:rsid w:val="00A04BAD"/>
    <w:rsid w:val="00A04EEE"/>
    <w:rsid w:val="00A04F60"/>
    <w:rsid w:val="00A05230"/>
    <w:rsid w:val="00A0533D"/>
    <w:rsid w:val="00A05EBD"/>
    <w:rsid w:val="00A06E3C"/>
    <w:rsid w:val="00A06E84"/>
    <w:rsid w:val="00A070E8"/>
    <w:rsid w:val="00A07C8B"/>
    <w:rsid w:val="00A111B4"/>
    <w:rsid w:val="00A11467"/>
    <w:rsid w:val="00A11A82"/>
    <w:rsid w:val="00A120D7"/>
    <w:rsid w:val="00A12591"/>
    <w:rsid w:val="00A12ACA"/>
    <w:rsid w:val="00A12FDD"/>
    <w:rsid w:val="00A135F5"/>
    <w:rsid w:val="00A15D4B"/>
    <w:rsid w:val="00A16144"/>
    <w:rsid w:val="00A16273"/>
    <w:rsid w:val="00A16BD4"/>
    <w:rsid w:val="00A2053B"/>
    <w:rsid w:val="00A20616"/>
    <w:rsid w:val="00A2123E"/>
    <w:rsid w:val="00A216D0"/>
    <w:rsid w:val="00A21A60"/>
    <w:rsid w:val="00A21FCF"/>
    <w:rsid w:val="00A22524"/>
    <w:rsid w:val="00A232B6"/>
    <w:rsid w:val="00A23DD2"/>
    <w:rsid w:val="00A242EF"/>
    <w:rsid w:val="00A246DA"/>
    <w:rsid w:val="00A255AE"/>
    <w:rsid w:val="00A265E2"/>
    <w:rsid w:val="00A30264"/>
    <w:rsid w:val="00A317D3"/>
    <w:rsid w:val="00A31F72"/>
    <w:rsid w:val="00A3220B"/>
    <w:rsid w:val="00A33AFB"/>
    <w:rsid w:val="00A33D81"/>
    <w:rsid w:val="00A35451"/>
    <w:rsid w:val="00A35B95"/>
    <w:rsid w:val="00A367BE"/>
    <w:rsid w:val="00A37AE3"/>
    <w:rsid w:val="00A37E70"/>
    <w:rsid w:val="00A402A9"/>
    <w:rsid w:val="00A40B5F"/>
    <w:rsid w:val="00A40E97"/>
    <w:rsid w:val="00A41F64"/>
    <w:rsid w:val="00A42916"/>
    <w:rsid w:val="00A42E03"/>
    <w:rsid w:val="00A42E44"/>
    <w:rsid w:val="00A42E7E"/>
    <w:rsid w:val="00A43CE3"/>
    <w:rsid w:val="00A44387"/>
    <w:rsid w:val="00A454EC"/>
    <w:rsid w:val="00A47D52"/>
    <w:rsid w:val="00A509F4"/>
    <w:rsid w:val="00A50D67"/>
    <w:rsid w:val="00A51D9C"/>
    <w:rsid w:val="00A5300A"/>
    <w:rsid w:val="00A534B8"/>
    <w:rsid w:val="00A537E5"/>
    <w:rsid w:val="00A547CB"/>
    <w:rsid w:val="00A5489A"/>
    <w:rsid w:val="00A552F5"/>
    <w:rsid w:val="00A55952"/>
    <w:rsid w:val="00A56817"/>
    <w:rsid w:val="00A6154F"/>
    <w:rsid w:val="00A63210"/>
    <w:rsid w:val="00A6352B"/>
    <w:rsid w:val="00A63BE4"/>
    <w:rsid w:val="00A640DC"/>
    <w:rsid w:val="00A64210"/>
    <w:rsid w:val="00A64D62"/>
    <w:rsid w:val="00A65F55"/>
    <w:rsid w:val="00A66FC3"/>
    <w:rsid w:val="00A67342"/>
    <w:rsid w:val="00A6751C"/>
    <w:rsid w:val="00A677D4"/>
    <w:rsid w:val="00A67D7C"/>
    <w:rsid w:val="00A70937"/>
    <w:rsid w:val="00A71C53"/>
    <w:rsid w:val="00A71CD0"/>
    <w:rsid w:val="00A71DD2"/>
    <w:rsid w:val="00A71E4C"/>
    <w:rsid w:val="00A72FC3"/>
    <w:rsid w:val="00A74710"/>
    <w:rsid w:val="00A753BC"/>
    <w:rsid w:val="00A76D61"/>
    <w:rsid w:val="00A77588"/>
    <w:rsid w:val="00A776D8"/>
    <w:rsid w:val="00A81063"/>
    <w:rsid w:val="00A8159C"/>
    <w:rsid w:val="00A82CD0"/>
    <w:rsid w:val="00A83516"/>
    <w:rsid w:val="00A8420B"/>
    <w:rsid w:val="00A844C6"/>
    <w:rsid w:val="00A84740"/>
    <w:rsid w:val="00A84A78"/>
    <w:rsid w:val="00A8644A"/>
    <w:rsid w:val="00A8787E"/>
    <w:rsid w:val="00A87C43"/>
    <w:rsid w:val="00A9113B"/>
    <w:rsid w:val="00A91B73"/>
    <w:rsid w:val="00A9209C"/>
    <w:rsid w:val="00A92970"/>
    <w:rsid w:val="00A93A31"/>
    <w:rsid w:val="00A95437"/>
    <w:rsid w:val="00A957DF"/>
    <w:rsid w:val="00A9611C"/>
    <w:rsid w:val="00A96372"/>
    <w:rsid w:val="00A9640F"/>
    <w:rsid w:val="00A9713F"/>
    <w:rsid w:val="00A97831"/>
    <w:rsid w:val="00A979A8"/>
    <w:rsid w:val="00A97DBD"/>
    <w:rsid w:val="00AA067A"/>
    <w:rsid w:val="00AA0C62"/>
    <w:rsid w:val="00AA2BB9"/>
    <w:rsid w:val="00AA3937"/>
    <w:rsid w:val="00AA5637"/>
    <w:rsid w:val="00AA5AB1"/>
    <w:rsid w:val="00AA61CB"/>
    <w:rsid w:val="00AA6FF9"/>
    <w:rsid w:val="00AB14CD"/>
    <w:rsid w:val="00AB266A"/>
    <w:rsid w:val="00AB27DD"/>
    <w:rsid w:val="00AB3CCA"/>
    <w:rsid w:val="00AB4156"/>
    <w:rsid w:val="00AB5898"/>
    <w:rsid w:val="00AB5F6D"/>
    <w:rsid w:val="00AB6063"/>
    <w:rsid w:val="00AB6A64"/>
    <w:rsid w:val="00AB7273"/>
    <w:rsid w:val="00AB7CD1"/>
    <w:rsid w:val="00AB7CD9"/>
    <w:rsid w:val="00AC06F3"/>
    <w:rsid w:val="00AC091C"/>
    <w:rsid w:val="00AC1319"/>
    <w:rsid w:val="00AC1B94"/>
    <w:rsid w:val="00AC1BFE"/>
    <w:rsid w:val="00AC1FEE"/>
    <w:rsid w:val="00AC2147"/>
    <w:rsid w:val="00AC2153"/>
    <w:rsid w:val="00AC3A5E"/>
    <w:rsid w:val="00AC3E8F"/>
    <w:rsid w:val="00AC4108"/>
    <w:rsid w:val="00AC5856"/>
    <w:rsid w:val="00AC6425"/>
    <w:rsid w:val="00AC6443"/>
    <w:rsid w:val="00AC695A"/>
    <w:rsid w:val="00AC732E"/>
    <w:rsid w:val="00AC7B88"/>
    <w:rsid w:val="00AD07D8"/>
    <w:rsid w:val="00AD18CD"/>
    <w:rsid w:val="00AD226F"/>
    <w:rsid w:val="00AD2A0A"/>
    <w:rsid w:val="00AD2F94"/>
    <w:rsid w:val="00AD3097"/>
    <w:rsid w:val="00AD41CA"/>
    <w:rsid w:val="00AD43E1"/>
    <w:rsid w:val="00AD449A"/>
    <w:rsid w:val="00AD4673"/>
    <w:rsid w:val="00AD4A95"/>
    <w:rsid w:val="00AD6426"/>
    <w:rsid w:val="00AD69DB"/>
    <w:rsid w:val="00AD6C0E"/>
    <w:rsid w:val="00AD6DC3"/>
    <w:rsid w:val="00AD6EDA"/>
    <w:rsid w:val="00AD760D"/>
    <w:rsid w:val="00AE120F"/>
    <w:rsid w:val="00AE25EA"/>
    <w:rsid w:val="00AE2CD2"/>
    <w:rsid w:val="00AE2DA4"/>
    <w:rsid w:val="00AE38A8"/>
    <w:rsid w:val="00AE632D"/>
    <w:rsid w:val="00AF1785"/>
    <w:rsid w:val="00AF3449"/>
    <w:rsid w:val="00AF3484"/>
    <w:rsid w:val="00AF3575"/>
    <w:rsid w:val="00AF3809"/>
    <w:rsid w:val="00AF41EE"/>
    <w:rsid w:val="00AF463C"/>
    <w:rsid w:val="00AF48AB"/>
    <w:rsid w:val="00AF5A65"/>
    <w:rsid w:val="00AF5E44"/>
    <w:rsid w:val="00AF7672"/>
    <w:rsid w:val="00AF7A84"/>
    <w:rsid w:val="00AF7DD9"/>
    <w:rsid w:val="00B00DA1"/>
    <w:rsid w:val="00B05889"/>
    <w:rsid w:val="00B05C32"/>
    <w:rsid w:val="00B06058"/>
    <w:rsid w:val="00B07461"/>
    <w:rsid w:val="00B079DB"/>
    <w:rsid w:val="00B07C03"/>
    <w:rsid w:val="00B10483"/>
    <w:rsid w:val="00B12244"/>
    <w:rsid w:val="00B13CC1"/>
    <w:rsid w:val="00B150A7"/>
    <w:rsid w:val="00B15C81"/>
    <w:rsid w:val="00B15F15"/>
    <w:rsid w:val="00B16540"/>
    <w:rsid w:val="00B17373"/>
    <w:rsid w:val="00B2002E"/>
    <w:rsid w:val="00B20317"/>
    <w:rsid w:val="00B206A1"/>
    <w:rsid w:val="00B20BEF"/>
    <w:rsid w:val="00B225C9"/>
    <w:rsid w:val="00B2309F"/>
    <w:rsid w:val="00B2396C"/>
    <w:rsid w:val="00B2460D"/>
    <w:rsid w:val="00B247C5"/>
    <w:rsid w:val="00B248AA"/>
    <w:rsid w:val="00B24AC3"/>
    <w:rsid w:val="00B26C61"/>
    <w:rsid w:val="00B26CED"/>
    <w:rsid w:val="00B26D82"/>
    <w:rsid w:val="00B26EC9"/>
    <w:rsid w:val="00B27D0A"/>
    <w:rsid w:val="00B3004E"/>
    <w:rsid w:val="00B30229"/>
    <w:rsid w:val="00B30652"/>
    <w:rsid w:val="00B309E3"/>
    <w:rsid w:val="00B31B46"/>
    <w:rsid w:val="00B32737"/>
    <w:rsid w:val="00B32C1D"/>
    <w:rsid w:val="00B332DA"/>
    <w:rsid w:val="00B34211"/>
    <w:rsid w:val="00B34FA9"/>
    <w:rsid w:val="00B352DF"/>
    <w:rsid w:val="00B359CD"/>
    <w:rsid w:val="00B36010"/>
    <w:rsid w:val="00B3651B"/>
    <w:rsid w:val="00B3766A"/>
    <w:rsid w:val="00B400C8"/>
    <w:rsid w:val="00B40496"/>
    <w:rsid w:val="00B40871"/>
    <w:rsid w:val="00B409BC"/>
    <w:rsid w:val="00B4193D"/>
    <w:rsid w:val="00B41B45"/>
    <w:rsid w:val="00B42C5F"/>
    <w:rsid w:val="00B44B4A"/>
    <w:rsid w:val="00B45426"/>
    <w:rsid w:val="00B45CB9"/>
    <w:rsid w:val="00B46137"/>
    <w:rsid w:val="00B472FF"/>
    <w:rsid w:val="00B47896"/>
    <w:rsid w:val="00B50035"/>
    <w:rsid w:val="00B50B2A"/>
    <w:rsid w:val="00B517D6"/>
    <w:rsid w:val="00B522DC"/>
    <w:rsid w:val="00B54158"/>
    <w:rsid w:val="00B543A0"/>
    <w:rsid w:val="00B548D7"/>
    <w:rsid w:val="00B55951"/>
    <w:rsid w:val="00B55ACC"/>
    <w:rsid w:val="00B56983"/>
    <w:rsid w:val="00B56F83"/>
    <w:rsid w:val="00B57929"/>
    <w:rsid w:val="00B600B6"/>
    <w:rsid w:val="00B60102"/>
    <w:rsid w:val="00B6051B"/>
    <w:rsid w:val="00B6080B"/>
    <w:rsid w:val="00B609AE"/>
    <w:rsid w:val="00B6212C"/>
    <w:rsid w:val="00B623AA"/>
    <w:rsid w:val="00B62BFE"/>
    <w:rsid w:val="00B62F95"/>
    <w:rsid w:val="00B636A1"/>
    <w:rsid w:val="00B638C9"/>
    <w:rsid w:val="00B63F94"/>
    <w:rsid w:val="00B64647"/>
    <w:rsid w:val="00B674FA"/>
    <w:rsid w:val="00B67E94"/>
    <w:rsid w:val="00B67FF5"/>
    <w:rsid w:val="00B7031F"/>
    <w:rsid w:val="00B7315D"/>
    <w:rsid w:val="00B73A1A"/>
    <w:rsid w:val="00B759B8"/>
    <w:rsid w:val="00B75A78"/>
    <w:rsid w:val="00B76028"/>
    <w:rsid w:val="00B76068"/>
    <w:rsid w:val="00B764BB"/>
    <w:rsid w:val="00B76698"/>
    <w:rsid w:val="00B766E5"/>
    <w:rsid w:val="00B8006E"/>
    <w:rsid w:val="00B801A9"/>
    <w:rsid w:val="00B80395"/>
    <w:rsid w:val="00B808FF"/>
    <w:rsid w:val="00B80B71"/>
    <w:rsid w:val="00B8128F"/>
    <w:rsid w:val="00B8168B"/>
    <w:rsid w:val="00B81AE6"/>
    <w:rsid w:val="00B8248E"/>
    <w:rsid w:val="00B825D7"/>
    <w:rsid w:val="00B82D55"/>
    <w:rsid w:val="00B83A81"/>
    <w:rsid w:val="00B83AD3"/>
    <w:rsid w:val="00B83EC4"/>
    <w:rsid w:val="00B85253"/>
    <w:rsid w:val="00B86F5C"/>
    <w:rsid w:val="00B87BD7"/>
    <w:rsid w:val="00B87EA1"/>
    <w:rsid w:val="00B900DC"/>
    <w:rsid w:val="00B901CD"/>
    <w:rsid w:val="00B902DF"/>
    <w:rsid w:val="00B9056E"/>
    <w:rsid w:val="00B90F16"/>
    <w:rsid w:val="00B9121B"/>
    <w:rsid w:val="00B91980"/>
    <w:rsid w:val="00B9198C"/>
    <w:rsid w:val="00B91EEA"/>
    <w:rsid w:val="00B92FDF"/>
    <w:rsid w:val="00B92FE1"/>
    <w:rsid w:val="00B93D4E"/>
    <w:rsid w:val="00B94CE9"/>
    <w:rsid w:val="00B9549A"/>
    <w:rsid w:val="00B9584A"/>
    <w:rsid w:val="00B9699B"/>
    <w:rsid w:val="00B96AEE"/>
    <w:rsid w:val="00B96EE9"/>
    <w:rsid w:val="00BA117E"/>
    <w:rsid w:val="00BA1328"/>
    <w:rsid w:val="00BA2AEE"/>
    <w:rsid w:val="00BA313C"/>
    <w:rsid w:val="00BA4033"/>
    <w:rsid w:val="00BA4714"/>
    <w:rsid w:val="00BA50D6"/>
    <w:rsid w:val="00BA629F"/>
    <w:rsid w:val="00BA6F9D"/>
    <w:rsid w:val="00BA74DD"/>
    <w:rsid w:val="00BB195B"/>
    <w:rsid w:val="00BB24EF"/>
    <w:rsid w:val="00BB3A29"/>
    <w:rsid w:val="00BB4048"/>
    <w:rsid w:val="00BB49DA"/>
    <w:rsid w:val="00BB4A83"/>
    <w:rsid w:val="00BB4B2E"/>
    <w:rsid w:val="00BB4BA2"/>
    <w:rsid w:val="00BB4FA4"/>
    <w:rsid w:val="00BB552C"/>
    <w:rsid w:val="00BB64AB"/>
    <w:rsid w:val="00BB6BAA"/>
    <w:rsid w:val="00BB6DC6"/>
    <w:rsid w:val="00BC02E4"/>
    <w:rsid w:val="00BC0563"/>
    <w:rsid w:val="00BC0D68"/>
    <w:rsid w:val="00BC243D"/>
    <w:rsid w:val="00BC2995"/>
    <w:rsid w:val="00BC3B95"/>
    <w:rsid w:val="00BC6A04"/>
    <w:rsid w:val="00BC7242"/>
    <w:rsid w:val="00BD10DC"/>
    <w:rsid w:val="00BD1E75"/>
    <w:rsid w:val="00BD2DAD"/>
    <w:rsid w:val="00BD3B65"/>
    <w:rsid w:val="00BD4696"/>
    <w:rsid w:val="00BD6F40"/>
    <w:rsid w:val="00BE01AA"/>
    <w:rsid w:val="00BE15E9"/>
    <w:rsid w:val="00BE2234"/>
    <w:rsid w:val="00BE3D7D"/>
    <w:rsid w:val="00BE4A16"/>
    <w:rsid w:val="00BE4B65"/>
    <w:rsid w:val="00BE56D0"/>
    <w:rsid w:val="00BE5934"/>
    <w:rsid w:val="00BE597C"/>
    <w:rsid w:val="00BE7273"/>
    <w:rsid w:val="00BE7A6C"/>
    <w:rsid w:val="00BE7CA2"/>
    <w:rsid w:val="00BF0ABC"/>
    <w:rsid w:val="00BF0B64"/>
    <w:rsid w:val="00BF11FF"/>
    <w:rsid w:val="00BF1E95"/>
    <w:rsid w:val="00BF27AE"/>
    <w:rsid w:val="00BF2C1B"/>
    <w:rsid w:val="00BF3020"/>
    <w:rsid w:val="00BF3425"/>
    <w:rsid w:val="00BF3EF1"/>
    <w:rsid w:val="00BF53D2"/>
    <w:rsid w:val="00BF5BAA"/>
    <w:rsid w:val="00BF69D8"/>
    <w:rsid w:val="00BF6BED"/>
    <w:rsid w:val="00BF7AD0"/>
    <w:rsid w:val="00BF7CC7"/>
    <w:rsid w:val="00C01D76"/>
    <w:rsid w:val="00C02E95"/>
    <w:rsid w:val="00C03EC9"/>
    <w:rsid w:val="00C04295"/>
    <w:rsid w:val="00C05A9D"/>
    <w:rsid w:val="00C05AFD"/>
    <w:rsid w:val="00C05EA8"/>
    <w:rsid w:val="00C06039"/>
    <w:rsid w:val="00C06564"/>
    <w:rsid w:val="00C076F5"/>
    <w:rsid w:val="00C079FC"/>
    <w:rsid w:val="00C07AFE"/>
    <w:rsid w:val="00C07BDB"/>
    <w:rsid w:val="00C11B7F"/>
    <w:rsid w:val="00C12F4A"/>
    <w:rsid w:val="00C13006"/>
    <w:rsid w:val="00C142C2"/>
    <w:rsid w:val="00C15F48"/>
    <w:rsid w:val="00C16CDD"/>
    <w:rsid w:val="00C16D63"/>
    <w:rsid w:val="00C1741B"/>
    <w:rsid w:val="00C1766C"/>
    <w:rsid w:val="00C177F0"/>
    <w:rsid w:val="00C17862"/>
    <w:rsid w:val="00C17A8A"/>
    <w:rsid w:val="00C20062"/>
    <w:rsid w:val="00C20BE8"/>
    <w:rsid w:val="00C21893"/>
    <w:rsid w:val="00C229AF"/>
    <w:rsid w:val="00C23025"/>
    <w:rsid w:val="00C232CB"/>
    <w:rsid w:val="00C24441"/>
    <w:rsid w:val="00C24970"/>
    <w:rsid w:val="00C24994"/>
    <w:rsid w:val="00C24BB5"/>
    <w:rsid w:val="00C265AD"/>
    <w:rsid w:val="00C27CC4"/>
    <w:rsid w:val="00C27F66"/>
    <w:rsid w:val="00C302EF"/>
    <w:rsid w:val="00C3146A"/>
    <w:rsid w:val="00C32A0B"/>
    <w:rsid w:val="00C32A7B"/>
    <w:rsid w:val="00C32AFC"/>
    <w:rsid w:val="00C35495"/>
    <w:rsid w:val="00C35664"/>
    <w:rsid w:val="00C35B33"/>
    <w:rsid w:val="00C367EA"/>
    <w:rsid w:val="00C36E57"/>
    <w:rsid w:val="00C377C5"/>
    <w:rsid w:val="00C41697"/>
    <w:rsid w:val="00C4217F"/>
    <w:rsid w:val="00C4387B"/>
    <w:rsid w:val="00C43BEA"/>
    <w:rsid w:val="00C43FB7"/>
    <w:rsid w:val="00C4450A"/>
    <w:rsid w:val="00C450CB"/>
    <w:rsid w:val="00C45B4D"/>
    <w:rsid w:val="00C46185"/>
    <w:rsid w:val="00C4644B"/>
    <w:rsid w:val="00C468BE"/>
    <w:rsid w:val="00C46FE9"/>
    <w:rsid w:val="00C474CB"/>
    <w:rsid w:val="00C47568"/>
    <w:rsid w:val="00C50CEC"/>
    <w:rsid w:val="00C51FAF"/>
    <w:rsid w:val="00C530A2"/>
    <w:rsid w:val="00C53A6B"/>
    <w:rsid w:val="00C543DA"/>
    <w:rsid w:val="00C55A87"/>
    <w:rsid w:val="00C5636A"/>
    <w:rsid w:val="00C5762C"/>
    <w:rsid w:val="00C57899"/>
    <w:rsid w:val="00C578A6"/>
    <w:rsid w:val="00C61103"/>
    <w:rsid w:val="00C6132F"/>
    <w:rsid w:val="00C62610"/>
    <w:rsid w:val="00C63688"/>
    <w:rsid w:val="00C63D2F"/>
    <w:rsid w:val="00C65D13"/>
    <w:rsid w:val="00C67407"/>
    <w:rsid w:val="00C6744C"/>
    <w:rsid w:val="00C6746B"/>
    <w:rsid w:val="00C6747E"/>
    <w:rsid w:val="00C70510"/>
    <w:rsid w:val="00C71138"/>
    <w:rsid w:val="00C719D2"/>
    <w:rsid w:val="00C74991"/>
    <w:rsid w:val="00C7553B"/>
    <w:rsid w:val="00C75712"/>
    <w:rsid w:val="00C75F13"/>
    <w:rsid w:val="00C76C7A"/>
    <w:rsid w:val="00C80E0A"/>
    <w:rsid w:val="00C80E58"/>
    <w:rsid w:val="00C81B4E"/>
    <w:rsid w:val="00C81E97"/>
    <w:rsid w:val="00C826DC"/>
    <w:rsid w:val="00C82E1C"/>
    <w:rsid w:val="00C834AB"/>
    <w:rsid w:val="00C83603"/>
    <w:rsid w:val="00C83E33"/>
    <w:rsid w:val="00C83EF2"/>
    <w:rsid w:val="00C83F10"/>
    <w:rsid w:val="00C842E2"/>
    <w:rsid w:val="00C84650"/>
    <w:rsid w:val="00C857A3"/>
    <w:rsid w:val="00C858AD"/>
    <w:rsid w:val="00C86337"/>
    <w:rsid w:val="00C86355"/>
    <w:rsid w:val="00C9097F"/>
    <w:rsid w:val="00C90BE6"/>
    <w:rsid w:val="00C91ACC"/>
    <w:rsid w:val="00C93184"/>
    <w:rsid w:val="00C94372"/>
    <w:rsid w:val="00C948B8"/>
    <w:rsid w:val="00C94B53"/>
    <w:rsid w:val="00C95B26"/>
    <w:rsid w:val="00C9769D"/>
    <w:rsid w:val="00C97A7A"/>
    <w:rsid w:val="00C97C3A"/>
    <w:rsid w:val="00CA0DD9"/>
    <w:rsid w:val="00CA1953"/>
    <w:rsid w:val="00CA1A62"/>
    <w:rsid w:val="00CA2124"/>
    <w:rsid w:val="00CA2949"/>
    <w:rsid w:val="00CA49C3"/>
    <w:rsid w:val="00CA4BF6"/>
    <w:rsid w:val="00CA4DC8"/>
    <w:rsid w:val="00CA55FE"/>
    <w:rsid w:val="00CA56D0"/>
    <w:rsid w:val="00CA68AD"/>
    <w:rsid w:val="00CA74A3"/>
    <w:rsid w:val="00CA7581"/>
    <w:rsid w:val="00CA7B82"/>
    <w:rsid w:val="00CA7DE5"/>
    <w:rsid w:val="00CB19A2"/>
    <w:rsid w:val="00CB1F5F"/>
    <w:rsid w:val="00CB2749"/>
    <w:rsid w:val="00CB2E72"/>
    <w:rsid w:val="00CB3FAF"/>
    <w:rsid w:val="00CB55C9"/>
    <w:rsid w:val="00CB7190"/>
    <w:rsid w:val="00CC0089"/>
    <w:rsid w:val="00CC01C0"/>
    <w:rsid w:val="00CC0E7C"/>
    <w:rsid w:val="00CC1E8D"/>
    <w:rsid w:val="00CC394E"/>
    <w:rsid w:val="00CC4128"/>
    <w:rsid w:val="00CC413A"/>
    <w:rsid w:val="00CC5479"/>
    <w:rsid w:val="00CC54A9"/>
    <w:rsid w:val="00CC61C1"/>
    <w:rsid w:val="00CC65FD"/>
    <w:rsid w:val="00CC693D"/>
    <w:rsid w:val="00CC6B13"/>
    <w:rsid w:val="00CC79A1"/>
    <w:rsid w:val="00CC7A78"/>
    <w:rsid w:val="00CD0118"/>
    <w:rsid w:val="00CD0D6C"/>
    <w:rsid w:val="00CD16FE"/>
    <w:rsid w:val="00CD1E80"/>
    <w:rsid w:val="00CD3718"/>
    <w:rsid w:val="00CD38D7"/>
    <w:rsid w:val="00CD437E"/>
    <w:rsid w:val="00CD4E27"/>
    <w:rsid w:val="00CD584E"/>
    <w:rsid w:val="00CD5E97"/>
    <w:rsid w:val="00CD5EBB"/>
    <w:rsid w:val="00CD63CD"/>
    <w:rsid w:val="00CD6531"/>
    <w:rsid w:val="00CD6DD5"/>
    <w:rsid w:val="00CD6DFC"/>
    <w:rsid w:val="00CD7B3B"/>
    <w:rsid w:val="00CE007A"/>
    <w:rsid w:val="00CE08B4"/>
    <w:rsid w:val="00CE26D2"/>
    <w:rsid w:val="00CE5820"/>
    <w:rsid w:val="00CE5A80"/>
    <w:rsid w:val="00CE601A"/>
    <w:rsid w:val="00CE6682"/>
    <w:rsid w:val="00CE6E27"/>
    <w:rsid w:val="00CE7010"/>
    <w:rsid w:val="00CE7192"/>
    <w:rsid w:val="00CF025D"/>
    <w:rsid w:val="00CF1AFE"/>
    <w:rsid w:val="00CF1C85"/>
    <w:rsid w:val="00CF2081"/>
    <w:rsid w:val="00CF280D"/>
    <w:rsid w:val="00CF348D"/>
    <w:rsid w:val="00CF3BF2"/>
    <w:rsid w:val="00CF4AFC"/>
    <w:rsid w:val="00CF4D9D"/>
    <w:rsid w:val="00CF4DB8"/>
    <w:rsid w:val="00CF4F4D"/>
    <w:rsid w:val="00CF60BA"/>
    <w:rsid w:val="00CF705C"/>
    <w:rsid w:val="00D01458"/>
    <w:rsid w:val="00D014A1"/>
    <w:rsid w:val="00D01864"/>
    <w:rsid w:val="00D02043"/>
    <w:rsid w:val="00D025BA"/>
    <w:rsid w:val="00D03118"/>
    <w:rsid w:val="00D03656"/>
    <w:rsid w:val="00D03E93"/>
    <w:rsid w:val="00D040E8"/>
    <w:rsid w:val="00D06057"/>
    <w:rsid w:val="00D06F39"/>
    <w:rsid w:val="00D06FB0"/>
    <w:rsid w:val="00D07532"/>
    <w:rsid w:val="00D118A3"/>
    <w:rsid w:val="00D131BE"/>
    <w:rsid w:val="00D13617"/>
    <w:rsid w:val="00D140B9"/>
    <w:rsid w:val="00D14A4B"/>
    <w:rsid w:val="00D14CBC"/>
    <w:rsid w:val="00D14E22"/>
    <w:rsid w:val="00D158F8"/>
    <w:rsid w:val="00D16123"/>
    <w:rsid w:val="00D16D61"/>
    <w:rsid w:val="00D16DC2"/>
    <w:rsid w:val="00D22368"/>
    <w:rsid w:val="00D22C50"/>
    <w:rsid w:val="00D23443"/>
    <w:rsid w:val="00D235CE"/>
    <w:rsid w:val="00D24719"/>
    <w:rsid w:val="00D2499C"/>
    <w:rsid w:val="00D24E6D"/>
    <w:rsid w:val="00D253EF"/>
    <w:rsid w:val="00D270D1"/>
    <w:rsid w:val="00D273A3"/>
    <w:rsid w:val="00D3037D"/>
    <w:rsid w:val="00D30EE6"/>
    <w:rsid w:val="00D3196B"/>
    <w:rsid w:val="00D32746"/>
    <w:rsid w:val="00D3385A"/>
    <w:rsid w:val="00D33A23"/>
    <w:rsid w:val="00D33C39"/>
    <w:rsid w:val="00D33EB2"/>
    <w:rsid w:val="00D3448C"/>
    <w:rsid w:val="00D34543"/>
    <w:rsid w:val="00D35883"/>
    <w:rsid w:val="00D359ED"/>
    <w:rsid w:val="00D36FFD"/>
    <w:rsid w:val="00D371CA"/>
    <w:rsid w:val="00D372F7"/>
    <w:rsid w:val="00D378DC"/>
    <w:rsid w:val="00D37A4D"/>
    <w:rsid w:val="00D408C1"/>
    <w:rsid w:val="00D40B97"/>
    <w:rsid w:val="00D4194D"/>
    <w:rsid w:val="00D42714"/>
    <w:rsid w:val="00D429F5"/>
    <w:rsid w:val="00D4354A"/>
    <w:rsid w:val="00D43D90"/>
    <w:rsid w:val="00D44400"/>
    <w:rsid w:val="00D446B8"/>
    <w:rsid w:val="00D44C02"/>
    <w:rsid w:val="00D44C3A"/>
    <w:rsid w:val="00D45384"/>
    <w:rsid w:val="00D460B8"/>
    <w:rsid w:val="00D503E3"/>
    <w:rsid w:val="00D504F3"/>
    <w:rsid w:val="00D50CBD"/>
    <w:rsid w:val="00D52D3C"/>
    <w:rsid w:val="00D52F22"/>
    <w:rsid w:val="00D52F7D"/>
    <w:rsid w:val="00D535F3"/>
    <w:rsid w:val="00D53E99"/>
    <w:rsid w:val="00D5459D"/>
    <w:rsid w:val="00D54A89"/>
    <w:rsid w:val="00D553E6"/>
    <w:rsid w:val="00D559A0"/>
    <w:rsid w:val="00D55DA9"/>
    <w:rsid w:val="00D55FC9"/>
    <w:rsid w:val="00D56768"/>
    <w:rsid w:val="00D60DCA"/>
    <w:rsid w:val="00D6109A"/>
    <w:rsid w:val="00D62384"/>
    <w:rsid w:val="00D636AC"/>
    <w:rsid w:val="00D63FC7"/>
    <w:rsid w:val="00D6452C"/>
    <w:rsid w:val="00D64E08"/>
    <w:rsid w:val="00D659DD"/>
    <w:rsid w:val="00D65B6B"/>
    <w:rsid w:val="00D65DF3"/>
    <w:rsid w:val="00D665D5"/>
    <w:rsid w:val="00D6681E"/>
    <w:rsid w:val="00D71401"/>
    <w:rsid w:val="00D71D93"/>
    <w:rsid w:val="00D74384"/>
    <w:rsid w:val="00D7494D"/>
    <w:rsid w:val="00D752EB"/>
    <w:rsid w:val="00D7537D"/>
    <w:rsid w:val="00D77F18"/>
    <w:rsid w:val="00D77FC0"/>
    <w:rsid w:val="00D803E3"/>
    <w:rsid w:val="00D808A4"/>
    <w:rsid w:val="00D80979"/>
    <w:rsid w:val="00D81019"/>
    <w:rsid w:val="00D812D1"/>
    <w:rsid w:val="00D81CFB"/>
    <w:rsid w:val="00D8222E"/>
    <w:rsid w:val="00D82D00"/>
    <w:rsid w:val="00D84EFA"/>
    <w:rsid w:val="00D85C8B"/>
    <w:rsid w:val="00D8661D"/>
    <w:rsid w:val="00D86B96"/>
    <w:rsid w:val="00D87DF9"/>
    <w:rsid w:val="00D87EE5"/>
    <w:rsid w:val="00D90856"/>
    <w:rsid w:val="00D91506"/>
    <w:rsid w:val="00D91D2C"/>
    <w:rsid w:val="00D92F7B"/>
    <w:rsid w:val="00D93970"/>
    <w:rsid w:val="00D94986"/>
    <w:rsid w:val="00D94BD4"/>
    <w:rsid w:val="00D94F44"/>
    <w:rsid w:val="00D95329"/>
    <w:rsid w:val="00D957EF"/>
    <w:rsid w:val="00D973B5"/>
    <w:rsid w:val="00DA3165"/>
    <w:rsid w:val="00DA3A53"/>
    <w:rsid w:val="00DA408F"/>
    <w:rsid w:val="00DA430B"/>
    <w:rsid w:val="00DA5071"/>
    <w:rsid w:val="00DA5110"/>
    <w:rsid w:val="00DA59D2"/>
    <w:rsid w:val="00DB047E"/>
    <w:rsid w:val="00DB08A8"/>
    <w:rsid w:val="00DB0CB3"/>
    <w:rsid w:val="00DB17ED"/>
    <w:rsid w:val="00DB2B3F"/>
    <w:rsid w:val="00DB347E"/>
    <w:rsid w:val="00DB35D4"/>
    <w:rsid w:val="00DB3E0A"/>
    <w:rsid w:val="00DB4909"/>
    <w:rsid w:val="00DB52CB"/>
    <w:rsid w:val="00DB55B4"/>
    <w:rsid w:val="00DB6180"/>
    <w:rsid w:val="00DB63D7"/>
    <w:rsid w:val="00DB6CD1"/>
    <w:rsid w:val="00DB7108"/>
    <w:rsid w:val="00DB7AEE"/>
    <w:rsid w:val="00DC0D4A"/>
    <w:rsid w:val="00DC115E"/>
    <w:rsid w:val="00DC1221"/>
    <w:rsid w:val="00DC12FB"/>
    <w:rsid w:val="00DC1A32"/>
    <w:rsid w:val="00DC1C8F"/>
    <w:rsid w:val="00DC1CE6"/>
    <w:rsid w:val="00DC21E5"/>
    <w:rsid w:val="00DC3351"/>
    <w:rsid w:val="00DC3768"/>
    <w:rsid w:val="00DC3AEF"/>
    <w:rsid w:val="00DC3D61"/>
    <w:rsid w:val="00DC443B"/>
    <w:rsid w:val="00DC4A27"/>
    <w:rsid w:val="00DC64CB"/>
    <w:rsid w:val="00DC671D"/>
    <w:rsid w:val="00DC6E6B"/>
    <w:rsid w:val="00DC7860"/>
    <w:rsid w:val="00DD09AC"/>
    <w:rsid w:val="00DD3720"/>
    <w:rsid w:val="00DD3BD6"/>
    <w:rsid w:val="00DD43FB"/>
    <w:rsid w:val="00DD4414"/>
    <w:rsid w:val="00DD49E8"/>
    <w:rsid w:val="00DD4E37"/>
    <w:rsid w:val="00DD5E2E"/>
    <w:rsid w:val="00DD6424"/>
    <w:rsid w:val="00DD69C6"/>
    <w:rsid w:val="00DD709A"/>
    <w:rsid w:val="00DD76FD"/>
    <w:rsid w:val="00DD7D4E"/>
    <w:rsid w:val="00DE1DF0"/>
    <w:rsid w:val="00DE2775"/>
    <w:rsid w:val="00DE2991"/>
    <w:rsid w:val="00DE4EC1"/>
    <w:rsid w:val="00DE69E2"/>
    <w:rsid w:val="00DE7C51"/>
    <w:rsid w:val="00DE7DDC"/>
    <w:rsid w:val="00DF1295"/>
    <w:rsid w:val="00DF195A"/>
    <w:rsid w:val="00DF1B7A"/>
    <w:rsid w:val="00DF1BC9"/>
    <w:rsid w:val="00DF20EE"/>
    <w:rsid w:val="00DF250D"/>
    <w:rsid w:val="00DF25C0"/>
    <w:rsid w:val="00DF2950"/>
    <w:rsid w:val="00DF2CEB"/>
    <w:rsid w:val="00DF418B"/>
    <w:rsid w:val="00DF454A"/>
    <w:rsid w:val="00DF4ED7"/>
    <w:rsid w:val="00DF5058"/>
    <w:rsid w:val="00DF56B8"/>
    <w:rsid w:val="00DF7400"/>
    <w:rsid w:val="00DF771D"/>
    <w:rsid w:val="00E01136"/>
    <w:rsid w:val="00E01AB9"/>
    <w:rsid w:val="00E034A5"/>
    <w:rsid w:val="00E036C9"/>
    <w:rsid w:val="00E03D0E"/>
    <w:rsid w:val="00E05112"/>
    <w:rsid w:val="00E05C06"/>
    <w:rsid w:val="00E06916"/>
    <w:rsid w:val="00E075E0"/>
    <w:rsid w:val="00E07D44"/>
    <w:rsid w:val="00E1039D"/>
    <w:rsid w:val="00E10DB2"/>
    <w:rsid w:val="00E10EA3"/>
    <w:rsid w:val="00E111D0"/>
    <w:rsid w:val="00E117D6"/>
    <w:rsid w:val="00E11FED"/>
    <w:rsid w:val="00E12441"/>
    <w:rsid w:val="00E128B8"/>
    <w:rsid w:val="00E12F9B"/>
    <w:rsid w:val="00E1606A"/>
    <w:rsid w:val="00E16EEE"/>
    <w:rsid w:val="00E176D8"/>
    <w:rsid w:val="00E20BE1"/>
    <w:rsid w:val="00E21E9C"/>
    <w:rsid w:val="00E2229D"/>
    <w:rsid w:val="00E224F7"/>
    <w:rsid w:val="00E22868"/>
    <w:rsid w:val="00E24417"/>
    <w:rsid w:val="00E2498A"/>
    <w:rsid w:val="00E24DA3"/>
    <w:rsid w:val="00E253DC"/>
    <w:rsid w:val="00E25F05"/>
    <w:rsid w:val="00E26424"/>
    <w:rsid w:val="00E26D7A"/>
    <w:rsid w:val="00E26EF7"/>
    <w:rsid w:val="00E2733B"/>
    <w:rsid w:val="00E302CE"/>
    <w:rsid w:val="00E30F77"/>
    <w:rsid w:val="00E31092"/>
    <w:rsid w:val="00E33318"/>
    <w:rsid w:val="00E34892"/>
    <w:rsid w:val="00E34A8E"/>
    <w:rsid w:val="00E34AC0"/>
    <w:rsid w:val="00E34B2B"/>
    <w:rsid w:val="00E34FF7"/>
    <w:rsid w:val="00E350F2"/>
    <w:rsid w:val="00E3595D"/>
    <w:rsid w:val="00E36D84"/>
    <w:rsid w:val="00E37016"/>
    <w:rsid w:val="00E373AD"/>
    <w:rsid w:val="00E409CF"/>
    <w:rsid w:val="00E40B84"/>
    <w:rsid w:val="00E41BFB"/>
    <w:rsid w:val="00E42027"/>
    <w:rsid w:val="00E4230C"/>
    <w:rsid w:val="00E45FED"/>
    <w:rsid w:val="00E46073"/>
    <w:rsid w:val="00E47500"/>
    <w:rsid w:val="00E478E6"/>
    <w:rsid w:val="00E47B1F"/>
    <w:rsid w:val="00E47D80"/>
    <w:rsid w:val="00E47E3C"/>
    <w:rsid w:val="00E5028F"/>
    <w:rsid w:val="00E50A29"/>
    <w:rsid w:val="00E50F6F"/>
    <w:rsid w:val="00E520EA"/>
    <w:rsid w:val="00E54D6F"/>
    <w:rsid w:val="00E5513F"/>
    <w:rsid w:val="00E55CBE"/>
    <w:rsid w:val="00E563B6"/>
    <w:rsid w:val="00E567DC"/>
    <w:rsid w:val="00E572CD"/>
    <w:rsid w:val="00E607AA"/>
    <w:rsid w:val="00E60CA2"/>
    <w:rsid w:val="00E60E94"/>
    <w:rsid w:val="00E6176D"/>
    <w:rsid w:val="00E6292A"/>
    <w:rsid w:val="00E62CC2"/>
    <w:rsid w:val="00E62DB6"/>
    <w:rsid w:val="00E63434"/>
    <w:rsid w:val="00E651AB"/>
    <w:rsid w:val="00E65743"/>
    <w:rsid w:val="00E65CDD"/>
    <w:rsid w:val="00E67E9A"/>
    <w:rsid w:val="00E7160C"/>
    <w:rsid w:val="00E7391F"/>
    <w:rsid w:val="00E747DA"/>
    <w:rsid w:val="00E74E56"/>
    <w:rsid w:val="00E76204"/>
    <w:rsid w:val="00E76247"/>
    <w:rsid w:val="00E764BE"/>
    <w:rsid w:val="00E76E9B"/>
    <w:rsid w:val="00E76F43"/>
    <w:rsid w:val="00E77F9E"/>
    <w:rsid w:val="00E81A5E"/>
    <w:rsid w:val="00E81E60"/>
    <w:rsid w:val="00E82742"/>
    <w:rsid w:val="00E82D6D"/>
    <w:rsid w:val="00E82F82"/>
    <w:rsid w:val="00E83244"/>
    <w:rsid w:val="00E835DF"/>
    <w:rsid w:val="00E84784"/>
    <w:rsid w:val="00E859BC"/>
    <w:rsid w:val="00E85D64"/>
    <w:rsid w:val="00E865A8"/>
    <w:rsid w:val="00E865C5"/>
    <w:rsid w:val="00E874E7"/>
    <w:rsid w:val="00E90C35"/>
    <w:rsid w:val="00E90E6E"/>
    <w:rsid w:val="00E90FBA"/>
    <w:rsid w:val="00E91424"/>
    <w:rsid w:val="00E91493"/>
    <w:rsid w:val="00E930BB"/>
    <w:rsid w:val="00E94590"/>
    <w:rsid w:val="00E948BD"/>
    <w:rsid w:val="00E95155"/>
    <w:rsid w:val="00E954FB"/>
    <w:rsid w:val="00E95927"/>
    <w:rsid w:val="00E95C94"/>
    <w:rsid w:val="00E968C9"/>
    <w:rsid w:val="00E971F5"/>
    <w:rsid w:val="00E97646"/>
    <w:rsid w:val="00E9769C"/>
    <w:rsid w:val="00EA14C3"/>
    <w:rsid w:val="00EA158F"/>
    <w:rsid w:val="00EA176A"/>
    <w:rsid w:val="00EA17F1"/>
    <w:rsid w:val="00EA23F2"/>
    <w:rsid w:val="00EA3A49"/>
    <w:rsid w:val="00EA3C74"/>
    <w:rsid w:val="00EA52EE"/>
    <w:rsid w:val="00EA5901"/>
    <w:rsid w:val="00EA653F"/>
    <w:rsid w:val="00EA6560"/>
    <w:rsid w:val="00EA6A70"/>
    <w:rsid w:val="00EA6CB0"/>
    <w:rsid w:val="00EA7033"/>
    <w:rsid w:val="00EA7167"/>
    <w:rsid w:val="00EA7197"/>
    <w:rsid w:val="00EB0278"/>
    <w:rsid w:val="00EB06AF"/>
    <w:rsid w:val="00EB0A67"/>
    <w:rsid w:val="00EB1057"/>
    <w:rsid w:val="00EB13EA"/>
    <w:rsid w:val="00EB2194"/>
    <w:rsid w:val="00EB2A9C"/>
    <w:rsid w:val="00EB37F7"/>
    <w:rsid w:val="00EB3FD6"/>
    <w:rsid w:val="00EB4DB4"/>
    <w:rsid w:val="00EB6BCE"/>
    <w:rsid w:val="00EB75FE"/>
    <w:rsid w:val="00EB7805"/>
    <w:rsid w:val="00EB78F1"/>
    <w:rsid w:val="00EC0AB8"/>
    <w:rsid w:val="00EC0F56"/>
    <w:rsid w:val="00EC10CC"/>
    <w:rsid w:val="00EC2A32"/>
    <w:rsid w:val="00EC2E74"/>
    <w:rsid w:val="00EC3612"/>
    <w:rsid w:val="00EC4A9E"/>
    <w:rsid w:val="00EC4DE1"/>
    <w:rsid w:val="00EC5A98"/>
    <w:rsid w:val="00EC61D8"/>
    <w:rsid w:val="00EC7643"/>
    <w:rsid w:val="00EC7EA7"/>
    <w:rsid w:val="00EC7F5C"/>
    <w:rsid w:val="00ED3CAC"/>
    <w:rsid w:val="00ED3EE4"/>
    <w:rsid w:val="00ED4735"/>
    <w:rsid w:val="00ED54BE"/>
    <w:rsid w:val="00ED6A9D"/>
    <w:rsid w:val="00ED6F2D"/>
    <w:rsid w:val="00ED7253"/>
    <w:rsid w:val="00ED7EF8"/>
    <w:rsid w:val="00EE0D6B"/>
    <w:rsid w:val="00EE2B55"/>
    <w:rsid w:val="00EE2F20"/>
    <w:rsid w:val="00EE33CF"/>
    <w:rsid w:val="00EE3501"/>
    <w:rsid w:val="00EE3516"/>
    <w:rsid w:val="00EE38EC"/>
    <w:rsid w:val="00EE4CE6"/>
    <w:rsid w:val="00EE4DAE"/>
    <w:rsid w:val="00EE4DE2"/>
    <w:rsid w:val="00EE51FD"/>
    <w:rsid w:val="00EE52F4"/>
    <w:rsid w:val="00EE661D"/>
    <w:rsid w:val="00EE69B3"/>
    <w:rsid w:val="00EE6BD7"/>
    <w:rsid w:val="00EE71EF"/>
    <w:rsid w:val="00EF0650"/>
    <w:rsid w:val="00EF06CC"/>
    <w:rsid w:val="00EF0975"/>
    <w:rsid w:val="00EF3F56"/>
    <w:rsid w:val="00EF4230"/>
    <w:rsid w:val="00EF45B4"/>
    <w:rsid w:val="00EF4AB2"/>
    <w:rsid w:val="00EF4C13"/>
    <w:rsid w:val="00EF5217"/>
    <w:rsid w:val="00EF573D"/>
    <w:rsid w:val="00EF6AF1"/>
    <w:rsid w:val="00EF73F7"/>
    <w:rsid w:val="00EF7991"/>
    <w:rsid w:val="00F006CD"/>
    <w:rsid w:val="00F01F2D"/>
    <w:rsid w:val="00F036D6"/>
    <w:rsid w:val="00F04F2F"/>
    <w:rsid w:val="00F05601"/>
    <w:rsid w:val="00F05690"/>
    <w:rsid w:val="00F05C42"/>
    <w:rsid w:val="00F061D7"/>
    <w:rsid w:val="00F062F5"/>
    <w:rsid w:val="00F064DC"/>
    <w:rsid w:val="00F06565"/>
    <w:rsid w:val="00F07B39"/>
    <w:rsid w:val="00F07E99"/>
    <w:rsid w:val="00F110B6"/>
    <w:rsid w:val="00F1123F"/>
    <w:rsid w:val="00F11680"/>
    <w:rsid w:val="00F11B5C"/>
    <w:rsid w:val="00F11C92"/>
    <w:rsid w:val="00F12629"/>
    <w:rsid w:val="00F1288D"/>
    <w:rsid w:val="00F132F5"/>
    <w:rsid w:val="00F146DD"/>
    <w:rsid w:val="00F14E1B"/>
    <w:rsid w:val="00F14F37"/>
    <w:rsid w:val="00F16C25"/>
    <w:rsid w:val="00F16D1F"/>
    <w:rsid w:val="00F172F1"/>
    <w:rsid w:val="00F17E9C"/>
    <w:rsid w:val="00F202B1"/>
    <w:rsid w:val="00F20649"/>
    <w:rsid w:val="00F208FD"/>
    <w:rsid w:val="00F21202"/>
    <w:rsid w:val="00F21301"/>
    <w:rsid w:val="00F21A14"/>
    <w:rsid w:val="00F2253D"/>
    <w:rsid w:val="00F23F48"/>
    <w:rsid w:val="00F2574C"/>
    <w:rsid w:val="00F2626E"/>
    <w:rsid w:val="00F273D3"/>
    <w:rsid w:val="00F301A6"/>
    <w:rsid w:val="00F303AF"/>
    <w:rsid w:val="00F30785"/>
    <w:rsid w:val="00F3201F"/>
    <w:rsid w:val="00F336BD"/>
    <w:rsid w:val="00F350D7"/>
    <w:rsid w:val="00F35950"/>
    <w:rsid w:val="00F36DB4"/>
    <w:rsid w:val="00F36DBD"/>
    <w:rsid w:val="00F40C39"/>
    <w:rsid w:val="00F41B40"/>
    <w:rsid w:val="00F42C6D"/>
    <w:rsid w:val="00F42CDC"/>
    <w:rsid w:val="00F43361"/>
    <w:rsid w:val="00F44427"/>
    <w:rsid w:val="00F46FAB"/>
    <w:rsid w:val="00F47DAD"/>
    <w:rsid w:val="00F50114"/>
    <w:rsid w:val="00F505AB"/>
    <w:rsid w:val="00F50C55"/>
    <w:rsid w:val="00F50C86"/>
    <w:rsid w:val="00F511BE"/>
    <w:rsid w:val="00F519DF"/>
    <w:rsid w:val="00F52C50"/>
    <w:rsid w:val="00F52E26"/>
    <w:rsid w:val="00F53257"/>
    <w:rsid w:val="00F53541"/>
    <w:rsid w:val="00F53644"/>
    <w:rsid w:val="00F547FC"/>
    <w:rsid w:val="00F55AD5"/>
    <w:rsid w:val="00F5764E"/>
    <w:rsid w:val="00F57CF5"/>
    <w:rsid w:val="00F60644"/>
    <w:rsid w:val="00F618FD"/>
    <w:rsid w:val="00F61A1C"/>
    <w:rsid w:val="00F62FD0"/>
    <w:rsid w:val="00F63129"/>
    <w:rsid w:val="00F63A3F"/>
    <w:rsid w:val="00F64A11"/>
    <w:rsid w:val="00F65852"/>
    <w:rsid w:val="00F65915"/>
    <w:rsid w:val="00F660F8"/>
    <w:rsid w:val="00F678A9"/>
    <w:rsid w:val="00F67B7F"/>
    <w:rsid w:val="00F67C8F"/>
    <w:rsid w:val="00F67D60"/>
    <w:rsid w:val="00F715BC"/>
    <w:rsid w:val="00F71DB0"/>
    <w:rsid w:val="00F73CEC"/>
    <w:rsid w:val="00F73EAF"/>
    <w:rsid w:val="00F73F68"/>
    <w:rsid w:val="00F74015"/>
    <w:rsid w:val="00F747CE"/>
    <w:rsid w:val="00F76049"/>
    <w:rsid w:val="00F766AE"/>
    <w:rsid w:val="00F76D8A"/>
    <w:rsid w:val="00F76DB7"/>
    <w:rsid w:val="00F77BAE"/>
    <w:rsid w:val="00F8029A"/>
    <w:rsid w:val="00F80BB8"/>
    <w:rsid w:val="00F81155"/>
    <w:rsid w:val="00F833AC"/>
    <w:rsid w:val="00F8426B"/>
    <w:rsid w:val="00F85307"/>
    <w:rsid w:val="00F856C7"/>
    <w:rsid w:val="00F8729D"/>
    <w:rsid w:val="00F87444"/>
    <w:rsid w:val="00F87459"/>
    <w:rsid w:val="00F87896"/>
    <w:rsid w:val="00F90109"/>
    <w:rsid w:val="00F926B4"/>
    <w:rsid w:val="00F92C0D"/>
    <w:rsid w:val="00F93B87"/>
    <w:rsid w:val="00F940B7"/>
    <w:rsid w:val="00F966B4"/>
    <w:rsid w:val="00F96CCF"/>
    <w:rsid w:val="00F97012"/>
    <w:rsid w:val="00F97D87"/>
    <w:rsid w:val="00FA0482"/>
    <w:rsid w:val="00FA0B36"/>
    <w:rsid w:val="00FA1CB3"/>
    <w:rsid w:val="00FA30C8"/>
    <w:rsid w:val="00FA471E"/>
    <w:rsid w:val="00FA5060"/>
    <w:rsid w:val="00FA679F"/>
    <w:rsid w:val="00FA724D"/>
    <w:rsid w:val="00FA74C8"/>
    <w:rsid w:val="00FA7635"/>
    <w:rsid w:val="00FA79EC"/>
    <w:rsid w:val="00FA7F34"/>
    <w:rsid w:val="00FB03D3"/>
    <w:rsid w:val="00FB0AD2"/>
    <w:rsid w:val="00FB16DF"/>
    <w:rsid w:val="00FB1A87"/>
    <w:rsid w:val="00FB2541"/>
    <w:rsid w:val="00FB347D"/>
    <w:rsid w:val="00FB478F"/>
    <w:rsid w:val="00FB59A0"/>
    <w:rsid w:val="00FB5AD5"/>
    <w:rsid w:val="00FB61BE"/>
    <w:rsid w:val="00FB7276"/>
    <w:rsid w:val="00FC0039"/>
    <w:rsid w:val="00FC0DE5"/>
    <w:rsid w:val="00FC12C1"/>
    <w:rsid w:val="00FC1498"/>
    <w:rsid w:val="00FC421E"/>
    <w:rsid w:val="00FC477E"/>
    <w:rsid w:val="00FC4B02"/>
    <w:rsid w:val="00FC5310"/>
    <w:rsid w:val="00FC64B8"/>
    <w:rsid w:val="00FC76A1"/>
    <w:rsid w:val="00FD08CD"/>
    <w:rsid w:val="00FD0950"/>
    <w:rsid w:val="00FD0CD4"/>
    <w:rsid w:val="00FD1A79"/>
    <w:rsid w:val="00FD1D64"/>
    <w:rsid w:val="00FD2011"/>
    <w:rsid w:val="00FD22D9"/>
    <w:rsid w:val="00FD3C55"/>
    <w:rsid w:val="00FD42D9"/>
    <w:rsid w:val="00FD4765"/>
    <w:rsid w:val="00FD4E19"/>
    <w:rsid w:val="00FD5235"/>
    <w:rsid w:val="00FD661C"/>
    <w:rsid w:val="00FD685B"/>
    <w:rsid w:val="00FD70FF"/>
    <w:rsid w:val="00FD7632"/>
    <w:rsid w:val="00FD76C4"/>
    <w:rsid w:val="00FE0A4F"/>
    <w:rsid w:val="00FE13B8"/>
    <w:rsid w:val="00FE1422"/>
    <w:rsid w:val="00FE1AE0"/>
    <w:rsid w:val="00FE1C35"/>
    <w:rsid w:val="00FE2FCC"/>
    <w:rsid w:val="00FE33C0"/>
    <w:rsid w:val="00FE385B"/>
    <w:rsid w:val="00FE4668"/>
    <w:rsid w:val="00FE4A73"/>
    <w:rsid w:val="00FE5B61"/>
    <w:rsid w:val="00FE6C71"/>
    <w:rsid w:val="00FE6E2C"/>
    <w:rsid w:val="00FE72BE"/>
    <w:rsid w:val="00FE782C"/>
    <w:rsid w:val="00FE7C41"/>
    <w:rsid w:val="00FF0A83"/>
    <w:rsid w:val="00FF1443"/>
    <w:rsid w:val="00FF1496"/>
    <w:rsid w:val="00FF2D2A"/>
    <w:rsid w:val="00FF3CE3"/>
    <w:rsid w:val="00FF4897"/>
    <w:rsid w:val="00FF4B06"/>
    <w:rsid w:val="00FF7E70"/>
    <w:rsid w:val="02E6DA41"/>
    <w:rsid w:val="0A82C811"/>
    <w:rsid w:val="0CB96E35"/>
    <w:rsid w:val="111D987C"/>
    <w:rsid w:val="17C041F5"/>
    <w:rsid w:val="18497CE7"/>
    <w:rsid w:val="1A9F558E"/>
    <w:rsid w:val="1CD0E21C"/>
    <w:rsid w:val="1DB8074B"/>
    <w:rsid w:val="1E2E0003"/>
    <w:rsid w:val="1FE86E21"/>
    <w:rsid w:val="22301918"/>
    <w:rsid w:val="2370FA13"/>
    <w:rsid w:val="23BF699A"/>
    <w:rsid w:val="23DB9A67"/>
    <w:rsid w:val="2502E6DB"/>
    <w:rsid w:val="28FECF6A"/>
    <w:rsid w:val="2E31AC62"/>
    <w:rsid w:val="2F594326"/>
    <w:rsid w:val="2FE890BC"/>
    <w:rsid w:val="316D4838"/>
    <w:rsid w:val="3BF1055B"/>
    <w:rsid w:val="3EE08000"/>
    <w:rsid w:val="41A2AE58"/>
    <w:rsid w:val="42DDE686"/>
    <w:rsid w:val="53F2D752"/>
    <w:rsid w:val="5A05DC84"/>
    <w:rsid w:val="6CAFF35D"/>
    <w:rsid w:val="771F77BB"/>
    <w:rsid w:val="78A2E9CB"/>
    <w:rsid w:val="7CD58C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1F722"/>
  <w15:chartTrackingRefBased/>
  <w15:docId w15:val="{E0BB6B9C-8D04-431B-B1DB-36B7CCE1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896"/>
    <w:pPr>
      <w:spacing w:after="120" w:line="240" w:lineRule="auto"/>
    </w:pPr>
    <w:rPr>
      <w:rFonts w:ascii="Arial" w:eastAsia="Times New Roman" w:hAnsi="Arial" w:cs="Arial"/>
      <w:szCs w:val="20"/>
    </w:rPr>
  </w:style>
  <w:style w:type="paragraph" w:styleId="Heading1">
    <w:name w:val="heading 1"/>
    <w:basedOn w:val="Normal"/>
    <w:next w:val="Heading2"/>
    <w:link w:val="Heading1Char"/>
    <w:uiPriority w:val="99"/>
    <w:qFormat/>
    <w:rsid w:val="00B47896"/>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B47896"/>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B47896"/>
    <w:pPr>
      <w:keepNext/>
      <w:keepLines/>
      <w:spacing w:before="60" w:after="60"/>
      <w:jc w:val="both"/>
      <w:outlineLvl w:val="2"/>
    </w:pPr>
    <w:rPr>
      <w:b/>
    </w:rPr>
  </w:style>
  <w:style w:type="paragraph" w:styleId="Heading4">
    <w:name w:val="heading 4"/>
    <w:basedOn w:val="Normal"/>
    <w:next w:val="Normal"/>
    <w:link w:val="Heading4Char"/>
    <w:uiPriority w:val="99"/>
    <w:qFormat/>
    <w:rsid w:val="00B47896"/>
    <w:pPr>
      <w:numPr>
        <w:numId w:val="1"/>
      </w:numPr>
      <w:outlineLvl w:val="3"/>
    </w:pPr>
    <w:rPr>
      <w:rFonts w:cs="Times New Roman"/>
      <w:b/>
      <w:smallCaps/>
    </w:rPr>
  </w:style>
  <w:style w:type="paragraph" w:styleId="Heading5">
    <w:name w:val="heading 5"/>
    <w:basedOn w:val="Normal"/>
    <w:next w:val="Normal"/>
    <w:link w:val="Heading5Char"/>
    <w:uiPriority w:val="99"/>
    <w:qFormat/>
    <w:rsid w:val="00B47896"/>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B47896"/>
    <w:pPr>
      <w:keepNext/>
      <w:ind w:left="1440"/>
      <w:jc w:val="right"/>
      <w:outlineLvl w:val="5"/>
    </w:pPr>
    <w:rPr>
      <w:i/>
      <w:sz w:val="20"/>
    </w:rPr>
  </w:style>
  <w:style w:type="paragraph" w:styleId="Heading7">
    <w:name w:val="heading 7"/>
    <w:basedOn w:val="Normal"/>
    <w:next w:val="Normal"/>
    <w:link w:val="Heading7Char"/>
    <w:uiPriority w:val="99"/>
    <w:qFormat/>
    <w:rsid w:val="00B47896"/>
    <w:pPr>
      <w:keepNext/>
      <w:ind w:left="882"/>
      <w:outlineLvl w:val="6"/>
    </w:pPr>
    <w:rPr>
      <w:b/>
    </w:rPr>
  </w:style>
  <w:style w:type="paragraph" w:styleId="Heading8">
    <w:name w:val="heading 8"/>
    <w:basedOn w:val="Normal"/>
    <w:next w:val="Normal"/>
    <w:link w:val="Heading8Char"/>
    <w:uiPriority w:val="99"/>
    <w:qFormat/>
    <w:rsid w:val="00B47896"/>
    <w:pPr>
      <w:keepNext/>
      <w:ind w:right="-14"/>
      <w:jc w:val="center"/>
      <w:outlineLvl w:val="7"/>
    </w:pPr>
    <w:rPr>
      <w:b/>
    </w:rPr>
  </w:style>
  <w:style w:type="paragraph" w:styleId="Heading9">
    <w:name w:val="heading 9"/>
    <w:basedOn w:val="Normal"/>
    <w:next w:val="Normal"/>
    <w:link w:val="Heading9Char"/>
    <w:uiPriority w:val="99"/>
    <w:qFormat/>
    <w:rsid w:val="00B47896"/>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896"/>
    <w:rPr>
      <w:rFonts w:ascii="Arial" w:eastAsia="Times New Roman" w:hAnsi="Arial" w:cs="Arial"/>
      <w:b/>
      <w:kern w:val="28"/>
      <w:sz w:val="32"/>
      <w:szCs w:val="20"/>
      <w:shd w:val="pct15" w:color="000000" w:fill="FFFFFF"/>
    </w:rPr>
  </w:style>
  <w:style w:type="character" w:customStyle="1" w:styleId="Heading2Char">
    <w:name w:val="Heading 2 Char"/>
    <w:aliases w:val="Heading 2 Char1 Char,Heading 2 Char Char Char"/>
    <w:basedOn w:val="DefaultParagraphFont"/>
    <w:link w:val="Heading2"/>
    <w:uiPriority w:val="99"/>
    <w:rsid w:val="00B47896"/>
    <w:rPr>
      <w:rFonts w:ascii="Arial" w:eastAsia="Times New Roman" w:hAnsi="Arial" w:cs="Times New Roman"/>
      <w:b/>
      <w:smallCaps/>
      <w:sz w:val="28"/>
      <w:szCs w:val="20"/>
    </w:rPr>
  </w:style>
  <w:style w:type="character" w:customStyle="1" w:styleId="Heading3Char">
    <w:name w:val="Heading 3 Char"/>
    <w:aliases w:val="Section Char"/>
    <w:basedOn w:val="DefaultParagraphFont"/>
    <w:link w:val="Heading3"/>
    <w:uiPriority w:val="99"/>
    <w:rsid w:val="00B47896"/>
    <w:rPr>
      <w:rFonts w:ascii="Arial" w:eastAsia="Times New Roman" w:hAnsi="Arial" w:cs="Arial"/>
      <w:b/>
      <w:szCs w:val="20"/>
    </w:rPr>
  </w:style>
  <w:style w:type="character" w:customStyle="1" w:styleId="Heading4Char">
    <w:name w:val="Heading 4 Char"/>
    <w:basedOn w:val="DefaultParagraphFont"/>
    <w:link w:val="Heading4"/>
    <w:uiPriority w:val="99"/>
    <w:rsid w:val="00B47896"/>
    <w:rPr>
      <w:rFonts w:ascii="Arial" w:eastAsia="Times New Roman" w:hAnsi="Arial" w:cs="Times New Roman"/>
      <w:b/>
      <w:smallCaps/>
      <w:szCs w:val="20"/>
    </w:rPr>
  </w:style>
  <w:style w:type="character" w:customStyle="1" w:styleId="Heading5Char">
    <w:name w:val="Heading 5 Char"/>
    <w:basedOn w:val="DefaultParagraphFont"/>
    <w:link w:val="Heading5"/>
    <w:uiPriority w:val="99"/>
    <w:rsid w:val="00B47896"/>
    <w:rPr>
      <w:rFonts w:ascii="Arial" w:eastAsia="Times New Roman" w:hAnsi="Arial" w:cs="Arial"/>
      <w:b/>
      <w:sz w:val="32"/>
      <w:szCs w:val="20"/>
      <w:shd w:val="pct15" w:color="auto" w:fill="auto"/>
    </w:rPr>
  </w:style>
  <w:style w:type="character" w:customStyle="1" w:styleId="Heading6Char">
    <w:name w:val="Heading 6 Char"/>
    <w:basedOn w:val="DefaultParagraphFont"/>
    <w:link w:val="Heading6"/>
    <w:uiPriority w:val="99"/>
    <w:rsid w:val="00B47896"/>
    <w:rPr>
      <w:rFonts w:ascii="Arial" w:eastAsia="Times New Roman" w:hAnsi="Arial" w:cs="Arial"/>
      <w:i/>
      <w:sz w:val="20"/>
      <w:szCs w:val="20"/>
    </w:rPr>
  </w:style>
  <w:style w:type="character" w:customStyle="1" w:styleId="Heading7Char">
    <w:name w:val="Heading 7 Char"/>
    <w:basedOn w:val="DefaultParagraphFont"/>
    <w:link w:val="Heading7"/>
    <w:uiPriority w:val="99"/>
    <w:rsid w:val="00B47896"/>
    <w:rPr>
      <w:rFonts w:ascii="Arial" w:eastAsia="Times New Roman" w:hAnsi="Arial" w:cs="Arial"/>
      <w:b/>
      <w:szCs w:val="20"/>
    </w:rPr>
  </w:style>
  <w:style w:type="character" w:customStyle="1" w:styleId="Heading8Char">
    <w:name w:val="Heading 8 Char"/>
    <w:basedOn w:val="DefaultParagraphFont"/>
    <w:link w:val="Heading8"/>
    <w:uiPriority w:val="99"/>
    <w:rsid w:val="00B47896"/>
    <w:rPr>
      <w:rFonts w:ascii="Arial" w:eastAsia="Times New Roman" w:hAnsi="Arial" w:cs="Arial"/>
      <w:b/>
      <w:szCs w:val="20"/>
    </w:rPr>
  </w:style>
  <w:style w:type="character" w:customStyle="1" w:styleId="Heading9Char">
    <w:name w:val="Heading 9 Char"/>
    <w:basedOn w:val="DefaultParagraphFont"/>
    <w:link w:val="Heading9"/>
    <w:uiPriority w:val="99"/>
    <w:rsid w:val="00B47896"/>
    <w:rPr>
      <w:rFonts w:ascii="Arial" w:eastAsia="Times New Roman" w:hAnsi="Arial" w:cs="Arial"/>
      <w:sz w:val="24"/>
      <w:szCs w:val="20"/>
    </w:rPr>
  </w:style>
  <w:style w:type="paragraph" w:customStyle="1" w:styleId="ContinuedOnNextPa">
    <w:name w:val="Continued On Next Pa"/>
    <w:basedOn w:val="Normal"/>
    <w:next w:val="Normal"/>
    <w:uiPriority w:val="99"/>
    <w:rsid w:val="00B47896"/>
    <w:pPr>
      <w:pBdr>
        <w:top w:val="single" w:sz="6" w:space="1" w:color="auto"/>
        <w:between w:val="single" w:sz="6" w:space="1" w:color="auto"/>
      </w:pBdr>
      <w:ind w:left="1700"/>
      <w:jc w:val="right"/>
    </w:pPr>
    <w:rPr>
      <w:i/>
      <w:sz w:val="20"/>
    </w:rPr>
  </w:style>
  <w:style w:type="paragraph" w:styleId="BlockText">
    <w:name w:val="Block Text"/>
    <w:basedOn w:val="Normal"/>
    <w:uiPriority w:val="99"/>
    <w:rsid w:val="00B47896"/>
    <w:pPr>
      <w:ind w:left="1440"/>
      <w:jc w:val="center"/>
    </w:pPr>
    <w:rPr>
      <w:b/>
      <w:sz w:val="32"/>
    </w:rPr>
  </w:style>
  <w:style w:type="paragraph" w:styleId="Header">
    <w:name w:val="header"/>
    <w:basedOn w:val="Normal"/>
    <w:link w:val="HeaderChar"/>
    <w:uiPriority w:val="99"/>
    <w:rsid w:val="00B47896"/>
    <w:pPr>
      <w:tabs>
        <w:tab w:val="center" w:pos="4320"/>
        <w:tab w:val="right" w:pos="8640"/>
      </w:tabs>
    </w:pPr>
    <w:rPr>
      <w:rFonts w:cs="Times New Roman"/>
      <w:sz w:val="24"/>
    </w:rPr>
  </w:style>
  <w:style w:type="character" w:customStyle="1" w:styleId="HeaderChar">
    <w:name w:val="Header Char"/>
    <w:basedOn w:val="DefaultParagraphFont"/>
    <w:link w:val="Header"/>
    <w:uiPriority w:val="99"/>
    <w:rsid w:val="00B47896"/>
    <w:rPr>
      <w:rFonts w:ascii="Arial" w:eastAsia="Times New Roman" w:hAnsi="Arial" w:cs="Times New Roman"/>
      <w:sz w:val="24"/>
      <w:szCs w:val="20"/>
    </w:rPr>
  </w:style>
  <w:style w:type="paragraph" w:styleId="Footer">
    <w:name w:val="footer"/>
    <w:basedOn w:val="Normal"/>
    <w:link w:val="FooterChar"/>
    <w:uiPriority w:val="99"/>
    <w:rsid w:val="00B47896"/>
    <w:pPr>
      <w:tabs>
        <w:tab w:val="center" w:pos="4320"/>
        <w:tab w:val="right" w:pos="8640"/>
      </w:tabs>
    </w:pPr>
    <w:rPr>
      <w:rFonts w:cs="Times New Roman"/>
    </w:rPr>
  </w:style>
  <w:style w:type="character" w:customStyle="1" w:styleId="FooterChar">
    <w:name w:val="Footer Char"/>
    <w:basedOn w:val="DefaultParagraphFont"/>
    <w:link w:val="Footer"/>
    <w:uiPriority w:val="99"/>
    <w:rsid w:val="00B47896"/>
    <w:rPr>
      <w:rFonts w:ascii="Arial" w:eastAsia="Times New Roman" w:hAnsi="Arial" w:cs="Times New Roman"/>
      <w:szCs w:val="20"/>
    </w:rPr>
  </w:style>
  <w:style w:type="paragraph" w:styleId="BodyText">
    <w:name w:val="Body Text"/>
    <w:aliases w:val="Body 1,Body Text Char1,Body Text Char Char,bt"/>
    <w:basedOn w:val="Normal"/>
    <w:link w:val="BodyTextChar"/>
    <w:uiPriority w:val="99"/>
    <w:rsid w:val="00B47896"/>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rsid w:val="00B47896"/>
    <w:rPr>
      <w:rFonts w:ascii="Arial" w:eastAsia="Times New Roman" w:hAnsi="Arial" w:cs="Times New Roman"/>
      <w:sz w:val="24"/>
      <w:szCs w:val="20"/>
    </w:rPr>
  </w:style>
  <w:style w:type="character" w:styleId="PageNumber">
    <w:name w:val="page number"/>
    <w:basedOn w:val="DefaultParagraphFont"/>
    <w:rsid w:val="00B47896"/>
    <w:rPr>
      <w:rFonts w:cs="Times New Roman"/>
    </w:rPr>
  </w:style>
  <w:style w:type="paragraph" w:styleId="MacroText">
    <w:name w:val="macro"/>
    <w:link w:val="MacroTextChar"/>
    <w:uiPriority w:val="99"/>
    <w:semiHidden/>
    <w:rsid w:val="00B4789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Arial"/>
      <w:sz w:val="24"/>
      <w:szCs w:val="20"/>
    </w:rPr>
  </w:style>
  <w:style w:type="character" w:customStyle="1" w:styleId="MacroTextChar">
    <w:name w:val="Macro Text Char"/>
    <w:basedOn w:val="DefaultParagraphFont"/>
    <w:link w:val="MacroText"/>
    <w:uiPriority w:val="99"/>
    <w:semiHidden/>
    <w:rsid w:val="00B47896"/>
    <w:rPr>
      <w:rFonts w:ascii="Courier New" w:eastAsia="Times New Roman" w:hAnsi="Courier New" w:cs="Arial"/>
      <w:sz w:val="24"/>
      <w:szCs w:val="20"/>
    </w:rPr>
  </w:style>
  <w:style w:type="paragraph" w:styleId="TOC2">
    <w:name w:val="toc 2"/>
    <w:basedOn w:val="Normal"/>
    <w:next w:val="Normal"/>
    <w:autoRedefine/>
    <w:uiPriority w:val="39"/>
    <w:qFormat/>
    <w:rsid w:val="00B47896"/>
    <w:pPr>
      <w:tabs>
        <w:tab w:val="left" w:pos="660"/>
        <w:tab w:val="right" w:leader="dot" w:pos="9350"/>
      </w:tabs>
      <w:spacing w:after="0"/>
      <w:ind w:left="220"/>
    </w:pPr>
    <w:rPr>
      <w:rFonts w:ascii="Calibri" w:hAnsi="Calibri"/>
      <w:smallCaps/>
      <w:sz w:val="20"/>
    </w:rPr>
  </w:style>
  <w:style w:type="paragraph" w:styleId="TOC1">
    <w:name w:val="toc 1"/>
    <w:basedOn w:val="Normal"/>
    <w:next w:val="Normal"/>
    <w:autoRedefine/>
    <w:uiPriority w:val="39"/>
    <w:qFormat/>
    <w:rsid w:val="00F36DBD"/>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B47896"/>
    <w:pPr>
      <w:spacing w:after="0"/>
      <w:ind w:left="440"/>
    </w:pPr>
    <w:rPr>
      <w:rFonts w:ascii="Calibri" w:hAnsi="Calibri"/>
      <w:i/>
      <w:iCs/>
      <w:sz w:val="20"/>
    </w:rPr>
  </w:style>
  <w:style w:type="paragraph" w:styleId="TOC4">
    <w:name w:val="toc 4"/>
    <w:basedOn w:val="Normal"/>
    <w:next w:val="Normal"/>
    <w:autoRedefine/>
    <w:uiPriority w:val="99"/>
    <w:rsid w:val="00B47896"/>
    <w:pPr>
      <w:spacing w:after="0"/>
      <w:ind w:left="660"/>
    </w:pPr>
    <w:rPr>
      <w:rFonts w:ascii="Calibri" w:hAnsi="Calibri"/>
      <w:sz w:val="18"/>
      <w:szCs w:val="18"/>
    </w:rPr>
  </w:style>
  <w:style w:type="paragraph" w:styleId="TOC5">
    <w:name w:val="toc 5"/>
    <w:basedOn w:val="Normal"/>
    <w:next w:val="Normal"/>
    <w:autoRedefine/>
    <w:uiPriority w:val="99"/>
    <w:rsid w:val="00B47896"/>
    <w:pPr>
      <w:spacing w:after="0"/>
      <w:ind w:left="880"/>
    </w:pPr>
    <w:rPr>
      <w:rFonts w:ascii="Calibri" w:hAnsi="Calibri"/>
      <w:sz w:val="18"/>
      <w:szCs w:val="18"/>
    </w:rPr>
  </w:style>
  <w:style w:type="paragraph" w:styleId="TOC6">
    <w:name w:val="toc 6"/>
    <w:basedOn w:val="Normal"/>
    <w:next w:val="Normal"/>
    <w:autoRedefine/>
    <w:uiPriority w:val="99"/>
    <w:rsid w:val="00B47896"/>
    <w:pPr>
      <w:spacing w:after="0"/>
      <w:ind w:left="1100"/>
    </w:pPr>
    <w:rPr>
      <w:rFonts w:ascii="Calibri" w:hAnsi="Calibri"/>
      <w:sz w:val="18"/>
      <w:szCs w:val="18"/>
    </w:rPr>
  </w:style>
  <w:style w:type="paragraph" w:styleId="TOC7">
    <w:name w:val="toc 7"/>
    <w:basedOn w:val="Normal"/>
    <w:next w:val="Normal"/>
    <w:autoRedefine/>
    <w:uiPriority w:val="99"/>
    <w:rsid w:val="00B47896"/>
    <w:pPr>
      <w:spacing w:after="0"/>
      <w:ind w:left="1320"/>
    </w:pPr>
    <w:rPr>
      <w:rFonts w:ascii="Calibri" w:hAnsi="Calibri"/>
      <w:sz w:val="18"/>
      <w:szCs w:val="18"/>
    </w:rPr>
  </w:style>
  <w:style w:type="paragraph" w:styleId="TOC8">
    <w:name w:val="toc 8"/>
    <w:basedOn w:val="Normal"/>
    <w:next w:val="Normal"/>
    <w:autoRedefine/>
    <w:uiPriority w:val="99"/>
    <w:rsid w:val="00B47896"/>
    <w:pPr>
      <w:spacing w:after="0"/>
      <w:ind w:left="1540"/>
    </w:pPr>
    <w:rPr>
      <w:rFonts w:ascii="Calibri" w:hAnsi="Calibri"/>
      <w:sz w:val="18"/>
      <w:szCs w:val="18"/>
    </w:rPr>
  </w:style>
  <w:style w:type="paragraph" w:styleId="TOC9">
    <w:name w:val="toc 9"/>
    <w:basedOn w:val="Normal"/>
    <w:next w:val="Normal"/>
    <w:autoRedefine/>
    <w:uiPriority w:val="99"/>
    <w:rsid w:val="00B47896"/>
    <w:pPr>
      <w:spacing w:after="0"/>
      <w:ind w:left="1760"/>
    </w:pPr>
    <w:rPr>
      <w:rFonts w:ascii="Calibri" w:hAnsi="Calibri"/>
      <w:sz w:val="18"/>
      <w:szCs w:val="18"/>
    </w:rPr>
  </w:style>
  <w:style w:type="paragraph" w:customStyle="1" w:styleId="TableHeaderText">
    <w:name w:val="Table Header Text"/>
    <w:basedOn w:val="TableText"/>
    <w:uiPriority w:val="99"/>
    <w:rsid w:val="00B47896"/>
    <w:pPr>
      <w:jc w:val="center"/>
    </w:pPr>
    <w:rPr>
      <w:b/>
    </w:rPr>
  </w:style>
  <w:style w:type="paragraph" w:customStyle="1" w:styleId="TableText">
    <w:name w:val="Table Text"/>
    <w:basedOn w:val="Normal"/>
    <w:uiPriority w:val="99"/>
    <w:rsid w:val="00B47896"/>
  </w:style>
  <w:style w:type="character" w:styleId="CommentReference">
    <w:name w:val="annotation reference"/>
    <w:basedOn w:val="DefaultParagraphFont"/>
    <w:uiPriority w:val="99"/>
    <w:semiHidden/>
    <w:rsid w:val="00B47896"/>
    <w:rPr>
      <w:rFonts w:cs="Times New Roman"/>
      <w:sz w:val="16"/>
    </w:rPr>
  </w:style>
  <w:style w:type="character" w:styleId="Hyperlink">
    <w:name w:val="Hyperlink"/>
    <w:basedOn w:val="DefaultParagraphFont"/>
    <w:uiPriority w:val="99"/>
    <w:rsid w:val="00B47896"/>
    <w:rPr>
      <w:rFonts w:cs="Times New Roman"/>
      <w:color w:val="0000FF"/>
      <w:u w:val="single"/>
    </w:rPr>
  </w:style>
  <w:style w:type="paragraph" w:customStyle="1" w:styleId="NoteText">
    <w:name w:val="Note Text"/>
    <w:basedOn w:val="BlockText"/>
    <w:uiPriority w:val="99"/>
    <w:rsid w:val="00B47896"/>
    <w:pPr>
      <w:ind w:left="0"/>
      <w:jc w:val="left"/>
    </w:pPr>
    <w:rPr>
      <w:b w:val="0"/>
      <w:sz w:val="22"/>
    </w:rPr>
  </w:style>
  <w:style w:type="paragraph" w:styleId="BodyTextIndent">
    <w:name w:val="Body Text Indent"/>
    <w:basedOn w:val="Normal"/>
    <w:link w:val="BodyTextIndentChar"/>
    <w:uiPriority w:val="99"/>
    <w:rsid w:val="00B47896"/>
    <w:pPr>
      <w:ind w:left="1440"/>
      <w:jc w:val="both"/>
    </w:pPr>
    <w:rPr>
      <w:rFonts w:cs="Times New Roman"/>
      <w:sz w:val="24"/>
    </w:rPr>
  </w:style>
  <w:style w:type="character" w:customStyle="1" w:styleId="BodyTextIndentChar">
    <w:name w:val="Body Text Indent Char"/>
    <w:basedOn w:val="DefaultParagraphFont"/>
    <w:link w:val="BodyTextIndent"/>
    <w:uiPriority w:val="99"/>
    <w:rsid w:val="00B47896"/>
    <w:rPr>
      <w:rFonts w:ascii="Arial" w:eastAsia="Times New Roman" w:hAnsi="Arial" w:cs="Times New Roman"/>
      <w:sz w:val="24"/>
      <w:szCs w:val="20"/>
    </w:rPr>
  </w:style>
  <w:style w:type="paragraph" w:styleId="BodyText2">
    <w:name w:val="Body Text 2"/>
    <w:basedOn w:val="Normal"/>
    <w:link w:val="BodyText2Char"/>
    <w:uiPriority w:val="99"/>
    <w:rsid w:val="00B47896"/>
    <w:rPr>
      <w:sz w:val="24"/>
    </w:rPr>
  </w:style>
  <w:style w:type="character" w:customStyle="1" w:styleId="BodyText2Char">
    <w:name w:val="Body Text 2 Char"/>
    <w:basedOn w:val="DefaultParagraphFont"/>
    <w:link w:val="BodyText2"/>
    <w:uiPriority w:val="99"/>
    <w:rsid w:val="00B47896"/>
    <w:rPr>
      <w:rFonts w:ascii="Arial" w:eastAsia="Times New Roman" w:hAnsi="Arial" w:cs="Arial"/>
      <w:sz w:val="24"/>
      <w:szCs w:val="20"/>
    </w:rPr>
  </w:style>
  <w:style w:type="paragraph" w:styleId="BodyTextIndent2">
    <w:name w:val="Body Text Indent 2"/>
    <w:basedOn w:val="Normal"/>
    <w:link w:val="BodyTextIndent2Char"/>
    <w:uiPriority w:val="99"/>
    <w:rsid w:val="00B47896"/>
    <w:pPr>
      <w:ind w:left="2160"/>
    </w:pPr>
    <w:rPr>
      <w:sz w:val="24"/>
    </w:rPr>
  </w:style>
  <w:style w:type="character" w:customStyle="1" w:styleId="BodyTextIndent2Char">
    <w:name w:val="Body Text Indent 2 Char"/>
    <w:basedOn w:val="DefaultParagraphFont"/>
    <w:link w:val="BodyTextIndent2"/>
    <w:uiPriority w:val="99"/>
    <w:rsid w:val="00B47896"/>
    <w:rPr>
      <w:rFonts w:ascii="Arial" w:eastAsia="Times New Roman" w:hAnsi="Arial" w:cs="Arial"/>
      <w:sz w:val="24"/>
      <w:szCs w:val="20"/>
    </w:rPr>
  </w:style>
  <w:style w:type="paragraph" w:styleId="DocumentMap">
    <w:name w:val="Document Map"/>
    <w:basedOn w:val="Normal"/>
    <w:link w:val="DocumentMapChar"/>
    <w:uiPriority w:val="99"/>
    <w:semiHidden/>
    <w:rsid w:val="00B47896"/>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B47896"/>
    <w:rPr>
      <w:rFonts w:ascii="Tahoma" w:eastAsia="Times New Roman" w:hAnsi="Tahoma" w:cs="Arial"/>
      <w:szCs w:val="20"/>
      <w:shd w:val="clear" w:color="auto" w:fill="000080"/>
    </w:rPr>
  </w:style>
  <w:style w:type="paragraph" w:styleId="CommentText">
    <w:name w:val="annotation text"/>
    <w:basedOn w:val="Normal"/>
    <w:link w:val="CommentTextChar"/>
    <w:uiPriority w:val="99"/>
    <w:semiHidden/>
    <w:rsid w:val="00B47896"/>
    <w:rPr>
      <w:sz w:val="20"/>
    </w:rPr>
  </w:style>
  <w:style w:type="character" w:customStyle="1" w:styleId="CommentTextChar">
    <w:name w:val="Comment Text Char"/>
    <w:basedOn w:val="DefaultParagraphFont"/>
    <w:link w:val="CommentText"/>
    <w:uiPriority w:val="99"/>
    <w:semiHidden/>
    <w:rsid w:val="00B47896"/>
    <w:rPr>
      <w:rFonts w:ascii="Arial" w:eastAsia="Times New Roman" w:hAnsi="Arial" w:cs="Arial"/>
      <w:sz w:val="20"/>
      <w:szCs w:val="20"/>
    </w:rPr>
  </w:style>
  <w:style w:type="paragraph" w:styleId="Title">
    <w:name w:val="Title"/>
    <w:basedOn w:val="Normal"/>
    <w:link w:val="TitleChar"/>
    <w:uiPriority w:val="99"/>
    <w:qFormat/>
    <w:rsid w:val="00B47896"/>
    <w:pPr>
      <w:jc w:val="center"/>
    </w:pPr>
    <w:rPr>
      <w:b/>
      <w:sz w:val="32"/>
    </w:rPr>
  </w:style>
  <w:style w:type="character" w:customStyle="1" w:styleId="TitleChar">
    <w:name w:val="Title Char"/>
    <w:basedOn w:val="DefaultParagraphFont"/>
    <w:link w:val="Title"/>
    <w:uiPriority w:val="99"/>
    <w:rsid w:val="00B47896"/>
    <w:rPr>
      <w:rFonts w:ascii="Arial" w:eastAsia="Times New Roman" w:hAnsi="Arial" w:cs="Arial"/>
      <w:b/>
      <w:sz w:val="32"/>
      <w:szCs w:val="20"/>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B47896"/>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B47896"/>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B47896"/>
    <w:rPr>
      <w:rFonts w:cs="Times New Roman"/>
      <w:vertAlign w:val="superscript"/>
    </w:rPr>
  </w:style>
  <w:style w:type="paragraph" w:styleId="BodyText3">
    <w:name w:val="Body Text 3"/>
    <w:basedOn w:val="Normal"/>
    <w:link w:val="BodyText3Char"/>
    <w:uiPriority w:val="99"/>
    <w:rsid w:val="00B47896"/>
    <w:pPr>
      <w:suppressAutoHyphens/>
      <w:jc w:val="both"/>
    </w:pPr>
    <w:rPr>
      <w:sz w:val="24"/>
    </w:rPr>
  </w:style>
  <w:style w:type="character" w:customStyle="1" w:styleId="BodyText3Char">
    <w:name w:val="Body Text 3 Char"/>
    <w:basedOn w:val="DefaultParagraphFont"/>
    <w:link w:val="BodyText3"/>
    <w:uiPriority w:val="99"/>
    <w:rsid w:val="00B47896"/>
    <w:rPr>
      <w:rFonts w:ascii="Arial" w:eastAsia="Times New Roman" w:hAnsi="Arial" w:cs="Arial"/>
      <w:sz w:val="24"/>
      <w:szCs w:val="20"/>
    </w:rPr>
  </w:style>
  <w:style w:type="paragraph" w:styleId="BodyTextIndent3">
    <w:name w:val="Body Text Indent 3"/>
    <w:basedOn w:val="Normal"/>
    <w:link w:val="BodyTextIndent3Char"/>
    <w:uiPriority w:val="99"/>
    <w:rsid w:val="00B47896"/>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rsid w:val="00B47896"/>
    <w:rPr>
      <w:rFonts w:ascii="Arial" w:eastAsia="Times New Roman" w:hAnsi="Arial" w:cs="Arial"/>
      <w:sz w:val="24"/>
      <w:szCs w:val="20"/>
    </w:rPr>
  </w:style>
  <w:style w:type="paragraph" w:styleId="NormalWeb">
    <w:name w:val="Normal (Web)"/>
    <w:basedOn w:val="Normal"/>
    <w:link w:val="NormalWebChar"/>
    <w:uiPriority w:val="99"/>
    <w:rsid w:val="00B47896"/>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47896"/>
    <w:rPr>
      <w:rFonts w:ascii="Tahoma" w:hAnsi="Tahoma" w:cs="Tahoma"/>
      <w:sz w:val="16"/>
      <w:szCs w:val="16"/>
    </w:rPr>
  </w:style>
  <w:style w:type="character" w:customStyle="1" w:styleId="BalloonTextChar">
    <w:name w:val="Balloon Text Char"/>
    <w:basedOn w:val="DefaultParagraphFont"/>
    <w:link w:val="BalloonText"/>
    <w:uiPriority w:val="99"/>
    <w:semiHidden/>
    <w:rsid w:val="00B47896"/>
    <w:rPr>
      <w:rFonts w:ascii="Tahoma" w:eastAsia="Times New Roman" w:hAnsi="Tahoma" w:cs="Tahoma"/>
      <w:sz w:val="16"/>
      <w:szCs w:val="16"/>
    </w:rPr>
  </w:style>
  <w:style w:type="table" w:styleId="TableGrid">
    <w:name w:val="Table Grid"/>
    <w:basedOn w:val="TableNormal"/>
    <w:uiPriority w:val="59"/>
    <w:rsid w:val="00B4789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B47896"/>
    <w:rPr>
      <w:rFonts w:cs="Times New Roman"/>
      <w:color w:val="800080"/>
      <w:u w:val="single"/>
    </w:rPr>
  </w:style>
  <w:style w:type="character" w:styleId="IntenseEmphasis">
    <w:name w:val="Intense Emphasis"/>
    <w:basedOn w:val="DefaultParagraphFont"/>
    <w:uiPriority w:val="99"/>
    <w:qFormat/>
    <w:rsid w:val="00B47896"/>
    <w:rPr>
      <w:rFonts w:cs="Times New Roman"/>
      <w:b/>
      <w:i/>
      <w:color w:val="4F81BD"/>
    </w:rPr>
  </w:style>
  <w:style w:type="character" w:styleId="Strong">
    <w:name w:val="Strong"/>
    <w:basedOn w:val="DefaultParagraphFont"/>
    <w:uiPriority w:val="99"/>
    <w:qFormat/>
    <w:rsid w:val="00B47896"/>
    <w:rPr>
      <w:rFonts w:cs="Times New Roman"/>
      <w:b/>
    </w:rPr>
  </w:style>
  <w:style w:type="paragraph" w:customStyle="1" w:styleId="Technical4">
    <w:name w:val="Technical 4"/>
    <w:uiPriority w:val="99"/>
    <w:rsid w:val="00B47896"/>
    <w:pPr>
      <w:tabs>
        <w:tab w:val="left" w:pos="-720"/>
      </w:tabs>
      <w:suppressAutoHyphens/>
      <w:spacing w:after="0" w:line="240" w:lineRule="auto"/>
    </w:pPr>
    <w:rPr>
      <w:rFonts w:ascii="Courier New" w:eastAsia="Times New Roman" w:hAnsi="Courier New" w:cs="Times New Roman"/>
      <w:b/>
      <w:sz w:val="24"/>
      <w:szCs w:val="20"/>
    </w:rPr>
  </w:style>
  <w:style w:type="paragraph" w:styleId="ListBullet">
    <w:name w:val="List Bullet"/>
    <w:basedOn w:val="Normal"/>
    <w:autoRedefine/>
    <w:uiPriority w:val="99"/>
    <w:rsid w:val="00B47896"/>
    <w:pPr>
      <w:keepLines/>
      <w:widowControl w:val="0"/>
      <w:ind w:left="360"/>
    </w:pPr>
    <w:rPr>
      <w:rFonts w:cs="Times New Roman"/>
      <w:szCs w:val="22"/>
    </w:rPr>
  </w:style>
  <w:style w:type="paragraph" w:styleId="TOCHeading">
    <w:name w:val="TOC Heading"/>
    <w:basedOn w:val="Heading1"/>
    <w:next w:val="Normal"/>
    <w:uiPriority w:val="39"/>
    <w:qFormat/>
    <w:rsid w:val="00B47896"/>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B47896"/>
    <w:rPr>
      <w:rFonts w:cs="Times New Roman"/>
    </w:rPr>
  </w:style>
  <w:style w:type="paragraph" w:customStyle="1" w:styleId="StyleHeading2Heading2Char1Heading2CharCharAfter3pt">
    <w:name w:val="Style Heading 2Heading 2 Char1Heading 2 Char Char + After:  3 pt"/>
    <w:basedOn w:val="Heading2"/>
    <w:uiPriority w:val="99"/>
    <w:rsid w:val="00B47896"/>
    <w:rPr>
      <w:bCs/>
    </w:rPr>
  </w:style>
  <w:style w:type="paragraph" w:customStyle="1" w:styleId="StyleHeading2Heading2Char1Heading2CharCharAfter3pt1">
    <w:name w:val="Style Heading 2Heading 2 Char1Heading 2 Char Char + After:  3 pt1"/>
    <w:basedOn w:val="Heading2"/>
    <w:uiPriority w:val="99"/>
    <w:rsid w:val="00B47896"/>
    <w:rPr>
      <w:bCs/>
    </w:rPr>
  </w:style>
  <w:style w:type="paragraph" w:styleId="ListParagraph">
    <w:name w:val="List Paragraph"/>
    <w:basedOn w:val="Normal"/>
    <w:uiPriority w:val="34"/>
    <w:qFormat/>
    <w:rsid w:val="00B47896"/>
    <w:pPr>
      <w:ind w:left="720"/>
    </w:pPr>
  </w:style>
  <w:style w:type="paragraph" w:styleId="CommentSubject">
    <w:name w:val="annotation subject"/>
    <w:basedOn w:val="CommentText"/>
    <w:next w:val="CommentText"/>
    <w:link w:val="CommentSubjectChar"/>
    <w:uiPriority w:val="99"/>
    <w:semiHidden/>
    <w:rsid w:val="00B47896"/>
    <w:rPr>
      <w:rFonts w:cs="Times New Roman"/>
      <w:b/>
      <w:bCs/>
    </w:rPr>
  </w:style>
  <w:style w:type="character" w:customStyle="1" w:styleId="CommentSubjectChar">
    <w:name w:val="Comment Subject Char"/>
    <w:basedOn w:val="CommentTextChar"/>
    <w:link w:val="CommentSubject"/>
    <w:uiPriority w:val="99"/>
    <w:semiHidden/>
    <w:rsid w:val="00B47896"/>
    <w:rPr>
      <w:rFonts w:ascii="Arial" w:eastAsia="Times New Roman" w:hAnsi="Arial" w:cs="Times New Roman"/>
      <w:b/>
      <w:bCs/>
      <w:sz w:val="20"/>
      <w:szCs w:val="20"/>
    </w:rPr>
  </w:style>
  <w:style w:type="paragraph" w:customStyle="1" w:styleId="BulletedList">
    <w:name w:val="Bulleted List"/>
    <w:basedOn w:val="Normal"/>
    <w:uiPriority w:val="99"/>
    <w:rsid w:val="00B47896"/>
    <w:pPr>
      <w:tabs>
        <w:tab w:val="left" w:pos="288"/>
      </w:tabs>
      <w:ind w:left="1008" w:hanging="360"/>
    </w:pPr>
    <w:rPr>
      <w:rFonts w:cs="Times New Roman"/>
    </w:rPr>
  </w:style>
  <w:style w:type="paragraph" w:customStyle="1" w:styleId="Default">
    <w:name w:val="Default"/>
    <w:uiPriority w:val="99"/>
    <w:rsid w:val="00B47896"/>
    <w:pPr>
      <w:autoSpaceDE w:val="0"/>
      <w:autoSpaceDN w:val="0"/>
      <w:adjustRightInd w:val="0"/>
      <w:spacing w:after="0" w:line="240" w:lineRule="auto"/>
    </w:pPr>
    <w:rPr>
      <w:rFonts w:ascii="Arial" w:eastAsia="Times New Roman" w:hAnsi="Arial" w:cs="Arial"/>
      <w:color w:val="000000"/>
      <w:sz w:val="24"/>
      <w:szCs w:val="24"/>
    </w:rPr>
  </w:style>
  <w:style w:type="paragraph" w:styleId="Subtitle">
    <w:name w:val="Subtitle"/>
    <w:basedOn w:val="Normal"/>
    <w:next w:val="Normal"/>
    <w:link w:val="SubtitleChar"/>
    <w:uiPriority w:val="99"/>
    <w:qFormat/>
    <w:rsid w:val="00B47896"/>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rsid w:val="00B47896"/>
    <w:rPr>
      <w:rFonts w:ascii="Arial" w:eastAsia="Times New Roman" w:hAnsi="Arial" w:cs="Times New Roman"/>
      <w:sz w:val="24"/>
      <w:szCs w:val="24"/>
    </w:rPr>
  </w:style>
  <w:style w:type="paragraph" w:customStyle="1" w:styleId="CECDelNumber">
    <w:name w:val="CEC Del. Number"/>
    <w:basedOn w:val="Normal"/>
    <w:autoRedefine/>
    <w:uiPriority w:val="99"/>
    <w:rsid w:val="00B47896"/>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B47896"/>
    <w:pPr>
      <w:spacing w:after="0"/>
      <w:jc w:val="center"/>
      <w:outlineLvl w:val="0"/>
    </w:pPr>
    <w:rPr>
      <w:rFonts w:cs="Times New Roman"/>
      <w:b/>
      <w:sz w:val="32"/>
      <w:szCs w:val="32"/>
    </w:rPr>
  </w:style>
  <w:style w:type="paragraph" w:customStyle="1" w:styleId="1AutoList1">
    <w:name w:val="1AutoList1"/>
    <w:uiPriority w:val="99"/>
    <w:rsid w:val="00B47896"/>
    <w:pPr>
      <w:widowControl w:val="0"/>
      <w:tabs>
        <w:tab w:val="left" w:pos="720"/>
      </w:tabs>
      <w:spacing w:after="0" w:line="240" w:lineRule="auto"/>
      <w:ind w:left="720" w:hanging="720"/>
      <w:jc w:val="both"/>
    </w:pPr>
    <w:rPr>
      <w:rFonts w:ascii="CG Times" w:eastAsia="Times New Roman" w:hAnsi="CG Times" w:cs="Times New Roman"/>
      <w:sz w:val="24"/>
      <w:szCs w:val="20"/>
    </w:rPr>
  </w:style>
  <w:style w:type="character" w:customStyle="1" w:styleId="NormalWebChar">
    <w:name w:val="Normal (Web) Char"/>
    <w:link w:val="NormalWeb"/>
    <w:uiPriority w:val="99"/>
    <w:locked/>
    <w:rsid w:val="00B47896"/>
    <w:rPr>
      <w:rFonts w:ascii="Arial" w:eastAsia="Times New Roman" w:hAnsi="Arial" w:cs="Times New Roman"/>
      <w:sz w:val="24"/>
      <w:szCs w:val="20"/>
    </w:rPr>
  </w:style>
  <w:style w:type="paragraph" w:styleId="Closing">
    <w:name w:val="Closing"/>
    <w:basedOn w:val="Normal"/>
    <w:link w:val="ClosingChar"/>
    <w:uiPriority w:val="99"/>
    <w:rsid w:val="00B47896"/>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rsid w:val="00B47896"/>
    <w:rPr>
      <w:rFonts w:ascii="Times New Roman" w:eastAsia="Times New Roman" w:hAnsi="Times New Roman" w:cs="Times New Roman"/>
      <w:sz w:val="20"/>
      <w:szCs w:val="20"/>
    </w:rPr>
  </w:style>
  <w:style w:type="paragraph" w:styleId="ListBullet2">
    <w:name w:val="List Bullet 2"/>
    <w:basedOn w:val="Normal"/>
    <w:uiPriority w:val="99"/>
    <w:semiHidden/>
    <w:rsid w:val="00B47896"/>
    <w:pPr>
      <w:keepLines/>
      <w:numPr>
        <w:numId w:val="6"/>
      </w:numPr>
      <w:tabs>
        <w:tab w:val="num" w:pos="720"/>
      </w:tabs>
      <w:contextualSpacing/>
    </w:pPr>
    <w:rPr>
      <w:szCs w:val="22"/>
    </w:rPr>
  </w:style>
  <w:style w:type="paragraph" w:styleId="Revision">
    <w:name w:val="Revision"/>
    <w:hidden/>
    <w:uiPriority w:val="99"/>
    <w:semiHidden/>
    <w:rsid w:val="00B47896"/>
    <w:pPr>
      <w:spacing w:after="0" w:line="240" w:lineRule="auto"/>
    </w:pPr>
    <w:rPr>
      <w:rFonts w:ascii="Arial" w:eastAsia="Times New Roman" w:hAnsi="Arial" w:cs="Arial"/>
      <w:szCs w:val="20"/>
    </w:rPr>
  </w:style>
  <w:style w:type="character" w:customStyle="1" w:styleId="answerbagvibrant">
    <w:name w:val="answerbag_vibrant"/>
    <w:basedOn w:val="DefaultParagraphFont"/>
    <w:uiPriority w:val="99"/>
    <w:rsid w:val="00B47896"/>
    <w:rPr>
      <w:rFonts w:cs="Times New Roman"/>
    </w:rPr>
  </w:style>
  <w:style w:type="character" w:customStyle="1" w:styleId="Style10pt">
    <w:name w:val="Style 10 pt"/>
    <w:basedOn w:val="DefaultParagraphFont"/>
    <w:uiPriority w:val="99"/>
    <w:rsid w:val="00B47896"/>
    <w:rPr>
      <w:rFonts w:ascii="Arial" w:hAnsi="Arial" w:cs="Times New Roman"/>
      <w:sz w:val="22"/>
    </w:rPr>
  </w:style>
  <w:style w:type="numbering" w:customStyle="1" w:styleId="StyleNumbered11ptLeft025Hanging05">
    <w:name w:val="Style Numbered 11 pt Left:  0.25&quot; Hanging:  0.5&quot;"/>
    <w:rsid w:val="00B47896"/>
    <w:pPr>
      <w:numPr>
        <w:numId w:val="2"/>
      </w:numPr>
    </w:pPr>
  </w:style>
  <w:style w:type="numbering" w:customStyle="1" w:styleId="RFP2">
    <w:name w:val="RFP2"/>
    <w:rsid w:val="00B47896"/>
    <w:pPr>
      <w:numPr>
        <w:numId w:val="5"/>
      </w:numPr>
    </w:pPr>
  </w:style>
  <w:style w:type="numbering" w:customStyle="1" w:styleId="RFP">
    <w:name w:val="RFP"/>
    <w:rsid w:val="00B47896"/>
    <w:pPr>
      <w:numPr>
        <w:numId w:val="4"/>
      </w:numPr>
    </w:pPr>
  </w:style>
  <w:style w:type="numbering" w:customStyle="1" w:styleId="StyleNumberedLeft25Hanging075">
    <w:name w:val="Style Numbered Left: .25&quot; Hanging:  0.75&quot;"/>
    <w:rsid w:val="00B47896"/>
    <w:pPr>
      <w:numPr>
        <w:numId w:val="3"/>
      </w:numPr>
    </w:pPr>
  </w:style>
  <w:style w:type="paragraph" w:customStyle="1" w:styleId="0PIERNormal">
    <w:name w:val="0  PIER Normal"/>
    <w:link w:val="0PIERNormalChar"/>
    <w:qFormat/>
    <w:rsid w:val="00B47896"/>
    <w:pPr>
      <w:spacing w:line="280" w:lineRule="atLeast"/>
    </w:pPr>
    <w:rPr>
      <w:rFonts w:ascii="Palatino Linotype" w:eastAsia="Times New Roman" w:hAnsi="Palatino Linotype" w:cs="Times New Roman"/>
      <w:color w:val="000000"/>
      <w:szCs w:val="20"/>
    </w:rPr>
  </w:style>
  <w:style w:type="character" w:customStyle="1" w:styleId="0PIERNormalChar">
    <w:name w:val="0  PIER Normal Char"/>
    <w:basedOn w:val="DefaultParagraphFont"/>
    <w:link w:val="0PIERNormal"/>
    <w:locked/>
    <w:rsid w:val="00B47896"/>
    <w:rPr>
      <w:rFonts w:ascii="Palatino Linotype" w:eastAsia="Times New Roman" w:hAnsi="Palatino Linotype" w:cs="Times New Roman"/>
      <w:color w:val="000000"/>
      <w:szCs w:val="20"/>
    </w:rPr>
  </w:style>
  <w:style w:type="paragraph" w:customStyle="1" w:styleId="HeadingNew1">
    <w:name w:val="Heading_New1"/>
    <w:basedOn w:val="Normal"/>
    <w:link w:val="HeadingNew1Char"/>
    <w:qFormat/>
    <w:rsid w:val="00B47896"/>
    <w:pPr>
      <w:numPr>
        <w:numId w:val="43"/>
      </w:numPr>
      <w:jc w:val="both"/>
    </w:pPr>
    <w:rPr>
      <w:b/>
      <w:szCs w:val="22"/>
    </w:rPr>
  </w:style>
  <w:style w:type="character" w:customStyle="1" w:styleId="HeadingNew1Char">
    <w:name w:val="Heading_New1 Char"/>
    <w:basedOn w:val="DefaultParagraphFont"/>
    <w:link w:val="HeadingNew1"/>
    <w:rsid w:val="00B47896"/>
    <w:rPr>
      <w:rFonts w:ascii="Arial" w:eastAsia="Times New Roman" w:hAnsi="Arial" w:cs="Arial"/>
      <w:b/>
    </w:rPr>
  </w:style>
  <w:style w:type="paragraph" w:customStyle="1" w:styleId="FillIn">
    <w:name w:val="Fill In"/>
    <w:basedOn w:val="Normal"/>
    <w:rsid w:val="00B4789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B47896"/>
  </w:style>
  <w:style w:type="paragraph" w:styleId="HTMLPreformatted">
    <w:name w:val="HTML Preformatted"/>
    <w:basedOn w:val="Normal"/>
    <w:link w:val="HTMLPreformattedChar"/>
    <w:rsid w:val="00B47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B47896"/>
    <w:rPr>
      <w:rFonts w:ascii="Courier New" w:eastAsia="Times New Roman" w:hAnsi="Courier New" w:cs="Courier New"/>
      <w:sz w:val="20"/>
      <w:szCs w:val="20"/>
    </w:rPr>
  </w:style>
  <w:style w:type="table" w:customStyle="1" w:styleId="TableGrid1">
    <w:name w:val="Table Grid1"/>
    <w:basedOn w:val="TableNormal"/>
    <w:next w:val="TableGrid"/>
    <w:uiPriority w:val="59"/>
    <w:rsid w:val="00B4789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B47896"/>
    <w:pPr>
      <w:spacing w:after="0" w:line="240" w:lineRule="auto"/>
    </w:pPr>
    <w:rPr>
      <w:rFonts w:ascii="Arial" w:eastAsia="Times New Roman" w:hAnsi="Arial" w:cs="Arial"/>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B47896"/>
    <w:pPr>
      <w:spacing w:after="0" w:line="240" w:lineRule="auto"/>
    </w:pPr>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B47896"/>
    <w:pPr>
      <w:spacing w:after="0" w:line="240" w:lineRule="auto"/>
    </w:pPr>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B4789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B4789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rsid w:val="00B47896"/>
    <w:pPr>
      <w:spacing w:after="0"/>
    </w:pPr>
    <w:rPr>
      <w:sz w:val="20"/>
    </w:rPr>
  </w:style>
  <w:style w:type="character" w:customStyle="1" w:styleId="EndnoteTextChar">
    <w:name w:val="Endnote Text Char"/>
    <w:basedOn w:val="DefaultParagraphFont"/>
    <w:link w:val="EndnoteText"/>
    <w:uiPriority w:val="99"/>
    <w:semiHidden/>
    <w:rsid w:val="00B47896"/>
    <w:rPr>
      <w:rFonts w:ascii="Arial" w:eastAsia="Times New Roman" w:hAnsi="Arial" w:cs="Arial"/>
      <w:sz w:val="20"/>
      <w:szCs w:val="20"/>
    </w:rPr>
  </w:style>
  <w:style w:type="character" w:styleId="EndnoteReference">
    <w:name w:val="endnote reference"/>
    <w:basedOn w:val="DefaultParagraphFont"/>
    <w:uiPriority w:val="99"/>
    <w:semiHidden/>
    <w:unhideWhenUsed/>
    <w:rsid w:val="00B47896"/>
    <w:rPr>
      <w:vertAlign w:val="superscript"/>
    </w:rPr>
  </w:style>
  <w:style w:type="table" w:customStyle="1" w:styleId="ListTable33">
    <w:name w:val="List Table 33"/>
    <w:basedOn w:val="TableNormal"/>
    <w:next w:val="ListTable3"/>
    <w:uiPriority w:val="48"/>
    <w:rsid w:val="00B47896"/>
    <w:pPr>
      <w:spacing w:after="0" w:line="240" w:lineRule="auto"/>
    </w:pPr>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B47896"/>
    <w:pPr>
      <w:spacing w:after="0" w:line="240" w:lineRule="auto"/>
    </w:pPr>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B47896"/>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47896"/>
  </w:style>
  <w:style w:type="character" w:customStyle="1" w:styleId="eop">
    <w:name w:val="eop"/>
    <w:basedOn w:val="DefaultParagraphFont"/>
    <w:rsid w:val="00B47896"/>
  </w:style>
  <w:style w:type="character" w:styleId="UnresolvedMention">
    <w:name w:val="Unresolved Mention"/>
    <w:basedOn w:val="DefaultParagraphFont"/>
    <w:uiPriority w:val="99"/>
    <w:semiHidden/>
    <w:unhideWhenUsed/>
    <w:rsid w:val="00B47896"/>
    <w:rPr>
      <w:color w:val="605E5C"/>
      <w:shd w:val="clear" w:color="auto" w:fill="E1DFDD"/>
    </w:rPr>
  </w:style>
  <w:style w:type="character" w:styleId="Mention">
    <w:name w:val="Mention"/>
    <w:basedOn w:val="DefaultParagraphFont"/>
    <w:uiPriority w:val="99"/>
    <w:unhideWhenUsed/>
    <w:rsid w:val="00B47896"/>
    <w:rPr>
      <w:color w:val="2B579A"/>
      <w:shd w:val="clear" w:color="auto" w:fill="E6E6E6"/>
    </w:rPr>
  </w:style>
  <w:style w:type="character" w:customStyle="1" w:styleId="spellingerror">
    <w:name w:val="spellingerror"/>
    <w:basedOn w:val="DefaultParagraphFont"/>
    <w:rsid w:val="00977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oehha.ca.gov/calenviroscreen/report/calenviroscreen-40" TargetMode="External"/><Relationship Id="rId26" Type="http://schemas.openxmlformats.org/officeDocument/2006/relationships/hyperlink" Target="http://www.fchea.org/s/Road-Map-to-a-US-Hydrogen-Economy-Full-Report.pdf" TargetMode="External"/><Relationship Id="rId3" Type="http://schemas.openxmlformats.org/officeDocument/2006/relationships/customXml" Target="../customXml/item3.xml"/><Relationship Id="rId21" Type="http://schemas.openxmlformats.org/officeDocument/2006/relationships/hyperlink" Target="https://www.hydrogen.energy.gov/pdfs/clean-hydrogen-strategy-roadmap.pdf"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ydrogen.energy.gov/pdfs/program_plan2011.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zoom.us/join" TargetMode="External"/><Relationship Id="rId29" Type="http://schemas.openxmlformats.org/officeDocument/2006/relationships/hyperlink" Target="https://ww2.energy.ca.gov/publications/displayOneReport_cms.php?pubNum=CEC-600-2019-0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ydrogen.energy.gov/pdfs/hydrogen_posture_plan_dec06.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ydrogen.energy.gov/pdfs/hydrogen-program-plan-2020.pdf" TargetMode="External"/><Relationship Id="rId28" Type="http://schemas.openxmlformats.org/officeDocument/2006/relationships/hyperlink" Target="https://ww2.arb.ca.gov/sites/default/files/2020-07/2020_lcfs_fro_oal-approved_unofficial_06302020.pdf" TargetMode="External"/><Relationship Id="rId10" Type="http://schemas.openxmlformats.org/officeDocument/2006/relationships/endnotes" Target="endnotes.xml"/><Relationship Id="rId19" Type="http://schemas.openxmlformats.org/officeDocument/2006/relationships/hyperlink" Target="https://www2.lbl.gov/dir/assets/docs/TRL%20guide.pdf"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nergy.gov/oced/regional-clean-hydrogen-hubs" TargetMode="External"/><Relationship Id="rId27" Type="http://schemas.openxmlformats.org/officeDocument/2006/relationships/hyperlink" Target="https://www.californiahydrogen.org/resources/hydrogen-faq/" TargetMode="External"/><Relationship Id="rId30" Type="http://schemas.openxmlformats.org/officeDocument/2006/relationships/hyperlink" Target="https://www.energy.ca.gov/sites/default/files/2021-05/CEC-600-2019-039.pdf"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energy.gov/bil/regional-clean-hydrogen-hubs" TargetMode="External"/><Relationship Id="rId2" Type="http://schemas.openxmlformats.org/officeDocument/2006/relationships/hyperlink" Target="https://leginfo.legislature.ca.gov/faces/billTextClient.xhtml?bill_id=201720180SB1369" TargetMode="External"/><Relationship Id="rId1" Type="http://schemas.openxmlformats.org/officeDocument/2006/relationships/hyperlink" Target="https://www.energy.ca.gov/sb100" TargetMode="External"/><Relationship Id="rId6" Type="http://schemas.openxmlformats.org/officeDocument/2006/relationships/hyperlink" Target="https://www.energy.ca.gov/publications/2021/electric-program-investment-charge-proposed-2021-2025-investment-plan-epic-4" TargetMode="External"/><Relationship Id="rId5" Type="http://schemas.openxmlformats.org/officeDocument/2006/relationships/hyperlink" Target="https://leginfo.legislature.ca.gov/faces/billTextClient.xhtml?bill_id=202120220AB209" TargetMode="External"/><Relationship Id="rId4" Type="http://schemas.openxmlformats.org/officeDocument/2006/relationships/hyperlink" Target="https://business.ca.gov/california-formally-announces-intention-to-create-a-renewable-hydrogen-hub/" TargetMode="External"/></Relationships>
</file>

<file path=word/documenttasks/documenttasks1.xml><?xml version="1.0" encoding="utf-8"?>
<t:Tasks xmlns:t="http://schemas.microsoft.com/office/tasks/2019/documenttasks" xmlns:oel="http://schemas.microsoft.com/office/2019/extlst">
  <t:Task id="{21A010B5-304D-4F02-840D-D8056A525583}">
    <t:Anchor>
      <t:Comment id="1591679698"/>
    </t:Anchor>
    <t:History>
      <t:Event id="{6E5A1B90-4D29-4738-A3B1-EC34F3E69610}" time="2022-10-21T21:27:53.386Z">
        <t:Attribution userId="S::christina.evola@energy.ca.gov::0c8512a9-0ef2-4ce9-9eff-d2f3aa1ee740" userProvider="AD" userName="Evola, Christina@Energy"/>
        <t:Anchor>
          <t:Comment id="1591679698"/>
        </t:Anchor>
        <t:Create/>
      </t:Event>
      <t:Event id="{4E790B87-7163-4B73-B7F3-2029D32F0943}" time="2022-10-21T21:27:53.386Z">
        <t:Attribution userId="S::christina.evola@energy.ca.gov::0c8512a9-0ef2-4ce9-9eff-d2f3aa1ee740" userProvider="AD" userName="Evola, Christina@Energy"/>
        <t:Anchor>
          <t:Comment id="1591679698"/>
        </t:Anchor>
        <t:Assign userId="S::Benson.Gilbert@energy.ca.gov::0832c5db-b3b7-420e-bef8-07f0b82f916a" userProvider="AD" userName="Gilbert, Benson@Energy"/>
      </t:Event>
      <t:Event id="{6B04A3FE-4720-4154-94FB-6A3255F56C11}" time="2022-10-21T21:27:53.386Z">
        <t:Attribution userId="S::christina.evola@energy.ca.gov::0c8512a9-0ef2-4ce9-9eff-d2f3aa1ee740" userProvider="AD" userName="Evola, Christina@Energy"/>
        <t:Anchor>
          <t:Comment id="1591679698"/>
        </t:Anchor>
        <t:SetTitle title="…) by addressing the areas in Section I.I and Section III.D.3., and Section III.D.8   Was that intentionally omitted here? @Gilbert, Benson@Energy? It may have been added by the attorney in the solicitation I'm comparing, so perhaps good to include here."/>
      </t:Event>
      <t:Event id="{B432CE6A-C6E6-401A-ACC6-0AD2FC57E559}" time="2022-10-21T21:54:38.796Z">
        <t:Attribution userId="S::benson.gilbert@energy.ca.gov::0832c5db-b3b7-420e-bef8-07f0b82f916a" userProvider="AD" userName="Gilbert, Benson@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03880-2A5C-4FCA-A222-E32671A6DEF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9C8AB3BD-7322-4CC7-9EF8-7FAFAA470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DD028-47C2-4711-A83A-E86E5B34C9AD}">
  <ds:schemaRefs>
    <ds:schemaRef ds:uri="http://schemas.openxmlformats.org/officeDocument/2006/bibliography"/>
  </ds:schemaRefs>
</ds:datastoreItem>
</file>

<file path=customXml/itemProps4.xml><?xml version="1.0" encoding="utf-8"?>
<ds:datastoreItem xmlns:ds="http://schemas.openxmlformats.org/officeDocument/2006/customXml" ds:itemID="{32FA7BB9-9343-4586-9364-4A5E6A70D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13704</Words>
  <Characters>78115</Characters>
  <Application>Microsoft Office Word</Application>
  <DocSecurity>4</DocSecurity>
  <Lines>650</Lines>
  <Paragraphs>183</Paragraphs>
  <ScaleCrop>false</ScaleCrop>
  <Company/>
  <LinksUpToDate>false</LinksUpToDate>
  <CharactersWithSpaces>91636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Manual</dc:title>
  <dc:subject/>
  <dc:creator>Gilbert, Benson@Energy</dc:creator>
  <cp:keywords/>
  <dc:description/>
  <cp:lastModifiedBy>Cary, Eilene@Energy</cp:lastModifiedBy>
  <cp:revision>2</cp:revision>
  <dcterms:created xsi:type="dcterms:W3CDTF">2023-01-27T23:07:00Z</dcterms:created>
  <dcterms:modified xsi:type="dcterms:W3CDTF">2023-01-27T23:07:00Z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