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F1B8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GFO-22-502</w:t>
      </w:r>
    </w:p>
    <w:p w14:paraId="3B6DF6FC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Innovative Hydrogen Refueling Solutions for Heavy Transport</w:t>
      </w:r>
    </w:p>
    <w:p w14:paraId="04A904E8" w14:textId="7CDEE18F" w:rsid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Addendum #1</w:t>
      </w:r>
    </w:p>
    <w:p w14:paraId="0D80363F" w14:textId="0A559504" w:rsidR="000547E6" w:rsidRPr="000D4AE9" w:rsidRDefault="000547E6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4FFDAEE0">
        <w:rPr>
          <w:rFonts w:ascii="Arial" w:hAnsi="Arial" w:cs="Arial"/>
          <w:b/>
          <w:bCs/>
        </w:rPr>
        <w:t>January 1</w:t>
      </w:r>
      <w:r w:rsidR="71DBB02C" w:rsidRPr="4FFDAEE0">
        <w:rPr>
          <w:rFonts w:ascii="Arial" w:hAnsi="Arial" w:cs="Arial"/>
          <w:b/>
          <w:bCs/>
        </w:rPr>
        <w:t>8</w:t>
      </w:r>
      <w:r w:rsidRPr="4FFDAEE0">
        <w:rPr>
          <w:rFonts w:ascii="Arial" w:hAnsi="Arial" w:cs="Arial"/>
          <w:b/>
          <w:bCs/>
        </w:rPr>
        <w:t>, 2023</w:t>
      </w:r>
    </w:p>
    <w:p w14:paraId="72E58CB7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1CF25E2" w14:textId="77777777" w:rsidR="000547E6" w:rsidRDefault="000547E6" w:rsidP="000547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addendum is to notify potential applicants of changes that have been made to GFO-22-503. The addendum includes the following revision to the Solicitation Manual and the posting of Attachment 13 to the solicitation webpage. Added language appears in </w:t>
      </w:r>
      <w:r>
        <w:rPr>
          <w:rFonts w:ascii="Arial" w:hAnsi="Arial" w:cs="Arial"/>
          <w:b/>
          <w:bCs/>
          <w:u w:val="single"/>
        </w:rPr>
        <w:t>bold underline</w:t>
      </w:r>
      <w:r>
        <w:rPr>
          <w:rFonts w:ascii="Arial" w:hAnsi="Arial" w:cs="Arial"/>
        </w:rPr>
        <w:t>, and deleted language appears in [</w:t>
      </w:r>
      <w:r>
        <w:rPr>
          <w:rFonts w:ascii="Arial" w:hAnsi="Arial" w:cs="Arial"/>
          <w:strike/>
        </w:rPr>
        <w:t>strikethrough</w:t>
      </w:r>
      <w:r>
        <w:rPr>
          <w:rFonts w:ascii="Arial" w:hAnsi="Arial" w:cs="Arial"/>
        </w:rPr>
        <w:t>] and within square brackets.</w:t>
      </w:r>
    </w:p>
    <w:p w14:paraId="317174B9" w14:textId="77777777" w:rsidR="000D4AE9" w:rsidRPr="000D4AE9" w:rsidRDefault="000D4AE9" w:rsidP="000D4AE9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42B2FCAF" w14:textId="77777777" w:rsidR="00B1122A" w:rsidRPr="00B1122A" w:rsidRDefault="00B1122A" w:rsidP="00B1122A">
      <w:pPr>
        <w:keepNext/>
        <w:keepLines/>
        <w:spacing w:after="240"/>
        <w:outlineLvl w:val="1"/>
        <w:rPr>
          <w:rFonts w:ascii="Arial" w:eastAsiaTheme="majorEastAsia" w:hAnsi="Arial" w:cs="Arial"/>
          <w:b/>
        </w:rPr>
      </w:pPr>
      <w:r w:rsidRPr="00B1122A">
        <w:rPr>
          <w:rFonts w:ascii="Arial" w:eastAsiaTheme="majorEastAsia" w:hAnsi="Arial" w:cs="Arial"/>
          <w:b/>
        </w:rPr>
        <w:t xml:space="preserve">Solicitation Manual </w:t>
      </w:r>
    </w:p>
    <w:p w14:paraId="479EABAF" w14:textId="44E78009" w:rsidR="001D76AD" w:rsidRDefault="001D76AD" w:rsidP="000D4AE9">
      <w:pPr>
        <w:ind w:firstLine="36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Page 5, Section </w:t>
      </w:r>
      <w:r w:rsidR="00E43B8A">
        <w:rPr>
          <w:rFonts w:ascii="Arial" w:eastAsiaTheme="majorEastAsia" w:hAnsi="Arial" w:cs="Arial"/>
          <w:b/>
          <w:bCs/>
        </w:rPr>
        <w:t>B., Key Words/Terms</w:t>
      </w:r>
    </w:p>
    <w:p w14:paraId="1098AD9F" w14:textId="77777777" w:rsidR="00E43B8A" w:rsidRDefault="00E43B8A" w:rsidP="000D4AE9">
      <w:pPr>
        <w:ind w:firstLine="360"/>
        <w:rPr>
          <w:rFonts w:ascii="Arial" w:eastAsiaTheme="majorEastAsia" w:hAnsi="Arial" w:cs="Arial"/>
          <w:b/>
          <w:bCs/>
        </w:rPr>
      </w:pPr>
    </w:p>
    <w:p w14:paraId="34547757" w14:textId="38D66F7B" w:rsidR="00E43B8A" w:rsidRPr="00FA4822" w:rsidRDefault="00E43B8A" w:rsidP="00923C6F">
      <w:pPr>
        <w:ind w:left="360"/>
        <w:rPr>
          <w:rFonts w:ascii="Arial" w:eastAsiaTheme="majorEastAsia" w:hAnsi="Arial" w:cs="Arial"/>
          <w:sz w:val="22"/>
          <w:szCs w:val="22"/>
        </w:rPr>
      </w:pPr>
      <w:r w:rsidRPr="00FA4822">
        <w:rPr>
          <w:rFonts w:ascii="Arial" w:eastAsiaTheme="majorEastAsia" w:hAnsi="Arial" w:cs="Arial"/>
          <w:sz w:val="22"/>
          <w:szCs w:val="22"/>
        </w:rPr>
        <w:t>Updated:</w:t>
      </w:r>
      <w:r w:rsidR="00FF3BE2">
        <w:rPr>
          <w:rFonts w:ascii="Arial" w:eastAsiaTheme="majorEastAsia" w:hAnsi="Arial" w:cs="Arial"/>
          <w:sz w:val="22"/>
          <w:szCs w:val="22"/>
        </w:rPr>
        <w:t xml:space="preserve"> </w:t>
      </w:r>
    </w:p>
    <w:p w14:paraId="3A24BBFB" w14:textId="77777777" w:rsidR="001D76AD" w:rsidRDefault="001D76AD" w:rsidP="000D4AE9">
      <w:pPr>
        <w:ind w:firstLine="360"/>
        <w:rPr>
          <w:rFonts w:ascii="Arial" w:eastAsiaTheme="majorEastAsia" w:hAnsi="Arial" w:cs="Arial"/>
          <w:b/>
          <w:bCs/>
        </w:rPr>
      </w:pPr>
    </w:p>
    <w:tbl>
      <w:tblPr>
        <w:tblStyle w:val="TableGrid1"/>
        <w:tblW w:w="9360" w:type="dxa"/>
        <w:tblLayout w:type="fixed"/>
        <w:tblLook w:val="0020" w:firstRow="1" w:lastRow="0" w:firstColumn="0" w:lastColumn="0" w:noHBand="0" w:noVBand="0"/>
      </w:tblPr>
      <w:tblGrid>
        <w:gridCol w:w="2430"/>
        <w:gridCol w:w="6930"/>
      </w:tblGrid>
      <w:tr w:rsidR="00923C6F" w:rsidRPr="00923C6F" w14:paraId="601BACC7" w14:textId="77777777" w:rsidTr="00831350">
        <w:tc>
          <w:tcPr>
            <w:tcW w:w="2430" w:type="dxa"/>
          </w:tcPr>
          <w:p w14:paraId="46066412" w14:textId="77777777" w:rsidR="00923C6F" w:rsidRPr="00923C6F" w:rsidRDefault="00923C6F" w:rsidP="00923C6F">
            <w:pPr>
              <w:spacing w:after="120"/>
              <w:jc w:val="both"/>
              <w:rPr>
                <w:sz w:val="22"/>
              </w:rPr>
            </w:pPr>
            <w:r w:rsidRPr="00923C6F">
              <w:rPr>
                <w:sz w:val="22"/>
              </w:rPr>
              <w:t>Disadvantaged Community</w:t>
            </w:r>
          </w:p>
        </w:tc>
        <w:tc>
          <w:tcPr>
            <w:tcW w:w="6930" w:type="dxa"/>
          </w:tcPr>
          <w:p w14:paraId="7E39D223" w14:textId="77777777" w:rsidR="00923C6F" w:rsidRPr="00923C6F" w:rsidRDefault="00923C6F" w:rsidP="00923C6F">
            <w:pPr>
              <w:spacing w:after="60"/>
              <w:jc w:val="both"/>
              <w:rPr>
                <w:strike/>
                <w:sz w:val="22"/>
              </w:rPr>
            </w:pPr>
            <w:r w:rsidRPr="00923C6F">
              <w:rPr>
                <w:sz w:val="22"/>
              </w:rPr>
              <w:t>[</w:t>
            </w:r>
            <w:r w:rsidRPr="00923C6F">
              <w:rPr>
                <w:strike/>
                <w:sz w:val="22"/>
              </w:rPr>
              <w:t xml:space="preserve">These are communities in the top 25% scoring areas from </w:t>
            </w:r>
            <w:proofErr w:type="spellStart"/>
            <w:r w:rsidRPr="00923C6F">
              <w:rPr>
                <w:strike/>
                <w:sz w:val="22"/>
              </w:rPr>
              <w:t>CalEnviroScreen</w:t>
            </w:r>
            <w:proofErr w:type="spellEnd"/>
            <w:r w:rsidRPr="00923C6F">
              <w:rPr>
                <w:strike/>
                <w:sz w:val="22"/>
              </w:rPr>
              <w:t xml:space="preserve"> along with other areas with high amounts of pollution and low populations.</w:t>
            </w:r>
          </w:p>
          <w:p w14:paraId="0B3F937C" w14:textId="77777777" w:rsidR="00923C6F" w:rsidRPr="00923C6F" w:rsidRDefault="00923C6F" w:rsidP="00923C6F">
            <w:pPr>
              <w:spacing w:after="120"/>
              <w:jc w:val="both"/>
              <w:rPr>
                <w:sz w:val="22"/>
              </w:rPr>
            </w:pPr>
            <w:r w:rsidRPr="00923C6F">
              <w:rPr>
                <w:strike/>
                <w:sz w:val="22"/>
              </w:rPr>
              <w:t>(https://oehha.ca.gov/calenviroscreen/report/calenviroscreen-40)</w:t>
            </w:r>
            <w:r w:rsidRPr="00923C6F">
              <w:rPr>
                <w:sz w:val="22"/>
              </w:rPr>
              <w:t xml:space="preserve">] </w:t>
            </w:r>
          </w:p>
          <w:p w14:paraId="2109BECF" w14:textId="77777777" w:rsidR="00923C6F" w:rsidRPr="00923C6F" w:rsidRDefault="00923C6F" w:rsidP="00923C6F">
            <w:pPr>
              <w:spacing w:after="1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These are communities that represent the 25% highest scoring census tracts in </w:t>
            </w:r>
            <w:proofErr w:type="spellStart"/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>CalEnviroScreen</w:t>
            </w:r>
            <w:proofErr w:type="spellEnd"/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4.0, census tracts previously identified in the top 25% in </w:t>
            </w:r>
            <w:proofErr w:type="spellStart"/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>CalEnviroScreen</w:t>
            </w:r>
            <w:proofErr w:type="spellEnd"/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3.0, census tracts with high amounts of pollution and low populations, and federally recognized tribal areas as identified by the Census in the 2021 American Indian Areas Related National Geodatabase.  </w:t>
            </w:r>
          </w:p>
          <w:p w14:paraId="0DE9DEF9" w14:textId="77777777" w:rsidR="00923C6F" w:rsidRPr="00923C6F" w:rsidRDefault="00923C6F" w:rsidP="00923C6F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>(</w:t>
            </w:r>
            <w:hyperlink r:id="rId11" w:history="1">
              <w:r w:rsidRPr="00923C6F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</w:rPr>
                <w:t>https://oehha.ca.gov/calenviroscreen/sb535</w:t>
              </w:r>
            </w:hyperlink>
            <w:r w:rsidRPr="00923C6F">
              <w:rPr>
                <w:rFonts w:eastAsia="Calibri"/>
                <w:b/>
                <w:bCs/>
                <w:sz w:val="22"/>
                <w:szCs w:val="22"/>
                <w:u w:val="single"/>
              </w:rPr>
              <w:t>)</w:t>
            </w:r>
            <w:r w:rsidRPr="00923C6F">
              <w:rPr>
                <w:rFonts w:eastAsia="Calibri"/>
                <w:sz w:val="22"/>
                <w:szCs w:val="22"/>
              </w:rPr>
              <w:t> </w:t>
            </w:r>
          </w:p>
        </w:tc>
      </w:tr>
    </w:tbl>
    <w:p w14:paraId="07434CAE" w14:textId="77777777" w:rsidR="00923C6F" w:rsidRDefault="00923C6F" w:rsidP="00923C6F">
      <w:pPr>
        <w:rPr>
          <w:rFonts w:ascii="Arial" w:eastAsiaTheme="majorEastAsia" w:hAnsi="Arial" w:cs="Arial"/>
          <w:b/>
          <w:bCs/>
        </w:rPr>
      </w:pPr>
    </w:p>
    <w:p w14:paraId="4D4CB274" w14:textId="4F31E157" w:rsidR="00B1122A" w:rsidRPr="000D4AE9" w:rsidRDefault="000547E6" w:rsidP="000D4AE9">
      <w:pPr>
        <w:ind w:firstLine="360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</w:rPr>
        <w:t>Page 8, Section I.C., Project Focus</w:t>
      </w:r>
    </w:p>
    <w:p w14:paraId="5DA43FFB" w14:textId="77777777" w:rsidR="000D4AE9" w:rsidRDefault="000D4AE9" w:rsidP="00803E15">
      <w:pPr>
        <w:tabs>
          <w:tab w:val="left" w:pos="270"/>
        </w:tabs>
        <w:rPr>
          <w:rFonts w:ascii="Arial" w:eastAsia="Arial" w:hAnsi="Arial" w:cs="Arial"/>
        </w:rPr>
      </w:pPr>
    </w:p>
    <w:p w14:paraId="4EAE616E" w14:textId="55BD0790" w:rsidR="000D4AE9" w:rsidRDefault="000547E6" w:rsidP="000D4AE9">
      <w:pPr>
        <w:ind w:left="36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732B098C">
        <w:rPr>
          <w:rFonts w:ascii="Arial" w:eastAsia="Calibri" w:hAnsi="Arial" w:cs="Arial"/>
          <w:color w:val="000000" w:themeColor="text1"/>
          <w:sz w:val="22"/>
          <w:szCs w:val="22"/>
        </w:rPr>
        <w:t>Updated:</w:t>
      </w:r>
      <w:r w:rsidRPr="00505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Evaluate</w:t>
      </w:r>
      <w:r w:rsidRPr="00DC0DC7">
        <w:rPr>
          <w:rFonts w:ascii="Arial" w:hAnsi="Arial" w:cs="Arial"/>
          <w:sz w:val="22"/>
          <w:szCs w:val="22"/>
        </w:rPr>
        <w:t xml:space="preserve"> and demonstrate sensors and monitoring technologies at a Technology Readiness Level (TRL) </w:t>
      </w:r>
      <w:r>
        <w:rPr>
          <w:rFonts w:ascii="Arial" w:hAnsi="Arial" w:cs="Arial"/>
          <w:sz w:val="22"/>
          <w:szCs w:val="22"/>
        </w:rPr>
        <w:t>[</w:t>
      </w:r>
      <w:r w:rsidRPr="00DC0DC7">
        <w:rPr>
          <w:rFonts w:ascii="Arial" w:hAnsi="Arial" w:cs="Arial"/>
          <w:strike/>
          <w:sz w:val="22"/>
          <w:szCs w:val="22"/>
        </w:rPr>
        <w:t>of 7</w:t>
      </w:r>
      <w:r w:rsidRPr="00325CFE">
        <w:rPr>
          <w:rFonts w:ascii="Arial" w:hAnsi="Arial" w:cs="Arial"/>
          <w:sz w:val="22"/>
          <w:szCs w:val="22"/>
        </w:rPr>
        <w:t>]</w:t>
      </w:r>
      <w:r w:rsidR="00325CFE" w:rsidRPr="00325CFE">
        <w:rPr>
          <w:rFonts w:ascii="Arial" w:hAnsi="Arial" w:cs="Arial"/>
          <w:sz w:val="22"/>
          <w:szCs w:val="22"/>
        </w:rPr>
        <w:t xml:space="preserve"> </w:t>
      </w:r>
      <w:r w:rsidRPr="00276AA0">
        <w:rPr>
          <w:rFonts w:ascii="Arial" w:hAnsi="Arial" w:cs="Arial"/>
          <w:b/>
          <w:bCs/>
          <w:sz w:val="22"/>
          <w:szCs w:val="22"/>
          <w:u w:val="single"/>
        </w:rPr>
        <w:t>between 5 and 7</w:t>
      </w:r>
      <w:r w:rsidRPr="00F94E95">
        <w:rPr>
          <w:rFonts w:ascii="Arial" w:hAnsi="Arial" w:cs="Arial"/>
          <w:sz w:val="22"/>
          <w:szCs w:val="22"/>
          <w:u w:val="single"/>
        </w:rPr>
        <w:t xml:space="preserve"> </w:t>
      </w:r>
      <w:r w:rsidRPr="00DC0DC7">
        <w:rPr>
          <w:rFonts w:ascii="Arial" w:hAnsi="Arial" w:cs="Arial"/>
          <w:sz w:val="22"/>
          <w:szCs w:val="22"/>
        </w:rPr>
        <w:t xml:space="preserve">or higher at the beginning of the project, with the potential to reach a TRL of </w:t>
      </w:r>
      <w:r w:rsidRPr="00276AA0">
        <w:rPr>
          <w:rFonts w:ascii="Arial" w:hAnsi="Arial" w:cs="Arial"/>
          <w:b/>
          <w:bCs/>
          <w:sz w:val="22"/>
          <w:szCs w:val="22"/>
          <w:u w:val="single"/>
        </w:rPr>
        <w:t>8 or</w:t>
      </w:r>
      <w:r w:rsidRPr="00DC0DC7">
        <w:rPr>
          <w:rFonts w:ascii="Arial" w:hAnsi="Arial" w:cs="Arial"/>
          <w:sz w:val="22"/>
          <w:szCs w:val="22"/>
        </w:rPr>
        <w:t xml:space="preserve"> 9 by the end of the project.</w:t>
      </w:r>
    </w:p>
    <w:p w14:paraId="0F60ED91" w14:textId="77777777" w:rsidR="00B1122A" w:rsidRDefault="00B1122A" w:rsidP="00B1122A">
      <w:pPr>
        <w:tabs>
          <w:tab w:val="left" w:pos="270"/>
        </w:tabs>
        <w:ind w:left="1350" w:hanging="990"/>
        <w:rPr>
          <w:rFonts w:ascii="Arial" w:eastAsia="Arial" w:hAnsi="Arial" w:cs="Arial"/>
        </w:rPr>
      </w:pPr>
    </w:p>
    <w:p w14:paraId="5BDE2DA7" w14:textId="58D31674" w:rsidR="00DC7338" w:rsidRPr="00AB796A" w:rsidRDefault="00DC7338" w:rsidP="00B1122A">
      <w:pPr>
        <w:tabs>
          <w:tab w:val="left" w:pos="270"/>
        </w:tabs>
        <w:ind w:left="1350" w:hanging="990"/>
        <w:rPr>
          <w:rFonts w:ascii="Arial" w:eastAsia="Arial" w:hAnsi="Arial" w:cs="Arial"/>
          <w:b/>
          <w:bCs/>
        </w:rPr>
      </w:pPr>
      <w:r w:rsidRPr="00AB796A">
        <w:rPr>
          <w:rFonts w:ascii="Arial" w:eastAsia="Arial" w:hAnsi="Arial" w:cs="Arial"/>
          <w:b/>
          <w:bCs/>
        </w:rPr>
        <w:t>Page 14, Section I.I., Background</w:t>
      </w:r>
    </w:p>
    <w:p w14:paraId="755C70A4" w14:textId="77777777" w:rsidR="00DC7338" w:rsidRDefault="00DC7338" w:rsidP="00B1122A">
      <w:pPr>
        <w:tabs>
          <w:tab w:val="left" w:pos="270"/>
        </w:tabs>
        <w:ind w:left="1350" w:hanging="990"/>
        <w:rPr>
          <w:rFonts w:ascii="Arial" w:eastAsia="Arial" w:hAnsi="Arial" w:cs="Arial"/>
        </w:rPr>
      </w:pPr>
    </w:p>
    <w:p w14:paraId="7CBC85DF" w14:textId="32976571" w:rsidR="00DC7338" w:rsidRPr="00AB796A" w:rsidRDefault="00DC7338" w:rsidP="00AB796A">
      <w:pPr>
        <w:ind w:left="360"/>
        <w:rPr>
          <w:rFonts w:ascii="Arial" w:eastAsia="Arial" w:hAnsi="Arial" w:cs="Arial"/>
          <w:sz w:val="22"/>
          <w:szCs w:val="22"/>
        </w:rPr>
      </w:pPr>
      <w:r w:rsidRPr="00AB796A">
        <w:rPr>
          <w:rFonts w:ascii="Arial" w:eastAsia="Arial" w:hAnsi="Arial" w:cs="Arial"/>
          <w:sz w:val="22"/>
          <w:szCs w:val="22"/>
        </w:rPr>
        <w:t xml:space="preserve">Updated: </w:t>
      </w:r>
      <w:r w:rsidR="00AB796A" w:rsidRPr="00AB796A">
        <w:rPr>
          <w:rFonts w:ascii="Arial" w:eastAsia="Arial" w:hAnsi="Arial" w:cs="Arial"/>
          <w:b/>
          <w:bCs/>
          <w:sz w:val="22"/>
          <w:szCs w:val="22"/>
        </w:rPr>
        <w:t>The Natural Gas Research and Development Program: Proposed Budget Plan for Fiscal Year [</w:t>
      </w:r>
      <w:r w:rsidR="00AB796A" w:rsidRPr="00AB796A">
        <w:rPr>
          <w:rFonts w:ascii="Arial" w:eastAsia="Arial" w:hAnsi="Arial" w:cs="Arial"/>
          <w:b/>
          <w:bCs/>
          <w:strike/>
          <w:sz w:val="22"/>
          <w:szCs w:val="22"/>
        </w:rPr>
        <w:t>2020-2021</w:t>
      </w:r>
      <w:r w:rsidR="00AB796A" w:rsidRPr="00AB796A">
        <w:rPr>
          <w:rFonts w:ascii="Arial" w:eastAsia="Arial" w:hAnsi="Arial" w:cs="Arial"/>
          <w:b/>
          <w:bCs/>
          <w:sz w:val="22"/>
          <w:szCs w:val="22"/>
        </w:rPr>
        <w:t xml:space="preserve">] </w:t>
      </w:r>
      <w:r w:rsidR="00AB796A" w:rsidRPr="00AB796A">
        <w:rPr>
          <w:rFonts w:ascii="Arial" w:eastAsia="Arial" w:hAnsi="Arial" w:cs="Arial"/>
          <w:b/>
          <w:bCs/>
          <w:sz w:val="22"/>
          <w:szCs w:val="22"/>
          <w:u w:val="single"/>
        </w:rPr>
        <w:t>2021-2022</w:t>
      </w:r>
    </w:p>
    <w:p w14:paraId="2762538A" w14:textId="3893FC85" w:rsidR="000D4AE9" w:rsidRDefault="000547E6" w:rsidP="000D4AE9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lastRenderedPageBreak/>
        <w:t xml:space="preserve">Solicitation Webpage </w:t>
      </w: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hyperlink r:id="rId12" w:history="1">
        <w:r w:rsidRPr="00C32B38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https://www.energy.ca.gov/solicitations/2022-11/gfo-22-503-gas-pipeline-safety-and-integrity-research-support-decarbonization</w:t>
        </w:r>
      </w:hyperlink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7ECE192D" w14:textId="481648C2" w:rsidR="000547E6" w:rsidRDefault="000547E6" w:rsidP="000547E6">
      <w:pPr>
        <w:ind w:firstLine="360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</w:rPr>
        <w:t>Solicitation Files</w:t>
      </w:r>
    </w:p>
    <w:p w14:paraId="0C18A2E7" w14:textId="77777777" w:rsidR="000547E6" w:rsidRPr="000547E6" w:rsidRDefault="000547E6" w:rsidP="000547E6">
      <w:pPr>
        <w:ind w:firstLine="360"/>
        <w:rPr>
          <w:rFonts w:ascii="Arial" w:hAnsi="Arial" w:cs="Arial"/>
        </w:rPr>
      </w:pPr>
    </w:p>
    <w:p w14:paraId="62FB495F" w14:textId="6CA1307D" w:rsidR="000547E6" w:rsidRPr="00AF2D23" w:rsidRDefault="000547E6" w:rsidP="000547E6">
      <w:pPr>
        <w:pStyle w:val="ListParagraph"/>
        <w:spacing w:after="120"/>
        <w:ind w:left="360"/>
        <w:contextualSpacing w:val="0"/>
        <w:rPr>
          <w:rFonts w:ascii="Arial" w:eastAsia="Calibri" w:hAnsi="Arial" w:cs="Arial"/>
          <w:color w:val="000000"/>
          <w:sz w:val="22"/>
          <w:szCs w:val="22"/>
        </w:rPr>
      </w:pPr>
      <w:r w:rsidRPr="00AF2D23">
        <w:rPr>
          <w:rFonts w:ascii="Arial" w:eastAsia="Calibri" w:hAnsi="Arial" w:cs="Arial"/>
          <w:color w:val="000000"/>
          <w:sz w:val="22"/>
          <w:szCs w:val="22"/>
        </w:rPr>
        <w:t xml:space="preserve">Updated: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Attached the </w:t>
      </w:r>
      <w:r w:rsidRPr="00AF2D23">
        <w:rPr>
          <w:rFonts w:ascii="Arial" w:eastAsia="Calibri" w:hAnsi="Arial" w:cs="Arial"/>
          <w:color w:val="000000"/>
          <w:sz w:val="22"/>
          <w:szCs w:val="22"/>
          <w:u w:val="single"/>
        </w:rPr>
        <w:t>California Based Entity (CBE) Form (Attachment 13)</w:t>
      </w:r>
      <w:r w:rsidRPr="00AF2D23">
        <w:rPr>
          <w:rFonts w:ascii="Arial" w:eastAsia="Calibri" w:hAnsi="Arial" w:cs="Arial"/>
          <w:color w:val="000000"/>
          <w:sz w:val="22"/>
          <w:szCs w:val="22"/>
        </w:rPr>
        <w:t xml:space="preserve"> as a downloadable word document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to be completed by applicant</w:t>
      </w:r>
      <w:r w:rsidRPr="00AF2D2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00C58004" w14:textId="77777777" w:rsidR="00B1122A" w:rsidRDefault="00B1122A" w:rsidP="00B1122A">
      <w:pPr>
        <w:rPr>
          <w:rFonts w:ascii="Arial" w:eastAsia="Calibri" w:hAnsi="Arial" w:cs="Arial"/>
          <w:color w:val="000000"/>
        </w:rPr>
      </w:pPr>
    </w:p>
    <w:p w14:paraId="7EFA4595" w14:textId="77777777" w:rsidR="00F92C5E" w:rsidRPr="00B1122A" w:rsidRDefault="00F92C5E" w:rsidP="00B1122A">
      <w:pPr>
        <w:rPr>
          <w:rFonts w:ascii="Arial" w:eastAsia="Calibri" w:hAnsi="Arial" w:cs="Arial"/>
          <w:color w:val="000000"/>
        </w:rPr>
      </w:pPr>
    </w:p>
    <w:p w14:paraId="33CCCDE7" w14:textId="77777777" w:rsidR="00B1122A" w:rsidRPr="00B1122A" w:rsidRDefault="00B1122A" w:rsidP="00B1122A">
      <w:pPr>
        <w:rPr>
          <w:rFonts w:ascii="Arial" w:hAnsi="Arial" w:cs="Arial"/>
          <w:b/>
          <w:bCs/>
        </w:rPr>
      </w:pPr>
    </w:p>
    <w:p w14:paraId="5303F674" w14:textId="4E0E7858" w:rsidR="00B1122A" w:rsidRPr="00B1122A" w:rsidRDefault="000547E6" w:rsidP="00B112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Natalie Johnson</w:t>
      </w:r>
      <w:r w:rsidR="00B1122A" w:rsidRPr="00B1122A">
        <w:rPr>
          <w:rFonts w:ascii="Arial" w:hAnsi="Arial" w:cs="Arial"/>
          <w:b/>
          <w:bCs/>
        </w:rPr>
        <w:t>,</w:t>
      </w:r>
    </w:p>
    <w:p w14:paraId="19B4D541" w14:textId="3DDE6849" w:rsidR="00B1122A" w:rsidRPr="00B1122A" w:rsidRDefault="00B1122A" w:rsidP="00B1122A">
      <w:pPr>
        <w:spacing w:after="480"/>
        <w:rPr>
          <w:rStyle w:val="normaltextrun"/>
          <w:rFonts w:ascii="Arial" w:hAnsi="Arial" w:cs="Arial"/>
          <w:b/>
          <w:bCs/>
        </w:rPr>
      </w:pPr>
      <w:r w:rsidRPr="00B1122A">
        <w:rPr>
          <w:rFonts w:ascii="Arial" w:hAnsi="Arial" w:cs="Arial"/>
          <w:b/>
          <w:bCs/>
        </w:rPr>
        <w:t>Commission Agreement Officer</w:t>
      </w:r>
    </w:p>
    <w:sectPr w:rsidR="00B1122A" w:rsidRPr="00B1122A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6B0C" w14:textId="77777777" w:rsidR="002640A5" w:rsidRDefault="002640A5" w:rsidP="00F86D2B">
      <w:r>
        <w:separator/>
      </w:r>
    </w:p>
  </w:endnote>
  <w:endnote w:type="continuationSeparator" w:id="0">
    <w:p w14:paraId="6C047FB2" w14:textId="77777777" w:rsidR="002640A5" w:rsidRDefault="002640A5" w:rsidP="00F86D2B">
      <w:r>
        <w:continuationSeparator/>
      </w:r>
    </w:p>
  </w:endnote>
  <w:endnote w:type="continuationNotice" w:id="1">
    <w:p w14:paraId="3D05D96F" w14:textId="77777777" w:rsidR="002640A5" w:rsidRDefault="00264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544461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00B1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11DF" w14:textId="77777777" w:rsidR="002640A5" w:rsidRDefault="002640A5" w:rsidP="00F86D2B">
      <w:r>
        <w:separator/>
      </w:r>
    </w:p>
  </w:footnote>
  <w:footnote w:type="continuationSeparator" w:id="0">
    <w:p w14:paraId="676F2768" w14:textId="77777777" w:rsidR="002640A5" w:rsidRDefault="002640A5" w:rsidP="00F86D2B">
      <w:r>
        <w:continuationSeparator/>
      </w:r>
    </w:p>
  </w:footnote>
  <w:footnote w:type="continuationNotice" w:id="1">
    <w:p w14:paraId="1175B8B7" w14:textId="77777777" w:rsidR="002640A5" w:rsidRDefault="00264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65FB5E3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580"/>
    <w:multiLevelType w:val="hybridMultilevel"/>
    <w:tmpl w:val="04D8457A"/>
    <w:lvl w:ilvl="0" w:tplc="54B2AE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5CB"/>
    <w:multiLevelType w:val="hybridMultilevel"/>
    <w:tmpl w:val="42C86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510F5"/>
    <w:multiLevelType w:val="hybridMultilevel"/>
    <w:tmpl w:val="1ED65934"/>
    <w:lvl w:ilvl="0" w:tplc="8786A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47E6"/>
    <w:rsid w:val="000557AC"/>
    <w:rsid w:val="00063B9D"/>
    <w:rsid w:val="0009064B"/>
    <w:rsid w:val="000A6CE7"/>
    <w:rsid w:val="000C16AE"/>
    <w:rsid w:val="000D4AE9"/>
    <w:rsid w:val="000E221E"/>
    <w:rsid w:val="000E31D6"/>
    <w:rsid w:val="0012428F"/>
    <w:rsid w:val="0014043C"/>
    <w:rsid w:val="0014731B"/>
    <w:rsid w:val="001D76AD"/>
    <w:rsid w:val="001F62F3"/>
    <w:rsid w:val="00203587"/>
    <w:rsid w:val="00235167"/>
    <w:rsid w:val="002640A5"/>
    <w:rsid w:val="002747CF"/>
    <w:rsid w:val="002A5F7A"/>
    <w:rsid w:val="002D11A5"/>
    <w:rsid w:val="00300FB1"/>
    <w:rsid w:val="00306C82"/>
    <w:rsid w:val="00325CFE"/>
    <w:rsid w:val="003B0E2E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5100D5"/>
    <w:rsid w:val="00524EA9"/>
    <w:rsid w:val="00525E2C"/>
    <w:rsid w:val="00527817"/>
    <w:rsid w:val="00534797"/>
    <w:rsid w:val="00544461"/>
    <w:rsid w:val="005568CA"/>
    <w:rsid w:val="00566D9C"/>
    <w:rsid w:val="00577D95"/>
    <w:rsid w:val="0059609D"/>
    <w:rsid w:val="005E6FA2"/>
    <w:rsid w:val="00633BFD"/>
    <w:rsid w:val="006511D6"/>
    <w:rsid w:val="00654BE4"/>
    <w:rsid w:val="0068302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C8A"/>
    <w:rsid w:val="007D545A"/>
    <w:rsid w:val="00803E15"/>
    <w:rsid w:val="0081533B"/>
    <w:rsid w:val="00846985"/>
    <w:rsid w:val="00874988"/>
    <w:rsid w:val="00891290"/>
    <w:rsid w:val="00891410"/>
    <w:rsid w:val="008D0184"/>
    <w:rsid w:val="008E1433"/>
    <w:rsid w:val="008E3926"/>
    <w:rsid w:val="008E7852"/>
    <w:rsid w:val="008F7BB2"/>
    <w:rsid w:val="00902436"/>
    <w:rsid w:val="0090646F"/>
    <w:rsid w:val="00910710"/>
    <w:rsid w:val="00923C6F"/>
    <w:rsid w:val="009407F5"/>
    <w:rsid w:val="00950AF4"/>
    <w:rsid w:val="009E6C35"/>
    <w:rsid w:val="009E754B"/>
    <w:rsid w:val="00A15FA8"/>
    <w:rsid w:val="00A17202"/>
    <w:rsid w:val="00A253B9"/>
    <w:rsid w:val="00A3384C"/>
    <w:rsid w:val="00A36CF5"/>
    <w:rsid w:val="00A73089"/>
    <w:rsid w:val="00A90DC6"/>
    <w:rsid w:val="00AB796A"/>
    <w:rsid w:val="00AD21FC"/>
    <w:rsid w:val="00AD5870"/>
    <w:rsid w:val="00AE05B9"/>
    <w:rsid w:val="00B03AD3"/>
    <w:rsid w:val="00B1122A"/>
    <w:rsid w:val="00B80E72"/>
    <w:rsid w:val="00B84D31"/>
    <w:rsid w:val="00B906E9"/>
    <w:rsid w:val="00BA1317"/>
    <w:rsid w:val="00BA3F4C"/>
    <w:rsid w:val="00BB2CCD"/>
    <w:rsid w:val="00BB5DCD"/>
    <w:rsid w:val="00BE2D87"/>
    <w:rsid w:val="00C01C97"/>
    <w:rsid w:val="00C03527"/>
    <w:rsid w:val="00C11D2B"/>
    <w:rsid w:val="00C12F24"/>
    <w:rsid w:val="00C2336E"/>
    <w:rsid w:val="00C67037"/>
    <w:rsid w:val="00C96BDD"/>
    <w:rsid w:val="00CA6B2B"/>
    <w:rsid w:val="00D2465B"/>
    <w:rsid w:val="00D32C3D"/>
    <w:rsid w:val="00D33013"/>
    <w:rsid w:val="00D431C2"/>
    <w:rsid w:val="00D43B83"/>
    <w:rsid w:val="00D96164"/>
    <w:rsid w:val="00DB53FE"/>
    <w:rsid w:val="00DC7338"/>
    <w:rsid w:val="00E13B79"/>
    <w:rsid w:val="00E210F6"/>
    <w:rsid w:val="00E43B8A"/>
    <w:rsid w:val="00E62715"/>
    <w:rsid w:val="00E95AA9"/>
    <w:rsid w:val="00EA7BDE"/>
    <w:rsid w:val="00ED18F1"/>
    <w:rsid w:val="00EE4925"/>
    <w:rsid w:val="00F053EC"/>
    <w:rsid w:val="00F10DFF"/>
    <w:rsid w:val="00F220FC"/>
    <w:rsid w:val="00F22AD4"/>
    <w:rsid w:val="00F7696E"/>
    <w:rsid w:val="00F86D2B"/>
    <w:rsid w:val="00F90F6B"/>
    <w:rsid w:val="00F92C5E"/>
    <w:rsid w:val="00F947AC"/>
    <w:rsid w:val="00F95D8D"/>
    <w:rsid w:val="00F967DF"/>
    <w:rsid w:val="00FA4822"/>
    <w:rsid w:val="00FE5320"/>
    <w:rsid w:val="00FF3BE2"/>
    <w:rsid w:val="00FF7303"/>
    <w:rsid w:val="0CDE3617"/>
    <w:rsid w:val="1C1F3A18"/>
    <w:rsid w:val="2407BBC1"/>
    <w:rsid w:val="3340129D"/>
    <w:rsid w:val="4D7C6706"/>
    <w:rsid w:val="4FFDAEE0"/>
    <w:rsid w:val="52521B09"/>
    <w:rsid w:val="5770E9BA"/>
    <w:rsid w:val="65B14D97"/>
    <w:rsid w:val="71DBB02C"/>
    <w:rsid w:val="73241326"/>
    <w:rsid w:val="732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8D208C"/>
  <w14:defaultImageDpi w14:val="300"/>
  <w15:docId w15:val="{DA3AF7F7-D0E6-4FC6-AE47-FEE128B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0D4A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4A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923C6F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.ca.gov/solicitations/2022-11/gfo-22-503-gas-pipeline-safety-and-integrity-research-support-decarboniz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oehha.ca.gov%2Fcalenviroscreen%2Fsb535&amp;data=05%7C01%7C%7Cfe4f6bad102a408fb0be08daf5918dcc%7Cac3a124413f44ef68d1bbaa27148194e%7C0%7C0%7C638092302739240542%7CUnknown%7CTWFpbGZsb3d8eyJWIjoiMC4wLjAwMDAiLCJQIjoiV2luMzIiLCJBTiI6Ik1haWwiLCJXVCI6Mn0%3D%7C3000%7C%7C%7C&amp;sdata=9kQLJ%2FsE%2BOrvOVHGt4UOVxRWUTInzX7fEiL6uS7Vex0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038410C6DC543B8D3FBA4ACC89650" ma:contentTypeVersion="14" ma:contentTypeDescription="Create a new document." ma:contentTypeScope="" ma:versionID="01c30df3dad3e96e863b01c3370f6c95">
  <xsd:schema xmlns:xsd="http://www.w3.org/2001/XMLSchema" xmlns:xs="http://www.w3.org/2001/XMLSchema" xmlns:p="http://schemas.microsoft.com/office/2006/metadata/properties" xmlns:ns1="http://schemas.microsoft.com/sharepoint/v3" xmlns:ns3="35712952-2fc6-4f4f-a924-f4d6513303be" xmlns:ns4="5bfaec93-3092-4921-8232-75eb7714f09e" targetNamespace="http://schemas.microsoft.com/office/2006/metadata/properties" ma:root="true" ma:fieldsID="d5aead13551aa8d6a1b558545efb4ee2" ns1:_="" ns3:_="" ns4:_="">
    <xsd:import namespace="http://schemas.microsoft.com/sharepoint/v3"/>
    <xsd:import namespace="35712952-2fc6-4f4f-a924-f4d6513303be"/>
    <xsd:import namespace="5bfaec93-3092-4921-8232-75eb7714f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2952-2fc6-4f4f-a924-f4d65133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aec93-3092-4921-8232-75eb7714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BFA7-1A27-475C-B2CB-83F26BB4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712952-2fc6-4f4f-a924-f4d6513303be"/>
    <ds:schemaRef ds:uri="5bfaec93-3092-4921-8232-75eb7714f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schemas.openxmlformats.org/package/2006/metadata/core-properties"/>
    <ds:schemaRef ds:uri="35712952-2fc6-4f4f-a924-f4d6513303be"/>
    <ds:schemaRef ds:uri="http://www.w3.org/XML/1998/namespace"/>
    <ds:schemaRef ds:uri="http://schemas.microsoft.com/office/2006/metadata/properties"/>
    <ds:schemaRef ds:uri="http://schemas.microsoft.com/sharepoint/v3"/>
    <ds:schemaRef ds:uri="http://purl.org/dc/elements/1.1/"/>
    <ds:schemaRef ds:uri="5bfaec93-3092-4921-8232-75eb7714f09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1702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/>
  <dc:creator>Bailey Wobschall</dc:creator>
  <cp:keywords/>
  <dc:description/>
  <cp:lastModifiedBy>Johnson, Natalie@Energy</cp:lastModifiedBy>
  <cp:revision>3</cp:revision>
  <cp:lastPrinted>2019-04-08T16:38:00Z</cp:lastPrinted>
  <dcterms:created xsi:type="dcterms:W3CDTF">2023-01-18T19:07:00Z</dcterms:created>
  <dcterms:modified xsi:type="dcterms:W3CDTF">2023-01-18T21:10:00Z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0x010100E35038410C6DC543B8D3FBA4ACC89650</vt:lpwstr>
  </property>
  <property fmtid="{D5CDD505-2E9C-101B-9397-08002B2CF9AE}" pid="3" name="MediaServiceImageTags">
    <vt:lpwstr/>
  </property>
  <property fmtid="{D5CDD505-2E9C-101B-9397-08002B2CF9AE}" pid="4" name="GrammarlyDocumentId">
    <vt:lpwstr>739f616c6d6b6fa6b5f146272ea815f5f1d8dcea3527f2e7c2c87b15270643f3</vt:lpwstr>
  </property>
</Properties>
</file>