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19EE" w14:textId="3DEE5C1E" w:rsidR="00B07018" w:rsidRPr="00B07018" w:rsidRDefault="00B07018" w:rsidP="00B07018">
      <w:pPr>
        <w:jc w:val="center"/>
        <w:rPr>
          <w:rStyle w:val="normaltextrun"/>
          <w:rFonts w:ascii="Arial" w:eastAsia="Times New Roman" w:hAnsi="Arial" w:cs="Arial"/>
          <w:b/>
          <w:bCs/>
        </w:rPr>
      </w:pPr>
      <w:r w:rsidRPr="00B07018">
        <w:rPr>
          <w:rStyle w:val="normaltextrun"/>
          <w:rFonts w:ascii="Arial" w:eastAsia="Times New Roman" w:hAnsi="Arial" w:cs="Arial"/>
          <w:b/>
          <w:bCs/>
        </w:rPr>
        <w:t>GFO-22-607</w:t>
      </w:r>
    </w:p>
    <w:p w14:paraId="6EBB880E" w14:textId="3899B20A" w:rsidR="00B07018" w:rsidRPr="00B07018" w:rsidRDefault="00B07018" w:rsidP="00B07018">
      <w:pPr>
        <w:jc w:val="center"/>
        <w:rPr>
          <w:rStyle w:val="normaltextrun"/>
          <w:rFonts w:ascii="Arial" w:eastAsia="Times New Roman" w:hAnsi="Arial" w:cs="Arial"/>
          <w:b/>
          <w:bCs/>
        </w:rPr>
      </w:pPr>
      <w:r w:rsidRPr="00B07018">
        <w:rPr>
          <w:rStyle w:val="normaltextrun"/>
          <w:rFonts w:ascii="Arial" w:eastAsia="Times New Roman" w:hAnsi="Arial" w:cs="Arial"/>
          <w:b/>
          <w:bCs/>
        </w:rPr>
        <w:t>Light-Duty Vehicle and Multi-Use</w:t>
      </w:r>
      <w:r w:rsidR="00642878">
        <w:rPr>
          <w:rStyle w:val="normaltextrun"/>
          <w:rFonts w:ascii="Arial" w:eastAsia="Times New Roman" w:hAnsi="Arial" w:cs="Arial"/>
          <w:b/>
          <w:bCs/>
        </w:rPr>
        <w:t xml:space="preserve"> </w:t>
      </w:r>
      <w:r w:rsidRPr="00B07018">
        <w:rPr>
          <w:rStyle w:val="normaltextrun"/>
          <w:rFonts w:ascii="Arial" w:eastAsia="Times New Roman" w:hAnsi="Arial" w:cs="Arial"/>
          <w:b/>
          <w:bCs/>
        </w:rPr>
        <w:t>Hydrogen Refueling Infrastructure</w:t>
      </w:r>
    </w:p>
    <w:p w14:paraId="07E49D2C" w14:textId="2CB20197" w:rsidR="00B07018" w:rsidRPr="00B07018" w:rsidRDefault="00B07018" w:rsidP="00B07018">
      <w:pPr>
        <w:jc w:val="center"/>
        <w:rPr>
          <w:rStyle w:val="normaltextrun"/>
          <w:rFonts w:ascii="Arial" w:eastAsia="Times New Roman" w:hAnsi="Arial" w:cs="Arial"/>
          <w:b/>
          <w:bCs/>
        </w:rPr>
      </w:pPr>
      <w:r w:rsidRPr="23B7334D">
        <w:rPr>
          <w:rStyle w:val="normaltextrun"/>
          <w:rFonts w:ascii="Arial" w:eastAsia="Times New Roman" w:hAnsi="Arial" w:cs="Arial"/>
          <w:b/>
          <w:bCs/>
        </w:rPr>
        <w:t xml:space="preserve">Addendum </w:t>
      </w:r>
      <w:r w:rsidR="293A9F64" w:rsidRPr="23B7334D">
        <w:rPr>
          <w:rStyle w:val="normaltextrun"/>
          <w:rFonts w:ascii="Arial" w:eastAsia="Times New Roman" w:hAnsi="Arial" w:cs="Arial"/>
          <w:b/>
          <w:bCs/>
        </w:rPr>
        <w:t>3</w:t>
      </w:r>
    </w:p>
    <w:p w14:paraId="6A0FF708" w14:textId="61B96C76" w:rsidR="00B07018" w:rsidRPr="00B07018" w:rsidRDefault="390DC060" w:rsidP="00B07018">
      <w:pPr>
        <w:jc w:val="center"/>
        <w:rPr>
          <w:rStyle w:val="normaltextrun"/>
          <w:rFonts w:ascii="Arial" w:eastAsia="Times New Roman" w:hAnsi="Arial" w:cs="Arial"/>
          <w:b/>
          <w:bCs/>
        </w:rPr>
      </w:pPr>
      <w:r w:rsidRPr="75C59906">
        <w:rPr>
          <w:rStyle w:val="normaltextrun"/>
          <w:rFonts w:ascii="Arial" w:eastAsia="Times New Roman" w:hAnsi="Arial" w:cs="Arial"/>
          <w:b/>
          <w:bCs/>
        </w:rPr>
        <w:t>January 24, 2023</w:t>
      </w:r>
    </w:p>
    <w:p w14:paraId="0184D529" w14:textId="77777777" w:rsidR="00B07018" w:rsidRPr="00B07018" w:rsidRDefault="00B07018" w:rsidP="00B07018">
      <w:pPr>
        <w:rPr>
          <w:rStyle w:val="normaltextrun"/>
          <w:rFonts w:ascii="Arial" w:eastAsia="Times New Roman" w:hAnsi="Arial" w:cs="Arial"/>
        </w:rPr>
      </w:pPr>
    </w:p>
    <w:p w14:paraId="7E9B7A16" w14:textId="640FC67A" w:rsidR="00B07018" w:rsidRPr="00B07018" w:rsidRDefault="00B07018" w:rsidP="1B064A67">
      <w:pPr>
        <w:rPr>
          <w:rStyle w:val="normaltextrun"/>
          <w:rFonts w:ascii="Arial" w:eastAsia="Times New Roman" w:hAnsi="Arial" w:cs="Arial"/>
        </w:rPr>
      </w:pPr>
      <w:r w:rsidRPr="23B7334D">
        <w:rPr>
          <w:rStyle w:val="normaltextrun"/>
          <w:rFonts w:ascii="Arial" w:eastAsia="Times New Roman" w:hAnsi="Arial" w:cs="Arial"/>
        </w:rPr>
        <w:t xml:space="preserve">The purpose of this addendum </w:t>
      </w:r>
      <w:r w:rsidR="73617F31" w:rsidRPr="23B7334D">
        <w:rPr>
          <w:rStyle w:val="normaltextrun"/>
          <w:rFonts w:ascii="Arial" w:eastAsia="Times New Roman" w:hAnsi="Arial" w:cs="Arial"/>
        </w:rPr>
        <w:t>to GFO-22-607 is to amend</w:t>
      </w:r>
      <w:r w:rsidR="226C40CF" w:rsidRPr="23B7334D">
        <w:rPr>
          <w:rStyle w:val="normaltextrun"/>
          <w:rFonts w:ascii="Arial" w:eastAsia="Times New Roman" w:hAnsi="Arial" w:cs="Arial"/>
        </w:rPr>
        <w:t xml:space="preserve"> the Questions and Answers</w:t>
      </w:r>
      <w:r w:rsidR="309650FC" w:rsidRPr="23B7334D">
        <w:rPr>
          <w:rStyle w:val="normaltextrun"/>
          <w:rFonts w:ascii="Arial" w:eastAsia="Times New Roman" w:hAnsi="Arial" w:cs="Arial"/>
        </w:rPr>
        <w:t xml:space="preserve"> document</w:t>
      </w:r>
      <w:r w:rsidR="226C40CF" w:rsidRPr="23B7334D">
        <w:rPr>
          <w:rStyle w:val="normaltextrun"/>
          <w:rFonts w:ascii="Arial" w:eastAsia="Times New Roman" w:hAnsi="Arial" w:cs="Arial"/>
        </w:rPr>
        <w:t xml:space="preserve"> </w:t>
      </w:r>
      <w:r w:rsidR="5D0193AF" w:rsidRPr="23B7334D">
        <w:rPr>
          <w:rStyle w:val="normaltextrun"/>
          <w:rFonts w:ascii="Arial" w:eastAsia="Times New Roman" w:hAnsi="Arial" w:cs="Arial"/>
        </w:rPr>
        <w:t>t</w:t>
      </w:r>
      <w:r w:rsidR="226C40CF" w:rsidRPr="23B7334D">
        <w:rPr>
          <w:rStyle w:val="normaltextrun"/>
          <w:rFonts w:ascii="Arial" w:eastAsia="Times New Roman" w:hAnsi="Arial" w:cs="Arial"/>
        </w:rPr>
        <w:t xml:space="preserve">o add answers to questions submitted after the question submission deadline. These additions are </w:t>
      </w:r>
      <w:r w:rsidR="71D0414F" w:rsidRPr="23B7334D">
        <w:rPr>
          <w:rStyle w:val="normaltextrun"/>
          <w:rFonts w:ascii="Arial" w:eastAsia="Times New Roman" w:hAnsi="Arial" w:cs="Arial"/>
        </w:rPr>
        <w:t>Q&amp;A 23, 24, 25, 26</w:t>
      </w:r>
      <w:r w:rsidR="00BA2C76" w:rsidRPr="23B7334D">
        <w:rPr>
          <w:rStyle w:val="normaltextrun"/>
          <w:rFonts w:ascii="Arial" w:eastAsia="Times New Roman" w:hAnsi="Arial" w:cs="Arial"/>
        </w:rPr>
        <w:t>, and 27</w:t>
      </w:r>
      <w:r w:rsidR="226C40CF" w:rsidRPr="23B7334D">
        <w:rPr>
          <w:rStyle w:val="normaltextrun"/>
          <w:rFonts w:ascii="Arial" w:eastAsia="Times New Roman" w:hAnsi="Arial" w:cs="Arial"/>
        </w:rPr>
        <w:t xml:space="preserve">. </w:t>
      </w:r>
      <w:r w:rsidRPr="23B7334D">
        <w:rPr>
          <w:rStyle w:val="normaltextrun"/>
          <w:rFonts w:ascii="Arial" w:eastAsia="Times New Roman" w:hAnsi="Arial" w:cs="Arial"/>
        </w:rPr>
        <w:t>Added language appears in bold underline</w:t>
      </w:r>
      <w:r w:rsidR="5BBB3517" w:rsidRPr="23B7334D">
        <w:rPr>
          <w:rStyle w:val="normaltextrun"/>
          <w:rFonts w:ascii="Arial" w:eastAsia="Times New Roman" w:hAnsi="Arial" w:cs="Arial"/>
        </w:rPr>
        <w:t>,</w:t>
      </w:r>
      <w:r w:rsidR="5BBB3517" w:rsidRPr="23B7334D">
        <w:rPr>
          <w:rStyle w:val="normaltextrun"/>
          <w:rFonts w:ascii="Arial" w:eastAsia="Arial" w:hAnsi="Arial" w:cs="Arial"/>
          <w:color w:val="000000" w:themeColor="text1"/>
        </w:rPr>
        <w:t xml:space="preserve"> and deleted language appears in strikethrough and within square brackets</w:t>
      </w:r>
      <w:r w:rsidRPr="23B7334D">
        <w:rPr>
          <w:rStyle w:val="normaltextrun"/>
          <w:rFonts w:ascii="Arial" w:eastAsia="Times New Roman" w:hAnsi="Arial" w:cs="Arial"/>
        </w:rPr>
        <w:t>.</w:t>
      </w:r>
    </w:p>
    <w:p w14:paraId="2DA79DE5" w14:textId="77777777" w:rsidR="00B07018" w:rsidRPr="00B07018" w:rsidRDefault="00B07018" w:rsidP="00B07018">
      <w:pPr>
        <w:rPr>
          <w:rStyle w:val="normaltextrun"/>
          <w:rFonts w:ascii="Arial" w:eastAsia="Times New Roman" w:hAnsi="Arial" w:cs="Arial"/>
        </w:rPr>
      </w:pPr>
    </w:p>
    <w:p w14:paraId="3F6C4B44" w14:textId="2FFB4553" w:rsidR="00B07018" w:rsidRPr="00723118" w:rsidRDefault="1BFB2A48" w:rsidP="75C59906">
      <w:pPr>
        <w:pStyle w:val="paragraph"/>
        <w:spacing w:before="0" w:beforeAutospacing="0" w:after="0" w:afterAutospacing="0" w:line="259" w:lineRule="auto"/>
        <w:rPr>
          <w:rStyle w:val="normaltextrun"/>
          <w:rFonts w:ascii="Arial" w:hAnsi="Arial" w:cs="Arial"/>
          <w:b/>
          <w:bCs/>
        </w:rPr>
      </w:pPr>
      <w:r w:rsidRPr="75C59906">
        <w:rPr>
          <w:rStyle w:val="normaltextrun"/>
          <w:rFonts w:ascii="Arial" w:hAnsi="Arial" w:cs="Arial"/>
          <w:b/>
          <w:bCs/>
        </w:rPr>
        <w:t>Questions and Answers</w:t>
      </w:r>
      <w:r w:rsidR="33A15526" w:rsidRPr="75C59906">
        <w:rPr>
          <w:rStyle w:val="normaltextrun"/>
          <w:rFonts w:ascii="Arial" w:hAnsi="Arial" w:cs="Arial"/>
          <w:b/>
          <w:bCs/>
        </w:rPr>
        <w:t xml:space="preserve">, </w:t>
      </w:r>
      <w:r w:rsidR="00B07018" w:rsidRPr="75C59906">
        <w:rPr>
          <w:rStyle w:val="normaltextrun"/>
          <w:rFonts w:ascii="Arial" w:hAnsi="Arial" w:cs="Arial"/>
          <w:b/>
          <w:bCs/>
        </w:rPr>
        <w:t>Page</w:t>
      </w:r>
      <w:r w:rsidR="544EE28D" w:rsidRPr="75C59906">
        <w:rPr>
          <w:rStyle w:val="normaltextrun"/>
          <w:rFonts w:ascii="Arial" w:hAnsi="Arial" w:cs="Arial"/>
          <w:b/>
          <w:bCs/>
        </w:rPr>
        <w:t>s 7</w:t>
      </w:r>
      <w:r w:rsidR="1DCA0368" w:rsidRPr="75C59906">
        <w:rPr>
          <w:rStyle w:val="normaltextrun"/>
          <w:rFonts w:ascii="Arial" w:hAnsi="Arial" w:cs="Arial"/>
          <w:b/>
          <w:bCs/>
        </w:rPr>
        <w:t>–</w:t>
      </w:r>
      <w:r w:rsidR="00BA2C76">
        <w:rPr>
          <w:rStyle w:val="normaltextrun"/>
          <w:rFonts w:ascii="Arial" w:hAnsi="Arial" w:cs="Arial"/>
          <w:b/>
          <w:bCs/>
        </w:rPr>
        <w:t>10</w:t>
      </w:r>
    </w:p>
    <w:p w14:paraId="5D6A98EB" w14:textId="70265FA6" w:rsidR="75C59906" w:rsidRDefault="75C59906" w:rsidP="75C59906">
      <w:pPr>
        <w:pStyle w:val="paragraph"/>
        <w:spacing w:before="0" w:beforeAutospacing="0" w:after="0" w:afterAutospacing="0" w:line="259" w:lineRule="auto"/>
        <w:rPr>
          <w:rStyle w:val="normaltextrun"/>
          <w:rFonts w:ascii="Arial" w:hAnsi="Arial" w:cs="Arial"/>
          <w:b/>
          <w:bCs/>
        </w:rPr>
      </w:pPr>
    </w:p>
    <w:p w14:paraId="61374264" w14:textId="7B5D07B2" w:rsidR="00DC119D" w:rsidRDefault="00DC119D" w:rsidP="75C59906">
      <w:pPr>
        <w:ind w:left="720" w:hanging="720"/>
        <w:rPr>
          <w:rFonts w:ascii="Arial" w:eastAsia="Arial" w:hAnsi="Arial" w:cs="Arial"/>
          <w:b/>
          <w:bCs/>
          <w:u w:val="single"/>
        </w:rPr>
      </w:pPr>
      <w:r w:rsidRPr="75C59906">
        <w:rPr>
          <w:rFonts w:ascii="Arial" w:eastAsia="Arial" w:hAnsi="Arial" w:cs="Arial"/>
          <w:b/>
          <w:bCs/>
          <w:u w:val="single"/>
        </w:rPr>
        <w:t>Q23.</w:t>
      </w:r>
      <w:r>
        <w:tab/>
      </w:r>
      <w:r w:rsidRPr="75C59906">
        <w:rPr>
          <w:rFonts w:ascii="Arial" w:eastAsia="Arial" w:hAnsi="Arial" w:cs="Arial"/>
          <w:b/>
          <w:bCs/>
          <w:u w:val="single"/>
        </w:rPr>
        <w:t>Is property in escrow adequate documentation of site control for Critical Milestone #2?</w:t>
      </w:r>
    </w:p>
    <w:p w14:paraId="03BE0B82" w14:textId="5ABDBAE0" w:rsidR="00DC119D" w:rsidRDefault="00DC119D" w:rsidP="75C59906">
      <w:pPr>
        <w:ind w:left="720" w:hanging="720"/>
        <w:rPr>
          <w:rFonts w:ascii="Arial" w:eastAsia="Arial" w:hAnsi="Arial" w:cs="Arial"/>
          <w:b/>
          <w:bCs/>
        </w:rPr>
      </w:pPr>
    </w:p>
    <w:p w14:paraId="68366889" w14:textId="57A6E8EE" w:rsidR="00DC119D" w:rsidRDefault="00DC119D" w:rsidP="75C59906">
      <w:pPr>
        <w:ind w:left="720" w:hanging="720"/>
        <w:rPr>
          <w:rFonts w:ascii="Arial" w:eastAsia="Arial" w:hAnsi="Arial" w:cs="Arial"/>
          <w:b/>
          <w:bCs/>
          <w:u w:val="single"/>
        </w:rPr>
      </w:pPr>
      <w:r w:rsidRPr="75C59906">
        <w:rPr>
          <w:rFonts w:ascii="Arial" w:eastAsia="Arial" w:hAnsi="Arial" w:cs="Arial"/>
          <w:b/>
          <w:bCs/>
          <w:u w:val="single"/>
        </w:rPr>
        <w:t>A23.</w:t>
      </w:r>
      <w:r>
        <w:tab/>
      </w:r>
      <w:r w:rsidRPr="75C59906">
        <w:rPr>
          <w:rFonts w:ascii="Arial" w:eastAsia="Arial" w:hAnsi="Arial" w:cs="Arial"/>
          <w:b/>
          <w:bCs/>
          <w:u w:val="single"/>
        </w:rPr>
        <w:t>Yes. If an Applicant is proposing to purchase the property on which it proposes to build a station instead of leasing the property, then having the property in escrow to purchase the property is adequate documentation of site control for Critical Milestone #2.</w:t>
      </w:r>
    </w:p>
    <w:p w14:paraId="2C23C71F" w14:textId="3BB71079" w:rsidR="00DC119D" w:rsidRDefault="00DC119D" w:rsidP="75C59906">
      <w:pPr>
        <w:ind w:left="720" w:hanging="720"/>
        <w:rPr>
          <w:rFonts w:ascii="Arial" w:eastAsia="Arial" w:hAnsi="Arial" w:cs="Arial"/>
          <w:b/>
          <w:bCs/>
        </w:rPr>
      </w:pPr>
    </w:p>
    <w:p w14:paraId="75F0A741" w14:textId="66FF087F" w:rsidR="00DC119D" w:rsidRDefault="00DC119D" w:rsidP="75C59906">
      <w:pPr>
        <w:ind w:left="720" w:hanging="720"/>
        <w:rPr>
          <w:rFonts w:ascii="Arial" w:eastAsia="Arial" w:hAnsi="Arial" w:cs="Arial"/>
          <w:b/>
          <w:bCs/>
          <w:u w:val="single"/>
        </w:rPr>
      </w:pPr>
      <w:r w:rsidRPr="75C59906">
        <w:rPr>
          <w:rFonts w:ascii="Arial" w:eastAsia="Arial" w:hAnsi="Arial" w:cs="Arial"/>
          <w:b/>
          <w:bCs/>
          <w:u w:val="single"/>
        </w:rPr>
        <w:t>Q24.</w:t>
      </w:r>
      <w:r>
        <w:tab/>
      </w:r>
      <w:r w:rsidRPr="75C59906">
        <w:rPr>
          <w:rFonts w:ascii="Arial" w:eastAsia="Arial" w:hAnsi="Arial" w:cs="Arial"/>
          <w:b/>
          <w:bCs/>
          <w:u w:val="single"/>
        </w:rPr>
        <w:t>Is submitting multiple sites for the Multi-Use Hydrogen Refueling Infrastructure Competition allowed?</w:t>
      </w:r>
    </w:p>
    <w:p w14:paraId="659F4914" w14:textId="78FFB76A" w:rsidR="00DC119D" w:rsidRDefault="00DC119D" w:rsidP="75C59906">
      <w:pPr>
        <w:ind w:left="720" w:hanging="720"/>
        <w:rPr>
          <w:rFonts w:ascii="Arial" w:eastAsia="Arial" w:hAnsi="Arial" w:cs="Arial"/>
          <w:b/>
          <w:bCs/>
        </w:rPr>
      </w:pPr>
    </w:p>
    <w:p w14:paraId="56F588CF" w14:textId="7ABE123C" w:rsidR="00DC119D" w:rsidRDefault="00DC119D" w:rsidP="75C59906">
      <w:pPr>
        <w:ind w:left="720" w:hanging="720"/>
        <w:rPr>
          <w:rFonts w:ascii="Arial" w:eastAsia="Arial" w:hAnsi="Arial" w:cs="Arial"/>
          <w:b/>
          <w:bCs/>
          <w:u w:val="single"/>
        </w:rPr>
      </w:pPr>
      <w:r w:rsidRPr="75C59906">
        <w:rPr>
          <w:rFonts w:ascii="Arial" w:eastAsia="Arial" w:hAnsi="Arial" w:cs="Arial"/>
          <w:b/>
          <w:bCs/>
          <w:u w:val="single"/>
        </w:rPr>
        <w:t>A24.</w:t>
      </w:r>
      <w:r>
        <w:tab/>
      </w:r>
      <w:r w:rsidRPr="75C59906">
        <w:rPr>
          <w:rFonts w:ascii="Arial" w:eastAsia="Arial" w:hAnsi="Arial" w:cs="Arial"/>
          <w:b/>
          <w:bCs/>
          <w:u w:val="single"/>
        </w:rPr>
        <w:t>Yes. Solicitation Manual Section I.H.2. says “Projects may be composed of one or more multi-use hydrogen refueling stations that serve multiple uses … The per station maximum award amount for a multi-use hydrogen refueling station is $3 million.” As indicated in Solicitation Manual Section I.I., an Applicant may only submit one application to the Multi-Use Hydrogen Refueling Infrastructure Competition. Therefore, an Applicant’s one application (one project) to the Multi-Use Hydrogen Refueling Infrastructure Competition could include one or more multi-use hydrogen refueling stations and have a maximum award of $3 million. An entity can submit one application and also be a subrecipient or vendor to another Applicant’s application.</w:t>
      </w:r>
    </w:p>
    <w:p w14:paraId="3F0CC2B4" w14:textId="052C45F6" w:rsidR="00DC119D" w:rsidRDefault="00DC119D" w:rsidP="75C59906">
      <w:pPr>
        <w:ind w:left="720" w:hanging="720"/>
        <w:rPr>
          <w:rFonts w:ascii="Arial" w:eastAsia="Arial" w:hAnsi="Arial" w:cs="Arial"/>
        </w:rPr>
      </w:pPr>
    </w:p>
    <w:p w14:paraId="7607D861" w14:textId="1130D4A2" w:rsidR="00DC119D" w:rsidRDefault="00DC119D" w:rsidP="75C59906">
      <w:pPr>
        <w:ind w:left="720" w:hanging="720"/>
        <w:rPr>
          <w:rFonts w:ascii="Arial" w:eastAsia="Arial" w:hAnsi="Arial" w:cs="Arial"/>
          <w:b/>
          <w:bCs/>
          <w:u w:val="single"/>
        </w:rPr>
      </w:pPr>
      <w:r w:rsidRPr="75C59906">
        <w:rPr>
          <w:rFonts w:ascii="Arial" w:eastAsia="Arial" w:hAnsi="Arial" w:cs="Arial"/>
          <w:b/>
          <w:bCs/>
          <w:u w:val="single"/>
        </w:rPr>
        <w:t>Q25.</w:t>
      </w:r>
      <w:r>
        <w:tab/>
      </w:r>
      <w:r w:rsidRPr="75C59906">
        <w:rPr>
          <w:rFonts w:ascii="Arial" w:eastAsia="Arial" w:hAnsi="Arial" w:cs="Arial"/>
          <w:b/>
          <w:bCs/>
          <w:u w:val="single"/>
        </w:rPr>
        <w:t xml:space="preserve">Solicitation Manual Section I.H.1. states that Light-Duty Vehicle Hydrogen Refueling Infrastructure Competition projects may be composed of four or more fueling stations, with the per station maximum award at $1 million. Does this mean we need 4 stations and 4 applications in order to achieve the minimum award of $4 </w:t>
      </w:r>
      <w:r w:rsidRPr="75C59906">
        <w:rPr>
          <w:rFonts w:ascii="Arial" w:eastAsia="Arial" w:hAnsi="Arial" w:cs="Arial"/>
          <w:b/>
          <w:bCs/>
          <w:u w:val="single"/>
        </w:rPr>
        <w:lastRenderedPageBreak/>
        <w:t xml:space="preserve">million, or does this mean we are able to apply once for 4 stations to achieve the minimum award of $4 million under one project? </w:t>
      </w:r>
    </w:p>
    <w:p w14:paraId="4D4E4E2C" w14:textId="0E84A9F0" w:rsidR="00DC119D" w:rsidRDefault="00DC119D" w:rsidP="75C59906">
      <w:pPr>
        <w:ind w:left="720" w:hanging="720"/>
        <w:rPr>
          <w:rFonts w:ascii="Arial" w:eastAsia="Arial" w:hAnsi="Arial" w:cs="Arial"/>
          <w:b/>
          <w:bCs/>
        </w:rPr>
      </w:pPr>
    </w:p>
    <w:p w14:paraId="776624F9" w14:textId="3AF9BDDD" w:rsidR="00DC119D" w:rsidRDefault="00DC119D" w:rsidP="75C59906">
      <w:pPr>
        <w:ind w:left="720" w:hanging="720"/>
        <w:rPr>
          <w:rFonts w:ascii="Arial" w:eastAsia="Arial" w:hAnsi="Arial" w:cs="Arial"/>
          <w:b/>
          <w:bCs/>
          <w:u w:val="single"/>
        </w:rPr>
      </w:pPr>
      <w:r w:rsidRPr="75C59906">
        <w:rPr>
          <w:rFonts w:ascii="Arial" w:eastAsia="Arial" w:hAnsi="Arial" w:cs="Arial"/>
          <w:b/>
          <w:bCs/>
          <w:u w:val="single"/>
        </w:rPr>
        <w:t>A25.</w:t>
      </w:r>
      <w:r>
        <w:tab/>
      </w:r>
      <w:r w:rsidRPr="75C59906">
        <w:rPr>
          <w:rFonts w:ascii="Arial" w:eastAsia="Arial" w:hAnsi="Arial" w:cs="Arial"/>
          <w:b/>
          <w:bCs/>
          <w:u w:val="single"/>
        </w:rPr>
        <w:t>The latter statement is correct, all of the stations to be included in an Applicant’s Light-Duty Vehicle Hydrogen Refueling Infrastructure Competition project should be submitted in a single application to that competition. See the answers to questions #8 and #12 in this document for related information. Reviewing Attachment 1a (GFO-22-607 Application Form for Light-Duty Vehicle Hydrogen Refueling Infrastructure Competition) and Attachment 1b (GFO-22-607 Application Form for Multi-Use Hydrogen Refueling Infrastructure Competition) should provide some clarity on how to organize stations within each competition.</w:t>
      </w:r>
    </w:p>
    <w:p w14:paraId="7B99EDC7" w14:textId="12781F2D" w:rsidR="00DC119D" w:rsidRDefault="00DC119D" w:rsidP="75C59906">
      <w:pPr>
        <w:ind w:left="720" w:hanging="720"/>
        <w:rPr>
          <w:rFonts w:ascii="Arial" w:eastAsia="Arial" w:hAnsi="Arial" w:cs="Arial"/>
          <w:b/>
          <w:bCs/>
        </w:rPr>
      </w:pPr>
    </w:p>
    <w:p w14:paraId="718E8291" w14:textId="1D13A81B" w:rsidR="00DC119D" w:rsidRDefault="00DC119D" w:rsidP="75C59906">
      <w:pPr>
        <w:ind w:left="720" w:hanging="720"/>
        <w:rPr>
          <w:rFonts w:ascii="Arial" w:eastAsia="Arial" w:hAnsi="Arial" w:cs="Arial"/>
          <w:b/>
          <w:bCs/>
          <w:u w:val="single"/>
        </w:rPr>
      </w:pPr>
      <w:r w:rsidRPr="75C59906">
        <w:rPr>
          <w:rFonts w:ascii="Arial" w:eastAsia="Arial" w:hAnsi="Arial" w:cs="Arial"/>
          <w:b/>
          <w:bCs/>
          <w:u w:val="single"/>
        </w:rPr>
        <w:t>Q26.</w:t>
      </w:r>
      <w:r>
        <w:tab/>
      </w:r>
      <w:r w:rsidRPr="75C59906">
        <w:rPr>
          <w:rFonts w:ascii="Arial" w:eastAsia="Arial" w:hAnsi="Arial" w:cs="Arial"/>
          <w:b/>
          <w:bCs/>
          <w:u w:val="single"/>
        </w:rPr>
        <w:t>Can we apply for one multi-use and one light-duty station at the same, or contiguous, sites?</w:t>
      </w:r>
    </w:p>
    <w:p w14:paraId="52C7CFCB" w14:textId="2550C3A9" w:rsidR="00DC119D" w:rsidRDefault="00DC119D" w:rsidP="75C59906">
      <w:pPr>
        <w:ind w:left="720" w:hanging="720"/>
        <w:rPr>
          <w:rFonts w:ascii="Arial" w:eastAsia="Arial" w:hAnsi="Arial" w:cs="Arial"/>
          <w:b/>
          <w:bCs/>
        </w:rPr>
      </w:pPr>
    </w:p>
    <w:p w14:paraId="2067A096" w14:textId="3FCA0156" w:rsidR="00DC119D" w:rsidRDefault="00DC119D" w:rsidP="75C59906">
      <w:pPr>
        <w:ind w:left="720" w:hanging="720"/>
        <w:rPr>
          <w:rFonts w:ascii="Arial" w:eastAsia="Arial" w:hAnsi="Arial" w:cs="Arial"/>
          <w:b/>
          <w:bCs/>
          <w:u w:val="single"/>
        </w:rPr>
      </w:pPr>
      <w:r w:rsidRPr="330AAD55">
        <w:rPr>
          <w:rFonts w:ascii="Arial" w:eastAsia="Arial" w:hAnsi="Arial" w:cs="Arial"/>
          <w:b/>
          <w:bCs/>
          <w:u w:val="single"/>
        </w:rPr>
        <w:t>A26.</w:t>
      </w:r>
      <w:r>
        <w:tab/>
      </w:r>
      <w:r w:rsidRPr="330AAD55">
        <w:rPr>
          <w:rFonts w:ascii="Arial" w:eastAsia="Arial" w:hAnsi="Arial" w:cs="Arial"/>
          <w:b/>
          <w:bCs/>
          <w:u w:val="single"/>
        </w:rPr>
        <w:t>A multi-use hydrogen refueling station shall serve multiple uses, including light-duty fuel cell electric vehicles in one public fueling area and fuel cell electric trucks or buses in a separate fueling area (Solicitation Manual Section I.H.2). A multi-use station must have a public light-duty vehicle fueling component, but that light-duty vehicle fueling component is considered part of the multi-use station, not a separate light-duty vehicle station. Therefore, there is no need to count that light-duty fueling component as a separate station under the Light-Duty Vehicle Hydrogen Refueling Infrastructure Competition unless an Applicant wants the CEC to evaluate the same location for both competitions, with the intention of deciding to build the station as either a light-duty station or a multi-use station based on the results of the solicitation.</w:t>
      </w:r>
    </w:p>
    <w:p w14:paraId="565DB366" w14:textId="550BFFDE" w:rsidR="330AAD55" w:rsidRPr="006A3758" w:rsidRDefault="330AAD55" w:rsidP="006A3758">
      <w:pPr>
        <w:ind w:left="720" w:hanging="720"/>
        <w:rPr>
          <w:rFonts w:ascii="Arial" w:eastAsia="Arial" w:hAnsi="Arial" w:cs="Arial"/>
          <w:b/>
          <w:bCs/>
          <w:u w:val="single"/>
        </w:rPr>
      </w:pPr>
    </w:p>
    <w:p w14:paraId="5E4B20E9" w14:textId="667D1867" w:rsidR="5A1DCF75" w:rsidRDefault="5A1DCF75" w:rsidP="006A3758">
      <w:pPr>
        <w:ind w:left="720" w:hanging="720"/>
        <w:rPr>
          <w:rFonts w:ascii="Arial" w:eastAsia="Arial" w:hAnsi="Arial" w:cs="Arial"/>
          <w:b/>
          <w:bCs/>
          <w:u w:val="single"/>
        </w:rPr>
      </w:pPr>
      <w:r w:rsidRPr="006A3758">
        <w:rPr>
          <w:rFonts w:ascii="Arial" w:eastAsia="Arial" w:hAnsi="Arial" w:cs="Arial"/>
          <w:b/>
          <w:bCs/>
          <w:u w:val="single"/>
        </w:rPr>
        <w:t>Q27.</w:t>
      </w:r>
      <w:r w:rsidRPr="006A3758">
        <w:rPr>
          <w:rFonts w:ascii="Arial" w:eastAsia="Arial" w:hAnsi="Arial" w:cs="Arial"/>
          <w:b/>
          <w:bCs/>
          <w:u w:val="single"/>
        </w:rPr>
        <w:tab/>
        <w:t>If we are proposing four light-duty stations, two of which would also be multi-use stations serving heavy-duty vehicles, is it possible to include within the four-station application the supplemental information and documentation for the heavy-duty equipment at two of the stations? In other words, do we have to prepare a separate application for the two multi-use stations, while also preparing an application for the four light-duty stations?</w:t>
      </w:r>
    </w:p>
    <w:p w14:paraId="0A9533E6" w14:textId="77777777" w:rsidR="006A3758" w:rsidRPr="006A3758" w:rsidRDefault="006A3758" w:rsidP="006A3758">
      <w:pPr>
        <w:ind w:left="720" w:hanging="720"/>
        <w:rPr>
          <w:rFonts w:ascii="Arial" w:eastAsia="Arial" w:hAnsi="Arial" w:cs="Arial"/>
          <w:b/>
          <w:bCs/>
          <w:u w:val="single"/>
        </w:rPr>
      </w:pPr>
    </w:p>
    <w:p w14:paraId="708D6BD8" w14:textId="4C710376" w:rsidR="001E7E10" w:rsidRPr="00A571DA" w:rsidRDefault="4D493FEF" w:rsidP="001E7E10">
      <w:pPr>
        <w:ind w:left="720" w:hanging="720"/>
        <w:rPr>
          <w:rFonts w:ascii="Arial" w:hAnsi="Arial" w:cs="Arial"/>
          <w:b/>
          <w:bCs/>
          <w:u w:val="single"/>
        </w:rPr>
      </w:pPr>
      <w:r w:rsidRPr="58747B3B">
        <w:rPr>
          <w:rFonts w:ascii="Arial" w:hAnsi="Arial" w:cs="Arial"/>
          <w:b/>
          <w:bCs/>
          <w:u w:val="single"/>
        </w:rPr>
        <w:t>A27.</w:t>
      </w:r>
      <w:r w:rsidR="001E7E10">
        <w:tab/>
      </w:r>
      <w:r w:rsidRPr="58747B3B">
        <w:rPr>
          <w:rFonts w:ascii="Arial" w:hAnsi="Arial" w:cs="Arial"/>
          <w:b/>
          <w:bCs/>
          <w:u w:val="single"/>
        </w:rPr>
        <w:t xml:space="preserve">Applicants should submit hydrogen refueling station projects to the competition under which they want to be considered for funding. From the information provided, and assuming all competition requirements are met, an Applicant could submit one application to the Multi-Use Hydrogen Refueling Infrastructure Competition that </w:t>
      </w:r>
      <w:r w:rsidRPr="58747B3B">
        <w:rPr>
          <w:rFonts w:ascii="Arial" w:hAnsi="Arial" w:cs="Arial"/>
          <w:b/>
          <w:bCs/>
          <w:u w:val="single"/>
        </w:rPr>
        <w:lastRenderedPageBreak/>
        <w:t>includes two multi-use stations for a maximum award of $3 million (Solicitation Manual Section I.H.2). If the Applicant ha</w:t>
      </w:r>
      <w:r w:rsidR="04409D8F" w:rsidRPr="58747B3B">
        <w:rPr>
          <w:rFonts w:ascii="Arial" w:hAnsi="Arial" w:cs="Arial"/>
          <w:b/>
          <w:bCs/>
          <w:u w:val="single"/>
        </w:rPr>
        <w:t>s</w:t>
      </w:r>
      <w:r w:rsidRPr="58747B3B">
        <w:rPr>
          <w:rFonts w:ascii="Arial" w:hAnsi="Arial" w:cs="Arial"/>
          <w:b/>
          <w:bCs/>
          <w:u w:val="single"/>
        </w:rPr>
        <w:t xml:space="preserve"> two other, light-duty vehicle hydrogen refueling stations planned, those two stations by themselves do not meet the minimum award requirements for the Light-Duty Vehicle Hydrogen Refueling Infrastructure </w:t>
      </w:r>
      <w:r w:rsidR="6633FE40" w:rsidRPr="58747B3B">
        <w:rPr>
          <w:rFonts w:ascii="Arial" w:hAnsi="Arial" w:cs="Arial"/>
          <w:b/>
          <w:bCs/>
          <w:u w:val="single"/>
        </w:rPr>
        <w:t xml:space="preserve">Competition </w:t>
      </w:r>
      <w:r w:rsidRPr="58747B3B">
        <w:rPr>
          <w:rFonts w:ascii="Arial" w:hAnsi="Arial" w:cs="Arial"/>
          <w:b/>
          <w:bCs/>
          <w:u w:val="single"/>
        </w:rPr>
        <w:t>and would need to be combined with at least two other light-duty hydrogen refueling stations for a $4 million funding request to meet the minimum requirement (Solicitation Manual Section I.H.1).</w:t>
      </w:r>
    </w:p>
    <w:p w14:paraId="7C6F2E15" w14:textId="77777777" w:rsidR="001E7E10" w:rsidRPr="00A571DA" w:rsidRDefault="001E7E10" w:rsidP="001E7E10">
      <w:pPr>
        <w:ind w:left="720" w:hanging="720"/>
        <w:rPr>
          <w:rFonts w:ascii="Arial" w:hAnsi="Arial" w:cs="Arial"/>
          <w:b/>
          <w:bCs/>
          <w:u w:val="single"/>
        </w:rPr>
      </w:pPr>
    </w:p>
    <w:p w14:paraId="5047DC21" w14:textId="77777777" w:rsidR="001E7E10" w:rsidRPr="00A571DA" w:rsidRDefault="001E7E10" w:rsidP="001E7E10">
      <w:pPr>
        <w:ind w:left="720"/>
        <w:rPr>
          <w:rFonts w:ascii="Arial" w:hAnsi="Arial" w:cs="Arial"/>
          <w:b/>
          <w:bCs/>
          <w:u w:val="single"/>
        </w:rPr>
      </w:pPr>
      <w:r w:rsidRPr="00A571DA">
        <w:rPr>
          <w:rFonts w:ascii="Arial" w:hAnsi="Arial" w:cs="Arial"/>
          <w:b/>
          <w:bCs/>
          <w:u w:val="single"/>
        </w:rPr>
        <w:t>Conversely, an Applicant could submit all four stations (two serving only light-duty vehicles and two serving light- and heavy-duty vehicles) to the Light-Duty Vehicle Hydrogen Refueling Infrastructure Competition to meet the minimum award requirement. The two stations with a heavy-duty fueling component would be subject to the $1 million maximum grant per station under the Light-Duty Vehicle Hydrogen Refueling Infrastructure Competition (Solicitation Manual Section I.H.1).</w:t>
      </w:r>
    </w:p>
    <w:p w14:paraId="6FD4CB9B" w14:textId="77777777" w:rsidR="001E7E10" w:rsidRPr="00A571DA" w:rsidRDefault="001E7E10" w:rsidP="001E7E10">
      <w:pPr>
        <w:ind w:left="720" w:hanging="720"/>
        <w:rPr>
          <w:rFonts w:ascii="Arial" w:hAnsi="Arial" w:cs="Arial"/>
          <w:b/>
          <w:bCs/>
          <w:u w:val="single"/>
        </w:rPr>
      </w:pPr>
    </w:p>
    <w:p w14:paraId="5193EF8B" w14:textId="77777777" w:rsidR="001E7E10" w:rsidRPr="00A571DA" w:rsidRDefault="001E7E10" w:rsidP="001E7E10">
      <w:pPr>
        <w:ind w:left="720"/>
        <w:rPr>
          <w:rFonts w:ascii="Arial" w:hAnsi="Arial" w:cs="Arial"/>
          <w:b/>
          <w:bCs/>
          <w:u w:val="single"/>
        </w:rPr>
      </w:pPr>
      <w:r w:rsidRPr="00A571DA">
        <w:rPr>
          <w:rFonts w:ascii="Arial" w:hAnsi="Arial" w:cs="Arial"/>
          <w:b/>
          <w:bCs/>
          <w:u w:val="single"/>
        </w:rPr>
        <w:t>An Applicant can submit one application to each competition (Solicitation Manual Section I.I), but if any stations in the two applications overlap, those stations will not be funded twice. For example, one multi-use station cannot have the light-duty component of the station funded under the Light-Duty Vehicle Hydrogen Refueling Infrastructure Competition and the heavy-duty component of the station funded under the Multi-Use Hydrogen Refueling Infrastructure Competition. The Multi-Use Hydrogen Refueling Infrastructure Competition projects shall include both the light-duty and heavy-duty components of a station.</w:t>
      </w:r>
    </w:p>
    <w:p w14:paraId="07041FB4" w14:textId="3359999D" w:rsidR="75C59906" w:rsidRPr="00E279CA" w:rsidRDefault="75C59906" w:rsidP="001E7E10">
      <w:pPr>
        <w:ind w:left="720" w:hanging="720"/>
        <w:rPr>
          <w:rStyle w:val="normaltextrun"/>
          <w:rFonts w:ascii="Arial" w:eastAsia="Arial" w:hAnsi="Arial" w:cs="Arial"/>
          <w:b/>
          <w:bCs/>
        </w:rPr>
      </w:pPr>
    </w:p>
    <w:p w14:paraId="3A5CB675" w14:textId="77777777" w:rsidR="007662AB" w:rsidRPr="00E279CA" w:rsidRDefault="007662AB" w:rsidP="00E279CA">
      <w:pPr>
        <w:pStyle w:val="ListParagraph"/>
        <w:spacing w:after="0"/>
        <w:ind w:left="0"/>
        <w:rPr>
          <w:rFonts w:ascii="Arial" w:hAnsi="Arial"/>
          <w:szCs w:val="24"/>
        </w:rPr>
      </w:pPr>
    </w:p>
    <w:p w14:paraId="7CD3A821" w14:textId="5FC54FB4" w:rsidR="00B07018" w:rsidRPr="00E279CA" w:rsidRDefault="00B07018" w:rsidP="00B07018">
      <w:pPr>
        <w:pStyle w:val="paragraph"/>
        <w:spacing w:before="0" w:beforeAutospacing="0" w:after="0" w:afterAutospacing="0"/>
        <w:textAlignment w:val="baseline"/>
        <w:rPr>
          <w:rFonts w:ascii="Arial" w:hAnsi="Arial" w:cs="Arial"/>
        </w:rPr>
      </w:pPr>
      <w:r w:rsidRPr="00E279CA">
        <w:rPr>
          <w:rStyle w:val="normaltextrun"/>
          <w:rFonts w:ascii="Arial" w:hAnsi="Arial" w:cs="Arial"/>
          <w:b/>
          <w:bCs/>
        </w:rPr>
        <w:t>Natalie Johnson,</w:t>
      </w:r>
    </w:p>
    <w:p w14:paraId="5EE5F77E" w14:textId="2F8F8375" w:rsidR="00B07018" w:rsidRPr="00E279CA" w:rsidRDefault="00B07018" w:rsidP="00B07018">
      <w:pPr>
        <w:pStyle w:val="paragraph"/>
        <w:spacing w:before="0" w:beforeAutospacing="0" w:after="0" w:afterAutospacing="0"/>
        <w:textAlignment w:val="baseline"/>
        <w:rPr>
          <w:rFonts w:ascii="Arial" w:hAnsi="Arial" w:cs="Arial"/>
        </w:rPr>
      </w:pPr>
      <w:r w:rsidRPr="00E279CA">
        <w:rPr>
          <w:rStyle w:val="normaltextrun"/>
          <w:rFonts w:ascii="Arial" w:hAnsi="Arial" w:cs="Arial"/>
          <w:b/>
          <w:bCs/>
        </w:rPr>
        <w:t>Commission Agreement Officer</w:t>
      </w:r>
    </w:p>
    <w:p w14:paraId="4F8126A4" w14:textId="242B4426" w:rsidR="009E6C35" w:rsidRPr="00E279CA" w:rsidRDefault="009E6C35" w:rsidP="00B07018">
      <w:pPr>
        <w:rPr>
          <w:rFonts w:ascii="Arial" w:hAnsi="Arial" w:cs="Arial"/>
        </w:rPr>
      </w:pPr>
    </w:p>
    <w:sectPr w:rsidR="009E6C35" w:rsidRPr="00E279CA" w:rsidSect="002D11A5">
      <w:headerReference w:type="even" r:id="rId11"/>
      <w:headerReference w:type="default" r:id="rId12"/>
      <w:footerReference w:type="even" r:id="rId13"/>
      <w:footerReference w:type="default" r:id="rId14"/>
      <w:headerReference w:type="first" r:id="rId15"/>
      <w:footerReference w:type="first" r:id="rId16"/>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88C4" w14:textId="77777777" w:rsidR="00FB3BB9" w:rsidRDefault="00FB3BB9" w:rsidP="00F86D2B">
      <w:r>
        <w:separator/>
      </w:r>
    </w:p>
  </w:endnote>
  <w:endnote w:type="continuationSeparator" w:id="0">
    <w:p w14:paraId="06E034E0" w14:textId="77777777" w:rsidR="00FB3BB9" w:rsidRDefault="00FB3BB9" w:rsidP="00F86D2B">
      <w:r>
        <w:continuationSeparator/>
      </w:r>
    </w:p>
  </w:endnote>
  <w:endnote w:type="continuationNotice" w:id="1">
    <w:p w14:paraId="0FFCF654" w14:textId="77777777" w:rsidR="00FB3BB9" w:rsidRDefault="00FB3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6F38" w14:textId="77777777" w:rsidR="0090646F" w:rsidRDefault="00906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CF9C" w14:textId="46A281DD" w:rsidR="4D7C6706" w:rsidRDefault="4D7C6706" w:rsidP="4D7C6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A5C92" w14:textId="77777777" w:rsidR="00FB3BB9" w:rsidRDefault="00FB3BB9" w:rsidP="00F86D2B">
      <w:r>
        <w:separator/>
      </w:r>
    </w:p>
  </w:footnote>
  <w:footnote w:type="continuationSeparator" w:id="0">
    <w:p w14:paraId="1C17141B" w14:textId="77777777" w:rsidR="00FB3BB9" w:rsidRDefault="00FB3BB9" w:rsidP="00F86D2B">
      <w:r>
        <w:continuationSeparator/>
      </w:r>
    </w:p>
  </w:footnote>
  <w:footnote w:type="continuationNotice" w:id="1">
    <w:p w14:paraId="74384D59" w14:textId="77777777" w:rsidR="00FB3BB9" w:rsidRDefault="00FB3B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C85" w14:textId="77777777" w:rsidR="0090646F" w:rsidRDefault="00906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635D2B46">
          <wp:extent cx="7465625" cy="978010"/>
          <wp:effectExtent l="0" t="0" r="254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7125"/>
    <w:rsid w:val="000557AC"/>
    <w:rsid w:val="00063B9D"/>
    <w:rsid w:val="0009064B"/>
    <w:rsid w:val="000A6CE7"/>
    <w:rsid w:val="000C16AE"/>
    <w:rsid w:val="000E31D6"/>
    <w:rsid w:val="0012428F"/>
    <w:rsid w:val="0014043C"/>
    <w:rsid w:val="0014731B"/>
    <w:rsid w:val="001E7E10"/>
    <w:rsid w:val="001F62F3"/>
    <w:rsid w:val="00203587"/>
    <w:rsid w:val="00235167"/>
    <w:rsid w:val="002747CF"/>
    <w:rsid w:val="002A5F7A"/>
    <w:rsid w:val="002D11A5"/>
    <w:rsid w:val="00300FB1"/>
    <w:rsid w:val="00306C82"/>
    <w:rsid w:val="003B254F"/>
    <w:rsid w:val="003E0AD6"/>
    <w:rsid w:val="003E0D2D"/>
    <w:rsid w:val="003E404F"/>
    <w:rsid w:val="003E52CE"/>
    <w:rsid w:val="003F3F1B"/>
    <w:rsid w:val="00410AC7"/>
    <w:rsid w:val="00415DE9"/>
    <w:rsid w:val="00417A0A"/>
    <w:rsid w:val="00430859"/>
    <w:rsid w:val="00435441"/>
    <w:rsid w:val="004379A5"/>
    <w:rsid w:val="00437D5F"/>
    <w:rsid w:val="00442DCF"/>
    <w:rsid w:val="004504D5"/>
    <w:rsid w:val="00471D45"/>
    <w:rsid w:val="00475B35"/>
    <w:rsid w:val="00493781"/>
    <w:rsid w:val="004A1AAA"/>
    <w:rsid w:val="004A4C18"/>
    <w:rsid w:val="004D128F"/>
    <w:rsid w:val="005100D5"/>
    <w:rsid w:val="00524EA9"/>
    <w:rsid w:val="00525E2C"/>
    <w:rsid w:val="00527817"/>
    <w:rsid w:val="00534797"/>
    <w:rsid w:val="005568CA"/>
    <w:rsid w:val="00566D9C"/>
    <w:rsid w:val="00577D95"/>
    <w:rsid w:val="0059609D"/>
    <w:rsid w:val="005E6FA2"/>
    <w:rsid w:val="00607946"/>
    <w:rsid w:val="00642878"/>
    <w:rsid w:val="006511D6"/>
    <w:rsid w:val="00654BE4"/>
    <w:rsid w:val="00693454"/>
    <w:rsid w:val="006A35E6"/>
    <w:rsid w:val="006A3758"/>
    <w:rsid w:val="006A57AF"/>
    <w:rsid w:val="006B13F0"/>
    <w:rsid w:val="006D3827"/>
    <w:rsid w:val="006E146A"/>
    <w:rsid w:val="007134AE"/>
    <w:rsid w:val="007211FC"/>
    <w:rsid w:val="00723118"/>
    <w:rsid w:val="00733B0B"/>
    <w:rsid w:val="00751C0F"/>
    <w:rsid w:val="00761F8B"/>
    <w:rsid w:val="007662AB"/>
    <w:rsid w:val="0077265A"/>
    <w:rsid w:val="00777798"/>
    <w:rsid w:val="0078154A"/>
    <w:rsid w:val="00783717"/>
    <w:rsid w:val="007D545A"/>
    <w:rsid w:val="007E59F4"/>
    <w:rsid w:val="007F2075"/>
    <w:rsid w:val="0081533B"/>
    <w:rsid w:val="00846985"/>
    <w:rsid w:val="00874988"/>
    <w:rsid w:val="00891290"/>
    <w:rsid w:val="00891410"/>
    <w:rsid w:val="008E1433"/>
    <w:rsid w:val="008E3926"/>
    <w:rsid w:val="008E7852"/>
    <w:rsid w:val="008F3C42"/>
    <w:rsid w:val="008F7BB2"/>
    <w:rsid w:val="0090646F"/>
    <w:rsid w:val="00910710"/>
    <w:rsid w:val="009407F5"/>
    <w:rsid w:val="00950AF4"/>
    <w:rsid w:val="009972BD"/>
    <w:rsid w:val="009E6C35"/>
    <w:rsid w:val="009E754B"/>
    <w:rsid w:val="00A15FA8"/>
    <w:rsid w:val="00A17202"/>
    <w:rsid w:val="00A3384C"/>
    <w:rsid w:val="00A36CF5"/>
    <w:rsid w:val="00A42D1F"/>
    <w:rsid w:val="00A571DA"/>
    <w:rsid w:val="00A57EB6"/>
    <w:rsid w:val="00A73089"/>
    <w:rsid w:val="00A90DC6"/>
    <w:rsid w:val="00AD21FC"/>
    <w:rsid w:val="00AD5870"/>
    <w:rsid w:val="00AE05B9"/>
    <w:rsid w:val="00B03AD3"/>
    <w:rsid w:val="00B07018"/>
    <w:rsid w:val="00B53018"/>
    <w:rsid w:val="00B80E72"/>
    <w:rsid w:val="00B84D31"/>
    <w:rsid w:val="00B906E9"/>
    <w:rsid w:val="00BA1317"/>
    <w:rsid w:val="00BA2C76"/>
    <w:rsid w:val="00BA3F4C"/>
    <w:rsid w:val="00BB5DCD"/>
    <w:rsid w:val="00C01C97"/>
    <w:rsid w:val="00C03527"/>
    <w:rsid w:val="00C2336E"/>
    <w:rsid w:val="00C67037"/>
    <w:rsid w:val="00C96BDD"/>
    <w:rsid w:val="00CA6B2B"/>
    <w:rsid w:val="00CF2DC1"/>
    <w:rsid w:val="00D32C3D"/>
    <w:rsid w:val="00D33013"/>
    <w:rsid w:val="00D431C2"/>
    <w:rsid w:val="00D43B83"/>
    <w:rsid w:val="00DC119D"/>
    <w:rsid w:val="00DF6E5E"/>
    <w:rsid w:val="00E210F6"/>
    <w:rsid w:val="00E279CA"/>
    <w:rsid w:val="00E62715"/>
    <w:rsid w:val="00E95AA9"/>
    <w:rsid w:val="00EA7BDE"/>
    <w:rsid w:val="00ED18F1"/>
    <w:rsid w:val="00F053EC"/>
    <w:rsid w:val="00F10DFF"/>
    <w:rsid w:val="00F220FC"/>
    <w:rsid w:val="00F22AD4"/>
    <w:rsid w:val="00F7696E"/>
    <w:rsid w:val="00F86D2B"/>
    <w:rsid w:val="00F90F6B"/>
    <w:rsid w:val="00F947AC"/>
    <w:rsid w:val="00F95D8D"/>
    <w:rsid w:val="00F967DF"/>
    <w:rsid w:val="00FB3BB9"/>
    <w:rsid w:val="00FC24B9"/>
    <w:rsid w:val="00FE5320"/>
    <w:rsid w:val="00FF7303"/>
    <w:rsid w:val="023FD6A0"/>
    <w:rsid w:val="04409D8F"/>
    <w:rsid w:val="09B2FBAC"/>
    <w:rsid w:val="09EDF829"/>
    <w:rsid w:val="0B89C88A"/>
    <w:rsid w:val="0CDE3617"/>
    <w:rsid w:val="0D0C708E"/>
    <w:rsid w:val="0D2598EB"/>
    <w:rsid w:val="1B064A67"/>
    <w:rsid w:val="1BFB2A48"/>
    <w:rsid w:val="1C1F3A18"/>
    <w:rsid w:val="1DCA0368"/>
    <w:rsid w:val="206222A0"/>
    <w:rsid w:val="226C40CF"/>
    <w:rsid w:val="23B7334D"/>
    <w:rsid w:val="2407BBC1"/>
    <w:rsid w:val="253593C3"/>
    <w:rsid w:val="293A9F64"/>
    <w:rsid w:val="309650FC"/>
    <w:rsid w:val="330AAD55"/>
    <w:rsid w:val="3340129D"/>
    <w:rsid w:val="33A15526"/>
    <w:rsid w:val="390DC060"/>
    <w:rsid w:val="3C9593A7"/>
    <w:rsid w:val="44D9B942"/>
    <w:rsid w:val="4D493FEF"/>
    <w:rsid w:val="4D7C6706"/>
    <w:rsid w:val="52521B09"/>
    <w:rsid w:val="537D123C"/>
    <w:rsid w:val="544EE28D"/>
    <w:rsid w:val="5770E9BA"/>
    <w:rsid w:val="58747B3B"/>
    <w:rsid w:val="5A1DCF75"/>
    <w:rsid w:val="5A64D50F"/>
    <w:rsid w:val="5BBB3517"/>
    <w:rsid w:val="5D0193AF"/>
    <w:rsid w:val="65B14D97"/>
    <w:rsid w:val="6633FE40"/>
    <w:rsid w:val="71D0414F"/>
    <w:rsid w:val="73241326"/>
    <w:rsid w:val="73617F31"/>
    <w:rsid w:val="75C59906"/>
    <w:rsid w:val="7EAB4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8D208C"/>
  <w14:defaultImageDpi w14:val="300"/>
  <w15:docId w15:val="{DA3AF7F7-D0E6-4FC6-AE47-FEE128B8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character" w:customStyle="1" w:styleId="tabchar">
    <w:name w:val="tabchar"/>
    <w:basedOn w:val="DefaultParagraphFont"/>
    <w:rsid w:val="00B07018"/>
  </w:style>
  <w:style w:type="character" w:customStyle="1" w:styleId="contextualspellingandgrammarerror">
    <w:name w:val="contextualspellingandgrammarerror"/>
    <w:basedOn w:val="DefaultParagraphFont"/>
    <w:rsid w:val="00B07018"/>
  </w:style>
  <w:style w:type="paragraph" w:styleId="ListParagraph">
    <w:name w:val="List Paragraph"/>
    <w:basedOn w:val="Normal"/>
    <w:link w:val="ListParagraphChar"/>
    <w:uiPriority w:val="34"/>
    <w:qFormat/>
    <w:rsid w:val="00723118"/>
    <w:pPr>
      <w:spacing w:after="120"/>
      <w:ind w:left="720"/>
    </w:pPr>
    <w:rPr>
      <w:rFonts w:ascii="Tahoma" w:eastAsia="Times New Roman" w:hAnsi="Tahoma" w:cs="Arial"/>
      <w:szCs w:val="20"/>
    </w:rPr>
  </w:style>
  <w:style w:type="character" w:customStyle="1" w:styleId="ListParagraphChar">
    <w:name w:val="List Paragraph Char"/>
    <w:basedOn w:val="DefaultParagraphFont"/>
    <w:link w:val="ListParagraph"/>
    <w:uiPriority w:val="34"/>
    <w:locked/>
    <w:rsid w:val="00723118"/>
    <w:rPr>
      <w:rFonts w:ascii="Tahoma" w:eastAsia="Times New Roman" w:hAnsi="Tahom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479179344">
      <w:bodyDiv w:val="1"/>
      <w:marLeft w:val="0"/>
      <w:marRight w:val="0"/>
      <w:marTop w:val="0"/>
      <w:marBottom w:val="0"/>
      <w:divBdr>
        <w:top w:val="none" w:sz="0" w:space="0" w:color="auto"/>
        <w:left w:val="none" w:sz="0" w:space="0" w:color="auto"/>
        <w:bottom w:val="none" w:sz="0" w:space="0" w:color="auto"/>
        <w:right w:val="none" w:sz="0" w:space="0" w:color="auto"/>
      </w:divBdr>
      <w:divsChild>
        <w:div w:id="1427772327">
          <w:marLeft w:val="0"/>
          <w:marRight w:val="0"/>
          <w:marTop w:val="0"/>
          <w:marBottom w:val="0"/>
          <w:divBdr>
            <w:top w:val="none" w:sz="0" w:space="0" w:color="auto"/>
            <w:left w:val="none" w:sz="0" w:space="0" w:color="auto"/>
            <w:bottom w:val="none" w:sz="0" w:space="0" w:color="auto"/>
            <w:right w:val="none" w:sz="0" w:space="0" w:color="auto"/>
          </w:divBdr>
        </w:div>
        <w:div w:id="1750616391">
          <w:marLeft w:val="0"/>
          <w:marRight w:val="0"/>
          <w:marTop w:val="0"/>
          <w:marBottom w:val="0"/>
          <w:divBdr>
            <w:top w:val="none" w:sz="0" w:space="0" w:color="auto"/>
            <w:left w:val="none" w:sz="0" w:space="0" w:color="auto"/>
            <w:bottom w:val="none" w:sz="0" w:space="0" w:color="auto"/>
            <w:right w:val="none" w:sz="0" w:space="0" w:color="auto"/>
          </w:divBdr>
        </w:div>
        <w:div w:id="1441224539">
          <w:marLeft w:val="0"/>
          <w:marRight w:val="0"/>
          <w:marTop w:val="0"/>
          <w:marBottom w:val="0"/>
          <w:divBdr>
            <w:top w:val="none" w:sz="0" w:space="0" w:color="auto"/>
            <w:left w:val="none" w:sz="0" w:space="0" w:color="auto"/>
            <w:bottom w:val="none" w:sz="0" w:space="0" w:color="auto"/>
            <w:right w:val="none" w:sz="0" w:space="0" w:color="auto"/>
          </w:divBdr>
        </w:div>
        <w:div w:id="1864781576">
          <w:marLeft w:val="0"/>
          <w:marRight w:val="0"/>
          <w:marTop w:val="0"/>
          <w:marBottom w:val="0"/>
          <w:divBdr>
            <w:top w:val="none" w:sz="0" w:space="0" w:color="auto"/>
            <w:left w:val="none" w:sz="0" w:space="0" w:color="auto"/>
            <w:bottom w:val="none" w:sz="0" w:space="0" w:color="auto"/>
            <w:right w:val="none" w:sz="0" w:space="0" w:color="auto"/>
          </w:divBdr>
        </w:div>
        <w:div w:id="128522675">
          <w:marLeft w:val="0"/>
          <w:marRight w:val="0"/>
          <w:marTop w:val="0"/>
          <w:marBottom w:val="0"/>
          <w:divBdr>
            <w:top w:val="none" w:sz="0" w:space="0" w:color="auto"/>
            <w:left w:val="none" w:sz="0" w:space="0" w:color="auto"/>
            <w:bottom w:val="none" w:sz="0" w:space="0" w:color="auto"/>
            <w:right w:val="none" w:sz="0" w:space="0" w:color="auto"/>
          </w:divBdr>
        </w:div>
        <w:div w:id="2104955082">
          <w:marLeft w:val="0"/>
          <w:marRight w:val="0"/>
          <w:marTop w:val="0"/>
          <w:marBottom w:val="0"/>
          <w:divBdr>
            <w:top w:val="none" w:sz="0" w:space="0" w:color="auto"/>
            <w:left w:val="none" w:sz="0" w:space="0" w:color="auto"/>
            <w:bottom w:val="none" w:sz="0" w:space="0" w:color="auto"/>
            <w:right w:val="none" w:sz="0" w:space="0" w:color="auto"/>
          </w:divBdr>
        </w:div>
        <w:div w:id="568539454">
          <w:marLeft w:val="0"/>
          <w:marRight w:val="0"/>
          <w:marTop w:val="0"/>
          <w:marBottom w:val="0"/>
          <w:divBdr>
            <w:top w:val="none" w:sz="0" w:space="0" w:color="auto"/>
            <w:left w:val="none" w:sz="0" w:space="0" w:color="auto"/>
            <w:bottom w:val="none" w:sz="0" w:space="0" w:color="auto"/>
            <w:right w:val="none" w:sz="0" w:space="0" w:color="auto"/>
          </w:divBdr>
        </w:div>
        <w:div w:id="398864667">
          <w:marLeft w:val="0"/>
          <w:marRight w:val="0"/>
          <w:marTop w:val="0"/>
          <w:marBottom w:val="0"/>
          <w:divBdr>
            <w:top w:val="none" w:sz="0" w:space="0" w:color="auto"/>
            <w:left w:val="none" w:sz="0" w:space="0" w:color="auto"/>
            <w:bottom w:val="none" w:sz="0" w:space="0" w:color="auto"/>
            <w:right w:val="none" w:sz="0" w:space="0" w:color="auto"/>
          </w:divBdr>
        </w:div>
        <w:div w:id="2085953406">
          <w:marLeft w:val="0"/>
          <w:marRight w:val="0"/>
          <w:marTop w:val="0"/>
          <w:marBottom w:val="0"/>
          <w:divBdr>
            <w:top w:val="none" w:sz="0" w:space="0" w:color="auto"/>
            <w:left w:val="none" w:sz="0" w:space="0" w:color="auto"/>
            <w:bottom w:val="none" w:sz="0" w:space="0" w:color="auto"/>
            <w:right w:val="none" w:sz="0" w:space="0" w:color="auto"/>
          </w:divBdr>
        </w:div>
        <w:div w:id="909390277">
          <w:marLeft w:val="0"/>
          <w:marRight w:val="0"/>
          <w:marTop w:val="0"/>
          <w:marBottom w:val="0"/>
          <w:divBdr>
            <w:top w:val="none" w:sz="0" w:space="0" w:color="auto"/>
            <w:left w:val="none" w:sz="0" w:space="0" w:color="auto"/>
            <w:bottom w:val="none" w:sz="0" w:space="0" w:color="auto"/>
            <w:right w:val="none" w:sz="0" w:space="0" w:color="auto"/>
          </w:divBdr>
        </w:div>
        <w:div w:id="1631475955">
          <w:marLeft w:val="0"/>
          <w:marRight w:val="0"/>
          <w:marTop w:val="0"/>
          <w:marBottom w:val="0"/>
          <w:divBdr>
            <w:top w:val="none" w:sz="0" w:space="0" w:color="auto"/>
            <w:left w:val="none" w:sz="0" w:space="0" w:color="auto"/>
            <w:bottom w:val="none" w:sz="0" w:space="0" w:color="auto"/>
            <w:right w:val="none" w:sz="0" w:space="0" w:color="auto"/>
          </w:divBdr>
        </w:div>
        <w:div w:id="2018727757">
          <w:marLeft w:val="0"/>
          <w:marRight w:val="0"/>
          <w:marTop w:val="0"/>
          <w:marBottom w:val="0"/>
          <w:divBdr>
            <w:top w:val="none" w:sz="0" w:space="0" w:color="auto"/>
            <w:left w:val="none" w:sz="0" w:space="0" w:color="auto"/>
            <w:bottom w:val="none" w:sz="0" w:space="0" w:color="auto"/>
            <w:right w:val="none" w:sz="0" w:space="0" w:color="auto"/>
          </w:divBdr>
        </w:div>
        <w:div w:id="925454226">
          <w:marLeft w:val="0"/>
          <w:marRight w:val="0"/>
          <w:marTop w:val="0"/>
          <w:marBottom w:val="0"/>
          <w:divBdr>
            <w:top w:val="none" w:sz="0" w:space="0" w:color="auto"/>
            <w:left w:val="none" w:sz="0" w:space="0" w:color="auto"/>
            <w:bottom w:val="none" w:sz="0" w:space="0" w:color="auto"/>
            <w:right w:val="none" w:sz="0" w:space="0" w:color="auto"/>
          </w:divBdr>
        </w:div>
        <w:div w:id="769591004">
          <w:marLeft w:val="0"/>
          <w:marRight w:val="0"/>
          <w:marTop w:val="0"/>
          <w:marBottom w:val="0"/>
          <w:divBdr>
            <w:top w:val="none" w:sz="0" w:space="0" w:color="auto"/>
            <w:left w:val="none" w:sz="0" w:space="0" w:color="auto"/>
            <w:bottom w:val="none" w:sz="0" w:space="0" w:color="auto"/>
            <w:right w:val="none" w:sz="0" w:space="0" w:color="auto"/>
          </w:divBdr>
        </w:div>
        <w:div w:id="499858216">
          <w:marLeft w:val="0"/>
          <w:marRight w:val="0"/>
          <w:marTop w:val="0"/>
          <w:marBottom w:val="0"/>
          <w:divBdr>
            <w:top w:val="none" w:sz="0" w:space="0" w:color="auto"/>
            <w:left w:val="none" w:sz="0" w:space="0" w:color="auto"/>
            <w:bottom w:val="none" w:sz="0" w:space="0" w:color="auto"/>
            <w:right w:val="none" w:sz="0" w:space="0" w:color="auto"/>
          </w:divBdr>
        </w:div>
        <w:div w:id="1954165082">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2.xml><?xml version="1.0" encoding="utf-8"?>
<ds:datastoreItem xmlns:ds="http://schemas.openxmlformats.org/officeDocument/2006/customXml" ds:itemID="{D177B8C9-99FA-45DB-B530-69EDC96A4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customXml/itemProps4.xml><?xml version="1.0" encoding="utf-8"?>
<ds:datastoreItem xmlns:ds="http://schemas.openxmlformats.org/officeDocument/2006/customXml" ds:itemID="{74767D39-677C-45F0-A310-67C5BE75DAFE}">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5273</Characters>
  <Application>Microsoft Office Word</Application>
  <DocSecurity>0</DocSecurity>
  <Lines>43</Lines>
  <Paragraphs>12</Paragraphs>
  <ScaleCrop>false</ScaleCrop>
  <Company>Wobschall Design</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GFO-22-607 Addendum 2 Cover Letter</dc:title>
  <dc:subject/>
  <dc:creator>Bailey Wobschall</dc:creator>
  <cp:keywords/>
  <dc:description/>
  <cp:lastModifiedBy>Johnson, Natalie@Energy</cp:lastModifiedBy>
  <cp:revision>16</cp:revision>
  <cp:lastPrinted>2019-04-08T16:38:00Z</cp:lastPrinted>
  <dcterms:created xsi:type="dcterms:W3CDTF">2022-12-20T17:45:00Z</dcterms:created>
  <dcterms:modified xsi:type="dcterms:W3CDTF">2023-01-24T22:51:00Z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