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AB8C" w14:textId="3E060B58" w:rsidR="004D5EEA" w:rsidRPr="007E2767" w:rsidRDefault="004D5EEA" w:rsidP="004D5EEA">
      <w:pPr>
        <w:jc w:val="center"/>
        <w:rPr>
          <w:rFonts w:ascii="Arial" w:hAnsi="Arial" w:cs="Arial"/>
          <w:b/>
          <w:bCs/>
        </w:rPr>
      </w:pPr>
      <w:r>
        <w:rPr>
          <w:rFonts w:ascii="Arial" w:hAnsi="Arial" w:cs="Arial"/>
          <w:b/>
          <w:bCs/>
        </w:rPr>
        <w:t>RFP-22-</w:t>
      </w:r>
      <w:r w:rsidR="00853F19">
        <w:rPr>
          <w:rFonts w:ascii="Arial" w:hAnsi="Arial" w:cs="Arial"/>
          <w:b/>
          <w:bCs/>
        </w:rPr>
        <w:t>3</w:t>
      </w:r>
      <w:r>
        <w:rPr>
          <w:rFonts w:ascii="Arial" w:hAnsi="Arial" w:cs="Arial"/>
          <w:b/>
          <w:bCs/>
        </w:rPr>
        <w:t>01</w:t>
      </w:r>
    </w:p>
    <w:p w14:paraId="0223A3E2" w14:textId="42A5FEAF" w:rsidR="00853F19" w:rsidRDefault="00853F19" w:rsidP="004D5EEA">
      <w:pPr>
        <w:jc w:val="center"/>
        <w:rPr>
          <w:rFonts w:ascii="Arial" w:hAnsi="Arial" w:cs="Arial"/>
          <w:b/>
          <w:bCs/>
        </w:rPr>
      </w:pPr>
      <w:r>
        <w:rPr>
          <w:rFonts w:ascii="Arial" w:hAnsi="Arial" w:cs="Arial"/>
          <w:b/>
          <w:bCs/>
        </w:rPr>
        <w:t xml:space="preserve">Technical </w:t>
      </w:r>
      <w:r w:rsidR="009A7FB1">
        <w:rPr>
          <w:rFonts w:ascii="Arial" w:hAnsi="Arial" w:cs="Arial"/>
          <w:b/>
          <w:bCs/>
        </w:rPr>
        <w:t>Assistance for the</w:t>
      </w:r>
      <w:r>
        <w:rPr>
          <w:rFonts w:ascii="Arial" w:hAnsi="Arial" w:cs="Arial"/>
          <w:b/>
          <w:bCs/>
        </w:rPr>
        <w:t xml:space="preserve"> </w:t>
      </w:r>
    </w:p>
    <w:p w14:paraId="15F7E6E3" w14:textId="5CCB6662" w:rsidR="004D5EEA" w:rsidRPr="007E2767" w:rsidRDefault="004D5EEA" w:rsidP="004D5EEA">
      <w:pPr>
        <w:jc w:val="center"/>
        <w:rPr>
          <w:rFonts w:ascii="Arial" w:hAnsi="Arial" w:cs="Arial"/>
          <w:b/>
          <w:bCs/>
        </w:rPr>
      </w:pPr>
      <w:r>
        <w:rPr>
          <w:rFonts w:ascii="Arial" w:hAnsi="Arial" w:cs="Arial"/>
          <w:b/>
          <w:bCs/>
        </w:rPr>
        <w:t xml:space="preserve">Energy </w:t>
      </w:r>
      <w:r w:rsidR="00853F19">
        <w:rPr>
          <w:rFonts w:ascii="Arial" w:hAnsi="Arial" w:cs="Arial"/>
          <w:b/>
          <w:bCs/>
        </w:rPr>
        <w:t>Research and Development Division</w:t>
      </w:r>
    </w:p>
    <w:p w14:paraId="626161D0" w14:textId="77777777" w:rsidR="004D5EEA" w:rsidRPr="007E2767" w:rsidRDefault="004D5EEA" w:rsidP="004D5EEA">
      <w:pPr>
        <w:jc w:val="center"/>
        <w:rPr>
          <w:rFonts w:ascii="Arial" w:hAnsi="Arial" w:cs="Arial"/>
          <w:b/>
          <w:bCs/>
        </w:rPr>
      </w:pPr>
    </w:p>
    <w:p w14:paraId="4CF2501D" w14:textId="77777777" w:rsidR="004D5EEA" w:rsidRPr="007E2767" w:rsidRDefault="004D5EEA" w:rsidP="004D5EEA">
      <w:pPr>
        <w:jc w:val="center"/>
        <w:rPr>
          <w:rFonts w:ascii="Arial" w:hAnsi="Arial" w:cs="Arial"/>
          <w:b/>
          <w:bCs/>
        </w:rPr>
      </w:pPr>
      <w:r w:rsidRPr="007E2767">
        <w:rPr>
          <w:rFonts w:ascii="Arial" w:hAnsi="Arial" w:cs="Arial"/>
          <w:b/>
          <w:bCs/>
        </w:rPr>
        <w:t>Addendum 1</w:t>
      </w:r>
    </w:p>
    <w:p w14:paraId="06F8436D" w14:textId="22AC2F99" w:rsidR="004D5EEA" w:rsidRPr="007E2767" w:rsidRDefault="009A7FB1" w:rsidP="004D5EEA">
      <w:pPr>
        <w:jc w:val="center"/>
        <w:rPr>
          <w:rFonts w:ascii="Arial" w:hAnsi="Arial" w:cs="Arial"/>
          <w:b/>
          <w:bCs/>
        </w:rPr>
      </w:pPr>
      <w:r>
        <w:rPr>
          <w:rFonts w:ascii="Arial" w:hAnsi="Arial" w:cs="Arial"/>
          <w:b/>
          <w:bCs/>
        </w:rPr>
        <w:t xml:space="preserve">January </w:t>
      </w:r>
      <w:r w:rsidR="00AB7D63">
        <w:rPr>
          <w:rFonts w:ascii="Arial" w:hAnsi="Arial" w:cs="Arial"/>
          <w:b/>
          <w:bCs/>
        </w:rPr>
        <w:t>2</w:t>
      </w:r>
      <w:r w:rsidR="00E55CA9">
        <w:rPr>
          <w:rFonts w:ascii="Arial" w:hAnsi="Arial" w:cs="Arial"/>
          <w:b/>
          <w:bCs/>
        </w:rPr>
        <w:t>6</w:t>
      </w:r>
      <w:r w:rsidR="004D5EEA" w:rsidRPr="007E2767">
        <w:rPr>
          <w:rFonts w:ascii="Arial" w:hAnsi="Arial" w:cs="Arial"/>
          <w:b/>
          <w:bCs/>
        </w:rPr>
        <w:t>, 202</w:t>
      </w:r>
      <w:r>
        <w:rPr>
          <w:rFonts w:ascii="Arial" w:hAnsi="Arial" w:cs="Arial"/>
          <w:b/>
          <w:bCs/>
        </w:rPr>
        <w:t>3</w:t>
      </w:r>
    </w:p>
    <w:p w14:paraId="7D3F6CBC" w14:textId="77777777" w:rsidR="004D5EEA" w:rsidRPr="007E2767" w:rsidRDefault="004D5EEA" w:rsidP="004D5EEA">
      <w:pPr>
        <w:jc w:val="center"/>
        <w:rPr>
          <w:rFonts w:ascii="Arial" w:hAnsi="Arial" w:cs="Arial"/>
          <w:b/>
          <w:bCs/>
        </w:rPr>
      </w:pPr>
    </w:p>
    <w:p w14:paraId="053B54B9" w14:textId="334559B0" w:rsidR="004D5EEA" w:rsidRPr="00CF0A89" w:rsidRDefault="004D5EEA" w:rsidP="004D5EEA">
      <w:pPr>
        <w:rPr>
          <w:rFonts w:ascii="Arial" w:hAnsi="Arial" w:cs="Arial"/>
        </w:rPr>
      </w:pPr>
      <w:r w:rsidRPr="00CF0A89">
        <w:rPr>
          <w:rFonts w:ascii="Arial" w:eastAsia="Arial" w:hAnsi="Arial" w:cs="Arial"/>
        </w:rPr>
        <w:t xml:space="preserve">Note: Added language appears in </w:t>
      </w:r>
      <w:r w:rsidRPr="00CF0A89">
        <w:rPr>
          <w:rFonts w:ascii="Arial" w:eastAsia="Arial" w:hAnsi="Arial" w:cs="Arial"/>
          <w:b/>
          <w:bCs/>
          <w:u w:val="single"/>
        </w:rPr>
        <w:t>bold underline</w:t>
      </w:r>
      <w:r w:rsidRPr="00CF0A89">
        <w:rPr>
          <w:rFonts w:ascii="Arial" w:eastAsia="Arial" w:hAnsi="Arial" w:cs="Arial"/>
        </w:rPr>
        <w:t xml:space="preserve">, and deleted language appears in </w:t>
      </w:r>
      <w:r w:rsidR="00CF0A89">
        <w:rPr>
          <w:rFonts w:ascii="Arial" w:eastAsia="Arial" w:hAnsi="Arial" w:cs="Arial"/>
        </w:rPr>
        <w:t>[</w:t>
      </w:r>
      <w:r w:rsidRPr="00CF0A89">
        <w:rPr>
          <w:rFonts w:ascii="Arial" w:eastAsia="Arial" w:hAnsi="Arial" w:cs="Arial"/>
          <w:strike/>
        </w:rPr>
        <w:t>strikethrough</w:t>
      </w:r>
      <w:r w:rsidR="00CF0A89" w:rsidRPr="0A6BE34F">
        <w:rPr>
          <w:rFonts w:ascii="Arial" w:eastAsia="Arial" w:hAnsi="Arial" w:cs="Arial"/>
        </w:rPr>
        <w:t>]</w:t>
      </w:r>
      <w:r w:rsidRPr="00CF0A89">
        <w:rPr>
          <w:rFonts w:ascii="Arial" w:eastAsia="Arial" w:hAnsi="Arial" w:cs="Arial"/>
        </w:rPr>
        <w:t xml:space="preserve"> and within square brackets.</w:t>
      </w:r>
    </w:p>
    <w:p w14:paraId="502DEA63" w14:textId="77777777" w:rsidR="004D5EEA" w:rsidRPr="007E2767" w:rsidRDefault="004D5EEA" w:rsidP="004D5EEA">
      <w:pPr>
        <w:pStyle w:val="Default"/>
        <w:ind w:right="-720"/>
      </w:pPr>
    </w:p>
    <w:p w14:paraId="0C85C61D" w14:textId="77777777" w:rsidR="004D5EEA" w:rsidRPr="007E2767" w:rsidRDefault="004D5EEA" w:rsidP="004D5EEA">
      <w:pPr>
        <w:pStyle w:val="Default"/>
        <w:ind w:right="-720"/>
      </w:pPr>
    </w:p>
    <w:p w14:paraId="030DFA77" w14:textId="5EF6AC1F" w:rsidR="004D5EEA" w:rsidRDefault="004D5EEA" w:rsidP="004D5EEA">
      <w:pPr>
        <w:pStyle w:val="Default"/>
        <w:ind w:right="-720"/>
      </w:pPr>
      <w:r w:rsidRPr="007E2767">
        <w:t xml:space="preserve">The purpose of this addendum is to make the following revisions to the </w:t>
      </w:r>
      <w:r>
        <w:t>Application</w:t>
      </w:r>
      <w:r w:rsidRPr="007E2767">
        <w:t xml:space="preserve"> Manual.</w:t>
      </w:r>
    </w:p>
    <w:p w14:paraId="0FF5F64F" w14:textId="69F6E3D4" w:rsidR="004F3BE0" w:rsidRDefault="004F3BE0" w:rsidP="004D5EEA">
      <w:pPr>
        <w:pStyle w:val="Default"/>
        <w:ind w:right="-720"/>
      </w:pPr>
    </w:p>
    <w:p w14:paraId="3F8F1F85" w14:textId="554EBEB2" w:rsidR="004F3BE0" w:rsidRDefault="004F3BE0" w:rsidP="004F3BE0">
      <w:pPr>
        <w:pStyle w:val="Default"/>
        <w:numPr>
          <w:ilvl w:val="0"/>
          <w:numId w:val="2"/>
        </w:numPr>
        <w:ind w:right="-720"/>
      </w:pPr>
      <w:r>
        <w:t xml:space="preserve">Page </w:t>
      </w:r>
      <w:r w:rsidR="006E118F">
        <w:t xml:space="preserve">1 </w:t>
      </w:r>
      <w:r>
        <w:t>of the A</w:t>
      </w:r>
      <w:r w:rsidR="00BF7A18">
        <w:t>pplication Manua</w:t>
      </w:r>
      <w:r w:rsidR="007D601C">
        <w:t>l</w:t>
      </w:r>
      <w:r w:rsidR="00BF7A18">
        <w:t>,</w:t>
      </w:r>
      <w:r w:rsidR="007D601C">
        <w:t xml:space="preserve"> </w:t>
      </w:r>
      <w:bookmarkStart w:id="0" w:name="_Toc116474483"/>
      <w:r w:rsidR="006E118F" w:rsidRPr="00823A18">
        <w:t>Key Activities and Dates</w:t>
      </w:r>
      <w:bookmarkEnd w:id="0"/>
      <w:r w:rsidR="00406023">
        <w:t xml:space="preserve"> table</w:t>
      </w:r>
      <w:r w:rsidR="00BC2D51">
        <w:t xml:space="preserve"> has the following updates</w:t>
      </w:r>
      <w:r w:rsidR="00F85303">
        <w:t>:</w:t>
      </w:r>
    </w:p>
    <w:p w14:paraId="748E1372" w14:textId="65F10E44" w:rsidR="000D4DCF" w:rsidRDefault="000D4DCF" w:rsidP="00BB0D0B">
      <w:pPr>
        <w:pStyle w:val="Default"/>
        <w:ind w:left="1080" w:right="-72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27"/>
        <w:gridCol w:w="2633"/>
      </w:tblGrid>
      <w:tr w:rsidR="00F25756" w:rsidRPr="00E55CA9" w14:paraId="71894400" w14:textId="77777777" w:rsidTr="00CB093D">
        <w:trPr>
          <w:cantSplit/>
          <w:trHeight w:hRule="exact" w:val="288"/>
        </w:trPr>
        <w:tc>
          <w:tcPr>
            <w:tcW w:w="6727" w:type="dxa"/>
          </w:tcPr>
          <w:p w14:paraId="7FDE8F61" w14:textId="77777777" w:rsidR="00F25756" w:rsidRPr="00E55CA9" w:rsidRDefault="00F25756" w:rsidP="00023685">
            <w:pPr>
              <w:keepLines/>
              <w:spacing w:after="120"/>
              <w:rPr>
                <w:rFonts w:ascii="Arial" w:hAnsi="Arial" w:cs="Arial"/>
                <w:b/>
                <w:sz w:val="22"/>
              </w:rPr>
            </w:pPr>
            <w:r w:rsidRPr="00E55CA9">
              <w:rPr>
                <w:rFonts w:ascii="Arial" w:hAnsi="Arial" w:cs="Arial"/>
                <w:b/>
                <w:sz w:val="22"/>
              </w:rPr>
              <w:t>ACTIVITY</w:t>
            </w:r>
          </w:p>
        </w:tc>
        <w:tc>
          <w:tcPr>
            <w:tcW w:w="2633" w:type="dxa"/>
          </w:tcPr>
          <w:p w14:paraId="182F818A" w14:textId="77777777" w:rsidR="00F25756" w:rsidRPr="00E55CA9" w:rsidRDefault="00F25756" w:rsidP="00023685">
            <w:pPr>
              <w:keepLines/>
              <w:spacing w:after="120"/>
              <w:rPr>
                <w:rFonts w:ascii="Arial" w:hAnsi="Arial" w:cs="Arial"/>
                <w:b/>
                <w:color w:val="000000" w:themeColor="text1"/>
                <w:sz w:val="22"/>
                <w:szCs w:val="22"/>
              </w:rPr>
            </w:pPr>
            <w:r w:rsidRPr="00E55CA9">
              <w:rPr>
                <w:rFonts w:ascii="Arial" w:hAnsi="Arial" w:cs="Arial"/>
                <w:b/>
                <w:color w:val="000000" w:themeColor="text1"/>
                <w:sz w:val="22"/>
                <w:szCs w:val="22"/>
              </w:rPr>
              <w:t>ACTION DATE</w:t>
            </w:r>
            <w:r w:rsidRPr="00E55CA9">
              <w:rPr>
                <w:rStyle w:val="FootnoteReference"/>
                <w:rFonts w:ascii="Arial" w:hAnsi="Arial" w:cs="Arial"/>
                <w:b/>
                <w:color w:val="000000" w:themeColor="text1"/>
                <w:sz w:val="22"/>
                <w:szCs w:val="22"/>
                <w:u w:val="single"/>
              </w:rPr>
              <w:footnoteReference w:id="2"/>
            </w:r>
          </w:p>
        </w:tc>
      </w:tr>
      <w:tr w:rsidR="00F25756" w:rsidRPr="00E55CA9" w14:paraId="1ED5A2FD" w14:textId="77777777" w:rsidTr="00CB093D">
        <w:trPr>
          <w:cantSplit/>
          <w:trHeight w:hRule="exact" w:val="288"/>
        </w:trPr>
        <w:tc>
          <w:tcPr>
            <w:tcW w:w="6727" w:type="dxa"/>
          </w:tcPr>
          <w:p w14:paraId="3A02AF08" w14:textId="77777777" w:rsidR="00F25756" w:rsidRPr="00E55CA9" w:rsidRDefault="00F25756" w:rsidP="00023685">
            <w:pPr>
              <w:keepLines/>
              <w:spacing w:after="120"/>
              <w:rPr>
                <w:rFonts w:ascii="Arial" w:hAnsi="Arial" w:cs="Arial"/>
              </w:rPr>
            </w:pPr>
            <w:r w:rsidRPr="00E55CA9">
              <w:rPr>
                <w:rFonts w:ascii="Arial" w:hAnsi="Arial" w:cs="Arial"/>
              </w:rPr>
              <w:t>RFP Release</w:t>
            </w:r>
          </w:p>
        </w:tc>
        <w:tc>
          <w:tcPr>
            <w:tcW w:w="2633" w:type="dxa"/>
          </w:tcPr>
          <w:p w14:paraId="1401A9A4" w14:textId="77777777" w:rsidR="00F25756" w:rsidRPr="00E55CA9" w:rsidRDefault="00F25756" w:rsidP="00023685">
            <w:pPr>
              <w:keepNext/>
              <w:keepLines/>
              <w:widowControl w:val="0"/>
              <w:spacing w:after="60"/>
              <w:rPr>
                <w:rFonts w:ascii="Arial" w:hAnsi="Arial" w:cs="Arial"/>
                <w:color w:val="000000" w:themeColor="text1"/>
                <w:sz w:val="22"/>
                <w:szCs w:val="22"/>
              </w:rPr>
            </w:pPr>
            <w:r w:rsidRPr="00E55CA9">
              <w:rPr>
                <w:rFonts w:ascii="Arial" w:hAnsi="Arial" w:cs="Arial"/>
                <w:color w:val="000000" w:themeColor="text1"/>
                <w:sz w:val="22"/>
                <w:szCs w:val="22"/>
              </w:rPr>
              <w:t>12/13/2022</w:t>
            </w:r>
          </w:p>
        </w:tc>
      </w:tr>
      <w:tr w:rsidR="00F25756" w:rsidRPr="00E55CA9" w14:paraId="473C9F57" w14:textId="77777777" w:rsidTr="00CB093D">
        <w:trPr>
          <w:cantSplit/>
          <w:trHeight w:hRule="exact" w:val="288"/>
        </w:trPr>
        <w:tc>
          <w:tcPr>
            <w:tcW w:w="6727" w:type="dxa"/>
          </w:tcPr>
          <w:p w14:paraId="04DA9669" w14:textId="77777777" w:rsidR="00F25756" w:rsidRPr="00E55CA9" w:rsidRDefault="00F25756" w:rsidP="00023685">
            <w:pPr>
              <w:keepLines/>
              <w:spacing w:after="120"/>
              <w:rPr>
                <w:rFonts w:ascii="Arial" w:hAnsi="Arial" w:cs="Arial"/>
              </w:rPr>
            </w:pPr>
            <w:r w:rsidRPr="00E55CA9">
              <w:rPr>
                <w:rFonts w:ascii="Arial" w:hAnsi="Arial" w:cs="Arial"/>
              </w:rPr>
              <w:t>Pre-Bid Conference*</w:t>
            </w:r>
          </w:p>
        </w:tc>
        <w:tc>
          <w:tcPr>
            <w:tcW w:w="2633" w:type="dxa"/>
          </w:tcPr>
          <w:p w14:paraId="50C8ED18" w14:textId="77777777" w:rsidR="00F25756" w:rsidRPr="00E55CA9" w:rsidRDefault="00F25756" w:rsidP="00023685">
            <w:pPr>
              <w:keepNext/>
              <w:keepLines/>
              <w:widowControl w:val="0"/>
              <w:spacing w:after="60"/>
              <w:rPr>
                <w:rFonts w:ascii="Arial" w:hAnsi="Arial" w:cs="Arial"/>
                <w:color w:val="000000" w:themeColor="text1"/>
                <w:sz w:val="22"/>
                <w:szCs w:val="22"/>
              </w:rPr>
            </w:pPr>
            <w:r w:rsidRPr="00E55CA9">
              <w:rPr>
                <w:rFonts w:ascii="Arial" w:hAnsi="Arial" w:cs="Arial"/>
                <w:color w:val="000000" w:themeColor="text1"/>
                <w:sz w:val="22"/>
                <w:szCs w:val="22"/>
              </w:rPr>
              <w:t>12/20/2022</w:t>
            </w:r>
          </w:p>
        </w:tc>
      </w:tr>
      <w:tr w:rsidR="00F25756" w:rsidRPr="00E55CA9" w14:paraId="28F36300" w14:textId="77777777" w:rsidTr="00CB093D">
        <w:trPr>
          <w:cantSplit/>
          <w:trHeight w:hRule="exact" w:val="288"/>
        </w:trPr>
        <w:tc>
          <w:tcPr>
            <w:tcW w:w="6727" w:type="dxa"/>
          </w:tcPr>
          <w:p w14:paraId="7BB99C7A" w14:textId="77777777" w:rsidR="00F25756" w:rsidRPr="00E55CA9" w:rsidRDefault="00F25756" w:rsidP="00023685">
            <w:pPr>
              <w:keepLines/>
              <w:spacing w:after="120"/>
              <w:rPr>
                <w:rFonts w:ascii="Arial" w:hAnsi="Arial" w:cs="Arial"/>
              </w:rPr>
            </w:pPr>
            <w:r w:rsidRPr="00E55CA9">
              <w:rPr>
                <w:rFonts w:ascii="Arial" w:hAnsi="Arial" w:cs="Arial"/>
              </w:rPr>
              <w:t xml:space="preserve">Deadline for Written Questions </w:t>
            </w:r>
            <w:r w:rsidRPr="00E55CA9">
              <w:rPr>
                <w:rFonts w:ascii="Arial" w:hAnsi="Arial" w:cs="Arial"/>
                <w:b/>
                <w:bCs/>
              </w:rPr>
              <w:t xml:space="preserve">by 5:00 p.m.  </w:t>
            </w:r>
            <w:r w:rsidRPr="00E55CA9">
              <w:rPr>
                <w:rFonts w:ascii="Arial" w:hAnsi="Arial" w:cs="Arial"/>
                <w:b/>
                <w:bCs/>
                <w:strike/>
              </w:rPr>
              <w:t>PDT*</w:t>
            </w:r>
          </w:p>
        </w:tc>
        <w:tc>
          <w:tcPr>
            <w:tcW w:w="2633" w:type="dxa"/>
          </w:tcPr>
          <w:p w14:paraId="1AB4E64A" w14:textId="77777777" w:rsidR="00F25756" w:rsidRPr="00E55CA9" w:rsidRDefault="00F25756" w:rsidP="00023685">
            <w:pPr>
              <w:keepNext/>
              <w:keepLines/>
              <w:widowControl w:val="0"/>
              <w:spacing w:after="60"/>
              <w:rPr>
                <w:rFonts w:ascii="Arial" w:hAnsi="Arial" w:cs="Arial"/>
                <w:color w:val="000000" w:themeColor="text1"/>
                <w:sz w:val="22"/>
                <w:szCs w:val="22"/>
              </w:rPr>
            </w:pPr>
            <w:r w:rsidRPr="00E55CA9">
              <w:rPr>
                <w:rFonts w:ascii="Arial" w:hAnsi="Arial" w:cs="Arial"/>
                <w:color w:val="000000" w:themeColor="text1"/>
                <w:sz w:val="22"/>
                <w:szCs w:val="22"/>
              </w:rPr>
              <w:t>12/20/2022</w:t>
            </w:r>
          </w:p>
        </w:tc>
      </w:tr>
      <w:tr w:rsidR="00F25756" w:rsidRPr="00E55CA9" w14:paraId="381E5231" w14:textId="77777777" w:rsidTr="00CB093D">
        <w:trPr>
          <w:cantSplit/>
          <w:trHeight w:hRule="exact" w:val="288"/>
        </w:trPr>
        <w:tc>
          <w:tcPr>
            <w:tcW w:w="6727" w:type="dxa"/>
          </w:tcPr>
          <w:p w14:paraId="1C29C0BB" w14:textId="77777777" w:rsidR="00F25756" w:rsidRPr="00E55CA9" w:rsidRDefault="00F25756" w:rsidP="00023685">
            <w:pPr>
              <w:keepLines/>
              <w:spacing w:after="120"/>
              <w:rPr>
                <w:rFonts w:ascii="Arial" w:hAnsi="Arial" w:cs="Arial"/>
              </w:rPr>
            </w:pPr>
            <w:r w:rsidRPr="00E55CA9">
              <w:rPr>
                <w:rFonts w:ascii="Arial" w:hAnsi="Arial" w:cs="Arial"/>
              </w:rPr>
              <w:t>Distribute Questions/Answers and Addenda (if any) to RFP</w:t>
            </w:r>
          </w:p>
        </w:tc>
        <w:tc>
          <w:tcPr>
            <w:tcW w:w="2633" w:type="dxa"/>
          </w:tcPr>
          <w:p w14:paraId="08D39596" w14:textId="079C1407" w:rsidR="00F25756" w:rsidRPr="00E55CA9" w:rsidRDefault="00F25756" w:rsidP="00023685">
            <w:pPr>
              <w:keepNext/>
              <w:keepLines/>
              <w:widowControl w:val="0"/>
              <w:spacing w:after="60"/>
              <w:rPr>
                <w:rFonts w:ascii="Arial" w:hAnsi="Arial" w:cs="Arial"/>
                <w:strike/>
                <w:color w:val="000000" w:themeColor="text1"/>
                <w:sz w:val="22"/>
                <w:szCs w:val="22"/>
              </w:rPr>
            </w:pPr>
            <w:r w:rsidRPr="00E55CA9">
              <w:rPr>
                <w:rFonts w:ascii="Arial" w:hAnsi="Arial" w:cs="Arial"/>
                <w:b/>
                <w:bCs/>
                <w:color w:val="000000" w:themeColor="text1"/>
                <w:sz w:val="22"/>
                <w:szCs w:val="22"/>
                <w:u w:val="single"/>
              </w:rPr>
              <w:t>1/25/23</w:t>
            </w:r>
            <w:r w:rsidR="00CB093D" w:rsidRPr="00E55CA9">
              <w:rPr>
                <w:rFonts w:ascii="Arial" w:hAnsi="Arial" w:cs="Arial"/>
                <w:b/>
                <w:bCs/>
                <w:color w:val="000000" w:themeColor="text1"/>
                <w:sz w:val="22"/>
                <w:szCs w:val="22"/>
              </w:rPr>
              <w:t xml:space="preserve"> </w:t>
            </w:r>
            <w:r w:rsidRPr="00E55CA9">
              <w:rPr>
                <w:rFonts w:ascii="Arial" w:hAnsi="Arial" w:cs="Arial"/>
                <w:color w:val="000000" w:themeColor="text1"/>
                <w:sz w:val="22"/>
                <w:szCs w:val="22"/>
              </w:rPr>
              <w:t>[</w:t>
            </w:r>
            <w:r w:rsidRPr="00E55CA9">
              <w:rPr>
                <w:rFonts w:ascii="Arial" w:hAnsi="Arial" w:cs="Arial"/>
                <w:strike/>
                <w:color w:val="000000" w:themeColor="text1"/>
                <w:sz w:val="22"/>
                <w:szCs w:val="22"/>
              </w:rPr>
              <w:t>1/3/2023</w:t>
            </w:r>
            <w:r w:rsidRPr="00E55CA9">
              <w:rPr>
                <w:rFonts w:ascii="Arial" w:hAnsi="Arial" w:cs="Arial"/>
                <w:color w:val="000000" w:themeColor="text1"/>
                <w:sz w:val="22"/>
                <w:szCs w:val="22"/>
              </w:rPr>
              <w:t>]</w:t>
            </w:r>
          </w:p>
        </w:tc>
      </w:tr>
      <w:tr w:rsidR="00F25756" w:rsidRPr="00E55CA9" w14:paraId="60AFFF29" w14:textId="77777777" w:rsidTr="00D02410">
        <w:trPr>
          <w:cantSplit/>
          <w:trHeight w:hRule="exact" w:val="433"/>
        </w:trPr>
        <w:tc>
          <w:tcPr>
            <w:tcW w:w="6727" w:type="dxa"/>
          </w:tcPr>
          <w:p w14:paraId="7E43EC33" w14:textId="77777777" w:rsidR="00F25756" w:rsidRPr="00E55CA9" w:rsidRDefault="00F25756" w:rsidP="00023685">
            <w:pPr>
              <w:keepLines/>
              <w:rPr>
                <w:rFonts w:ascii="Arial" w:hAnsi="Arial" w:cs="Arial"/>
                <w:b/>
              </w:rPr>
            </w:pPr>
            <w:r w:rsidRPr="00E55CA9">
              <w:rPr>
                <w:rFonts w:ascii="Arial" w:hAnsi="Arial" w:cs="Arial"/>
                <w:b/>
              </w:rPr>
              <w:t xml:space="preserve">Deadline to Submit proposals by 5:00 p.m. </w:t>
            </w:r>
            <w:r w:rsidRPr="00E55CA9">
              <w:rPr>
                <w:rFonts w:ascii="Arial" w:hAnsi="Arial" w:cs="Arial"/>
                <w:b/>
                <w:strike/>
              </w:rPr>
              <w:t>PDT*</w:t>
            </w:r>
          </w:p>
        </w:tc>
        <w:tc>
          <w:tcPr>
            <w:tcW w:w="2633" w:type="dxa"/>
          </w:tcPr>
          <w:p w14:paraId="0EC96EE5" w14:textId="0B669446" w:rsidR="00F25756" w:rsidRPr="00E55CA9" w:rsidRDefault="00F25756" w:rsidP="00023685">
            <w:pPr>
              <w:keepNext/>
              <w:keepLines/>
              <w:widowControl w:val="0"/>
              <w:rPr>
                <w:rFonts w:ascii="Arial" w:hAnsi="Arial" w:cs="Arial"/>
                <w:b/>
                <w:strike/>
                <w:color w:val="000000" w:themeColor="text1"/>
                <w:sz w:val="22"/>
                <w:szCs w:val="22"/>
              </w:rPr>
            </w:pPr>
            <w:r w:rsidRPr="00E55CA9">
              <w:rPr>
                <w:rFonts w:ascii="Arial" w:hAnsi="Arial" w:cs="Arial"/>
                <w:b/>
                <w:color w:val="000000" w:themeColor="text1"/>
                <w:sz w:val="22"/>
                <w:szCs w:val="22"/>
                <w:u w:val="single"/>
              </w:rPr>
              <w:t>2/14/23</w:t>
            </w:r>
            <w:r w:rsidRPr="00E55CA9">
              <w:rPr>
                <w:rFonts w:ascii="Arial" w:hAnsi="Arial" w:cs="Arial"/>
                <w:b/>
                <w:color w:val="000000" w:themeColor="text1"/>
                <w:sz w:val="22"/>
                <w:szCs w:val="22"/>
              </w:rPr>
              <w:t xml:space="preserve"> </w:t>
            </w:r>
            <w:r w:rsidRPr="00E55CA9">
              <w:rPr>
                <w:rFonts w:ascii="Arial" w:hAnsi="Arial" w:cs="Arial"/>
                <w:bCs/>
                <w:strike/>
                <w:color w:val="000000" w:themeColor="text1"/>
                <w:sz w:val="22"/>
                <w:szCs w:val="22"/>
              </w:rPr>
              <w:t>[1/31/2023</w:t>
            </w:r>
            <w:r w:rsidRPr="00E55CA9">
              <w:rPr>
                <w:rFonts w:ascii="Arial" w:hAnsi="Arial" w:cs="Arial"/>
                <w:bCs/>
                <w:color w:val="000000" w:themeColor="text1"/>
                <w:sz w:val="22"/>
                <w:szCs w:val="22"/>
              </w:rPr>
              <w:t>]</w:t>
            </w:r>
          </w:p>
        </w:tc>
      </w:tr>
      <w:tr w:rsidR="00F25756" w:rsidRPr="00E55CA9" w14:paraId="1A46851C" w14:textId="77777777" w:rsidTr="00CB093D">
        <w:trPr>
          <w:cantSplit/>
          <w:trHeight w:hRule="exact" w:val="343"/>
        </w:trPr>
        <w:tc>
          <w:tcPr>
            <w:tcW w:w="6727" w:type="dxa"/>
          </w:tcPr>
          <w:p w14:paraId="5ADCBC08" w14:textId="77777777" w:rsidR="00F25756" w:rsidRPr="00E55CA9" w:rsidRDefault="00F25756" w:rsidP="00023685">
            <w:pPr>
              <w:keepLines/>
              <w:spacing w:after="120"/>
              <w:rPr>
                <w:rFonts w:ascii="Arial" w:hAnsi="Arial" w:cs="Arial"/>
              </w:rPr>
            </w:pPr>
            <w:r w:rsidRPr="00E55CA9">
              <w:rPr>
                <w:rFonts w:ascii="Arial" w:hAnsi="Arial" w:cs="Arial"/>
              </w:rPr>
              <w:t>Clarification Interviews (If necessary)</w:t>
            </w:r>
          </w:p>
        </w:tc>
        <w:tc>
          <w:tcPr>
            <w:tcW w:w="2633" w:type="dxa"/>
          </w:tcPr>
          <w:p w14:paraId="61266D93" w14:textId="77777777" w:rsidR="00F25756" w:rsidRPr="00E55CA9" w:rsidRDefault="00F25756" w:rsidP="00023685">
            <w:pPr>
              <w:keepNext/>
              <w:keepLines/>
              <w:widowControl w:val="0"/>
              <w:spacing w:after="60"/>
              <w:rPr>
                <w:rFonts w:ascii="Arial" w:hAnsi="Arial" w:cs="Arial"/>
                <w:sz w:val="22"/>
                <w:szCs w:val="22"/>
              </w:rPr>
            </w:pPr>
            <w:r w:rsidRPr="00E55CA9">
              <w:rPr>
                <w:rFonts w:ascii="Arial" w:hAnsi="Arial" w:cs="Arial"/>
                <w:sz w:val="22"/>
                <w:szCs w:val="22"/>
              </w:rPr>
              <w:t>To be determined</w:t>
            </w:r>
          </w:p>
        </w:tc>
      </w:tr>
      <w:tr w:rsidR="00F25756" w:rsidRPr="00E55CA9" w14:paraId="70617C36" w14:textId="77777777" w:rsidTr="00CB093D">
        <w:trPr>
          <w:cantSplit/>
          <w:trHeight w:hRule="exact" w:val="288"/>
        </w:trPr>
        <w:tc>
          <w:tcPr>
            <w:tcW w:w="6727" w:type="dxa"/>
          </w:tcPr>
          <w:p w14:paraId="1E6D3B72" w14:textId="77777777" w:rsidR="00F25756" w:rsidRPr="00E55CA9" w:rsidRDefault="00F25756" w:rsidP="00023685">
            <w:pPr>
              <w:keepLines/>
              <w:spacing w:after="120"/>
              <w:rPr>
                <w:rFonts w:ascii="Arial" w:hAnsi="Arial" w:cs="Arial"/>
              </w:rPr>
            </w:pPr>
            <w:r w:rsidRPr="00E55CA9">
              <w:rPr>
                <w:rFonts w:ascii="Arial" w:hAnsi="Arial" w:cs="Arial"/>
              </w:rPr>
              <w:t xml:space="preserve">Notice of Proposed Award </w:t>
            </w:r>
          </w:p>
        </w:tc>
        <w:tc>
          <w:tcPr>
            <w:tcW w:w="2633" w:type="dxa"/>
          </w:tcPr>
          <w:p w14:paraId="5F8E47B3" w14:textId="77777777" w:rsidR="00F25756" w:rsidRPr="00E55CA9" w:rsidRDefault="00F25756" w:rsidP="00023685">
            <w:pPr>
              <w:keepNext/>
              <w:keepLines/>
              <w:widowControl w:val="0"/>
              <w:spacing w:after="60"/>
              <w:rPr>
                <w:rFonts w:ascii="Arial" w:hAnsi="Arial" w:cs="Arial"/>
                <w:color w:val="000000" w:themeColor="text1"/>
                <w:sz w:val="22"/>
                <w:szCs w:val="22"/>
              </w:rPr>
            </w:pPr>
            <w:r w:rsidRPr="00E55CA9">
              <w:rPr>
                <w:rFonts w:ascii="Arial" w:hAnsi="Arial" w:cs="Arial"/>
                <w:color w:val="000000" w:themeColor="text1"/>
                <w:sz w:val="22"/>
                <w:szCs w:val="22"/>
              </w:rPr>
              <w:t>3/23/2023</w:t>
            </w:r>
          </w:p>
        </w:tc>
      </w:tr>
      <w:tr w:rsidR="00F25756" w:rsidRPr="00E55CA9" w14:paraId="20FE2EB3" w14:textId="77777777" w:rsidTr="00CB093D">
        <w:trPr>
          <w:cantSplit/>
          <w:trHeight w:hRule="exact" w:val="288"/>
        </w:trPr>
        <w:tc>
          <w:tcPr>
            <w:tcW w:w="6727" w:type="dxa"/>
          </w:tcPr>
          <w:p w14:paraId="66E709D1" w14:textId="77777777" w:rsidR="00F25756" w:rsidRPr="00E55CA9" w:rsidRDefault="00F25756" w:rsidP="00023685">
            <w:pPr>
              <w:keepLines/>
              <w:spacing w:after="120"/>
              <w:rPr>
                <w:rFonts w:ascii="Arial" w:hAnsi="Arial" w:cs="Arial"/>
              </w:rPr>
            </w:pPr>
            <w:r w:rsidRPr="00E55CA9">
              <w:rPr>
                <w:rFonts w:ascii="Arial" w:hAnsi="Arial" w:cs="Arial"/>
              </w:rPr>
              <w:t>Commission Business Meeting</w:t>
            </w:r>
          </w:p>
        </w:tc>
        <w:tc>
          <w:tcPr>
            <w:tcW w:w="2633" w:type="dxa"/>
          </w:tcPr>
          <w:p w14:paraId="48708DD6" w14:textId="77777777" w:rsidR="00F25756" w:rsidRPr="00E55CA9" w:rsidRDefault="00F25756" w:rsidP="00023685">
            <w:pPr>
              <w:keepNext/>
              <w:keepLines/>
              <w:widowControl w:val="0"/>
              <w:spacing w:after="60"/>
              <w:rPr>
                <w:rFonts w:ascii="Arial" w:hAnsi="Arial" w:cs="Arial"/>
                <w:color w:val="000000" w:themeColor="text1"/>
                <w:sz w:val="22"/>
                <w:szCs w:val="22"/>
              </w:rPr>
            </w:pPr>
            <w:r w:rsidRPr="00E55CA9">
              <w:rPr>
                <w:rFonts w:ascii="Arial" w:hAnsi="Arial" w:cs="Arial"/>
                <w:color w:val="000000" w:themeColor="text1"/>
                <w:sz w:val="22"/>
                <w:szCs w:val="22"/>
              </w:rPr>
              <w:t>6/14/2023</w:t>
            </w:r>
          </w:p>
        </w:tc>
      </w:tr>
      <w:tr w:rsidR="00F25756" w:rsidRPr="00E55CA9" w14:paraId="67C5A5E2" w14:textId="77777777" w:rsidTr="00CB093D">
        <w:trPr>
          <w:cantSplit/>
          <w:trHeight w:hRule="exact" w:val="271"/>
        </w:trPr>
        <w:tc>
          <w:tcPr>
            <w:tcW w:w="6727" w:type="dxa"/>
            <w:tcBorders>
              <w:bottom w:val="single" w:sz="4" w:space="0" w:color="auto"/>
            </w:tcBorders>
          </w:tcPr>
          <w:p w14:paraId="52524857" w14:textId="77777777" w:rsidR="00F25756" w:rsidRPr="00E55CA9" w:rsidRDefault="00F25756" w:rsidP="00023685">
            <w:pPr>
              <w:keepLines/>
              <w:spacing w:after="120"/>
              <w:rPr>
                <w:rFonts w:ascii="Arial" w:hAnsi="Arial" w:cs="Arial"/>
              </w:rPr>
            </w:pPr>
            <w:r w:rsidRPr="00E55CA9">
              <w:rPr>
                <w:rFonts w:ascii="Arial" w:hAnsi="Arial" w:cs="Arial"/>
              </w:rPr>
              <w:t>Agreement Start Date</w:t>
            </w:r>
          </w:p>
        </w:tc>
        <w:tc>
          <w:tcPr>
            <w:tcW w:w="2633" w:type="dxa"/>
          </w:tcPr>
          <w:p w14:paraId="39AE1E1A" w14:textId="77777777" w:rsidR="00F25756" w:rsidRPr="00E55CA9" w:rsidRDefault="00F25756" w:rsidP="00023685">
            <w:pPr>
              <w:keepNext/>
              <w:keepLines/>
              <w:widowControl w:val="0"/>
              <w:spacing w:after="60"/>
              <w:rPr>
                <w:rFonts w:ascii="Arial" w:hAnsi="Arial" w:cs="Arial"/>
                <w:color w:val="000000" w:themeColor="text1"/>
                <w:sz w:val="22"/>
                <w:szCs w:val="22"/>
              </w:rPr>
            </w:pPr>
            <w:r w:rsidRPr="00E55CA9">
              <w:rPr>
                <w:rFonts w:ascii="Arial" w:hAnsi="Arial" w:cs="Arial"/>
                <w:color w:val="000000" w:themeColor="text1"/>
                <w:sz w:val="22"/>
                <w:szCs w:val="22"/>
              </w:rPr>
              <w:t>7/18/2023</w:t>
            </w:r>
          </w:p>
        </w:tc>
      </w:tr>
      <w:tr w:rsidR="00F25756" w:rsidRPr="00E55CA9" w14:paraId="47FE7D9C" w14:textId="77777777" w:rsidTr="00CB093D">
        <w:trPr>
          <w:cantSplit/>
          <w:trHeight w:hRule="exact" w:val="288"/>
        </w:trPr>
        <w:tc>
          <w:tcPr>
            <w:tcW w:w="6727" w:type="dxa"/>
            <w:tcBorders>
              <w:bottom w:val="single" w:sz="4" w:space="0" w:color="auto"/>
            </w:tcBorders>
          </w:tcPr>
          <w:p w14:paraId="2479B229" w14:textId="77777777" w:rsidR="00F25756" w:rsidRPr="00E55CA9" w:rsidRDefault="00F25756" w:rsidP="00023685">
            <w:pPr>
              <w:keepLines/>
              <w:spacing w:after="120"/>
              <w:rPr>
                <w:rFonts w:ascii="Arial" w:hAnsi="Arial" w:cs="Arial"/>
              </w:rPr>
            </w:pPr>
            <w:r w:rsidRPr="00E55CA9">
              <w:rPr>
                <w:rFonts w:ascii="Arial" w:hAnsi="Arial" w:cs="Arial"/>
                <w:color w:val="000000" w:themeColor="text1"/>
              </w:rPr>
              <w:t>Agreement End Date</w:t>
            </w:r>
          </w:p>
          <w:p w14:paraId="6BB48750" w14:textId="77777777" w:rsidR="00F25756" w:rsidRPr="00E55CA9" w:rsidRDefault="00F25756" w:rsidP="00023685">
            <w:pPr>
              <w:tabs>
                <w:tab w:val="left" w:pos="2290"/>
              </w:tabs>
              <w:rPr>
                <w:rFonts w:ascii="Arial" w:hAnsi="Arial" w:cs="Arial"/>
              </w:rPr>
            </w:pPr>
            <w:r w:rsidRPr="00E55CA9">
              <w:rPr>
                <w:rFonts w:ascii="Arial" w:hAnsi="Arial" w:cs="Arial"/>
              </w:rPr>
              <w:tab/>
            </w:r>
          </w:p>
          <w:p w14:paraId="07B7FFA7" w14:textId="77777777" w:rsidR="00F25756" w:rsidRPr="00E55CA9" w:rsidRDefault="00F25756" w:rsidP="00023685">
            <w:pPr>
              <w:rPr>
                <w:rFonts w:ascii="Arial" w:hAnsi="Arial" w:cs="Arial"/>
              </w:rPr>
            </w:pPr>
          </w:p>
          <w:p w14:paraId="38D75940" w14:textId="77777777" w:rsidR="00F25756" w:rsidRPr="00E55CA9" w:rsidRDefault="00F25756" w:rsidP="00023685">
            <w:pPr>
              <w:tabs>
                <w:tab w:val="left" w:pos="1620"/>
              </w:tabs>
              <w:rPr>
                <w:rFonts w:ascii="Arial" w:hAnsi="Arial" w:cs="Arial"/>
              </w:rPr>
            </w:pPr>
            <w:r w:rsidRPr="00E55CA9">
              <w:rPr>
                <w:rFonts w:ascii="Arial" w:hAnsi="Arial" w:cs="Arial"/>
              </w:rPr>
              <w:tab/>
            </w:r>
          </w:p>
        </w:tc>
        <w:tc>
          <w:tcPr>
            <w:tcW w:w="2633" w:type="dxa"/>
          </w:tcPr>
          <w:p w14:paraId="3887ACD7" w14:textId="77777777" w:rsidR="00F25756" w:rsidRPr="00E55CA9" w:rsidRDefault="00F25756" w:rsidP="00023685">
            <w:pPr>
              <w:rPr>
                <w:rFonts w:ascii="Arial" w:hAnsi="Arial" w:cs="Arial"/>
                <w:sz w:val="22"/>
                <w:szCs w:val="22"/>
              </w:rPr>
            </w:pPr>
            <w:r w:rsidRPr="00E55CA9">
              <w:rPr>
                <w:rFonts w:ascii="Arial" w:hAnsi="Arial" w:cs="Arial"/>
                <w:sz w:val="22"/>
                <w:szCs w:val="22"/>
              </w:rPr>
              <w:t>3/31/2031</w:t>
            </w:r>
          </w:p>
        </w:tc>
      </w:tr>
    </w:tbl>
    <w:p w14:paraId="60E39FA3" w14:textId="77777777" w:rsidR="000D2EFF" w:rsidRPr="00557A18" w:rsidRDefault="000D2EFF" w:rsidP="000D2EFF">
      <w:pPr>
        <w:pStyle w:val="FootnoteText"/>
        <w:rPr>
          <w:b/>
          <w:bCs/>
          <w:u w:val="single"/>
        </w:rPr>
      </w:pPr>
      <w:r w:rsidRPr="000D2EFF">
        <w:rPr>
          <w:vertAlign w:val="superscript"/>
        </w:rPr>
        <w:t xml:space="preserve">1 </w:t>
      </w:r>
      <w:r w:rsidRPr="00557A18">
        <w:rPr>
          <w:b/>
          <w:bCs/>
          <w:u w:val="single"/>
        </w:rPr>
        <w:t>Pacific Standard Time or Pacific Daylight Time, whichever is being observed.</w:t>
      </w:r>
    </w:p>
    <w:p w14:paraId="76965241" w14:textId="177014B2" w:rsidR="00F25756" w:rsidRDefault="00F25756" w:rsidP="00AD3DB4">
      <w:pPr>
        <w:pStyle w:val="Default"/>
        <w:ind w:left="1080" w:right="-720"/>
      </w:pPr>
    </w:p>
    <w:p w14:paraId="16EA90A7" w14:textId="60974223" w:rsidR="00BF7A18" w:rsidRDefault="00BF7A18" w:rsidP="00BF7A18">
      <w:pPr>
        <w:pStyle w:val="Default"/>
        <w:ind w:right="-720"/>
      </w:pPr>
    </w:p>
    <w:p w14:paraId="6C20BCAA" w14:textId="7AF70EE0" w:rsidR="00636135" w:rsidRDefault="00636135" w:rsidP="005852B2">
      <w:pPr>
        <w:pStyle w:val="Default"/>
        <w:numPr>
          <w:ilvl w:val="0"/>
          <w:numId w:val="2"/>
        </w:numPr>
        <w:ind w:right="-720"/>
      </w:pPr>
      <w:r>
        <w:t xml:space="preserve">Page 26 of the Application Manual, Scope of Work, </w:t>
      </w:r>
      <w:r w:rsidR="006958E7" w:rsidRPr="006958E7">
        <w:t>Subtask 4.4 Develop and Edit Technical Reports and Outreach Materials</w:t>
      </w:r>
      <w:r w:rsidR="006958E7">
        <w:t xml:space="preserve"> </w:t>
      </w:r>
      <w:r>
        <w:t>has the update shown below:</w:t>
      </w:r>
    </w:p>
    <w:p w14:paraId="4BDD202F" w14:textId="77777777" w:rsidR="00636135" w:rsidRDefault="00636135" w:rsidP="00636135">
      <w:pPr>
        <w:pStyle w:val="Default"/>
        <w:ind w:left="360" w:right="-720"/>
      </w:pPr>
    </w:p>
    <w:p w14:paraId="712F054F" w14:textId="77E17523" w:rsidR="00636135" w:rsidRDefault="00636135" w:rsidP="00636135">
      <w:pPr>
        <w:pStyle w:val="Default"/>
        <w:ind w:left="360" w:right="-720"/>
      </w:pPr>
      <w:r w:rsidRPr="43551234">
        <w:rPr>
          <w:i/>
        </w:rPr>
        <w:t xml:space="preserve">Program Materials </w:t>
      </w:r>
      <w:r>
        <w:t xml:space="preserve">may include but not be limited </w:t>
      </w:r>
      <w:proofErr w:type="gramStart"/>
      <w:r>
        <w:t>to:</w:t>
      </w:r>
      <w:proofErr w:type="gramEnd"/>
      <w:r>
        <w:t xml:space="preserve"> informational reports, technical reports, case studies, </w:t>
      </w:r>
      <w:r w:rsidRPr="00C87BA5">
        <w:rPr>
          <w:b/>
          <w:bCs/>
          <w:u w:val="single"/>
        </w:rPr>
        <w:t xml:space="preserve">program templates, administrative guidelines, </w:t>
      </w:r>
      <w:r>
        <w:t>presentations, graphic design materials, photographic materials, brochures, project fact sheets, press releases, and newsletter articles.</w:t>
      </w:r>
    </w:p>
    <w:p w14:paraId="0454A429" w14:textId="77777777" w:rsidR="00636135" w:rsidRDefault="00636135" w:rsidP="00636135">
      <w:pPr>
        <w:pStyle w:val="Default"/>
        <w:ind w:right="-720"/>
      </w:pPr>
    </w:p>
    <w:p w14:paraId="32E32DDC" w14:textId="45CFE283" w:rsidR="00CC1E79" w:rsidRDefault="004D5EEA" w:rsidP="005852B2">
      <w:pPr>
        <w:pStyle w:val="Default"/>
        <w:numPr>
          <w:ilvl w:val="0"/>
          <w:numId w:val="2"/>
        </w:numPr>
        <w:ind w:right="-720"/>
      </w:pPr>
      <w:r w:rsidRPr="007E2767">
        <w:lastRenderedPageBreak/>
        <w:t xml:space="preserve">Page </w:t>
      </w:r>
      <w:r w:rsidR="007C7834">
        <w:t>26</w:t>
      </w:r>
      <w:r w:rsidRPr="007E2767">
        <w:t xml:space="preserve"> </w:t>
      </w:r>
      <w:r w:rsidR="00B5475F">
        <w:t xml:space="preserve">and 27 </w:t>
      </w:r>
      <w:r w:rsidRPr="007E2767">
        <w:t xml:space="preserve">of the </w:t>
      </w:r>
      <w:r>
        <w:t>Application</w:t>
      </w:r>
      <w:r w:rsidRPr="007E2767">
        <w:t xml:space="preserve"> Manual, </w:t>
      </w:r>
      <w:r w:rsidR="001F6FFD">
        <w:t xml:space="preserve">Scope of Work, Task </w:t>
      </w:r>
      <w:r w:rsidR="00F54765">
        <w:t>4</w:t>
      </w:r>
      <w:r w:rsidR="00BC2D51">
        <w:t xml:space="preserve"> has </w:t>
      </w:r>
      <w:r w:rsidR="00DA783E">
        <w:t xml:space="preserve">been updated to add </w:t>
      </w:r>
      <w:r w:rsidR="00F578B3">
        <w:t>Task 4.5</w:t>
      </w:r>
      <w:r w:rsidR="00F54765">
        <w:t xml:space="preserve"> </w:t>
      </w:r>
      <w:r w:rsidR="00F54765" w:rsidRPr="00F54765">
        <w:t>California Environmental Quality Act Review and Assessment</w:t>
      </w:r>
      <w:r w:rsidR="00DA783E">
        <w:t xml:space="preserve">, </w:t>
      </w:r>
      <w:r w:rsidR="005852B2">
        <w:t>shown</w:t>
      </w:r>
      <w:r w:rsidR="00DA783E">
        <w:t xml:space="preserve"> below:</w:t>
      </w:r>
    </w:p>
    <w:p w14:paraId="69848131" w14:textId="77777777" w:rsidR="00DA783E" w:rsidRPr="00E55CA9" w:rsidRDefault="00DA783E" w:rsidP="00DA783E">
      <w:pPr>
        <w:keepNext/>
        <w:spacing w:before="240" w:after="120"/>
        <w:rPr>
          <w:rFonts w:ascii="Arial" w:hAnsi="Arial" w:cs="Arial"/>
          <w:b/>
          <w:u w:val="single"/>
        </w:rPr>
      </w:pPr>
      <w:r w:rsidRPr="00E55CA9">
        <w:rPr>
          <w:rFonts w:ascii="Arial" w:hAnsi="Arial" w:cs="Arial"/>
          <w:b/>
          <w:u w:val="single"/>
        </w:rPr>
        <w:t>TASK 4.5: California Environmental Quality Act Review and Assessment</w:t>
      </w:r>
    </w:p>
    <w:p w14:paraId="1B5D1E74" w14:textId="77777777" w:rsidR="00DA783E" w:rsidRPr="00E55CA9" w:rsidRDefault="00DA783E" w:rsidP="00DA783E">
      <w:pPr>
        <w:rPr>
          <w:rFonts w:ascii="Arial" w:hAnsi="Arial" w:cs="Arial"/>
          <w:b/>
          <w:u w:val="single"/>
        </w:rPr>
      </w:pPr>
      <w:r w:rsidRPr="00E55CA9">
        <w:rPr>
          <w:rFonts w:ascii="Arial" w:hAnsi="Arial" w:cs="Arial"/>
          <w:b/>
          <w:u w:val="single"/>
        </w:rPr>
        <w:t xml:space="preserve">When the CEC considers funding R&amp;D projects, including proposals and amendments, it may need to prepare environmental review documents, including but not limited to an </w:t>
      </w:r>
      <w:r w:rsidRPr="00E55CA9">
        <w:rPr>
          <w:rFonts w:ascii="Arial" w:hAnsi="Arial" w:cs="Arial"/>
          <w:b/>
          <w:bCs/>
          <w:u w:val="single"/>
        </w:rPr>
        <w:t xml:space="preserve">exemption, </w:t>
      </w:r>
      <w:r w:rsidRPr="00E55CA9">
        <w:rPr>
          <w:rFonts w:ascii="Arial" w:hAnsi="Arial" w:cs="Arial"/>
          <w:b/>
          <w:u w:val="single"/>
        </w:rPr>
        <w:t>initial study, negative declaration, environmental impact report, responses to public comments, addendum or other supplemental documentation, mitigation measures, findings, and a statement of overriding considerations, for projects under the California Environmental Quality Act (CEQA). The goal of this task is to assist staff with preparing CEQA analysis and documentation for R&amp;D projects. The Contractor, under the direction of CEC staff, will perform more complex and detailed CEQA assessments and activities based on technical expertise under this task, including, but not limited to, the following activities.</w:t>
      </w:r>
    </w:p>
    <w:p w14:paraId="5E65FFF6" w14:textId="77777777" w:rsidR="00DA783E" w:rsidRPr="00E55CA9" w:rsidRDefault="00DA783E" w:rsidP="00DA783E">
      <w:pPr>
        <w:rPr>
          <w:rFonts w:ascii="Arial" w:hAnsi="Arial" w:cs="Arial"/>
          <w:b/>
          <w:u w:val="single"/>
        </w:rPr>
      </w:pPr>
    </w:p>
    <w:p w14:paraId="0A196693" w14:textId="77777777" w:rsidR="00DA783E" w:rsidRPr="00E55CA9" w:rsidRDefault="00DA783E" w:rsidP="00DA783E">
      <w:pPr>
        <w:rPr>
          <w:rFonts w:ascii="Arial" w:hAnsi="Arial" w:cs="Arial"/>
          <w:b/>
          <w:u w:val="single"/>
        </w:rPr>
      </w:pPr>
      <w:r w:rsidRPr="00E55CA9">
        <w:rPr>
          <w:rFonts w:ascii="Arial" w:hAnsi="Arial" w:cs="Arial"/>
          <w:b/>
          <w:u w:val="single"/>
        </w:rPr>
        <w:t xml:space="preserve">The Contractor shall:  </w:t>
      </w:r>
    </w:p>
    <w:p w14:paraId="0B80BF97" w14:textId="77777777" w:rsidR="00DA783E" w:rsidRPr="00E55CA9" w:rsidRDefault="00DA783E" w:rsidP="00DA783E">
      <w:pPr>
        <w:pStyle w:val="ListParagraph"/>
        <w:numPr>
          <w:ilvl w:val="0"/>
          <w:numId w:val="6"/>
        </w:numPr>
        <w:spacing w:after="160" w:line="259" w:lineRule="auto"/>
        <w:rPr>
          <w:rFonts w:ascii="Arial" w:hAnsi="Arial" w:cs="Arial"/>
          <w:b/>
          <w:u w:val="single"/>
        </w:rPr>
      </w:pPr>
      <w:r w:rsidRPr="00E55CA9">
        <w:rPr>
          <w:rFonts w:ascii="Arial" w:hAnsi="Arial" w:cs="Arial"/>
          <w:b/>
          <w:u w:val="single"/>
        </w:rPr>
        <w:t xml:space="preserve">Provide a </w:t>
      </w:r>
      <w:bookmarkStart w:id="1" w:name="_Hlk124947746"/>
      <w:r w:rsidRPr="00E55CA9">
        <w:rPr>
          <w:rFonts w:ascii="Arial" w:hAnsi="Arial" w:cs="Arial"/>
          <w:b/>
          <w:i/>
          <w:iCs/>
          <w:u w:val="single"/>
        </w:rPr>
        <w:t>Preliminary CEQA Project Assessment</w:t>
      </w:r>
      <w:r w:rsidRPr="00E55CA9">
        <w:rPr>
          <w:rFonts w:ascii="Arial" w:hAnsi="Arial" w:cs="Arial"/>
          <w:b/>
          <w:u w:val="single"/>
        </w:rPr>
        <w:t xml:space="preserve"> </w:t>
      </w:r>
      <w:bookmarkEnd w:id="1"/>
      <w:r w:rsidRPr="00E55CA9">
        <w:rPr>
          <w:rFonts w:ascii="Arial" w:hAnsi="Arial" w:cs="Arial"/>
          <w:b/>
          <w:u w:val="single"/>
        </w:rPr>
        <w:t>after reviewing and assessing R&amp;D project or amendment proposals, including but not limited to the following activities</w:t>
      </w:r>
      <w:r w:rsidRPr="00E55CA9">
        <w:rPr>
          <w:rFonts w:ascii="Arial" w:hAnsi="Arial" w:cs="Arial"/>
          <w:b/>
          <w:bCs/>
          <w:u w:val="single"/>
        </w:rPr>
        <w:t>:</w:t>
      </w:r>
    </w:p>
    <w:p w14:paraId="6542C172" w14:textId="77777777" w:rsidR="00DA783E" w:rsidRPr="00E55CA9" w:rsidRDefault="00DA783E" w:rsidP="00DA783E">
      <w:pPr>
        <w:pStyle w:val="ListParagraph"/>
        <w:numPr>
          <w:ilvl w:val="1"/>
          <w:numId w:val="6"/>
        </w:numPr>
        <w:spacing w:after="160" w:line="259" w:lineRule="auto"/>
        <w:rPr>
          <w:rFonts w:ascii="Arial" w:hAnsi="Arial" w:cs="Arial"/>
          <w:b/>
          <w:u w:val="single"/>
        </w:rPr>
      </w:pPr>
      <w:r w:rsidRPr="00E55CA9">
        <w:rPr>
          <w:rFonts w:ascii="Arial" w:hAnsi="Arial" w:cs="Arial"/>
          <w:b/>
          <w:u w:val="single"/>
        </w:rPr>
        <w:t>Review lead, responsible, and trustee agency documents.</w:t>
      </w:r>
    </w:p>
    <w:p w14:paraId="4D041817" w14:textId="77777777" w:rsidR="00DA783E" w:rsidRPr="00E55CA9" w:rsidRDefault="00DA783E" w:rsidP="00DA783E">
      <w:pPr>
        <w:pStyle w:val="ListParagraph"/>
        <w:numPr>
          <w:ilvl w:val="1"/>
          <w:numId w:val="6"/>
        </w:numPr>
        <w:spacing w:after="120" w:line="259" w:lineRule="auto"/>
        <w:rPr>
          <w:rFonts w:ascii="Arial" w:hAnsi="Arial" w:cs="Arial"/>
          <w:b/>
          <w:u w:val="single"/>
        </w:rPr>
      </w:pPr>
      <w:r w:rsidRPr="00E55CA9">
        <w:rPr>
          <w:rFonts w:ascii="Arial" w:hAnsi="Arial" w:cs="Arial"/>
          <w:b/>
          <w:u w:val="single"/>
        </w:rPr>
        <w:t>Assist the CEC in multi-jurisdictional consultation, such as federal, state, and local agencies</w:t>
      </w:r>
      <w:r w:rsidRPr="00E55CA9">
        <w:rPr>
          <w:rFonts w:ascii="Arial" w:hAnsi="Arial" w:cs="Arial"/>
          <w:b/>
          <w:bCs/>
          <w:u w:val="single"/>
        </w:rPr>
        <w:t>,</w:t>
      </w:r>
      <w:r w:rsidRPr="00E55CA9">
        <w:rPr>
          <w:rFonts w:ascii="Arial" w:hAnsi="Arial" w:cs="Arial"/>
          <w:b/>
          <w:u w:val="single"/>
        </w:rPr>
        <w:t xml:space="preserve"> in determining the scope of the environmental review for proposed R&amp;D projects. </w:t>
      </w:r>
    </w:p>
    <w:p w14:paraId="311D16DA" w14:textId="77777777" w:rsidR="00DA783E" w:rsidRPr="00E55CA9" w:rsidRDefault="00DA783E" w:rsidP="00DA783E">
      <w:pPr>
        <w:pStyle w:val="ListParagraph"/>
        <w:numPr>
          <w:ilvl w:val="1"/>
          <w:numId w:val="6"/>
        </w:numPr>
        <w:spacing w:after="160" w:line="259" w:lineRule="auto"/>
        <w:rPr>
          <w:rFonts w:ascii="Arial" w:hAnsi="Arial" w:cs="Arial"/>
          <w:b/>
          <w:u w:val="single"/>
        </w:rPr>
      </w:pPr>
      <w:r w:rsidRPr="00E55CA9">
        <w:rPr>
          <w:rFonts w:ascii="Arial" w:hAnsi="Arial" w:cs="Arial"/>
          <w:b/>
          <w:u w:val="single"/>
        </w:rPr>
        <w:t>Use environmental analytic models and support tools to identify data gaps and to perform special studies to assess CEQA impacts.</w:t>
      </w:r>
    </w:p>
    <w:p w14:paraId="440283A2" w14:textId="77777777" w:rsidR="00DA783E" w:rsidRPr="00E55CA9" w:rsidRDefault="00DA783E" w:rsidP="00DA783E">
      <w:pPr>
        <w:pStyle w:val="ListParagraph"/>
        <w:numPr>
          <w:ilvl w:val="1"/>
          <w:numId w:val="6"/>
        </w:numPr>
        <w:spacing w:after="160" w:line="259" w:lineRule="auto"/>
        <w:rPr>
          <w:rFonts w:ascii="Arial" w:hAnsi="Arial" w:cs="Arial"/>
          <w:b/>
          <w:u w:val="single"/>
        </w:rPr>
      </w:pPr>
      <w:r w:rsidRPr="00E55CA9">
        <w:rPr>
          <w:rFonts w:ascii="Arial" w:hAnsi="Arial" w:cs="Arial"/>
          <w:b/>
          <w:u w:val="single"/>
        </w:rPr>
        <w:t xml:space="preserve">Conduct CEQA related literature searches and provide a summary of results. </w:t>
      </w:r>
    </w:p>
    <w:p w14:paraId="2F80C0E8" w14:textId="77777777" w:rsidR="00DA783E" w:rsidRPr="00E55CA9" w:rsidRDefault="00DA783E" w:rsidP="00DA783E">
      <w:pPr>
        <w:pStyle w:val="ListParagraph"/>
        <w:numPr>
          <w:ilvl w:val="1"/>
          <w:numId w:val="6"/>
        </w:numPr>
        <w:spacing w:after="160" w:line="259" w:lineRule="auto"/>
        <w:rPr>
          <w:rFonts w:ascii="Arial" w:hAnsi="Arial" w:cs="Arial"/>
          <w:b/>
          <w:u w:val="single"/>
        </w:rPr>
      </w:pPr>
      <w:r w:rsidRPr="00E55CA9">
        <w:rPr>
          <w:rFonts w:ascii="Arial" w:hAnsi="Arial" w:cs="Arial"/>
          <w:b/>
          <w:u w:val="single"/>
        </w:rPr>
        <w:t>Provide Geographic Information Systems (GIS) and aerial information systems analysis and mapping services.</w:t>
      </w:r>
    </w:p>
    <w:p w14:paraId="79756310" w14:textId="77777777" w:rsidR="00DA783E" w:rsidRPr="00E55CA9" w:rsidRDefault="00DA783E" w:rsidP="00DA783E">
      <w:pPr>
        <w:pStyle w:val="ListParagraph"/>
        <w:numPr>
          <w:ilvl w:val="1"/>
          <w:numId w:val="6"/>
        </w:numPr>
        <w:spacing w:after="120" w:line="259" w:lineRule="auto"/>
        <w:rPr>
          <w:rFonts w:ascii="Arial" w:hAnsi="Arial" w:cs="Arial"/>
          <w:b/>
          <w:u w:val="single"/>
        </w:rPr>
      </w:pPr>
      <w:r w:rsidRPr="00E55CA9">
        <w:rPr>
          <w:rFonts w:ascii="Arial" w:hAnsi="Arial" w:cs="Arial"/>
          <w:b/>
          <w:u w:val="single"/>
        </w:rPr>
        <w:t>Conduct site surveys and field assessments</w:t>
      </w:r>
      <w:r w:rsidRPr="00E55CA9" w:rsidDel="00A44E16">
        <w:rPr>
          <w:rFonts w:ascii="Arial" w:hAnsi="Arial" w:cs="Arial"/>
          <w:b/>
          <w:u w:val="single"/>
        </w:rPr>
        <w:t>.</w:t>
      </w:r>
    </w:p>
    <w:p w14:paraId="27665466" w14:textId="77777777" w:rsidR="00DA783E" w:rsidRPr="00E55CA9" w:rsidRDefault="00DA783E" w:rsidP="00DA783E">
      <w:pPr>
        <w:pStyle w:val="ListParagraph"/>
        <w:numPr>
          <w:ilvl w:val="0"/>
          <w:numId w:val="6"/>
        </w:numPr>
        <w:spacing w:after="160" w:line="259" w:lineRule="auto"/>
        <w:rPr>
          <w:rFonts w:ascii="Arial" w:hAnsi="Arial" w:cs="Arial"/>
          <w:b/>
          <w:u w:val="single"/>
        </w:rPr>
      </w:pPr>
      <w:r w:rsidRPr="00E55CA9">
        <w:rPr>
          <w:rFonts w:ascii="Arial" w:hAnsi="Arial" w:cs="Arial"/>
          <w:b/>
          <w:u w:val="single"/>
        </w:rPr>
        <w:t>P</w:t>
      </w:r>
      <w:r w:rsidRPr="00E55CA9" w:rsidDel="00A44E16">
        <w:rPr>
          <w:rFonts w:ascii="Arial" w:hAnsi="Arial" w:cs="Arial"/>
          <w:b/>
          <w:u w:val="single"/>
        </w:rPr>
        <w:t xml:space="preserve">repare </w:t>
      </w:r>
      <w:r w:rsidRPr="00E55CA9">
        <w:rPr>
          <w:rFonts w:ascii="Arial" w:hAnsi="Arial" w:cs="Arial"/>
          <w:b/>
          <w:i/>
          <w:iCs/>
          <w:u w:val="single"/>
        </w:rPr>
        <w:t>E</w:t>
      </w:r>
      <w:r w:rsidRPr="00E55CA9" w:rsidDel="00A44E16">
        <w:rPr>
          <w:rFonts w:ascii="Arial" w:hAnsi="Arial" w:cs="Arial"/>
          <w:b/>
          <w:i/>
          <w:iCs/>
          <w:u w:val="single"/>
        </w:rPr>
        <w:t xml:space="preserve">nvironmental </w:t>
      </w:r>
      <w:r w:rsidRPr="00E55CA9">
        <w:rPr>
          <w:rFonts w:ascii="Arial" w:hAnsi="Arial" w:cs="Arial"/>
          <w:b/>
          <w:i/>
          <w:iCs/>
          <w:u w:val="single"/>
        </w:rPr>
        <w:t>Im</w:t>
      </w:r>
      <w:r w:rsidRPr="00E55CA9" w:rsidDel="00A44E16">
        <w:rPr>
          <w:rFonts w:ascii="Arial" w:hAnsi="Arial" w:cs="Arial"/>
          <w:b/>
          <w:i/>
          <w:iCs/>
          <w:u w:val="single"/>
        </w:rPr>
        <w:t xml:space="preserve">pact </w:t>
      </w:r>
      <w:r w:rsidRPr="00E55CA9">
        <w:rPr>
          <w:rFonts w:ascii="Arial" w:hAnsi="Arial" w:cs="Arial"/>
          <w:b/>
          <w:i/>
          <w:iCs/>
          <w:u w:val="single"/>
        </w:rPr>
        <w:t>A</w:t>
      </w:r>
      <w:r w:rsidRPr="00E55CA9" w:rsidDel="00A44E16">
        <w:rPr>
          <w:rFonts w:ascii="Arial" w:hAnsi="Arial" w:cs="Arial"/>
          <w:b/>
          <w:i/>
          <w:iCs/>
          <w:u w:val="single"/>
        </w:rPr>
        <w:t>nalysis</w:t>
      </w:r>
      <w:r w:rsidRPr="00E55CA9">
        <w:rPr>
          <w:rFonts w:ascii="Arial" w:hAnsi="Arial" w:cs="Arial"/>
          <w:b/>
          <w:i/>
          <w:iCs/>
          <w:u w:val="single"/>
        </w:rPr>
        <w:t xml:space="preserve"> and Related Documents</w:t>
      </w:r>
      <w:r w:rsidRPr="00E55CA9" w:rsidDel="00A44E16">
        <w:rPr>
          <w:rFonts w:ascii="Arial" w:hAnsi="Arial" w:cs="Arial"/>
          <w:b/>
          <w:i/>
          <w:iCs/>
          <w:u w:val="single"/>
        </w:rPr>
        <w:t>,</w:t>
      </w:r>
      <w:r w:rsidRPr="00E55CA9" w:rsidDel="00A44E16">
        <w:rPr>
          <w:rFonts w:ascii="Arial" w:hAnsi="Arial" w:cs="Arial"/>
          <w:b/>
          <w:u w:val="single"/>
        </w:rPr>
        <w:t xml:space="preserve"> such as a Notice of Exemption, a</w:t>
      </w:r>
      <w:r w:rsidRPr="00E55CA9">
        <w:rPr>
          <w:rFonts w:ascii="Arial" w:hAnsi="Arial" w:cs="Arial"/>
          <w:b/>
          <w:u w:val="single"/>
        </w:rPr>
        <w:t xml:space="preserve">n Initial Study, a Mitigated Negative Declaration, an Environmental Impact Report, a </w:t>
      </w:r>
      <w:r w:rsidRPr="00E55CA9" w:rsidDel="00A44E16">
        <w:rPr>
          <w:rFonts w:ascii="Arial" w:hAnsi="Arial" w:cs="Arial"/>
          <w:b/>
          <w:u w:val="single"/>
        </w:rPr>
        <w:t>Notice of Preparation</w:t>
      </w:r>
      <w:r w:rsidRPr="00E55CA9">
        <w:rPr>
          <w:rFonts w:ascii="Arial" w:hAnsi="Arial" w:cs="Arial"/>
          <w:b/>
          <w:u w:val="single"/>
        </w:rPr>
        <w:t xml:space="preserve">, and a Notice of Determination, including an analysis of project alternatives, if necessary, etc. </w:t>
      </w:r>
    </w:p>
    <w:p w14:paraId="1BC0A300" w14:textId="77777777" w:rsidR="00DA783E" w:rsidRPr="00E55CA9" w:rsidRDefault="00DA783E" w:rsidP="00DA783E">
      <w:pPr>
        <w:pStyle w:val="ListParagraph"/>
        <w:numPr>
          <w:ilvl w:val="0"/>
          <w:numId w:val="6"/>
        </w:numPr>
        <w:spacing w:after="160" w:line="259" w:lineRule="auto"/>
        <w:rPr>
          <w:rFonts w:ascii="Arial" w:hAnsi="Arial" w:cs="Arial"/>
          <w:b/>
          <w:u w:val="single"/>
        </w:rPr>
      </w:pPr>
      <w:r w:rsidRPr="00E55CA9">
        <w:rPr>
          <w:rFonts w:ascii="Arial" w:hAnsi="Arial" w:cs="Arial"/>
          <w:b/>
          <w:u w:val="single"/>
        </w:rPr>
        <w:lastRenderedPageBreak/>
        <w:t>Analysis and assessment will consider potential impacts in the resource areas listed in CEQA Guidelines Appendix G</w:t>
      </w:r>
      <w:r w:rsidRPr="00E55CA9">
        <w:rPr>
          <w:rStyle w:val="FootnoteReference"/>
          <w:rFonts w:ascii="Arial" w:hAnsi="Arial" w:cs="Arial"/>
          <w:b/>
          <w:u w:val="single"/>
        </w:rPr>
        <w:footnoteReference w:id="3"/>
      </w:r>
      <w:r w:rsidRPr="00E55CA9">
        <w:rPr>
          <w:rFonts w:ascii="Arial" w:hAnsi="Arial" w:cs="Arial"/>
          <w:b/>
          <w:u w:val="single"/>
        </w:rPr>
        <w:t xml:space="preserve">, as well as </w:t>
      </w:r>
      <w:r w:rsidRPr="00E55CA9" w:rsidDel="00A24FF1">
        <w:rPr>
          <w:rFonts w:ascii="Arial" w:hAnsi="Arial" w:cs="Arial"/>
          <w:b/>
          <w:u w:val="single"/>
        </w:rPr>
        <w:t xml:space="preserve">coastal resources, fisheries, lands adjacent to Native American and Indigenous </w:t>
      </w:r>
      <w:r w:rsidRPr="00E55CA9">
        <w:rPr>
          <w:rFonts w:ascii="Arial" w:hAnsi="Arial" w:cs="Arial"/>
          <w:b/>
          <w:u w:val="single"/>
        </w:rPr>
        <w:t>lands</w:t>
      </w:r>
      <w:r w:rsidRPr="00E55CA9">
        <w:rPr>
          <w:rFonts w:ascii="Arial" w:hAnsi="Arial" w:cs="Arial"/>
          <w:b/>
          <w:bCs/>
          <w:u w:val="single"/>
        </w:rPr>
        <w:t>,</w:t>
      </w:r>
      <w:r w:rsidRPr="00E55CA9">
        <w:rPr>
          <w:rFonts w:ascii="Arial" w:hAnsi="Arial" w:cs="Arial"/>
          <w:b/>
          <w:u w:val="single"/>
        </w:rPr>
        <w:t xml:space="preserve"> and mitigation strategies for addressing those potential impacts.</w:t>
      </w:r>
    </w:p>
    <w:p w14:paraId="4839F797" w14:textId="77777777" w:rsidR="00DA783E" w:rsidRPr="00E55CA9" w:rsidRDefault="00DA783E" w:rsidP="00DA783E">
      <w:pPr>
        <w:pStyle w:val="ListParagraph"/>
        <w:numPr>
          <w:ilvl w:val="0"/>
          <w:numId w:val="6"/>
        </w:numPr>
        <w:spacing w:after="160" w:line="259" w:lineRule="auto"/>
        <w:rPr>
          <w:rFonts w:ascii="Arial" w:hAnsi="Arial" w:cs="Arial"/>
          <w:b/>
          <w:u w:val="single"/>
        </w:rPr>
      </w:pPr>
      <w:r w:rsidRPr="00E55CA9">
        <w:rPr>
          <w:rFonts w:ascii="Arial" w:hAnsi="Arial" w:cs="Arial"/>
          <w:b/>
          <w:u w:val="single"/>
        </w:rPr>
        <w:t>Assist CEC ERDD’s Assistant Tribal Liaison with the tribal consultation processes described in CEQA and the CEC’s Tribal Consultation Policy (2021).</w:t>
      </w:r>
    </w:p>
    <w:p w14:paraId="72DC255B" w14:textId="77777777" w:rsidR="00DA783E" w:rsidRPr="00E55CA9" w:rsidRDefault="00DA783E" w:rsidP="00DA783E">
      <w:pPr>
        <w:pStyle w:val="ListParagraph"/>
        <w:numPr>
          <w:ilvl w:val="0"/>
          <w:numId w:val="6"/>
        </w:numPr>
        <w:spacing w:after="160" w:line="259" w:lineRule="auto"/>
        <w:rPr>
          <w:rFonts w:ascii="Arial" w:hAnsi="Arial" w:cs="Arial"/>
          <w:b/>
          <w:u w:val="single"/>
        </w:rPr>
      </w:pPr>
      <w:r w:rsidRPr="00E55CA9">
        <w:rPr>
          <w:rFonts w:ascii="Arial" w:hAnsi="Arial" w:cs="Arial"/>
          <w:b/>
          <w:u w:val="single"/>
        </w:rPr>
        <w:t>Evaluate feasible mitigation measures that would substantially lessen or avoid any significant effects on the environment.</w:t>
      </w:r>
    </w:p>
    <w:p w14:paraId="02921B88" w14:textId="77777777" w:rsidR="00DA783E" w:rsidRPr="00E55CA9" w:rsidRDefault="00DA783E" w:rsidP="00DA783E">
      <w:pPr>
        <w:pStyle w:val="ListParagraph"/>
        <w:numPr>
          <w:ilvl w:val="0"/>
          <w:numId w:val="6"/>
        </w:numPr>
        <w:spacing w:after="160" w:line="259" w:lineRule="auto"/>
        <w:rPr>
          <w:rFonts w:ascii="Arial" w:hAnsi="Arial" w:cs="Arial"/>
          <w:b/>
          <w:u w:val="single"/>
        </w:rPr>
      </w:pPr>
      <w:r w:rsidRPr="00E55CA9">
        <w:rPr>
          <w:rFonts w:ascii="Arial" w:hAnsi="Arial" w:cs="Arial"/>
          <w:b/>
          <w:u w:val="single"/>
        </w:rPr>
        <w:t xml:space="preserve">Provide </w:t>
      </w:r>
      <w:r w:rsidRPr="00E55CA9">
        <w:rPr>
          <w:rFonts w:ascii="Arial" w:hAnsi="Arial" w:cs="Arial"/>
          <w:b/>
          <w:i/>
          <w:iCs/>
          <w:u w:val="single"/>
        </w:rPr>
        <w:t>Written Responses to Comments and Questions</w:t>
      </w:r>
      <w:r w:rsidRPr="00E55CA9">
        <w:rPr>
          <w:rFonts w:ascii="Arial" w:hAnsi="Arial" w:cs="Arial"/>
          <w:b/>
          <w:u w:val="single"/>
        </w:rPr>
        <w:t xml:space="preserve"> received on environmental analysis documents provided.</w:t>
      </w:r>
    </w:p>
    <w:p w14:paraId="3A36F378" w14:textId="77777777" w:rsidR="00DA783E" w:rsidRPr="00E55CA9" w:rsidRDefault="00DA783E" w:rsidP="00DA783E">
      <w:pPr>
        <w:pStyle w:val="ListParagraph"/>
        <w:numPr>
          <w:ilvl w:val="0"/>
          <w:numId w:val="6"/>
        </w:numPr>
        <w:spacing w:after="160" w:line="259" w:lineRule="auto"/>
        <w:rPr>
          <w:rFonts w:ascii="Arial" w:hAnsi="Arial" w:cs="Arial"/>
          <w:b/>
          <w:u w:val="single"/>
        </w:rPr>
      </w:pPr>
      <w:r w:rsidRPr="00E55CA9">
        <w:rPr>
          <w:rFonts w:ascii="Arial" w:hAnsi="Arial" w:cs="Arial"/>
          <w:b/>
          <w:u w:val="single"/>
        </w:rPr>
        <w:t>Develop and present PowerPoint</w:t>
      </w:r>
      <w:r w:rsidRPr="00E55CA9">
        <w:rPr>
          <w:rFonts w:ascii="Arial" w:hAnsi="Arial" w:cs="Arial"/>
          <w:b/>
          <w:i/>
          <w:iCs/>
          <w:u w:val="single"/>
        </w:rPr>
        <w:t xml:space="preserve"> Presentations and Meeting Materials</w:t>
      </w:r>
      <w:r w:rsidRPr="00E55CA9">
        <w:rPr>
          <w:rFonts w:ascii="Arial" w:hAnsi="Arial" w:cs="Arial"/>
          <w:b/>
          <w:u w:val="single"/>
        </w:rPr>
        <w:t xml:space="preserve"> and facilitate meetings and workshops.</w:t>
      </w:r>
    </w:p>
    <w:p w14:paraId="69270BE0" w14:textId="77777777" w:rsidR="00DA783E" w:rsidRPr="00E55CA9" w:rsidRDefault="00DA783E" w:rsidP="00DA783E">
      <w:pPr>
        <w:pStyle w:val="ListParagraph"/>
        <w:numPr>
          <w:ilvl w:val="0"/>
          <w:numId w:val="6"/>
        </w:numPr>
        <w:spacing w:after="160" w:line="259" w:lineRule="auto"/>
        <w:rPr>
          <w:rFonts w:ascii="Arial" w:hAnsi="Arial" w:cs="Arial"/>
          <w:b/>
          <w:u w:val="single"/>
        </w:rPr>
      </w:pPr>
      <w:r w:rsidRPr="00E55CA9">
        <w:rPr>
          <w:rFonts w:ascii="Arial" w:hAnsi="Arial" w:cs="Arial"/>
          <w:b/>
          <w:u w:val="single"/>
        </w:rPr>
        <w:t xml:space="preserve">Maintain all </w:t>
      </w:r>
      <w:r w:rsidRPr="00E55CA9">
        <w:rPr>
          <w:rFonts w:ascii="Arial" w:hAnsi="Arial" w:cs="Arial"/>
          <w:b/>
          <w:i/>
          <w:iCs/>
          <w:u w:val="single"/>
        </w:rPr>
        <w:t>CEQA Project Analysis Files</w:t>
      </w:r>
      <w:r w:rsidRPr="00E55CA9">
        <w:rPr>
          <w:rFonts w:ascii="Arial" w:hAnsi="Arial" w:cs="Arial"/>
          <w:b/>
          <w:u w:val="single"/>
        </w:rPr>
        <w:t xml:space="preserve"> related to work undertaken for this task for the administrative record.  </w:t>
      </w:r>
    </w:p>
    <w:p w14:paraId="19FF7395" w14:textId="77777777" w:rsidR="00DA783E" w:rsidRPr="00E55CA9" w:rsidRDefault="00DA783E" w:rsidP="00DA783E">
      <w:pPr>
        <w:rPr>
          <w:rFonts w:ascii="Arial" w:hAnsi="Arial" w:cs="Arial"/>
          <w:b/>
          <w:u w:val="single"/>
        </w:rPr>
      </w:pPr>
    </w:p>
    <w:p w14:paraId="7801E17C" w14:textId="77777777" w:rsidR="00DA783E" w:rsidRPr="00E55CA9" w:rsidRDefault="00DA783E" w:rsidP="00DA783E">
      <w:pPr>
        <w:rPr>
          <w:rFonts w:ascii="Arial" w:hAnsi="Arial" w:cs="Arial"/>
          <w:b/>
          <w:u w:val="single"/>
        </w:rPr>
      </w:pPr>
      <w:r w:rsidRPr="00E55CA9">
        <w:rPr>
          <w:rFonts w:ascii="Arial" w:hAnsi="Arial" w:cs="Arial"/>
          <w:b/>
          <w:u w:val="single"/>
        </w:rPr>
        <w:t>Deliverables:</w:t>
      </w:r>
    </w:p>
    <w:p w14:paraId="7B344163" w14:textId="77777777" w:rsidR="00DA783E" w:rsidRPr="00E55CA9" w:rsidRDefault="00DA783E" w:rsidP="00DA783E">
      <w:pPr>
        <w:pStyle w:val="ListParagraph"/>
        <w:numPr>
          <w:ilvl w:val="0"/>
          <w:numId w:val="7"/>
        </w:numPr>
        <w:contextualSpacing w:val="0"/>
        <w:rPr>
          <w:rFonts w:ascii="Arial" w:hAnsi="Arial" w:cs="Arial"/>
          <w:b/>
          <w:u w:val="single"/>
        </w:rPr>
      </w:pPr>
      <w:r w:rsidRPr="00E55CA9">
        <w:rPr>
          <w:rFonts w:ascii="Arial" w:hAnsi="Arial" w:cs="Arial"/>
          <w:b/>
          <w:bCs/>
          <w:u w:val="single"/>
        </w:rPr>
        <w:t xml:space="preserve">Preliminary CEQA Project Assessment </w:t>
      </w:r>
    </w:p>
    <w:p w14:paraId="1EBD702C" w14:textId="77777777" w:rsidR="00DA783E" w:rsidRPr="00E55CA9" w:rsidRDefault="00DA783E" w:rsidP="00DA783E">
      <w:pPr>
        <w:pStyle w:val="ListParagraph"/>
        <w:numPr>
          <w:ilvl w:val="0"/>
          <w:numId w:val="7"/>
        </w:numPr>
        <w:contextualSpacing w:val="0"/>
        <w:rPr>
          <w:rFonts w:ascii="Arial" w:hAnsi="Arial" w:cs="Arial"/>
          <w:b/>
          <w:u w:val="single"/>
        </w:rPr>
      </w:pPr>
      <w:r w:rsidRPr="00E55CA9">
        <w:rPr>
          <w:rFonts w:ascii="Arial" w:hAnsi="Arial" w:cs="Arial"/>
          <w:b/>
          <w:bCs/>
          <w:u w:val="single"/>
        </w:rPr>
        <w:t>Environmental</w:t>
      </w:r>
      <w:r w:rsidRPr="00E55CA9">
        <w:rPr>
          <w:rFonts w:ascii="Arial" w:hAnsi="Arial" w:cs="Arial"/>
          <w:b/>
          <w:u w:val="single"/>
        </w:rPr>
        <w:t xml:space="preserve"> Impact Analysis and Related Documents</w:t>
      </w:r>
    </w:p>
    <w:p w14:paraId="64850F8A" w14:textId="77777777" w:rsidR="00DA783E" w:rsidRPr="00E55CA9" w:rsidRDefault="00DA783E" w:rsidP="00DA783E">
      <w:pPr>
        <w:pStyle w:val="ListParagraph"/>
        <w:numPr>
          <w:ilvl w:val="0"/>
          <w:numId w:val="7"/>
        </w:numPr>
        <w:contextualSpacing w:val="0"/>
        <w:rPr>
          <w:rFonts w:ascii="Arial" w:hAnsi="Arial" w:cs="Arial"/>
          <w:b/>
          <w:bCs/>
          <w:u w:val="single"/>
        </w:rPr>
      </w:pPr>
      <w:r w:rsidRPr="00E55CA9">
        <w:rPr>
          <w:rFonts w:ascii="Arial" w:hAnsi="Arial" w:cs="Arial"/>
          <w:b/>
          <w:bCs/>
          <w:u w:val="single"/>
        </w:rPr>
        <w:t>Written Responses to Comments and Questions</w:t>
      </w:r>
    </w:p>
    <w:p w14:paraId="5FB20CE1" w14:textId="77777777" w:rsidR="00DA783E" w:rsidRPr="00E55CA9" w:rsidRDefault="00DA783E" w:rsidP="00DA783E">
      <w:pPr>
        <w:pStyle w:val="ListParagraph"/>
        <w:numPr>
          <w:ilvl w:val="0"/>
          <w:numId w:val="7"/>
        </w:numPr>
        <w:contextualSpacing w:val="0"/>
        <w:rPr>
          <w:rFonts w:ascii="Arial" w:hAnsi="Arial" w:cs="Arial"/>
          <w:b/>
          <w:u w:val="single"/>
        </w:rPr>
      </w:pPr>
      <w:r w:rsidRPr="00E55CA9">
        <w:rPr>
          <w:rFonts w:ascii="Arial" w:hAnsi="Arial" w:cs="Arial"/>
          <w:b/>
          <w:bCs/>
          <w:u w:val="single"/>
        </w:rPr>
        <w:t>Presentations and Meeting</w:t>
      </w:r>
      <w:r w:rsidRPr="00E55CA9">
        <w:rPr>
          <w:rFonts w:ascii="Arial" w:hAnsi="Arial" w:cs="Arial"/>
          <w:b/>
          <w:u w:val="single"/>
        </w:rPr>
        <w:t xml:space="preserve"> Materials</w:t>
      </w:r>
    </w:p>
    <w:p w14:paraId="4CA4F538" w14:textId="77777777" w:rsidR="00DA783E" w:rsidRPr="00475B1B" w:rsidRDefault="00DA783E" w:rsidP="00DA783E">
      <w:pPr>
        <w:pStyle w:val="ListParagraph"/>
        <w:numPr>
          <w:ilvl w:val="0"/>
          <w:numId w:val="7"/>
        </w:numPr>
        <w:contextualSpacing w:val="0"/>
        <w:rPr>
          <w:b/>
          <w:bCs/>
          <w:u w:val="single"/>
        </w:rPr>
      </w:pPr>
      <w:r w:rsidRPr="00E55CA9">
        <w:rPr>
          <w:rFonts w:ascii="Arial" w:hAnsi="Arial" w:cs="Arial"/>
          <w:b/>
          <w:bCs/>
          <w:u w:val="single"/>
        </w:rPr>
        <w:t>CEQA Project Analysis Files</w:t>
      </w:r>
    </w:p>
    <w:p w14:paraId="477F7681" w14:textId="77777777" w:rsidR="00083450" w:rsidRDefault="00083450" w:rsidP="00DA783E">
      <w:pPr>
        <w:pStyle w:val="Default"/>
        <w:ind w:left="1080" w:right="-720"/>
      </w:pPr>
    </w:p>
    <w:p w14:paraId="4FB00FD3" w14:textId="4C2D3518" w:rsidR="00650F6D" w:rsidRDefault="0030386F" w:rsidP="0030386F">
      <w:pPr>
        <w:pStyle w:val="Default"/>
        <w:numPr>
          <w:ilvl w:val="0"/>
          <w:numId w:val="2"/>
        </w:numPr>
        <w:ind w:right="-720"/>
      </w:pPr>
      <w:r>
        <w:t xml:space="preserve">Page </w:t>
      </w:r>
      <w:r w:rsidR="000A39CD">
        <w:t>39</w:t>
      </w:r>
      <w:r>
        <w:t xml:space="preserve"> </w:t>
      </w:r>
      <w:r w:rsidR="00693548" w:rsidRPr="007E2767">
        <w:t xml:space="preserve">of the </w:t>
      </w:r>
      <w:r w:rsidR="00693548">
        <w:t>Application</w:t>
      </w:r>
      <w:r w:rsidR="00693548" w:rsidRPr="007E2767">
        <w:t xml:space="preserve"> Manual</w:t>
      </w:r>
      <w:r w:rsidR="00693548">
        <w:t xml:space="preserve">, </w:t>
      </w:r>
      <w:r w:rsidR="000237F1">
        <w:t xml:space="preserve">Exhibit A – Attachment A-1, Schedule of Deliverables and Due Dates has corresponding </w:t>
      </w:r>
      <w:r w:rsidR="001A1AA1">
        <w:t xml:space="preserve">Task 4.5 </w:t>
      </w:r>
      <w:r w:rsidR="000237F1">
        <w:t>updates</w:t>
      </w:r>
      <w:r w:rsidR="00693548">
        <w:t xml:space="preserve"> shown below</w:t>
      </w:r>
      <w:r w:rsidR="00F71097">
        <w:t>:</w:t>
      </w:r>
    </w:p>
    <w:p w14:paraId="3A71A714" w14:textId="77777777" w:rsidR="00F71097" w:rsidRDefault="00F71097" w:rsidP="00F71097">
      <w:pPr>
        <w:pStyle w:val="Default"/>
        <w:ind w:left="360" w:right="-720"/>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2909"/>
        <w:gridCol w:w="2603"/>
        <w:gridCol w:w="2077"/>
      </w:tblGrid>
      <w:tr w:rsidR="00B77A86" w:rsidRPr="00E55CA9" w14:paraId="2699D43F" w14:textId="77777777" w:rsidTr="00023685">
        <w:tc>
          <w:tcPr>
            <w:tcW w:w="1681" w:type="dxa"/>
          </w:tcPr>
          <w:p w14:paraId="50D1BDA7" w14:textId="77777777" w:rsidR="00B77A86" w:rsidRPr="00E55CA9" w:rsidRDefault="00B77A86" w:rsidP="00023685">
            <w:pPr>
              <w:keepLines/>
              <w:rPr>
                <w:rFonts w:ascii="Arial" w:hAnsi="Arial" w:cs="Arial"/>
              </w:rPr>
            </w:pPr>
            <w:r w:rsidRPr="00E55CA9">
              <w:rPr>
                <w:rFonts w:ascii="Arial" w:hAnsi="Arial" w:cs="Arial"/>
                <w:b/>
                <w:bCs/>
                <w:u w:val="single"/>
              </w:rPr>
              <w:t>4.5</w:t>
            </w:r>
          </w:p>
        </w:tc>
        <w:tc>
          <w:tcPr>
            <w:tcW w:w="2909" w:type="dxa"/>
          </w:tcPr>
          <w:p w14:paraId="196586F6" w14:textId="77777777" w:rsidR="00B77A86" w:rsidRPr="00E55CA9" w:rsidRDefault="00B77A86" w:rsidP="00023685">
            <w:pPr>
              <w:pStyle w:val="ListParagraph"/>
              <w:ind w:left="17"/>
              <w:rPr>
                <w:rFonts w:ascii="Arial" w:hAnsi="Arial" w:cs="Arial"/>
                <w:b/>
                <w:u w:val="single"/>
              </w:rPr>
            </w:pPr>
            <w:r w:rsidRPr="00E55CA9">
              <w:rPr>
                <w:rFonts w:ascii="Arial" w:hAnsi="Arial" w:cs="Arial"/>
                <w:b/>
                <w:bCs/>
                <w:u w:val="single"/>
              </w:rPr>
              <w:t>California Environmental Quality Act Review and Assessment</w:t>
            </w:r>
          </w:p>
        </w:tc>
        <w:tc>
          <w:tcPr>
            <w:tcW w:w="2603" w:type="dxa"/>
          </w:tcPr>
          <w:p w14:paraId="66F7564B" w14:textId="77777777" w:rsidR="00B77A86" w:rsidRPr="00E55CA9" w:rsidRDefault="00B77A86" w:rsidP="00023685">
            <w:pPr>
              <w:keepLines/>
              <w:rPr>
                <w:rFonts w:ascii="Arial" w:hAnsi="Arial" w:cs="Arial"/>
                <w:b/>
                <w:bCs/>
                <w:u w:val="single"/>
              </w:rPr>
            </w:pPr>
            <w:r w:rsidRPr="00E55CA9">
              <w:rPr>
                <w:rFonts w:ascii="Arial" w:hAnsi="Arial" w:cs="Arial"/>
                <w:b/>
                <w:bCs/>
                <w:u w:val="single"/>
              </w:rPr>
              <w:t>To be determined via WA</w:t>
            </w:r>
          </w:p>
        </w:tc>
        <w:tc>
          <w:tcPr>
            <w:tcW w:w="2077" w:type="dxa"/>
          </w:tcPr>
          <w:p w14:paraId="39B66DAA" w14:textId="77777777" w:rsidR="00B77A86" w:rsidRPr="00E55CA9" w:rsidRDefault="00B77A86" w:rsidP="00023685">
            <w:pPr>
              <w:keepLines/>
              <w:rPr>
                <w:rFonts w:ascii="Arial" w:hAnsi="Arial" w:cs="Arial"/>
                <w:b/>
                <w:bCs/>
                <w:u w:val="single"/>
              </w:rPr>
            </w:pPr>
            <w:r w:rsidRPr="00E55CA9">
              <w:rPr>
                <w:rFonts w:ascii="Arial" w:hAnsi="Arial" w:cs="Arial"/>
                <w:b/>
                <w:bCs/>
                <w:u w:val="single"/>
              </w:rPr>
              <w:t>To be determined via WA</w:t>
            </w:r>
          </w:p>
        </w:tc>
      </w:tr>
    </w:tbl>
    <w:p w14:paraId="0956EB35" w14:textId="36D44DFA" w:rsidR="00636135" w:rsidRDefault="00636135" w:rsidP="004D5EEA">
      <w:pPr>
        <w:rPr>
          <w:rFonts w:ascii="Arial" w:hAnsi="Arial" w:cs="Arial"/>
        </w:rPr>
      </w:pPr>
    </w:p>
    <w:p w14:paraId="09C0349C" w14:textId="77777777" w:rsidR="00636135" w:rsidRDefault="00636135">
      <w:pPr>
        <w:rPr>
          <w:rFonts w:ascii="Arial" w:hAnsi="Arial" w:cs="Arial"/>
        </w:rPr>
      </w:pPr>
      <w:r>
        <w:rPr>
          <w:rFonts w:ascii="Arial" w:hAnsi="Arial" w:cs="Arial"/>
        </w:rPr>
        <w:br w:type="page"/>
      </w:r>
    </w:p>
    <w:p w14:paraId="2E726774" w14:textId="62CD9650" w:rsidR="00E2207C" w:rsidRDefault="00B86EB2" w:rsidP="00AA083C">
      <w:pPr>
        <w:pStyle w:val="Default"/>
        <w:numPr>
          <w:ilvl w:val="0"/>
          <w:numId w:val="2"/>
        </w:numPr>
        <w:ind w:right="-720"/>
      </w:pPr>
      <w:r>
        <w:lastRenderedPageBreak/>
        <w:t>Page 6</w:t>
      </w:r>
      <w:r w:rsidR="000A39CD">
        <w:t>7</w:t>
      </w:r>
      <w:r>
        <w:t xml:space="preserve"> and 6</w:t>
      </w:r>
      <w:r w:rsidR="000A39CD">
        <w:t>8</w:t>
      </w:r>
      <w:r>
        <w:t xml:space="preserve"> </w:t>
      </w:r>
      <w:r w:rsidR="00414051" w:rsidRPr="007E2767">
        <w:t xml:space="preserve">of the </w:t>
      </w:r>
      <w:r w:rsidR="00414051">
        <w:t>Application</w:t>
      </w:r>
      <w:r w:rsidR="00414051" w:rsidRPr="007E2767">
        <w:t xml:space="preserve"> Manual</w:t>
      </w:r>
      <w:r w:rsidR="002104BA">
        <w:t xml:space="preserve">, </w:t>
      </w:r>
      <w:r w:rsidR="00874B38" w:rsidRPr="00874B38">
        <w:t xml:space="preserve">Personnel Technical Qualifications </w:t>
      </w:r>
      <w:r w:rsidR="007573E3">
        <w:t>Area</w:t>
      </w:r>
      <w:r w:rsidR="006F1F30">
        <w:t>s</w:t>
      </w:r>
      <w:r w:rsidR="007573E3">
        <w:t xml:space="preserve"> of Expertise table</w:t>
      </w:r>
      <w:r w:rsidR="00E2207C">
        <w:t xml:space="preserve"> has the following update:</w:t>
      </w:r>
    </w:p>
    <w:p w14:paraId="4F2C2088" w14:textId="26D01678" w:rsidR="00CC1E79" w:rsidRPr="00AA083C" w:rsidRDefault="00AA083C" w:rsidP="00E2207C">
      <w:pPr>
        <w:pStyle w:val="Default"/>
        <w:numPr>
          <w:ilvl w:val="1"/>
          <w:numId w:val="2"/>
        </w:numPr>
        <w:ind w:right="-720"/>
      </w:pPr>
      <w:r w:rsidRPr="00AA083C">
        <w:t>Area I. Cross-Cutting Program Support</w:t>
      </w:r>
      <w:r w:rsidR="0003233D">
        <w:t xml:space="preserve"> </w:t>
      </w:r>
      <w:r w:rsidR="00B86EB2">
        <w:t>ha</w:t>
      </w:r>
      <w:r w:rsidR="0003233D">
        <w:t>s</w:t>
      </w:r>
      <w:r w:rsidR="00B86EB2">
        <w:t xml:space="preserve"> been</w:t>
      </w:r>
      <w:r w:rsidR="00D73AA4">
        <w:t xml:space="preserve"> updated to include </w:t>
      </w:r>
      <w:r w:rsidR="00E17947">
        <w:t>technical</w:t>
      </w:r>
      <w:r w:rsidR="001A1D8A">
        <w:t xml:space="preserve"> </w:t>
      </w:r>
      <w:r w:rsidR="00E17947">
        <w:t>area</w:t>
      </w:r>
      <w:r w:rsidR="001A1D8A">
        <w:t xml:space="preserve"> </w:t>
      </w:r>
      <w:r w:rsidR="007714FD" w:rsidRPr="003A5409">
        <w:t xml:space="preserve">#46 </w:t>
      </w:r>
      <w:r w:rsidR="00F46613" w:rsidRPr="003A5409">
        <w:t>California Environmental Quality Act (CEQA) Specialists</w:t>
      </w:r>
      <w:r w:rsidR="00F46613">
        <w:t xml:space="preserve"> </w:t>
      </w:r>
      <w:r w:rsidR="00D05053">
        <w:t>and the</w:t>
      </w:r>
      <w:r w:rsidR="00E201F9">
        <w:t xml:space="preserve"> corresponding </w:t>
      </w:r>
      <w:r w:rsidR="00D73AA4">
        <w:t>sub</w:t>
      </w:r>
      <w:r w:rsidR="00B41810">
        <w:t>-</w:t>
      </w:r>
      <w:r w:rsidR="00D73AA4">
        <w:t xml:space="preserve">skill sets for </w:t>
      </w:r>
      <w:r w:rsidR="000509E7">
        <w:t>Task 4.5 CEQA activities.</w:t>
      </w:r>
    </w:p>
    <w:p w14:paraId="5B72CB21" w14:textId="77777777" w:rsidR="009A2E44" w:rsidRDefault="009A2E44" w:rsidP="004D5EEA">
      <w:pPr>
        <w:rPr>
          <w:rFonts w:ascii="Arial" w:hAnsi="Arial" w:cs="Arial"/>
        </w:rPr>
      </w:pPr>
    </w:p>
    <w:p w14:paraId="2B3CC304" w14:textId="3E1B1507" w:rsidR="00416513" w:rsidRPr="00E55CA9" w:rsidRDefault="00416513" w:rsidP="00416513">
      <w:pPr>
        <w:pStyle w:val="ListParagraph"/>
        <w:numPr>
          <w:ilvl w:val="2"/>
          <w:numId w:val="2"/>
        </w:numPr>
        <w:tabs>
          <w:tab w:val="left" w:pos="990"/>
        </w:tabs>
        <w:ind w:left="360" w:firstLine="0"/>
        <w:rPr>
          <w:rFonts w:ascii="Arial" w:hAnsi="Arial" w:cs="Arial"/>
          <w:b/>
          <w:bCs/>
          <w:u w:val="single"/>
        </w:rPr>
      </w:pPr>
      <w:r w:rsidRPr="00E55CA9">
        <w:rPr>
          <w:rFonts w:ascii="Arial" w:hAnsi="Arial" w:cs="Arial"/>
          <w:b/>
          <w:bCs/>
          <w:u w:val="single"/>
        </w:rPr>
        <w:t>California Environmental Quality Act (CEQA) Specialists</w:t>
      </w:r>
    </w:p>
    <w:p w14:paraId="551231F1" w14:textId="77777777" w:rsidR="00416513" w:rsidRPr="00E55CA9" w:rsidRDefault="00416513" w:rsidP="00416513">
      <w:pPr>
        <w:pStyle w:val="ListParagraph"/>
        <w:ind w:left="522"/>
        <w:rPr>
          <w:rFonts w:ascii="Arial" w:hAnsi="Arial" w:cs="Arial"/>
          <w:b/>
        </w:rPr>
      </w:pPr>
    </w:p>
    <w:p w14:paraId="3612BAF3" w14:textId="77777777" w:rsidR="00416513" w:rsidRPr="00E55CA9" w:rsidRDefault="00416513" w:rsidP="000C0CF0">
      <w:pPr>
        <w:pStyle w:val="Heading3"/>
        <w:keepNext w:val="0"/>
        <w:keepLines w:val="0"/>
        <w:widowControl w:val="0"/>
        <w:numPr>
          <w:ilvl w:val="0"/>
          <w:numId w:val="9"/>
        </w:numPr>
        <w:tabs>
          <w:tab w:val="num" w:pos="360"/>
        </w:tabs>
        <w:spacing w:before="0" w:after="0"/>
        <w:ind w:left="878" w:firstLine="0"/>
        <w:jc w:val="left"/>
        <w:rPr>
          <w:u w:val="single"/>
        </w:rPr>
      </w:pPr>
      <w:r w:rsidRPr="00E55CA9">
        <w:rPr>
          <w:u w:val="single"/>
        </w:rPr>
        <w:t xml:space="preserve">Provide analytical environmental impact review and assessment </w:t>
      </w:r>
    </w:p>
    <w:p w14:paraId="079AD24C" w14:textId="77777777" w:rsidR="00416513" w:rsidRPr="00E55CA9" w:rsidRDefault="00416513" w:rsidP="000C0CF0">
      <w:pPr>
        <w:pStyle w:val="Heading3"/>
        <w:keepNext w:val="0"/>
        <w:keepLines w:val="0"/>
        <w:widowControl w:val="0"/>
        <w:numPr>
          <w:ilvl w:val="0"/>
          <w:numId w:val="9"/>
        </w:numPr>
        <w:tabs>
          <w:tab w:val="num" w:pos="360"/>
        </w:tabs>
        <w:spacing w:before="0" w:after="0"/>
        <w:ind w:left="878" w:firstLine="0"/>
        <w:jc w:val="left"/>
        <w:rPr>
          <w:u w:val="single"/>
        </w:rPr>
      </w:pPr>
      <w:r w:rsidRPr="00E55CA9">
        <w:rPr>
          <w:u w:val="single"/>
        </w:rPr>
        <w:t>Provide assessment of proposed project impacts, including applicable exemptions or determinations under CEQA</w:t>
      </w:r>
    </w:p>
    <w:p w14:paraId="5982752A" w14:textId="77777777" w:rsidR="00416513" w:rsidRPr="00E55CA9" w:rsidRDefault="00416513" w:rsidP="000C0CF0">
      <w:pPr>
        <w:pStyle w:val="Heading3"/>
        <w:keepNext w:val="0"/>
        <w:keepLines w:val="0"/>
        <w:widowControl w:val="0"/>
        <w:numPr>
          <w:ilvl w:val="0"/>
          <w:numId w:val="9"/>
        </w:numPr>
        <w:tabs>
          <w:tab w:val="num" w:pos="360"/>
        </w:tabs>
        <w:spacing w:before="0" w:after="0"/>
        <w:ind w:left="878" w:firstLine="0"/>
        <w:jc w:val="left"/>
        <w:rPr>
          <w:u w:val="single"/>
        </w:rPr>
      </w:pPr>
      <w:r w:rsidRPr="00E55CA9">
        <w:rPr>
          <w:u w:val="single"/>
        </w:rPr>
        <w:t>Demonstrate understanding of applicable CEQA requirements related to “Lead” or “Responsible” agencies</w:t>
      </w:r>
    </w:p>
    <w:p w14:paraId="7CD5B800" w14:textId="77777777" w:rsidR="00416513" w:rsidRPr="00E55CA9" w:rsidRDefault="00416513" w:rsidP="000C0CF0">
      <w:pPr>
        <w:pStyle w:val="Heading3"/>
        <w:keepNext w:val="0"/>
        <w:keepLines w:val="0"/>
        <w:widowControl w:val="0"/>
        <w:numPr>
          <w:ilvl w:val="0"/>
          <w:numId w:val="9"/>
        </w:numPr>
        <w:tabs>
          <w:tab w:val="num" w:pos="360"/>
        </w:tabs>
        <w:spacing w:before="0" w:after="0"/>
        <w:ind w:left="878" w:firstLine="0"/>
        <w:jc w:val="left"/>
        <w:rPr>
          <w:u w:val="single"/>
        </w:rPr>
      </w:pPr>
      <w:r w:rsidRPr="00E55CA9">
        <w:rPr>
          <w:u w:val="single"/>
        </w:rPr>
        <w:t>Have experience working with tribal governments and communities to assess projects adjacent to tribal lands</w:t>
      </w:r>
    </w:p>
    <w:p w14:paraId="2E00DFD9" w14:textId="77777777" w:rsidR="00416513" w:rsidRPr="00E55CA9" w:rsidRDefault="00416513" w:rsidP="000C0CF0">
      <w:pPr>
        <w:pStyle w:val="Heading3"/>
        <w:keepNext w:val="0"/>
        <w:keepLines w:val="0"/>
        <w:widowControl w:val="0"/>
        <w:numPr>
          <w:ilvl w:val="0"/>
          <w:numId w:val="9"/>
        </w:numPr>
        <w:tabs>
          <w:tab w:val="num" w:pos="360"/>
        </w:tabs>
        <w:spacing w:before="0" w:after="0"/>
        <w:ind w:left="878" w:firstLine="0"/>
        <w:jc w:val="left"/>
        <w:rPr>
          <w:u w:val="single"/>
        </w:rPr>
      </w:pPr>
      <w:r w:rsidRPr="00E55CA9">
        <w:rPr>
          <w:u w:val="single"/>
        </w:rPr>
        <w:t xml:space="preserve">Conduct an initial study and prepare subsequent documentation, such as a notice of determination, </w:t>
      </w:r>
      <w:r w:rsidRPr="00E55CA9">
        <w:rPr>
          <w:bCs/>
          <w:u w:val="single"/>
        </w:rPr>
        <w:t>environmental impact report, negative declaration, mitigation measures, findings</w:t>
      </w:r>
      <w:r w:rsidRPr="00E55CA9">
        <w:rPr>
          <w:u w:val="single"/>
        </w:rPr>
        <w:t>,</w:t>
      </w:r>
      <w:r w:rsidRPr="00E55CA9">
        <w:rPr>
          <w:bCs/>
          <w:u w:val="single"/>
        </w:rPr>
        <w:t xml:space="preserve"> and a statement of overriding considerations, </w:t>
      </w:r>
      <w:r w:rsidRPr="00E55CA9">
        <w:rPr>
          <w:u w:val="single"/>
        </w:rPr>
        <w:t>and provide</w:t>
      </w:r>
      <w:r w:rsidRPr="00E55CA9">
        <w:rPr>
          <w:bCs/>
          <w:u w:val="single"/>
        </w:rPr>
        <w:t xml:space="preserve"> responses to public comments</w:t>
      </w:r>
      <w:r w:rsidRPr="00E55CA9">
        <w:rPr>
          <w:u w:val="single"/>
        </w:rPr>
        <w:t xml:space="preserve"> for proposed project impacts using required subject matter experts</w:t>
      </w:r>
    </w:p>
    <w:p w14:paraId="72984772" w14:textId="77777777" w:rsidR="00416513" w:rsidRPr="00E55CA9" w:rsidRDefault="00416513" w:rsidP="00416513">
      <w:pPr>
        <w:pStyle w:val="Heading3"/>
        <w:keepLines w:val="0"/>
        <w:spacing w:before="0" w:after="0"/>
        <w:ind w:left="883"/>
        <w:jc w:val="left"/>
        <w:rPr>
          <w:bCs/>
          <w:szCs w:val="24"/>
          <w:u w:val="single"/>
        </w:rPr>
      </w:pPr>
    </w:p>
    <w:p w14:paraId="56F9C26B" w14:textId="77777777" w:rsidR="00416513" w:rsidRPr="00E55CA9" w:rsidRDefault="00416513" w:rsidP="00416513">
      <w:pPr>
        <w:pStyle w:val="Heading3"/>
        <w:keepLines w:val="0"/>
        <w:spacing w:before="0" w:after="0"/>
        <w:ind w:left="883"/>
        <w:jc w:val="left"/>
        <w:rPr>
          <w:u w:val="single"/>
        </w:rPr>
      </w:pPr>
      <w:r w:rsidRPr="00E55CA9">
        <w:rPr>
          <w:u w:val="single"/>
        </w:rPr>
        <w:t>Possess expertise in the following topic and sub-topic areas:</w:t>
      </w:r>
    </w:p>
    <w:p w14:paraId="46A47330" w14:textId="77777777" w:rsidR="00416513" w:rsidRPr="00E55CA9" w:rsidRDefault="00416513" w:rsidP="00416513">
      <w:pPr>
        <w:pStyle w:val="ListParagraph"/>
        <w:keepNext/>
        <w:keepLines/>
        <w:numPr>
          <w:ilvl w:val="0"/>
          <w:numId w:val="8"/>
        </w:numPr>
        <w:ind w:left="1570"/>
        <w:contextualSpacing w:val="0"/>
        <w:rPr>
          <w:rFonts w:ascii="Arial" w:hAnsi="Arial" w:cs="Arial"/>
          <w:b/>
          <w:bCs/>
          <w:u w:val="single"/>
        </w:rPr>
      </w:pPr>
      <w:r w:rsidRPr="00E55CA9">
        <w:rPr>
          <w:rFonts w:ascii="Arial" w:hAnsi="Arial" w:cs="Arial"/>
          <w:b/>
          <w:bCs/>
          <w:u w:val="single"/>
        </w:rPr>
        <w:t xml:space="preserve">Air Quality, including greenhouse gas and climate change analysis; nitrogen deposition modeling; visible, ground-hugging, and thermal plume modeling and analysis; analysis of criteria pollutant emissions; and </w:t>
      </w:r>
      <w:proofErr w:type="spellStart"/>
      <w:r w:rsidRPr="00E55CA9">
        <w:rPr>
          <w:rFonts w:ascii="Arial" w:hAnsi="Arial" w:cs="Arial"/>
          <w:b/>
          <w:bCs/>
          <w:u w:val="single"/>
        </w:rPr>
        <w:t>windshed</w:t>
      </w:r>
      <w:proofErr w:type="spellEnd"/>
      <w:r w:rsidRPr="00E55CA9">
        <w:rPr>
          <w:rFonts w:ascii="Arial" w:hAnsi="Arial" w:cs="Arial"/>
          <w:b/>
          <w:bCs/>
          <w:u w:val="single"/>
        </w:rPr>
        <w:t xml:space="preserve"> modeling and analysis</w:t>
      </w:r>
    </w:p>
    <w:p w14:paraId="2DE3DCFE"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 xml:space="preserve">Alternatives Assessment </w:t>
      </w:r>
    </w:p>
    <w:p w14:paraId="19A1CCF9"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Biological Resources, including avian biology, botany, fisheries biology, marine biology, wildlife biology, and wildlife corridors and migration</w:t>
      </w:r>
    </w:p>
    <w:p w14:paraId="6F4137FB"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Cultural Resources, including archaeology, architectural history, cultural anthropology, cultural resources GIS, geoarchaeology, history, and historic architecture</w:t>
      </w:r>
    </w:p>
    <w:p w14:paraId="340D9BFC"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Energy and Utility Service Systems</w:t>
      </w:r>
    </w:p>
    <w:p w14:paraId="0925D982"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Facility Design, including civil and structural engineering, electrical engineering, gas transmission pipeline safety, and mechanical engineering</w:t>
      </w:r>
    </w:p>
    <w:p w14:paraId="0C16043B"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 xml:space="preserve">Fire Protection, including battery energy storage systems </w:t>
      </w:r>
    </w:p>
    <w:p w14:paraId="43AD0128"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Geology, including enhanced oil recovery/carbon sequestration, sand dune morphology, mining and cavern excavation, geothermal resources, seismology, and well drilling and development</w:t>
      </w:r>
    </w:p>
    <w:p w14:paraId="5F123E6F"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lastRenderedPageBreak/>
        <w:t>Hazardous Materials Management, including battery energy storage systems, nuclear waste (including spent fuel toxic or acid mine waste), and site security</w:t>
      </w:r>
    </w:p>
    <w:p w14:paraId="59F21F89"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Land Use, including agriculture and forestry resources</w:t>
      </w:r>
    </w:p>
    <w:p w14:paraId="38B0A43C"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Mineral Resources and Paleontology</w:t>
      </w:r>
    </w:p>
    <w:p w14:paraId="6B9966FD"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Noise and Vibration, including modeling and measurement methods and noise and vibration mitigation measures</w:t>
      </w:r>
    </w:p>
    <w:p w14:paraId="7710E5E7"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Public Health</w:t>
      </w:r>
    </w:p>
    <w:p w14:paraId="5E50C1A2"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Socioeconomic Resources, including socioeconomic resources, population and housing, public services, and recreation</w:t>
      </w:r>
    </w:p>
    <w:p w14:paraId="5B214149"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Soils, including erosion, compaction, and stabilization; agriculture; range land; and forest conservation</w:t>
      </w:r>
    </w:p>
    <w:p w14:paraId="25D27AC4"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Traffic and Transportation aviation safety, ground vehicle safety, vehicle miles traveled and level of service calculations, and glint and glare analysis</w:t>
      </w:r>
    </w:p>
    <w:p w14:paraId="16BC849A"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 xml:space="preserve">Transmission Line Safety and Nuisance </w:t>
      </w:r>
    </w:p>
    <w:p w14:paraId="5937C1CA"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Transmission System Engineering and Evaluation</w:t>
      </w:r>
    </w:p>
    <w:p w14:paraId="4B1244EA"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Visual Resources, including landscape architecture, 3D photo simulations, and glint and glare analysis</w:t>
      </w:r>
    </w:p>
    <w:p w14:paraId="16EA9961"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 xml:space="preserve">Waste Management </w:t>
      </w:r>
    </w:p>
    <w:p w14:paraId="410AE5F2" w14:textId="77777777" w:rsidR="00416513" w:rsidRPr="00E55CA9" w:rsidRDefault="00416513" w:rsidP="00416513">
      <w:pPr>
        <w:pStyle w:val="ListParagraph"/>
        <w:numPr>
          <w:ilvl w:val="0"/>
          <w:numId w:val="8"/>
        </w:numPr>
        <w:rPr>
          <w:rFonts w:ascii="Arial" w:hAnsi="Arial" w:cs="Arial"/>
          <w:b/>
          <w:bCs/>
          <w:u w:val="single"/>
        </w:rPr>
      </w:pPr>
      <w:r w:rsidRPr="00E55CA9">
        <w:rPr>
          <w:rFonts w:ascii="Arial" w:hAnsi="Arial" w:cs="Arial"/>
          <w:b/>
          <w:bCs/>
          <w:u w:val="single"/>
        </w:rPr>
        <w:t>Water Resources, including groundwater impact modeling, storm water management, surface and groundwater supply modeling, wastewater modeling and analysis, surface water supply, water quality and treatment, sea level rise and climate change effects, recycled water supply and use analysis, and economic feasibility analysis</w:t>
      </w:r>
    </w:p>
    <w:p w14:paraId="5A24483C" w14:textId="77777777" w:rsidR="00416513" w:rsidRPr="00AF16CF" w:rsidRDefault="00416513" w:rsidP="00416513">
      <w:pPr>
        <w:pStyle w:val="ListParagraph"/>
        <w:numPr>
          <w:ilvl w:val="0"/>
          <w:numId w:val="8"/>
        </w:numPr>
        <w:rPr>
          <w:b/>
          <w:bCs/>
          <w:u w:val="single"/>
        </w:rPr>
      </w:pPr>
      <w:r w:rsidRPr="00E55CA9">
        <w:rPr>
          <w:rFonts w:ascii="Arial" w:hAnsi="Arial" w:cs="Arial"/>
          <w:b/>
          <w:bCs/>
          <w:u w:val="single"/>
        </w:rPr>
        <w:t>Worker Safety</w:t>
      </w:r>
      <w:r w:rsidRPr="00AF16CF">
        <w:rPr>
          <w:b/>
          <w:bCs/>
          <w:u w:val="single"/>
        </w:rPr>
        <w:t xml:space="preserve"> </w:t>
      </w:r>
    </w:p>
    <w:p w14:paraId="47602347" w14:textId="77777777" w:rsidR="00FE78CB" w:rsidRDefault="00FE78CB" w:rsidP="004D5EEA">
      <w:pPr>
        <w:rPr>
          <w:rFonts w:ascii="Arial" w:hAnsi="Arial" w:cs="Arial"/>
        </w:rPr>
      </w:pPr>
    </w:p>
    <w:p w14:paraId="40E4E7BC" w14:textId="377CBCB4" w:rsidR="004D5EEA" w:rsidRPr="006053EE" w:rsidRDefault="00F44AAF" w:rsidP="004D5EEA">
      <w:pPr>
        <w:rPr>
          <w:rFonts w:ascii="Arial" w:hAnsi="Arial" w:cs="Arial"/>
        </w:rPr>
      </w:pPr>
      <w:r>
        <w:rPr>
          <w:rFonts w:ascii="Arial" w:hAnsi="Arial" w:cs="Arial"/>
        </w:rPr>
        <w:t xml:space="preserve">The </w:t>
      </w:r>
      <w:r w:rsidR="000B5A7C">
        <w:rPr>
          <w:rFonts w:ascii="Arial" w:hAnsi="Arial" w:cs="Arial"/>
        </w:rPr>
        <w:t xml:space="preserve">changes identified above in 1 – </w:t>
      </w:r>
      <w:r w:rsidR="00961AAF">
        <w:rPr>
          <w:rFonts w:ascii="Arial" w:hAnsi="Arial" w:cs="Arial"/>
        </w:rPr>
        <w:t>4</w:t>
      </w:r>
      <w:r w:rsidR="000B5A7C">
        <w:rPr>
          <w:rFonts w:ascii="Arial" w:hAnsi="Arial" w:cs="Arial"/>
        </w:rPr>
        <w:t xml:space="preserve"> are the only changes in Addendum 1. The RFP contains some pre-existing language shown </w:t>
      </w:r>
      <w:r w:rsidR="009A2E44">
        <w:rPr>
          <w:rFonts w:ascii="Arial" w:hAnsi="Arial" w:cs="Arial"/>
        </w:rPr>
        <w:t xml:space="preserve">in bold and underline </w:t>
      </w:r>
      <w:r w:rsidR="2735D321" w:rsidRPr="0A6BE34F">
        <w:rPr>
          <w:rFonts w:ascii="Arial" w:hAnsi="Arial" w:cs="Arial"/>
        </w:rPr>
        <w:t>that</w:t>
      </w:r>
      <w:r w:rsidR="009A2E44">
        <w:rPr>
          <w:rFonts w:ascii="Arial" w:hAnsi="Arial" w:cs="Arial"/>
        </w:rPr>
        <w:t xml:space="preserve"> </w:t>
      </w:r>
      <w:r w:rsidR="00CF0A89">
        <w:rPr>
          <w:rFonts w:ascii="Arial" w:hAnsi="Arial" w:cs="Arial"/>
        </w:rPr>
        <w:t>is</w:t>
      </w:r>
      <w:r w:rsidR="009A2E44">
        <w:rPr>
          <w:rFonts w:ascii="Arial" w:hAnsi="Arial" w:cs="Arial"/>
        </w:rPr>
        <w:t xml:space="preserve"> not revised language.</w:t>
      </w:r>
    </w:p>
    <w:p w14:paraId="289AF33D" w14:textId="77777777" w:rsidR="004D5EEA" w:rsidRDefault="004D5EEA" w:rsidP="004D5EEA">
      <w:pPr>
        <w:rPr>
          <w:rFonts w:ascii="Arial" w:hAnsi="Arial" w:cs="Arial"/>
        </w:rPr>
      </w:pPr>
    </w:p>
    <w:p w14:paraId="5B7230C4" w14:textId="77777777" w:rsidR="004D5EEA" w:rsidRDefault="004D5EEA" w:rsidP="004D5EEA">
      <w:pPr>
        <w:rPr>
          <w:rFonts w:ascii="Arial" w:hAnsi="Arial" w:cs="Arial"/>
        </w:rPr>
      </w:pPr>
    </w:p>
    <w:p w14:paraId="46C5C597" w14:textId="3A367459" w:rsidR="004D5EEA" w:rsidRPr="00227726" w:rsidRDefault="00715490" w:rsidP="004D5EEA">
      <w:pPr>
        <w:rPr>
          <w:rFonts w:ascii="Arial" w:hAnsi="Arial" w:cs="Arial"/>
        </w:rPr>
      </w:pPr>
      <w:r>
        <w:rPr>
          <w:rFonts w:ascii="Arial" w:hAnsi="Arial" w:cs="Arial"/>
        </w:rPr>
        <w:t>Phil Dyer</w:t>
      </w:r>
    </w:p>
    <w:p w14:paraId="2C3A0B65" w14:textId="77777777" w:rsidR="004D5EEA" w:rsidRPr="007E2767" w:rsidRDefault="004D5EEA" w:rsidP="004D5EEA">
      <w:pPr>
        <w:rPr>
          <w:rFonts w:ascii="Arial" w:hAnsi="Arial" w:cs="Arial"/>
        </w:rPr>
      </w:pPr>
      <w:r w:rsidRPr="00227726">
        <w:rPr>
          <w:rFonts w:ascii="Arial" w:hAnsi="Arial" w:cs="Arial"/>
        </w:rPr>
        <w:t>Commission Agreement Officer</w:t>
      </w:r>
    </w:p>
    <w:p w14:paraId="60BCECF4" w14:textId="4080AEC6" w:rsidR="00CD09FB" w:rsidRDefault="00CD09FB" w:rsidP="00CD09FB">
      <w:pPr>
        <w:rPr>
          <w:rFonts w:ascii="Arial" w:eastAsia="Times New Roman" w:hAnsi="Arial" w:cs="Arial"/>
        </w:rPr>
      </w:pPr>
    </w:p>
    <w:p w14:paraId="23BDADAF" w14:textId="77777777" w:rsidR="00C744B2" w:rsidRPr="00CD09FB" w:rsidRDefault="00C744B2" w:rsidP="00CD09FB">
      <w:pPr>
        <w:rPr>
          <w:rFonts w:ascii="Arial" w:eastAsia="Times New Roman" w:hAnsi="Arial" w:cs="Arial"/>
        </w:rPr>
      </w:pPr>
    </w:p>
    <w:sectPr w:rsidR="00C744B2" w:rsidRPr="00CD09FB" w:rsidSect="00636135">
      <w:headerReference w:type="default" r:id="rId11"/>
      <w:footerReference w:type="default" r:id="rId12"/>
      <w:headerReference w:type="first" r:id="rId13"/>
      <w:footerReference w:type="first" r:id="rId14"/>
      <w:pgSz w:w="12240" w:h="15840"/>
      <w:pgMar w:top="1440" w:right="1800" w:bottom="1440" w:left="1800" w:header="576"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D605" w14:textId="77777777" w:rsidR="00581E96" w:rsidRDefault="00581E96" w:rsidP="00F86D2B">
      <w:r>
        <w:separator/>
      </w:r>
    </w:p>
  </w:endnote>
  <w:endnote w:type="continuationSeparator" w:id="0">
    <w:p w14:paraId="28906A0E" w14:textId="77777777" w:rsidR="00581E96" w:rsidRDefault="00581E96" w:rsidP="00F86D2B">
      <w:r>
        <w:continuationSeparator/>
      </w:r>
    </w:p>
  </w:endnote>
  <w:endnote w:type="continuationNotice" w:id="1">
    <w:p w14:paraId="35211A6B" w14:textId="77777777" w:rsidR="00581E96" w:rsidRDefault="00581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45485536"/>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057603AF" w14:textId="662099D1" w:rsidR="00E55CA9" w:rsidRPr="00E55CA9" w:rsidRDefault="00E55CA9">
            <w:pPr>
              <w:pStyle w:val="Footer"/>
              <w:jc w:val="center"/>
              <w:rPr>
                <w:rFonts w:ascii="Arial" w:hAnsi="Arial" w:cs="Arial"/>
                <w:sz w:val="20"/>
                <w:szCs w:val="20"/>
              </w:rPr>
            </w:pPr>
            <w:r w:rsidRPr="00E55CA9">
              <w:rPr>
                <w:rFonts w:ascii="Arial" w:hAnsi="Arial" w:cs="Arial"/>
                <w:sz w:val="20"/>
                <w:szCs w:val="20"/>
              </w:rPr>
              <w:t xml:space="preserve">Page </w:t>
            </w:r>
            <w:r w:rsidRPr="00E55CA9">
              <w:rPr>
                <w:rFonts w:ascii="Arial" w:hAnsi="Arial" w:cs="Arial"/>
                <w:sz w:val="20"/>
                <w:szCs w:val="20"/>
              </w:rPr>
              <w:fldChar w:fldCharType="begin"/>
            </w:r>
            <w:r w:rsidRPr="00E55CA9">
              <w:rPr>
                <w:rFonts w:ascii="Arial" w:hAnsi="Arial" w:cs="Arial"/>
                <w:sz w:val="20"/>
                <w:szCs w:val="20"/>
              </w:rPr>
              <w:instrText xml:space="preserve"> PAGE </w:instrText>
            </w:r>
            <w:r w:rsidRPr="00E55CA9">
              <w:rPr>
                <w:rFonts w:ascii="Arial" w:hAnsi="Arial" w:cs="Arial"/>
                <w:sz w:val="20"/>
                <w:szCs w:val="20"/>
              </w:rPr>
              <w:fldChar w:fldCharType="separate"/>
            </w:r>
            <w:r w:rsidRPr="00E55CA9">
              <w:rPr>
                <w:rFonts w:ascii="Arial" w:hAnsi="Arial" w:cs="Arial"/>
                <w:noProof/>
                <w:sz w:val="20"/>
                <w:szCs w:val="20"/>
              </w:rPr>
              <w:t>2</w:t>
            </w:r>
            <w:r w:rsidRPr="00E55CA9">
              <w:rPr>
                <w:rFonts w:ascii="Arial" w:hAnsi="Arial" w:cs="Arial"/>
                <w:sz w:val="20"/>
                <w:szCs w:val="20"/>
              </w:rPr>
              <w:fldChar w:fldCharType="end"/>
            </w:r>
            <w:r w:rsidRPr="00E55CA9">
              <w:rPr>
                <w:rFonts w:ascii="Arial" w:hAnsi="Arial" w:cs="Arial"/>
                <w:sz w:val="20"/>
                <w:szCs w:val="20"/>
              </w:rPr>
              <w:t xml:space="preserve"> of </w:t>
            </w:r>
            <w:r w:rsidRPr="00E55CA9">
              <w:rPr>
                <w:rFonts w:ascii="Arial" w:hAnsi="Arial" w:cs="Arial"/>
                <w:sz w:val="20"/>
                <w:szCs w:val="20"/>
              </w:rPr>
              <w:fldChar w:fldCharType="begin"/>
            </w:r>
            <w:r w:rsidRPr="00E55CA9">
              <w:rPr>
                <w:rFonts w:ascii="Arial" w:hAnsi="Arial" w:cs="Arial"/>
                <w:sz w:val="20"/>
                <w:szCs w:val="20"/>
              </w:rPr>
              <w:instrText xml:space="preserve"> NUMPAGES  </w:instrText>
            </w:r>
            <w:r w:rsidRPr="00E55CA9">
              <w:rPr>
                <w:rFonts w:ascii="Arial" w:hAnsi="Arial" w:cs="Arial"/>
                <w:sz w:val="20"/>
                <w:szCs w:val="20"/>
              </w:rPr>
              <w:fldChar w:fldCharType="separate"/>
            </w:r>
            <w:r w:rsidRPr="00E55CA9">
              <w:rPr>
                <w:rFonts w:ascii="Arial" w:hAnsi="Arial" w:cs="Arial"/>
                <w:noProof/>
                <w:sz w:val="20"/>
                <w:szCs w:val="20"/>
              </w:rPr>
              <w:t>2</w:t>
            </w:r>
            <w:r w:rsidRPr="00E55CA9">
              <w:rPr>
                <w:rFonts w:ascii="Arial" w:hAnsi="Arial" w:cs="Arial"/>
                <w:sz w:val="20"/>
                <w:szCs w:val="20"/>
              </w:rPr>
              <w:fldChar w:fldCharType="end"/>
            </w:r>
          </w:p>
        </w:sdtContent>
      </w:sdt>
    </w:sdtContent>
  </w:sdt>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2" name="Picture 2"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AF81" w14:textId="77777777" w:rsidR="00581E96" w:rsidRDefault="00581E96" w:rsidP="00F86D2B">
      <w:r>
        <w:separator/>
      </w:r>
    </w:p>
  </w:footnote>
  <w:footnote w:type="continuationSeparator" w:id="0">
    <w:p w14:paraId="6B25F25A" w14:textId="77777777" w:rsidR="00581E96" w:rsidRDefault="00581E96" w:rsidP="00F86D2B">
      <w:r>
        <w:continuationSeparator/>
      </w:r>
    </w:p>
  </w:footnote>
  <w:footnote w:type="continuationNotice" w:id="1">
    <w:p w14:paraId="0F9531F7" w14:textId="77777777" w:rsidR="00581E96" w:rsidRDefault="00581E96"/>
  </w:footnote>
  <w:footnote w:id="2">
    <w:p w14:paraId="0925AAC8" w14:textId="45ED8586" w:rsidR="00F25756" w:rsidRPr="00557A18" w:rsidRDefault="00F25756" w:rsidP="00F25756">
      <w:pPr>
        <w:pStyle w:val="FootnoteText"/>
        <w:rPr>
          <w:b/>
          <w:bCs/>
          <w:u w:val="single"/>
        </w:rPr>
      </w:pPr>
    </w:p>
  </w:footnote>
  <w:footnote w:id="3">
    <w:p w14:paraId="5C338AEC" w14:textId="3C929C06" w:rsidR="00DA783E" w:rsidRDefault="00DA783E" w:rsidP="00DA783E">
      <w:pPr>
        <w:pStyle w:val="FootnoteText"/>
      </w:pPr>
      <w:r>
        <w:rPr>
          <w:rStyle w:val="FootnoteReference"/>
        </w:rPr>
        <w:footnoteRef/>
      </w:r>
      <w:r>
        <w:t xml:space="preserve"> Title 14 CCR Appendix G -Environmental Checklist Form h</w:t>
      </w:r>
      <w:r w:rsidRPr="000526D9">
        <w:t>ttps://govt.westlaw.com/calregs/Document/I8EA91DA75B4D11EC976B000D3A7C4BC3?viewType=FullText&amp;originationContext=documenttoc&amp;transitionType=CategoryPageItem&amp;contextData=(sc.Default)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97C2" w14:textId="77777777" w:rsidR="00636135" w:rsidRPr="007E2767" w:rsidRDefault="00636135" w:rsidP="00636135">
    <w:pPr>
      <w:jc w:val="center"/>
      <w:rPr>
        <w:rFonts w:ascii="Arial" w:hAnsi="Arial" w:cs="Arial"/>
        <w:b/>
        <w:bCs/>
      </w:rPr>
    </w:pPr>
    <w:r>
      <w:rPr>
        <w:rFonts w:ascii="Arial" w:hAnsi="Arial" w:cs="Arial"/>
        <w:b/>
        <w:bCs/>
      </w:rPr>
      <w:t>RFP-22-301</w:t>
    </w:r>
  </w:p>
  <w:p w14:paraId="71B59DCD" w14:textId="77777777" w:rsidR="00636135" w:rsidRDefault="00636135" w:rsidP="00636135">
    <w:pPr>
      <w:jc w:val="center"/>
      <w:rPr>
        <w:rFonts w:ascii="Arial" w:hAnsi="Arial" w:cs="Arial"/>
        <w:b/>
        <w:bCs/>
      </w:rPr>
    </w:pPr>
    <w:r>
      <w:rPr>
        <w:rFonts w:ascii="Arial" w:hAnsi="Arial" w:cs="Arial"/>
        <w:b/>
        <w:bCs/>
      </w:rPr>
      <w:t xml:space="preserve">Technical Assistance for the </w:t>
    </w:r>
  </w:p>
  <w:p w14:paraId="5F73C7BE" w14:textId="695655D2" w:rsidR="00636135" w:rsidRDefault="00636135" w:rsidP="00636135">
    <w:pPr>
      <w:jc w:val="center"/>
      <w:rPr>
        <w:rFonts w:ascii="Arial" w:hAnsi="Arial" w:cs="Arial"/>
        <w:b/>
        <w:bCs/>
      </w:rPr>
    </w:pPr>
    <w:r>
      <w:rPr>
        <w:rFonts w:ascii="Arial" w:hAnsi="Arial" w:cs="Arial"/>
        <w:b/>
        <w:bCs/>
      </w:rPr>
      <w:t>Energy Research and Development Division</w:t>
    </w:r>
  </w:p>
  <w:p w14:paraId="302743FD" w14:textId="77777777" w:rsidR="00636135" w:rsidRPr="007E2767" w:rsidRDefault="00636135" w:rsidP="00636135">
    <w:pPr>
      <w:jc w:val="center"/>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45053DA">
          <wp:extent cx="7465625" cy="97801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83796"/>
    <w:multiLevelType w:val="hybridMultilevel"/>
    <w:tmpl w:val="D03642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9C5E5ABC">
      <w:start w:val="46"/>
      <w:numFmt w:val="decimal"/>
      <w:lvlText w:val="(%3)"/>
      <w:lvlJc w:val="left"/>
      <w:pPr>
        <w:ind w:left="2100" w:hanging="4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A76A8F"/>
    <w:multiLevelType w:val="hybridMultilevel"/>
    <w:tmpl w:val="F24E513A"/>
    <w:lvl w:ilvl="0" w:tplc="04090003">
      <w:start w:val="1"/>
      <w:numFmt w:val="bullet"/>
      <w:lvlText w:val="o"/>
      <w:lvlJc w:val="left"/>
      <w:pPr>
        <w:ind w:left="1576" w:hanging="360"/>
      </w:pPr>
      <w:rPr>
        <w:rFonts w:ascii="Courier New" w:hAnsi="Courier New" w:cs="Courier New" w:hint="default"/>
      </w:rPr>
    </w:lvl>
    <w:lvl w:ilvl="1" w:tplc="04090003">
      <w:start w:val="1"/>
      <w:numFmt w:val="bullet"/>
      <w:lvlText w:val="o"/>
      <w:lvlJc w:val="left"/>
      <w:pPr>
        <w:ind w:left="2296" w:hanging="360"/>
      </w:pPr>
      <w:rPr>
        <w:rFonts w:ascii="Courier New" w:hAnsi="Courier New" w:cs="Courier New" w:hint="default"/>
      </w:rPr>
    </w:lvl>
    <w:lvl w:ilvl="2" w:tplc="04090005">
      <w:start w:val="1"/>
      <w:numFmt w:val="bullet"/>
      <w:lvlText w:val=""/>
      <w:lvlJc w:val="left"/>
      <w:pPr>
        <w:ind w:left="3016" w:hanging="360"/>
      </w:pPr>
      <w:rPr>
        <w:rFonts w:ascii="Wingdings" w:hAnsi="Wingdings" w:hint="default"/>
      </w:rPr>
    </w:lvl>
    <w:lvl w:ilvl="3" w:tplc="04090001">
      <w:start w:val="1"/>
      <w:numFmt w:val="bullet"/>
      <w:lvlText w:val=""/>
      <w:lvlJc w:val="left"/>
      <w:pPr>
        <w:ind w:left="3736" w:hanging="360"/>
      </w:pPr>
      <w:rPr>
        <w:rFonts w:ascii="Symbol" w:hAnsi="Symbol" w:hint="default"/>
      </w:rPr>
    </w:lvl>
    <w:lvl w:ilvl="4" w:tplc="04090003">
      <w:start w:val="1"/>
      <w:numFmt w:val="bullet"/>
      <w:lvlText w:val="o"/>
      <w:lvlJc w:val="left"/>
      <w:pPr>
        <w:ind w:left="4456" w:hanging="360"/>
      </w:pPr>
      <w:rPr>
        <w:rFonts w:ascii="Courier New" w:hAnsi="Courier New" w:cs="Courier New" w:hint="default"/>
      </w:rPr>
    </w:lvl>
    <w:lvl w:ilvl="5" w:tplc="04090005">
      <w:start w:val="1"/>
      <w:numFmt w:val="bullet"/>
      <w:lvlText w:val=""/>
      <w:lvlJc w:val="left"/>
      <w:pPr>
        <w:ind w:left="5176" w:hanging="360"/>
      </w:pPr>
      <w:rPr>
        <w:rFonts w:ascii="Wingdings" w:hAnsi="Wingdings" w:hint="default"/>
      </w:rPr>
    </w:lvl>
    <w:lvl w:ilvl="6" w:tplc="04090001">
      <w:start w:val="1"/>
      <w:numFmt w:val="bullet"/>
      <w:lvlText w:val=""/>
      <w:lvlJc w:val="left"/>
      <w:pPr>
        <w:ind w:left="5896" w:hanging="360"/>
      </w:pPr>
      <w:rPr>
        <w:rFonts w:ascii="Symbol" w:hAnsi="Symbol" w:hint="default"/>
      </w:rPr>
    </w:lvl>
    <w:lvl w:ilvl="7" w:tplc="04090003">
      <w:start w:val="1"/>
      <w:numFmt w:val="bullet"/>
      <w:lvlText w:val="o"/>
      <w:lvlJc w:val="left"/>
      <w:pPr>
        <w:ind w:left="6616" w:hanging="360"/>
      </w:pPr>
      <w:rPr>
        <w:rFonts w:ascii="Courier New" w:hAnsi="Courier New" w:cs="Courier New" w:hint="default"/>
      </w:rPr>
    </w:lvl>
    <w:lvl w:ilvl="8" w:tplc="04090005">
      <w:start w:val="1"/>
      <w:numFmt w:val="bullet"/>
      <w:lvlText w:val=""/>
      <w:lvlJc w:val="left"/>
      <w:pPr>
        <w:ind w:left="7336" w:hanging="360"/>
      </w:pPr>
      <w:rPr>
        <w:rFonts w:ascii="Wingdings" w:hAnsi="Wingdings" w:hint="default"/>
      </w:rPr>
    </w:lvl>
  </w:abstractNum>
  <w:abstractNum w:abstractNumId="3" w15:restartNumberingAfterBreak="0">
    <w:nsid w:val="4E0E2BEC"/>
    <w:multiLevelType w:val="hybridMultilevel"/>
    <w:tmpl w:val="8EB8A8E4"/>
    <w:lvl w:ilvl="0" w:tplc="9ED02A5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12161"/>
    <w:multiLevelType w:val="hybridMultilevel"/>
    <w:tmpl w:val="3756627C"/>
    <w:lvl w:ilvl="0" w:tplc="8D90310C">
      <w:start w:val="1"/>
      <w:numFmt w:val="decimal"/>
      <w:lvlText w:val="(%1)"/>
      <w:lvlJc w:val="left"/>
      <w:pPr>
        <w:ind w:left="3600" w:hanging="360"/>
      </w:pPr>
    </w:lvl>
    <w:lvl w:ilvl="1" w:tplc="61B27942">
      <w:start w:val="1"/>
      <w:numFmt w:val="decimal"/>
      <w:lvlText w:val="(%2)"/>
      <w:lvlJc w:val="left"/>
      <w:pPr>
        <w:ind w:left="1842" w:hanging="420"/>
      </w:pPr>
      <w:rPr>
        <w:rFonts w:hint="default"/>
        <w:b w:val="0"/>
        <w:bCs w:val="0"/>
      </w:r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 w15:restartNumberingAfterBreak="0">
    <w:nsid w:val="53FA751A"/>
    <w:multiLevelType w:val="hybridMultilevel"/>
    <w:tmpl w:val="6A10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6744B2"/>
    <w:multiLevelType w:val="hybridMultilevel"/>
    <w:tmpl w:val="6CB6F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2E141C"/>
    <w:multiLevelType w:val="hybridMultilevel"/>
    <w:tmpl w:val="6A500DE4"/>
    <w:lvl w:ilvl="0" w:tplc="A8D8FA4A">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8"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3"/>
  </w:num>
  <w:num w:numId="5">
    <w:abstractNumId w:val="4"/>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37F1"/>
    <w:rsid w:val="00027125"/>
    <w:rsid w:val="0003233D"/>
    <w:rsid w:val="00032A78"/>
    <w:rsid w:val="000509E7"/>
    <w:rsid w:val="000557AC"/>
    <w:rsid w:val="00063B9D"/>
    <w:rsid w:val="0007389F"/>
    <w:rsid w:val="00083450"/>
    <w:rsid w:val="0009064B"/>
    <w:rsid w:val="000A0B19"/>
    <w:rsid w:val="000A39CD"/>
    <w:rsid w:val="000A6CE7"/>
    <w:rsid w:val="000B5A7C"/>
    <w:rsid w:val="000C0CF0"/>
    <w:rsid w:val="000D2EFF"/>
    <w:rsid w:val="000D4DCF"/>
    <w:rsid w:val="000E31D6"/>
    <w:rsid w:val="00103353"/>
    <w:rsid w:val="0014043C"/>
    <w:rsid w:val="00146D6B"/>
    <w:rsid w:val="0014731B"/>
    <w:rsid w:val="00174313"/>
    <w:rsid w:val="001A1AA1"/>
    <w:rsid w:val="001A1D8A"/>
    <w:rsid w:val="001A30F4"/>
    <w:rsid w:val="001E0639"/>
    <w:rsid w:val="001F62F3"/>
    <w:rsid w:val="001F6FFD"/>
    <w:rsid w:val="00203587"/>
    <w:rsid w:val="002104BA"/>
    <w:rsid w:val="00235167"/>
    <w:rsid w:val="002568AD"/>
    <w:rsid w:val="002747CF"/>
    <w:rsid w:val="002A5F7A"/>
    <w:rsid w:val="002C1897"/>
    <w:rsid w:val="002D11A5"/>
    <w:rsid w:val="002D17D5"/>
    <w:rsid w:val="002D2CBA"/>
    <w:rsid w:val="002D53A6"/>
    <w:rsid w:val="00300FB1"/>
    <w:rsid w:val="0030386F"/>
    <w:rsid w:val="00306C82"/>
    <w:rsid w:val="00315F58"/>
    <w:rsid w:val="00334197"/>
    <w:rsid w:val="00351A2E"/>
    <w:rsid w:val="00363FD0"/>
    <w:rsid w:val="003655BD"/>
    <w:rsid w:val="003A0C4A"/>
    <w:rsid w:val="003A5409"/>
    <w:rsid w:val="003E0AD6"/>
    <w:rsid w:val="003E0D2D"/>
    <w:rsid w:val="003E404F"/>
    <w:rsid w:val="00406023"/>
    <w:rsid w:val="00410AC7"/>
    <w:rsid w:val="00410FAF"/>
    <w:rsid w:val="00414051"/>
    <w:rsid w:val="00415DE9"/>
    <w:rsid w:val="00416513"/>
    <w:rsid w:val="00425D18"/>
    <w:rsid w:val="00430859"/>
    <w:rsid w:val="004379A5"/>
    <w:rsid w:val="00437D5F"/>
    <w:rsid w:val="004504D5"/>
    <w:rsid w:val="0046085D"/>
    <w:rsid w:val="00493781"/>
    <w:rsid w:val="004A1AAA"/>
    <w:rsid w:val="004A4C18"/>
    <w:rsid w:val="004A71FF"/>
    <w:rsid w:val="004D128F"/>
    <w:rsid w:val="004D5EEA"/>
    <w:rsid w:val="004F3BE0"/>
    <w:rsid w:val="005100D5"/>
    <w:rsid w:val="0051584D"/>
    <w:rsid w:val="00524EA9"/>
    <w:rsid w:val="00525E2C"/>
    <w:rsid w:val="00527817"/>
    <w:rsid w:val="00535743"/>
    <w:rsid w:val="00537FE7"/>
    <w:rsid w:val="005568CA"/>
    <w:rsid w:val="00564BFD"/>
    <w:rsid w:val="00566D9C"/>
    <w:rsid w:val="00577D95"/>
    <w:rsid w:val="00581E96"/>
    <w:rsid w:val="005852B2"/>
    <w:rsid w:val="0058671B"/>
    <w:rsid w:val="0059609D"/>
    <w:rsid w:val="005B0DFD"/>
    <w:rsid w:val="005B207C"/>
    <w:rsid w:val="005E6FA2"/>
    <w:rsid w:val="00636135"/>
    <w:rsid w:val="006363BB"/>
    <w:rsid w:val="00647BC4"/>
    <w:rsid w:val="00650F6D"/>
    <w:rsid w:val="006511D6"/>
    <w:rsid w:val="00654BE4"/>
    <w:rsid w:val="00681D81"/>
    <w:rsid w:val="00693454"/>
    <w:rsid w:val="00693548"/>
    <w:rsid w:val="006958E7"/>
    <w:rsid w:val="006A57AF"/>
    <w:rsid w:val="006B13F0"/>
    <w:rsid w:val="006D3827"/>
    <w:rsid w:val="006E118F"/>
    <w:rsid w:val="006E146A"/>
    <w:rsid w:val="006F1F30"/>
    <w:rsid w:val="007134AE"/>
    <w:rsid w:val="00715490"/>
    <w:rsid w:val="00717DC6"/>
    <w:rsid w:val="007211FC"/>
    <w:rsid w:val="00751C0F"/>
    <w:rsid w:val="007573E3"/>
    <w:rsid w:val="00761F8B"/>
    <w:rsid w:val="007714FD"/>
    <w:rsid w:val="0077265A"/>
    <w:rsid w:val="00777798"/>
    <w:rsid w:val="0078154A"/>
    <w:rsid w:val="00783717"/>
    <w:rsid w:val="007C6051"/>
    <w:rsid w:val="007C7834"/>
    <w:rsid w:val="007D545A"/>
    <w:rsid w:val="007D601C"/>
    <w:rsid w:val="00800DA4"/>
    <w:rsid w:val="0081533B"/>
    <w:rsid w:val="00846985"/>
    <w:rsid w:val="00853F19"/>
    <w:rsid w:val="00874988"/>
    <w:rsid w:val="00874B38"/>
    <w:rsid w:val="00891290"/>
    <w:rsid w:val="00891410"/>
    <w:rsid w:val="008C17CD"/>
    <w:rsid w:val="008C587E"/>
    <w:rsid w:val="008E1433"/>
    <w:rsid w:val="008E3926"/>
    <w:rsid w:val="008E7852"/>
    <w:rsid w:val="008F7BB2"/>
    <w:rsid w:val="00910710"/>
    <w:rsid w:val="0091761C"/>
    <w:rsid w:val="009407F5"/>
    <w:rsid w:val="00950AF4"/>
    <w:rsid w:val="00952235"/>
    <w:rsid w:val="00961AAF"/>
    <w:rsid w:val="0096692E"/>
    <w:rsid w:val="009910C8"/>
    <w:rsid w:val="00997C25"/>
    <w:rsid w:val="009A2E44"/>
    <w:rsid w:val="009A7FB1"/>
    <w:rsid w:val="009D04FE"/>
    <w:rsid w:val="009E6C35"/>
    <w:rsid w:val="009E754B"/>
    <w:rsid w:val="009E7CBF"/>
    <w:rsid w:val="00A15FA8"/>
    <w:rsid w:val="00A17202"/>
    <w:rsid w:val="00A2143B"/>
    <w:rsid w:val="00A243AA"/>
    <w:rsid w:val="00A3384C"/>
    <w:rsid w:val="00A36CF5"/>
    <w:rsid w:val="00A7079C"/>
    <w:rsid w:val="00A73089"/>
    <w:rsid w:val="00A90DC6"/>
    <w:rsid w:val="00AA083C"/>
    <w:rsid w:val="00AB76C3"/>
    <w:rsid w:val="00AB7D63"/>
    <w:rsid w:val="00AD21FC"/>
    <w:rsid w:val="00AD3DB4"/>
    <w:rsid w:val="00AD5870"/>
    <w:rsid w:val="00AE05B9"/>
    <w:rsid w:val="00AF16CF"/>
    <w:rsid w:val="00B01B27"/>
    <w:rsid w:val="00B02349"/>
    <w:rsid w:val="00B03AD3"/>
    <w:rsid w:val="00B41810"/>
    <w:rsid w:val="00B5475F"/>
    <w:rsid w:val="00B71A11"/>
    <w:rsid w:val="00B77A86"/>
    <w:rsid w:val="00B80E72"/>
    <w:rsid w:val="00B8133E"/>
    <w:rsid w:val="00B84D31"/>
    <w:rsid w:val="00B86EB2"/>
    <w:rsid w:val="00B906E9"/>
    <w:rsid w:val="00BA1317"/>
    <w:rsid w:val="00BA3F4C"/>
    <w:rsid w:val="00BB0D0B"/>
    <w:rsid w:val="00BB5DCD"/>
    <w:rsid w:val="00BC2D51"/>
    <w:rsid w:val="00BE48AF"/>
    <w:rsid w:val="00BF7A18"/>
    <w:rsid w:val="00C01C97"/>
    <w:rsid w:val="00C03527"/>
    <w:rsid w:val="00C2336E"/>
    <w:rsid w:val="00C46930"/>
    <w:rsid w:val="00C67037"/>
    <w:rsid w:val="00C744B2"/>
    <w:rsid w:val="00C96BDD"/>
    <w:rsid w:val="00CA5D79"/>
    <w:rsid w:val="00CA6B2B"/>
    <w:rsid w:val="00CB093D"/>
    <w:rsid w:val="00CC1E79"/>
    <w:rsid w:val="00CD09FB"/>
    <w:rsid w:val="00CF0A89"/>
    <w:rsid w:val="00D02410"/>
    <w:rsid w:val="00D05053"/>
    <w:rsid w:val="00D05845"/>
    <w:rsid w:val="00D32C3D"/>
    <w:rsid w:val="00D33013"/>
    <w:rsid w:val="00D431C2"/>
    <w:rsid w:val="00D43B83"/>
    <w:rsid w:val="00D73AA4"/>
    <w:rsid w:val="00D9065A"/>
    <w:rsid w:val="00DA2CEC"/>
    <w:rsid w:val="00DA4635"/>
    <w:rsid w:val="00DA5061"/>
    <w:rsid w:val="00DA783E"/>
    <w:rsid w:val="00DD366B"/>
    <w:rsid w:val="00E17947"/>
    <w:rsid w:val="00E201F9"/>
    <w:rsid w:val="00E210F6"/>
    <w:rsid w:val="00E2207C"/>
    <w:rsid w:val="00E55CA9"/>
    <w:rsid w:val="00E569C7"/>
    <w:rsid w:val="00E62715"/>
    <w:rsid w:val="00E95AA9"/>
    <w:rsid w:val="00EA7BDE"/>
    <w:rsid w:val="00ED18F1"/>
    <w:rsid w:val="00ED506B"/>
    <w:rsid w:val="00F10DFF"/>
    <w:rsid w:val="00F21D37"/>
    <w:rsid w:val="00F220FC"/>
    <w:rsid w:val="00F224E3"/>
    <w:rsid w:val="00F22AD4"/>
    <w:rsid w:val="00F25756"/>
    <w:rsid w:val="00F44AAF"/>
    <w:rsid w:val="00F46613"/>
    <w:rsid w:val="00F54765"/>
    <w:rsid w:val="00F578B3"/>
    <w:rsid w:val="00F71097"/>
    <w:rsid w:val="00F85303"/>
    <w:rsid w:val="00F86D2B"/>
    <w:rsid w:val="00F90F6B"/>
    <w:rsid w:val="00F947AC"/>
    <w:rsid w:val="00F95D8D"/>
    <w:rsid w:val="00F967DF"/>
    <w:rsid w:val="00F96A72"/>
    <w:rsid w:val="00FE17B9"/>
    <w:rsid w:val="00FE5320"/>
    <w:rsid w:val="00FE78CB"/>
    <w:rsid w:val="00FF7303"/>
    <w:rsid w:val="0A6BE34F"/>
    <w:rsid w:val="0CDE3617"/>
    <w:rsid w:val="2407BBC1"/>
    <w:rsid w:val="2735D321"/>
    <w:rsid w:val="4D7C6706"/>
    <w:rsid w:val="52521B09"/>
    <w:rsid w:val="5770E9BA"/>
    <w:rsid w:val="65B14D97"/>
    <w:rsid w:val="73241326"/>
    <w:rsid w:val="7AFDC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D208C"/>
  <w14:defaultImageDpi w14:val="300"/>
  <w15:docId w15:val="{50BC5FE8-22D1-40C7-8E5B-B18EB50D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Section,Minor,level 3,Subhead B,No Indent"/>
    <w:basedOn w:val="Normal"/>
    <w:link w:val="Heading3Char"/>
    <w:qFormat/>
    <w:rsid w:val="00416513"/>
    <w:pPr>
      <w:keepNext/>
      <w:keepLines/>
      <w:spacing w:before="60" w:after="60"/>
      <w:jc w:val="both"/>
      <w:outlineLvl w:val="2"/>
    </w:pPr>
    <w:rPr>
      <w:rFonts w:ascii="Arial" w:eastAsia="Times New Roman"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aliases w:val="H3,3,POCG Table Text"/>
    <w:basedOn w:val="Normal"/>
    <w:link w:val="ListParagraphChar"/>
    <w:uiPriority w:val="34"/>
    <w:qFormat/>
    <w:rsid w:val="004D5EEA"/>
    <w:pPr>
      <w:ind w:left="720"/>
      <w:contextualSpacing/>
    </w:pPr>
  </w:style>
  <w:style w:type="character" w:customStyle="1" w:styleId="ListParagraphChar">
    <w:name w:val="List Paragraph Char"/>
    <w:aliases w:val="H3 Char,3 Char,POCG Table Text Char"/>
    <w:basedOn w:val="DefaultParagraphFont"/>
    <w:link w:val="ListParagraph"/>
    <w:uiPriority w:val="34"/>
    <w:rsid w:val="00F46613"/>
  </w:style>
  <w:style w:type="character" w:styleId="CommentReference">
    <w:name w:val="annotation reference"/>
    <w:basedOn w:val="DefaultParagraphFont"/>
    <w:uiPriority w:val="99"/>
    <w:semiHidden/>
    <w:unhideWhenUsed/>
    <w:rsid w:val="00B71A11"/>
    <w:rPr>
      <w:sz w:val="16"/>
      <w:szCs w:val="16"/>
    </w:rPr>
  </w:style>
  <w:style w:type="paragraph" w:styleId="CommentText">
    <w:name w:val="annotation text"/>
    <w:basedOn w:val="Normal"/>
    <w:link w:val="CommentTextChar"/>
    <w:uiPriority w:val="99"/>
    <w:unhideWhenUsed/>
    <w:rsid w:val="00B71A11"/>
    <w:rPr>
      <w:sz w:val="20"/>
      <w:szCs w:val="20"/>
    </w:rPr>
  </w:style>
  <w:style w:type="character" w:customStyle="1" w:styleId="CommentTextChar">
    <w:name w:val="Comment Text Char"/>
    <w:basedOn w:val="DefaultParagraphFont"/>
    <w:link w:val="CommentText"/>
    <w:uiPriority w:val="99"/>
    <w:rsid w:val="00B71A11"/>
    <w:rPr>
      <w:sz w:val="20"/>
      <w:szCs w:val="20"/>
    </w:rPr>
  </w:style>
  <w:style w:type="paragraph" w:styleId="CommentSubject">
    <w:name w:val="annotation subject"/>
    <w:basedOn w:val="CommentText"/>
    <w:next w:val="CommentText"/>
    <w:link w:val="CommentSubjectChar"/>
    <w:uiPriority w:val="99"/>
    <w:semiHidden/>
    <w:unhideWhenUsed/>
    <w:rsid w:val="00B71A11"/>
    <w:rPr>
      <w:b/>
      <w:bCs/>
    </w:rPr>
  </w:style>
  <w:style w:type="character" w:customStyle="1" w:styleId="CommentSubjectChar">
    <w:name w:val="Comment Subject Char"/>
    <w:basedOn w:val="CommentTextChar"/>
    <w:link w:val="CommentSubject"/>
    <w:uiPriority w:val="99"/>
    <w:semiHidden/>
    <w:rsid w:val="00B71A11"/>
    <w:rPr>
      <w:b/>
      <w:bCs/>
      <w:sz w:val="20"/>
      <w:szCs w:val="20"/>
    </w:rPr>
  </w:style>
  <w:style w:type="character" w:styleId="Mention">
    <w:name w:val="Mention"/>
    <w:basedOn w:val="DefaultParagraphFont"/>
    <w:uiPriority w:val="99"/>
    <w:unhideWhenUsed/>
    <w:rsid w:val="00B71A11"/>
    <w:rPr>
      <w:color w:val="2B579A"/>
      <w:shd w:val="clear" w:color="auto" w:fill="E1DFDD"/>
    </w:rPr>
  </w:style>
  <w:style w:type="character" w:styleId="UnresolvedMention">
    <w:name w:val="Unresolved Mention"/>
    <w:basedOn w:val="DefaultParagraphFont"/>
    <w:uiPriority w:val="99"/>
    <w:semiHidden/>
    <w:unhideWhenUsed/>
    <w:rsid w:val="00564BFD"/>
    <w:rPr>
      <w:color w:val="605E5C"/>
      <w:shd w:val="clear" w:color="auto" w:fill="E1DFDD"/>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DA783E"/>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DA783E"/>
    <w:rPr>
      <w:rFonts w:ascii="Arial" w:eastAsia="Times New Roman" w:hAnsi="Arial" w:cs="Arial"/>
      <w:sz w:val="20"/>
      <w:szCs w:val="20"/>
    </w:rPr>
  </w:style>
  <w:style w:type="character" w:styleId="FootnoteReference">
    <w:name w:val="footnote reference"/>
    <w:aliases w:val="0 PIER Footnote Reference,o,fr,Style 3,o1,o2,o3,o4,o5,o6,o11,o21,o7,o + Times New Roman"/>
    <w:uiPriority w:val="99"/>
    <w:qFormat/>
    <w:rsid w:val="00DA783E"/>
    <w:rPr>
      <w:vertAlign w:val="superscript"/>
    </w:rPr>
  </w:style>
  <w:style w:type="character" w:customStyle="1" w:styleId="Heading3Char">
    <w:name w:val="Heading 3 Char"/>
    <w:aliases w:val="Section Char,Minor Char,level 3 Char,Subhead B Char,No Indent Char"/>
    <w:basedOn w:val="DefaultParagraphFont"/>
    <w:link w:val="Heading3"/>
    <w:rsid w:val="00416513"/>
    <w:rPr>
      <w:rFonts w:ascii="Arial" w:eastAsia="Times New Roman" w:hAnsi="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5172">
      <w:bodyDiv w:val="1"/>
      <w:marLeft w:val="0"/>
      <w:marRight w:val="0"/>
      <w:marTop w:val="0"/>
      <w:marBottom w:val="0"/>
      <w:divBdr>
        <w:top w:val="none" w:sz="0" w:space="0" w:color="auto"/>
        <w:left w:val="none" w:sz="0" w:space="0" w:color="auto"/>
        <w:bottom w:val="none" w:sz="0" w:space="0" w:color="auto"/>
        <w:right w:val="none" w:sz="0" w:space="0" w:color="auto"/>
      </w:divBdr>
    </w:div>
    <w:div w:id="740904946">
      <w:bodyDiv w:val="1"/>
      <w:marLeft w:val="0"/>
      <w:marRight w:val="0"/>
      <w:marTop w:val="0"/>
      <w:marBottom w:val="0"/>
      <w:divBdr>
        <w:top w:val="none" w:sz="0" w:space="0" w:color="auto"/>
        <w:left w:val="none" w:sz="0" w:space="0" w:color="auto"/>
        <w:bottom w:val="none" w:sz="0" w:space="0" w:color="auto"/>
        <w:right w:val="none" w:sz="0" w:space="0" w:color="auto"/>
      </w:divBdr>
    </w:div>
    <w:div w:id="1182627741">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AC1228A9-7FDA-4ACB-B57C-A0F8E6978A04}"/>
</file>

<file path=docProps/app.xml><?xml version="1.0" encoding="utf-8"?>
<Properties xmlns="http://schemas.openxmlformats.org/officeDocument/2006/extended-properties" xmlns:vt="http://schemas.openxmlformats.org/officeDocument/2006/docPropsVTypes">
  <Template>Normal.dotm</Template>
  <TotalTime>6</TotalTime>
  <Pages>5</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Addendum Cover Letter</vt:lpstr>
    </vt:vector>
  </TitlesOfParts>
  <Company>Wobschall Design</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Cover Letter</dc:title>
  <dc:subject/>
  <dc:creator>Bailey Wobschall</dc:creator>
  <cp:keywords/>
  <dc:description/>
  <cp:lastModifiedBy>Dyer, Phil@Energy</cp:lastModifiedBy>
  <cp:revision>2</cp:revision>
  <cp:lastPrinted>2019-04-08T16:38:00Z</cp:lastPrinted>
  <dcterms:created xsi:type="dcterms:W3CDTF">2023-01-26T20:38:00Z</dcterms:created>
  <dcterms:modified xsi:type="dcterms:W3CDTF">2023-01-26T20:38:00Z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