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61E" w14:textId="1B1D5CA8" w:rsidR="00620F92" w:rsidRPr="00786392" w:rsidRDefault="00620F92" w:rsidP="00620F92">
      <w:pPr>
        <w:jc w:val="center"/>
        <w:rPr>
          <w:rFonts w:ascii="Arial" w:hAnsi="Arial" w:cs="Arial"/>
          <w:b/>
          <w:bCs/>
        </w:rPr>
      </w:pPr>
      <w:r w:rsidRPr="00786392">
        <w:rPr>
          <w:rFonts w:ascii="Arial" w:hAnsi="Arial" w:cs="Arial"/>
          <w:b/>
          <w:bCs/>
        </w:rPr>
        <w:t>RFQ-2</w:t>
      </w:r>
      <w:r w:rsidR="00A73448" w:rsidRPr="00786392">
        <w:rPr>
          <w:rFonts w:ascii="Arial" w:hAnsi="Arial" w:cs="Arial"/>
          <w:b/>
          <w:bCs/>
        </w:rPr>
        <w:t>2</w:t>
      </w:r>
      <w:r w:rsidRPr="00786392">
        <w:rPr>
          <w:rFonts w:ascii="Arial" w:hAnsi="Arial" w:cs="Arial"/>
          <w:b/>
          <w:bCs/>
        </w:rPr>
        <w:t>-40</w:t>
      </w:r>
      <w:r w:rsidR="00A80F03" w:rsidRPr="00786392">
        <w:rPr>
          <w:rFonts w:ascii="Arial" w:hAnsi="Arial" w:cs="Arial"/>
          <w:b/>
          <w:bCs/>
        </w:rPr>
        <w:t>1</w:t>
      </w:r>
    </w:p>
    <w:p w14:paraId="40B0C742" w14:textId="77777777" w:rsidR="00A73448" w:rsidRPr="00786392" w:rsidRDefault="00A73448" w:rsidP="00A73448">
      <w:pPr>
        <w:jc w:val="center"/>
        <w:rPr>
          <w:rFonts w:ascii="Arial" w:hAnsi="Arial" w:cs="Arial"/>
          <w:b/>
          <w:bCs/>
        </w:rPr>
      </w:pPr>
      <w:r w:rsidRPr="00786392">
        <w:rPr>
          <w:rFonts w:ascii="Arial" w:hAnsi="Arial" w:cs="Arial"/>
          <w:b/>
          <w:bCs/>
        </w:rPr>
        <w:t xml:space="preserve">Flexible Demand Appliance Standards </w:t>
      </w:r>
    </w:p>
    <w:p w14:paraId="551E3BB5" w14:textId="1AF4776D" w:rsidR="00A80F03" w:rsidRPr="00786392" w:rsidRDefault="00A73448" w:rsidP="00A73448">
      <w:pPr>
        <w:jc w:val="center"/>
        <w:rPr>
          <w:rFonts w:ascii="Arial" w:hAnsi="Arial" w:cs="Arial"/>
          <w:b/>
          <w:bCs/>
        </w:rPr>
      </w:pPr>
      <w:r w:rsidRPr="00786392">
        <w:rPr>
          <w:rFonts w:ascii="Arial" w:hAnsi="Arial" w:cs="Arial"/>
          <w:b/>
          <w:bCs/>
        </w:rPr>
        <w:t>Advanced Research and Proposal Development</w:t>
      </w:r>
    </w:p>
    <w:p w14:paraId="2F964CEB" w14:textId="77777777" w:rsidR="00A73448" w:rsidRPr="00786392" w:rsidRDefault="00A73448" w:rsidP="00A73448">
      <w:pPr>
        <w:jc w:val="center"/>
        <w:rPr>
          <w:rFonts w:ascii="Arial" w:hAnsi="Arial" w:cs="Arial"/>
          <w:b/>
          <w:bCs/>
        </w:rPr>
      </w:pPr>
    </w:p>
    <w:p w14:paraId="564E1B96" w14:textId="14742F2D" w:rsidR="00620F92" w:rsidRPr="00786392" w:rsidRDefault="00620F92" w:rsidP="00620F92">
      <w:pPr>
        <w:jc w:val="center"/>
        <w:rPr>
          <w:rFonts w:ascii="Arial" w:hAnsi="Arial" w:cs="Arial"/>
          <w:b/>
          <w:bCs/>
        </w:rPr>
      </w:pPr>
      <w:r w:rsidRPr="00786392">
        <w:rPr>
          <w:rFonts w:ascii="Arial" w:hAnsi="Arial" w:cs="Arial"/>
          <w:b/>
          <w:bCs/>
        </w:rPr>
        <w:t xml:space="preserve">Addendum </w:t>
      </w:r>
      <w:r w:rsidR="00A80F03" w:rsidRPr="00786392">
        <w:rPr>
          <w:rFonts w:ascii="Arial" w:hAnsi="Arial" w:cs="Arial"/>
          <w:b/>
          <w:bCs/>
        </w:rPr>
        <w:t>1</w:t>
      </w:r>
    </w:p>
    <w:p w14:paraId="0D851CD1" w14:textId="606C1013" w:rsidR="00620F92" w:rsidRPr="00786392" w:rsidRDefault="00620F92" w:rsidP="00620F92">
      <w:pPr>
        <w:jc w:val="center"/>
        <w:rPr>
          <w:rFonts w:ascii="Arial" w:hAnsi="Arial" w:cs="Arial"/>
          <w:b/>
          <w:bCs/>
        </w:rPr>
      </w:pPr>
      <w:r w:rsidRPr="00786392">
        <w:rPr>
          <w:rFonts w:ascii="Arial" w:hAnsi="Arial" w:cs="Arial"/>
          <w:b/>
          <w:bCs/>
        </w:rPr>
        <w:t xml:space="preserve">January </w:t>
      </w:r>
      <w:r w:rsidR="00A73448" w:rsidRPr="00786392">
        <w:rPr>
          <w:rFonts w:ascii="Arial" w:hAnsi="Arial" w:cs="Arial"/>
          <w:b/>
          <w:bCs/>
        </w:rPr>
        <w:t>25</w:t>
      </w:r>
      <w:r w:rsidRPr="00786392">
        <w:rPr>
          <w:rFonts w:ascii="Arial" w:hAnsi="Arial" w:cs="Arial"/>
          <w:b/>
          <w:bCs/>
        </w:rPr>
        <w:t>, 202</w:t>
      </w:r>
      <w:r w:rsidR="00A73448" w:rsidRPr="00786392">
        <w:rPr>
          <w:rFonts w:ascii="Arial" w:hAnsi="Arial" w:cs="Arial"/>
          <w:b/>
          <w:bCs/>
        </w:rPr>
        <w:t>3</w:t>
      </w:r>
    </w:p>
    <w:p w14:paraId="46AF30CD" w14:textId="77777777" w:rsidR="00620F92" w:rsidRPr="00786392" w:rsidRDefault="00620F92" w:rsidP="00620F92">
      <w:pPr>
        <w:jc w:val="center"/>
        <w:rPr>
          <w:rFonts w:ascii="Arial" w:hAnsi="Arial" w:cs="Arial"/>
          <w:b/>
          <w:bCs/>
        </w:rPr>
      </w:pPr>
    </w:p>
    <w:p w14:paraId="49F00F20" w14:textId="77777777" w:rsidR="00620F92" w:rsidRPr="00786392" w:rsidRDefault="00620F92" w:rsidP="00620F92">
      <w:pPr>
        <w:rPr>
          <w:rFonts w:ascii="Arial" w:hAnsi="Arial" w:cs="Arial"/>
        </w:rPr>
      </w:pPr>
      <w:r w:rsidRPr="00786392">
        <w:rPr>
          <w:rFonts w:ascii="Arial" w:eastAsia="Arial" w:hAnsi="Arial" w:cs="Arial"/>
          <w:b/>
          <w:bCs/>
          <w:u w:val="single"/>
        </w:rPr>
        <w:t xml:space="preserve">Note: Added language appears in bold underline, and deleted language appears in </w:t>
      </w:r>
      <w:r w:rsidRPr="00786392">
        <w:rPr>
          <w:rFonts w:ascii="Arial" w:eastAsia="Arial" w:hAnsi="Arial" w:cs="Arial"/>
          <w:b/>
          <w:bCs/>
          <w:strike/>
          <w:u w:val="single"/>
        </w:rPr>
        <w:t>strikethrough</w:t>
      </w:r>
      <w:r w:rsidRPr="00786392">
        <w:rPr>
          <w:rFonts w:ascii="Arial" w:eastAsia="Arial" w:hAnsi="Arial" w:cs="Arial"/>
          <w:b/>
          <w:bCs/>
          <w:u w:val="single"/>
        </w:rPr>
        <w:t xml:space="preserve"> and within square brackets.</w:t>
      </w:r>
    </w:p>
    <w:p w14:paraId="1981129F" w14:textId="77777777" w:rsidR="00620F92" w:rsidRPr="00786392" w:rsidRDefault="00620F92" w:rsidP="00620F92">
      <w:pPr>
        <w:pStyle w:val="Default"/>
        <w:ind w:right="-720"/>
      </w:pPr>
    </w:p>
    <w:p w14:paraId="259559D6" w14:textId="77777777" w:rsidR="00620F92" w:rsidRPr="00786392" w:rsidRDefault="00620F92" w:rsidP="00620F92">
      <w:pPr>
        <w:pStyle w:val="Default"/>
        <w:ind w:right="-720"/>
      </w:pPr>
      <w:r w:rsidRPr="00786392">
        <w:t>The purpose of this addendum is to make the following revisions to the Solicitation Manual.</w:t>
      </w:r>
    </w:p>
    <w:p w14:paraId="6DA43E1B" w14:textId="77777777" w:rsidR="00620F92" w:rsidRPr="00786392" w:rsidRDefault="00620F92" w:rsidP="00620F92">
      <w:pPr>
        <w:pStyle w:val="Default"/>
        <w:ind w:right="-720"/>
      </w:pPr>
    </w:p>
    <w:p w14:paraId="50EF8A11" w14:textId="14DE2E64" w:rsidR="00620F92" w:rsidRPr="00786392" w:rsidRDefault="00620F92" w:rsidP="00620F92">
      <w:pPr>
        <w:pStyle w:val="Default"/>
        <w:numPr>
          <w:ilvl w:val="0"/>
          <w:numId w:val="2"/>
        </w:numPr>
        <w:ind w:right="-720"/>
      </w:pPr>
      <w:r w:rsidRPr="00786392">
        <w:t xml:space="preserve">Page </w:t>
      </w:r>
      <w:r w:rsidR="00A73448" w:rsidRPr="00786392">
        <w:t xml:space="preserve">4 </w:t>
      </w:r>
      <w:r w:rsidRPr="00786392">
        <w:t>of the Solicitation Manual, Key Activities and Dates:</w:t>
      </w:r>
    </w:p>
    <w:p w14:paraId="10909C8C" w14:textId="77777777" w:rsidR="00620F92" w:rsidRPr="00786392" w:rsidRDefault="00620F92" w:rsidP="00620F92">
      <w:pPr>
        <w:pStyle w:val="Default"/>
        <w:ind w:right="-720"/>
      </w:pPr>
    </w:p>
    <w:tbl>
      <w:tblPr>
        <w:tblStyle w:val="TableGrid"/>
        <w:tblW w:w="5000" w:type="pct"/>
        <w:tblInd w:w="-5" w:type="dxa"/>
        <w:tblLook w:val="04A0" w:firstRow="1" w:lastRow="0" w:firstColumn="1" w:lastColumn="0" w:noHBand="0" w:noVBand="1"/>
      </w:tblPr>
      <w:tblGrid>
        <w:gridCol w:w="5339"/>
        <w:gridCol w:w="3291"/>
      </w:tblGrid>
      <w:tr w:rsidR="00620F92" w:rsidRPr="00786392" w14:paraId="663CDB3C" w14:textId="77777777" w:rsidTr="00A73448">
        <w:trPr>
          <w:trHeight w:val="440"/>
        </w:trPr>
        <w:tc>
          <w:tcPr>
            <w:tcW w:w="3093" w:type="pct"/>
            <w:shd w:val="clear" w:color="auto" w:fill="EAF1DD"/>
            <w:vAlign w:val="center"/>
          </w:tcPr>
          <w:p w14:paraId="16D26FB1" w14:textId="77777777" w:rsidR="00620F92" w:rsidRPr="00786392" w:rsidRDefault="00620F92" w:rsidP="005D60F4">
            <w:pPr>
              <w:spacing w:before="10" w:after="10" w:line="276" w:lineRule="auto"/>
              <w:jc w:val="center"/>
              <w:rPr>
                <w:rFonts w:ascii="Arial" w:hAnsi="Arial" w:cs="Arial"/>
                <w:b/>
              </w:rPr>
            </w:pPr>
            <w:r w:rsidRPr="00786392">
              <w:rPr>
                <w:rFonts w:ascii="Arial" w:hAnsi="Arial" w:cs="Arial"/>
                <w:b/>
                <w:bCs/>
                <w:caps/>
              </w:rPr>
              <w:t>ACTIVITY</w:t>
            </w:r>
          </w:p>
        </w:tc>
        <w:tc>
          <w:tcPr>
            <w:tcW w:w="1907" w:type="pct"/>
            <w:shd w:val="clear" w:color="auto" w:fill="EAF1DD"/>
            <w:vAlign w:val="center"/>
          </w:tcPr>
          <w:p w14:paraId="2213A20F" w14:textId="77777777" w:rsidR="00620F92" w:rsidRPr="00786392" w:rsidRDefault="00620F92" w:rsidP="005D60F4">
            <w:pPr>
              <w:spacing w:before="10" w:after="10" w:line="276" w:lineRule="auto"/>
              <w:jc w:val="center"/>
              <w:rPr>
                <w:rFonts w:ascii="Arial" w:hAnsi="Arial" w:cs="Arial"/>
                <w:b/>
              </w:rPr>
            </w:pPr>
            <w:r w:rsidRPr="00786392">
              <w:rPr>
                <w:rFonts w:ascii="Arial" w:hAnsi="Arial" w:cs="Arial"/>
                <w:b/>
                <w:bCs/>
                <w:caps/>
              </w:rPr>
              <w:t>anticipated Date</w:t>
            </w:r>
          </w:p>
        </w:tc>
      </w:tr>
      <w:tr w:rsidR="00A73448" w:rsidRPr="00786392" w14:paraId="4EBD3AF5" w14:textId="77777777" w:rsidTr="00A73448">
        <w:trPr>
          <w:trHeight w:hRule="exact" w:val="730"/>
        </w:trPr>
        <w:tc>
          <w:tcPr>
            <w:tcW w:w="3093" w:type="pct"/>
            <w:vAlign w:val="center"/>
          </w:tcPr>
          <w:p w14:paraId="47B37911" w14:textId="41A9F602" w:rsidR="00A73448" w:rsidRPr="00786392" w:rsidRDefault="00A73448" w:rsidP="00A73448">
            <w:pPr>
              <w:rPr>
                <w:rFonts w:ascii="Arial" w:hAnsi="Arial" w:cs="Arial"/>
              </w:rPr>
            </w:pPr>
            <w:r w:rsidRPr="00786392">
              <w:rPr>
                <w:rFonts w:ascii="Arial" w:hAnsi="Arial" w:cs="Arial"/>
                <w:b/>
              </w:rPr>
              <w:t>Deadline to submit SOQ by 5:00 p.m.*</w:t>
            </w:r>
          </w:p>
        </w:tc>
        <w:tc>
          <w:tcPr>
            <w:tcW w:w="1907" w:type="pct"/>
            <w:vAlign w:val="center"/>
          </w:tcPr>
          <w:p w14:paraId="74C02A4E" w14:textId="77777777" w:rsidR="00A73448" w:rsidRPr="00786392" w:rsidRDefault="00A73448" w:rsidP="00A73448">
            <w:pPr>
              <w:spacing w:line="259" w:lineRule="auto"/>
              <w:jc w:val="center"/>
              <w:rPr>
                <w:rFonts w:ascii="Arial" w:hAnsi="Arial" w:cs="Arial"/>
                <w:b/>
                <w:bCs/>
                <w:strike/>
              </w:rPr>
            </w:pPr>
            <w:r w:rsidRPr="00786392">
              <w:rPr>
                <w:rFonts w:ascii="Arial" w:hAnsi="Arial" w:cs="Arial"/>
              </w:rPr>
              <w:t>[</w:t>
            </w:r>
            <w:r w:rsidRPr="00786392">
              <w:rPr>
                <w:rFonts w:ascii="Arial" w:hAnsi="Arial" w:cs="Arial"/>
                <w:b/>
                <w:bCs/>
                <w:strike/>
              </w:rPr>
              <w:t>January 10, 2023</w:t>
            </w:r>
            <w:r w:rsidRPr="00786392">
              <w:rPr>
                <w:rFonts w:ascii="Arial" w:hAnsi="Arial" w:cs="Arial"/>
              </w:rPr>
              <w:t>]</w:t>
            </w:r>
          </w:p>
          <w:p w14:paraId="4B386D12" w14:textId="0B23D625" w:rsidR="00A73448" w:rsidRPr="00786392" w:rsidRDefault="00A73448" w:rsidP="00A73448">
            <w:pPr>
              <w:jc w:val="center"/>
              <w:rPr>
                <w:rFonts w:ascii="Arial" w:hAnsi="Arial" w:cs="Arial"/>
              </w:rPr>
            </w:pPr>
            <w:r w:rsidRPr="00786392">
              <w:rPr>
                <w:rFonts w:ascii="Arial" w:hAnsi="Arial" w:cs="Arial"/>
                <w:b/>
                <w:bCs/>
                <w:u w:val="single"/>
              </w:rPr>
              <w:t>March 1, 2023</w:t>
            </w:r>
          </w:p>
        </w:tc>
      </w:tr>
      <w:tr w:rsidR="00A73448" w:rsidRPr="00786392" w14:paraId="35DFF8E4" w14:textId="77777777" w:rsidTr="00A73448">
        <w:trPr>
          <w:trHeight w:hRule="exact" w:val="1072"/>
        </w:trPr>
        <w:tc>
          <w:tcPr>
            <w:tcW w:w="3093" w:type="pct"/>
            <w:vAlign w:val="center"/>
          </w:tcPr>
          <w:p w14:paraId="4C8BA6AA" w14:textId="03D518AB" w:rsidR="00A73448" w:rsidRPr="00786392" w:rsidRDefault="00A73448" w:rsidP="00A73448">
            <w:pPr>
              <w:rPr>
                <w:rFonts w:ascii="Arial" w:hAnsi="Arial" w:cs="Arial"/>
              </w:rPr>
            </w:pPr>
            <w:r w:rsidRPr="00786392">
              <w:rPr>
                <w:rFonts w:ascii="Arial" w:hAnsi="Arial" w:cs="Arial"/>
              </w:rPr>
              <w:t>SOQ Discussions with Firms*</w:t>
            </w:r>
          </w:p>
        </w:tc>
        <w:tc>
          <w:tcPr>
            <w:tcW w:w="1907" w:type="pct"/>
            <w:vAlign w:val="center"/>
          </w:tcPr>
          <w:p w14:paraId="6569BE40" w14:textId="77777777" w:rsidR="00A73448" w:rsidRPr="00786392" w:rsidRDefault="00A73448" w:rsidP="00A73448">
            <w:pPr>
              <w:spacing w:line="259" w:lineRule="auto"/>
              <w:jc w:val="center"/>
              <w:rPr>
                <w:rFonts w:ascii="Arial" w:hAnsi="Arial" w:cs="Arial"/>
                <w:strike/>
              </w:rPr>
            </w:pPr>
            <w:r w:rsidRPr="00786392">
              <w:rPr>
                <w:rFonts w:ascii="Arial" w:hAnsi="Arial" w:cs="Arial"/>
              </w:rPr>
              <w:t>[</w:t>
            </w:r>
            <w:r w:rsidRPr="00786392">
              <w:rPr>
                <w:rFonts w:ascii="Arial" w:hAnsi="Arial" w:cs="Arial"/>
                <w:strike/>
              </w:rPr>
              <w:t>January 30, 2023, through February 3, 2023</w:t>
            </w:r>
            <w:r w:rsidRPr="00786392">
              <w:rPr>
                <w:rFonts w:ascii="Arial" w:hAnsi="Arial" w:cs="Arial"/>
              </w:rPr>
              <w:t>]</w:t>
            </w:r>
          </w:p>
          <w:p w14:paraId="2485A38C" w14:textId="24B49D01" w:rsidR="00A73448" w:rsidRPr="00786392" w:rsidRDefault="00A73448" w:rsidP="00A73448">
            <w:pPr>
              <w:jc w:val="center"/>
              <w:rPr>
                <w:rFonts w:ascii="Arial" w:hAnsi="Arial" w:cs="Arial"/>
              </w:rPr>
            </w:pPr>
            <w:r w:rsidRPr="00786392">
              <w:rPr>
                <w:rFonts w:ascii="Arial" w:hAnsi="Arial" w:cs="Arial"/>
                <w:b/>
                <w:bCs/>
                <w:u w:val="single"/>
              </w:rPr>
              <w:t>March 20-24, 2023</w:t>
            </w:r>
          </w:p>
        </w:tc>
      </w:tr>
      <w:tr w:rsidR="00A73448" w:rsidRPr="00786392" w14:paraId="3967AB5A" w14:textId="77777777" w:rsidTr="00A73448">
        <w:trPr>
          <w:trHeight w:hRule="exact" w:val="730"/>
        </w:trPr>
        <w:tc>
          <w:tcPr>
            <w:tcW w:w="3093" w:type="pct"/>
            <w:vAlign w:val="center"/>
          </w:tcPr>
          <w:p w14:paraId="6C5C2428" w14:textId="27C8559C" w:rsidR="00A73448" w:rsidRPr="00786392" w:rsidRDefault="00A73448" w:rsidP="00A73448">
            <w:pPr>
              <w:rPr>
                <w:rFonts w:ascii="Arial" w:hAnsi="Arial" w:cs="Arial"/>
              </w:rPr>
            </w:pPr>
            <w:r w:rsidRPr="00786392">
              <w:rPr>
                <w:rFonts w:ascii="Arial" w:hAnsi="Arial" w:cs="Arial"/>
              </w:rPr>
              <w:t>Notice of Selection</w:t>
            </w:r>
          </w:p>
        </w:tc>
        <w:tc>
          <w:tcPr>
            <w:tcW w:w="1907" w:type="pct"/>
            <w:vAlign w:val="center"/>
          </w:tcPr>
          <w:p w14:paraId="63DD7A2F" w14:textId="77777777" w:rsidR="00A73448" w:rsidRPr="00786392" w:rsidRDefault="00A73448" w:rsidP="00A73448">
            <w:pPr>
              <w:spacing w:line="259" w:lineRule="auto"/>
              <w:jc w:val="center"/>
              <w:rPr>
                <w:rFonts w:ascii="Arial" w:hAnsi="Arial" w:cs="Arial"/>
                <w:strike/>
              </w:rPr>
            </w:pPr>
            <w:r w:rsidRPr="00786392">
              <w:rPr>
                <w:rFonts w:ascii="Arial" w:hAnsi="Arial" w:cs="Arial"/>
              </w:rPr>
              <w:t>[</w:t>
            </w:r>
            <w:r w:rsidRPr="00786392">
              <w:rPr>
                <w:rFonts w:ascii="Arial" w:hAnsi="Arial" w:cs="Arial"/>
                <w:strike/>
              </w:rPr>
              <w:t>February 10, 2023</w:t>
            </w:r>
            <w:r w:rsidRPr="00786392">
              <w:rPr>
                <w:rFonts w:ascii="Arial" w:hAnsi="Arial" w:cs="Arial"/>
              </w:rPr>
              <w:t>]</w:t>
            </w:r>
          </w:p>
          <w:p w14:paraId="25E410DD" w14:textId="42A557F5" w:rsidR="00A73448" w:rsidRPr="00786392" w:rsidRDefault="00A73448" w:rsidP="00A73448">
            <w:pPr>
              <w:jc w:val="center"/>
              <w:rPr>
                <w:rFonts w:ascii="Arial" w:hAnsi="Arial" w:cs="Arial"/>
              </w:rPr>
            </w:pPr>
            <w:r w:rsidRPr="00786392">
              <w:rPr>
                <w:rFonts w:ascii="Arial" w:hAnsi="Arial" w:cs="Arial"/>
                <w:b/>
                <w:bCs/>
                <w:u w:val="single"/>
              </w:rPr>
              <w:t>March 30, 2023</w:t>
            </w:r>
          </w:p>
        </w:tc>
      </w:tr>
      <w:tr w:rsidR="00A73448" w:rsidRPr="00786392" w14:paraId="60011CDA" w14:textId="77777777" w:rsidTr="00A73448">
        <w:trPr>
          <w:trHeight w:hRule="exact" w:val="802"/>
        </w:trPr>
        <w:tc>
          <w:tcPr>
            <w:tcW w:w="3093" w:type="pct"/>
            <w:vAlign w:val="center"/>
          </w:tcPr>
          <w:p w14:paraId="62E60D3B" w14:textId="24F9D663" w:rsidR="00A73448" w:rsidRPr="00786392" w:rsidRDefault="00A73448" w:rsidP="00A73448">
            <w:pPr>
              <w:rPr>
                <w:rFonts w:ascii="Arial" w:hAnsi="Arial" w:cs="Arial"/>
              </w:rPr>
            </w:pPr>
            <w:r w:rsidRPr="00786392">
              <w:rPr>
                <w:rFonts w:ascii="Arial" w:hAnsi="Arial" w:cs="Arial"/>
              </w:rPr>
              <w:t>Cost Negotiations</w:t>
            </w:r>
          </w:p>
        </w:tc>
        <w:tc>
          <w:tcPr>
            <w:tcW w:w="1907" w:type="pct"/>
            <w:vAlign w:val="center"/>
          </w:tcPr>
          <w:p w14:paraId="2FA14B77" w14:textId="77777777" w:rsidR="00A73448" w:rsidRPr="00786392" w:rsidRDefault="00A73448" w:rsidP="00A73448">
            <w:pPr>
              <w:spacing w:line="259" w:lineRule="auto"/>
              <w:jc w:val="center"/>
              <w:rPr>
                <w:rFonts w:ascii="Arial" w:hAnsi="Arial" w:cs="Arial"/>
                <w:strike/>
              </w:rPr>
            </w:pPr>
            <w:r w:rsidRPr="00786392">
              <w:rPr>
                <w:rFonts w:ascii="Arial" w:hAnsi="Arial" w:cs="Arial"/>
              </w:rPr>
              <w:t>[</w:t>
            </w:r>
            <w:r w:rsidRPr="00786392">
              <w:rPr>
                <w:rFonts w:ascii="Arial" w:hAnsi="Arial" w:cs="Arial"/>
                <w:strike/>
              </w:rPr>
              <w:t>February 13-24, 2023</w:t>
            </w:r>
            <w:r w:rsidRPr="00786392">
              <w:rPr>
                <w:rFonts w:ascii="Arial" w:hAnsi="Arial" w:cs="Arial"/>
              </w:rPr>
              <w:t>]</w:t>
            </w:r>
          </w:p>
          <w:p w14:paraId="2E96888C" w14:textId="59D8E560" w:rsidR="00A73448" w:rsidRPr="00786392" w:rsidRDefault="00A73448" w:rsidP="00A73448">
            <w:pPr>
              <w:jc w:val="center"/>
              <w:rPr>
                <w:rFonts w:ascii="Arial" w:hAnsi="Arial" w:cs="Arial"/>
              </w:rPr>
            </w:pPr>
            <w:r w:rsidRPr="00786392">
              <w:rPr>
                <w:rFonts w:ascii="Arial" w:hAnsi="Arial" w:cs="Arial"/>
                <w:b/>
                <w:bCs/>
                <w:u w:val="single"/>
              </w:rPr>
              <w:t>April 3-14, 2023</w:t>
            </w:r>
          </w:p>
        </w:tc>
      </w:tr>
      <w:tr w:rsidR="00A73448" w:rsidRPr="00786392" w14:paraId="3F7FF861" w14:textId="77777777" w:rsidTr="00A73448">
        <w:trPr>
          <w:trHeight w:hRule="exact" w:val="730"/>
        </w:trPr>
        <w:tc>
          <w:tcPr>
            <w:tcW w:w="3093" w:type="pct"/>
            <w:vAlign w:val="center"/>
          </w:tcPr>
          <w:p w14:paraId="0EC83236" w14:textId="70E48936" w:rsidR="00A73448" w:rsidRPr="00786392" w:rsidRDefault="00A73448" w:rsidP="00A73448">
            <w:pPr>
              <w:rPr>
                <w:rFonts w:ascii="Arial" w:hAnsi="Arial" w:cs="Arial"/>
              </w:rPr>
            </w:pPr>
            <w:r w:rsidRPr="00786392">
              <w:rPr>
                <w:rFonts w:ascii="Arial" w:hAnsi="Arial" w:cs="Arial"/>
              </w:rPr>
              <w:t>Notice of Proposed Award</w:t>
            </w:r>
          </w:p>
        </w:tc>
        <w:tc>
          <w:tcPr>
            <w:tcW w:w="1907" w:type="pct"/>
            <w:vAlign w:val="center"/>
          </w:tcPr>
          <w:p w14:paraId="0A70C7B1" w14:textId="77777777" w:rsidR="00A73448" w:rsidRPr="00786392" w:rsidRDefault="00A73448" w:rsidP="00A73448">
            <w:pPr>
              <w:spacing w:line="259" w:lineRule="auto"/>
              <w:jc w:val="center"/>
              <w:rPr>
                <w:rFonts w:ascii="Arial" w:hAnsi="Arial" w:cs="Arial"/>
                <w:strike/>
              </w:rPr>
            </w:pPr>
            <w:r w:rsidRPr="00786392">
              <w:rPr>
                <w:rFonts w:ascii="Arial" w:hAnsi="Arial" w:cs="Arial"/>
              </w:rPr>
              <w:t>[</w:t>
            </w:r>
            <w:r w:rsidRPr="00786392">
              <w:rPr>
                <w:rFonts w:ascii="Arial" w:hAnsi="Arial" w:cs="Arial"/>
                <w:strike/>
              </w:rPr>
              <w:t>March 2, 2023</w:t>
            </w:r>
            <w:r w:rsidRPr="00786392">
              <w:rPr>
                <w:rFonts w:ascii="Arial" w:hAnsi="Arial" w:cs="Arial"/>
              </w:rPr>
              <w:t>]</w:t>
            </w:r>
          </w:p>
          <w:p w14:paraId="313B001C" w14:textId="23A99A82" w:rsidR="00A73448" w:rsidRPr="00786392" w:rsidRDefault="00A73448" w:rsidP="00A73448">
            <w:pPr>
              <w:jc w:val="center"/>
              <w:rPr>
                <w:rFonts w:ascii="Arial" w:hAnsi="Arial" w:cs="Arial"/>
              </w:rPr>
            </w:pPr>
            <w:r w:rsidRPr="00786392">
              <w:rPr>
                <w:rFonts w:ascii="Arial" w:hAnsi="Arial" w:cs="Arial"/>
                <w:b/>
                <w:bCs/>
                <w:u w:val="single"/>
              </w:rPr>
              <w:t>April 21, 2023</w:t>
            </w:r>
          </w:p>
        </w:tc>
      </w:tr>
      <w:tr w:rsidR="00A73448" w:rsidRPr="00786392" w14:paraId="041ACE4C" w14:textId="77777777" w:rsidTr="00A73448">
        <w:trPr>
          <w:trHeight w:hRule="exact" w:val="712"/>
        </w:trPr>
        <w:tc>
          <w:tcPr>
            <w:tcW w:w="3093" w:type="pct"/>
            <w:vAlign w:val="center"/>
          </w:tcPr>
          <w:p w14:paraId="476EBA89" w14:textId="3C993276" w:rsidR="00A73448" w:rsidRPr="00786392" w:rsidRDefault="00A73448" w:rsidP="00A73448">
            <w:pPr>
              <w:rPr>
                <w:rFonts w:ascii="Arial" w:hAnsi="Arial" w:cs="Arial"/>
              </w:rPr>
            </w:pPr>
            <w:r w:rsidRPr="00786392">
              <w:rPr>
                <w:rFonts w:ascii="Arial" w:hAnsi="Arial" w:cs="Arial"/>
              </w:rPr>
              <w:t>CEC Business Meeting</w:t>
            </w:r>
          </w:p>
        </w:tc>
        <w:tc>
          <w:tcPr>
            <w:tcW w:w="1907" w:type="pct"/>
            <w:vAlign w:val="center"/>
          </w:tcPr>
          <w:p w14:paraId="5C31AC69" w14:textId="77777777" w:rsidR="00A73448" w:rsidRPr="00786392" w:rsidRDefault="00A73448" w:rsidP="00A73448">
            <w:pPr>
              <w:spacing w:line="259" w:lineRule="auto"/>
              <w:jc w:val="center"/>
              <w:rPr>
                <w:rFonts w:ascii="Arial" w:hAnsi="Arial" w:cs="Arial"/>
                <w:strike/>
              </w:rPr>
            </w:pPr>
            <w:r w:rsidRPr="00786392">
              <w:rPr>
                <w:rFonts w:ascii="Arial" w:hAnsi="Arial" w:cs="Arial"/>
              </w:rPr>
              <w:t>[</w:t>
            </w:r>
            <w:r w:rsidRPr="00786392">
              <w:rPr>
                <w:rFonts w:ascii="Arial" w:hAnsi="Arial" w:cs="Arial"/>
                <w:strike/>
              </w:rPr>
              <w:t>April 12, 2023</w:t>
            </w:r>
            <w:r w:rsidRPr="00786392">
              <w:rPr>
                <w:rFonts w:ascii="Arial" w:hAnsi="Arial" w:cs="Arial"/>
              </w:rPr>
              <w:t>]</w:t>
            </w:r>
          </w:p>
          <w:p w14:paraId="7DF6E777" w14:textId="78B02649" w:rsidR="00A73448" w:rsidRPr="00786392" w:rsidRDefault="00A73448" w:rsidP="00A73448">
            <w:pPr>
              <w:jc w:val="center"/>
              <w:rPr>
                <w:rFonts w:ascii="Arial" w:hAnsi="Arial" w:cs="Arial"/>
              </w:rPr>
            </w:pPr>
            <w:r w:rsidRPr="00786392">
              <w:rPr>
                <w:rFonts w:ascii="Arial" w:hAnsi="Arial" w:cs="Arial"/>
                <w:b/>
                <w:bCs/>
                <w:u w:val="single"/>
              </w:rPr>
              <w:t>June 14, 2023</w:t>
            </w:r>
          </w:p>
        </w:tc>
      </w:tr>
      <w:tr w:rsidR="00A73448" w:rsidRPr="00786392" w14:paraId="1BC9F976" w14:textId="77777777" w:rsidTr="00A73448">
        <w:trPr>
          <w:trHeight w:hRule="exact" w:val="640"/>
        </w:trPr>
        <w:tc>
          <w:tcPr>
            <w:tcW w:w="3093" w:type="pct"/>
            <w:vAlign w:val="center"/>
          </w:tcPr>
          <w:p w14:paraId="02ACAB49" w14:textId="18B9BF2D" w:rsidR="00A73448" w:rsidRPr="00786392" w:rsidRDefault="00A73448" w:rsidP="00A73448">
            <w:pPr>
              <w:rPr>
                <w:rFonts w:ascii="Arial" w:hAnsi="Arial" w:cs="Arial"/>
              </w:rPr>
            </w:pPr>
            <w:r w:rsidRPr="00786392">
              <w:rPr>
                <w:rFonts w:ascii="Arial" w:hAnsi="Arial" w:cs="Arial"/>
              </w:rPr>
              <w:t>Contract Start Date</w:t>
            </w:r>
          </w:p>
        </w:tc>
        <w:tc>
          <w:tcPr>
            <w:tcW w:w="1907" w:type="pct"/>
            <w:vAlign w:val="center"/>
          </w:tcPr>
          <w:p w14:paraId="28E7D02E" w14:textId="77777777" w:rsidR="00A73448" w:rsidRPr="00786392" w:rsidRDefault="00A73448" w:rsidP="00A73448">
            <w:pPr>
              <w:spacing w:line="259" w:lineRule="auto"/>
              <w:jc w:val="center"/>
              <w:rPr>
                <w:rFonts w:ascii="Arial" w:hAnsi="Arial" w:cs="Arial"/>
                <w:strike/>
              </w:rPr>
            </w:pPr>
            <w:r w:rsidRPr="00786392">
              <w:rPr>
                <w:rFonts w:ascii="Arial" w:hAnsi="Arial" w:cs="Arial"/>
              </w:rPr>
              <w:t>[</w:t>
            </w:r>
            <w:r w:rsidRPr="00786392">
              <w:rPr>
                <w:rFonts w:ascii="Arial" w:hAnsi="Arial" w:cs="Arial"/>
                <w:strike/>
              </w:rPr>
              <w:t>May 1, 2023</w:t>
            </w:r>
            <w:r w:rsidRPr="00786392">
              <w:rPr>
                <w:rFonts w:ascii="Arial" w:hAnsi="Arial" w:cs="Arial"/>
              </w:rPr>
              <w:t>]</w:t>
            </w:r>
          </w:p>
          <w:p w14:paraId="3533B596" w14:textId="602A3C57" w:rsidR="00A73448" w:rsidRPr="00786392" w:rsidRDefault="00A73448" w:rsidP="00A73448">
            <w:pPr>
              <w:jc w:val="center"/>
              <w:rPr>
                <w:rFonts w:ascii="Arial" w:hAnsi="Arial" w:cs="Arial"/>
              </w:rPr>
            </w:pPr>
            <w:r w:rsidRPr="00786392">
              <w:rPr>
                <w:rFonts w:ascii="Arial" w:hAnsi="Arial" w:cs="Arial"/>
                <w:b/>
                <w:bCs/>
                <w:u w:val="single"/>
              </w:rPr>
              <w:t>June 15, 2023</w:t>
            </w:r>
          </w:p>
        </w:tc>
      </w:tr>
      <w:tr w:rsidR="00A73448" w:rsidRPr="00786392" w14:paraId="522B2DC8" w14:textId="77777777" w:rsidTr="00A73448">
        <w:trPr>
          <w:trHeight w:hRule="exact" w:val="712"/>
        </w:trPr>
        <w:tc>
          <w:tcPr>
            <w:tcW w:w="3093" w:type="pct"/>
            <w:vAlign w:val="center"/>
          </w:tcPr>
          <w:p w14:paraId="46657F44" w14:textId="4F59C852" w:rsidR="00A73448" w:rsidRPr="00786392" w:rsidRDefault="00A73448" w:rsidP="00A73448">
            <w:pPr>
              <w:rPr>
                <w:rFonts w:ascii="Arial" w:hAnsi="Arial" w:cs="Arial"/>
              </w:rPr>
            </w:pPr>
            <w:r w:rsidRPr="00786392">
              <w:rPr>
                <w:rFonts w:ascii="Arial" w:hAnsi="Arial" w:cs="Arial"/>
              </w:rPr>
              <w:t>Contract End Date</w:t>
            </w:r>
          </w:p>
        </w:tc>
        <w:tc>
          <w:tcPr>
            <w:tcW w:w="1907" w:type="pct"/>
            <w:vAlign w:val="center"/>
          </w:tcPr>
          <w:p w14:paraId="4266CF26" w14:textId="77777777" w:rsidR="00A73448" w:rsidRPr="00786392" w:rsidRDefault="00A73448" w:rsidP="00A73448">
            <w:pPr>
              <w:spacing w:line="259" w:lineRule="auto"/>
              <w:jc w:val="center"/>
              <w:rPr>
                <w:rFonts w:ascii="Arial" w:hAnsi="Arial" w:cs="Arial"/>
                <w:strike/>
              </w:rPr>
            </w:pPr>
            <w:r w:rsidRPr="00786392">
              <w:rPr>
                <w:rFonts w:ascii="Arial" w:hAnsi="Arial" w:cs="Arial"/>
                <w:strike/>
              </w:rPr>
              <w:t>April 30, 2026</w:t>
            </w:r>
          </w:p>
          <w:p w14:paraId="3ED02513" w14:textId="7D25CB14" w:rsidR="00A73448" w:rsidRPr="00786392" w:rsidRDefault="00A73448" w:rsidP="00A73448">
            <w:pPr>
              <w:jc w:val="center"/>
              <w:rPr>
                <w:rFonts w:ascii="Arial" w:hAnsi="Arial" w:cs="Arial"/>
              </w:rPr>
            </w:pPr>
            <w:r w:rsidRPr="00786392">
              <w:rPr>
                <w:rFonts w:ascii="Arial" w:hAnsi="Arial" w:cs="Arial"/>
                <w:b/>
                <w:bCs/>
                <w:u w:val="single"/>
              </w:rPr>
              <w:t>June 14, 2026</w:t>
            </w:r>
          </w:p>
        </w:tc>
      </w:tr>
    </w:tbl>
    <w:p w14:paraId="592576F5" w14:textId="68D3E425" w:rsidR="00620F92" w:rsidRPr="00786392" w:rsidRDefault="00620F92" w:rsidP="00620F92">
      <w:pPr>
        <w:rPr>
          <w:rFonts w:ascii="Arial" w:hAnsi="Arial" w:cs="Arial"/>
        </w:rPr>
      </w:pPr>
    </w:p>
    <w:p w14:paraId="23E45D8C" w14:textId="0AE5923D" w:rsidR="00A73448" w:rsidRPr="00786392" w:rsidRDefault="00A73448" w:rsidP="00620F92">
      <w:pPr>
        <w:rPr>
          <w:rFonts w:ascii="Arial" w:hAnsi="Arial" w:cs="Arial"/>
        </w:rPr>
      </w:pPr>
    </w:p>
    <w:p w14:paraId="2427E17D" w14:textId="29023C26" w:rsidR="00A73448" w:rsidRPr="00786392" w:rsidRDefault="00A73448" w:rsidP="00620F92">
      <w:pPr>
        <w:rPr>
          <w:rFonts w:ascii="Arial" w:hAnsi="Arial" w:cs="Arial"/>
        </w:rPr>
      </w:pPr>
    </w:p>
    <w:p w14:paraId="55CA3912" w14:textId="77777777" w:rsidR="00A73448" w:rsidRPr="00786392" w:rsidRDefault="00A73448" w:rsidP="00620F92">
      <w:pPr>
        <w:rPr>
          <w:rFonts w:ascii="Arial" w:hAnsi="Arial" w:cs="Arial"/>
        </w:rPr>
      </w:pPr>
    </w:p>
    <w:p w14:paraId="5168CCC0" w14:textId="52225407" w:rsidR="00A73448" w:rsidRPr="00786392" w:rsidRDefault="00A73448" w:rsidP="00A73448">
      <w:pPr>
        <w:pStyle w:val="Default"/>
        <w:numPr>
          <w:ilvl w:val="0"/>
          <w:numId w:val="2"/>
        </w:numPr>
        <w:ind w:right="-720"/>
      </w:pPr>
      <w:r w:rsidRPr="00786392">
        <w:lastRenderedPageBreak/>
        <w:t>Page 5 of the Solicitation Manual, Available Funding:</w:t>
      </w:r>
    </w:p>
    <w:p w14:paraId="09FE849C" w14:textId="04321603" w:rsidR="00A73448" w:rsidRPr="00786392" w:rsidRDefault="00A73448" w:rsidP="00A73448">
      <w:pPr>
        <w:pStyle w:val="Default"/>
        <w:ind w:right="-720"/>
      </w:pPr>
    </w:p>
    <w:p w14:paraId="78004BE3" w14:textId="68AB106D" w:rsidR="00A73448" w:rsidRPr="00786392" w:rsidRDefault="00A73448" w:rsidP="00A73448">
      <w:pPr>
        <w:spacing w:line="259" w:lineRule="auto"/>
        <w:rPr>
          <w:rFonts w:ascii="Arial" w:hAnsi="Arial" w:cs="Arial"/>
        </w:rPr>
      </w:pPr>
      <w:r w:rsidRPr="00786392">
        <w:rPr>
          <w:rFonts w:ascii="Arial" w:hAnsi="Arial" w:cs="Arial"/>
        </w:rPr>
        <w:t>There is a maximum of up to [</w:t>
      </w:r>
      <w:r w:rsidRPr="00786392">
        <w:rPr>
          <w:rFonts w:ascii="Arial" w:hAnsi="Arial" w:cs="Arial"/>
          <w:strike/>
        </w:rPr>
        <w:t>$750,000</w:t>
      </w:r>
      <w:r w:rsidRPr="00786392">
        <w:rPr>
          <w:rFonts w:ascii="Arial" w:hAnsi="Arial" w:cs="Arial"/>
        </w:rPr>
        <w:t xml:space="preserve">] </w:t>
      </w:r>
      <w:r w:rsidRPr="00786392">
        <w:rPr>
          <w:rFonts w:ascii="Arial" w:hAnsi="Arial" w:cs="Arial"/>
          <w:b/>
          <w:bCs/>
          <w:u w:val="single"/>
        </w:rPr>
        <w:t>$1,</w:t>
      </w:r>
      <w:r w:rsidR="00F52879">
        <w:rPr>
          <w:rFonts w:ascii="Arial" w:hAnsi="Arial" w:cs="Arial"/>
          <w:b/>
          <w:bCs/>
          <w:u w:val="single"/>
        </w:rPr>
        <w:t>200</w:t>
      </w:r>
      <w:r w:rsidRPr="00786392">
        <w:rPr>
          <w:rFonts w:ascii="Arial" w:hAnsi="Arial" w:cs="Arial"/>
          <w:b/>
          <w:bCs/>
          <w:u w:val="single"/>
        </w:rPr>
        <w:t>,000</w:t>
      </w:r>
      <w:r w:rsidRPr="00786392">
        <w:rPr>
          <w:rFonts w:ascii="Arial" w:hAnsi="Arial" w:cs="Arial"/>
        </w:rPr>
        <w:t xml:space="preserve"> available to fund the three-year contract resulting from this RFQ. This is an hourly rate plus cost reimbursement contract with a ceiling on the total contract amount. </w:t>
      </w:r>
    </w:p>
    <w:p w14:paraId="585EC075" w14:textId="77777777" w:rsidR="00A73448" w:rsidRPr="00786392" w:rsidRDefault="00A73448" w:rsidP="00A73448">
      <w:pPr>
        <w:spacing w:line="259" w:lineRule="auto"/>
        <w:rPr>
          <w:rFonts w:ascii="Arial" w:hAnsi="Arial" w:cs="Arial"/>
        </w:rPr>
      </w:pPr>
    </w:p>
    <w:p w14:paraId="7F63C1DF" w14:textId="3E6C35F5" w:rsidR="00A73448" w:rsidRPr="00786392" w:rsidRDefault="00A73448" w:rsidP="00A73448">
      <w:pPr>
        <w:spacing w:line="259" w:lineRule="auto"/>
        <w:rPr>
          <w:rFonts w:ascii="Arial" w:hAnsi="Arial" w:cs="Arial"/>
        </w:rPr>
      </w:pPr>
      <w:r w:rsidRPr="00786392">
        <w:rPr>
          <w:rFonts w:ascii="Arial" w:hAnsi="Arial" w:cs="Arial"/>
          <w:color w:val="000000" w:themeColor="text1"/>
        </w:rPr>
        <w:t xml:space="preserve">Funding for this Agreement will be subject to the availability of funds in the Fiscal Year (FY) 2022-2023, FY 2023-2024, and FY 2024-2025 Budget Acts. </w:t>
      </w:r>
    </w:p>
    <w:p w14:paraId="0F764B2A" w14:textId="482E3F62" w:rsidR="00A73448" w:rsidRPr="00786392" w:rsidRDefault="00A73448" w:rsidP="00A73448">
      <w:pPr>
        <w:pStyle w:val="Default"/>
        <w:ind w:right="-720"/>
      </w:pPr>
    </w:p>
    <w:tbl>
      <w:tblPr>
        <w:tblStyle w:val="TableGrid"/>
        <w:tblW w:w="0" w:type="auto"/>
        <w:jc w:val="center"/>
        <w:tblLook w:val="04A0" w:firstRow="1" w:lastRow="0" w:firstColumn="1" w:lastColumn="0" w:noHBand="0" w:noVBand="1"/>
      </w:tblPr>
      <w:tblGrid>
        <w:gridCol w:w="2160"/>
        <w:gridCol w:w="2160"/>
      </w:tblGrid>
      <w:tr w:rsidR="00A73448" w:rsidRPr="00786392" w14:paraId="01E74A87" w14:textId="77777777" w:rsidTr="00A73448">
        <w:trPr>
          <w:trHeight w:hRule="exact" w:val="576"/>
          <w:jc w:val="center"/>
        </w:trPr>
        <w:tc>
          <w:tcPr>
            <w:tcW w:w="2160" w:type="dxa"/>
            <w:shd w:val="clear" w:color="auto" w:fill="EAF1DD"/>
            <w:vAlign w:val="center"/>
          </w:tcPr>
          <w:p w14:paraId="144529E4" w14:textId="77777777" w:rsidR="00A73448" w:rsidRPr="00786392" w:rsidRDefault="00A73448" w:rsidP="006406EB">
            <w:pPr>
              <w:spacing w:line="259" w:lineRule="auto"/>
              <w:jc w:val="center"/>
              <w:rPr>
                <w:rFonts w:ascii="Arial" w:hAnsi="Arial" w:cs="Arial"/>
                <w:b/>
                <w:bCs/>
                <w:color w:val="000000"/>
              </w:rPr>
            </w:pPr>
            <w:r w:rsidRPr="00786392">
              <w:rPr>
                <w:rFonts w:ascii="Arial" w:hAnsi="Arial" w:cs="Arial"/>
                <w:b/>
                <w:bCs/>
                <w:color w:val="000000"/>
              </w:rPr>
              <w:t>FISCAL YEAR</w:t>
            </w:r>
          </w:p>
        </w:tc>
        <w:tc>
          <w:tcPr>
            <w:tcW w:w="2160" w:type="dxa"/>
            <w:shd w:val="clear" w:color="auto" w:fill="EAF1DD"/>
            <w:vAlign w:val="center"/>
          </w:tcPr>
          <w:p w14:paraId="3C64CBB2" w14:textId="77777777" w:rsidR="00A73448" w:rsidRPr="00786392" w:rsidRDefault="00A73448" w:rsidP="006406EB">
            <w:pPr>
              <w:spacing w:line="259" w:lineRule="auto"/>
              <w:jc w:val="center"/>
              <w:rPr>
                <w:rFonts w:ascii="Arial" w:hAnsi="Arial" w:cs="Arial"/>
                <w:b/>
                <w:bCs/>
                <w:color w:val="000000"/>
              </w:rPr>
            </w:pPr>
            <w:r w:rsidRPr="00786392">
              <w:rPr>
                <w:rFonts w:ascii="Arial" w:hAnsi="Arial" w:cs="Arial"/>
                <w:b/>
                <w:bCs/>
                <w:color w:val="000000"/>
              </w:rPr>
              <w:t>AMOUNT</w:t>
            </w:r>
          </w:p>
        </w:tc>
      </w:tr>
      <w:tr w:rsidR="00A73448" w:rsidRPr="00786392" w14:paraId="0345CA0A" w14:textId="77777777" w:rsidTr="00A73448">
        <w:trPr>
          <w:trHeight w:hRule="exact" w:val="775"/>
          <w:jc w:val="center"/>
        </w:trPr>
        <w:tc>
          <w:tcPr>
            <w:tcW w:w="2160" w:type="dxa"/>
            <w:vAlign w:val="center"/>
          </w:tcPr>
          <w:p w14:paraId="2122CEDF" w14:textId="77777777" w:rsidR="00A73448" w:rsidRPr="00786392" w:rsidRDefault="00A73448" w:rsidP="006406EB">
            <w:pPr>
              <w:spacing w:line="259" w:lineRule="auto"/>
              <w:jc w:val="center"/>
              <w:rPr>
                <w:rFonts w:ascii="Arial" w:hAnsi="Arial" w:cs="Arial"/>
                <w:color w:val="000000"/>
              </w:rPr>
            </w:pPr>
            <w:r w:rsidRPr="00786392">
              <w:rPr>
                <w:rFonts w:ascii="Arial" w:hAnsi="Arial" w:cs="Arial"/>
                <w:color w:val="000000"/>
              </w:rPr>
              <w:t>2022-2023</w:t>
            </w:r>
          </w:p>
        </w:tc>
        <w:tc>
          <w:tcPr>
            <w:tcW w:w="2160" w:type="dxa"/>
            <w:vAlign w:val="center"/>
          </w:tcPr>
          <w:p w14:paraId="4F6712D6" w14:textId="77777777" w:rsidR="00A73448" w:rsidRPr="00786392" w:rsidRDefault="00A73448" w:rsidP="006406EB">
            <w:pPr>
              <w:spacing w:line="259" w:lineRule="auto"/>
              <w:jc w:val="center"/>
              <w:rPr>
                <w:rFonts w:ascii="Arial" w:hAnsi="Arial" w:cs="Arial"/>
                <w:color w:val="000000"/>
              </w:rPr>
            </w:pPr>
            <w:r w:rsidRPr="00786392">
              <w:rPr>
                <w:rFonts w:ascii="Arial" w:hAnsi="Arial" w:cs="Arial"/>
                <w:color w:val="000000"/>
              </w:rPr>
              <w:t>[</w:t>
            </w:r>
            <w:r w:rsidRPr="00786392">
              <w:rPr>
                <w:rFonts w:ascii="Arial" w:hAnsi="Arial" w:cs="Arial"/>
                <w:strike/>
                <w:color w:val="000000"/>
              </w:rPr>
              <w:t>$250,000</w:t>
            </w:r>
            <w:r w:rsidRPr="00786392">
              <w:rPr>
                <w:rFonts w:ascii="Arial" w:hAnsi="Arial" w:cs="Arial"/>
                <w:color w:val="000000"/>
              </w:rPr>
              <w:t>]</w:t>
            </w:r>
          </w:p>
          <w:p w14:paraId="404A73B5" w14:textId="495D844D" w:rsidR="00A73448" w:rsidRPr="00786392" w:rsidRDefault="00A73448" w:rsidP="006406EB">
            <w:pPr>
              <w:spacing w:line="259" w:lineRule="auto"/>
              <w:jc w:val="center"/>
              <w:rPr>
                <w:rFonts w:ascii="Arial" w:hAnsi="Arial" w:cs="Arial"/>
                <w:b/>
                <w:bCs/>
                <w:color w:val="000000"/>
                <w:u w:val="single"/>
              </w:rPr>
            </w:pPr>
            <w:r w:rsidRPr="00786392">
              <w:rPr>
                <w:rFonts w:ascii="Arial" w:hAnsi="Arial" w:cs="Arial"/>
                <w:b/>
                <w:bCs/>
                <w:color w:val="000000"/>
                <w:u w:val="single"/>
              </w:rPr>
              <w:t>$</w:t>
            </w:r>
            <w:r w:rsidR="00F52879">
              <w:rPr>
                <w:rFonts w:ascii="Arial" w:hAnsi="Arial" w:cs="Arial"/>
                <w:b/>
                <w:bCs/>
                <w:color w:val="000000"/>
                <w:u w:val="single"/>
              </w:rPr>
              <w:t>40</w:t>
            </w:r>
            <w:r w:rsidRPr="00786392">
              <w:rPr>
                <w:rFonts w:ascii="Arial" w:hAnsi="Arial" w:cs="Arial"/>
                <w:b/>
                <w:bCs/>
                <w:color w:val="000000"/>
                <w:u w:val="single"/>
              </w:rPr>
              <w:t>0,000</w:t>
            </w:r>
          </w:p>
        </w:tc>
      </w:tr>
      <w:tr w:rsidR="00A73448" w:rsidRPr="00786392" w14:paraId="42602B95" w14:textId="77777777" w:rsidTr="00A73448">
        <w:trPr>
          <w:trHeight w:hRule="exact" w:val="712"/>
          <w:jc w:val="center"/>
        </w:trPr>
        <w:tc>
          <w:tcPr>
            <w:tcW w:w="2160" w:type="dxa"/>
            <w:vAlign w:val="center"/>
          </w:tcPr>
          <w:p w14:paraId="27648899" w14:textId="77777777" w:rsidR="00A73448" w:rsidRPr="00786392" w:rsidRDefault="00A73448" w:rsidP="006406EB">
            <w:pPr>
              <w:spacing w:line="259" w:lineRule="auto"/>
              <w:jc w:val="center"/>
              <w:rPr>
                <w:rFonts w:ascii="Arial" w:hAnsi="Arial" w:cs="Arial"/>
                <w:color w:val="000000"/>
              </w:rPr>
            </w:pPr>
            <w:r w:rsidRPr="00786392">
              <w:rPr>
                <w:rFonts w:ascii="Arial" w:hAnsi="Arial" w:cs="Arial"/>
                <w:color w:val="000000"/>
              </w:rPr>
              <w:t>2023-2024</w:t>
            </w:r>
          </w:p>
        </w:tc>
        <w:tc>
          <w:tcPr>
            <w:tcW w:w="2160" w:type="dxa"/>
            <w:vAlign w:val="center"/>
          </w:tcPr>
          <w:p w14:paraId="56D91A71" w14:textId="77777777" w:rsidR="00A73448" w:rsidRPr="00786392" w:rsidRDefault="00A73448" w:rsidP="006406EB">
            <w:pPr>
              <w:spacing w:line="259" w:lineRule="auto"/>
              <w:jc w:val="center"/>
              <w:rPr>
                <w:rFonts w:ascii="Arial" w:hAnsi="Arial" w:cs="Arial"/>
                <w:color w:val="000000"/>
              </w:rPr>
            </w:pPr>
            <w:r w:rsidRPr="00786392">
              <w:rPr>
                <w:rFonts w:ascii="Arial" w:hAnsi="Arial" w:cs="Arial"/>
                <w:color w:val="000000"/>
              </w:rPr>
              <w:t>[</w:t>
            </w:r>
            <w:r w:rsidRPr="00786392">
              <w:rPr>
                <w:rFonts w:ascii="Arial" w:hAnsi="Arial" w:cs="Arial"/>
                <w:strike/>
                <w:color w:val="000000"/>
              </w:rPr>
              <w:t>$250,000</w:t>
            </w:r>
            <w:r w:rsidRPr="00786392">
              <w:rPr>
                <w:rFonts w:ascii="Arial" w:hAnsi="Arial" w:cs="Arial"/>
                <w:color w:val="000000"/>
              </w:rPr>
              <w:t>]</w:t>
            </w:r>
          </w:p>
          <w:p w14:paraId="61D84F1E" w14:textId="09051873" w:rsidR="00A73448" w:rsidRPr="00786392" w:rsidRDefault="00A73448" w:rsidP="006406EB">
            <w:pPr>
              <w:spacing w:line="259" w:lineRule="auto"/>
              <w:jc w:val="center"/>
              <w:rPr>
                <w:rFonts w:ascii="Arial" w:hAnsi="Arial" w:cs="Arial"/>
                <w:color w:val="000000"/>
              </w:rPr>
            </w:pPr>
            <w:r w:rsidRPr="00786392">
              <w:rPr>
                <w:rFonts w:ascii="Arial" w:hAnsi="Arial" w:cs="Arial"/>
                <w:b/>
                <w:bCs/>
                <w:color w:val="000000"/>
                <w:u w:val="single"/>
              </w:rPr>
              <w:t>$</w:t>
            </w:r>
            <w:r w:rsidR="00F52879">
              <w:rPr>
                <w:rFonts w:ascii="Arial" w:hAnsi="Arial" w:cs="Arial"/>
                <w:b/>
                <w:bCs/>
                <w:color w:val="000000"/>
                <w:u w:val="single"/>
              </w:rPr>
              <w:t>40</w:t>
            </w:r>
            <w:r w:rsidRPr="00786392">
              <w:rPr>
                <w:rFonts w:ascii="Arial" w:hAnsi="Arial" w:cs="Arial"/>
                <w:b/>
                <w:bCs/>
                <w:color w:val="000000"/>
                <w:u w:val="single"/>
              </w:rPr>
              <w:t>0,000</w:t>
            </w:r>
          </w:p>
        </w:tc>
      </w:tr>
      <w:tr w:rsidR="00A73448" w:rsidRPr="00786392" w14:paraId="04A23A91" w14:textId="77777777" w:rsidTr="00A73448">
        <w:trPr>
          <w:trHeight w:hRule="exact" w:val="712"/>
          <w:jc w:val="center"/>
        </w:trPr>
        <w:tc>
          <w:tcPr>
            <w:tcW w:w="2160" w:type="dxa"/>
            <w:vAlign w:val="center"/>
          </w:tcPr>
          <w:p w14:paraId="7E74CC5D" w14:textId="77777777" w:rsidR="00A73448" w:rsidRPr="00786392" w:rsidRDefault="00A73448" w:rsidP="006406EB">
            <w:pPr>
              <w:spacing w:line="259" w:lineRule="auto"/>
              <w:jc w:val="center"/>
              <w:rPr>
                <w:rFonts w:ascii="Arial" w:hAnsi="Arial" w:cs="Arial"/>
                <w:color w:val="000000"/>
              </w:rPr>
            </w:pPr>
            <w:r w:rsidRPr="00786392">
              <w:rPr>
                <w:rFonts w:ascii="Arial" w:hAnsi="Arial" w:cs="Arial"/>
                <w:color w:val="000000"/>
              </w:rPr>
              <w:t>2024-2025</w:t>
            </w:r>
          </w:p>
        </w:tc>
        <w:tc>
          <w:tcPr>
            <w:tcW w:w="2160" w:type="dxa"/>
            <w:vAlign w:val="center"/>
          </w:tcPr>
          <w:p w14:paraId="61D118CC" w14:textId="77777777" w:rsidR="00A73448" w:rsidRPr="00786392" w:rsidRDefault="00A73448" w:rsidP="006406EB">
            <w:pPr>
              <w:spacing w:line="259" w:lineRule="auto"/>
              <w:jc w:val="center"/>
              <w:rPr>
                <w:rFonts w:ascii="Arial" w:hAnsi="Arial" w:cs="Arial"/>
                <w:color w:val="000000"/>
              </w:rPr>
            </w:pPr>
            <w:r w:rsidRPr="00786392">
              <w:rPr>
                <w:rFonts w:ascii="Arial" w:hAnsi="Arial" w:cs="Arial"/>
                <w:color w:val="000000"/>
              </w:rPr>
              <w:t>[</w:t>
            </w:r>
            <w:r w:rsidRPr="00786392">
              <w:rPr>
                <w:rFonts w:ascii="Arial" w:hAnsi="Arial" w:cs="Arial"/>
                <w:strike/>
                <w:color w:val="000000"/>
              </w:rPr>
              <w:t>$250,000</w:t>
            </w:r>
            <w:r w:rsidRPr="00786392">
              <w:rPr>
                <w:rFonts w:ascii="Arial" w:hAnsi="Arial" w:cs="Arial"/>
                <w:color w:val="000000"/>
              </w:rPr>
              <w:t>]</w:t>
            </w:r>
          </w:p>
          <w:p w14:paraId="2DB1449E" w14:textId="10155D1C" w:rsidR="00A73448" w:rsidRPr="00786392" w:rsidRDefault="00A73448" w:rsidP="006406EB">
            <w:pPr>
              <w:spacing w:line="259" w:lineRule="auto"/>
              <w:jc w:val="center"/>
              <w:rPr>
                <w:rFonts w:ascii="Arial" w:hAnsi="Arial" w:cs="Arial"/>
                <w:color w:val="000000"/>
              </w:rPr>
            </w:pPr>
            <w:r w:rsidRPr="00786392">
              <w:rPr>
                <w:rFonts w:ascii="Arial" w:hAnsi="Arial" w:cs="Arial"/>
                <w:b/>
                <w:bCs/>
                <w:color w:val="000000"/>
                <w:u w:val="single"/>
              </w:rPr>
              <w:t>$</w:t>
            </w:r>
            <w:r w:rsidR="00F52879">
              <w:rPr>
                <w:rFonts w:ascii="Arial" w:hAnsi="Arial" w:cs="Arial"/>
                <w:b/>
                <w:bCs/>
                <w:color w:val="000000"/>
                <w:u w:val="single"/>
              </w:rPr>
              <w:t>40</w:t>
            </w:r>
            <w:r w:rsidRPr="00786392">
              <w:rPr>
                <w:rFonts w:ascii="Arial" w:hAnsi="Arial" w:cs="Arial"/>
                <w:b/>
                <w:bCs/>
                <w:color w:val="000000"/>
                <w:u w:val="single"/>
              </w:rPr>
              <w:t>0,000</w:t>
            </w:r>
          </w:p>
        </w:tc>
      </w:tr>
    </w:tbl>
    <w:p w14:paraId="31426420" w14:textId="77777777" w:rsidR="00A73448" w:rsidRPr="00786392" w:rsidRDefault="00A73448" w:rsidP="00A73448">
      <w:pPr>
        <w:pStyle w:val="Default"/>
        <w:ind w:right="-720"/>
      </w:pPr>
    </w:p>
    <w:p w14:paraId="118BD0D6" w14:textId="4E68CEF3" w:rsidR="00A73448" w:rsidRPr="00786392" w:rsidRDefault="00A73448" w:rsidP="00A73448">
      <w:pPr>
        <w:spacing w:line="259" w:lineRule="auto"/>
        <w:rPr>
          <w:rFonts w:ascii="Arial" w:hAnsi="Arial" w:cs="Arial"/>
          <w:color w:val="000000"/>
        </w:rPr>
      </w:pPr>
      <w:r w:rsidRPr="00786392">
        <w:rPr>
          <w:rFonts w:ascii="Arial" w:hAnsi="Arial" w:cs="Arial"/>
          <w:color w:val="000000"/>
        </w:rPr>
        <w:t xml:space="preserve">Funding for the Agreement is from Cost of Implementation Account (COIA) funds. COIA funds include </w:t>
      </w:r>
      <w:r w:rsidRPr="00786392">
        <w:rPr>
          <w:rFonts w:ascii="Arial" w:hAnsi="Arial" w:cs="Arial"/>
          <w:strike/>
          <w:color w:val="000000"/>
        </w:rPr>
        <w:t>[$250,000</w:t>
      </w:r>
      <w:r w:rsidRPr="00786392">
        <w:rPr>
          <w:rFonts w:ascii="Arial" w:hAnsi="Arial" w:cs="Arial"/>
          <w:color w:val="000000"/>
        </w:rPr>
        <w:t xml:space="preserve">] </w:t>
      </w:r>
      <w:r w:rsidRPr="00786392">
        <w:rPr>
          <w:rFonts w:ascii="Arial" w:hAnsi="Arial" w:cs="Arial"/>
          <w:b/>
          <w:bCs/>
          <w:color w:val="000000"/>
          <w:u w:val="single"/>
        </w:rPr>
        <w:t>$</w:t>
      </w:r>
      <w:r w:rsidR="00F52879">
        <w:rPr>
          <w:rFonts w:ascii="Arial" w:hAnsi="Arial" w:cs="Arial"/>
          <w:b/>
          <w:bCs/>
          <w:color w:val="000000"/>
          <w:u w:val="single"/>
        </w:rPr>
        <w:t>40</w:t>
      </w:r>
      <w:r w:rsidRPr="00786392">
        <w:rPr>
          <w:rFonts w:ascii="Arial" w:hAnsi="Arial" w:cs="Arial"/>
          <w:b/>
          <w:bCs/>
          <w:color w:val="000000"/>
          <w:u w:val="single"/>
        </w:rPr>
        <w:t>0,000</w:t>
      </w:r>
      <w:r w:rsidRPr="00786392">
        <w:rPr>
          <w:rFonts w:ascii="Arial" w:hAnsi="Arial" w:cs="Arial"/>
          <w:color w:val="000000"/>
        </w:rPr>
        <w:t xml:space="preserve"> from FY 2022-2023; </w:t>
      </w:r>
      <w:r w:rsidRPr="00786392">
        <w:rPr>
          <w:rFonts w:ascii="Arial" w:hAnsi="Arial" w:cs="Arial"/>
          <w:strike/>
          <w:color w:val="000000"/>
        </w:rPr>
        <w:t>[$250,000</w:t>
      </w:r>
      <w:r w:rsidRPr="00786392">
        <w:rPr>
          <w:rFonts w:ascii="Arial" w:hAnsi="Arial" w:cs="Arial"/>
          <w:color w:val="000000"/>
        </w:rPr>
        <w:t xml:space="preserve">] </w:t>
      </w:r>
      <w:r w:rsidRPr="00786392">
        <w:rPr>
          <w:rFonts w:ascii="Arial" w:hAnsi="Arial" w:cs="Arial"/>
          <w:b/>
          <w:bCs/>
          <w:color w:val="000000"/>
          <w:u w:val="single"/>
        </w:rPr>
        <w:t>$</w:t>
      </w:r>
      <w:r w:rsidR="00F52879">
        <w:rPr>
          <w:rFonts w:ascii="Arial" w:hAnsi="Arial" w:cs="Arial"/>
          <w:b/>
          <w:bCs/>
          <w:color w:val="000000"/>
          <w:u w:val="single"/>
        </w:rPr>
        <w:t>40</w:t>
      </w:r>
      <w:r w:rsidRPr="00786392">
        <w:rPr>
          <w:rFonts w:ascii="Arial" w:hAnsi="Arial" w:cs="Arial"/>
          <w:b/>
          <w:bCs/>
          <w:color w:val="000000"/>
          <w:u w:val="single"/>
        </w:rPr>
        <w:t>0,000</w:t>
      </w:r>
      <w:r w:rsidRPr="00786392">
        <w:rPr>
          <w:rFonts w:ascii="Arial" w:hAnsi="Arial" w:cs="Arial"/>
          <w:color w:val="000000"/>
        </w:rPr>
        <w:t xml:space="preserve"> from FY 2023-2024; and </w:t>
      </w:r>
      <w:r w:rsidRPr="00786392">
        <w:rPr>
          <w:rFonts w:ascii="Arial" w:hAnsi="Arial" w:cs="Arial"/>
          <w:strike/>
          <w:color w:val="000000"/>
        </w:rPr>
        <w:t>[$250,000</w:t>
      </w:r>
      <w:r w:rsidRPr="00786392">
        <w:rPr>
          <w:rFonts w:ascii="Arial" w:hAnsi="Arial" w:cs="Arial"/>
          <w:color w:val="000000"/>
        </w:rPr>
        <w:t xml:space="preserve">] </w:t>
      </w:r>
      <w:r w:rsidRPr="00786392">
        <w:rPr>
          <w:rFonts w:ascii="Arial" w:hAnsi="Arial" w:cs="Arial"/>
          <w:b/>
          <w:bCs/>
          <w:color w:val="000000"/>
          <w:u w:val="single"/>
        </w:rPr>
        <w:t>$</w:t>
      </w:r>
      <w:r w:rsidR="00F52879">
        <w:rPr>
          <w:rFonts w:ascii="Arial" w:hAnsi="Arial" w:cs="Arial"/>
          <w:b/>
          <w:bCs/>
          <w:color w:val="000000"/>
          <w:u w:val="single"/>
        </w:rPr>
        <w:t>40</w:t>
      </w:r>
      <w:r w:rsidRPr="00786392">
        <w:rPr>
          <w:rFonts w:ascii="Arial" w:hAnsi="Arial" w:cs="Arial"/>
          <w:b/>
          <w:bCs/>
          <w:color w:val="000000"/>
          <w:u w:val="single"/>
        </w:rPr>
        <w:t>0,000</w:t>
      </w:r>
      <w:r w:rsidRPr="00786392">
        <w:rPr>
          <w:rFonts w:ascii="Arial" w:hAnsi="Arial" w:cs="Arial"/>
          <w:color w:val="000000"/>
        </w:rPr>
        <w:t xml:space="preserve"> from FY 2024-2025. </w:t>
      </w:r>
    </w:p>
    <w:p w14:paraId="2E215FE6" w14:textId="250882C1" w:rsidR="00A73448" w:rsidRPr="00786392" w:rsidRDefault="00A73448" w:rsidP="00620F92">
      <w:pPr>
        <w:rPr>
          <w:rFonts w:ascii="Arial" w:hAnsi="Arial" w:cs="Arial"/>
        </w:rPr>
      </w:pPr>
    </w:p>
    <w:p w14:paraId="47E25AB9" w14:textId="5275FCC7" w:rsidR="00A73448" w:rsidRPr="00786392" w:rsidRDefault="00A73448" w:rsidP="00A73448">
      <w:pPr>
        <w:pStyle w:val="Default"/>
        <w:numPr>
          <w:ilvl w:val="0"/>
          <w:numId w:val="2"/>
        </w:numPr>
        <w:ind w:right="-720"/>
      </w:pPr>
      <w:r w:rsidRPr="00786392">
        <w:t>Page 5 of the Solicitation Manual, Eligible Firms:</w:t>
      </w:r>
    </w:p>
    <w:p w14:paraId="7CBF0C26" w14:textId="484210DB" w:rsidR="00A73448" w:rsidRPr="00786392" w:rsidRDefault="00A73448" w:rsidP="00A73448">
      <w:pPr>
        <w:pStyle w:val="Default"/>
        <w:ind w:right="-720"/>
      </w:pPr>
    </w:p>
    <w:p w14:paraId="0F4685FD" w14:textId="77777777" w:rsidR="00A73448" w:rsidRPr="00786392" w:rsidRDefault="00A73448" w:rsidP="00A73448">
      <w:pPr>
        <w:spacing w:line="259" w:lineRule="auto"/>
        <w:rPr>
          <w:rFonts w:ascii="Arial" w:eastAsiaTheme="minorHAnsi" w:hAnsi="Arial" w:cs="Arial"/>
        </w:rPr>
      </w:pPr>
      <w:r w:rsidRPr="00786392">
        <w:rPr>
          <w:rFonts w:ascii="Arial" w:hAnsi="Arial" w:cs="Arial"/>
        </w:rPr>
        <w:t>This is an open solicitation for public and private entities. [</w:t>
      </w:r>
      <w:r w:rsidRPr="00786392">
        <w:rPr>
          <w:rFonts w:ascii="Arial" w:eastAsiaTheme="minorHAnsi" w:hAnsi="Arial" w:cs="Arial"/>
          <w:strike/>
        </w:rPr>
        <w:t>To ensure fairness and integrity in the development of the FDAS, eligible entities and persons shall not include any entity or person that manufactures, assembles, sells, or offers for sale an appliance in California, or that is a parent or subsidiary of such an entity or person. This applies to any participation in the resulting agreement including Subcontractors or subs of Subcontractors.</w:t>
      </w:r>
      <w:r w:rsidRPr="00786392">
        <w:rPr>
          <w:rFonts w:ascii="Arial" w:eastAsiaTheme="minorHAnsi" w:hAnsi="Arial" w:cs="Arial"/>
        </w:rPr>
        <w:t xml:space="preserve">] </w:t>
      </w:r>
    </w:p>
    <w:p w14:paraId="528CEA86" w14:textId="77777777" w:rsidR="00A73448" w:rsidRPr="00786392" w:rsidRDefault="00A73448" w:rsidP="00620F92">
      <w:pPr>
        <w:rPr>
          <w:rFonts w:ascii="Arial" w:hAnsi="Arial" w:cs="Arial"/>
        </w:rPr>
      </w:pPr>
    </w:p>
    <w:p w14:paraId="492186CF" w14:textId="77777777" w:rsidR="00A80F03" w:rsidRPr="00786392" w:rsidRDefault="00A80F03" w:rsidP="00620F92">
      <w:pPr>
        <w:rPr>
          <w:rFonts w:ascii="Arial" w:hAnsi="Arial" w:cs="Arial"/>
        </w:rPr>
      </w:pPr>
    </w:p>
    <w:p w14:paraId="62508320" w14:textId="2D3DF4AE" w:rsidR="00620F92" w:rsidRPr="00786392" w:rsidRDefault="00A73448" w:rsidP="00620F92">
      <w:pPr>
        <w:rPr>
          <w:rFonts w:ascii="Arial" w:hAnsi="Arial" w:cs="Arial"/>
        </w:rPr>
      </w:pPr>
      <w:r w:rsidRPr="00786392">
        <w:rPr>
          <w:rFonts w:ascii="Arial" w:hAnsi="Arial" w:cs="Arial"/>
        </w:rPr>
        <w:t xml:space="preserve">Angela Hockaday </w:t>
      </w:r>
    </w:p>
    <w:p w14:paraId="45C35E8E" w14:textId="77777777" w:rsidR="00620F92" w:rsidRPr="00786392" w:rsidRDefault="00620F92" w:rsidP="00620F92">
      <w:pPr>
        <w:rPr>
          <w:rFonts w:ascii="Arial" w:hAnsi="Arial" w:cs="Arial"/>
        </w:rPr>
      </w:pPr>
      <w:r w:rsidRPr="00786392">
        <w:rPr>
          <w:rFonts w:ascii="Arial" w:hAnsi="Arial" w:cs="Arial"/>
        </w:rPr>
        <w:t>Commission Agreement Officer</w:t>
      </w:r>
    </w:p>
    <w:p w14:paraId="4F8126A4" w14:textId="1E75DD88" w:rsidR="009E6C35" w:rsidRPr="00786392" w:rsidRDefault="009E6C35" w:rsidP="00D431C2">
      <w:pPr>
        <w:rPr>
          <w:rFonts w:ascii="Arial" w:hAnsi="Arial" w:cs="Arial"/>
        </w:rPr>
      </w:pPr>
    </w:p>
    <w:sectPr w:rsidR="009E6C35" w:rsidRPr="00786392" w:rsidSect="002D11A5">
      <w:headerReference w:type="default" r:id="rId11"/>
      <w:headerReference w:type="first" r:id="rId12"/>
      <w:footerReference w:type="first" r:id="rId13"/>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F4CB" w14:textId="77777777" w:rsidR="00B74D30" w:rsidRDefault="00B74D30" w:rsidP="00F86D2B">
      <w:r>
        <w:separator/>
      </w:r>
    </w:p>
  </w:endnote>
  <w:endnote w:type="continuationSeparator" w:id="0">
    <w:p w14:paraId="050FD10A" w14:textId="77777777" w:rsidR="00B74D30" w:rsidRDefault="00B74D30" w:rsidP="00F86D2B">
      <w:r>
        <w:continuationSeparator/>
      </w:r>
    </w:p>
  </w:endnote>
  <w:endnote w:type="continuationNotice" w:id="1">
    <w:p w14:paraId="1FD44BBC" w14:textId="77777777" w:rsidR="00B74D30" w:rsidRDefault="00B74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05EA" w14:textId="77777777" w:rsidR="00B74D30" w:rsidRDefault="00B74D30" w:rsidP="00F86D2B">
      <w:r>
        <w:separator/>
      </w:r>
    </w:p>
  </w:footnote>
  <w:footnote w:type="continuationSeparator" w:id="0">
    <w:p w14:paraId="7DA5A627" w14:textId="77777777" w:rsidR="00B74D30" w:rsidRDefault="00B74D30" w:rsidP="00F86D2B">
      <w:r>
        <w:continuationSeparator/>
      </w:r>
    </w:p>
  </w:footnote>
  <w:footnote w:type="continuationNotice" w:id="1">
    <w:p w14:paraId="0761F621" w14:textId="77777777" w:rsidR="00B74D30" w:rsidRDefault="00B74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65E30DB0" w:rsidR="00E210F6" w:rsidRDefault="002D11A5" w:rsidP="002D11A5">
    <w:pPr>
      <w:pStyle w:val="Header"/>
      <w:ind w:hanging="1800"/>
    </w:pPr>
    <w:r>
      <w:rPr>
        <w:noProof/>
      </w:rPr>
      <w:drawing>
        <wp:inline distT="0" distB="0" distL="0" distR="0" wp14:anchorId="17DA7459" wp14:editId="153598B5">
          <wp:extent cx="7498766" cy="98276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4162" cy="995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83796"/>
    <w:multiLevelType w:val="hybridMultilevel"/>
    <w:tmpl w:val="5656B0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3192290">
    <w:abstractNumId w:val="0"/>
  </w:num>
  <w:num w:numId="2" w16cid:durableId="147784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09064B"/>
    <w:rsid w:val="000E31D6"/>
    <w:rsid w:val="0014731B"/>
    <w:rsid w:val="001B5906"/>
    <w:rsid w:val="001D58A5"/>
    <w:rsid w:val="001D5D15"/>
    <w:rsid w:val="001F62F3"/>
    <w:rsid w:val="002A5F7A"/>
    <w:rsid w:val="002D11A5"/>
    <w:rsid w:val="00300FB1"/>
    <w:rsid w:val="00306C82"/>
    <w:rsid w:val="00361BC9"/>
    <w:rsid w:val="003E0D2D"/>
    <w:rsid w:val="003E404F"/>
    <w:rsid w:val="00415DE9"/>
    <w:rsid w:val="00430859"/>
    <w:rsid w:val="00437D5F"/>
    <w:rsid w:val="004504D5"/>
    <w:rsid w:val="004A1AAA"/>
    <w:rsid w:val="004A4C18"/>
    <w:rsid w:val="004D128F"/>
    <w:rsid w:val="0050519F"/>
    <w:rsid w:val="00524EA9"/>
    <w:rsid w:val="00527817"/>
    <w:rsid w:val="005568CA"/>
    <w:rsid w:val="00577D95"/>
    <w:rsid w:val="005D60F4"/>
    <w:rsid w:val="005E6FA2"/>
    <w:rsid w:val="005F165F"/>
    <w:rsid w:val="00620F92"/>
    <w:rsid w:val="006511D6"/>
    <w:rsid w:val="00672555"/>
    <w:rsid w:val="006A57AF"/>
    <w:rsid w:val="006B13F0"/>
    <w:rsid w:val="006D3827"/>
    <w:rsid w:val="006E146A"/>
    <w:rsid w:val="007134AE"/>
    <w:rsid w:val="007211FC"/>
    <w:rsid w:val="007247EF"/>
    <w:rsid w:val="00751C0F"/>
    <w:rsid w:val="00761F8B"/>
    <w:rsid w:val="0077265A"/>
    <w:rsid w:val="00777798"/>
    <w:rsid w:val="0078154A"/>
    <w:rsid w:val="00783717"/>
    <w:rsid w:val="00786392"/>
    <w:rsid w:val="0081533B"/>
    <w:rsid w:val="008328DC"/>
    <w:rsid w:val="00846985"/>
    <w:rsid w:val="00891290"/>
    <w:rsid w:val="008E1433"/>
    <w:rsid w:val="008E3926"/>
    <w:rsid w:val="008E7852"/>
    <w:rsid w:val="00910710"/>
    <w:rsid w:val="009407F5"/>
    <w:rsid w:val="009A39EA"/>
    <w:rsid w:val="009E6C35"/>
    <w:rsid w:val="009E754B"/>
    <w:rsid w:val="009F018F"/>
    <w:rsid w:val="00A15FA8"/>
    <w:rsid w:val="00A17202"/>
    <w:rsid w:val="00A3384C"/>
    <w:rsid w:val="00A36CF5"/>
    <w:rsid w:val="00A6325D"/>
    <w:rsid w:val="00A73089"/>
    <w:rsid w:val="00A73448"/>
    <w:rsid w:val="00A80F03"/>
    <w:rsid w:val="00AD21FC"/>
    <w:rsid w:val="00AE05B9"/>
    <w:rsid w:val="00B71179"/>
    <w:rsid w:val="00B74D30"/>
    <w:rsid w:val="00B80DD2"/>
    <w:rsid w:val="00B80E72"/>
    <w:rsid w:val="00B84D31"/>
    <w:rsid w:val="00B906E9"/>
    <w:rsid w:val="00BA1317"/>
    <w:rsid w:val="00BA3F4C"/>
    <w:rsid w:val="00BB5DCD"/>
    <w:rsid w:val="00C01C97"/>
    <w:rsid w:val="00C03527"/>
    <w:rsid w:val="00C67037"/>
    <w:rsid w:val="00C96BDD"/>
    <w:rsid w:val="00CB6376"/>
    <w:rsid w:val="00D32C3D"/>
    <w:rsid w:val="00D431C2"/>
    <w:rsid w:val="00D43B83"/>
    <w:rsid w:val="00D90B2E"/>
    <w:rsid w:val="00DA66D7"/>
    <w:rsid w:val="00E210F6"/>
    <w:rsid w:val="00E95AA9"/>
    <w:rsid w:val="00EA7BDE"/>
    <w:rsid w:val="00ED18F1"/>
    <w:rsid w:val="00F10DFF"/>
    <w:rsid w:val="00F22AD4"/>
    <w:rsid w:val="00F52879"/>
    <w:rsid w:val="00F86D2B"/>
    <w:rsid w:val="00F90F6B"/>
    <w:rsid w:val="00F947AC"/>
    <w:rsid w:val="00F95D8D"/>
    <w:rsid w:val="00F967DF"/>
    <w:rsid w:val="0CDE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1FB2D7A3-85D8-4202-8BD4-486328E7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0CDEB9AC-12C3-4255-9DB9-E98044D7D48D}"/>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d8f96eb-fd66-40ff-97bd-531861918a24"/>
    <ds:schemaRef ds:uri="7fd971b3-680e-4a8c-a055-b1c03463db4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Butler, Elizabeth@Energy</cp:lastModifiedBy>
  <cp:revision>5</cp:revision>
  <cp:lastPrinted>2019-04-08T16:38:00Z</cp:lastPrinted>
  <dcterms:created xsi:type="dcterms:W3CDTF">2022-01-19T17:45:00Z</dcterms:created>
  <dcterms:modified xsi:type="dcterms:W3CDTF">2023-01-23T18:59:00Z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