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34A60D50" w14:textId="77777777" w:rsidR="0009287E" w:rsidRPr="0005514E" w:rsidRDefault="0009287E" w:rsidP="0009287E">
      <w:pPr>
        <w:keepLines/>
        <w:widowControl w:val="0"/>
        <w:jc w:val="center"/>
        <w:rPr>
          <w:b/>
          <w:sz w:val="36"/>
          <w:szCs w:val="36"/>
        </w:rPr>
      </w:pPr>
      <w:bookmarkStart w:id="0" w:name="_Hlk121814904"/>
      <w:r w:rsidRPr="0005514E">
        <w:rPr>
          <w:b/>
          <w:sz w:val="36"/>
          <w:szCs w:val="36"/>
        </w:rPr>
        <w:t>Hydrogen Blending and Lower Oxides of Nitrogen Emissions in Gas-Fired Generation (HyBLOX)</w:t>
      </w:r>
    </w:p>
    <w:bookmarkEnd w:id="0"/>
    <w:p w14:paraId="40671C9E" w14:textId="77777777" w:rsidR="000F22E6" w:rsidRDefault="000F22E6"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1A8C6D45" w14:textId="22EF73D8" w:rsidR="0009287E" w:rsidRPr="0005514E" w:rsidRDefault="0009287E" w:rsidP="0009287E">
      <w:pPr>
        <w:keepLines/>
        <w:widowControl w:val="0"/>
        <w:jc w:val="center"/>
        <w:rPr>
          <w:b/>
          <w:sz w:val="24"/>
        </w:rPr>
      </w:pPr>
      <w:r w:rsidRPr="0005514E">
        <w:rPr>
          <w:b/>
          <w:sz w:val="24"/>
          <w:szCs w:val="22"/>
        </w:rPr>
        <w:t>GFO-22-504</w:t>
      </w:r>
      <w:r w:rsidR="00F1099D" w:rsidRPr="00F1099D">
        <w:rPr>
          <w:b/>
          <w:bCs/>
          <w:sz w:val="24"/>
          <w:szCs w:val="22"/>
        </w:rPr>
        <w:t xml:space="preserve">– ADDENDUM </w:t>
      </w:r>
      <w:r w:rsidR="00F1099D">
        <w:rPr>
          <w:b/>
          <w:bCs/>
          <w:sz w:val="24"/>
          <w:szCs w:val="22"/>
        </w:rPr>
        <w:t>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0DD57720" w14:textId="5DBB8626" w:rsidR="0009287E" w:rsidRPr="0005514E" w:rsidRDefault="005C321B" w:rsidP="0009287E">
      <w:pPr>
        <w:keepLines/>
        <w:widowControl w:val="0"/>
        <w:tabs>
          <w:tab w:val="left" w:pos="1440"/>
        </w:tabs>
        <w:jc w:val="center"/>
      </w:pPr>
      <w:r>
        <w:t>[</w:t>
      </w:r>
      <w:r w:rsidR="0009287E" w:rsidRPr="005C321B">
        <w:rPr>
          <w:strike/>
        </w:rPr>
        <w:t>January</w:t>
      </w:r>
      <w:r>
        <w:t xml:space="preserve">] </w:t>
      </w:r>
      <w:r>
        <w:rPr>
          <w:b/>
          <w:bCs/>
          <w:u w:val="single"/>
        </w:rPr>
        <w:t>February</w:t>
      </w:r>
      <w:r w:rsidR="0009287E" w:rsidRPr="0005514E">
        <w:t xml:space="preserve"> 2023</w:t>
      </w:r>
    </w:p>
    <w:p w14:paraId="6F0EE517" w14:textId="540314C8" w:rsidR="005A2DF5" w:rsidRPr="005A2DF5" w:rsidRDefault="005A2DF5" w:rsidP="005A2DF5">
      <w:pPr>
        <w:keepLines/>
        <w:widowControl w:val="0"/>
        <w:tabs>
          <w:tab w:val="left" w:pos="1440"/>
        </w:tabs>
        <w:jc w:val="center"/>
        <w:rPr>
          <w:color w:val="0070C0"/>
        </w:rPr>
      </w:pPr>
    </w:p>
    <w:p w14:paraId="2977866A" w14:textId="3E56A60B" w:rsidR="005A2DF5" w:rsidRPr="005A2DF5" w:rsidRDefault="00172A2F" w:rsidP="005A2DF5">
      <w:pPr>
        <w:keepLines/>
        <w:widowControl w:val="0"/>
        <w:tabs>
          <w:tab w:val="left" w:pos="1440"/>
        </w:tabs>
        <w:jc w:val="center"/>
        <w:rPr>
          <w:color w:val="0070C0"/>
          <w:szCs w:val="22"/>
        </w:rPr>
        <w:sectPr w:rsidR="005A2DF5" w:rsidRPr="005A2DF5" w:rsidSect="005A2DF5">
          <w:footerReference w:type="default" r:id="rId12"/>
          <w:pgSz w:w="12240" w:h="15840" w:code="1"/>
          <w:pgMar w:top="1440" w:right="1440" w:bottom="1440" w:left="1440" w:header="1008" w:footer="432" w:gutter="0"/>
          <w:pgNumType w:fmt="lowerRoman" w:start="1"/>
          <w:cols w:space="720"/>
        </w:sectPr>
      </w:pPr>
      <w:r>
        <w:rPr>
          <w:color w:val="000000"/>
        </w:rPr>
        <w:t xml:space="preserve">Note: </w:t>
      </w:r>
      <w:r w:rsidR="00F1099D">
        <w:rPr>
          <w:color w:val="000000"/>
        </w:rPr>
        <w:t xml:space="preserve">Added language appears in </w:t>
      </w:r>
      <w:r w:rsidR="00F1099D">
        <w:rPr>
          <w:b/>
          <w:bCs/>
          <w:color w:val="000000"/>
          <w:u w:val="single"/>
        </w:rPr>
        <w:t>bold underline</w:t>
      </w:r>
      <w:r w:rsidR="00F1099D">
        <w:rPr>
          <w:color w:val="000000"/>
        </w:rPr>
        <w:t>, and deleted language appears in [</w:t>
      </w:r>
      <w:r w:rsidR="00F1099D">
        <w:rPr>
          <w:strike/>
          <w:color w:val="000000"/>
        </w:rPr>
        <w:t>strikethrough]</w:t>
      </w:r>
      <w:r w:rsidR="00F1099D">
        <w:rPr>
          <w:color w:val="000000"/>
        </w:rPr>
        <w:t xml:space="preserve"> and within square brackets.</w:t>
      </w:r>
      <w:r w:rsidR="00D860C8">
        <w:rPr>
          <w:color w:val="0070C0"/>
          <w:szCs w:val="22"/>
        </w:rPr>
        <w:t xml:space="preserve">  </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F4419A4" w14:textId="71D3F3D8" w:rsidR="006B33AE"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b w:val="0"/>
          <w:bCs w:val="0"/>
          <w:caps w:val="0"/>
          <w:noProof/>
          <w:sz w:val="22"/>
          <w:szCs w:val="22"/>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6B33AE">
        <w:rPr>
          <w:noProof/>
        </w:rPr>
        <w:t>I.</w:t>
      </w:r>
      <w:r w:rsidR="006B33AE">
        <w:rPr>
          <w:rFonts w:asciiTheme="minorHAnsi" w:eastAsiaTheme="minorEastAsia" w:hAnsiTheme="minorHAnsi" w:cstheme="minorBidi"/>
          <w:b w:val="0"/>
          <w:bCs w:val="0"/>
          <w:caps w:val="0"/>
          <w:noProof/>
          <w:sz w:val="22"/>
          <w:szCs w:val="22"/>
        </w:rPr>
        <w:tab/>
      </w:r>
      <w:r w:rsidR="006B33AE">
        <w:rPr>
          <w:noProof/>
        </w:rPr>
        <w:t>Introduction</w:t>
      </w:r>
      <w:r w:rsidR="006B33AE">
        <w:rPr>
          <w:noProof/>
        </w:rPr>
        <w:tab/>
      </w:r>
      <w:r w:rsidR="006B33AE">
        <w:rPr>
          <w:noProof/>
        </w:rPr>
        <w:fldChar w:fldCharType="begin"/>
      </w:r>
      <w:r w:rsidR="006B33AE">
        <w:rPr>
          <w:noProof/>
        </w:rPr>
        <w:instrText xml:space="preserve"> PAGEREF _Toc86152236 \h </w:instrText>
      </w:r>
      <w:r w:rsidR="006B33AE">
        <w:rPr>
          <w:noProof/>
        </w:rPr>
      </w:r>
      <w:r w:rsidR="006B33AE">
        <w:rPr>
          <w:noProof/>
        </w:rPr>
        <w:fldChar w:fldCharType="separate"/>
      </w:r>
      <w:r w:rsidR="0036586B">
        <w:rPr>
          <w:noProof/>
        </w:rPr>
        <w:t>2</w:t>
      </w:r>
      <w:r w:rsidR="006B33AE">
        <w:rPr>
          <w:noProof/>
        </w:rPr>
        <w:fldChar w:fldCharType="end"/>
      </w:r>
    </w:p>
    <w:p w14:paraId="02987E73" w14:textId="5BCB7BA6"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_Toc86152237 \h </w:instrText>
      </w:r>
      <w:r>
        <w:rPr>
          <w:noProof/>
        </w:rPr>
      </w:r>
      <w:r>
        <w:rPr>
          <w:noProof/>
        </w:rPr>
        <w:fldChar w:fldCharType="separate"/>
      </w:r>
      <w:r w:rsidR="0036586B">
        <w:rPr>
          <w:noProof/>
        </w:rPr>
        <w:t>2</w:t>
      </w:r>
      <w:r>
        <w:rPr>
          <w:noProof/>
        </w:rPr>
        <w:fldChar w:fldCharType="end"/>
      </w:r>
    </w:p>
    <w:p w14:paraId="2F37BB66" w14:textId="285376A2"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_Toc86152238 \h </w:instrText>
      </w:r>
      <w:r>
        <w:rPr>
          <w:noProof/>
        </w:rPr>
      </w:r>
      <w:r>
        <w:rPr>
          <w:noProof/>
        </w:rPr>
        <w:fldChar w:fldCharType="separate"/>
      </w:r>
      <w:r w:rsidR="0036586B">
        <w:rPr>
          <w:noProof/>
        </w:rPr>
        <w:t>6</w:t>
      </w:r>
      <w:r>
        <w:rPr>
          <w:noProof/>
        </w:rPr>
        <w:fldChar w:fldCharType="end"/>
      </w:r>
    </w:p>
    <w:p w14:paraId="081D05B0" w14:textId="24FAEAD6"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_Toc86152239 \h </w:instrText>
      </w:r>
      <w:r>
        <w:rPr>
          <w:noProof/>
        </w:rPr>
      </w:r>
      <w:r>
        <w:rPr>
          <w:noProof/>
        </w:rPr>
        <w:fldChar w:fldCharType="separate"/>
      </w:r>
      <w:r w:rsidR="0036586B">
        <w:rPr>
          <w:noProof/>
        </w:rPr>
        <w:t>8</w:t>
      </w:r>
      <w:r>
        <w:rPr>
          <w:noProof/>
        </w:rPr>
        <w:fldChar w:fldCharType="end"/>
      </w:r>
    </w:p>
    <w:p w14:paraId="5C6FDBF2" w14:textId="490FE03E"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_Toc86152240 \h </w:instrText>
      </w:r>
      <w:r>
        <w:rPr>
          <w:noProof/>
        </w:rPr>
      </w:r>
      <w:r>
        <w:rPr>
          <w:noProof/>
        </w:rPr>
        <w:fldChar w:fldCharType="separate"/>
      </w:r>
      <w:r w:rsidR="0036586B">
        <w:rPr>
          <w:noProof/>
        </w:rPr>
        <w:t>11</w:t>
      </w:r>
      <w:r>
        <w:rPr>
          <w:noProof/>
        </w:rPr>
        <w:fldChar w:fldCharType="end"/>
      </w:r>
    </w:p>
    <w:p w14:paraId="4A55B6CB" w14:textId="011A95D3"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_Toc86152241 \h </w:instrText>
      </w:r>
      <w:r>
        <w:rPr>
          <w:noProof/>
        </w:rPr>
      </w:r>
      <w:r>
        <w:rPr>
          <w:noProof/>
        </w:rPr>
        <w:fldChar w:fldCharType="separate"/>
      </w:r>
      <w:r w:rsidR="0036586B">
        <w:rPr>
          <w:noProof/>
        </w:rPr>
        <w:t>12</w:t>
      </w:r>
      <w:r>
        <w:rPr>
          <w:noProof/>
        </w:rPr>
        <w:fldChar w:fldCharType="end"/>
      </w:r>
    </w:p>
    <w:p w14:paraId="55526874" w14:textId="73F27752"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_Toc86152242 \h </w:instrText>
      </w:r>
      <w:r>
        <w:rPr>
          <w:noProof/>
        </w:rPr>
      </w:r>
      <w:r>
        <w:rPr>
          <w:noProof/>
        </w:rPr>
        <w:fldChar w:fldCharType="separate"/>
      </w:r>
      <w:r w:rsidR="0036586B">
        <w:rPr>
          <w:noProof/>
        </w:rPr>
        <w:t>12</w:t>
      </w:r>
      <w:r>
        <w:rPr>
          <w:noProof/>
        </w:rPr>
        <w:fldChar w:fldCharType="end"/>
      </w:r>
    </w:p>
    <w:p w14:paraId="557E1AC2" w14:textId="37D8836B"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_Toc86152243 \h </w:instrText>
      </w:r>
      <w:r>
        <w:rPr>
          <w:noProof/>
        </w:rPr>
      </w:r>
      <w:r>
        <w:rPr>
          <w:noProof/>
        </w:rPr>
        <w:fldChar w:fldCharType="separate"/>
      </w:r>
      <w:r w:rsidR="0036586B">
        <w:rPr>
          <w:noProof/>
        </w:rPr>
        <w:t>13</w:t>
      </w:r>
      <w:r>
        <w:rPr>
          <w:noProof/>
        </w:rPr>
        <w:fldChar w:fldCharType="end"/>
      </w:r>
    </w:p>
    <w:p w14:paraId="61D55E8A" w14:textId="08368434"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_Toc86152244 \h </w:instrText>
      </w:r>
      <w:r>
        <w:rPr>
          <w:noProof/>
        </w:rPr>
      </w:r>
      <w:r>
        <w:rPr>
          <w:noProof/>
        </w:rPr>
        <w:fldChar w:fldCharType="separate"/>
      </w:r>
      <w:r w:rsidR="0036586B">
        <w:rPr>
          <w:noProof/>
        </w:rPr>
        <w:t>14</w:t>
      </w:r>
      <w:r>
        <w:rPr>
          <w:noProof/>
        </w:rPr>
        <w:fldChar w:fldCharType="end"/>
      </w:r>
    </w:p>
    <w:p w14:paraId="5198BAB5" w14:textId="2E7A7AAF"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_Toc86152245 \h </w:instrText>
      </w:r>
      <w:r>
        <w:rPr>
          <w:noProof/>
        </w:rPr>
      </w:r>
      <w:r>
        <w:rPr>
          <w:noProof/>
        </w:rPr>
        <w:fldChar w:fldCharType="separate"/>
      </w:r>
      <w:r w:rsidR="0036586B">
        <w:rPr>
          <w:noProof/>
        </w:rPr>
        <w:t>15</w:t>
      </w:r>
      <w:r>
        <w:rPr>
          <w:noProof/>
        </w:rPr>
        <w:fldChar w:fldCharType="end"/>
      </w:r>
    </w:p>
    <w:p w14:paraId="6B3FA524" w14:textId="2BC16377"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_Toc86152246 \h </w:instrText>
      </w:r>
      <w:r>
        <w:rPr>
          <w:noProof/>
        </w:rPr>
      </w:r>
      <w:r>
        <w:rPr>
          <w:noProof/>
        </w:rPr>
        <w:fldChar w:fldCharType="separate"/>
      </w:r>
      <w:r w:rsidR="0036586B">
        <w:rPr>
          <w:noProof/>
        </w:rPr>
        <w:t>18</w:t>
      </w:r>
      <w:r>
        <w:rPr>
          <w:noProof/>
        </w:rPr>
        <w:fldChar w:fldCharType="end"/>
      </w:r>
    </w:p>
    <w:p w14:paraId="03AF4BCB" w14:textId="3511A88B"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K.</w:t>
      </w:r>
      <w:r>
        <w:rPr>
          <w:rFonts w:asciiTheme="minorHAnsi" w:eastAsiaTheme="minorEastAsia" w:hAnsiTheme="minorHAnsi" w:cstheme="minorBidi"/>
          <w:smallCaps w:val="0"/>
          <w:noProof/>
          <w:sz w:val="22"/>
          <w:szCs w:val="22"/>
        </w:rPr>
        <w:tab/>
      </w:r>
      <w:r>
        <w:rPr>
          <w:noProof/>
        </w:rPr>
        <w:t>Funds Spent in California and California-Based Entities</w:t>
      </w:r>
      <w:r>
        <w:rPr>
          <w:noProof/>
        </w:rPr>
        <w:tab/>
      </w:r>
      <w:r>
        <w:rPr>
          <w:noProof/>
        </w:rPr>
        <w:fldChar w:fldCharType="begin"/>
      </w:r>
      <w:r>
        <w:rPr>
          <w:noProof/>
        </w:rPr>
        <w:instrText xml:space="preserve"> PAGEREF _Toc86152247 \h </w:instrText>
      </w:r>
      <w:r>
        <w:rPr>
          <w:noProof/>
        </w:rPr>
      </w:r>
      <w:r>
        <w:rPr>
          <w:noProof/>
        </w:rPr>
        <w:fldChar w:fldCharType="separate"/>
      </w:r>
      <w:r w:rsidR="0036586B">
        <w:rPr>
          <w:noProof/>
        </w:rPr>
        <w:t>20</w:t>
      </w:r>
      <w:r>
        <w:rPr>
          <w:noProof/>
        </w:rPr>
        <w:fldChar w:fldCharType="end"/>
      </w:r>
    </w:p>
    <w:p w14:paraId="76FB6C01" w14:textId="017BADF3" w:rsidR="006B33AE" w:rsidRDefault="006B33AE">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Applicant Eligibility Requirements</w:t>
      </w:r>
      <w:r>
        <w:rPr>
          <w:noProof/>
        </w:rPr>
        <w:tab/>
      </w:r>
      <w:r>
        <w:rPr>
          <w:noProof/>
        </w:rPr>
        <w:fldChar w:fldCharType="begin"/>
      </w:r>
      <w:r>
        <w:rPr>
          <w:noProof/>
        </w:rPr>
        <w:instrText xml:space="preserve"> PAGEREF _Toc86152248 \h </w:instrText>
      </w:r>
      <w:r>
        <w:rPr>
          <w:noProof/>
        </w:rPr>
      </w:r>
      <w:r>
        <w:rPr>
          <w:noProof/>
        </w:rPr>
        <w:fldChar w:fldCharType="separate"/>
      </w:r>
      <w:r w:rsidR="0036586B">
        <w:rPr>
          <w:noProof/>
        </w:rPr>
        <w:t>22</w:t>
      </w:r>
      <w:r>
        <w:rPr>
          <w:noProof/>
        </w:rPr>
        <w:fldChar w:fldCharType="end"/>
      </w:r>
    </w:p>
    <w:p w14:paraId="266B6A96" w14:textId="00CCE167"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sidRPr="00C30715">
        <w:rPr>
          <w:bCs/>
          <w:noProof/>
        </w:rPr>
        <w:t>A.</w:t>
      </w:r>
      <w:r>
        <w:rPr>
          <w:rFonts w:asciiTheme="minorHAnsi" w:eastAsiaTheme="minorEastAsia" w:hAnsiTheme="minorHAnsi" w:cstheme="minorBidi"/>
          <w:smallCaps w:val="0"/>
          <w:noProof/>
          <w:sz w:val="22"/>
          <w:szCs w:val="22"/>
        </w:rPr>
        <w:tab/>
      </w:r>
      <w:r>
        <w:rPr>
          <w:noProof/>
        </w:rPr>
        <w:t>Eligibility</w:t>
      </w:r>
      <w:r>
        <w:rPr>
          <w:noProof/>
        </w:rPr>
        <w:tab/>
      </w:r>
      <w:r>
        <w:rPr>
          <w:noProof/>
        </w:rPr>
        <w:fldChar w:fldCharType="begin"/>
      </w:r>
      <w:r>
        <w:rPr>
          <w:noProof/>
        </w:rPr>
        <w:instrText xml:space="preserve"> PAGEREF _Toc86152249 \h </w:instrText>
      </w:r>
      <w:r>
        <w:rPr>
          <w:noProof/>
        </w:rPr>
      </w:r>
      <w:r>
        <w:rPr>
          <w:noProof/>
        </w:rPr>
        <w:fldChar w:fldCharType="separate"/>
      </w:r>
      <w:r w:rsidR="0036586B">
        <w:rPr>
          <w:noProof/>
        </w:rPr>
        <w:t>22</w:t>
      </w:r>
      <w:r>
        <w:rPr>
          <w:noProof/>
        </w:rPr>
        <w:fldChar w:fldCharType="end"/>
      </w:r>
    </w:p>
    <w:p w14:paraId="01E4B8AA" w14:textId="4EEFE0A5"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sidRPr="00C30715">
        <w:rPr>
          <w:bCs/>
          <w:noProof/>
        </w:rPr>
        <w:t>B.</w:t>
      </w:r>
      <w:r>
        <w:rPr>
          <w:rFonts w:asciiTheme="minorHAnsi" w:eastAsiaTheme="minorEastAsia" w:hAnsiTheme="minorHAnsi" w:cstheme="minorBidi"/>
          <w:smallCaps w:val="0"/>
          <w:noProof/>
          <w:sz w:val="22"/>
          <w:szCs w:val="22"/>
        </w:rPr>
        <w:tab/>
      </w:r>
      <w:r>
        <w:rPr>
          <w:noProof/>
        </w:rPr>
        <w:t>Terms and Conditions</w:t>
      </w:r>
      <w:r>
        <w:rPr>
          <w:noProof/>
        </w:rPr>
        <w:tab/>
      </w:r>
      <w:r>
        <w:rPr>
          <w:noProof/>
        </w:rPr>
        <w:fldChar w:fldCharType="begin"/>
      </w:r>
      <w:r>
        <w:rPr>
          <w:noProof/>
        </w:rPr>
        <w:instrText xml:space="preserve"> PAGEREF _Toc86152250 \h </w:instrText>
      </w:r>
      <w:r>
        <w:rPr>
          <w:noProof/>
        </w:rPr>
      </w:r>
      <w:r>
        <w:rPr>
          <w:noProof/>
        </w:rPr>
        <w:fldChar w:fldCharType="separate"/>
      </w:r>
      <w:r w:rsidR="0036586B">
        <w:rPr>
          <w:noProof/>
        </w:rPr>
        <w:t>22</w:t>
      </w:r>
      <w:r>
        <w:rPr>
          <w:noProof/>
        </w:rPr>
        <w:fldChar w:fldCharType="end"/>
      </w:r>
    </w:p>
    <w:p w14:paraId="3E8CFFC4" w14:textId="6389F011"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sidRPr="00C30715">
        <w:rPr>
          <w:bCs/>
          <w:noProof/>
        </w:rPr>
        <w:t>C.</w:t>
      </w:r>
      <w:r>
        <w:rPr>
          <w:rFonts w:asciiTheme="minorHAnsi" w:eastAsiaTheme="minorEastAsia" w:hAnsiTheme="minorHAnsi" w:cstheme="minorBidi"/>
          <w:smallCaps w:val="0"/>
          <w:noProof/>
          <w:sz w:val="22"/>
          <w:szCs w:val="22"/>
        </w:rPr>
        <w:tab/>
      </w:r>
      <w:r w:rsidRPr="00C30715">
        <w:rPr>
          <w:bCs/>
          <w:noProof/>
        </w:rPr>
        <w:t>California Secretary of State Registration</w:t>
      </w:r>
      <w:r>
        <w:rPr>
          <w:noProof/>
        </w:rPr>
        <w:tab/>
      </w:r>
      <w:r>
        <w:rPr>
          <w:noProof/>
        </w:rPr>
        <w:fldChar w:fldCharType="begin"/>
      </w:r>
      <w:r>
        <w:rPr>
          <w:noProof/>
        </w:rPr>
        <w:instrText xml:space="preserve"> PAGEREF _Toc86152251 \h </w:instrText>
      </w:r>
      <w:r>
        <w:rPr>
          <w:noProof/>
        </w:rPr>
      </w:r>
      <w:r>
        <w:rPr>
          <w:noProof/>
        </w:rPr>
        <w:fldChar w:fldCharType="separate"/>
      </w:r>
      <w:r w:rsidR="0036586B">
        <w:rPr>
          <w:noProof/>
        </w:rPr>
        <w:t>22</w:t>
      </w:r>
      <w:r>
        <w:rPr>
          <w:noProof/>
        </w:rPr>
        <w:fldChar w:fldCharType="end"/>
      </w:r>
    </w:p>
    <w:p w14:paraId="423CC9E9" w14:textId="3DCBB0C4"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sidRPr="00C30715">
        <w:rPr>
          <w:bCs/>
          <w:noProof/>
        </w:rPr>
        <w:t>D.</w:t>
      </w:r>
      <w:r>
        <w:rPr>
          <w:rFonts w:asciiTheme="minorHAnsi" w:eastAsiaTheme="minorEastAsia" w:hAnsiTheme="minorHAnsi" w:cstheme="minorBidi"/>
          <w:smallCaps w:val="0"/>
          <w:noProof/>
          <w:sz w:val="22"/>
          <w:szCs w:val="22"/>
        </w:rPr>
        <w:tab/>
      </w:r>
      <w:r w:rsidRPr="00C30715">
        <w:rPr>
          <w:smallCaps w:val="0"/>
          <w:noProof/>
        </w:rPr>
        <w:t>Disadvantaged &amp; Low-income Communities</w:t>
      </w:r>
      <w:r w:rsidRPr="00C30715">
        <w:rPr>
          <w:noProof/>
        </w:rPr>
        <w:t xml:space="preserve"> </w:t>
      </w:r>
      <w:r>
        <w:rPr>
          <w:noProof/>
        </w:rPr>
        <w:tab/>
      </w:r>
      <w:r>
        <w:rPr>
          <w:noProof/>
        </w:rPr>
        <w:fldChar w:fldCharType="begin"/>
      </w:r>
      <w:r>
        <w:rPr>
          <w:noProof/>
        </w:rPr>
        <w:instrText xml:space="preserve"> PAGEREF _Toc86152252 \h </w:instrText>
      </w:r>
      <w:r>
        <w:rPr>
          <w:noProof/>
        </w:rPr>
      </w:r>
      <w:r>
        <w:rPr>
          <w:noProof/>
        </w:rPr>
        <w:fldChar w:fldCharType="separate"/>
      </w:r>
      <w:r w:rsidR="0036586B">
        <w:rPr>
          <w:noProof/>
        </w:rPr>
        <w:t>22</w:t>
      </w:r>
      <w:r>
        <w:rPr>
          <w:noProof/>
        </w:rPr>
        <w:fldChar w:fldCharType="end"/>
      </w:r>
    </w:p>
    <w:p w14:paraId="311AD9F8" w14:textId="4A491AF5" w:rsidR="006B33AE" w:rsidRDefault="006B33AE">
      <w:pPr>
        <w:pStyle w:val="TOC1"/>
        <w:rPr>
          <w:rFonts w:asciiTheme="minorHAnsi" w:eastAsiaTheme="minorEastAsia" w:hAnsiTheme="minorHAnsi" w:cstheme="minorBidi"/>
          <w:b w:val="0"/>
          <w:bCs w:val="0"/>
          <w:caps w:val="0"/>
          <w:noProof/>
          <w:sz w:val="22"/>
          <w:szCs w:val="22"/>
        </w:rPr>
      </w:pPr>
      <w:r>
        <w:rPr>
          <w:noProof/>
        </w:rPr>
        <w:t xml:space="preserve">III. </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_Toc86152253 \h </w:instrText>
      </w:r>
      <w:r>
        <w:rPr>
          <w:noProof/>
        </w:rPr>
      </w:r>
      <w:r>
        <w:rPr>
          <w:noProof/>
        </w:rPr>
        <w:fldChar w:fldCharType="separate"/>
      </w:r>
      <w:r w:rsidR="0036586B">
        <w:rPr>
          <w:noProof/>
        </w:rPr>
        <w:t>24</w:t>
      </w:r>
      <w:r>
        <w:rPr>
          <w:noProof/>
        </w:rPr>
        <w:fldChar w:fldCharType="end"/>
      </w:r>
    </w:p>
    <w:p w14:paraId="6E28CF44" w14:textId="719BF4FA"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_Toc86152254 \h </w:instrText>
      </w:r>
      <w:r>
        <w:rPr>
          <w:noProof/>
        </w:rPr>
      </w:r>
      <w:r>
        <w:rPr>
          <w:noProof/>
        </w:rPr>
        <w:fldChar w:fldCharType="separate"/>
      </w:r>
      <w:r w:rsidR="0036586B">
        <w:rPr>
          <w:noProof/>
        </w:rPr>
        <w:t>24</w:t>
      </w:r>
      <w:r>
        <w:rPr>
          <w:noProof/>
        </w:rPr>
        <w:fldChar w:fldCharType="end"/>
      </w:r>
    </w:p>
    <w:p w14:paraId="2EA44B2E" w14:textId="07122212"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_Toc86152255 \h </w:instrText>
      </w:r>
      <w:r>
        <w:rPr>
          <w:noProof/>
        </w:rPr>
      </w:r>
      <w:r>
        <w:rPr>
          <w:noProof/>
        </w:rPr>
        <w:fldChar w:fldCharType="separate"/>
      </w:r>
      <w:r w:rsidR="0036586B">
        <w:rPr>
          <w:noProof/>
        </w:rPr>
        <w:t>24</w:t>
      </w:r>
      <w:r>
        <w:rPr>
          <w:noProof/>
        </w:rPr>
        <w:fldChar w:fldCharType="end"/>
      </w:r>
    </w:p>
    <w:p w14:paraId="6FE4F7B4" w14:textId="5DB1BAC5"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_Toc86152256 \h </w:instrText>
      </w:r>
      <w:r>
        <w:rPr>
          <w:noProof/>
        </w:rPr>
      </w:r>
      <w:r>
        <w:rPr>
          <w:noProof/>
        </w:rPr>
        <w:fldChar w:fldCharType="separate"/>
      </w:r>
      <w:r w:rsidR="0036586B">
        <w:rPr>
          <w:noProof/>
        </w:rPr>
        <w:t>25</w:t>
      </w:r>
      <w:r>
        <w:rPr>
          <w:noProof/>
        </w:rPr>
        <w:fldChar w:fldCharType="end"/>
      </w:r>
    </w:p>
    <w:p w14:paraId="3DFFA5FB" w14:textId="0656F42E" w:rsidR="006B33AE" w:rsidRDefault="006B33AE">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_Toc86152257 \h </w:instrText>
      </w:r>
      <w:r>
        <w:rPr>
          <w:noProof/>
        </w:rPr>
      </w:r>
      <w:r>
        <w:rPr>
          <w:noProof/>
        </w:rPr>
        <w:fldChar w:fldCharType="separate"/>
      </w:r>
      <w:r w:rsidR="0036586B">
        <w:rPr>
          <w:noProof/>
        </w:rPr>
        <w:t>31</w:t>
      </w:r>
      <w:r>
        <w:rPr>
          <w:noProof/>
        </w:rPr>
        <w:fldChar w:fldCharType="end"/>
      </w:r>
    </w:p>
    <w:p w14:paraId="138F761D" w14:textId="50E24FAB"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_Toc86152258 \h </w:instrText>
      </w:r>
      <w:r>
        <w:rPr>
          <w:noProof/>
        </w:rPr>
      </w:r>
      <w:r>
        <w:rPr>
          <w:noProof/>
        </w:rPr>
        <w:fldChar w:fldCharType="separate"/>
      </w:r>
      <w:r w:rsidR="0036586B">
        <w:rPr>
          <w:noProof/>
        </w:rPr>
        <w:t>31</w:t>
      </w:r>
      <w:r>
        <w:rPr>
          <w:noProof/>
        </w:rPr>
        <w:fldChar w:fldCharType="end"/>
      </w:r>
    </w:p>
    <w:p w14:paraId="01B2E78B" w14:textId="15172D7D"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_Toc86152259 \h </w:instrText>
      </w:r>
      <w:r>
        <w:rPr>
          <w:noProof/>
        </w:rPr>
      </w:r>
      <w:r>
        <w:rPr>
          <w:noProof/>
        </w:rPr>
        <w:fldChar w:fldCharType="separate"/>
      </w:r>
      <w:r w:rsidR="0036586B">
        <w:rPr>
          <w:noProof/>
        </w:rPr>
        <w:t>31</w:t>
      </w:r>
      <w:r>
        <w:rPr>
          <w:noProof/>
        </w:rPr>
        <w:fldChar w:fldCharType="end"/>
      </w:r>
    </w:p>
    <w:p w14:paraId="47696B08" w14:textId="3538CA22"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_Toc86152260 \h </w:instrText>
      </w:r>
      <w:r>
        <w:rPr>
          <w:noProof/>
        </w:rPr>
      </w:r>
      <w:r>
        <w:rPr>
          <w:noProof/>
        </w:rPr>
        <w:fldChar w:fldCharType="separate"/>
      </w:r>
      <w:r w:rsidR="0036586B">
        <w:rPr>
          <w:noProof/>
        </w:rPr>
        <w:t>32</w:t>
      </w:r>
      <w:r>
        <w:rPr>
          <w:noProof/>
        </w:rPr>
        <w:fldChar w:fldCharType="end"/>
      </w:r>
    </w:p>
    <w:p w14:paraId="323BD9D7" w14:textId="5EAF5D41"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_Toc86152261 \h </w:instrText>
      </w:r>
      <w:r>
        <w:rPr>
          <w:noProof/>
        </w:rPr>
      </w:r>
      <w:r>
        <w:rPr>
          <w:noProof/>
        </w:rPr>
        <w:fldChar w:fldCharType="separate"/>
      </w:r>
      <w:r w:rsidR="0036586B">
        <w:rPr>
          <w:noProof/>
        </w:rPr>
        <w:t>33</w:t>
      </w:r>
      <w:r>
        <w:rPr>
          <w:noProof/>
        </w:rPr>
        <w:fldChar w:fldCharType="end"/>
      </w:r>
    </w:p>
    <w:p w14:paraId="3D20E5F9" w14:textId="08997DD4"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_Toc86152262 \h </w:instrText>
      </w:r>
      <w:r>
        <w:rPr>
          <w:noProof/>
        </w:rPr>
      </w:r>
      <w:r>
        <w:rPr>
          <w:noProof/>
        </w:rPr>
        <w:fldChar w:fldCharType="separate"/>
      </w:r>
      <w:r w:rsidR="0036586B">
        <w:rPr>
          <w:noProof/>
        </w:rPr>
        <w:t>34</w:t>
      </w:r>
      <w:r>
        <w:rPr>
          <w:noProof/>
        </w:rPr>
        <w:fldChar w:fldCharType="end"/>
      </w:r>
    </w:p>
    <w:p w14:paraId="32234545" w14:textId="037CE11F" w:rsidR="006B33AE" w:rsidRDefault="006B33AE">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_Toc86152263 \h </w:instrText>
      </w:r>
      <w:r>
        <w:rPr>
          <w:noProof/>
        </w:rPr>
      </w:r>
      <w:r>
        <w:rPr>
          <w:noProof/>
        </w:rPr>
        <w:fldChar w:fldCharType="separate"/>
      </w:r>
      <w:r w:rsidR="0036586B">
        <w:rPr>
          <w:noProof/>
        </w:rPr>
        <w:t>35</w:t>
      </w:r>
      <w:r>
        <w:rPr>
          <w:noProof/>
        </w:rPr>
        <w:fldChar w:fldCharType="end"/>
      </w:r>
    </w:p>
    <w:p w14:paraId="3BACCFCC" w14:textId="0E252A4E" w:rsidR="001C2D56" w:rsidRPr="00C31C1D" w:rsidRDefault="0083690A" w:rsidP="00FC0D90">
      <w:pPr>
        <w:widowControl w:val="0"/>
        <w:jc w:val="both"/>
      </w:pPr>
      <w:r w:rsidRPr="0070672A">
        <w:rPr>
          <w:b/>
          <w:bCs/>
          <w:caps/>
          <w:noProof/>
          <w:szCs w:val="22"/>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4"/>
          <w:footerReference w:type="default" r:id="rId15"/>
          <w:pgSz w:w="12240" w:h="15840" w:code="1"/>
          <w:pgMar w:top="1440" w:right="1440" w:bottom="1440" w:left="1440" w:header="1008" w:footer="432" w:gutter="0"/>
          <w:pgNumType w:fmt="lowerRoman" w:start="1"/>
          <w:cols w:space="720"/>
        </w:sectPr>
      </w:pPr>
      <w:bookmarkStart w:id="1" w:name="_Toc481569610"/>
      <w:bookmarkStart w:id="2" w:name="_Toc481570193"/>
      <w:bookmarkStart w:id="3"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4" w:name="_Toc219275079"/>
            <w:bookmarkStart w:id="5" w:name="_Toc336443614"/>
            <w:bookmarkStart w:id="6"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A8436A" w:rsidRPr="003F6147" w14:paraId="199E57C0"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544FCAC" w14:textId="3ED46C05" w:rsidR="00A8436A" w:rsidRPr="003F6147" w:rsidRDefault="00A8436A"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529E2FD8" w14:textId="19ACF6F7" w:rsidR="00A8436A" w:rsidRPr="003F6147" w:rsidRDefault="00A8436A" w:rsidP="003F6147">
                  <w:pPr>
                    <w:spacing w:after="0"/>
                    <w:jc w:val="both"/>
                  </w:pPr>
                  <w:r w:rsidRPr="00A8436A">
                    <w:t>California Based Entity (CBE) Form</w:t>
                  </w:r>
                </w:p>
              </w:tc>
            </w:tr>
            <w:tr w:rsidR="003F6147" w:rsidRPr="003F6147" w14:paraId="0ACF2DC8"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245CB0D8" w:rsidR="003F6147" w:rsidRPr="003F6147" w:rsidRDefault="00A8436A" w:rsidP="003F6147">
                  <w:pPr>
                    <w:spacing w:after="0"/>
                    <w:jc w:val="both"/>
                  </w:pPr>
                  <w:r>
                    <w:t>14</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40BEFA59"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7"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8" w:name="_Toc81377097"/>
      <w:bookmarkStart w:id="9" w:name="_Toc86152236"/>
      <w:r w:rsidRPr="00756BAC">
        <w:lastRenderedPageBreak/>
        <w:t>I.</w:t>
      </w:r>
      <w:r w:rsidRPr="00756BAC">
        <w:tab/>
        <w:t>Introduction</w:t>
      </w:r>
      <w:bookmarkEnd w:id="7"/>
      <w:bookmarkEnd w:id="8"/>
      <w:bookmarkEnd w:id="9"/>
    </w:p>
    <w:p w14:paraId="15CE67F5" w14:textId="77777777" w:rsidR="003F6147" w:rsidRPr="00756BAC" w:rsidRDefault="003F6147">
      <w:pPr>
        <w:pStyle w:val="Heading2"/>
        <w:numPr>
          <w:ilvl w:val="0"/>
          <w:numId w:val="45"/>
        </w:numPr>
      </w:pPr>
      <w:bookmarkStart w:id="10" w:name="_Purpose_of_Solicitation"/>
      <w:bookmarkStart w:id="11" w:name="_Toc458602319"/>
      <w:bookmarkStart w:id="12" w:name="_Toc81377098"/>
      <w:bookmarkStart w:id="13" w:name="_Toc86152237"/>
      <w:bookmarkEnd w:id="10"/>
      <w:r w:rsidRPr="00756BAC">
        <w:t>Purpose of Solicitation</w:t>
      </w:r>
      <w:bookmarkEnd w:id="11"/>
      <w:bookmarkEnd w:id="12"/>
      <w:bookmarkEnd w:id="13"/>
      <w:r w:rsidRPr="00756BAC">
        <w:t xml:space="preserve"> </w:t>
      </w:r>
      <w:bookmarkStart w:id="14" w:name="_Toc395180593"/>
      <w:bookmarkStart w:id="15" w:name="_Toc381079833"/>
      <w:bookmarkStart w:id="16" w:name="_Toc382571091"/>
    </w:p>
    <w:bookmarkEnd w:id="14"/>
    <w:p w14:paraId="6CFDC9B7" w14:textId="77777777" w:rsidR="003F6147" w:rsidRPr="003F6147" w:rsidRDefault="003F6147" w:rsidP="000E4814"/>
    <w:p w14:paraId="144363F1" w14:textId="77777777" w:rsidR="0009287E" w:rsidRPr="0005514E" w:rsidRDefault="003F6147" w:rsidP="0009287E">
      <w:pPr>
        <w:jc w:val="both"/>
        <w:rPr>
          <w:b/>
        </w:rPr>
      </w:pPr>
      <w:bookmarkStart w:id="17" w:name="_Toc433981247"/>
      <w:r w:rsidRPr="003F6147">
        <w:t xml:space="preserve">The purpose of this solicitation is to fund </w:t>
      </w:r>
      <w:bookmarkEnd w:id="15"/>
      <w:bookmarkEnd w:id="16"/>
      <w:bookmarkEnd w:id="17"/>
      <w:r w:rsidR="0009287E" w:rsidRPr="0005514E">
        <w:rPr>
          <w:szCs w:val="22"/>
        </w:rPr>
        <w:t xml:space="preserve">Renewable Energy and Advanced Generation </w:t>
      </w:r>
      <w:r w:rsidR="0009287E" w:rsidRPr="0005514E">
        <w:t xml:space="preserve">projects that </w:t>
      </w:r>
      <w:bookmarkStart w:id="18" w:name="_Toc395180594"/>
      <w:bookmarkStart w:id="19" w:name="_Toc433981248"/>
      <w:r w:rsidR="0009287E" w:rsidRPr="0005514E">
        <w:t>meet the following initiatives:</w:t>
      </w:r>
      <w:bookmarkEnd w:id="18"/>
      <w:bookmarkEnd w:id="19"/>
      <w:r w:rsidR="0009287E" w:rsidRPr="0005514E">
        <w:t xml:space="preserve"> </w:t>
      </w:r>
    </w:p>
    <w:p w14:paraId="785DE2EC" w14:textId="77777777" w:rsidR="0009287E" w:rsidRPr="0005514E" w:rsidRDefault="0009287E">
      <w:pPr>
        <w:pStyle w:val="ListParagraph"/>
        <w:numPr>
          <w:ilvl w:val="0"/>
          <w:numId w:val="54"/>
        </w:numPr>
        <w:jc w:val="both"/>
      </w:pPr>
      <w:r w:rsidRPr="0005514E">
        <w:t>Developing and Demonstrating Hydrogen-based Power Generation Systems, from the 2021-2022 Gas Research &amp; Development Budget Plan; and</w:t>
      </w:r>
    </w:p>
    <w:p w14:paraId="44D777C9" w14:textId="77777777" w:rsidR="0009287E" w:rsidRPr="0005514E" w:rsidRDefault="0009287E">
      <w:pPr>
        <w:pStyle w:val="ListParagraph"/>
        <w:numPr>
          <w:ilvl w:val="0"/>
          <w:numId w:val="54"/>
        </w:numPr>
        <w:jc w:val="both"/>
      </w:pPr>
      <w:r w:rsidRPr="0005514E">
        <w:t>Mitigate Criteria Air Pollutants in Hydrogen-Based Power Generation, from the pending 2022-2023 Gas Research &amp; Development Budget Plan.</w:t>
      </w:r>
    </w:p>
    <w:p w14:paraId="191B4432" w14:textId="5E4B7DEF" w:rsidR="0009287E" w:rsidRPr="0005514E" w:rsidRDefault="1BB04A10" w:rsidP="0009287E">
      <w:pPr>
        <w:jc w:val="both"/>
      </w:pPr>
      <w:r>
        <w:t>This solicitation will fund the development and demonstration of emission-mitigating technologies and gas-fired power generation technologies that can run efficiently on high blends of hydrogen (H</w:t>
      </w:r>
      <w:r w:rsidRPr="4411470C">
        <w:rPr>
          <w:vertAlign w:val="subscript"/>
        </w:rPr>
        <w:t>2</w:t>
      </w:r>
      <w:r>
        <w:t xml:space="preserve">) in the fuel stream while mitigating greenhouse gas (GHG) and oxides of nitrogen (NOx) emissions. Research resulting from this solicitation will support increasingly higher blends of </w:t>
      </w:r>
      <w:bookmarkStart w:id="20" w:name="_Hlk124521006"/>
      <w:r>
        <w:t>H</w:t>
      </w:r>
      <w:r w:rsidRPr="4411470C">
        <w:rPr>
          <w:vertAlign w:val="subscript"/>
        </w:rPr>
        <w:t>2</w:t>
      </w:r>
      <w:r>
        <w:t xml:space="preserve"> up to 100 percent</w:t>
      </w:r>
      <w:bookmarkEnd w:id="20"/>
      <w:r>
        <w:t>, without compromising generation efficiencies and performance, to support meeting California’s goals for carbon neutrality and improving public health and safety.</w:t>
      </w:r>
    </w:p>
    <w:p w14:paraId="2A8104BE" w14:textId="77777777" w:rsidR="0009287E" w:rsidRPr="0005514E" w:rsidRDefault="0009287E" w:rsidP="0009287E">
      <w:pPr>
        <w:jc w:val="both"/>
      </w:pPr>
      <w:r w:rsidRPr="0005514E">
        <w:t>The 2021-2022 initiative funds the development and demonstration of power generation technologies that can run efficiently on high blends (exceeding 30 percent and progressing towards 100 percent) of H</w:t>
      </w:r>
      <w:r w:rsidRPr="0005514E">
        <w:rPr>
          <w:vertAlign w:val="subscript"/>
        </w:rPr>
        <w:t>2</w:t>
      </w:r>
      <w:r w:rsidRPr="0005514E">
        <w:t xml:space="preserve"> in the fuel stream, including modifications to current power generation technologies. These higher blends exceed 30 percent hydrogen by volume and aim to facilitate innovations where the technology using higher blends has either shown challenges or has not yet been tested. Possible challenges associated with using higher blends of hydrogen are equipment limitations, lowered fuel energy input, and harmful reaction product mitigation. Some novel technologies can already use 100 percent hydrogen </w:t>
      </w:r>
      <w:bookmarkStart w:id="21" w:name="_Hlk111036840"/>
      <w:r w:rsidRPr="0005514E">
        <w:t>with promising results but require development on their performance and emissions prior to pilot demonstrations.</w:t>
      </w:r>
      <w:r w:rsidRPr="0005514E">
        <w:rPr>
          <w:rStyle w:val="FootnoteReference"/>
        </w:rPr>
        <w:footnoteReference w:id="2"/>
      </w:r>
      <w:r w:rsidRPr="0005514E">
        <w:t xml:space="preserve"> Therefore, development of technologies using 100 percent H</w:t>
      </w:r>
      <w:r w:rsidRPr="0005514E">
        <w:rPr>
          <w:vertAlign w:val="subscript"/>
        </w:rPr>
        <w:t>2</w:t>
      </w:r>
      <w:r w:rsidRPr="0005514E">
        <w:t xml:space="preserve"> would be eligible under this solicitation to accelerate the transition towards a zero-carbon energy future.</w:t>
      </w:r>
      <w:bookmarkEnd w:id="21"/>
      <w:r w:rsidRPr="0005514E">
        <w:t xml:space="preserve"> </w:t>
      </w:r>
    </w:p>
    <w:p w14:paraId="6E020608" w14:textId="77777777" w:rsidR="0009287E" w:rsidRPr="0005514E" w:rsidRDefault="0009287E" w:rsidP="0009287E">
      <w:pPr>
        <w:jc w:val="both"/>
      </w:pPr>
      <w:r w:rsidRPr="0005514E">
        <w:t>The pending 2022-2023 initiative funds technology advancements to mitigate NOx emissions and other criteria air pollutants such as carbon monoxide (CO) from the combustion of fossil gas blended with high percentages of H</w:t>
      </w:r>
      <w:r w:rsidRPr="0005514E">
        <w:rPr>
          <w:vertAlign w:val="subscript"/>
        </w:rPr>
        <w:t>2</w:t>
      </w:r>
      <w:r w:rsidRPr="0005514E">
        <w:t>, up to pure H</w:t>
      </w:r>
      <w:r w:rsidRPr="0005514E">
        <w:rPr>
          <w:vertAlign w:val="subscript"/>
        </w:rPr>
        <w:t>2</w:t>
      </w:r>
      <w:r w:rsidRPr="0005514E">
        <w:t xml:space="preserve"> (100 percent), in power generation applications and particularly for applications in under-resourced communities. </w:t>
      </w:r>
    </w:p>
    <w:p w14:paraId="41AC18BF" w14:textId="33E4F0BE" w:rsidR="0009287E" w:rsidRPr="0005514E" w:rsidRDefault="0009287E" w:rsidP="0009287E">
      <w:pPr>
        <w:jc w:val="both"/>
      </w:pPr>
      <w:r w:rsidRPr="0005514E">
        <w:t>These initiatives are combined into one solicitation to promote collaboration amongst applicants to leverage knowledge about power generation systems and emissions mitigation into larger projects that show the impacts and benefits more clearly and cohesively. This approach also addresses stakeholder concerns about NOx emissions and other criteria pollutants from the 2021-2022 Budget Plan initiative. This solicitation will focus on the development, including modifications, and demonstration of smaller-scale (</w:t>
      </w:r>
      <w:r w:rsidR="00F5270D">
        <w:t>[</w:t>
      </w:r>
      <w:r w:rsidRPr="00DB3FFB">
        <w:rPr>
          <w:strike/>
        </w:rPr>
        <w:t>0.3</w:t>
      </w:r>
      <w:r w:rsidR="00F5270D">
        <w:t>]</w:t>
      </w:r>
      <w:r w:rsidRPr="0005514E">
        <w:t xml:space="preserve"> </w:t>
      </w:r>
      <w:r w:rsidR="00F5270D">
        <w:rPr>
          <w:b/>
          <w:bCs/>
          <w:u w:val="single"/>
        </w:rPr>
        <w:t xml:space="preserve">less than or equal </w:t>
      </w:r>
      <w:r w:rsidRPr="0005514E">
        <w:t>to 5 megawatts [MW]), H</w:t>
      </w:r>
      <w:r w:rsidRPr="0005514E">
        <w:rPr>
          <w:vertAlign w:val="subscript"/>
        </w:rPr>
        <w:t>2</w:t>
      </w:r>
      <w:r w:rsidRPr="0005514E">
        <w:t xml:space="preserve"> fuel-flexible, gas-fired power generation technologies and emission-mitigating technologies to increase safety and reduce emissions from gas-fired generation. </w:t>
      </w:r>
    </w:p>
    <w:p w14:paraId="6B612C3F" w14:textId="77777777" w:rsidR="0009287E" w:rsidRPr="0005514E" w:rsidRDefault="0009287E" w:rsidP="0009287E">
      <w:pPr>
        <w:jc w:val="both"/>
        <w:rPr>
          <w:i/>
          <w:iCs/>
        </w:rPr>
      </w:pPr>
      <w:r w:rsidRPr="0005514E">
        <w:t xml:space="preserve">This solicitation supports California’s ambitious GHG emission reduction goals of carbon neutrality by 2045 through the decarbonization of in-state gas-fired generation and complements </w:t>
      </w:r>
      <w:r w:rsidRPr="0005514E">
        <w:lastRenderedPageBreak/>
        <w:t>both CEC’s decarbonization investments in the industrial sector and the new electricity resources projected in the California Air Resources Board’s 2022 Final Scoping Plan.</w:t>
      </w:r>
      <w:r w:rsidRPr="0005514E">
        <w:rPr>
          <w:vertAlign w:val="superscript"/>
        </w:rPr>
        <w:footnoteReference w:id="3"/>
      </w:r>
      <w:r w:rsidRPr="0005514E">
        <w:t xml:space="preserve"> In-state gas-fired generation accounts for more than half of the power generation sector’s GHG emissions in California.</w:t>
      </w:r>
      <w:r w:rsidRPr="0005514E">
        <w:rPr>
          <w:vertAlign w:val="superscript"/>
        </w:rPr>
        <w:footnoteReference w:id="4"/>
      </w:r>
      <w:r w:rsidRPr="0005514E">
        <w:t xml:space="preserve"> Technologies and applications of interest are microturbines or internal combustion engines that could </w:t>
      </w:r>
      <w:bookmarkStart w:id="22" w:name="_Hlk124947076"/>
      <w:r w:rsidRPr="0005514E">
        <w:t>support either local power generation or be used in combined heat and power (CHP) systems</w:t>
      </w:r>
      <w:bookmarkEnd w:id="22"/>
      <w:r w:rsidRPr="0005514E">
        <w:t>. CHP systems serve an important role in providing high temperature heat for industrial and manufacturing processes that are difficult to electrify. CHP systems can also be used in residential, institutional, and municipal applications, but they have been less prevalent in these sectors, with only 10 CHP systems reported for power ranges between 1 to 5 MW in California in 2021.</w:t>
      </w:r>
      <w:r w:rsidRPr="0005514E">
        <w:rPr>
          <w:rStyle w:val="FootnoteReference"/>
        </w:rPr>
        <w:footnoteReference w:id="5"/>
      </w:r>
      <w:r w:rsidRPr="0005514E">
        <w:t xml:space="preserve"> Recent research on CHP systems with ranges smaller than 5 MW down to 1 kilowatt, shows that </w:t>
      </w:r>
      <w:bookmarkStart w:id="23" w:name="_Hlk104907509"/>
      <w:r w:rsidRPr="0005514E">
        <w:t xml:space="preserve">California has nearly 1.9 gigawatts (GW) of potential generation capacity </w:t>
      </w:r>
      <w:bookmarkEnd w:id="23"/>
      <w:r w:rsidRPr="0005514E">
        <w:t>in residential, commercial, and light industrial settings in addition to the 662 MW currently installed. And over the next 20 years, more than 1.52 GW (about 80 percent of the additional potential) capacity could come online using traditional CHP technologies such as reciprocating engines, turbines, microturbines, and fuel cells that can operate on a wide range of fuels, including H</w:t>
      </w:r>
      <w:r w:rsidRPr="0005514E">
        <w:rPr>
          <w:vertAlign w:val="subscript"/>
        </w:rPr>
        <w:t>2</w:t>
      </w:r>
      <w:r w:rsidRPr="0005514E">
        <w:t>.</w:t>
      </w:r>
      <w:r w:rsidRPr="0005514E">
        <w:rPr>
          <w:vertAlign w:val="superscript"/>
        </w:rPr>
        <w:footnoteReference w:id="6"/>
      </w:r>
    </w:p>
    <w:p w14:paraId="20982871" w14:textId="394F44BB" w:rsidR="00A8436A" w:rsidRDefault="0009287E" w:rsidP="0009287E">
      <w:pPr>
        <w:jc w:val="both"/>
      </w:pPr>
      <w:r w:rsidRPr="0005514E">
        <w:t>This solicitation will also advance the technologies and approaches that can reduce the trade-offs between GHG and NOx emissions that come from combusting H</w:t>
      </w:r>
      <w:r w:rsidRPr="0005514E">
        <w:rPr>
          <w:vertAlign w:val="subscript"/>
        </w:rPr>
        <w:t>2</w:t>
      </w:r>
      <w:r w:rsidRPr="0005514E">
        <w:t xml:space="preserve"> gas. For H</w:t>
      </w:r>
      <w:r w:rsidRPr="0005514E">
        <w:rPr>
          <w:vertAlign w:val="subscript"/>
        </w:rPr>
        <w:t>2</w:t>
      </w:r>
      <w:r w:rsidRPr="0005514E">
        <w:t>-gas-fired generation systems to be deployable in California, they will need to reduce criteria pollutant emissions, particularly NOx, to be compliant with California’s air quality standards.</w:t>
      </w:r>
      <w:r w:rsidRPr="0005514E">
        <w:rPr>
          <w:vertAlign w:val="superscript"/>
        </w:rPr>
        <w:footnoteReference w:id="7"/>
      </w:r>
      <w:r w:rsidRPr="0005514E">
        <w:t xml:space="preserve"> NOx emissions from H</w:t>
      </w:r>
      <w:r w:rsidRPr="0005514E">
        <w:rPr>
          <w:vertAlign w:val="subscript"/>
        </w:rPr>
        <w:t>2</w:t>
      </w:r>
      <w:r w:rsidRPr="0005514E">
        <w:t>-based gas-fired generation technologies can be higher than those using fossil gas because of the comparatively higher flame temperatures and increased water content of H</w:t>
      </w:r>
      <w:r w:rsidRPr="0005514E">
        <w:rPr>
          <w:vertAlign w:val="subscript"/>
        </w:rPr>
        <w:t>2</w:t>
      </w:r>
      <w:r w:rsidRPr="0005514E">
        <w:t xml:space="preserve"> combustion.</w:t>
      </w:r>
      <w:r w:rsidRPr="0005514E">
        <w:rPr>
          <w:vertAlign w:val="superscript"/>
        </w:rPr>
        <w:footnoteReference w:id="8"/>
      </w:r>
      <w:r w:rsidRPr="0005514E">
        <w:t xml:space="preserve"> However, other factors such as the volumetric percentage of H</w:t>
      </w:r>
      <w:r w:rsidRPr="0005514E">
        <w:rPr>
          <w:vertAlign w:val="subscript"/>
        </w:rPr>
        <w:t>2</w:t>
      </w:r>
      <w:r w:rsidRPr="0005514E">
        <w:t xml:space="preserve"> in the fuel blend, combustion characteristics, and burner type may influence the NOx formation. For example, on</w:t>
      </w:r>
      <w:r>
        <w:t xml:space="preserve"> </w:t>
      </w:r>
      <w:r w:rsidRPr="0005514E">
        <w:t>partially premixed combustion</w:t>
      </w:r>
      <w:r w:rsidRPr="0005514E">
        <w:rPr>
          <w:rStyle w:val="FootnoteReference"/>
        </w:rPr>
        <w:footnoteReference w:id="9"/>
      </w:r>
      <w:r w:rsidRPr="0005514E">
        <w:t xml:space="preserve"> equipment, using blends under 30 percent H</w:t>
      </w:r>
      <w:r w:rsidRPr="0005514E">
        <w:rPr>
          <w:vertAlign w:val="subscript"/>
        </w:rPr>
        <w:t>2</w:t>
      </w:r>
      <w:r w:rsidRPr="0005514E">
        <w:t xml:space="preserve"> with fossil gas, NOx emissions were found to be either comparable or lower compared to using 100 percent fossil gas.</w:t>
      </w:r>
      <w:r w:rsidRPr="0005514E">
        <w:rPr>
          <w:vertAlign w:val="superscript"/>
        </w:rPr>
        <w:footnoteReference w:id="10"/>
      </w:r>
      <w:r w:rsidRPr="0005514E">
        <w:t xml:space="preserve"> However, gas turbines using 50 percent H</w:t>
      </w:r>
      <w:r w:rsidRPr="0005514E">
        <w:rPr>
          <w:vertAlign w:val="subscript"/>
        </w:rPr>
        <w:t>2</w:t>
      </w:r>
      <w:r w:rsidRPr="0005514E">
        <w:t xml:space="preserve"> with fossil gas show a 35 percent increase in NOx emissions relative to its baseline using 100 percent fossil gas.</w:t>
      </w:r>
      <w:r w:rsidRPr="0005514E">
        <w:rPr>
          <w:vertAlign w:val="superscript"/>
        </w:rPr>
        <w:footnoteReference w:id="11"/>
      </w:r>
      <w:r w:rsidRPr="0005514E">
        <w:t xml:space="preserve"> Similarly, NOx emissions </w:t>
      </w:r>
      <w:r w:rsidRPr="0005514E">
        <w:lastRenderedPageBreak/>
        <w:t>are projected to increase when over 30 percent H</w:t>
      </w:r>
      <w:r w:rsidRPr="0005514E">
        <w:rPr>
          <w:vertAlign w:val="subscript"/>
        </w:rPr>
        <w:t>2</w:t>
      </w:r>
      <w:r w:rsidRPr="0005514E">
        <w:t xml:space="preserve"> blends are used in reciprocating engines.</w:t>
      </w:r>
      <w:r w:rsidRPr="0005514E">
        <w:rPr>
          <w:vertAlign w:val="superscript"/>
        </w:rPr>
        <w:footnoteReference w:id="12"/>
      </w:r>
      <w:r w:rsidRPr="0005514E">
        <w:rPr>
          <w:vertAlign w:val="superscript"/>
        </w:rPr>
        <w:t>,</w:t>
      </w:r>
      <w:r w:rsidRPr="0005514E">
        <w:rPr>
          <w:vertAlign w:val="superscript"/>
        </w:rPr>
        <w:footnoteReference w:id="13"/>
      </w:r>
      <w:r w:rsidRPr="0005514E">
        <w:rPr>
          <w:vertAlign w:val="superscript"/>
        </w:rPr>
        <w:t xml:space="preserve"> </w:t>
      </w:r>
      <w:r w:rsidRPr="0005514E">
        <w:t>Therefore, as blends of H</w:t>
      </w:r>
      <w:r w:rsidRPr="0005514E">
        <w:rPr>
          <w:vertAlign w:val="subscript"/>
        </w:rPr>
        <w:t>2</w:t>
      </w:r>
      <w:r w:rsidRPr="0005514E">
        <w:t xml:space="preserve"> increase, NOx mitigation is crucial for generation systems to remain compliant with emissions standards.</w:t>
      </w:r>
    </w:p>
    <w:p w14:paraId="266A6B33" w14:textId="21AA1772" w:rsidR="0009287E" w:rsidRPr="0005514E" w:rsidRDefault="0009287E" w:rsidP="0009287E">
      <w:pPr>
        <w:jc w:val="both"/>
      </w:pPr>
      <w:r w:rsidRPr="0005514E">
        <w:t>This solicitation expands technology development to complement recent advancements in H</w:t>
      </w:r>
      <w:r w:rsidRPr="0005514E">
        <w:rPr>
          <w:vertAlign w:val="subscript"/>
        </w:rPr>
        <w:t>2</w:t>
      </w:r>
      <w:r w:rsidRPr="0005514E">
        <w:t xml:space="preserve"> blending in higher-power generators with outputs of 100 MW and greater. For example, gas-fired generation projects with H</w:t>
      </w:r>
      <w:r w:rsidRPr="0005514E">
        <w:rPr>
          <w:vertAlign w:val="subscript"/>
        </w:rPr>
        <w:t>2</w:t>
      </w:r>
      <w:r w:rsidRPr="0005514E">
        <w:t>-blending ranging from 600 MW to 1200 MW in capacity are being developed by regional utilities in several other states such as Texas, Nebraska, and New York and by major gas turbine manufacturers.</w:t>
      </w:r>
      <w:r w:rsidRPr="0005514E">
        <w:rPr>
          <w:vertAlign w:val="superscript"/>
        </w:rPr>
        <w:footnoteReference w:id="14"/>
      </w:r>
      <w:r w:rsidRPr="0005514E">
        <w:rPr>
          <w:vertAlign w:val="superscript"/>
        </w:rPr>
        <w:t>,</w:t>
      </w:r>
      <w:r w:rsidRPr="0005514E">
        <w:rPr>
          <w:vertAlign w:val="superscript"/>
        </w:rPr>
        <w:footnoteReference w:id="15"/>
      </w:r>
      <w:r w:rsidRPr="0005514E">
        <w:rPr>
          <w:vertAlign w:val="superscript"/>
        </w:rPr>
        <w:t>,</w:t>
      </w:r>
      <w:r w:rsidRPr="0005514E">
        <w:rPr>
          <w:vertAlign w:val="superscript"/>
        </w:rPr>
        <w:footnoteReference w:id="16"/>
      </w:r>
      <w:r w:rsidRPr="0005514E">
        <w:t xml:space="preserve"> Those projects will demonstrate H</w:t>
      </w:r>
      <w:r w:rsidRPr="0005514E">
        <w:rPr>
          <w:vertAlign w:val="subscript"/>
        </w:rPr>
        <w:t xml:space="preserve">2 </w:t>
      </w:r>
      <w:r w:rsidRPr="0005514E">
        <w:t>blends at 30 percent or greater, with some projects planning to use 100 percent H</w:t>
      </w:r>
      <w:r w:rsidRPr="0005514E">
        <w:rPr>
          <w:vertAlign w:val="subscript"/>
        </w:rPr>
        <w:t>2</w:t>
      </w:r>
      <w:r w:rsidRPr="0005514E">
        <w:t>, in the next decade. Those systems are focused on demonstrating H</w:t>
      </w:r>
      <w:r w:rsidRPr="0005514E">
        <w:rPr>
          <w:vertAlign w:val="subscript"/>
        </w:rPr>
        <w:t>2</w:t>
      </w:r>
      <w:r w:rsidRPr="0005514E">
        <w:t>-blended generation for its GHG reduction benefits. However, with increasing H</w:t>
      </w:r>
      <w:r w:rsidRPr="0005514E">
        <w:rPr>
          <w:vertAlign w:val="subscript"/>
        </w:rPr>
        <w:t>2</w:t>
      </w:r>
      <w:r w:rsidRPr="0005514E">
        <w:t xml:space="preserve"> percentages, there is a strong need to address the ensuing NOx emissions, and so research and development needs to be done for complete generation systems integrated with NOx emission-mitigating technologies. Smaller-scale systems, </w:t>
      </w:r>
      <w:r w:rsidR="00F5270D" w:rsidRPr="009C6BBE">
        <w:rPr>
          <w:u w:val="single"/>
        </w:rPr>
        <w:t>[</w:t>
      </w:r>
      <w:r w:rsidRPr="00DB3FFB">
        <w:rPr>
          <w:strike/>
        </w:rPr>
        <w:t>ranging from 0.3</w:t>
      </w:r>
      <w:r w:rsidR="00F5270D">
        <w:t>]</w:t>
      </w:r>
      <w:r w:rsidRPr="0005514E">
        <w:t xml:space="preserve"> </w:t>
      </w:r>
      <w:r w:rsidR="008160F0">
        <w:rPr>
          <w:b/>
          <w:bCs/>
          <w:u w:val="single"/>
        </w:rPr>
        <w:t>less than or equal</w:t>
      </w:r>
      <w:r w:rsidR="008160F0" w:rsidRPr="0005514E">
        <w:t xml:space="preserve"> </w:t>
      </w:r>
      <w:r w:rsidRPr="0005514E">
        <w:t>to 5 MW, can provide a suitable power range for demonstrating the different technology developments and approaches that may be used in an integrated H</w:t>
      </w:r>
      <w:r w:rsidRPr="0005514E">
        <w:rPr>
          <w:vertAlign w:val="subscript"/>
        </w:rPr>
        <w:t>2</w:t>
      </w:r>
      <w:r w:rsidRPr="0005514E">
        <w:t xml:space="preserve">-blended generation and NOx mitigation system. </w:t>
      </w:r>
    </w:p>
    <w:p w14:paraId="40CA1831" w14:textId="77777777" w:rsidR="0009287E" w:rsidRPr="0005514E" w:rsidRDefault="0009287E" w:rsidP="0009287E">
      <w:pPr>
        <w:jc w:val="both"/>
      </w:pPr>
      <w:r w:rsidRPr="0005514E">
        <w:t>The U.S. Department of Energy (U.S. DOE) is also heavily investing in this space, with nearly $10.7 million awarded in 2021 to nine H</w:t>
      </w:r>
      <w:r w:rsidRPr="0005514E">
        <w:rPr>
          <w:vertAlign w:val="subscript"/>
        </w:rPr>
        <w:t>2</w:t>
      </w:r>
      <w:r w:rsidRPr="0005514E">
        <w:t>-blended gas-fired generation projects that range from computer simulations to bench-scale demonstrations for developing retrofittable systems to run</w:t>
      </w:r>
      <w:r>
        <w:t xml:space="preserve"> </w:t>
      </w:r>
      <w:r w:rsidRPr="0005514E">
        <w:t>on 100 percent H</w:t>
      </w:r>
      <w:r w:rsidRPr="0005514E">
        <w:rPr>
          <w:vertAlign w:val="subscript"/>
        </w:rPr>
        <w:t>2</w:t>
      </w:r>
      <w:r w:rsidRPr="0005514E">
        <w:t>.</w:t>
      </w:r>
      <w:r w:rsidRPr="0005514E">
        <w:rPr>
          <w:vertAlign w:val="superscript"/>
        </w:rPr>
        <w:footnoteReference w:id="17"/>
      </w:r>
      <w:r w:rsidRPr="0005514E">
        <w:rPr>
          <w:vertAlign w:val="superscript"/>
        </w:rPr>
        <w:t>,</w:t>
      </w:r>
      <w:r w:rsidRPr="0005514E">
        <w:rPr>
          <w:vertAlign w:val="superscript"/>
        </w:rPr>
        <w:footnoteReference w:id="18"/>
      </w:r>
      <w:r w:rsidRPr="0005514E">
        <w:rPr>
          <w:vertAlign w:val="superscript"/>
        </w:rPr>
        <w:t xml:space="preserve"> </w:t>
      </w:r>
      <w:r w:rsidRPr="0005514E">
        <w:t>In May 2022, U.S. DOE awarded nearly $25 million to six projects to support the advancement of clean H</w:t>
      </w:r>
      <w:r w:rsidRPr="0005514E">
        <w:rPr>
          <w:vertAlign w:val="subscript"/>
        </w:rPr>
        <w:t>2</w:t>
      </w:r>
      <w:r w:rsidRPr="0005514E">
        <w:t xml:space="preserve"> technologies for power generation.</w:t>
      </w:r>
      <w:r w:rsidRPr="0005514E">
        <w:rPr>
          <w:vertAlign w:val="superscript"/>
        </w:rPr>
        <w:footnoteReference w:id="19"/>
      </w:r>
      <w:r w:rsidRPr="0005514E">
        <w:t xml:space="preserve"> </w:t>
      </w:r>
    </w:p>
    <w:p w14:paraId="240EF69B" w14:textId="77777777" w:rsidR="0009287E" w:rsidRPr="0005514E" w:rsidRDefault="0009287E" w:rsidP="0009287E">
      <w:pPr>
        <w:jc w:val="both"/>
      </w:pPr>
      <w:r w:rsidRPr="0005514E">
        <w:lastRenderedPageBreak/>
        <w:t>This solicitation is the CEC’s third investment in H</w:t>
      </w:r>
      <w:r w:rsidRPr="0005514E">
        <w:rPr>
          <w:vertAlign w:val="subscript"/>
        </w:rPr>
        <w:t>2</w:t>
      </w:r>
      <w:r w:rsidRPr="0005514E">
        <w:t xml:space="preserve"> blending technology development. Awards for two other areas of hydrogen blending-related investments include evaluating impacts in large commercial buildings and industrial processes and in the existing gas pipeline network.</w:t>
      </w:r>
      <w:r w:rsidRPr="0005514E">
        <w:rPr>
          <w:rStyle w:val="FootnoteReference"/>
        </w:rPr>
        <w:t xml:space="preserve"> </w:t>
      </w:r>
      <w:r w:rsidRPr="0005514E">
        <w:rPr>
          <w:rStyle w:val="FootnoteReference"/>
        </w:rPr>
        <w:footnoteReference w:id="20"/>
      </w:r>
      <w:r w:rsidRPr="0005514E">
        <w:rPr>
          <w:rStyle w:val="FootnoteReference"/>
        </w:rPr>
        <w:t>,</w:t>
      </w:r>
      <w:r w:rsidRPr="0005514E">
        <w:rPr>
          <w:rStyle w:val="FootnoteReference"/>
        </w:rPr>
        <w:footnoteReference w:id="21"/>
      </w:r>
      <w:r w:rsidRPr="0005514E">
        <w:t xml:space="preserve"> In contrast, this solicitation will focus on the development and demonstration of the power generation technology itself that can be advanced in maturity from the lab-scale to the pilot scale while simultaneously accommodating percentages of H</w:t>
      </w:r>
      <w:r w:rsidRPr="0005514E">
        <w:rPr>
          <w:vertAlign w:val="subscript"/>
        </w:rPr>
        <w:t>2</w:t>
      </w:r>
      <w:r w:rsidRPr="0005514E">
        <w:t xml:space="preserve"> greater than 30 percent by volume and having a strong emphasis on NOx emissions mitigation. </w:t>
      </w:r>
    </w:p>
    <w:p w14:paraId="52855CD8" w14:textId="51A115C7" w:rsidR="003F6147" w:rsidRDefault="003F6147" w:rsidP="003F614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 xml:space="preserve">Applicants may submit multiple applications, though each application must address only one of the project groups identified above. </w:t>
      </w:r>
      <w:r w:rsidR="00960D30" w:rsidRPr="00960D30">
        <w:rPr>
          <w:szCs w:val="22"/>
        </w:rPr>
        <w:t>If an applicant submits multiple applications, each application must be for a distinct project (i.e., no overlap with respect to the tasks described in the Scope of Work).</w:t>
      </w:r>
    </w:p>
    <w:p w14:paraId="61479D31" w14:textId="77777777" w:rsidR="003A0A6F" w:rsidRDefault="003A0A6F" w:rsidP="003F6147">
      <w:pPr>
        <w:spacing w:after="0"/>
        <w:jc w:val="both"/>
        <w:rPr>
          <w:szCs w:val="22"/>
        </w:rPr>
      </w:pPr>
    </w:p>
    <w:p w14:paraId="13B87406" w14:textId="3DF928BA" w:rsidR="00A8436A" w:rsidRDefault="00FD6239" w:rsidP="004E1C6E">
      <w:pPr>
        <w:spacing w:after="0"/>
        <w:jc w:val="both"/>
        <w:rPr>
          <w:b/>
          <w:color w:val="0070C0"/>
          <w:u w:val="single"/>
        </w:rPr>
      </w:pPr>
      <w:r w:rsidRPr="00FD6239">
        <w:rPr>
          <w:szCs w:val="22"/>
        </w:rPr>
        <w:t>Prospective applicants looking for partnering opportunities for this funding opportunity should register on the California Energy Commission’s Empower Innovation website at www.empowerinnovation.net</w:t>
      </w:r>
    </w:p>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AB6446E" w14:textId="77777777" w:rsidR="003F6147" w:rsidRPr="00756BAC" w:rsidRDefault="003F6147">
      <w:pPr>
        <w:pStyle w:val="Heading2"/>
        <w:numPr>
          <w:ilvl w:val="0"/>
          <w:numId w:val="45"/>
        </w:numPr>
      </w:pPr>
      <w:bookmarkStart w:id="24" w:name="_Key_Words/Terms"/>
      <w:bookmarkStart w:id="25" w:name="_Toc458602320"/>
      <w:bookmarkStart w:id="26" w:name="_Toc81377099"/>
      <w:bookmarkStart w:id="27" w:name="_Toc86152238"/>
      <w:bookmarkEnd w:id="24"/>
      <w:r w:rsidRPr="00756BAC">
        <w:lastRenderedPageBreak/>
        <w:t>Key Words/Terms</w:t>
      </w:r>
      <w:bookmarkEnd w:id="25"/>
      <w:bookmarkEnd w:id="26"/>
      <w:bookmarkEnd w:id="27"/>
    </w:p>
    <w:p w14:paraId="4D6C1B8F" w14:textId="78CE2C44"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1C2E5F12">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1C2E5F12">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The entity that submits an application to this solicitation</w:t>
            </w:r>
            <w:r w:rsidR="00861F15">
              <w:t>.</w:t>
            </w:r>
          </w:p>
        </w:tc>
      </w:tr>
      <w:tr w:rsidR="003F6147" w:rsidRPr="003F6147" w14:paraId="3EBC2272" w14:textId="77777777" w:rsidTr="1C2E5F12">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1C2E5F12">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E562C8" w:rsidRPr="003F6147" w14:paraId="6AB8EBA9" w14:textId="77777777" w:rsidTr="1C2E5F12">
        <w:tc>
          <w:tcPr>
            <w:tcW w:w="2430" w:type="dxa"/>
          </w:tcPr>
          <w:p w14:paraId="61741C40" w14:textId="0703061B" w:rsidR="00E562C8" w:rsidRPr="00E562C8" w:rsidRDefault="00E562C8" w:rsidP="00E562C8">
            <w:pPr>
              <w:rPr>
                <w:b/>
                <w:bCs/>
                <w:u w:val="single"/>
              </w:rPr>
            </w:pPr>
            <w:r>
              <w:rPr>
                <w:b/>
                <w:bCs/>
                <w:u w:val="single"/>
              </w:rPr>
              <w:t>California Tribal Organization</w:t>
            </w:r>
          </w:p>
        </w:tc>
        <w:tc>
          <w:tcPr>
            <w:tcW w:w="6930" w:type="dxa"/>
          </w:tcPr>
          <w:p w14:paraId="3E6CB06C" w14:textId="35B6F7BE" w:rsidR="00E562C8" w:rsidRDefault="00E562C8" w:rsidP="00EC2034">
            <w:pPr>
              <w:jc w:val="both"/>
              <w:rPr>
                <w:i/>
              </w:rPr>
            </w:pPr>
            <w:r>
              <w:rPr>
                <w:rFonts w:eastAsia="Tahoma"/>
                <w:b/>
                <w:bCs/>
                <w:szCs w:val="22"/>
                <w:u w:val="single"/>
              </w:rPr>
              <w:t>A corporation, association, or group controlled, sanctioned, or chartered by a California Native American tribe that is subject to its laws, the laws of the State of California, or the laws of the United States.</w:t>
            </w:r>
          </w:p>
        </w:tc>
      </w:tr>
      <w:tr w:rsidR="00E562C8" w:rsidRPr="00E562C8" w14:paraId="3D45F39D"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12D70E6B" w14:textId="77777777" w:rsidR="00E562C8" w:rsidRPr="00E562C8" w:rsidRDefault="00E562C8" w:rsidP="00E562C8">
            <w:pPr>
              <w:rPr>
                <w:b/>
                <w:bCs/>
                <w:u w:val="single"/>
              </w:rPr>
            </w:pPr>
            <w:r w:rsidRPr="00E562C8">
              <w:rPr>
                <w:b/>
                <w:bCs/>
                <w:szCs w:val="22"/>
                <w:u w:val="single"/>
              </w:rPr>
              <w:t>California Native American Tribe/Tribe</w:t>
            </w:r>
          </w:p>
        </w:tc>
        <w:tc>
          <w:tcPr>
            <w:tcW w:w="6930" w:type="dxa"/>
            <w:tcBorders>
              <w:top w:val="single" w:sz="4" w:space="0" w:color="auto"/>
              <w:left w:val="single" w:sz="4" w:space="0" w:color="auto"/>
              <w:bottom w:val="single" w:sz="4" w:space="0" w:color="auto"/>
              <w:right w:val="single" w:sz="4" w:space="0" w:color="auto"/>
            </w:tcBorders>
            <w:hideMark/>
          </w:tcPr>
          <w:p w14:paraId="5F50E3F4" w14:textId="77777777" w:rsidR="00E562C8" w:rsidRPr="00E562C8" w:rsidRDefault="00E562C8">
            <w:pPr>
              <w:jc w:val="both"/>
              <w:rPr>
                <w:b/>
                <w:bCs/>
                <w:u w:val="single"/>
              </w:rPr>
            </w:pPr>
            <w:r w:rsidRPr="00E562C8">
              <w:rPr>
                <w:rFonts w:eastAsia="Tahoma"/>
                <w:b/>
                <w:bCs/>
                <w:szCs w:val="22"/>
                <w:u w:val="single"/>
              </w:rPr>
              <w:t>A Native American Tribe located in California that is on the contact list maintained by the Native American Heritage Commission for the purposes of Chapter 905 of the Statutes of 2004.</w:t>
            </w:r>
          </w:p>
        </w:tc>
      </w:tr>
      <w:tr w:rsidR="003F6147" w:rsidRPr="003F6147" w14:paraId="46EEC1E8" w14:textId="77777777" w:rsidTr="1C2E5F12">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1C2E5F12">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A75C11" w:rsidRPr="00A75C11" w14:paraId="4ACAB946"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11EC184B" w14:textId="77777777" w:rsidR="00BE1118" w:rsidRPr="00A75C11" w:rsidRDefault="00BE1118">
            <w:pPr>
              <w:jc w:val="both"/>
            </w:pPr>
            <w:r w:rsidRPr="00A75C11">
              <w:t>CARB</w:t>
            </w:r>
          </w:p>
        </w:tc>
        <w:tc>
          <w:tcPr>
            <w:tcW w:w="6930" w:type="dxa"/>
            <w:tcBorders>
              <w:top w:val="single" w:sz="4" w:space="0" w:color="auto"/>
              <w:left w:val="single" w:sz="4" w:space="0" w:color="auto"/>
              <w:bottom w:val="single" w:sz="4" w:space="0" w:color="auto"/>
              <w:right w:val="single" w:sz="4" w:space="0" w:color="auto"/>
            </w:tcBorders>
            <w:hideMark/>
          </w:tcPr>
          <w:p w14:paraId="296CB78F" w14:textId="77777777" w:rsidR="00BE1118" w:rsidRPr="00A75C11" w:rsidRDefault="00BE1118">
            <w:pPr>
              <w:jc w:val="both"/>
            </w:pPr>
            <w:r w:rsidRPr="00A75C11">
              <w:t>California Air Resources Board</w:t>
            </w:r>
          </w:p>
        </w:tc>
      </w:tr>
      <w:tr w:rsidR="00A75C11" w:rsidRPr="00A75C11" w14:paraId="5A21F94C" w14:textId="77777777" w:rsidTr="1C2E5F12">
        <w:tc>
          <w:tcPr>
            <w:tcW w:w="2430" w:type="dxa"/>
          </w:tcPr>
          <w:p w14:paraId="4291752F" w14:textId="7FAD4802" w:rsidR="007626AC" w:rsidRPr="00A75C11" w:rsidRDefault="007626AC" w:rsidP="003F6147">
            <w:pPr>
              <w:jc w:val="both"/>
            </w:pPr>
            <w:r w:rsidRPr="00A75C11">
              <w:t>CBE</w:t>
            </w:r>
          </w:p>
        </w:tc>
        <w:tc>
          <w:tcPr>
            <w:tcW w:w="6930" w:type="dxa"/>
          </w:tcPr>
          <w:p w14:paraId="61497532" w14:textId="6A830B5C" w:rsidR="007626AC" w:rsidRPr="00A75C11" w:rsidRDefault="00957913" w:rsidP="003F6147">
            <w:pPr>
              <w:spacing w:after="60"/>
              <w:contextualSpacing/>
            </w:pPr>
            <w:r w:rsidRPr="00A75C11">
              <w:t>California Based Ent</w:t>
            </w:r>
            <w:r w:rsidR="00DF3380" w:rsidRPr="00A75C11">
              <w:t>i</w:t>
            </w:r>
            <w:r w:rsidR="006257B8" w:rsidRPr="00A75C11">
              <w:t>ty</w:t>
            </w:r>
          </w:p>
        </w:tc>
      </w:tr>
      <w:tr w:rsidR="00A75C11" w:rsidRPr="00A75C11" w14:paraId="0AE8D6DA" w14:textId="77777777" w:rsidTr="1C2E5F12">
        <w:tc>
          <w:tcPr>
            <w:tcW w:w="2430" w:type="dxa"/>
          </w:tcPr>
          <w:p w14:paraId="5F64E278" w14:textId="77777777" w:rsidR="003F6147" w:rsidRPr="00A75C11" w:rsidRDefault="003F6147" w:rsidP="003F6147">
            <w:pPr>
              <w:jc w:val="both"/>
            </w:pPr>
            <w:r w:rsidRPr="00A75C11">
              <w:t>CBO</w:t>
            </w:r>
          </w:p>
        </w:tc>
        <w:tc>
          <w:tcPr>
            <w:tcW w:w="6930" w:type="dxa"/>
          </w:tcPr>
          <w:p w14:paraId="3C50F760" w14:textId="77777777" w:rsidR="003F6147" w:rsidRPr="00A75C11" w:rsidRDefault="003F6147" w:rsidP="003F6147">
            <w:pPr>
              <w:spacing w:after="60"/>
              <w:contextualSpacing/>
            </w:pPr>
            <w:r w:rsidRPr="00A75C11">
              <w:t xml:space="preserve">Community Based Organization. A public or private nonprofit organization of demonstrated effectiveness that: </w:t>
            </w:r>
          </w:p>
          <w:p w14:paraId="092EF94B" w14:textId="77777777" w:rsidR="003F6147" w:rsidRPr="00A75C11" w:rsidRDefault="003F6147">
            <w:pPr>
              <w:numPr>
                <w:ilvl w:val="0"/>
                <w:numId w:val="43"/>
              </w:numPr>
              <w:spacing w:after="200"/>
              <w:contextualSpacing/>
            </w:pPr>
            <w:r w:rsidRPr="00A75C11">
              <w:t>Has an office in the region (e.g., air basin or county) and meets the demographic profile of the communities they serve</w:t>
            </w:r>
            <w:r w:rsidR="00861F15" w:rsidRPr="00A75C11">
              <w:t>.</w:t>
            </w:r>
          </w:p>
          <w:p w14:paraId="6A1E566F" w14:textId="77777777" w:rsidR="003F6147" w:rsidRPr="00A75C11" w:rsidRDefault="003F6147">
            <w:pPr>
              <w:numPr>
                <w:ilvl w:val="0"/>
                <w:numId w:val="43"/>
              </w:numPr>
              <w:spacing w:after="200"/>
              <w:contextualSpacing/>
            </w:pPr>
            <w:r w:rsidRPr="00A75C11">
              <w:t>Has deployed projects and/or outreach efforts within the region (e.g., air basin or county) of the proposed disadvantaged or low-income community.</w:t>
            </w:r>
          </w:p>
          <w:p w14:paraId="28E6D643" w14:textId="77777777" w:rsidR="003F6147" w:rsidRPr="00A75C11" w:rsidRDefault="00625DCD">
            <w:pPr>
              <w:numPr>
                <w:ilvl w:val="0"/>
                <w:numId w:val="43"/>
              </w:numPr>
              <w:spacing w:after="200"/>
              <w:contextualSpacing/>
            </w:pPr>
            <w:r w:rsidRPr="00A75C11">
              <w:t xml:space="preserve">Has an </w:t>
            </w:r>
            <w:r w:rsidR="003F6147" w:rsidRPr="00A75C11">
              <w:t>official mission and vision statements that expressly identifies serving disadvantaged and/or low-income communities.</w:t>
            </w:r>
          </w:p>
          <w:p w14:paraId="3AB69E6F" w14:textId="77777777" w:rsidR="003F6147" w:rsidRPr="00A75C11" w:rsidRDefault="003F6147">
            <w:pPr>
              <w:numPr>
                <w:ilvl w:val="0"/>
                <w:numId w:val="43"/>
              </w:numPr>
              <w:spacing w:after="60"/>
              <w:contextualSpacing/>
            </w:pPr>
            <w:r w:rsidRPr="00A75C11">
              <w:t>Currently employs staff member(s) who specialized in and are dedicated to – diversity, or equity, or inclusion, or is a 501(c)(3) non-profit.</w:t>
            </w:r>
          </w:p>
        </w:tc>
      </w:tr>
      <w:tr w:rsidR="00A75C11" w:rsidRPr="00A75C11" w14:paraId="6C0527CD" w14:textId="77777777" w:rsidTr="1C2E5F12">
        <w:tc>
          <w:tcPr>
            <w:tcW w:w="2430" w:type="dxa"/>
          </w:tcPr>
          <w:p w14:paraId="21872A76" w14:textId="77777777" w:rsidR="003F6147" w:rsidRPr="00A75C11" w:rsidRDefault="003F6147" w:rsidP="003F6147">
            <w:pPr>
              <w:jc w:val="both"/>
            </w:pPr>
            <w:r w:rsidRPr="00A75C11">
              <w:t>CEC</w:t>
            </w:r>
          </w:p>
        </w:tc>
        <w:tc>
          <w:tcPr>
            <w:tcW w:w="6930" w:type="dxa"/>
          </w:tcPr>
          <w:p w14:paraId="5974AC5C" w14:textId="13876978" w:rsidR="003F6147" w:rsidRPr="00A75C11" w:rsidRDefault="003F6147" w:rsidP="003F6147">
            <w:pPr>
              <w:spacing w:after="60"/>
              <w:contextualSpacing/>
            </w:pPr>
            <w:r w:rsidRPr="00A75C11">
              <w:t>State Energy Resources Conservation and Development Commission or, the California Energy Commission</w:t>
            </w:r>
            <w:r w:rsidR="00861F15" w:rsidRPr="00A75C11">
              <w:t>.</w:t>
            </w:r>
          </w:p>
        </w:tc>
      </w:tr>
      <w:tr w:rsidR="00A75C11" w:rsidRPr="00A75C11" w14:paraId="52E7E706" w14:textId="77777777" w:rsidTr="1C2E5F12">
        <w:tc>
          <w:tcPr>
            <w:tcW w:w="2430" w:type="dxa"/>
          </w:tcPr>
          <w:p w14:paraId="1CD4D045" w14:textId="77777777" w:rsidR="003F6147" w:rsidRPr="00A75C11" w:rsidRDefault="003F6147" w:rsidP="003F6147">
            <w:pPr>
              <w:jc w:val="both"/>
            </w:pPr>
            <w:r w:rsidRPr="00A75C11">
              <w:t>CEQA</w:t>
            </w:r>
          </w:p>
        </w:tc>
        <w:tc>
          <w:tcPr>
            <w:tcW w:w="6930" w:type="dxa"/>
          </w:tcPr>
          <w:p w14:paraId="2B46B704" w14:textId="77777777" w:rsidR="003F6147" w:rsidRPr="00A75C11" w:rsidRDefault="003F6147" w:rsidP="003F6147">
            <w:pPr>
              <w:keepNext/>
              <w:jc w:val="both"/>
              <w:outlineLvl w:val="1"/>
            </w:pPr>
            <w:r w:rsidRPr="00A75C11">
              <w:t>California Environmental Quality Act, California Public Resources Code Section 21000 et seq.</w:t>
            </w:r>
          </w:p>
        </w:tc>
      </w:tr>
      <w:tr w:rsidR="00A75C11" w:rsidRPr="00A75C11" w14:paraId="7A79FFB7"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28900764" w14:textId="77777777" w:rsidR="00BE1118" w:rsidRPr="00A75C11" w:rsidRDefault="00BE1118">
            <w:pPr>
              <w:jc w:val="both"/>
            </w:pPr>
            <w:r w:rsidRPr="00A75C11">
              <w:t>CHP</w:t>
            </w:r>
          </w:p>
        </w:tc>
        <w:tc>
          <w:tcPr>
            <w:tcW w:w="6930" w:type="dxa"/>
            <w:tcBorders>
              <w:top w:val="single" w:sz="4" w:space="0" w:color="auto"/>
              <w:left w:val="single" w:sz="4" w:space="0" w:color="auto"/>
              <w:bottom w:val="single" w:sz="4" w:space="0" w:color="auto"/>
              <w:right w:val="single" w:sz="4" w:space="0" w:color="auto"/>
            </w:tcBorders>
            <w:hideMark/>
          </w:tcPr>
          <w:p w14:paraId="38784EF6" w14:textId="77777777" w:rsidR="00BE1118" w:rsidRPr="00A75C11" w:rsidRDefault="00BE1118">
            <w:pPr>
              <w:keepNext/>
              <w:jc w:val="both"/>
              <w:outlineLvl w:val="1"/>
            </w:pPr>
            <w:r w:rsidRPr="00A75C11">
              <w:rPr>
                <w:i/>
                <w:iCs/>
              </w:rPr>
              <w:t>Combined Heat and Power</w:t>
            </w:r>
            <w:r w:rsidRPr="00A75C11">
              <w:t>, also known as cogeneration, produces electricity and useful thermal energy in an integrated system.</w:t>
            </w:r>
          </w:p>
        </w:tc>
      </w:tr>
      <w:tr w:rsidR="00A75C11" w:rsidRPr="00A75C11" w14:paraId="21ED40E2"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35541335" w14:textId="77777777" w:rsidR="00BE1118" w:rsidRPr="00A75C11" w:rsidRDefault="00BE1118">
            <w:pPr>
              <w:jc w:val="both"/>
            </w:pPr>
            <w:r w:rsidRPr="00A75C11">
              <w:t>CO</w:t>
            </w:r>
          </w:p>
        </w:tc>
        <w:tc>
          <w:tcPr>
            <w:tcW w:w="6930" w:type="dxa"/>
            <w:tcBorders>
              <w:top w:val="single" w:sz="4" w:space="0" w:color="auto"/>
              <w:left w:val="single" w:sz="4" w:space="0" w:color="auto"/>
              <w:bottom w:val="single" w:sz="4" w:space="0" w:color="auto"/>
              <w:right w:val="single" w:sz="4" w:space="0" w:color="auto"/>
            </w:tcBorders>
            <w:hideMark/>
          </w:tcPr>
          <w:p w14:paraId="75719851" w14:textId="77777777" w:rsidR="00BE1118" w:rsidRPr="00A75C11" w:rsidRDefault="00BE1118">
            <w:pPr>
              <w:keepNext/>
              <w:jc w:val="both"/>
              <w:outlineLvl w:val="1"/>
            </w:pPr>
            <w:r w:rsidRPr="00A75C11">
              <w:t>Carbon Monoxide</w:t>
            </w:r>
          </w:p>
        </w:tc>
      </w:tr>
      <w:tr w:rsidR="00A75C11" w:rsidRPr="00A75C11" w14:paraId="4439C923"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25DECF7B" w14:textId="77777777" w:rsidR="00BE1118" w:rsidRPr="00A75C11" w:rsidRDefault="00BE1118">
            <w:pPr>
              <w:jc w:val="both"/>
            </w:pPr>
            <w:r w:rsidRPr="00A75C11">
              <w:t>CO</w:t>
            </w:r>
            <w:r w:rsidRPr="00A75C11">
              <w:rPr>
                <w:vertAlign w:val="subscript"/>
              </w:rPr>
              <w:t>2</w:t>
            </w:r>
          </w:p>
        </w:tc>
        <w:tc>
          <w:tcPr>
            <w:tcW w:w="6930" w:type="dxa"/>
            <w:tcBorders>
              <w:top w:val="single" w:sz="4" w:space="0" w:color="auto"/>
              <w:left w:val="single" w:sz="4" w:space="0" w:color="auto"/>
              <w:bottom w:val="single" w:sz="4" w:space="0" w:color="auto"/>
              <w:right w:val="single" w:sz="4" w:space="0" w:color="auto"/>
            </w:tcBorders>
            <w:hideMark/>
          </w:tcPr>
          <w:p w14:paraId="6FCA700E" w14:textId="77777777" w:rsidR="00BE1118" w:rsidRPr="00A75C11" w:rsidRDefault="00BE1118">
            <w:pPr>
              <w:keepNext/>
              <w:jc w:val="both"/>
              <w:outlineLvl w:val="1"/>
            </w:pPr>
            <w:r w:rsidRPr="00A75C11">
              <w:t>Carbon Dioxide</w:t>
            </w:r>
          </w:p>
        </w:tc>
      </w:tr>
      <w:tr w:rsidR="00A75C11" w:rsidRPr="00A75C11" w14:paraId="183BC389"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77E62DE3" w14:textId="77777777" w:rsidR="00BE1118" w:rsidRPr="00A75C11" w:rsidRDefault="00BE1118">
            <w:pPr>
              <w:jc w:val="both"/>
            </w:pPr>
            <w:r w:rsidRPr="00A75C11">
              <w:lastRenderedPageBreak/>
              <w:t>CPUC</w:t>
            </w:r>
          </w:p>
        </w:tc>
        <w:tc>
          <w:tcPr>
            <w:tcW w:w="6930" w:type="dxa"/>
            <w:tcBorders>
              <w:top w:val="single" w:sz="4" w:space="0" w:color="auto"/>
              <w:left w:val="single" w:sz="4" w:space="0" w:color="auto"/>
              <w:bottom w:val="single" w:sz="4" w:space="0" w:color="auto"/>
              <w:right w:val="single" w:sz="4" w:space="0" w:color="auto"/>
            </w:tcBorders>
            <w:hideMark/>
          </w:tcPr>
          <w:p w14:paraId="547B4610" w14:textId="77777777" w:rsidR="00BE1118" w:rsidRPr="00A75C11" w:rsidRDefault="00BE1118">
            <w:pPr>
              <w:keepNext/>
              <w:jc w:val="both"/>
              <w:outlineLvl w:val="1"/>
            </w:pPr>
            <w:r w:rsidRPr="00A75C11">
              <w:t xml:space="preserve">California Public Utilities Commission </w:t>
            </w:r>
          </w:p>
        </w:tc>
      </w:tr>
      <w:tr w:rsidR="00A75C11" w:rsidRPr="00A75C11" w14:paraId="52C61765" w14:textId="77777777" w:rsidTr="1C2E5F12">
        <w:tc>
          <w:tcPr>
            <w:tcW w:w="2430" w:type="dxa"/>
          </w:tcPr>
          <w:p w14:paraId="2596B177" w14:textId="77777777" w:rsidR="003F6147" w:rsidRPr="00A75C11" w:rsidRDefault="003F6147" w:rsidP="003F6147">
            <w:pPr>
              <w:jc w:val="both"/>
            </w:pPr>
            <w:r w:rsidRPr="00A75C11">
              <w:t>Days</w:t>
            </w:r>
          </w:p>
        </w:tc>
        <w:tc>
          <w:tcPr>
            <w:tcW w:w="6930" w:type="dxa"/>
          </w:tcPr>
          <w:p w14:paraId="2122E55E" w14:textId="77777777" w:rsidR="003F6147" w:rsidRPr="00A75C11" w:rsidRDefault="003F6147" w:rsidP="00861F15">
            <w:pPr>
              <w:jc w:val="both"/>
              <w:rPr>
                <w:i/>
              </w:rPr>
            </w:pPr>
            <w:r w:rsidRPr="00A75C11">
              <w:rPr>
                <w:i/>
              </w:rPr>
              <w:t>Days refers to calendar days</w:t>
            </w:r>
            <w:r w:rsidR="00861F15" w:rsidRPr="00A75C11">
              <w:rPr>
                <w:i/>
              </w:rPr>
              <w:t>.</w:t>
            </w:r>
          </w:p>
        </w:tc>
      </w:tr>
      <w:tr w:rsidR="003F6147" w:rsidRPr="003F6147" w14:paraId="710F5904" w14:textId="77777777" w:rsidTr="1C2E5F12">
        <w:tc>
          <w:tcPr>
            <w:tcW w:w="2430" w:type="dxa"/>
          </w:tcPr>
          <w:p w14:paraId="147C6C24" w14:textId="77777777" w:rsidR="003F6147" w:rsidRPr="003F6147" w:rsidRDefault="003F6147" w:rsidP="003F6147">
            <w:pPr>
              <w:jc w:val="both"/>
            </w:pPr>
            <w:r w:rsidRPr="003F6147">
              <w:t>Disadvantaged Community</w:t>
            </w:r>
          </w:p>
        </w:tc>
        <w:tc>
          <w:tcPr>
            <w:tcW w:w="6930" w:type="dxa"/>
          </w:tcPr>
          <w:p w14:paraId="7545CBC5" w14:textId="77777777" w:rsidR="00E562C8" w:rsidRPr="00E562C8" w:rsidRDefault="00E562C8" w:rsidP="00E562C8">
            <w:pPr>
              <w:jc w:val="both"/>
              <w:rPr>
                <w:b/>
                <w:bCs/>
                <w:u w:val="single"/>
              </w:rPr>
            </w:pPr>
            <w:r w:rsidRPr="00E562C8">
              <w:rPr>
                <w:b/>
                <w:bCs/>
                <w:u w:val="single"/>
              </w:rPr>
              <w:t xml:space="preserve">These are communities that represent the 25% highest scoring census tracts in CalEnviroScreen 4.0, census tracts previously identified in the top 25% in CalEnviroScreen 3.0, census tracts with high amounts of pollution and low populations, and federally recognized tribal areas as identified by the Census in the 2021 American Indian Areas Related National Geodatabase. </w:t>
            </w:r>
          </w:p>
          <w:p w14:paraId="4736B0C2" w14:textId="11A729CC" w:rsidR="00E562C8" w:rsidRPr="00E562C8" w:rsidRDefault="00E562C8" w:rsidP="00E562C8">
            <w:pPr>
              <w:spacing w:after="60"/>
              <w:jc w:val="both"/>
              <w:rPr>
                <w:b/>
                <w:bCs/>
                <w:u w:val="single"/>
              </w:rPr>
            </w:pPr>
            <w:r w:rsidRPr="00E562C8">
              <w:rPr>
                <w:b/>
                <w:bCs/>
                <w:u w:val="single"/>
              </w:rPr>
              <w:t>(https://oehha.ca.gov/calenviroscreen/sb535)</w:t>
            </w:r>
          </w:p>
          <w:p w14:paraId="044D4A84" w14:textId="163C3AD8" w:rsidR="003F6147" w:rsidRPr="00E562C8" w:rsidRDefault="00E562C8" w:rsidP="003F6147">
            <w:pPr>
              <w:spacing w:after="60"/>
              <w:jc w:val="both"/>
              <w:rPr>
                <w:strike/>
              </w:rPr>
            </w:pPr>
            <w:r>
              <w:t>[</w:t>
            </w:r>
            <w:r w:rsidR="003F6147" w:rsidRPr="00E562C8">
              <w:rPr>
                <w:strike/>
              </w:rPr>
              <w:t>These are communities in the top 25% scoring areas from CalEnviroScreen along with other areas with high amounts of pollution and low populations.</w:t>
            </w:r>
          </w:p>
          <w:p w14:paraId="24306E97" w14:textId="6028AA71" w:rsidR="003F6147" w:rsidRPr="003F6147" w:rsidRDefault="003F6147" w:rsidP="003F6147">
            <w:pPr>
              <w:jc w:val="both"/>
            </w:pPr>
            <w:r w:rsidRPr="00E562C8">
              <w:rPr>
                <w:strike/>
              </w:rPr>
              <w:t>(https://oehha.ca.gov/calenviroscreen/report/calenviroscreen-</w:t>
            </w:r>
            <w:r w:rsidR="006F7350" w:rsidRPr="00E562C8">
              <w:rPr>
                <w:strike/>
              </w:rPr>
              <w:t>4</w:t>
            </w:r>
            <w:r w:rsidRPr="00E562C8">
              <w:rPr>
                <w:strike/>
              </w:rPr>
              <w:t>0)</w:t>
            </w:r>
            <w:r w:rsidR="00E562C8">
              <w:t>]</w:t>
            </w:r>
          </w:p>
        </w:tc>
      </w:tr>
      <w:tr w:rsidR="00A8436A" w:rsidRPr="002E6712" w14:paraId="602451DF" w14:textId="77777777" w:rsidTr="1C2E5F12">
        <w:tc>
          <w:tcPr>
            <w:tcW w:w="2430" w:type="dxa"/>
            <w:tcBorders>
              <w:top w:val="single" w:sz="4" w:space="0" w:color="auto"/>
              <w:left w:val="single" w:sz="4" w:space="0" w:color="auto"/>
              <w:bottom w:val="single" w:sz="4" w:space="0" w:color="auto"/>
              <w:right w:val="single" w:sz="4" w:space="0" w:color="auto"/>
            </w:tcBorders>
          </w:tcPr>
          <w:p w14:paraId="22CFDF69" w14:textId="4CE5E23B" w:rsidR="00A8436A" w:rsidRPr="002E6712" w:rsidRDefault="00A8436A" w:rsidP="00A8436A">
            <w:r>
              <w:t xml:space="preserve"> G</w:t>
            </w:r>
            <w:r w:rsidR="00C23BAD">
              <w:t>as</w:t>
            </w:r>
            <w:r>
              <w:t xml:space="preserve"> </w:t>
            </w:r>
            <w:r w:rsidRPr="002E6712">
              <w:t>IOU</w:t>
            </w:r>
          </w:p>
        </w:tc>
        <w:tc>
          <w:tcPr>
            <w:tcW w:w="6930" w:type="dxa"/>
            <w:tcBorders>
              <w:top w:val="single" w:sz="4" w:space="0" w:color="auto"/>
              <w:left w:val="single" w:sz="4" w:space="0" w:color="auto"/>
              <w:bottom w:val="single" w:sz="4" w:space="0" w:color="auto"/>
              <w:right w:val="single" w:sz="4" w:space="0" w:color="auto"/>
            </w:tcBorders>
          </w:tcPr>
          <w:p w14:paraId="1BBA964A" w14:textId="2A24CFC5" w:rsidR="00A8436A" w:rsidRPr="00A8436A" w:rsidRDefault="00A8436A" w:rsidP="00A8436A">
            <w:pPr>
              <w:shd w:val="clear" w:color="auto" w:fill="FFFFFF"/>
              <w:spacing w:after="60"/>
              <w:jc w:val="both"/>
              <w:textAlignment w:val="baseline"/>
              <w:rPr>
                <w:i/>
              </w:rPr>
            </w:pPr>
            <w:r>
              <w:rPr>
                <w:i/>
              </w:rPr>
              <w:t xml:space="preserve">Gas </w:t>
            </w:r>
            <w:r w:rsidRPr="002E6712">
              <w:rPr>
                <w:i/>
              </w:rPr>
              <w:t>Investor-owned utility,</w:t>
            </w:r>
            <w:r w:rsidRPr="00A8436A">
              <w:rPr>
                <w:i/>
              </w:rPr>
              <w:t xml:space="preserve"> </w:t>
            </w:r>
            <w:r w:rsidRPr="00A8436A">
              <w:t>including Pacific Gas and Electric Co., San Diego Gas and Electric Co., and Southern California Gas Co.</w:t>
            </w:r>
          </w:p>
        </w:tc>
      </w:tr>
      <w:tr w:rsidR="00A75C11" w:rsidRPr="00A75C11" w14:paraId="534D72A3"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4F32A819" w14:textId="77777777" w:rsidR="00BE1118" w:rsidRPr="00A75C11" w:rsidRDefault="00BE1118">
            <w:r w:rsidRPr="00A75C11">
              <w:t>GHG</w:t>
            </w:r>
          </w:p>
        </w:tc>
        <w:tc>
          <w:tcPr>
            <w:tcW w:w="6930" w:type="dxa"/>
            <w:tcBorders>
              <w:top w:val="single" w:sz="4" w:space="0" w:color="auto"/>
              <w:left w:val="single" w:sz="4" w:space="0" w:color="auto"/>
              <w:bottom w:val="single" w:sz="4" w:space="0" w:color="auto"/>
              <w:right w:val="single" w:sz="4" w:space="0" w:color="auto"/>
            </w:tcBorders>
            <w:hideMark/>
          </w:tcPr>
          <w:p w14:paraId="65679F0C" w14:textId="77777777" w:rsidR="00BE1118" w:rsidRPr="00A75C11" w:rsidRDefault="00BE1118">
            <w:pPr>
              <w:shd w:val="clear" w:color="auto" w:fill="FFFFFF"/>
              <w:spacing w:after="60"/>
              <w:jc w:val="both"/>
              <w:textAlignment w:val="baseline"/>
              <w:rPr>
                <w:iCs/>
              </w:rPr>
            </w:pPr>
            <w:r w:rsidRPr="00A75C11">
              <w:rPr>
                <w:iCs/>
              </w:rPr>
              <w:t>Greenhouse gas</w:t>
            </w:r>
          </w:p>
        </w:tc>
      </w:tr>
      <w:tr w:rsidR="00A75C11" w:rsidRPr="00A75C11" w14:paraId="29789B26"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5D33CAE7" w14:textId="77777777" w:rsidR="00BE1118" w:rsidRPr="00A75C11" w:rsidRDefault="00BE1118">
            <w:r w:rsidRPr="00A75C11">
              <w:t>H</w:t>
            </w:r>
            <w:r w:rsidRPr="00A75C11">
              <w:rPr>
                <w:vertAlign w:val="subscript"/>
              </w:rPr>
              <w:t>2</w:t>
            </w:r>
          </w:p>
        </w:tc>
        <w:tc>
          <w:tcPr>
            <w:tcW w:w="6930" w:type="dxa"/>
            <w:tcBorders>
              <w:top w:val="single" w:sz="4" w:space="0" w:color="auto"/>
              <w:left w:val="single" w:sz="4" w:space="0" w:color="auto"/>
              <w:bottom w:val="single" w:sz="4" w:space="0" w:color="auto"/>
              <w:right w:val="single" w:sz="4" w:space="0" w:color="auto"/>
            </w:tcBorders>
            <w:hideMark/>
          </w:tcPr>
          <w:p w14:paraId="26FBEB24" w14:textId="77777777" w:rsidR="00BE1118" w:rsidRPr="00A75C11" w:rsidRDefault="00BE1118">
            <w:pPr>
              <w:shd w:val="clear" w:color="auto" w:fill="FFFFFF"/>
              <w:spacing w:after="60"/>
              <w:jc w:val="both"/>
              <w:textAlignment w:val="baseline"/>
              <w:rPr>
                <w:iCs/>
              </w:rPr>
            </w:pPr>
            <w:r w:rsidRPr="00A75C11">
              <w:rPr>
                <w:iCs/>
              </w:rPr>
              <w:t>Hydrogen</w:t>
            </w:r>
          </w:p>
        </w:tc>
      </w:tr>
      <w:tr w:rsidR="00A75C11" w:rsidRPr="00A75C11" w14:paraId="58682EA9" w14:textId="77777777" w:rsidTr="1C2E5F12">
        <w:tc>
          <w:tcPr>
            <w:tcW w:w="2430" w:type="dxa"/>
            <w:tcBorders>
              <w:top w:val="single" w:sz="4" w:space="0" w:color="auto"/>
              <w:left w:val="single" w:sz="4" w:space="0" w:color="auto"/>
              <w:bottom w:val="single" w:sz="4" w:space="0" w:color="auto"/>
              <w:right w:val="single" w:sz="4" w:space="0" w:color="auto"/>
            </w:tcBorders>
          </w:tcPr>
          <w:p w14:paraId="1AB8D23F" w14:textId="2A40A09F" w:rsidR="00E24FAD" w:rsidRPr="00A75C11" w:rsidRDefault="00E24FAD" w:rsidP="00B3632E">
            <w:r w:rsidRPr="00A75C11">
              <w:t>Low</w:t>
            </w:r>
            <w:r w:rsidR="008A45A1">
              <w:rPr>
                <w:b/>
                <w:bCs/>
                <w:u w:val="single"/>
              </w:rPr>
              <w:t>-</w:t>
            </w:r>
            <w:r w:rsidRPr="00A75C11">
              <w:t>Income Community</w:t>
            </w:r>
          </w:p>
        </w:tc>
        <w:tc>
          <w:tcPr>
            <w:tcW w:w="6930" w:type="dxa"/>
            <w:tcBorders>
              <w:top w:val="single" w:sz="4" w:space="0" w:color="auto"/>
              <w:left w:val="single" w:sz="4" w:space="0" w:color="auto"/>
              <w:bottom w:val="single" w:sz="4" w:space="0" w:color="auto"/>
              <w:right w:val="single" w:sz="4" w:space="0" w:color="auto"/>
            </w:tcBorders>
          </w:tcPr>
          <w:p w14:paraId="2B6FE141" w14:textId="77777777" w:rsidR="008A45A1" w:rsidRDefault="008A45A1" w:rsidP="008A45A1">
            <w:pPr>
              <w:shd w:val="clear" w:color="auto" w:fill="FFFFFF" w:themeFill="background1"/>
              <w:spacing w:after="60"/>
              <w:textAlignment w:val="baseline"/>
            </w:pPr>
            <w:r w:rsidRPr="1C2E5F12">
              <w:rPr>
                <w:i/>
                <w:iCs/>
              </w:rPr>
              <w:t>Low-income Communities</w:t>
            </w:r>
            <w:r>
              <w:t xml:space="preserve"> are defined as communities within census tracts with median household incomes at or below 80 percent of the statewide median income or [</w:t>
            </w:r>
            <w:r w:rsidRPr="1C2E5F12">
              <w:rPr>
                <w:strike/>
              </w:rPr>
              <w:t>the applicable low-income threshold listed in the state income limits updated</w:t>
            </w:r>
            <w:r>
              <w:t>]</w:t>
            </w:r>
            <w:r w:rsidRPr="1C2E5F12">
              <w:rPr>
                <w:b/>
                <w:bCs/>
                <w:u w:val="single"/>
              </w:rPr>
              <w:t xml:space="preserve">at or below the threshold designated as low-income </w:t>
            </w:r>
            <w:r>
              <w:t>by the</w:t>
            </w:r>
            <w:r w:rsidRPr="1C2E5F12">
              <w:rPr>
                <w:b/>
                <w:bCs/>
              </w:rPr>
              <w:t xml:space="preserve"> </w:t>
            </w:r>
            <w:r w:rsidRPr="1C2E5F12">
              <w:rPr>
                <w:b/>
                <w:bCs/>
                <w:u w:val="single"/>
              </w:rPr>
              <w:t>California</w:t>
            </w:r>
            <w:r>
              <w:t xml:space="preserve"> Department of Housing and Community Development. </w:t>
            </w:r>
          </w:p>
          <w:p w14:paraId="3F667375" w14:textId="2C0112F7" w:rsidR="00E24FAD" w:rsidRPr="00A75C11" w:rsidRDefault="008A45A1" w:rsidP="00B3632E">
            <w:pPr>
              <w:shd w:val="clear" w:color="auto" w:fill="FFFFFF"/>
              <w:spacing w:after="60"/>
              <w:jc w:val="both"/>
              <w:textAlignment w:val="baseline"/>
              <w:rPr>
                <w:i/>
              </w:rPr>
            </w:pPr>
            <w:r>
              <w:t>(</w:t>
            </w:r>
            <w:hyperlink r:id="rId16" w:history="1">
              <w:r>
                <w:rPr>
                  <w:rStyle w:val="Hyperlink"/>
                  <w:b/>
                  <w:bCs/>
                  <w:szCs w:val="22"/>
                  <w:shd w:val="clear" w:color="auto" w:fill="E8EBFA"/>
                </w:rPr>
                <w:t>https://www.hcd.ca.gov/grants-and-funding/income-limits/state-and-federal-income-rent-and-loan-value-limits</w:t>
              </w:r>
            </w:hyperlink>
            <w:r>
              <w:rPr>
                <w:b/>
                <w:bCs/>
                <w:szCs w:val="22"/>
                <w:u w:val="single"/>
              </w:rPr>
              <w:t xml:space="preserve">)  </w:t>
            </w:r>
            <w:r>
              <w:t>[</w:t>
            </w:r>
            <w:r>
              <w:rPr>
                <w:strike/>
              </w:rPr>
              <w:t>https://www.hcd.ca.gov/grants-funding/income-limits/state-and-federal-income-limits.shtml)</w:t>
            </w:r>
            <w:r>
              <w:t>]</w:t>
            </w:r>
            <w:r w:rsidR="00E24FAD" w:rsidRPr="00A75C11">
              <w:rPr>
                <w:i/>
              </w:rPr>
              <w:t xml:space="preserve"> </w:t>
            </w:r>
          </w:p>
        </w:tc>
      </w:tr>
      <w:tr w:rsidR="00A75C11" w:rsidRPr="00A75C11" w14:paraId="36EE849E" w14:textId="77777777" w:rsidTr="1C2E5F12">
        <w:tc>
          <w:tcPr>
            <w:tcW w:w="2430" w:type="dxa"/>
          </w:tcPr>
          <w:p w14:paraId="0DCA0F8E" w14:textId="77777777" w:rsidR="003F6147" w:rsidRPr="00A75C11" w:rsidRDefault="003F6147" w:rsidP="003F6147">
            <w:pPr>
              <w:jc w:val="both"/>
            </w:pPr>
            <w:r w:rsidRPr="00A75C11">
              <w:t>NOPA</w:t>
            </w:r>
          </w:p>
        </w:tc>
        <w:tc>
          <w:tcPr>
            <w:tcW w:w="6930" w:type="dxa"/>
          </w:tcPr>
          <w:p w14:paraId="1BC385BE" w14:textId="77777777" w:rsidR="003F6147" w:rsidRPr="00A75C11" w:rsidRDefault="003F6147" w:rsidP="003F6147">
            <w:pPr>
              <w:jc w:val="both"/>
            </w:pPr>
            <w:r w:rsidRPr="00A75C11">
              <w:rPr>
                <w:i/>
              </w:rPr>
              <w:t>Notice of Proposed Award,</w:t>
            </w:r>
            <w:r w:rsidRPr="00A75C11">
              <w:t xml:space="preserve"> a public notice by the CEC that identifies award recipients</w:t>
            </w:r>
            <w:r w:rsidR="00861F15" w:rsidRPr="00A75C11">
              <w:t>.</w:t>
            </w:r>
          </w:p>
        </w:tc>
      </w:tr>
      <w:tr w:rsidR="00A75C11" w:rsidRPr="00A75C11" w14:paraId="4295B857" w14:textId="77777777" w:rsidTr="1C2E5F12">
        <w:tblPrEx>
          <w:tblLook w:val="04A0" w:firstRow="1" w:lastRow="0" w:firstColumn="1" w:lastColumn="0" w:noHBand="0" w:noVBand="1"/>
        </w:tblPrEx>
        <w:tc>
          <w:tcPr>
            <w:tcW w:w="2430" w:type="dxa"/>
            <w:tcBorders>
              <w:top w:val="single" w:sz="4" w:space="0" w:color="auto"/>
              <w:left w:val="single" w:sz="4" w:space="0" w:color="auto"/>
              <w:bottom w:val="single" w:sz="4" w:space="0" w:color="auto"/>
              <w:right w:val="single" w:sz="4" w:space="0" w:color="auto"/>
            </w:tcBorders>
            <w:hideMark/>
          </w:tcPr>
          <w:p w14:paraId="2A66B070" w14:textId="77777777" w:rsidR="00BE1118" w:rsidRPr="00A75C11" w:rsidRDefault="00BE1118">
            <w:pPr>
              <w:jc w:val="both"/>
            </w:pPr>
            <w:r w:rsidRPr="00A75C11">
              <w:t>NOx</w:t>
            </w:r>
          </w:p>
        </w:tc>
        <w:tc>
          <w:tcPr>
            <w:tcW w:w="6930" w:type="dxa"/>
            <w:tcBorders>
              <w:top w:val="single" w:sz="4" w:space="0" w:color="auto"/>
              <w:left w:val="single" w:sz="4" w:space="0" w:color="auto"/>
              <w:bottom w:val="single" w:sz="4" w:space="0" w:color="auto"/>
              <w:right w:val="single" w:sz="4" w:space="0" w:color="auto"/>
            </w:tcBorders>
            <w:hideMark/>
          </w:tcPr>
          <w:p w14:paraId="408B7F0C" w14:textId="77777777" w:rsidR="00BE1118" w:rsidRPr="00A75C11" w:rsidRDefault="00BE1118">
            <w:pPr>
              <w:jc w:val="both"/>
              <w:rPr>
                <w:iCs/>
              </w:rPr>
            </w:pPr>
            <w:r w:rsidRPr="00A75C11">
              <w:rPr>
                <w:i/>
              </w:rPr>
              <w:t xml:space="preserve">Oxides of Nitrogen, </w:t>
            </w:r>
            <w:r w:rsidRPr="00A75C11">
              <w:rPr>
                <w:iCs/>
              </w:rPr>
              <w:t>a general term pertaining to compounds of nitric oxide (NO), nitrogen dioxide (NO</w:t>
            </w:r>
            <w:r w:rsidRPr="00A75C11">
              <w:rPr>
                <w:iCs/>
                <w:vertAlign w:val="subscript"/>
              </w:rPr>
              <w:t>2</w:t>
            </w:r>
            <w:r w:rsidRPr="00A75C11">
              <w:rPr>
                <w:iCs/>
              </w:rPr>
              <w:t>) and other oxides of nitrogen.</w:t>
            </w:r>
          </w:p>
        </w:tc>
      </w:tr>
      <w:tr w:rsidR="003F6147" w:rsidRPr="003F6147" w14:paraId="64B3725C" w14:textId="77777777" w:rsidTr="1C2E5F12">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1C2E5F12">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6E282A0E" w:rsidR="003F6147" w:rsidRPr="003F6147" w:rsidRDefault="003F6147" w:rsidP="7C5D796E">
            <w:pPr>
              <w:spacing w:before="100" w:beforeAutospacing="1" w:after="100" w:afterAutospacing="1"/>
            </w:pPr>
            <w:r w:rsidRPr="7C5D796E">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r w:rsidR="7D6A6709">
              <w:t>.</w:t>
            </w:r>
          </w:p>
        </w:tc>
      </w:tr>
      <w:tr w:rsidR="003F6147" w:rsidRPr="003F6147" w14:paraId="6E267D56" w14:textId="77777777" w:rsidTr="1C2E5F12">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1C2E5F12">
        <w:tc>
          <w:tcPr>
            <w:tcW w:w="2430" w:type="dxa"/>
          </w:tcPr>
          <w:p w14:paraId="55A34BEB" w14:textId="77777777" w:rsidR="003F6147" w:rsidRPr="003F6147" w:rsidRDefault="003F6147" w:rsidP="003F6147">
            <w:pPr>
              <w:jc w:val="both"/>
            </w:pPr>
            <w:r w:rsidRPr="003F6147">
              <w:lastRenderedPageBreak/>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1C2E5F12">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1C2E5F12">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1C2E5F12">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232E31C4" w:rsidR="003F6147" w:rsidRPr="003F6147" w:rsidRDefault="003F6147" w:rsidP="003F6147">
            <w:pPr>
              <w:jc w:val="both"/>
            </w:pPr>
            <w:r>
              <w:t>This entire document, including all attachments, exhibits, any addendum and written notices, and questions and answers (“solicitation” may be used interchangeably with “Grant Funding Opportunity”)</w:t>
            </w:r>
            <w:r w:rsidR="00861F15">
              <w:t>.</w:t>
            </w:r>
            <w:r>
              <w:t xml:space="preserve"> </w:t>
            </w:r>
          </w:p>
        </w:tc>
      </w:tr>
      <w:tr w:rsidR="003F6147" w:rsidRPr="003F6147" w14:paraId="277930E9" w14:textId="77777777" w:rsidTr="1C2E5F12">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1C2E5F12">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r w:rsidRPr="007076F1">
              <w:rPr>
                <w:szCs w:val="22"/>
              </w:rPr>
              <w:t>Technology readiness levels,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7" w:history="1">
              <w:r w:rsidRPr="007076F1">
                <w:rPr>
                  <w:rStyle w:val="Hyperlink"/>
                  <w:rFonts w:cs="Arial"/>
                  <w:color w:val="auto"/>
                  <w:szCs w:val="22"/>
                </w:rPr>
                <w:t>https://www2.lbl.gov/dir/assets/docs/TRL%20guide.pdf</w:t>
              </w:r>
            </w:hyperlink>
          </w:p>
        </w:tc>
      </w:tr>
    </w:tbl>
    <w:p w14:paraId="5FDD8AB6" w14:textId="77777777" w:rsidR="003F6147" w:rsidRPr="003F6147" w:rsidRDefault="003F6147" w:rsidP="002711F4"/>
    <w:p w14:paraId="511F530A" w14:textId="77777777" w:rsidR="003F6147" w:rsidRPr="00756BAC" w:rsidRDefault="003F6147">
      <w:pPr>
        <w:pStyle w:val="Heading2"/>
        <w:numPr>
          <w:ilvl w:val="0"/>
          <w:numId w:val="45"/>
        </w:numPr>
      </w:pPr>
      <w:bookmarkStart w:id="28" w:name="_Project_Focus"/>
      <w:bookmarkStart w:id="29" w:name="_Toc81377100"/>
      <w:bookmarkStart w:id="30" w:name="_Toc86152239"/>
      <w:bookmarkStart w:id="31" w:name="_Toc458602324"/>
      <w:bookmarkEnd w:id="28"/>
      <w:r w:rsidRPr="00756BAC">
        <w:t>Project Focus</w:t>
      </w:r>
      <w:bookmarkEnd w:id="29"/>
      <w:bookmarkEnd w:id="30"/>
    </w:p>
    <w:p w14:paraId="1ED2653D" w14:textId="5245F365" w:rsidR="00BE1118" w:rsidRPr="00A75C11" w:rsidRDefault="00BE1118" w:rsidP="00BE1118">
      <w:pPr>
        <w:jc w:val="both"/>
      </w:pPr>
      <w:r w:rsidRPr="00A75C11">
        <w:t>Projects funded through this solicitation must develop and demonstrate a power generation system with NOx mitigation that can be operated on high percentages of H</w:t>
      </w:r>
      <w:r w:rsidRPr="00A75C11">
        <w:rPr>
          <w:vertAlign w:val="subscript"/>
        </w:rPr>
        <w:t>2</w:t>
      </w:r>
      <w:r w:rsidRPr="00A75C11">
        <w:t xml:space="preserve"> (exceeding 30 percent by volume) blended into the fuel. </w:t>
      </w:r>
    </w:p>
    <w:p w14:paraId="08829FFB" w14:textId="61319E57" w:rsidR="00BE1118" w:rsidRPr="00A75C11" w:rsidRDefault="00BE1118" w:rsidP="00BE1118">
      <w:pPr>
        <w:jc w:val="both"/>
      </w:pPr>
      <w:r>
        <w:t xml:space="preserve">Eligible power generation technologies must be gas-fired </w:t>
      </w:r>
      <w:r w:rsidR="00094552" w:rsidRPr="1C2E5F12">
        <w:rPr>
          <w:b/>
          <w:bCs/>
          <w:u w:val="single"/>
        </w:rPr>
        <w:t xml:space="preserve">systems with prime movers that are generally categorized as internal combustion engines (engines in which fuel reacts with oxidizer, usually air, at high temperature to generate work) </w:t>
      </w:r>
      <w:r>
        <w:t xml:space="preserve">and have a nameplate capacity </w:t>
      </w:r>
      <w:r w:rsidR="003906F5">
        <w:t>[</w:t>
      </w:r>
      <w:r w:rsidRPr="1C2E5F12">
        <w:rPr>
          <w:strike/>
        </w:rPr>
        <w:t>between 0.3</w:t>
      </w:r>
      <w:r w:rsidR="003906F5">
        <w:t>]</w:t>
      </w:r>
      <w:r w:rsidRPr="1C2E5F12">
        <w:rPr>
          <w:b/>
          <w:bCs/>
          <w:u w:val="single"/>
        </w:rPr>
        <w:t xml:space="preserve"> </w:t>
      </w:r>
      <w:r w:rsidR="003906F5" w:rsidRPr="1C2E5F12">
        <w:rPr>
          <w:b/>
          <w:bCs/>
          <w:u w:val="single"/>
        </w:rPr>
        <w:t>less than or equal</w:t>
      </w:r>
      <w:r w:rsidR="003906F5">
        <w:t xml:space="preserve"> </w:t>
      </w:r>
      <w:r>
        <w:t>to 5 MW</w:t>
      </w:r>
      <w:r w:rsidR="00094552" w:rsidRPr="1C2E5F12">
        <w:rPr>
          <w:b/>
          <w:bCs/>
          <w:u w:val="single"/>
        </w:rPr>
        <w:t>. Examples of eligible prime movers include:</w:t>
      </w:r>
      <w:r>
        <w:t xml:space="preserve"> </w:t>
      </w:r>
      <w:r w:rsidR="00094552">
        <w:t>[</w:t>
      </w:r>
      <w:r w:rsidRPr="1C2E5F12">
        <w:rPr>
          <w:strike/>
        </w:rPr>
        <w:t>from the prime mover, which is limited to:</w:t>
      </w:r>
      <w:r w:rsidR="00094552">
        <w:t>]</w:t>
      </w:r>
    </w:p>
    <w:p w14:paraId="16400E9B" w14:textId="70AC29BB" w:rsidR="00BE1118" w:rsidRPr="007372BE" w:rsidRDefault="00BE1118">
      <w:pPr>
        <w:pStyle w:val="ListParagraph"/>
        <w:numPr>
          <w:ilvl w:val="0"/>
          <w:numId w:val="69"/>
        </w:numPr>
        <w:jc w:val="both"/>
      </w:pPr>
      <w:r w:rsidRPr="007372BE">
        <w:t xml:space="preserve">Microturbines, </w:t>
      </w:r>
      <w:r w:rsidR="00094552">
        <w:rPr>
          <w:b/>
          <w:bCs/>
          <w:u w:val="single"/>
        </w:rPr>
        <w:t xml:space="preserve">which are a small-scale form of gas turbines, </w:t>
      </w:r>
      <w:r w:rsidRPr="007372BE">
        <w:t>or</w:t>
      </w:r>
    </w:p>
    <w:p w14:paraId="327D04CC" w14:textId="671A389F" w:rsidR="00BE1118" w:rsidRPr="007372BE" w:rsidRDefault="00094552">
      <w:pPr>
        <w:pStyle w:val="ListParagraph"/>
        <w:numPr>
          <w:ilvl w:val="0"/>
          <w:numId w:val="69"/>
        </w:numPr>
        <w:jc w:val="both"/>
      </w:pPr>
      <w:r>
        <w:t>[</w:t>
      </w:r>
      <w:r w:rsidR="00BE1118" w:rsidRPr="00094552">
        <w:rPr>
          <w:strike/>
        </w:rPr>
        <w:t>Internal</w:t>
      </w:r>
      <w:r>
        <w:t>]</w:t>
      </w:r>
      <w:r w:rsidR="00BE1118" w:rsidRPr="007372BE">
        <w:t xml:space="preserve"> </w:t>
      </w:r>
      <w:r w:rsidRPr="00094552">
        <w:rPr>
          <w:b/>
          <w:bCs/>
          <w:u w:val="single"/>
        </w:rPr>
        <w:t>Reciprocating</w:t>
      </w:r>
      <w:r>
        <w:t xml:space="preserve"> </w:t>
      </w:r>
      <w:r w:rsidR="00BE1118" w:rsidRPr="007372BE">
        <w:t>combustion engines.</w:t>
      </w:r>
    </w:p>
    <w:p w14:paraId="3E8003C0" w14:textId="4A581287" w:rsidR="003030C4" w:rsidRPr="00846EFB" w:rsidRDefault="003030C4" w:rsidP="003906F5">
      <w:pPr>
        <w:jc w:val="both"/>
        <w:rPr>
          <w:b/>
          <w:bCs/>
          <w:u w:val="single"/>
        </w:rPr>
      </w:pPr>
    </w:p>
    <w:p w14:paraId="2322B172" w14:textId="77777777" w:rsidR="00D04F06" w:rsidRDefault="00BE1118" w:rsidP="00BE1118">
      <w:pPr>
        <w:jc w:val="both"/>
      </w:pPr>
      <w:r w:rsidRPr="00A75C11">
        <w:t xml:space="preserve">Innovation and advancement strategies are required to maintain or improve upon the performance, efficiency, and durability of the system when compared to the baseline using the same generation system running on 100 percent fossil gas (or zero percent H2), while remaining in emissions compliance in pursuit of the target metrics identified in </w:t>
      </w:r>
      <w:r w:rsidRPr="00A75C11">
        <w:rPr>
          <w:shd w:val="clear" w:color="auto" w:fill="E6E6E6"/>
        </w:rPr>
        <w:fldChar w:fldCharType="begin"/>
      </w:r>
      <w:r w:rsidRPr="00A75C11">
        <w:instrText xml:space="preserve"> REF _Ref104918187 \h  \* MERGEFORMAT </w:instrText>
      </w:r>
      <w:r w:rsidRPr="00A75C11">
        <w:rPr>
          <w:shd w:val="clear" w:color="auto" w:fill="E6E6E6"/>
        </w:rPr>
      </w:r>
      <w:r w:rsidRPr="00A75C11">
        <w:rPr>
          <w:shd w:val="clear" w:color="auto" w:fill="E6E6E6"/>
        </w:rPr>
        <w:fldChar w:fldCharType="separate"/>
      </w:r>
      <w:r w:rsidRPr="00A75C11">
        <w:t>Table 1</w:t>
      </w:r>
      <w:r w:rsidRPr="00A75C11">
        <w:rPr>
          <w:shd w:val="clear" w:color="auto" w:fill="E6E6E6"/>
        </w:rPr>
        <w:fldChar w:fldCharType="end"/>
      </w:r>
      <w:r w:rsidRPr="00A75C11">
        <w:t xml:space="preserve">. </w:t>
      </w:r>
    </w:p>
    <w:p w14:paraId="012DD5F3" w14:textId="04FE3810" w:rsidR="00BE1118" w:rsidRPr="00A75C11" w:rsidRDefault="00BE1118" w:rsidP="00BE1118">
      <w:pPr>
        <w:jc w:val="both"/>
      </w:pPr>
      <w:r w:rsidRPr="00A75C11">
        <w:t>The proposed demonstrations must meet each of the following minimum technical requirements. Projects exceeding the minimum technical requirements will score higher in accordance with the evaluation criteria.</w:t>
      </w:r>
    </w:p>
    <w:p w14:paraId="56758037" w14:textId="77777777" w:rsidR="00BE1118" w:rsidRPr="00A75C11" w:rsidRDefault="00BE1118" w:rsidP="00BE1118">
      <w:pPr>
        <w:jc w:val="both"/>
      </w:pPr>
    </w:p>
    <w:p w14:paraId="74C49143" w14:textId="77777777" w:rsidR="00BE1118" w:rsidRPr="00A75C11" w:rsidRDefault="00BE1118" w:rsidP="00BE1118">
      <w:pPr>
        <w:jc w:val="both"/>
      </w:pPr>
      <w:r w:rsidRPr="00A75C11">
        <w:t xml:space="preserve">Minimum Technical Requirements: </w:t>
      </w:r>
    </w:p>
    <w:p w14:paraId="3405ABC8" w14:textId="77777777" w:rsidR="00BE1118" w:rsidRPr="00A75C11" w:rsidRDefault="00BE1118">
      <w:pPr>
        <w:pStyle w:val="ListParagraph"/>
        <w:numPr>
          <w:ilvl w:val="0"/>
          <w:numId w:val="57"/>
        </w:numPr>
        <w:jc w:val="both"/>
      </w:pPr>
      <w:r w:rsidRPr="00A75C11">
        <w:t xml:space="preserve">Demonstrate emissions mitigation for GHG and NOx using a combination of mitigation techniques either before combustion using pre-intake strategies, during combustion using </w:t>
      </w:r>
      <w:r w:rsidRPr="00A75C11">
        <w:lastRenderedPageBreak/>
        <w:t xml:space="preserve">combustor control strategies, after combustion using emissions-mitigation technologies, or some combination of these. </w:t>
      </w:r>
    </w:p>
    <w:p w14:paraId="589BD59F" w14:textId="25712B83" w:rsidR="00BE1118" w:rsidRPr="00A75C11" w:rsidRDefault="00BE1118">
      <w:pPr>
        <w:pStyle w:val="ListParagraph"/>
        <w:numPr>
          <w:ilvl w:val="0"/>
          <w:numId w:val="57"/>
        </w:numPr>
        <w:jc w:val="both"/>
      </w:pPr>
      <w:r w:rsidRPr="00A75C11">
        <w:t xml:space="preserve">System emissions must remain compliant with the </w:t>
      </w:r>
      <w:r w:rsidR="00D57518" w:rsidRPr="00510604">
        <w:rPr>
          <w:b/>
          <w:bCs/>
          <w:u w:val="single"/>
        </w:rPr>
        <w:t>applicable</w:t>
      </w:r>
      <w:r w:rsidR="00D57518">
        <w:t xml:space="preserve"> </w:t>
      </w:r>
      <w:r w:rsidRPr="00A75C11">
        <w:t>electric generation emissions standards set by the local air district in which the demonstration is located</w:t>
      </w:r>
      <w:r w:rsidR="00D57518" w:rsidRPr="00510604">
        <w:rPr>
          <w:b/>
          <w:bCs/>
          <w:u w:val="single"/>
        </w:rPr>
        <w:t>, or by the California Air Resources Board (CARB) for technology power sizes that would normally be exempt from the local air district standards</w:t>
      </w:r>
      <w:r w:rsidR="181A8E32" w:rsidRPr="68F2BD07">
        <w:rPr>
          <w:b/>
          <w:bCs/>
          <w:u w:val="single"/>
        </w:rPr>
        <w:t>.</w:t>
      </w:r>
      <w:r w:rsidR="00D57518">
        <w:rPr>
          <w:rStyle w:val="FootnoteReference"/>
          <w:b/>
          <w:bCs/>
          <w:u w:val="single"/>
        </w:rPr>
        <w:footnoteReference w:id="22"/>
      </w:r>
      <w:r w:rsidRPr="00A75C11">
        <w:t xml:space="preserve"> For reference, the </w:t>
      </w:r>
      <w:r w:rsidR="00D57518">
        <w:t>[</w:t>
      </w:r>
      <w:r w:rsidRPr="00510604">
        <w:rPr>
          <w:strike/>
        </w:rPr>
        <w:t>California Air Resources Board (CARB)</w:t>
      </w:r>
      <w:r w:rsidR="1EEC818E" w:rsidRPr="00510604">
        <w:t>]</w:t>
      </w:r>
      <w:r w:rsidR="00D57518">
        <w:t xml:space="preserve"> </w:t>
      </w:r>
      <w:r w:rsidR="00D57518" w:rsidRPr="00510604">
        <w:rPr>
          <w:b/>
          <w:bCs/>
          <w:u w:val="single"/>
        </w:rPr>
        <w:t>CARB</w:t>
      </w:r>
      <w:r w:rsidRPr="00A75C11">
        <w:t xml:space="preserve"> Guidance for the Permitting of Electrical Generation Technologies document may be used. (https://ww2.arb.ca.gov/sites/default/files/2020-08/guidelines.pdf)</w:t>
      </w:r>
    </w:p>
    <w:p w14:paraId="6D5F16EA" w14:textId="2ABF829F" w:rsidR="00BE1118" w:rsidRPr="00A75C11" w:rsidRDefault="6511C5F0">
      <w:pPr>
        <w:pStyle w:val="ListParagraph"/>
        <w:numPr>
          <w:ilvl w:val="0"/>
          <w:numId w:val="57"/>
        </w:numPr>
        <w:jc w:val="both"/>
      </w:pPr>
      <w:r>
        <w:t xml:space="preserve">Demonstrate the system for a minimum of 500 cumulative hours of testing using the blended fuel. The hours start accruing after the unit has reached stable operation. The 500 cumulative hours must include at least 300 continuous hours of operation. The testing must also include an analysis of the fuel impact on the capacity factor. </w:t>
      </w:r>
    </w:p>
    <w:p w14:paraId="73FF0D42" w14:textId="77777777" w:rsidR="00BE1118" w:rsidRPr="00A75C11" w:rsidRDefault="00BE1118">
      <w:pPr>
        <w:pStyle w:val="ListParagraph"/>
        <w:numPr>
          <w:ilvl w:val="0"/>
          <w:numId w:val="57"/>
        </w:numPr>
        <w:jc w:val="both"/>
      </w:pPr>
      <w:r w:rsidRPr="00A75C11">
        <w:t xml:space="preserve">Demonstrate an increase in maturity of technology readiness level (TRL) from TRL 4 or 5 at the beginning of the project to TRL 6 or higher at the end of the project to advance the technology to the pilot scale. All projects must end at TRL 6 or higher regardless of TRL start point.  </w:t>
      </w:r>
    </w:p>
    <w:p w14:paraId="008E43D2" w14:textId="77777777" w:rsidR="00BE1118" w:rsidRPr="00A75C11" w:rsidRDefault="00BE1118" w:rsidP="00BE1118">
      <w:pPr>
        <w:ind w:left="360"/>
        <w:jc w:val="both"/>
        <w:rPr>
          <w:b/>
          <w:bCs/>
        </w:rPr>
      </w:pPr>
      <w:bookmarkStart w:id="32" w:name="_Ref104918187"/>
    </w:p>
    <w:p w14:paraId="5C20D9D6" w14:textId="1CB901FF" w:rsidR="00BE1118" w:rsidRPr="00A75C11" w:rsidRDefault="00BE1118" w:rsidP="00BE1118">
      <w:pPr>
        <w:ind w:left="360"/>
        <w:jc w:val="both"/>
        <w:rPr>
          <w:b/>
          <w:bCs/>
        </w:rPr>
      </w:pPr>
      <w:r w:rsidRPr="00A75C11">
        <w:rPr>
          <w:b/>
          <w:bCs/>
        </w:rPr>
        <w:t xml:space="preserve">Table </w:t>
      </w:r>
      <w:r w:rsidRPr="00A75C11">
        <w:fldChar w:fldCharType="begin"/>
      </w:r>
      <w:r w:rsidRPr="00A75C11">
        <w:rPr>
          <w:b/>
          <w:bCs/>
        </w:rPr>
        <w:instrText xml:space="preserve"> SEQ Table \* ARABIC </w:instrText>
      </w:r>
      <w:r w:rsidRPr="00A75C11">
        <w:fldChar w:fldCharType="separate"/>
      </w:r>
      <w:r w:rsidRPr="00A75C11">
        <w:rPr>
          <w:b/>
          <w:bCs/>
        </w:rPr>
        <w:t>1</w:t>
      </w:r>
      <w:r w:rsidRPr="00A75C11">
        <w:fldChar w:fldCharType="end"/>
      </w:r>
      <w:bookmarkEnd w:id="32"/>
      <w:r w:rsidRPr="00A75C11">
        <w:rPr>
          <w:b/>
          <w:bCs/>
        </w:rPr>
        <w:t>. Project Target Metrics</w:t>
      </w:r>
    </w:p>
    <w:tbl>
      <w:tblPr>
        <w:tblW w:w="836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590"/>
      </w:tblGrid>
      <w:tr w:rsidR="00A75C11" w:rsidRPr="00A75C11" w14:paraId="121EC402" w14:textId="77777777" w:rsidTr="00BE1118">
        <w:trPr>
          <w:trHeight w:val="537"/>
        </w:trPr>
        <w:tc>
          <w:tcPr>
            <w:tcW w:w="3775" w:type="dxa"/>
            <w:tcBorders>
              <w:top w:val="single" w:sz="4" w:space="0" w:color="auto"/>
              <w:left w:val="single" w:sz="4" w:space="0" w:color="auto"/>
              <w:bottom w:val="single" w:sz="4" w:space="0" w:color="auto"/>
              <w:right w:val="single" w:sz="4" w:space="0" w:color="auto"/>
            </w:tcBorders>
            <w:hideMark/>
          </w:tcPr>
          <w:p w14:paraId="7351D170" w14:textId="77777777" w:rsidR="00BE1118" w:rsidRPr="00A75C11" w:rsidRDefault="00BE1118">
            <w:pPr>
              <w:spacing w:after="0"/>
              <w:jc w:val="both"/>
              <w:rPr>
                <w:b/>
                <w:bCs/>
              </w:rPr>
            </w:pPr>
            <w:r w:rsidRPr="00A75C11">
              <w:rPr>
                <w:b/>
                <w:bCs/>
              </w:rPr>
              <w:t xml:space="preserve">Full System Parameters </w:t>
            </w:r>
          </w:p>
          <w:p w14:paraId="24DCA8B4" w14:textId="77777777" w:rsidR="00BE1118" w:rsidRPr="00A75C11" w:rsidRDefault="00BE1118">
            <w:pPr>
              <w:spacing w:after="0"/>
              <w:jc w:val="both"/>
              <w:rPr>
                <w:b/>
                <w:bCs/>
              </w:rPr>
            </w:pPr>
            <w:r w:rsidRPr="00A75C11">
              <w:t>(Generation with NOx mitigation)</w:t>
            </w:r>
          </w:p>
        </w:tc>
        <w:tc>
          <w:tcPr>
            <w:tcW w:w="4590" w:type="dxa"/>
            <w:tcBorders>
              <w:top w:val="single" w:sz="4" w:space="0" w:color="auto"/>
              <w:left w:val="single" w:sz="4" w:space="0" w:color="auto"/>
              <w:bottom w:val="single" w:sz="4" w:space="0" w:color="auto"/>
              <w:right w:val="single" w:sz="4" w:space="0" w:color="auto"/>
            </w:tcBorders>
            <w:hideMark/>
          </w:tcPr>
          <w:p w14:paraId="4040D456" w14:textId="77777777" w:rsidR="00BE1118" w:rsidRPr="00A75C11" w:rsidRDefault="00BE1118">
            <w:pPr>
              <w:spacing w:after="0"/>
              <w:jc w:val="both"/>
              <w:rPr>
                <w:b/>
                <w:bCs/>
              </w:rPr>
            </w:pPr>
            <w:r w:rsidRPr="00A75C11">
              <w:rPr>
                <w:b/>
                <w:bCs/>
              </w:rPr>
              <w:t>Target</w:t>
            </w:r>
          </w:p>
        </w:tc>
      </w:tr>
      <w:tr w:rsidR="00A75C11" w:rsidRPr="00A75C11" w14:paraId="588EA0EB" w14:textId="77777777" w:rsidTr="00BE1118">
        <w:trPr>
          <w:trHeight w:val="537"/>
        </w:trPr>
        <w:tc>
          <w:tcPr>
            <w:tcW w:w="3775" w:type="dxa"/>
            <w:tcBorders>
              <w:top w:val="single" w:sz="4" w:space="0" w:color="auto"/>
              <w:left w:val="single" w:sz="4" w:space="0" w:color="auto"/>
              <w:bottom w:val="single" w:sz="4" w:space="0" w:color="auto"/>
              <w:right w:val="single" w:sz="4" w:space="0" w:color="auto"/>
            </w:tcBorders>
            <w:hideMark/>
          </w:tcPr>
          <w:p w14:paraId="41522F42" w14:textId="77777777" w:rsidR="00BE1118" w:rsidRPr="00A75C11" w:rsidRDefault="00BE1118">
            <w:pPr>
              <w:spacing w:after="0"/>
              <w:jc w:val="both"/>
            </w:pPr>
            <w:r w:rsidRPr="00A75C11">
              <w:t>Hydrogen blend percentage</w:t>
            </w:r>
          </w:p>
        </w:tc>
        <w:tc>
          <w:tcPr>
            <w:tcW w:w="4590" w:type="dxa"/>
            <w:tcBorders>
              <w:top w:val="single" w:sz="4" w:space="0" w:color="auto"/>
              <w:left w:val="single" w:sz="4" w:space="0" w:color="auto"/>
              <w:bottom w:val="single" w:sz="4" w:space="0" w:color="auto"/>
              <w:right w:val="single" w:sz="4" w:space="0" w:color="auto"/>
            </w:tcBorders>
            <w:hideMark/>
          </w:tcPr>
          <w:p w14:paraId="08EBC91A" w14:textId="77777777" w:rsidR="00BE1118" w:rsidRPr="00A75C11" w:rsidRDefault="00BE1118">
            <w:pPr>
              <w:spacing w:after="0"/>
              <w:jc w:val="both"/>
            </w:pPr>
            <w:r w:rsidRPr="00A75C11">
              <w:t xml:space="preserve">Exceeding 30% by volume </w:t>
            </w:r>
          </w:p>
        </w:tc>
      </w:tr>
      <w:tr w:rsidR="00A75C11" w:rsidRPr="00A75C11" w14:paraId="39C73965" w14:textId="77777777" w:rsidTr="00BE1118">
        <w:trPr>
          <w:trHeight w:val="537"/>
        </w:trPr>
        <w:tc>
          <w:tcPr>
            <w:tcW w:w="3775" w:type="dxa"/>
            <w:tcBorders>
              <w:top w:val="single" w:sz="4" w:space="0" w:color="auto"/>
              <w:left w:val="single" w:sz="4" w:space="0" w:color="auto"/>
              <w:bottom w:val="single" w:sz="4" w:space="0" w:color="auto"/>
              <w:right w:val="single" w:sz="4" w:space="0" w:color="auto"/>
            </w:tcBorders>
            <w:hideMark/>
          </w:tcPr>
          <w:p w14:paraId="72C0333B" w14:textId="77777777" w:rsidR="00BE1118" w:rsidRPr="00A75C11" w:rsidRDefault="00BE1118">
            <w:pPr>
              <w:spacing w:after="0"/>
              <w:jc w:val="both"/>
            </w:pPr>
            <w:r w:rsidRPr="00A75C11">
              <w:t>Electric Generation Efficiency</w:t>
            </w:r>
          </w:p>
        </w:tc>
        <w:tc>
          <w:tcPr>
            <w:tcW w:w="4590" w:type="dxa"/>
            <w:tcBorders>
              <w:top w:val="single" w:sz="4" w:space="0" w:color="auto"/>
              <w:left w:val="single" w:sz="4" w:space="0" w:color="auto"/>
              <w:bottom w:val="single" w:sz="4" w:space="0" w:color="auto"/>
              <w:right w:val="single" w:sz="4" w:space="0" w:color="auto"/>
            </w:tcBorders>
            <w:hideMark/>
          </w:tcPr>
          <w:p w14:paraId="527A52CC" w14:textId="77777777" w:rsidR="00BE1118" w:rsidRPr="00A75C11" w:rsidRDefault="00BE1118">
            <w:pPr>
              <w:spacing w:after="0"/>
              <w:jc w:val="both"/>
            </w:pPr>
            <w:r w:rsidRPr="00A75C11">
              <w:t>Parity or better with baseline at 0% H</w:t>
            </w:r>
            <w:r w:rsidRPr="00A75C11">
              <w:rPr>
                <w:vertAlign w:val="subscript"/>
              </w:rPr>
              <w:t>2</w:t>
            </w:r>
            <w:r w:rsidRPr="00A75C11">
              <w:t xml:space="preserve"> blend </w:t>
            </w:r>
          </w:p>
        </w:tc>
      </w:tr>
      <w:tr w:rsidR="00A75C11" w:rsidRPr="00A75C11" w14:paraId="0C368AAD" w14:textId="77777777" w:rsidTr="00BE1118">
        <w:trPr>
          <w:trHeight w:val="537"/>
        </w:trPr>
        <w:tc>
          <w:tcPr>
            <w:tcW w:w="3775" w:type="dxa"/>
            <w:tcBorders>
              <w:top w:val="single" w:sz="4" w:space="0" w:color="auto"/>
              <w:left w:val="single" w:sz="4" w:space="0" w:color="auto"/>
              <w:bottom w:val="single" w:sz="4" w:space="0" w:color="auto"/>
              <w:right w:val="single" w:sz="4" w:space="0" w:color="auto"/>
            </w:tcBorders>
            <w:hideMark/>
          </w:tcPr>
          <w:p w14:paraId="2AF1B700" w14:textId="77777777" w:rsidR="00BE1118" w:rsidRPr="00A75C11" w:rsidRDefault="00BE1118">
            <w:pPr>
              <w:spacing w:after="0"/>
              <w:jc w:val="both"/>
            </w:pPr>
            <w:r w:rsidRPr="00A75C11">
              <w:t>NOx Emissions</w:t>
            </w:r>
          </w:p>
        </w:tc>
        <w:tc>
          <w:tcPr>
            <w:tcW w:w="4590" w:type="dxa"/>
            <w:tcBorders>
              <w:top w:val="single" w:sz="4" w:space="0" w:color="auto"/>
              <w:left w:val="single" w:sz="4" w:space="0" w:color="auto"/>
              <w:bottom w:val="single" w:sz="4" w:space="0" w:color="auto"/>
              <w:right w:val="single" w:sz="4" w:space="0" w:color="auto"/>
            </w:tcBorders>
            <w:hideMark/>
          </w:tcPr>
          <w:p w14:paraId="160656A4" w14:textId="77777777" w:rsidR="00BE1118" w:rsidRPr="00A75C11" w:rsidRDefault="00BE1118">
            <w:pPr>
              <w:spacing w:after="0"/>
              <w:jc w:val="both"/>
            </w:pPr>
            <w:r w:rsidRPr="00A75C11">
              <w:t>Parity or better with baseline at 0% H</w:t>
            </w:r>
            <w:r w:rsidRPr="00A75C11">
              <w:rPr>
                <w:vertAlign w:val="subscript"/>
              </w:rPr>
              <w:t>2</w:t>
            </w:r>
            <w:r w:rsidRPr="00A75C11">
              <w:t xml:space="preserve"> blend </w:t>
            </w:r>
          </w:p>
        </w:tc>
      </w:tr>
      <w:tr w:rsidR="00A75C11" w:rsidRPr="00A75C11" w14:paraId="75164414" w14:textId="77777777" w:rsidTr="00BE1118">
        <w:trPr>
          <w:trHeight w:val="537"/>
        </w:trPr>
        <w:tc>
          <w:tcPr>
            <w:tcW w:w="3775" w:type="dxa"/>
            <w:tcBorders>
              <w:top w:val="single" w:sz="4" w:space="0" w:color="auto"/>
              <w:left w:val="single" w:sz="4" w:space="0" w:color="auto"/>
              <w:bottom w:val="single" w:sz="4" w:space="0" w:color="auto"/>
              <w:right w:val="single" w:sz="4" w:space="0" w:color="auto"/>
            </w:tcBorders>
            <w:hideMark/>
          </w:tcPr>
          <w:p w14:paraId="2372D20F" w14:textId="77777777" w:rsidR="00BE1118" w:rsidRPr="00A75C11" w:rsidRDefault="00BE1118">
            <w:pPr>
              <w:spacing w:after="0"/>
              <w:jc w:val="both"/>
            </w:pPr>
            <w:r w:rsidRPr="00A75C11">
              <w:t>CO Emissions</w:t>
            </w:r>
          </w:p>
        </w:tc>
        <w:tc>
          <w:tcPr>
            <w:tcW w:w="4590" w:type="dxa"/>
            <w:tcBorders>
              <w:top w:val="single" w:sz="4" w:space="0" w:color="auto"/>
              <w:left w:val="single" w:sz="4" w:space="0" w:color="auto"/>
              <w:bottom w:val="single" w:sz="4" w:space="0" w:color="auto"/>
              <w:right w:val="single" w:sz="4" w:space="0" w:color="auto"/>
            </w:tcBorders>
            <w:hideMark/>
          </w:tcPr>
          <w:p w14:paraId="06F160AB" w14:textId="77777777" w:rsidR="00BE1118" w:rsidRPr="00A75C11" w:rsidRDefault="00BE1118">
            <w:pPr>
              <w:spacing w:after="0"/>
              <w:jc w:val="both"/>
            </w:pPr>
            <w:r w:rsidRPr="00A75C11">
              <w:t>At least 60% reduction from baseline at 0% H</w:t>
            </w:r>
            <w:r w:rsidRPr="00A75C11">
              <w:rPr>
                <w:vertAlign w:val="subscript"/>
              </w:rPr>
              <w:t>2</w:t>
            </w:r>
            <w:r w:rsidRPr="00A75C11">
              <w:t xml:space="preserve"> blend</w:t>
            </w:r>
          </w:p>
        </w:tc>
      </w:tr>
      <w:tr w:rsidR="00A75C11" w:rsidRPr="00A75C11" w14:paraId="00A17204" w14:textId="77777777" w:rsidTr="00BE1118">
        <w:trPr>
          <w:trHeight w:val="537"/>
        </w:trPr>
        <w:tc>
          <w:tcPr>
            <w:tcW w:w="3775" w:type="dxa"/>
            <w:tcBorders>
              <w:top w:val="single" w:sz="4" w:space="0" w:color="auto"/>
              <w:left w:val="single" w:sz="4" w:space="0" w:color="auto"/>
              <w:bottom w:val="single" w:sz="4" w:space="0" w:color="auto"/>
              <w:right w:val="single" w:sz="4" w:space="0" w:color="auto"/>
            </w:tcBorders>
            <w:hideMark/>
          </w:tcPr>
          <w:p w14:paraId="723EA9CD" w14:textId="77777777" w:rsidR="00BE1118" w:rsidRPr="00A75C11" w:rsidRDefault="00BE1118">
            <w:pPr>
              <w:spacing w:after="0"/>
              <w:jc w:val="both"/>
            </w:pPr>
            <w:r w:rsidRPr="00A75C11">
              <w:t>Maturity by project end</w:t>
            </w:r>
          </w:p>
        </w:tc>
        <w:tc>
          <w:tcPr>
            <w:tcW w:w="4590" w:type="dxa"/>
            <w:tcBorders>
              <w:top w:val="single" w:sz="4" w:space="0" w:color="auto"/>
              <w:left w:val="single" w:sz="4" w:space="0" w:color="auto"/>
              <w:bottom w:val="single" w:sz="4" w:space="0" w:color="auto"/>
              <w:right w:val="single" w:sz="4" w:space="0" w:color="auto"/>
            </w:tcBorders>
            <w:hideMark/>
          </w:tcPr>
          <w:p w14:paraId="69050519" w14:textId="77777777" w:rsidR="00BE1118" w:rsidRPr="00A75C11" w:rsidRDefault="00BE1118">
            <w:pPr>
              <w:spacing w:after="0"/>
              <w:jc w:val="both"/>
            </w:pPr>
            <w:r w:rsidRPr="00A75C11">
              <w:t>TRL 4-5 at project start; TRL 6 or higher by project end</w:t>
            </w:r>
          </w:p>
        </w:tc>
      </w:tr>
    </w:tbl>
    <w:p w14:paraId="1FFDDCB9" w14:textId="778C6F63" w:rsidR="00BE1118" w:rsidRPr="00A75C11" w:rsidRDefault="00BE1118" w:rsidP="003A07F9">
      <w:pPr>
        <w:ind w:left="450"/>
      </w:pPr>
    </w:p>
    <w:p w14:paraId="29CF014F" w14:textId="77777777" w:rsidR="00BE1118" w:rsidRPr="00A75C11" w:rsidRDefault="00BE1118" w:rsidP="00BE1118">
      <w:pPr>
        <w:jc w:val="both"/>
      </w:pPr>
      <w:r w:rsidRPr="00A75C11">
        <w:t xml:space="preserve">Possible projects may include, but are not limited to: </w:t>
      </w:r>
    </w:p>
    <w:p w14:paraId="0571EB4D" w14:textId="77777777" w:rsidR="00BE1118" w:rsidRPr="00A75C11" w:rsidRDefault="00BE1118">
      <w:pPr>
        <w:numPr>
          <w:ilvl w:val="0"/>
          <w:numId w:val="58"/>
        </w:numPr>
        <w:jc w:val="both"/>
      </w:pPr>
      <w:r w:rsidRPr="00A75C11">
        <w:t>Adapting an existing reciprocating engine to demonstrate its operation on higher blends of H</w:t>
      </w:r>
      <w:r w:rsidRPr="00A75C11">
        <w:rPr>
          <w:vertAlign w:val="subscript"/>
        </w:rPr>
        <w:t>2</w:t>
      </w:r>
      <w:r w:rsidRPr="00A75C11">
        <w:t xml:space="preserve"> coupled with an after-treatment system using catalysts developed for improved NOx reductions.</w:t>
      </w:r>
    </w:p>
    <w:p w14:paraId="7E5C93E7" w14:textId="77777777" w:rsidR="00BE1118" w:rsidRPr="00A75C11" w:rsidRDefault="00BE1118">
      <w:pPr>
        <w:numPr>
          <w:ilvl w:val="0"/>
          <w:numId w:val="58"/>
        </w:numPr>
        <w:jc w:val="both"/>
      </w:pPr>
      <w:r w:rsidRPr="00A75C11">
        <w:t>Developing and demonstrating advanced microturbine materials and designs, manufacturing, sensors, and burners to handle increasing blends of H</w:t>
      </w:r>
      <w:r w:rsidRPr="00A75C11">
        <w:rPr>
          <w:vertAlign w:val="subscript"/>
        </w:rPr>
        <w:t>2</w:t>
      </w:r>
      <w:r w:rsidRPr="00A75C11">
        <w:t xml:space="preserve"> while mitigating NOx emissions.</w:t>
      </w:r>
    </w:p>
    <w:p w14:paraId="40A30831" w14:textId="77777777" w:rsidR="00BE1118" w:rsidRPr="00A75C11" w:rsidRDefault="00BE1118">
      <w:pPr>
        <w:numPr>
          <w:ilvl w:val="0"/>
          <w:numId w:val="58"/>
        </w:numPr>
        <w:jc w:val="both"/>
      </w:pPr>
      <w:r w:rsidRPr="00A75C11">
        <w:lastRenderedPageBreak/>
        <w:t>Optimizing air-to-fuel ratio, integrating water and steam injection, and using developed control strategies to demonstrate improvement of combustion characteristics for operation using higher blends of H</w:t>
      </w:r>
      <w:r w:rsidRPr="00A75C11">
        <w:rPr>
          <w:vertAlign w:val="subscript"/>
        </w:rPr>
        <w:t>2</w:t>
      </w:r>
      <w:r w:rsidRPr="00A75C11">
        <w:t xml:space="preserve"> for reduced GHG and NOx emissions. </w:t>
      </w:r>
    </w:p>
    <w:p w14:paraId="497E22A2" w14:textId="77777777" w:rsidR="00BE1118" w:rsidRPr="00A75C11" w:rsidRDefault="00BE1118">
      <w:pPr>
        <w:numPr>
          <w:ilvl w:val="0"/>
          <w:numId w:val="58"/>
        </w:numPr>
        <w:jc w:val="both"/>
      </w:pPr>
      <w:r w:rsidRPr="00A75C11">
        <w:t>Eliminating combustion issues such as auto-ignition, thermoacoustic instability, and flashback by developing and demonstrating safe H</w:t>
      </w:r>
      <w:r w:rsidRPr="00A75C11">
        <w:rPr>
          <w:vertAlign w:val="subscript"/>
        </w:rPr>
        <w:t>2</w:t>
      </w:r>
      <w:r w:rsidRPr="00A75C11">
        <w:t xml:space="preserve"> blending thresholds and NOx mitigation approaches for standard operation strategies with built-in system redundancies.</w:t>
      </w:r>
    </w:p>
    <w:p w14:paraId="07036ABC" w14:textId="77777777" w:rsidR="00BE1118" w:rsidRPr="00A75C11" w:rsidRDefault="00BE1118" w:rsidP="00BE1118"/>
    <w:p w14:paraId="29226585" w14:textId="77777777" w:rsidR="00BE1118" w:rsidRPr="00A75C11" w:rsidRDefault="00BE1118" w:rsidP="00BE1118">
      <w:r w:rsidRPr="00A75C11">
        <w:t>Proposals must address the following requirements in the respective Attachments:</w:t>
      </w:r>
    </w:p>
    <w:p w14:paraId="6E44C5BA" w14:textId="77777777" w:rsidR="00BE1118" w:rsidRPr="003F6147" w:rsidRDefault="00BE1118" w:rsidP="003A07F9">
      <w:pPr>
        <w:ind w:left="450"/>
      </w:pPr>
    </w:p>
    <w:p w14:paraId="1C3BAC64" w14:textId="66B7616A" w:rsidR="003F6147" w:rsidRDefault="003F6147" w:rsidP="00BE1118">
      <w:pPr>
        <w:ind w:left="450"/>
        <w:rPr>
          <w:b/>
          <w:color w:val="0070C0"/>
          <w:u w:val="single"/>
        </w:rPr>
      </w:pPr>
      <w:bookmarkStart w:id="33" w:name="_Toc433981315"/>
      <w:r w:rsidRPr="003F6147">
        <w:t>The</w:t>
      </w:r>
      <w:r w:rsidR="005B073B">
        <w:t xml:space="preserve"> Project Narrative (Attachment</w:t>
      </w:r>
      <w:r w:rsidR="00BE1118">
        <w:t xml:space="preserve"> 3</w:t>
      </w:r>
      <w:r w:rsidRPr="003F6147">
        <w:t>) must discuss the following in the sections identified:</w:t>
      </w:r>
      <w:r w:rsidRPr="003F6147">
        <w:rPr>
          <w:color w:val="0070C0"/>
        </w:rPr>
        <w:t xml:space="preserve"> </w:t>
      </w:r>
      <w:bookmarkEnd w:id="33"/>
    </w:p>
    <w:p w14:paraId="1739F24B" w14:textId="77777777" w:rsidR="00BE1118" w:rsidRPr="00A75C11" w:rsidRDefault="00BE1118" w:rsidP="00BE1118">
      <w:pPr>
        <w:ind w:left="720"/>
        <w:jc w:val="both"/>
      </w:pPr>
      <w:bookmarkStart w:id="34" w:name="_Toc395180693"/>
      <w:bookmarkStart w:id="35" w:name="_Toc433981322"/>
      <w:bookmarkStart w:id="36" w:name="_Toc381079922"/>
      <w:bookmarkStart w:id="37" w:name="_Toc382571183"/>
      <w:bookmarkStart w:id="38" w:name="MandV"/>
      <w:r w:rsidRPr="00A75C11">
        <w:t>Technical Approach</w:t>
      </w:r>
    </w:p>
    <w:p w14:paraId="2510E524" w14:textId="77777777" w:rsidR="00BE1118" w:rsidRPr="00A75C11" w:rsidRDefault="00BE1118">
      <w:pPr>
        <w:pStyle w:val="ListParagraph"/>
        <w:numPr>
          <w:ilvl w:val="1"/>
          <w:numId w:val="59"/>
        </w:numPr>
        <w:ind w:left="1080"/>
        <w:jc w:val="both"/>
      </w:pPr>
      <w:r w:rsidRPr="00A75C11">
        <w:t>Discuss the project’s approach regarding safety concerns for H</w:t>
      </w:r>
      <w:r w:rsidRPr="00A75C11">
        <w:rPr>
          <w:vertAlign w:val="subscript"/>
        </w:rPr>
        <w:t>2</w:t>
      </w:r>
      <w:r w:rsidRPr="00A75C11">
        <w:t xml:space="preserve">-blended gas-fired generation that include establishing safe blending thresholds, system operation without gas leaks, maintenance of system integrity, and inclusion of system or operational redundancies. </w:t>
      </w:r>
    </w:p>
    <w:p w14:paraId="14334AE8" w14:textId="77777777" w:rsidR="00BE1118" w:rsidRPr="00A75C11" w:rsidRDefault="00BE1118">
      <w:pPr>
        <w:pStyle w:val="ListParagraph"/>
        <w:numPr>
          <w:ilvl w:val="1"/>
          <w:numId w:val="59"/>
        </w:numPr>
        <w:ind w:left="1080"/>
        <w:jc w:val="both"/>
      </w:pPr>
      <w:r w:rsidRPr="00A75C11">
        <w:t xml:space="preserve">Provide a detailed safety plan to address safe operation and procedures that include the use of standard operating procedures to safely perform work, leading and lagging indicators to assess safety performance proactively and retrospectively, and hazard assessments to reduce safety risks. </w:t>
      </w:r>
    </w:p>
    <w:p w14:paraId="0ECD5BEF" w14:textId="77777777" w:rsidR="00BE1118" w:rsidRPr="00A75C11" w:rsidRDefault="00BE1118" w:rsidP="00BE1118">
      <w:pPr>
        <w:ind w:left="720"/>
        <w:jc w:val="both"/>
      </w:pPr>
      <w:r w:rsidRPr="00A75C11">
        <w:t>Impacts and Benefits to California IOU Ratepayers</w:t>
      </w:r>
    </w:p>
    <w:p w14:paraId="774C9565" w14:textId="77777777" w:rsidR="00BE1118" w:rsidRPr="00A75C11" w:rsidRDefault="00BE1118">
      <w:pPr>
        <w:pStyle w:val="ListParagraph"/>
        <w:numPr>
          <w:ilvl w:val="0"/>
          <w:numId w:val="60"/>
        </w:numPr>
        <w:ind w:left="1080"/>
        <w:jc w:val="both"/>
      </w:pPr>
      <w:r w:rsidRPr="00A75C11">
        <w:t>Describe the plan for sourcing the H</w:t>
      </w:r>
      <w:r w:rsidRPr="00A75C11">
        <w:rPr>
          <w:vertAlign w:val="subscript"/>
        </w:rPr>
        <w:t>2</w:t>
      </w:r>
      <w:r w:rsidRPr="00A75C11">
        <w:t xml:space="preserve"> to be used in the project. Please note, proposals using H</w:t>
      </w:r>
      <w:r w:rsidRPr="00A75C11">
        <w:rPr>
          <w:vertAlign w:val="subscript"/>
        </w:rPr>
        <w:t>2</w:t>
      </w:r>
      <w:r w:rsidRPr="00A75C11">
        <w:t xml:space="preserve"> sourced from low carbon pathways will receive preferential scoring.</w:t>
      </w:r>
    </w:p>
    <w:p w14:paraId="500C3F06" w14:textId="77777777" w:rsidR="00BE1118" w:rsidRDefault="00BE1118" w:rsidP="00BE1118">
      <w:pPr>
        <w:pStyle w:val="ListParagraph"/>
        <w:ind w:left="360"/>
        <w:jc w:val="both"/>
        <w:rPr>
          <w:color w:val="00B050"/>
        </w:rPr>
      </w:pPr>
    </w:p>
    <w:p w14:paraId="00DAA26C" w14:textId="77777777" w:rsidR="00BE1118" w:rsidRPr="00BE1118" w:rsidRDefault="00BE1118" w:rsidP="00BE1118">
      <w:pPr>
        <w:ind w:left="450"/>
      </w:pPr>
      <w:r w:rsidRPr="00BE1118">
        <w:t>The Scope of Work (Attachment 5) and Project Schedule (Attachment 6):</w:t>
      </w:r>
    </w:p>
    <w:p w14:paraId="5E95C985" w14:textId="77777777" w:rsidR="00BE1118" w:rsidRPr="00A75C11" w:rsidRDefault="00BE1118">
      <w:pPr>
        <w:pStyle w:val="ListParagraph"/>
        <w:numPr>
          <w:ilvl w:val="0"/>
          <w:numId w:val="61"/>
        </w:numPr>
        <w:jc w:val="both"/>
      </w:pPr>
      <w:r w:rsidRPr="00A75C11">
        <w:t>Include a project task to conduct a techno-economic analysis of the demonstration system that will consider key inputs such as the cost of H</w:t>
      </w:r>
      <w:r w:rsidRPr="00A75C11">
        <w:rPr>
          <w:vertAlign w:val="subscript"/>
        </w:rPr>
        <w:t>2</w:t>
      </w:r>
      <w:r w:rsidRPr="00A75C11">
        <w:t>, particularly as it relates to the U.S. DOE’s Hydrogen Shot goal, to quantify the procurement cost and generation cost.</w:t>
      </w:r>
      <w:r w:rsidRPr="00A75C11">
        <w:rPr>
          <w:vertAlign w:val="superscript"/>
        </w:rPr>
        <w:t xml:space="preserve"> </w:t>
      </w:r>
      <w:r w:rsidRPr="00A75C11">
        <w:rPr>
          <w:vertAlign w:val="superscript"/>
        </w:rPr>
        <w:footnoteReference w:id="23"/>
      </w:r>
    </w:p>
    <w:p w14:paraId="4AE3C039" w14:textId="77777777" w:rsidR="00BE1118" w:rsidRPr="00A75C11" w:rsidRDefault="00BE1118">
      <w:pPr>
        <w:pStyle w:val="ListParagraph"/>
        <w:numPr>
          <w:ilvl w:val="0"/>
          <w:numId w:val="61"/>
        </w:numPr>
        <w:jc w:val="both"/>
      </w:pPr>
      <w:r w:rsidRPr="00A75C11">
        <w:t xml:space="preserve">Include a project task to conduct a carbon intensity analysis to assess the lifecycle emissions of operating the technology on the proposed fuel blend(s). </w:t>
      </w:r>
    </w:p>
    <w:p w14:paraId="1E521A5C" w14:textId="77777777" w:rsidR="00BE1118" w:rsidRPr="00A75C11" w:rsidRDefault="00BE1118">
      <w:pPr>
        <w:pStyle w:val="ListParagraph"/>
        <w:numPr>
          <w:ilvl w:val="0"/>
          <w:numId w:val="61"/>
        </w:numPr>
      </w:pPr>
      <w:r w:rsidRPr="00A75C11">
        <w:t xml:space="preserve">Note: </w:t>
      </w:r>
    </w:p>
    <w:p w14:paraId="4EC9F21E" w14:textId="77777777" w:rsidR="00BE1118" w:rsidRPr="00A75C11" w:rsidRDefault="00BE1118">
      <w:pPr>
        <w:pStyle w:val="ListParagraph"/>
        <w:numPr>
          <w:ilvl w:val="1"/>
          <w:numId w:val="61"/>
        </w:numPr>
      </w:pPr>
      <w:r w:rsidRPr="00A75C11">
        <w:t>The techno-economic analysis and the carbon intensity analysis must be based on the actual costs and environmental impacts associated with the H</w:t>
      </w:r>
      <w:r w:rsidRPr="00A75C11">
        <w:rPr>
          <w:vertAlign w:val="subscript"/>
        </w:rPr>
        <w:t>2</w:t>
      </w:r>
      <w:r w:rsidRPr="00A75C11">
        <w:t xml:space="preserve"> procured for the project. </w:t>
      </w:r>
    </w:p>
    <w:p w14:paraId="345A59AB" w14:textId="77777777" w:rsidR="00BE1118" w:rsidRPr="00A75C11" w:rsidRDefault="00BE1118">
      <w:pPr>
        <w:pStyle w:val="ListParagraph"/>
        <w:numPr>
          <w:ilvl w:val="1"/>
          <w:numId w:val="61"/>
        </w:numPr>
        <w:jc w:val="both"/>
        <w:rPr>
          <w:b/>
          <w:u w:val="single"/>
        </w:rPr>
      </w:pPr>
      <w:r w:rsidRPr="00A75C11">
        <w:t>Budget Forms (Attachment 7) should be completed considering the above project activities.</w:t>
      </w:r>
    </w:p>
    <w:p w14:paraId="7CEAE291" w14:textId="44037DFB" w:rsidR="00BE1118" w:rsidRDefault="00BE1118" w:rsidP="000A1F72">
      <w:pPr>
        <w:pStyle w:val="HeadingNew1"/>
        <w:numPr>
          <w:ilvl w:val="0"/>
          <w:numId w:val="0"/>
        </w:numPr>
        <w:ind w:left="720"/>
        <w:rPr>
          <w:b w:val="0"/>
        </w:rPr>
      </w:pPr>
    </w:p>
    <w:p w14:paraId="5504D1DC" w14:textId="77777777" w:rsidR="00B33C6C" w:rsidRPr="000A1F72" w:rsidRDefault="00B33C6C" w:rsidP="000A1F72">
      <w:pPr>
        <w:pStyle w:val="HeadingNew1"/>
        <w:numPr>
          <w:ilvl w:val="0"/>
          <w:numId w:val="0"/>
        </w:numPr>
        <w:ind w:left="720"/>
        <w:rPr>
          <w:b w:val="0"/>
        </w:rPr>
      </w:pPr>
    </w:p>
    <w:p w14:paraId="061C2334" w14:textId="2A186F51" w:rsidR="000A1F72" w:rsidRPr="00C07F85" w:rsidRDefault="000A1F72" w:rsidP="00E048D7">
      <w:pPr>
        <w:pStyle w:val="HeadingNew1"/>
        <w:numPr>
          <w:ilvl w:val="0"/>
          <w:numId w:val="0"/>
        </w:numPr>
        <w:rPr>
          <w:b w:val="0"/>
        </w:rPr>
      </w:pPr>
      <w:r w:rsidRPr="00C07F85">
        <w:lastRenderedPageBreak/>
        <w:t>Measurement and Verification Plan</w:t>
      </w:r>
      <w:bookmarkEnd w:id="34"/>
      <w:bookmarkEnd w:id="35"/>
      <w:r w:rsidRPr="00C07F85">
        <w:t xml:space="preserve"> </w:t>
      </w:r>
      <w:bookmarkEnd w:id="36"/>
      <w:bookmarkEnd w:id="37"/>
      <w:bookmarkEnd w:id="38"/>
    </w:p>
    <w:p w14:paraId="4A376150" w14:textId="677E2E69" w:rsidR="00BE1118" w:rsidRDefault="000A1F72" w:rsidP="00E048D7">
      <w:bookmarkStart w:id="39" w:name="_Toc381079923"/>
      <w:bookmarkStart w:id="40" w:name="_Toc382571184"/>
      <w:bookmarkStart w:id="41" w:name="_Toc395180694"/>
      <w:bookmarkStart w:id="42" w:name="_Toc433981323"/>
      <w:r>
        <w:t>The Project Narrative (Attachment</w:t>
      </w:r>
      <w:r w:rsidR="00BE1118">
        <w:t xml:space="preserve"> 3</w:t>
      </w:r>
      <w:r>
        <w:t>) must i</w:t>
      </w:r>
      <w:r w:rsidRPr="00596283">
        <w:t>nclude a Measurement and Verification Plan</w:t>
      </w:r>
      <w:r>
        <w:t xml:space="preserve"> that</w:t>
      </w:r>
      <w:r w:rsidRPr="00D328D4">
        <w:t xml:space="preserve"> </w:t>
      </w:r>
      <w:r w:rsidRPr="002A75BD">
        <w:t>descri</w:t>
      </w:r>
      <w:r>
        <w:t>bes</w:t>
      </w:r>
      <w:r w:rsidRPr="002A75BD">
        <w:t xml:space="preserve"> </w:t>
      </w:r>
      <w:r>
        <w:t xml:space="preserve">how actual </w:t>
      </w:r>
      <w:r w:rsidRPr="00CE3194">
        <w:t>project benefits will be measured and quantified</w:t>
      </w:r>
      <w:r>
        <w:t>, such as by</w:t>
      </w:r>
      <w:r w:rsidR="00BE1118">
        <w:t>:</w:t>
      </w:r>
      <w:r>
        <w:t xml:space="preserve"> </w:t>
      </w:r>
    </w:p>
    <w:bookmarkEnd w:id="39"/>
    <w:p w14:paraId="2654CC4E" w14:textId="77777777" w:rsidR="00BE1118" w:rsidRPr="00A75C11" w:rsidRDefault="00BE1118">
      <w:pPr>
        <w:numPr>
          <w:ilvl w:val="0"/>
          <w:numId w:val="62"/>
        </w:numPr>
        <w:jc w:val="both"/>
      </w:pPr>
      <w:r w:rsidRPr="00A75C11">
        <w:t>Environmental and equity benefits from reducing GHG emissions and mitigating increases in NOx emissions.</w:t>
      </w:r>
    </w:p>
    <w:p w14:paraId="1E2EA474" w14:textId="77777777" w:rsidR="00BE1118" w:rsidRPr="00A75C11" w:rsidRDefault="00BE1118">
      <w:pPr>
        <w:numPr>
          <w:ilvl w:val="0"/>
          <w:numId w:val="62"/>
        </w:numPr>
        <w:jc w:val="both"/>
      </w:pPr>
      <w:r w:rsidRPr="00A75C11">
        <w:t xml:space="preserve">Technology potential benefits for the adoption of new technology, strategy, and research results through innovative component redesigns and parts materials. </w:t>
      </w:r>
    </w:p>
    <w:p w14:paraId="7E67C0FE" w14:textId="77777777" w:rsidR="00BE1118" w:rsidRPr="00A75C11" w:rsidRDefault="00BE1118">
      <w:pPr>
        <w:numPr>
          <w:ilvl w:val="0"/>
          <w:numId w:val="62"/>
        </w:numPr>
        <w:jc w:val="both"/>
      </w:pPr>
      <w:r w:rsidRPr="00A75C11">
        <w:t>Increased market connection benefits across a range of sectors that use fossil gas onsite (commercial, industrial, and electric power) for the potential adoption of H</w:t>
      </w:r>
      <w:r w:rsidRPr="00A75C11">
        <w:rPr>
          <w:vertAlign w:val="subscript"/>
        </w:rPr>
        <w:t>2</w:t>
      </w:r>
      <w:r w:rsidRPr="00A75C11">
        <w:t xml:space="preserve"> blends.</w:t>
      </w:r>
    </w:p>
    <w:p w14:paraId="6D63BBB8" w14:textId="77777777" w:rsidR="00BE1118" w:rsidRPr="00A75C11" w:rsidRDefault="00BE1118">
      <w:pPr>
        <w:numPr>
          <w:ilvl w:val="0"/>
          <w:numId w:val="62"/>
        </w:numPr>
        <w:jc w:val="both"/>
      </w:pPr>
      <w:r w:rsidRPr="00A75C11">
        <w:t>Safety benefits through development and demonstration of standard procedures when handling and operating generation systems using H</w:t>
      </w:r>
      <w:r w:rsidRPr="00A75C11">
        <w:rPr>
          <w:vertAlign w:val="subscript"/>
        </w:rPr>
        <w:t>2</w:t>
      </w:r>
      <w:r w:rsidRPr="00A75C11">
        <w:t xml:space="preserve"> fuel blends.</w:t>
      </w:r>
    </w:p>
    <w:p w14:paraId="26256DF8" w14:textId="77777777" w:rsidR="00BE1118" w:rsidRPr="00A75C11" w:rsidRDefault="00BE1118">
      <w:pPr>
        <w:numPr>
          <w:ilvl w:val="0"/>
          <w:numId w:val="62"/>
        </w:numPr>
        <w:jc w:val="both"/>
        <w:rPr>
          <w:rFonts w:eastAsia="Arial"/>
          <w:szCs w:val="22"/>
        </w:rPr>
      </w:pPr>
      <w:r w:rsidRPr="00A75C11">
        <w:t>Explaining how H</w:t>
      </w:r>
      <w:r w:rsidRPr="00A75C11">
        <w:rPr>
          <w:vertAlign w:val="subscript"/>
        </w:rPr>
        <w:t>2</w:t>
      </w:r>
      <w:r w:rsidRPr="00A75C11">
        <w:t xml:space="preserve"> volumetric blend percentages will be measured and verified to remain accurate at the target blend percentage. </w:t>
      </w:r>
    </w:p>
    <w:p w14:paraId="04F87AC5" w14:textId="77777777" w:rsidR="00BE1118" w:rsidRPr="00A75C11" w:rsidRDefault="00BE1118">
      <w:pPr>
        <w:numPr>
          <w:ilvl w:val="0"/>
          <w:numId w:val="62"/>
        </w:numPr>
        <w:jc w:val="both"/>
        <w:rPr>
          <w:rFonts w:eastAsia="Arial"/>
          <w:szCs w:val="22"/>
        </w:rPr>
      </w:pPr>
      <w:r w:rsidRPr="00A75C11">
        <w:t>Electric generation efficiency (electrical output compared to fuel energy input) when using the H</w:t>
      </w:r>
      <w:r w:rsidRPr="00A75C11">
        <w:rPr>
          <w:vertAlign w:val="subscript"/>
        </w:rPr>
        <w:t>2</w:t>
      </w:r>
      <w:r w:rsidRPr="00A75C11">
        <w:t xml:space="preserve"> fuel blend. </w:t>
      </w:r>
      <w:r w:rsidRPr="00A75C11">
        <w:tab/>
      </w:r>
    </w:p>
    <w:p w14:paraId="007F2F3A" w14:textId="729A8799" w:rsidR="000A1F72" w:rsidRDefault="000A1F72" w:rsidP="00E048D7">
      <w:r>
        <w:t>The activities proposed in the Measurement and Verification Plan must be included in the “Technical Tasks” section of the Scope of Work Template (Attachment</w:t>
      </w:r>
      <w:r w:rsidR="00BE1118">
        <w:t xml:space="preserve"> 5</w:t>
      </w:r>
      <w:r>
        <w:t xml:space="preserve">) </w:t>
      </w:r>
      <w:bookmarkEnd w:id="40"/>
      <w:bookmarkEnd w:id="41"/>
      <w:bookmarkEnd w:id="42"/>
    </w:p>
    <w:p w14:paraId="3851340C" w14:textId="77777777" w:rsidR="00443957" w:rsidRPr="003A0A6F" w:rsidRDefault="00443957" w:rsidP="003A0A6F">
      <w:pPr>
        <w:jc w:val="both"/>
        <w:rPr>
          <w:b/>
          <w:color w:val="0070C0"/>
          <w:u w:val="single"/>
        </w:rPr>
      </w:pPr>
    </w:p>
    <w:p w14:paraId="1E468149" w14:textId="77777777" w:rsidR="003F6147" w:rsidRPr="00756BAC" w:rsidRDefault="003F6147">
      <w:pPr>
        <w:pStyle w:val="Heading2"/>
        <w:numPr>
          <w:ilvl w:val="0"/>
          <w:numId w:val="45"/>
        </w:numPr>
      </w:pPr>
      <w:bookmarkStart w:id="43" w:name="_Funding"/>
      <w:bookmarkStart w:id="44" w:name="_Toc81377101"/>
      <w:bookmarkStart w:id="45" w:name="_Toc86152240"/>
      <w:bookmarkEnd w:id="43"/>
      <w:r w:rsidRPr="00756BAC">
        <w:t>Funding</w:t>
      </w:r>
      <w:bookmarkEnd w:id="31"/>
      <w:bookmarkEnd w:id="44"/>
      <w:bookmarkEnd w:id="45"/>
    </w:p>
    <w:p w14:paraId="11DA8798" w14:textId="77777777" w:rsidR="003F6147" w:rsidRPr="003F6147" w:rsidRDefault="003F6147">
      <w:pPr>
        <w:numPr>
          <w:ilvl w:val="0"/>
          <w:numId w:val="42"/>
        </w:numPr>
        <w:jc w:val="both"/>
        <w:rPr>
          <w:b/>
        </w:rPr>
      </w:pPr>
      <w:bookmarkStart w:id="46" w:name="_Toc381079878"/>
      <w:bookmarkStart w:id="47" w:name="_Toc382571140"/>
      <w:bookmarkStart w:id="48" w:name="_Toc395180637"/>
      <w:bookmarkStart w:id="49" w:name="_Toc433981282"/>
      <w:r w:rsidRPr="003F6147">
        <w:rPr>
          <w:b/>
        </w:rPr>
        <w:t>Amount Available and Minimum/ Maximum Funding Amounts</w:t>
      </w:r>
      <w:bookmarkEnd w:id="46"/>
      <w:bookmarkEnd w:id="47"/>
      <w:bookmarkEnd w:id="48"/>
      <w:bookmarkEnd w:id="49"/>
    </w:p>
    <w:p w14:paraId="4D157E77" w14:textId="344DEB61" w:rsidR="003F6147" w:rsidRPr="00A75C11" w:rsidRDefault="003F6147" w:rsidP="003F6147">
      <w:pPr>
        <w:jc w:val="both"/>
      </w:pPr>
      <w:bookmarkStart w:id="50" w:name="_Toc381079880"/>
      <w:bookmarkStart w:id="51" w:name="_Toc382571142"/>
      <w:bookmarkStart w:id="52" w:name="_Toc395180639"/>
      <w:bookmarkStart w:id="53" w:name="_Toc433981284"/>
      <w:r>
        <w:t xml:space="preserve">There is </w:t>
      </w:r>
      <w:r w:rsidRPr="73AB8DDA">
        <w:rPr>
          <w:b/>
          <w:bCs/>
        </w:rPr>
        <w:t>up to</w:t>
      </w:r>
      <w:r>
        <w:t xml:space="preserve"> </w:t>
      </w:r>
      <w:r w:rsidRPr="73AB8DDA">
        <w:rPr>
          <w:b/>
          <w:bCs/>
        </w:rPr>
        <w:t>$</w:t>
      </w:r>
      <w:r w:rsidR="00BE1118" w:rsidRPr="73AB8DDA">
        <w:rPr>
          <w:b/>
          <w:bCs/>
        </w:rPr>
        <w:t xml:space="preserve"> 8,500,000</w:t>
      </w:r>
      <w:r>
        <w:t xml:space="preserve"> available for grants awarded under this solicitation.  The minimum funding amount for each project is</w:t>
      </w:r>
      <w:r w:rsidRPr="73AB8DDA">
        <w:rPr>
          <w:b/>
          <w:bCs/>
        </w:rPr>
        <w:t xml:space="preserve"> </w:t>
      </w:r>
      <w:r w:rsidR="009C6BBE" w:rsidRPr="73AB8DDA">
        <w:rPr>
          <w:b/>
          <w:bCs/>
        </w:rPr>
        <w:t>[</w:t>
      </w:r>
      <w:r w:rsidRPr="73AB8DDA">
        <w:rPr>
          <w:b/>
          <w:bCs/>
          <w:strike/>
        </w:rPr>
        <w:t>$</w:t>
      </w:r>
      <w:r w:rsidR="00BE1118" w:rsidRPr="73AB8DDA">
        <w:rPr>
          <w:b/>
          <w:bCs/>
          <w:strike/>
        </w:rPr>
        <w:t xml:space="preserve"> 2,125,000</w:t>
      </w:r>
      <w:r w:rsidR="009C6BBE" w:rsidRPr="73AB8DDA">
        <w:rPr>
          <w:b/>
          <w:bCs/>
        </w:rPr>
        <w:t>]</w:t>
      </w:r>
      <w:r w:rsidR="008160F0">
        <w:t xml:space="preserve"> </w:t>
      </w:r>
      <w:r w:rsidR="008160F0" w:rsidRPr="73AB8DDA">
        <w:rPr>
          <w:b/>
          <w:bCs/>
          <w:u w:val="single"/>
        </w:rPr>
        <w:t xml:space="preserve">$ </w:t>
      </w:r>
      <w:r w:rsidR="00376BD5" w:rsidRPr="73AB8DDA">
        <w:rPr>
          <w:b/>
          <w:bCs/>
          <w:u w:val="single"/>
        </w:rPr>
        <w:t>1,</w:t>
      </w:r>
      <w:r w:rsidR="2957CE1F" w:rsidRPr="73AB8DDA">
        <w:rPr>
          <w:b/>
          <w:bCs/>
          <w:u w:val="single"/>
        </w:rPr>
        <w:t>2</w:t>
      </w:r>
      <w:r w:rsidR="008160F0" w:rsidRPr="73AB8DDA">
        <w:rPr>
          <w:b/>
          <w:bCs/>
          <w:u w:val="single"/>
        </w:rPr>
        <w:t>00,000</w:t>
      </w:r>
      <w:r>
        <w:t xml:space="preserve">.  The maximum funding amount is </w:t>
      </w:r>
      <w:r w:rsidRPr="73AB8DDA">
        <w:rPr>
          <w:b/>
          <w:bCs/>
        </w:rPr>
        <w:t>$</w:t>
      </w:r>
      <w:r w:rsidR="00BE1118" w:rsidRPr="73AB8DDA">
        <w:rPr>
          <w:b/>
          <w:bCs/>
        </w:rPr>
        <w:t xml:space="preserve"> 4,250,000</w:t>
      </w:r>
      <w:r>
        <w:t>.</w:t>
      </w:r>
      <w:bookmarkEnd w:id="50"/>
      <w:bookmarkEnd w:id="51"/>
      <w:bookmarkEnd w:id="52"/>
      <w:bookmarkEnd w:id="53"/>
    </w:p>
    <w:p w14:paraId="79C2A816" w14:textId="77777777" w:rsidR="003F6147" w:rsidRPr="00A75C11" w:rsidRDefault="003F6147" w:rsidP="003F6147">
      <w:pPr>
        <w:ind w:left="720"/>
        <w:jc w:val="both"/>
        <w:rPr>
          <w:szCs w:val="22"/>
        </w:rPr>
      </w:pPr>
    </w:p>
    <w:p w14:paraId="3BB75C23" w14:textId="77777777" w:rsidR="003F6147" w:rsidRPr="003F6147" w:rsidRDefault="003F6147">
      <w:pPr>
        <w:numPr>
          <w:ilvl w:val="0"/>
          <w:numId w:val="42"/>
        </w:numPr>
        <w:jc w:val="both"/>
        <w:rPr>
          <w:b/>
          <w:szCs w:val="22"/>
        </w:rPr>
      </w:pPr>
      <w:bookmarkStart w:id="54" w:name="MatchReq"/>
      <w:r w:rsidRPr="003F6147">
        <w:rPr>
          <w:b/>
        </w:rPr>
        <w:t>Match Funding Requirement</w:t>
      </w:r>
    </w:p>
    <w:bookmarkEnd w:id="54"/>
    <w:p w14:paraId="06674A6B" w14:textId="2B2AD087" w:rsidR="003F6147" w:rsidRPr="00A75C11" w:rsidRDefault="003F6147" w:rsidP="003F6147">
      <w:pPr>
        <w:tabs>
          <w:tab w:val="left" w:pos="1170"/>
        </w:tabs>
        <w:jc w:val="both"/>
        <w:rPr>
          <w:szCs w:val="22"/>
        </w:rPr>
      </w:pPr>
      <w:r w:rsidRPr="00A75C11">
        <w:rPr>
          <w:szCs w:val="22"/>
        </w:rPr>
        <w:t xml:space="preserve">Match funding is required in the amount of at least </w:t>
      </w:r>
      <w:r w:rsidR="00BE1118" w:rsidRPr="00A75C11">
        <w:rPr>
          <w:b/>
          <w:szCs w:val="22"/>
        </w:rPr>
        <w:t>20%</w:t>
      </w:r>
      <w:r w:rsidR="005B073B" w:rsidRPr="00A75C11">
        <w:rPr>
          <w:szCs w:val="22"/>
        </w:rPr>
        <w:t xml:space="preserve"> of the requested </w:t>
      </w:r>
      <w:r w:rsidRPr="00A75C11">
        <w:rPr>
          <w:szCs w:val="22"/>
        </w:rPr>
        <w:t>project funds.</w:t>
      </w:r>
    </w:p>
    <w:p w14:paraId="05926895" w14:textId="77777777" w:rsidR="00BE1118" w:rsidRPr="00A75C11" w:rsidRDefault="00BE1118" w:rsidP="00BE1118">
      <w:pPr>
        <w:tabs>
          <w:tab w:val="left" w:pos="1170"/>
        </w:tabs>
        <w:jc w:val="both"/>
      </w:pPr>
      <w:r w:rsidRPr="00A75C11">
        <w:t>Projects funded from this solicitation may use match or other non-CEC funding for all fueling costs based on the generation technology size, H</w:t>
      </w:r>
      <w:r w:rsidRPr="00A75C11">
        <w:rPr>
          <w:vertAlign w:val="subscript"/>
        </w:rPr>
        <w:t>2</w:t>
      </w:r>
      <w:r w:rsidRPr="00A75C11">
        <w:t xml:space="preserve"> blend percentages, and testing duration. Because of anticipated challenges associated with sourcing large quantities of low carbon H</w:t>
      </w:r>
      <w:r w:rsidRPr="00A75C11">
        <w:rPr>
          <w:vertAlign w:val="subscript"/>
        </w:rPr>
        <w:t xml:space="preserve">2, </w:t>
      </w:r>
      <w:r w:rsidRPr="00A75C11">
        <w:t>the solicitation will preferentially score proposals that use H</w:t>
      </w:r>
      <w:r w:rsidRPr="00A75C11">
        <w:rPr>
          <w:vertAlign w:val="subscript"/>
        </w:rPr>
        <w:t>2</w:t>
      </w:r>
      <w:r w:rsidRPr="00A75C11">
        <w:rPr>
          <w:shd w:val="clear" w:color="auto" w:fill="E6E6E6"/>
        </w:rPr>
        <w:t xml:space="preserve"> </w:t>
      </w:r>
      <w:r w:rsidRPr="00A75C11">
        <w:t xml:space="preserve">sourced from low carbon pathways when assessing the </w:t>
      </w:r>
      <w:r w:rsidRPr="00A75C11">
        <w:rPr>
          <w:b/>
          <w:bCs/>
        </w:rPr>
        <w:t>Impacts and Benefits for California IOU Ratepayers</w:t>
      </w:r>
      <w:r w:rsidRPr="00A75C11">
        <w:t xml:space="preserve"> section (see Section IV for more information on scoring criteria).</w:t>
      </w:r>
    </w:p>
    <w:p w14:paraId="34DE2ABF" w14:textId="111757FA" w:rsid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w:t>
      </w:r>
      <w:r w:rsidR="00A8436A">
        <w:rPr>
          <w:szCs w:val="22"/>
        </w:rPr>
        <w:t>.</w:t>
      </w:r>
      <w:r w:rsidR="00633997">
        <w:rPr>
          <w:szCs w:val="22"/>
        </w:rPr>
        <w:t xml:space="preserve"> K</w:t>
      </w:r>
      <w:r w:rsidRPr="003F6147">
        <w:rPr>
          <w:szCs w:val="22"/>
        </w:rPr>
        <w:t>.</w:t>
      </w:r>
    </w:p>
    <w:p w14:paraId="4796D21C" w14:textId="0007502C" w:rsidR="00BE1118" w:rsidRDefault="00BE1118" w:rsidP="003F6147">
      <w:pPr>
        <w:tabs>
          <w:tab w:val="left" w:pos="1080"/>
        </w:tabs>
        <w:suppressAutoHyphens/>
        <w:jc w:val="both"/>
        <w:rPr>
          <w:szCs w:val="22"/>
        </w:rPr>
      </w:pPr>
    </w:p>
    <w:p w14:paraId="2FB530FD" w14:textId="77777777" w:rsidR="00BE1118" w:rsidRPr="00A75C11" w:rsidRDefault="00BE1118">
      <w:pPr>
        <w:pStyle w:val="ListParagraph"/>
        <w:numPr>
          <w:ilvl w:val="0"/>
          <w:numId w:val="42"/>
        </w:numPr>
        <w:spacing w:after="160"/>
        <w:jc w:val="both"/>
        <w:rPr>
          <w:b/>
          <w:szCs w:val="22"/>
        </w:rPr>
      </w:pPr>
      <w:r w:rsidRPr="00A75C11">
        <w:rPr>
          <w:b/>
          <w:szCs w:val="22"/>
        </w:rPr>
        <w:t xml:space="preserve">Unallowable Costs </w:t>
      </w:r>
    </w:p>
    <w:p w14:paraId="5525146E" w14:textId="77777777" w:rsidR="00BE1118" w:rsidRPr="00A75C11" w:rsidRDefault="00BE1118" w:rsidP="00BE1118">
      <w:pPr>
        <w:spacing w:after="160"/>
        <w:jc w:val="both"/>
      </w:pPr>
      <w:r w:rsidRPr="00A75C11">
        <w:rPr>
          <w:szCs w:val="22"/>
        </w:rPr>
        <w:t>For an item of cost to be allowable, it must be included in the approved agreement budget and allowable per the terms and conditions of the resulting agreement. Fuel costs are an example of unallowable costs under an agreement resulting from this solicitation. Please note, additional items of cost may be unallowable in accordance with the terms and conditions.</w:t>
      </w:r>
    </w:p>
    <w:p w14:paraId="0A8D947C" w14:textId="77777777" w:rsidR="00BE1118" w:rsidRPr="00A75C11" w:rsidRDefault="00BE1118">
      <w:pPr>
        <w:pStyle w:val="ListParagraph"/>
        <w:numPr>
          <w:ilvl w:val="0"/>
          <w:numId w:val="63"/>
        </w:numPr>
        <w:tabs>
          <w:tab w:val="left" w:pos="1170"/>
        </w:tabs>
        <w:spacing w:after="160"/>
        <w:jc w:val="both"/>
      </w:pPr>
      <w:r w:rsidRPr="00A75C11">
        <w:rPr>
          <w:b/>
          <w:bCs/>
        </w:rPr>
        <w:lastRenderedPageBreak/>
        <w:t>Fuel Costs</w:t>
      </w:r>
      <w:r w:rsidRPr="00A75C11">
        <w:t xml:space="preserve"> – CEC funds cannot be used to purchase fuel for the proposed project. Applicants may use match or other non-CEC funds to purchase all the fuel needed for the project (see Section I.I for more information on Match Funding). Applicants are encouraged to source H</w:t>
      </w:r>
      <w:r w:rsidRPr="00A75C11">
        <w:rPr>
          <w:vertAlign w:val="subscript"/>
        </w:rPr>
        <w:t>2</w:t>
      </w:r>
      <w:r w:rsidRPr="00A75C11">
        <w:t xml:space="preserve"> from low carbon pathways, such as electrolysis using renewable electricity, to maximize project benefits (see Section IV for more information on scoring criteria).</w:t>
      </w:r>
    </w:p>
    <w:p w14:paraId="18BCDF7C" w14:textId="77777777" w:rsidR="00BE1118" w:rsidRPr="003F6147" w:rsidRDefault="00BE1118" w:rsidP="003F6147">
      <w:pPr>
        <w:tabs>
          <w:tab w:val="left" w:pos="1080"/>
        </w:tabs>
        <w:suppressAutoHyphens/>
        <w:jc w:val="both"/>
        <w:rPr>
          <w:szCs w:val="22"/>
        </w:rPr>
      </w:pPr>
    </w:p>
    <w:p w14:paraId="4A1AB468" w14:textId="77777777" w:rsidR="003F6147" w:rsidRPr="003F6147" w:rsidRDefault="003F6147">
      <w:pPr>
        <w:numPr>
          <w:ilvl w:val="0"/>
          <w:numId w:val="42"/>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pPr>
        <w:numPr>
          <w:ilvl w:val="0"/>
          <w:numId w:val="44"/>
        </w:numPr>
        <w:spacing w:after="0"/>
        <w:jc w:val="both"/>
      </w:pPr>
      <w:r w:rsidRPr="003F6147">
        <w:t>Increase or decrease the available funding and the minimum/maximum award amounts described in this section.</w:t>
      </w:r>
    </w:p>
    <w:p w14:paraId="07A5B16F" w14:textId="77777777" w:rsidR="003F6147" w:rsidRPr="003F6147" w:rsidRDefault="003F6147">
      <w:pPr>
        <w:numPr>
          <w:ilvl w:val="0"/>
          <w:numId w:val="44"/>
        </w:numPr>
        <w:spacing w:after="0"/>
        <w:jc w:val="both"/>
      </w:pPr>
      <w:r w:rsidRPr="003F6147">
        <w:t>Allocate any additional or unawarded funds to passing applications, in rank order.</w:t>
      </w:r>
    </w:p>
    <w:p w14:paraId="3538ECFF" w14:textId="77777777" w:rsidR="003F6147" w:rsidRPr="003F6147" w:rsidRDefault="003F6147">
      <w:pPr>
        <w:numPr>
          <w:ilvl w:val="0"/>
          <w:numId w:val="44"/>
        </w:numPr>
        <w:spacing w:after="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pPr>
        <w:pStyle w:val="Heading2"/>
        <w:numPr>
          <w:ilvl w:val="0"/>
          <w:numId w:val="45"/>
        </w:numPr>
      </w:pPr>
      <w:bookmarkStart w:id="55" w:name="_Key_Activities_Schedule"/>
      <w:bookmarkStart w:id="56" w:name="_Toc458602325"/>
      <w:bookmarkStart w:id="57" w:name="_Toc81377102"/>
      <w:bookmarkStart w:id="58" w:name="_Toc86152241"/>
      <w:bookmarkEnd w:id="55"/>
      <w:r w:rsidRPr="00756BAC">
        <w:t>Key Activities Schedule</w:t>
      </w:r>
      <w:bookmarkEnd w:id="56"/>
      <w:bookmarkEnd w:id="57"/>
      <w:bookmarkEnd w:id="58"/>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125"/>
        <w:gridCol w:w="3060"/>
        <w:gridCol w:w="1625"/>
      </w:tblGrid>
      <w:tr w:rsidR="00A511B4" w:rsidRPr="00A511B4" w14:paraId="6B4DE808" w14:textId="77777777" w:rsidTr="0001720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125" w:type="dxa"/>
          </w:tcPr>
          <w:p w14:paraId="6F449126" w14:textId="77777777" w:rsidR="00A511B4" w:rsidRPr="00A511B4" w:rsidRDefault="00A511B4" w:rsidP="00A511B4">
            <w:pPr>
              <w:keepNext/>
              <w:keepLines/>
              <w:widowControl w:val="0"/>
              <w:jc w:val="both"/>
              <w:rPr>
                <w:b w:val="0"/>
                <w:szCs w:val="22"/>
              </w:rPr>
            </w:pPr>
            <w:r w:rsidRPr="00A511B4">
              <w:rPr>
                <w:szCs w:val="22"/>
              </w:rPr>
              <w:t>ACTIVITY</w:t>
            </w:r>
          </w:p>
        </w:tc>
        <w:tc>
          <w:tcPr>
            <w:tcW w:w="3060" w:type="dxa"/>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24"/>
            </w:r>
            <w:r w:rsidRPr="00A511B4">
              <w:rPr>
                <w:szCs w:val="22"/>
              </w:rPr>
              <w:t xml:space="preserve"> </w:t>
            </w:r>
          </w:p>
        </w:tc>
      </w:tr>
      <w:tr w:rsidR="00BE1118" w:rsidRPr="00A511B4" w14:paraId="00CC20E0" w14:textId="77777777" w:rsidTr="0001720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125" w:type="dxa"/>
          </w:tcPr>
          <w:p w14:paraId="26CB769D" w14:textId="77777777" w:rsidR="00BE1118" w:rsidRPr="007372BE" w:rsidRDefault="00BE1118" w:rsidP="00BE1118">
            <w:pPr>
              <w:keepNext/>
              <w:keepLines/>
              <w:widowControl w:val="0"/>
              <w:jc w:val="both"/>
              <w:rPr>
                <w:szCs w:val="22"/>
              </w:rPr>
            </w:pPr>
            <w:r w:rsidRPr="007372BE">
              <w:rPr>
                <w:szCs w:val="22"/>
              </w:rPr>
              <w:t>Solicitation Release</w:t>
            </w:r>
          </w:p>
        </w:tc>
        <w:tc>
          <w:tcPr>
            <w:tcW w:w="3060" w:type="dxa"/>
          </w:tcPr>
          <w:p w14:paraId="66923AAD" w14:textId="7F9F2B89" w:rsidR="00BE1118" w:rsidRPr="007372BE" w:rsidRDefault="00BE1118" w:rsidP="00BE1118">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7372BE">
              <w:rPr>
                <w:szCs w:val="22"/>
              </w:rPr>
              <w:t xml:space="preserve"> January 6, 2023</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BE1118" w:rsidRPr="007372BE" w:rsidRDefault="00BE1118" w:rsidP="00BE1118">
            <w:pPr>
              <w:keepNext/>
              <w:keepLines/>
              <w:widowControl w:val="0"/>
              <w:jc w:val="both"/>
              <w:rPr>
                <w:szCs w:val="22"/>
              </w:rPr>
            </w:pPr>
          </w:p>
        </w:tc>
      </w:tr>
      <w:tr w:rsidR="00BE1118" w:rsidRPr="00A511B4" w14:paraId="42C05F9F" w14:textId="77777777" w:rsidTr="00017203">
        <w:trPr>
          <w:trHeight w:hRule="exact" w:val="288"/>
        </w:trPr>
        <w:tc>
          <w:tcPr>
            <w:cnfStyle w:val="000010000000" w:firstRow="0" w:lastRow="0" w:firstColumn="0" w:lastColumn="0" w:oddVBand="1" w:evenVBand="0" w:oddHBand="0" w:evenHBand="0" w:firstRowFirstColumn="0" w:firstRowLastColumn="0" w:lastRowFirstColumn="0" w:lastRowLastColumn="0"/>
            <w:tcW w:w="5125" w:type="dxa"/>
          </w:tcPr>
          <w:p w14:paraId="3215EA9F" w14:textId="77777777" w:rsidR="00BE1118" w:rsidRPr="007372BE" w:rsidRDefault="00BE1118" w:rsidP="00BE1118">
            <w:pPr>
              <w:keepNext/>
              <w:keepLines/>
              <w:widowControl w:val="0"/>
              <w:jc w:val="both"/>
              <w:rPr>
                <w:b/>
                <w:szCs w:val="22"/>
              </w:rPr>
            </w:pPr>
            <w:r w:rsidRPr="007372BE">
              <w:rPr>
                <w:b/>
                <w:szCs w:val="22"/>
              </w:rPr>
              <w:t>Pre-Application Workshop</w:t>
            </w:r>
          </w:p>
        </w:tc>
        <w:tc>
          <w:tcPr>
            <w:tcW w:w="3060" w:type="dxa"/>
          </w:tcPr>
          <w:p w14:paraId="0DD6A6EA" w14:textId="29D52F0C" w:rsidR="00BE1118" w:rsidRPr="007372BE" w:rsidRDefault="00BE1118" w:rsidP="00BE1118">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7372BE">
              <w:rPr>
                <w:b/>
                <w:szCs w:val="22"/>
              </w:rPr>
              <w:t xml:space="preserve"> January 23, 2023</w:t>
            </w:r>
          </w:p>
        </w:tc>
        <w:tc>
          <w:tcPr>
            <w:cnfStyle w:val="000010000000" w:firstRow="0" w:lastRow="0" w:firstColumn="0" w:lastColumn="0" w:oddVBand="1" w:evenVBand="0" w:oddHBand="0" w:evenHBand="0" w:firstRowFirstColumn="0" w:firstRowLastColumn="0" w:lastRowFirstColumn="0" w:lastRowLastColumn="0"/>
            <w:tcW w:w="1625" w:type="dxa"/>
          </w:tcPr>
          <w:p w14:paraId="7ECE131E" w14:textId="500FEADE" w:rsidR="00BE1118" w:rsidRPr="007372BE" w:rsidRDefault="00BE1118" w:rsidP="00BE1118">
            <w:pPr>
              <w:keepNext/>
              <w:keepLines/>
              <w:widowControl w:val="0"/>
              <w:jc w:val="both"/>
              <w:rPr>
                <w:b/>
                <w:szCs w:val="22"/>
              </w:rPr>
            </w:pPr>
            <w:r w:rsidRPr="007372BE">
              <w:rPr>
                <w:b/>
                <w:szCs w:val="22"/>
              </w:rPr>
              <w:t>10:00 a.m.</w:t>
            </w:r>
          </w:p>
        </w:tc>
      </w:tr>
      <w:tr w:rsidR="00BE1118" w:rsidRPr="00A511B4" w14:paraId="5055D2CF" w14:textId="77777777" w:rsidTr="0001720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125" w:type="dxa"/>
          </w:tcPr>
          <w:p w14:paraId="6921206A" w14:textId="77777777" w:rsidR="00BE1118" w:rsidRPr="007372BE" w:rsidRDefault="00BE1118" w:rsidP="00BE1118">
            <w:pPr>
              <w:keepNext/>
              <w:keepLines/>
              <w:widowControl w:val="0"/>
              <w:jc w:val="both"/>
              <w:rPr>
                <w:b/>
                <w:szCs w:val="22"/>
              </w:rPr>
            </w:pPr>
            <w:r w:rsidRPr="007372BE">
              <w:rPr>
                <w:b/>
                <w:szCs w:val="22"/>
              </w:rPr>
              <w:t>Deadline for Written Questions</w:t>
            </w:r>
            <w:r w:rsidRPr="007372BE">
              <w:rPr>
                <w:rFonts w:cs="Times New Roman"/>
                <w:b/>
                <w:szCs w:val="22"/>
                <w:u w:val="single"/>
                <w:vertAlign w:val="superscript"/>
              </w:rPr>
              <w:footnoteReference w:id="25"/>
            </w:r>
          </w:p>
        </w:tc>
        <w:tc>
          <w:tcPr>
            <w:tcW w:w="3060" w:type="dxa"/>
          </w:tcPr>
          <w:p w14:paraId="36E5718D" w14:textId="235AE511" w:rsidR="00BE1118" w:rsidRPr="007372BE" w:rsidRDefault="00BE1118" w:rsidP="00BE1118">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7372BE">
              <w:rPr>
                <w:b/>
                <w:szCs w:val="22"/>
              </w:rPr>
              <w:t xml:space="preserve"> January 30, 2023</w:t>
            </w:r>
          </w:p>
        </w:tc>
        <w:tc>
          <w:tcPr>
            <w:cnfStyle w:val="000010000000" w:firstRow="0" w:lastRow="0" w:firstColumn="0" w:lastColumn="0" w:oddVBand="1" w:evenVBand="0" w:oddHBand="0" w:evenHBand="0" w:firstRowFirstColumn="0" w:firstRowLastColumn="0" w:lastRowFirstColumn="0" w:lastRowLastColumn="0"/>
            <w:tcW w:w="1625" w:type="dxa"/>
          </w:tcPr>
          <w:p w14:paraId="1B420F68" w14:textId="77777777" w:rsidR="00BE1118" w:rsidRPr="007372BE" w:rsidRDefault="00BE1118" w:rsidP="00BE1118">
            <w:pPr>
              <w:keepNext/>
              <w:keepLines/>
              <w:widowControl w:val="0"/>
              <w:jc w:val="both"/>
              <w:rPr>
                <w:b/>
                <w:szCs w:val="22"/>
              </w:rPr>
            </w:pPr>
            <w:r w:rsidRPr="007372BE">
              <w:rPr>
                <w:b/>
                <w:szCs w:val="22"/>
              </w:rPr>
              <w:t>5:00 p.m.</w:t>
            </w:r>
          </w:p>
        </w:tc>
      </w:tr>
      <w:tr w:rsidR="00A511B4" w:rsidRPr="00A511B4" w14:paraId="596EC8A6" w14:textId="77777777" w:rsidTr="00017203">
        <w:trPr>
          <w:trHeight w:val="626"/>
        </w:trPr>
        <w:tc>
          <w:tcPr>
            <w:cnfStyle w:val="000010000000" w:firstRow="0" w:lastRow="0" w:firstColumn="0" w:lastColumn="0" w:oddVBand="1" w:evenVBand="0" w:oddHBand="0" w:evenHBand="0" w:firstRowFirstColumn="0" w:firstRowLastColumn="0" w:lastRowFirstColumn="0" w:lastRowLastColumn="0"/>
            <w:tcW w:w="5125" w:type="dxa"/>
          </w:tcPr>
          <w:p w14:paraId="07853ABA" w14:textId="5241F8F2" w:rsidR="00A511B4" w:rsidRPr="007372BE" w:rsidRDefault="00A511B4" w:rsidP="00A511B4">
            <w:pPr>
              <w:widowControl w:val="0"/>
              <w:spacing w:after="0"/>
              <w:jc w:val="both"/>
              <w:rPr>
                <w:szCs w:val="22"/>
              </w:rPr>
            </w:pPr>
            <w:r w:rsidRPr="007372BE">
              <w:rPr>
                <w:szCs w:val="22"/>
              </w:rPr>
              <w:t xml:space="preserve">Anticipated Distribution of Questions and Answers </w:t>
            </w:r>
          </w:p>
        </w:tc>
        <w:tc>
          <w:tcPr>
            <w:tcW w:w="3060" w:type="dxa"/>
          </w:tcPr>
          <w:p w14:paraId="1D2A97C9" w14:textId="13024655" w:rsidR="00A511B4" w:rsidRPr="007372BE" w:rsidRDefault="00BE1118" w:rsidP="00BE1118">
            <w:pPr>
              <w:keepNext/>
              <w:keepLines/>
              <w:widowControl w:val="0"/>
              <w:cnfStyle w:val="000000000000" w:firstRow="0" w:lastRow="0" w:firstColumn="0" w:lastColumn="0" w:oddVBand="0" w:evenVBand="0" w:oddHBand="0" w:evenHBand="0" w:firstRowFirstColumn="0" w:firstRowLastColumn="0" w:lastRowFirstColumn="0" w:lastRowLastColumn="0"/>
            </w:pPr>
            <w:r w:rsidRPr="007372BE">
              <w:rPr>
                <w:szCs w:val="22"/>
              </w:rPr>
              <w:t>W</w:t>
            </w:r>
            <w:r w:rsidR="00A511B4" w:rsidRPr="007372BE">
              <w:rPr>
                <w:szCs w:val="22"/>
              </w:rPr>
              <w:t xml:space="preserve">eek of </w:t>
            </w:r>
            <w:r w:rsidRPr="007372BE">
              <w:rPr>
                <w:szCs w:val="22"/>
              </w:rPr>
              <w:t>February 13, 2023</w:t>
            </w:r>
          </w:p>
        </w:tc>
        <w:tc>
          <w:tcPr>
            <w:cnfStyle w:val="000010000000" w:firstRow="0" w:lastRow="0" w:firstColumn="0" w:lastColumn="0" w:oddVBand="1" w:evenVBand="0" w:oddHBand="0" w:evenHBand="0" w:firstRowFirstColumn="0" w:firstRowLastColumn="0" w:lastRowFirstColumn="0" w:lastRowLastColumn="0"/>
            <w:tcW w:w="1625" w:type="dxa"/>
          </w:tcPr>
          <w:p w14:paraId="060DC5ED" w14:textId="77777777" w:rsidR="00A511B4" w:rsidRPr="007372BE" w:rsidRDefault="00A511B4" w:rsidP="00A511B4">
            <w:pPr>
              <w:keepNext/>
              <w:keepLines/>
              <w:widowControl w:val="0"/>
              <w:jc w:val="both"/>
              <w:rPr>
                <w:szCs w:val="22"/>
              </w:rPr>
            </w:pPr>
          </w:p>
        </w:tc>
      </w:tr>
      <w:tr w:rsidR="00A511B4" w:rsidRPr="00A511B4" w14:paraId="60FA0B14" w14:textId="77777777" w:rsidTr="00017203">
        <w:trPr>
          <w:cnfStyle w:val="000000100000" w:firstRow="0" w:lastRow="0" w:firstColumn="0" w:lastColumn="0" w:oddVBand="0" w:evenVBand="0" w:oddHBand="1" w:evenHBand="0" w:firstRowFirstColumn="0" w:firstRowLastColumn="0" w:lastRowFirstColumn="0" w:lastRowLastColumn="0"/>
          <w:trHeight w:val="626"/>
        </w:trPr>
        <w:tc>
          <w:tcPr>
            <w:cnfStyle w:val="000010000000" w:firstRow="0" w:lastRow="0" w:firstColumn="0" w:lastColumn="0" w:oddVBand="1" w:evenVBand="0" w:oddHBand="0" w:evenHBand="0" w:firstRowFirstColumn="0" w:firstRowLastColumn="0" w:lastRowFirstColumn="0" w:lastRowLastColumn="0"/>
            <w:tcW w:w="5125" w:type="dxa"/>
          </w:tcPr>
          <w:p w14:paraId="0A1460F3" w14:textId="77777777" w:rsidR="00A511B4" w:rsidRPr="007372BE" w:rsidRDefault="00A511B4" w:rsidP="00017203">
            <w:pPr>
              <w:keepNext/>
              <w:keepLines/>
              <w:widowControl w:val="0"/>
              <w:spacing w:after="0"/>
              <w:jc w:val="both"/>
              <w:rPr>
                <w:b/>
                <w:szCs w:val="22"/>
              </w:rPr>
            </w:pPr>
            <w:r w:rsidRPr="007372BE">
              <w:rPr>
                <w:b/>
                <w:szCs w:val="22"/>
              </w:rPr>
              <w:t>Deadline to Submit Applications</w:t>
            </w:r>
          </w:p>
        </w:tc>
        <w:tc>
          <w:tcPr>
            <w:tcW w:w="3060" w:type="dxa"/>
          </w:tcPr>
          <w:p w14:paraId="4AD7F92F" w14:textId="7748E02C" w:rsidR="00A511B4" w:rsidRPr="007372BE" w:rsidRDefault="00BE1118" w:rsidP="00017203">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
              </w:rPr>
            </w:pPr>
            <w:r w:rsidRPr="007372BE">
              <w:rPr>
                <w:b/>
                <w:szCs w:val="22"/>
              </w:rPr>
              <w:t xml:space="preserve">April </w:t>
            </w:r>
            <w:r w:rsidR="00104127">
              <w:rPr>
                <w:b/>
                <w:szCs w:val="22"/>
              </w:rPr>
              <w:t>[</w:t>
            </w:r>
            <w:r w:rsidR="00305EB7" w:rsidRPr="00104127">
              <w:rPr>
                <w:b/>
                <w:strike/>
                <w:szCs w:val="22"/>
              </w:rPr>
              <w:t>5</w:t>
            </w:r>
            <w:r w:rsidR="00104127">
              <w:rPr>
                <w:b/>
                <w:szCs w:val="22"/>
              </w:rPr>
              <w:t xml:space="preserve">] </w:t>
            </w:r>
            <w:r w:rsidR="00104127" w:rsidRPr="00B9091B">
              <w:rPr>
                <w:b/>
                <w:szCs w:val="22"/>
                <w:u w:val="single"/>
              </w:rPr>
              <w:t>2</w:t>
            </w:r>
            <w:r w:rsidR="00104127">
              <w:rPr>
                <w:b/>
                <w:szCs w:val="22"/>
                <w:u w:val="single"/>
              </w:rPr>
              <w:t>1</w:t>
            </w:r>
            <w:r w:rsidRPr="007372BE">
              <w:rPr>
                <w:b/>
                <w:szCs w:val="22"/>
              </w:rPr>
              <w:t>, 2023</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7B9E0EE4" w:rsidR="00A511B4" w:rsidRPr="007372BE" w:rsidRDefault="002A01D0" w:rsidP="00017203">
            <w:pPr>
              <w:keepNext/>
              <w:keepLines/>
              <w:widowControl w:val="0"/>
              <w:spacing w:after="0"/>
              <w:jc w:val="both"/>
              <w:rPr>
                <w:szCs w:val="22"/>
              </w:rPr>
            </w:pPr>
            <w:r w:rsidRPr="007372BE">
              <w:rPr>
                <w:b/>
                <w:szCs w:val="22"/>
              </w:rPr>
              <w:t>11:59 p.m.</w:t>
            </w:r>
          </w:p>
        </w:tc>
      </w:tr>
      <w:tr w:rsidR="00BE1118" w:rsidRPr="00A511B4" w14:paraId="4670966A" w14:textId="77777777" w:rsidTr="00017203">
        <w:trPr>
          <w:trHeight w:val="626"/>
        </w:trPr>
        <w:tc>
          <w:tcPr>
            <w:cnfStyle w:val="000010000000" w:firstRow="0" w:lastRow="0" w:firstColumn="0" w:lastColumn="0" w:oddVBand="1" w:evenVBand="0" w:oddHBand="0" w:evenHBand="0" w:firstRowFirstColumn="0" w:firstRowLastColumn="0" w:lastRowFirstColumn="0" w:lastRowLastColumn="0"/>
            <w:tcW w:w="5125" w:type="dxa"/>
          </w:tcPr>
          <w:p w14:paraId="7387DC00" w14:textId="77777777" w:rsidR="00BE1118" w:rsidRPr="007372BE" w:rsidRDefault="00BE1118" w:rsidP="00017203">
            <w:pPr>
              <w:keepNext/>
              <w:keepLines/>
              <w:widowControl w:val="0"/>
              <w:spacing w:after="0"/>
              <w:jc w:val="both"/>
              <w:rPr>
                <w:szCs w:val="22"/>
              </w:rPr>
            </w:pPr>
            <w:r w:rsidRPr="007372BE">
              <w:rPr>
                <w:szCs w:val="22"/>
              </w:rPr>
              <w:t>Anticipated Notice of Proposed Award Posting Date</w:t>
            </w:r>
          </w:p>
        </w:tc>
        <w:tc>
          <w:tcPr>
            <w:tcW w:w="3060" w:type="dxa"/>
          </w:tcPr>
          <w:p w14:paraId="3E0FCEC2" w14:textId="7F473204" w:rsidR="00BE1118" w:rsidRPr="007372BE" w:rsidRDefault="00BE1118" w:rsidP="00017203">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pPr>
            <w:r w:rsidRPr="007372BE">
              <w:rPr>
                <w:szCs w:val="22"/>
              </w:rPr>
              <w:t xml:space="preserve">June </w:t>
            </w:r>
            <w:r w:rsidR="00104127">
              <w:rPr>
                <w:szCs w:val="22"/>
              </w:rPr>
              <w:t>[</w:t>
            </w:r>
            <w:r w:rsidRPr="00B9091B">
              <w:rPr>
                <w:strike/>
                <w:szCs w:val="22"/>
              </w:rPr>
              <w:t>2</w:t>
            </w:r>
            <w:r w:rsidR="00104127">
              <w:rPr>
                <w:szCs w:val="22"/>
              </w:rPr>
              <w:t xml:space="preserve">] </w:t>
            </w:r>
            <w:r w:rsidR="00104127" w:rsidRPr="00B9091B">
              <w:rPr>
                <w:b/>
                <w:bCs/>
                <w:szCs w:val="22"/>
                <w:u w:val="single"/>
              </w:rPr>
              <w:t>29</w:t>
            </w:r>
            <w:r w:rsidRPr="007372BE">
              <w:rPr>
                <w:szCs w:val="22"/>
              </w:rPr>
              <w:t>, 2023</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BE1118" w:rsidRPr="007372BE" w:rsidRDefault="00BE1118" w:rsidP="00017203">
            <w:pPr>
              <w:keepNext/>
              <w:keepLines/>
              <w:widowControl w:val="0"/>
              <w:spacing w:after="0"/>
              <w:jc w:val="both"/>
              <w:rPr>
                <w:szCs w:val="22"/>
              </w:rPr>
            </w:pPr>
          </w:p>
        </w:tc>
      </w:tr>
      <w:tr w:rsidR="00BE1118" w:rsidRPr="00A511B4" w14:paraId="76D982D6" w14:textId="77777777" w:rsidTr="00017203">
        <w:trPr>
          <w:cnfStyle w:val="000000100000" w:firstRow="0" w:lastRow="0" w:firstColumn="0" w:lastColumn="0" w:oddVBand="0" w:evenVBand="0" w:oddHBand="1" w:evenHBand="0" w:firstRowFirstColumn="0" w:firstRowLastColumn="0" w:lastRowFirstColumn="0" w:lastRowLastColumn="0"/>
          <w:trHeight w:val="626"/>
        </w:trPr>
        <w:tc>
          <w:tcPr>
            <w:cnfStyle w:val="000010000000" w:firstRow="0" w:lastRow="0" w:firstColumn="0" w:lastColumn="0" w:oddVBand="1" w:evenVBand="0" w:oddHBand="0" w:evenHBand="0" w:firstRowFirstColumn="0" w:firstRowLastColumn="0" w:lastRowFirstColumn="0" w:lastRowLastColumn="0"/>
            <w:tcW w:w="5125" w:type="dxa"/>
          </w:tcPr>
          <w:p w14:paraId="68472CDC" w14:textId="77777777" w:rsidR="00BE1118" w:rsidRPr="007372BE" w:rsidRDefault="00BE1118" w:rsidP="00017203">
            <w:pPr>
              <w:widowControl w:val="0"/>
              <w:spacing w:after="0"/>
              <w:jc w:val="both"/>
              <w:rPr>
                <w:szCs w:val="22"/>
              </w:rPr>
            </w:pPr>
            <w:r w:rsidRPr="007372BE">
              <w:rPr>
                <w:szCs w:val="22"/>
              </w:rPr>
              <w:t>Anticipated Energy Commission Business Meeting Date</w:t>
            </w:r>
          </w:p>
        </w:tc>
        <w:tc>
          <w:tcPr>
            <w:tcW w:w="3060" w:type="dxa"/>
          </w:tcPr>
          <w:p w14:paraId="0732BD94" w14:textId="140892B7" w:rsidR="00BE1118" w:rsidRDefault="00104127" w:rsidP="00017203">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szCs w:val="22"/>
              </w:rPr>
            </w:pPr>
            <w:r>
              <w:rPr>
                <w:szCs w:val="22"/>
              </w:rPr>
              <w:t>[</w:t>
            </w:r>
            <w:r w:rsidR="00BE1118" w:rsidRPr="00B9091B">
              <w:rPr>
                <w:strike/>
                <w:szCs w:val="22"/>
              </w:rPr>
              <w:t>September 13, 2023</w:t>
            </w:r>
            <w:r>
              <w:rPr>
                <w:szCs w:val="22"/>
              </w:rPr>
              <w:t>]</w:t>
            </w:r>
          </w:p>
          <w:p w14:paraId="0D90D149" w14:textId="7C66770E" w:rsidR="00BE1118" w:rsidRPr="00B9091B" w:rsidRDefault="00104127" w:rsidP="00017203">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
                <w:u w:val="single"/>
              </w:rPr>
            </w:pPr>
            <w:r w:rsidRPr="00B9091B">
              <w:rPr>
                <w:b/>
                <w:bCs/>
                <w:szCs w:val="22"/>
                <w:u w:val="single"/>
              </w:rPr>
              <w:t>October 11, 2023</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BE1118" w:rsidRPr="007372BE" w:rsidRDefault="00BE1118" w:rsidP="00017203">
            <w:pPr>
              <w:keepNext/>
              <w:keepLines/>
              <w:widowControl w:val="0"/>
              <w:spacing w:after="0"/>
              <w:jc w:val="both"/>
              <w:rPr>
                <w:szCs w:val="22"/>
              </w:rPr>
            </w:pPr>
          </w:p>
        </w:tc>
      </w:tr>
      <w:tr w:rsidR="00BE1118" w:rsidRPr="00A511B4" w14:paraId="778A4170" w14:textId="77777777" w:rsidTr="00017203">
        <w:trPr>
          <w:trHeight w:val="626"/>
        </w:trPr>
        <w:tc>
          <w:tcPr>
            <w:cnfStyle w:val="000010000000" w:firstRow="0" w:lastRow="0" w:firstColumn="0" w:lastColumn="0" w:oddVBand="1" w:evenVBand="0" w:oddHBand="0" w:evenHBand="0" w:firstRowFirstColumn="0" w:firstRowLastColumn="0" w:lastRowFirstColumn="0" w:lastRowLastColumn="0"/>
            <w:tcW w:w="5125" w:type="dxa"/>
          </w:tcPr>
          <w:p w14:paraId="117D51F1" w14:textId="77777777" w:rsidR="00BE1118" w:rsidRPr="007372BE" w:rsidRDefault="00BE1118" w:rsidP="00017203">
            <w:pPr>
              <w:widowControl w:val="0"/>
              <w:spacing w:after="0"/>
              <w:jc w:val="both"/>
              <w:rPr>
                <w:szCs w:val="22"/>
              </w:rPr>
            </w:pPr>
            <w:r w:rsidRPr="007372BE">
              <w:rPr>
                <w:szCs w:val="22"/>
              </w:rPr>
              <w:t>Anticipated Agreement Start Date</w:t>
            </w:r>
          </w:p>
        </w:tc>
        <w:tc>
          <w:tcPr>
            <w:tcW w:w="3060" w:type="dxa"/>
          </w:tcPr>
          <w:p w14:paraId="133787AD" w14:textId="2D8618B9" w:rsidR="00BE1118" w:rsidRDefault="00104127" w:rsidP="00017203">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rPr>
                <w:szCs w:val="22"/>
              </w:rPr>
            </w:pPr>
            <w:r>
              <w:rPr>
                <w:szCs w:val="22"/>
              </w:rPr>
              <w:t>[</w:t>
            </w:r>
            <w:r w:rsidR="00BE1118" w:rsidRPr="00B9091B">
              <w:rPr>
                <w:strike/>
                <w:szCs w:val="22"/>
              </w:rPr>
              <w:t>October 16, 2023</w:t>
            </w:r>
            <w:r>
              <w:rPr>
                <w:szCs w:val="22"/>
              </w:rPr>
              <w:t>]</w:t>
            </w:r>
          </w:p>
          <w:p w14:paraId="0FBD4A51" w14:textId="444838AA" w:rsidR="00BE1118" w:rsidRPr="00B9091B" w:rsidRDefault="00104127" w:rsidP="00017203">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rPr>
                <w:b/>
                <w:u w:val="single"/>
              </w:rPr>
            </w:pPr>
            <w:r w:rsidRPr="00B9091B">
              <w:rPr>
                <w:b/>
                <w:bCs/>
                <w:szCs w:val="22"/>
                <w:u w:val="single"/>
              </w:rPr>
              <w:t>November 13, 2023</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BE1118" w:rsidRPr="007372BE" w:rsidRDefault="00BE1118" w:rsidP="00017203">
            <w:pPr>
              <w:keepNext/>
              <w:keepLines/>
              <w:widowControl w:val="0"/>
              <w:spacing w:after="0"/>
              <w:jc w:val="both"/>
              <w:rPr>
                <w:szCs w:val="22"/>
              </w:rPr>
            </w:pPr>
          </w:p>
        </w:tc>
      </w:tr>
      <w:tr w:rsidR="00A511B4" w:rsidRPr="00A511B4" w14:paraId="10349A5B" w14:textId="77777777" w:rsidTr="00017203">
        <w:trPr>
          <w:cnfStyle w:val="000000100000" w:firstRow="0" w:lastRow="0" w:firstColumn="0" w:lastColumn="0" w:oddVBand="0" w:evenVBand="0" w:oddHBand="1" w:evenHBand="0" w:firstRowFirstColumn="0" w:firstRowLastColumn="0" w:lastRowFirstColumn="0" w:lastRowLastColumn="0"/>
          <w:trHeight w:val="626"/>
        </w:trPr>
        <w:tc>
          <w:tcPr>
            <w:cnfStyle w:val="000010000000" w:firstRow="0" w:lastRow="0" w:firstColumn="0" w:lastColumn="0" w:oddVBand="1" w:evenVBand="0" w:oddHBand="0" w:evenHBand="0" w:firstRowFirstColumn="0" w:firstRowLastColumn="0" w:lastRowFirstColumn="0" w:lastRowLastColumn="0"/>
            <w:tcW w:w="5125" w:type="dxa"/>
          </w:tcPr>
          <w:p w14:paraId="0DFD4B12" w14:textId="77777777" w:rsidR="00A511B4" w:rsidRPr="007372BE" w:rsidRDefault="00A511B4" w:rsidP="00A511B4">
            <w:pPr>
              <w:widowControl w:val="0"/>
              <w:jc w:val="both"/>
              <w:rPr>
                <w:szCs w:val="22"/>
              </w:rPr>
            </w:pPr>
            <w:r w:rsidRPr="007372BE">
              <w:rPr>
                <w:szCs w:val="22"/>
              </w:rPr>
              <w:lastRenderedPageBreak/>
              <w:t xml:space="preserve">Anticipated Agreement End Date </w:t>
            </w:r>
          </w:p>
        </w:tc>
        <w:tc>
          <w:tcPr>
            <w:tcW w:w="3060" w:type="dxa"/>
          </w:tcPr>
          <w:p w14:paraId="49359BE0" w14:textId="387942A4" w:rsidR="00A511B4" w:rsidRPr="007372BE" w:rsidRDefault="00A511B4"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7372BE">
              <w:rPr>
                <w:szCs w:val="22"/>
              </w:rPr>
              <w:t>March 31,</w:t>
            </w:r>
            <w:r w:rsidR="00BE1118" w:rsidRPr="007372BE">
              <w:rPr>
                <w:szCs w:val="22"/>
              </w:rPr>
              <w:t>2027</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7372BE"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pPr>
        <w:pStyle w:val="Heading2"/>
        <w:numPr>
          <w:ilvl w:val="0"/>
          <w:numId w:val="45"/>
        </w:numPr>
      </w:pPr>
      <w:bookmarkStart w:id="59" w:name="_Notice_of_Pre-Application"/>
      <w:bookmarkStart w:id="60" w:name="_Toc458602326"/>
      <w:bookmarkStart w:id="61" w:name="_Toc81377103"/>
      <w:bookmarkStart w:id="62" w:name="_Toc86152242"/>
      <w:bookmarkEnd w:id="59"/>
      <w:r w:rsidRPr="00756BAC">
        <w:t>Notice of Pre-Application Workshop</w:t>
      </w:r>
      <w:bookmarkEnd w:id="60"/>
      <w:bookmarkEnd w:id="61"/>
      <w:bookmarkEnd w:id="62"/>
    </w:p>
    <w:p w14:paraId="3530C71F" w14:textId="393009F2" w:rsidR="003F6147" w:rsidRPr="003F6147" w:rsidRDefault="003F6147" w:rsidP="003F6147">
      <w:pPr>
        <w:jc w:val="both"/>
        <w:rPr>
          <w:szCs w:val="22"/>
        </w:rPr>
      </w:pPr>
      <w:r w:rsidRPr="003F6147">
        <w:rPr>
          <w:szCs w:val="22"/>
        </w:rPr>
        <w:t xml:space="preserve">CEC staff will hold one Pre-Application Workshop to discuss the solicitation with potential applicants. Participation is optional but encouraged.  </w:t>
      </w:r>
      <w:r w:rsidR="001F5CA0" w:rsidRPr="001F5CA0">
        <w:rPr>
          <w:szCs w:val="22"/>
        </w:rPr>
        <w:t>The Pre-Application Workshop will be held remotely.</w:t>
      </w:r>
      <w:r w:rsidR="00364B53">
        <w:rPr>
          <w:szCs w:val="22"/>
        </w:rPr>
        <w:t xml:space="preserve"> </w:t>
      </w:r>
      <w:r w:rsidRPr="003F6147">
        <w:rPr>
          <w:szCs w:val="22"/>
        </w:rPr>
        <w:t>Applicants may attend the workshop via the internet (</w:t>
      </w:r>
      <w:r w:rsidR="001F6BE9">
        <w:rPr>
          <w:szCs w:val="22"/>
        </w:rPr>
        <w:t>Zoom</w:t>
      </w:r>
      <w:r w:rsidRPr="003F6147">
        <w:rPr>
          <w:szCs w:val="22"/>
        </w:rPr>
        <w:t xml:space="preserve">, see instructions below), or via conference call on the date and at the time and location listed below.  Please call (916) 654-4381 or refer to the CEC's website at </w:t>
      </w:r>
      <w:r w:rsidRPr="005B073B">
        <w:rPr>
          <w:szCs w:val="22"/>
        </w:rPr>
        <w:t xml:space="preserve">www.energy.ca.gov/contracts/index.html </w:t>
      </w:r>
      <w:r w:rsidRPr="003F6147">
        <w:rPr>
          <w:szCs w:val="22"/>
        </w:rPr>
        <w:t>to confirm the date and time.</w:t>
      </w:r>
    </w:p>
    <w:p w14:paraId="2B53D2CB" w14:textId="2EFC0B1B" w:rsidR="003F6147" w:rsidRPr="007372BE" w:rsidRDefault="003F6147" w:rsidP="003F6147">
      <w:pPr>
        <w:spacing w:after="0"/>
        <w:rPr>
          <w:b/>
        </w:rPr>
      </w:pPr>
      <w:r w:rsidRPr="007372BE">
        <w:rPr>
          <w:b/>
        </w:rPr>
        <w:t xml:space="preserve">Date and time: </w:t>
      </w:r>
      <w:r w:rsidR="00BE1118" w:rsidRPr="007372BE">
        <w:t>January 23, 2023, at 10:00 a.m.</w:t>
      </w:r>
      <w:r w:rsidR="00BE1118" w:rsidRPr="007372BE">
        <w:rPr>
          <w:rFonts w:ascii="Calibri" w:eastAsia="Calibri" w:hAnsi="Calibri" w:cs="Calibri"/>
          <w:sz w:val="24"/>
          <w:szCs w:val="24"/>
        </w:rPr>
        <w:t xml:space="preserve"> </w:t>
      </w:r>
      <w:r w:rsidR="00BE1118" w:rsidRPr="007372BE">
        <w:t>Pacific Time (US and Canada)</w:t>
      </w:r>
    </w:p>
    <w:p w14:paraId="7822D6A5" w14:textId="77777777" w:rsidR="003F6147" w:rsidRPr="003F6147" w:rsidRDefault="003F6147" w:rsidP="003F6147">
      <w:pPr>
        <w:spacing w:after="0"/>
        <w:jc w:val="both"/>
        <w:rPr>
          <w:b/>
          <w:u w:val="single"/>
        </w:rPr>
      </w:pPr>
    </w:p>
    <w:p w14:paraId="6B916C61" w14:textId="7A5030A7" w:rsidR="003F6147" w:rsidRPr="003F6147" w:rsidRDefault="00DE0047" w:rsidP="003F6147">
      <w:pPr>
        <w:tabs>
          <w:tab w:val="left" w:pos="1080"/>
        </w:tabs>
        <w:jc w:val="both"/>
        <w:rPr>
          <w:b/>
        </w:rPr>
      </w:pPr>
      <w:r>
        <w:rPr>
          <w:b/>
        </w:rPr>
        <w:t>Zoom</w:t>
      </w:r>
      <w:r w:rsidRPr="003F6147">
        <w:rPr>
          <w:b/>
        </w:rPr>
        <w:t xml:space="preserve"> </w:t>
      </w:r>
      <w:r w:rsidR="003F6147" w:rsidRPr="003F6147">
        <w:rPr>
          <w:b/>
        </w:rPr>
        <w:t>Instructions:</w:t>
      </w:r>
    </w:p>
    <w:p w14:paraId="44F7A991" w14:textId="0A9A5CC0" w:rsidR="003F6147" w:rsidRPr="003F6147" w:rsidRDefault="003F6147">
      <w:pPr>
        <w:tabs>
          <w:tab w:val="left" w:pos="810"/>
        </w:tabs>
        <w:jc w:val="both"/>
        <w:rPr>
          <w:b/>
        </w:rPr>
      </w:pPr>
      <w:r w:rsidRPr="003F6147">
        <w:t xml:space="preserve">To join the </w:t>
      </w:r>
      <w:r w:rsidR="00DE0047">
        <w:t>Zoom</w:t>
      </w:r>
      <w:r w:rsidR="00DE0047" w:rsidRPr="003F6147">
        <w:t xml:space="preserve"> </w:t>
      </w:r>
      <w:r w:rsidRPr="003F6147">
        <w:t xml:space="preserve">meeting, go to </w:t>
      </w:r>
      <w:r w:rsidRPr="006154D6">
        <w:t>https://</w:t>
      </w:r>
      <w:r w:rsidR="00C649FC">
        <w:t>zoom.us/join</w:t>
      </w:r>
      <w:r w:rsidRPr="006154D6">
        <w:t xml:space="preserve"> </w:t>
      </w:r>
      <w:r w:rsidRPr="003F6147">
        <w:t xml:space="preserve">and enter the </w:t>
      </w:r>
      <w:r w:rsidR="005F734C">
        <w:t>M</w:t>
      </w:r>
      <w:r w:rsidRPr="003F6147">
        <w:t xml:space="preserve">eeting </w:t>
      </w:r>
      <w:r w:rsidR="00D66C2D">
        <w:t>ID</w:t>
      </w:r>
      <w:r w:rsidR="00D66C2D" w:rsidRPr="003F6147">
        <w:t xml:space="preserve"> </w:t>
      </w:r>
      <w:r w:rsidRPr="003F6147">
        <w:t>below</w:t>
      </w:r>
      <w:r w:rsidR="00FE48A9">
        <w:t xml:space="preserve"> and select “join from your browser”. Participants </w:t>
      </w:r>
      <w:r w:rsidR="00E82A8D">
        <w:t xml:space="preserve">will then enter the meeting password listed below and their name. </w:t>
      </w:r>
      <w:r w:rsidR="00085D82">
        <w:t>P</w:t>
      </w:r>
      <w:r w:rsidR="009A4D75">
        <w:t>articipants will select the “</w:t>
      </w:r>
      <w:r w:rsidR="00085D82">
        <w:t>J</w:t>
      </w:r>
      <w:r w:rsidR="009A4D75">
        <w:t>oin” button.</w:t>
      </w:r>
      <w:r w:rsidRPr="003F6147">
        <w:t xml:space="preserve">  </w:t>
      </w:r>
    </w:p>
    <w:p w14:paraId="478C665B" w14:textId="77777777" w:rsidR="00BE1118" w:rsidRPr="007372BE" w:rsidRDefault="00BE1118" w:rsidP="00BE1118">
      <w:pPr>
        <w:tabs>
          <w:tab w:val="left" w:pos="900"/>
        </w:tabs>
        <w:spacing w:after="0"/>
        <w:ind w:left="720" w:firstLine="360"/>
        <w:rPr>
          <w:b/>
          <w:bCs/>
        </w:rPr>
      </w:pPr>
      <w:r w:rsidRPr="007372BE">
        <w:rPr>
          <w:b/>
          <w:bCs/>
        </w:rPr>
        <w:t>Meeting ID:</w:t>
      </w:r>
      <w:r w:rsidRPr="007372BE">
        <w:t xml:space="preserve">  893 3064 8039</w:t>
      </w:r>
    </w:p>
    <w:p w14:paraId="703F9CCE" w14:textId="77777777" w:rsidR="00BE1118" w:rsidRPr="007372BE" w:rsidRDefault="00BE1118" w:rsidP="00BE1118">
      <w:pPr>
        <w:spacing w:after="0"/>
        <w:ind w:left="360" w:firstLine="720"/>
      </w:pPr>
      <w:r w:rsidRPr="007372BE">
        <w:rPr>
          <w:b/>
          <w:bCs/>
        </w:rPr>
        <w:t>Meeting Password:</w:t>
      </w:r>
      <w:r w:rsidRPr="007372BE">
        <w:t xml:space="preserve">  HyBLOX</w:t>
      </w:r>
    </w:p>
    <w:p w14:paraId="536F6C51" w14:textId="77777777" w:rsidR="00BE1118" w:rsidRPr="007372BE" w:rsidRDefault="00BE1118" w:rsidP="00BE1118">
      <w:pPr>
        <w:ind w:left="360" w:firstLine="720"/>
      </w:pPr>
      <w:r w:rsidRPr="007372BE">
        <w:rPr>
          <w:b/>
          <w:bCs/>
        </w:rPr>
        <w:t>Topic:</w:t>
      </w:r>
      <w:r w:rsidRPr="007372BE">
        <w:t xml:space="preserve"> GFO-22-504 Pre-Application Workshop: Hydrogen Blending and Lower Oxides of Nitrogen Emissions in Gas-Fired Generation (HyBLOX) </w:t>
      </w:r>
    </w:p>
    <w:p w14:paraId="3E1F2CB9" w14:textId="76098181" w:rsidR="003F6147" w:rsidRPr="003F6147" w:rsidRDefault="003F6147" w:rsidP="0060251F">
      <w:pPr>
        <w:tabs>
          <w:tab w:val="left" w:pos="810"/>
        </w:tabs>
        <w:spacing w:after="0"/>
        <w:ind w:left="360"/>
        <w:jc w:val="both"/>
      </w:pP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3F6147" w:rsidRDefault="003F6147" w:rsidP="003F6147">
      <w:pPr>
        <w:jc w:val="both"/>
        <w:rPr>
          <w:color w:val="0000FF"/>
        </w:rPr>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mute/unmute your phone line.</w:t>
      </w:r>
    </w:p>
    <w:p w14:paraId="3390B667" w14:textId="77777777" w:rsidR="003F6147" w:rsidRPr="003F6147" w:rsidRDefault="003F6147" w:rsidP="003F6147">
      <w:pPr>
        <w:spacing w:after="0"/>
        <w:jc w:val="both"/>
        <w:rPr>
          <w:color w:val="0000FF"/>
        </w:rPr>
      </w:pPr>
    </w:p>
    <w:p w14:paraId="4FA78232" w14:textId="77777777" w:rsidR="006A23F1" w:rsidRPr="00D53A75" w:rsidRDefault="006A23F1" w:rsidP="006A23F1">
      <w:pPr>
        <w:spacing w:after="0"/>
        <w:jc w:val="both"/>
        <w:rPr>
          <w:b/>
        </w:rPr>
      </w:pPr>
      <w:r w:rsidRPr="00D53A75">
        <w:rPr>
          <w:b/>
        </w:rPr>
        <w:t>Access 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7F7E1CDD"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pPr>
        <w:numPr>
          <w:ilvl w:val="0"/>
          <w:numId w:val="41"/>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4A3CF7C4" w:rsidR="003F6147" w:rsidRPr="003F6147" w:rsidRDefault="003F6147" w:rsidP="003F6147">
      <w:pPr>
        <w:tabs>
          <w:tab w:val="left" w:pos="810"/>
        </w:tabs>
        <w:spacing w:after="0"/>
        <w:ind w:left="810"/>
        <w:jc w:val="both"/>
        <w:rPr>
          <w:color w:val="0070C0"/>
        </w:rPr>
      </w:pPr>
      <w:r w:rsidRPr="003F6147">
        <w:t xml:space="preserve">please call </w:t>
      </w:r>
      <w:r w:rsidR="00F24473">
        <w:t>Zoom</w:t>
      </w:r>
      <w:r w:rsidR="00F24473" w:rsidRPr="003F6147">
        <w:t xml:space="preserve"> </w:t>
      </w:r>
      <w:r w:rsidRPr="003F6147">
        <w:t xml:space="preserve">Technical Support at </w:t>
      </w:r>
      <w:r w:rsidR="00DE6DA1" w:rsidRPr="00DE6DA1">
        <w:rPr>
          <w:b/>
        </w:rPr>
        <w:t>1-</w:t>
      </w:r>
      <w:r w:rsidR="00DE6DA1" w:rsidRPr="00A14E81">
        <w:rPr>
          <w:b/>
        </w:rPr>
        <w:t xml:space="preserve">888-799-9666 </w:t>
      </w:r>
      <w:r w:rsidR="006E0037" w:rsidRPr="00A14E81">
        <w:rPr>
          <w:b/>
        </w:rPr>
        <w:t>ext.</w:t>
      </w:r>
      <w:r w:rsidR="00A14E81" w:rsidRPr="00A14E81">
        <w:rPr>
          <w:b/>
        </w:rPr>
        <w:t xml:space="preserve"> 2</w:t>
      </w:r>
      <w:r w:rsidRPr="00A14E81">
        <w:rPr>
          <w:b/>
        </w:rPr>
        <w:t>.</w:t>
      </w:r>
      <w:r w:rsidRPr="00A14E81">
        <w:t xml:space="preserve">  You may also contact </w:t>
      </w:r>
      <w:r w:rsidR="000B1103" w:rsidRPr="00A14E81">
        <w:t xml:space="preserve">the </w:t>
      </w:r>
      <w:r w:rsidR="0044130A" w:rsidRPr="00A14E81">
        <w:t>P</w:t>
      </w:r>
      <w:r w:rsidR="000B1103" w:rsidRPr="00A14E81">
        <w:t>ublic</w:t>
      </w:r>
      <w:r w:rsidR="0044130A" w:rsidRPr="00A14E81">
        <w:t xml:space="preserve"> Advisor’s Office at </w:t>
      </w:r>
      <w:hyperlink r:id="rId18" w:history="1">
        <w:r w:rsidR="00542E53" w:rsidRPr="00A14E81">
          <w:rPr>
            <w:rStyle w:val="Hyperlink"/>
            <w:rFonts w:cs="Arial"/>
            <w:color w:val="auto"/>
          </w:rPr>
          <w:t>publicadvisor@energy.ca.gov</w:t>
        </w:r>
      </w:hyperlink>
      <w:r w:rsidR="00542E53" w:rsidRPr="00A14E81">
        <w:t>, or 800-822-622</w:t>
      </w:r>
      <w:r w:rsidR="00FE15D4" w:rsidRPr="00A14E81">
        <w:t>8</w:t>
      </w:r>
      <w:r w:rsidRPr="003F6147">
        <w:t>.</w:t>
      </w:r>
    </w:p>
    <w:p w14:paraId="1478D0B9" w14:textId="77777777" w:rsidR="003F6147" w:rsidRPr="003F6147" w:rsidRDefault="003F6147">
      <w:pPr>
        <w:numPr>
          <w:ilvl w:val="0"/>
          <w:numId w:val="41"/>
        </w:numPr>
        <w:tabs>
          <w:tab w:val="left" w:pos="810"/>
        </w:tabs>
        <w:spacing w:after="0"/>
        <w:ind w:left="450" w:hanging="90"/>
        <w:jc w:val="both"/>
        <w:rPr>
          <w:b/>
          <w:u w:val="single"/>
        </w:rPr>
      </w:pPr>
      <w:r w:rsidRPr="003F6147">
        <w:t>System Requirements: To determine whether your computer is compatible, visit:</w:t>
      </w:r>
    </w:p>
    <w:p w14:paraId="79EBFD34" w14:textId="6B37C52F" w:rsidR="003F6147" w:rsidRPr="005B073B" w:rsidRDefault="003F6147" w:rsidP="003F6147">
      <w:pPr>
        <w:tabs>
          <w:tab w:val="left" w:pos="810"/>
        </w:tabs>
        <w:spacing w:after="0"/>
        <w:ind w:left="720"/>
        <w:jc w:val="both"/>
        <w:rPr>
          <w:color w:val="0000FF"/>
        </w:rPr>
      </w:pPr>
      <w:r w:rsidRPr="003F6147">
        <w:tab/>
      </w:r>
      <w:r w:rsidRPr="005B073B">
        <w:t>http://support.</w:t>
      </w:r>
      <w:r w:rsidR="00AC342F">
        <w:t>-</w:t>
      </w:r>
      <w:r w:rsidR="00B115CA">
        <w:t>zoom</w:t>
      </w:r>
      <w:r w:rsidR="00D30476">
        <w:t>.us/hc/en-us/articles/201</w:t>
      </w:r>
      <w:r w:rsidR="00AC342F">
        <w:t>362023-System-requirements-for-Windows</w:t>
      </w:r>
    </w:p>
    <w:p w14:paraId="2487F463" w14:textId="77777777" w:rsidR="003F6147" w:rsidRPr="00B703F3" w:rsidRDefault="003F6147">
      <w:pPr>
        <w:numPr>
          <w:ilvl w:val="0"/>
          <w:numId w:val="41"/>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pPr>
        <w:pStyle w:val="Heading2"/>
        <w:numPr>
          <w:ilvl w:val="0"/>
          <w:numId w:val="45"/>
        </w:numPr>
      </w:pPr>
      <w:bookmarkStart w:id="63" w:name="_Toc458602327"/>
      <w:bookmarkStart w:id="64" w:name="_Toc81377104"/>
      <w:bookmarkStart w:id="65" w:name="_Toc86152243"/>
      <w:bookmarkStart w:id="66" w:name="_Toc336443625"/>
      <w:bookmarkStart w:id="67" w:name="_Toc366671181"/>
      <w:bookmarkStart w:id="68" w:name="_Toc219275088"/>
      <w:r w:rsidRPr="00756BAC">
        <w:lastRenderedPageBreak/>
        <w:t>Questions</w:t>
      </w:r>
      <w:bookmarkEnd w:id="63"/>
      <w:bookmarkEnd w:id="64"/>
      <w:bookmarkEnd w:id="65"/>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2603579A" w:rsidR="003F6147" w:rsidRPr="007372BE" w:rsidRDefault="00BE1118" w:rsidP="003F6147">
      <w:pPr>
        <w:contextualSpacing/>
        <w:jc w:val="center"/>
      </w:pPr>
      <w:r w:rsidRPr="007372BE">
        <w:t>Crystal Willis</w:t>
      </w:r>
      <w:r w:rsidR="003F6147" w:rsidRPr="007372BE">
        <w:t>, Commission Agreement Officer</w:t>
      </w:r>
    </w:p>
    <w:p w14:paraId="3084A234" w14:textId="77777777" w:rsidR="003F6147" w:rsidRPr="007372BE" w:rsidRDefault="003F6147" w:rsidP="003F6147">
      <w:pPr>
        <w:contextualSpacing/>
        <w:jc w:val="center"/>
      </w:pPr>
      <w:r w:rsidRPr="007372BE">
        <w:t>California Energy Commission</w:t>
      </w:r>
    </w:p>
    <w:p w14:paraId="6B4F8266" w14:textId="223A2064" w:rsidR="003F6147" w:rsidRPr="007372BE" w:rsidRDefault="7D5C9780" w:rsidP="003F6147">
      <w:pPr>
        <w:contextualSpacing/>
        <w:jc w:val="center"/>
      </w:pPr>
      <w:r w:rsidRPr="007372BE">
        <w:rPr>
          <w:rFonts w:eastAsia="Arial"/>
          <w:szCs w:val="22"/>
        </w:rPr>
        <w:t>715 P</w:t>
      </w:r>
      <w:r w:rsidR="003F6147" w:rsidRPr="007372BE">
        <w:t>, MS-1</w:t>
      </w:r>
      <w:r w:rsidR="000F373E">
        <w:t>8</w:t>
      </w:r>
    </w:p>
    <w:p w14:paraId="644A7744" w14:textId="3AD09F94" w:rsidR="003F6147" w:rsidRPr="007372BE" w:rsidRDefault="003F6147" w:rsidP="003F6147">
      <w:pPr>
        <w:contextualSpacing/>
        <w:jc w:val="center"/>
      </w:pPr>
      <w:r w:rsidRPr="007372BE">
        <w:t>Sacramento, California</w:t>
      </w:r>
      <w:r w:rsidR="00D53A75" w:rsidRPr="007372BE">
        <w:t>,</w:t>
      </w:r>
      <w:r w:rsidRPr="007372BE">
        <w:t xml:space="preserve">  95814</w:t>
      </w:r>
    </w:p>
    <w:p w14:paraId="637C070F" w14:textId="0E52BCA0" w:rsidR="003F6147" w:rsidRPr="007372BE" w:rsidRDefault="003F6147" w:rsidP="000458ED">
      <w:pPr>
        <w:contextualSpacing/>
        <w:jc w:val="center"/>
      </w:pPr>
      <w:r w:rsidRPr="007372BE">
        <w:t xml:space="preserve">Telephone: (916) </w:t>
      </w:r>
      <w:r w:rsidR="00BE1118" w:rsidRPr="007372BE">
        <w:t>529-1108</w:t>
      </w:r>
    </w:p>
    <w:p w14:paraId="2827A557" w14:textId="5C5F9770" w:rsidR="003F6147" w:rsidRPr="007372BE" w:rsidRDefault="003F6147" w:rsidP="003F6147">
      <w:pPr>
        <w:spacing w:after="0"/>
        <w:contextualSpacing/>
        <w:jc w:val="center"/>
      </w:pPr>
      <w:r w:rsidRPr="007372BE">
        <w:t xml:space="preserve">E-mail: </w:t>
      </w:r>
      <w:r w:rsidR="00BE1118" w:rsidRPr="007372BE">
        <w:t>crystal.willis</w:t>
      </w:r>
      <w:r w:rsidRPr="007372BE">
        <w:t>@energy.ca.gov</w:t>
      </w:r>
    </w:p>
    <w:p w14:paraId="13FEBABF" w14:textId="77777777" w:rsidR="003F6147" w:rsidRPr="007372BE" w:rsidRDefault="003F6147" w:rsidP="003F6147">
      <w:pPr>
        <w:spacing w:after="0"/>
        <w:jc w:val="both"/>
      </w:pPr>
    </w:p>
    <w:p w14:paraId="4499E5FB" w14:textId="5A7CE160" w:rsidR="002154F1" w:rsidRPr="003F6147" w:rsidRDefault="002154F1" w:rsidP="002154F1">
      <w:pPr>
        <w:jc w:val="both"/>
      </w:pPr>
      <w:r w:rsidRPr="003F6147">
        <w:rPr>
          <w:szCs w:val="22"/>
        </w:rPr>
        <w:t xml:space="preserve">Applicants may ask questions at the Pre-Application Workshop, and may submit written questions via 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Pr="00EA0DCF">
        <w:t xml:space="preserve">to 5:00 p.m. of </w:t>
      </w:r>
      <w:r w:rsidRPr="003F6147">
        <w:t>the application deadline</w:t>
      </w:r>
      <w:r>
        <w:t xml:space="preserve"> date</w:t>
      </w:r>
      <w:r w:rsidRPr="003F6147">
        <w:t xml:space="preserve">. </w:t>
      </w:r>
    </w:p>
    <w:p w14:paraId="5F18B9DB" w14:textId="77777777" w:rsidR="002154F1" w:rsidRPr="003F6147" w:rsidRDefault="002154F1" w:rsidP="002154F1">
      <w:pPr>
        <w:spacing w:before="240"/>
        <w:jc w:val="both"/>
      </w:pPr>
      <w:r w:rsidRPr="003F6147">
        <w:t xml:space="preserve">The questions and answers will also be posted on the Commission’s website at: </w:t>
      </w:r>
      <w:r w:rsidRPr="005B073B">
        <w:t>https://www.energy.ca.gov/funding-opportunities/solicitations</w:t>
      </w:r>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pPr>
        <w:pStyle w:val="Heading2"/>
        <w:numPr>
          <w:ilvl w:val="0"/>
          <w:numId w:val="45"/>
        </w:numPr>
      </w:pPr>
      <w:bookmarkStart w:id="69" w:name="_Toc522777845"/>
      <w:bookmarkStart w:id="70" w:name="_Toc26361578"/>
      <w:bookmarkStart w:id="71" w:name="_Toc81377105"/>
      <w:bookmarkStart w:id="72" w:name="_Toc86152244"/>
      <w:r w:rsidRPr="00BA3BBD">
        <w:t>Applicants’ Admonishment</w:t>
      </w:r>
      <w:bookmarkEnd w:id="69"/>
      <w:bookmarkEnd w:id="70"/>
      <w:bookmarkEnd w:id="71"/>
      <w:bookmarkEnd w:id="72"/>
    </w:p>
    <w:p w14:paraId="0A661823" w14:textId="4220BC7D" w:rsidR="00BA3BBD" w:rsidRPr="00BA3BBD"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  In particular, please carefully read the </w:t>
      </w:r>
      <w:r w:rsidRPr="00BA3BBD">
        <w:rPr>
          <w:b/>
        </w:rPr>
        <w:t>Screening/Scoring Criteria and</w:t>
      </w:r>
      <w:r w:rsidRPr="00BA3BBD">
        <w:t xml:space="preserve"> </w:t>
      </w:r>
      <w:r w:rsidRPr="00BA3BBD">
        <w:rPr>
          <w:b/>
        </w:rPr>
        <w:t xml:space="preserve">Grounds for Rejection </w:t>
      </w:r>
      <w:r w:rsidRPr="00BA3BBD">
        <w:t>i</w:t>
      </w:r>
      <w:r w:rsidR="00A8436A">
        <w:t xml:space="preserve">n Part IV, and the relevant </w:t>
      </w:r>
      <w:r w:rsidR="00E60A86" w:rsidRPr="00E60A86">
        <w:t>Gas R&amp;D</w:t>
      </w:r>
      <w:r w:rsidRPr="00BA3BBD">
        <w:t xml:space="preserve"> Grant terms and conditions </w:t>
      </w:r>
      <w:r w:rsidR="0028538A" w:rsidRPr="0028538A">
        <w:t>(formerly known as PIER Grant terms and conditions)</w:t>
      </w:r>
      <w:r w:rsidR="000F15F6">
        <w:t xml:space="preserve"> </w:t>
      </w:r>
      <w:r w:rsidRPr="00BA3BBD">
        <w:t xml:space="preserve">located at: </w:t>
      </w:r>
      <w:r w:rsidRPr="00A8436A">
        <w:t>http://www.energy.ca.gov/research/contractors.html.</w:t>
      </w:r>
      <w:r w:rsidRPr="00BA3BBD">
        <w:t xml:space="preserve">  </w:t>
      </w:r>
    </w:p>
    <w:p w14:paraId="09B8AB8B" w14:textId="77777777" w:rsidR="00BA3BBD" w:rsidRDefault="00BA3BBD" w:rsidP="00BA3BBD">
      <w:pPr>
        <w:jc w:val="both"/>
      </w:pPr>
      <w:bookmarkStart w:id="73" w:name="_Toc433981277"/>
      <w:bookmarkStart w:id="74" w:name="_Toc395180625"/>
      <w:bookmarkStart w:id="75" w:name="_Toc382571127"/>
      <w:bookmarkStart w:id="76" w:name="_Toc381079868"/>
      <w:r w:rsidRPr="00BA3BBD">
        <w:t>Applicants are solely responsible for the cost of developing applications.  This cost cannot be charged to the State.  All submitted documents will become publicly available records upon the posting of the Notice of Proposed Award.</w:t>
      </w:r>
      <w:bookmarkEnd w:id="73"/>
      <w:bookmarkEnd w:id="74"/>
      <w:bookmarkEnd w:id="75"/>
      <w:bookmarkEnd w:id="76"/>
    </w:p>
    <w:p w14:paraId="0C99A926" w14:textId="5D88ACB2" w:rsidR="00B703F3" w:rsidRPr="00DF3B84" w:rsidRDefault="44F04029" w:rsidP="3CF0F754">
      <w:pPr>
        <w:jc w:val="both"/>
      </w:pPr>
      <w:r w:rsidRPr="00386F05">
        <w:t xml:space="preserve">In addition to any other right reserved to it under this solicitation or that it otherwise has, if the CEC determines, in its sole and absolute discretion, </w:t>
      </w:r>
      <w:r w:rsidR="4177B5DD" w:rsidRPr="00386F05">
        <w:t xml:space="preserve">that if an agreement </w:t>
      </w:r>
      <w:r w:rsidR="2F83408E" w:rsidRPr="00386F05">
        <w:t xml:space="preserve">is not being successfully </w:t>
      </w:r>
      <w:r w:rsidR="2F83408E" w:rsidRPr="00386F05">
        <w:lastRenderedPageBreak/>
        <w:t>executed</w:t>
      </w:r>
      <w:r w:rsidR="4177B5DD" w:rsidRPr="00386F05">
        <w:t xml:space="preserve"> with an applicant</w:t>
      </w:r>
      <w:r w:rsidR="1CB8D00B" w:rsidRPr="00386F05">
        <w:t xml:space="preserve"> in a timely manner, </w:t>
      </w:r>
      <w:r w:rsidRPr="00386F05">
        <w:t>the CEC may cancel a proposed award and award funds to the next highest scoring applicant.</w:t>
      </w:r>
    </w:p>
    <w:p w14:paraId="6ECB5E5A" w14:textId="77777777" w:rsidR="00B703F3" w:rsidRPr="00BA3BBD" w:rsidRDefault="00B703F3" w:rsidP="00BA3BBD">
      <w:pPr>
        <w:spacing w:after="240"/>
        <w:jc w:val="both"/>
      </w:pPr>
      <w:bookmarkStart w:id="77" w:name="_additional_requirements"/>
      <w:bookmarkEnd w:id="77"/>
    </w:p>
    <w:p w14:paraId="0AEF90FE" w14:textId="77777777" w:rsidR="00BA3BBD" w:rsidRPr="00606147" w:rsidRDefault="00BA3BBD">
      <w:pPr>
        <w:pStyle w:val="Heading2"/>
        <w:numPr>
          <w:ilvl w:val="0"/>
          <w:numId w:val="45"/>
        </w:numPr>
      </w:pPr>
      <w:bookmarkStart w:id="78" w:name="_Toc522777847"/>
      <w:bookmarkStart w:id="79" w:name="_Toc26361580"/>
      <w:bookmarkStart w:id="80" w:name="_Toc81377106"/>
      <w:bookmarkStart w:id="81" w:name="_Toc86152245"/>
      <w:r w:rsidRPr="00BA3BBD">
        <w:t>Background</w:t>
      </w:r>
      <w:bookmarkEnd w:id="78"/>
      <w:bookmarkEnd w:id="79"/>
      <w:bookmarkEnd w:id="80"/>
      <w:bookmarkEnd w:id="81"/>
    </w:p>
    <w:p w14:paraId="239A2223" w14:textId="6F9880DC" w:rsidR="00BA3BBD" w:rsidRPr="00BA3BBD" w:rsidRDefault="00A8436A">
      <w:pPr>
        <w:numPr>
          <w:ilvl w:val="0"/>
          <w:numId w:val="28"/>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26"/>
      </w:r>
    </w:p>
    <w:p w14:paraId="34565B5D" w14:textId="654F7593" w:rsidR="00A8436A" w:rsidRDefault="00A8436A" w:rsidP="00F24048">
      <w:pPr>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which is funded by a ratepayer surcharge on gas consumed by ratepayers of G</w:t>
      </w:r>
      <w:r w:rsidR="00EB2920">
        <w:t>as</w:t>
      </w:r>
      <w:r w:rsidRPr="00D9399E">
        <w:t xml:space="preserve"> IOUs in California (see California Public Utilities Code section 890</w:t>
      </w:r>
      <w:r w:rsidRPr="00C80555">
        <w:t xml:space="preserve"> </w:t>
      </w:r>
      <w:r>
        <w:t>and 895</w:t>
      </w:r>
      <w:r w:rsidRPr="00D9399E">
        <w:t>). The California Public Utilities Commission (CPUC) designated the California Energy Commission as administrator of the program in August 2004</w:t>
      </w:r>
      <w:r w:rsidRPr="00D9399E">
        <w:rPr>
          <w:rStyle w:val="FootnoteReference"/>
        </w:rPr>
        <w:footnoteReference w:id="27"/>
      </w:r>
      <w:r w:rsidRPr="00D9399E">
        <w:t>.  The purpose of the program is to benefit California gas ratepayers by funding public interest research and development activities, which the CPUC has defined as “developing science or technology, the benefits of which accrues to California citizens and are not adequately addressed by competitive or regulated entities.”</w:t>
      </w:r>
      <w:r w:rsidRPr="00D9399E">
        <w:rPr>
          <w:rStyle w:val="FootnoteReference"/>
        </w:rPr>
        <w:footnoteReference w:id="28"/>
      </w:r>
      <w:r w:rsidRPr="00450029">
        <w:t xml:space="preserve"> </w:t>
      </w:r>
    </w:p>
    <w:p w14:paraId="22FB237F" w14:textId="77777777" w:rsidR="00A8436A" w:rsidRPr="00D9399E" w:rsidRDefault="00A8436A">
      <w:pPr>
        <w:numPr>
          <w:ilvl w:val="0"/>
          <w:numId w:val="28"/>
        </w:numPr>
        <w:tabs>
          <w:tab w:val="num" w:pos="360"/>
        </w:tabs>
        <w:rPr>
          <w:b/>
        </w:rPr>
      </w:pPr>
      <w:bookmarkStart w:id="82" w:name="chkAugment"/>
      <w:r w:rsidRPr="00D9399E">
        <w:rPr>
          <w:b/>
        </w:rPr>
        <w:t>Program Areas, Strategic Objectives, and Funding Initiatives</w:t>
      </w:r>
    </w:p>
    <w:p w14:paraId="589F91F1" w14:textId="77777777" w:rsidR="00BE1118" w:rsidRPr="007372BE" w:rsidRDefault="00A8436A" w:rsidP="00BE1118">
      <w:pPr>
        <w:spacing w:after="0"/>
        <w:rPr>
          <w:rFonts w:ascii="Times New Roman" w:hAnsi="Times New Roman" w:cs="Times New Roman"/>
          <w:sz w:val="24"/>
          <w:szCs w:val="24"/>
        </w:rPr>
      </w:pPr>
      <w:r w:rsidRPr="00D9399E">
        <w:t>Gas R&amp;D projects must fall within one or more specific focus areas (</w:t>
      </w:r>
      <w:r w:rsidRPr="00D9399E">
        <w:rPr>
          <w:b/>
        </w:rPr>
        <w:t>“research initiatives”</w:t>
      </w:r>
      <w:r w:rsidRPr="00D9399E">
        <w:t>) identified in the Gas R&amp;D Budget Plan.  This solicitation targets the following</w:t>
      </w:r>
      <w:r w:rsidRPr="00D9399E">
        <w:rPr>
          <w:szCs w:val="22"/>
        </w:rPr>
        <w:t xml:space="preserve"> research </w:t>
      </w:r>
      <w:r w:rsidRPr="007372BE">
        <w:rPr>
          <w:szCs w:val="22"/>
        </w:rPr>
        <w:t xml:space="preserve">initiative(s) from the </w:t>
      </w:r>
      <w:r w:rsidRPr="007372BE">
        <w:t xml:space="preserve">Natural Gas R&amp;D Budget Plan for </w:t>
      </w:r>
      <w:r w:rsidR="00BE1118" w:rsidRPr="007372BE">
        <w:t>Fiscal Years 2021/2022</w:t>
      </w:r>
      <w:r w:rsidR="00BE1118" w:rsidRPr="007372BE">
        <w:rPr>
          <w:rStyle w:val="FootnoteReference"/>
        </w:rPr>
        <w:footnoteReference w:id="29"/>
      </w:r>
      <w:r w:rsidR="00BE1118" w:rsidRPr="007372BE">
        <w:t xml:space="preserve"> and 2022/2023</w:t>
      </w:r>
      <w:r w:rsidR="00BE1118" w:rsidRPr="007372BE">
        <w:rPr>
          <w:rStyle w:val="FootnoteReference"/>
        </w:rPr>
        <w:footnoteReference w:id="30"/>
      </w:r>
      <w:r w:rsidR="00BE1118" w:rsidRPr="007372BE">
        <w:t>:</w:t>
      </w:r>
      <w:r w:rsidR="00BE1118" w:rsidRPr="007372BE">
        <w:rPr>
          <w:rFonts w:ascii="Times New Roman" w:hAnsi="Times New Roman" w:cs="Times New Roman"/>
          <w:sz w:val="24"/>
          <w:szCs w:val="24"/>
        </w:rPr>
        <w:t xml:space="preserve"> </w:t>
      </w:r>
    </w:p>
    <w:p w14:paraId="178D8AD1" w14:textId="7CAEAA15" w:rsidR="00A8436A" w:rsidRPr="007372BE" w:rsidRDefault="00A8436A" w:rsidP="00A8436A">
      <w:pPr>
        <w:keepNext/>
        <w:jc w:val="both"/>
      </w:pPr>
    </w:p>
    <w:p w14:paraId="2C1338F0" w14:textId="444ED05C" w:rsidR="00A8436A" w:rsidRPr="007372BE" w:rsidRDefault="00A8436A" w:rsidP="00A8436A">
      <w:pPr>
        <w:jc w:val="both"/>
      </w:pPr>
      <w:r w:rsidRPr="007372BE">
        <w:rPr>
          <w:b/>
        </w:rPr>
        <w:t>Specify Investment Plan</w:t>
      </w:r>
    </w:p>
    <w:p w14:paraId="3AFC35ED" w14:textId="77777777" w:rsidR="00BE1118" w:rsidRPr="007372BE" w:rsidRDefault="00A8436A">
      <w:pPr>
        <w:pStyle w:val="ListParagraph"/>
        <w:numPr>
          <w:ilvl w:val="0"/>
          <w:numId w:val="64"/>
        </w:numPr>
        <w:jc w:val="both"/>
      </w:pPr>
      <w:bookmarkStart w:id="83" w:name="_Toc381079871"/>
      <w:bookmarkStart w:id="84" w:name="_Toc382571130"/>
      <w:bookmarkStart w:id="85" w:name="_Toc395180628"/>
      <w:r w:rsidRPr="007372BE">
        <w:rPr>
          <w:b/>
        </w:rPr>
        <w:t>Research Area</w:t>
      </w:r>
      <w:r w:rsidRPr="007372BE">
        <w:t xml:space="preserve">: </w:t>
      </w:r>
      <w:bookmarkEnd w:id="83"/>
      <w:bookmarkEnd w:id="84"/>
      <w:bookmarkEnd w:id="85"/>
      <w:r w:rsidR="00BE1118" w:rsidRPr="007372BE">
        <w:rPr>
          <w:b/>
          <w:bCs/>
        </w:rPr>
        <w:t>Renewable Energy and Advanced Generation Program Goals</w:t>
      </w:r>
      <w:r w:rsidR="00BE1118" w:rsidRPr="007372BE">
        <w:t xml:space="preserve"> </w:t>
      </w:r>
    </w:p>
    <w:p w14:paraId="463ACE40" w14:textId="7B61ADAE" w:rsidR="00BE1118" w:rsidRPr="007372BE" w:rsidRDefault="00A8436A">
      <w:pPr>
        <w:pStyle w:val="ListParagraph"/>
        <w:numPr>
          <w:ilvl w:val="1"/>
          <w:numId w:val="64"/>
        </w:numPr>
        <w:ind w:left="1080"/>
        <w:jc w:val="both"/>
        <w:rPr>
          <w:sz w:val="16"/>
          <w:szCs w:val="16"/>
        </w:rPr>
      </w:pPr>
      <w:bookmarkStart w:id="86" w:name="_Toc381079873"/>
      <w:bookmarkStart w:id="87" w:name="_Toc382571132"/>
      <w:bookmarkStart w:id="88" w:name="_Toc395180630"/>
      <w:r w:rsidRPr="007372BE">
        <w:rPr>
          <w:b/>
        </w:rPr>
        <w:t>Research Initiative</w:t>
      </w:r>
      <w:bookmarkEnd w:id="86"/>
      <w:bookmarkEnd w:id="87"/>
      <w:bookmarkEnd w:id="88"/>
      <w:r w:rsidR="00BE1118" w:rsidRPr="007372BE">
        <w:rPr>
          <w:b/>
        </w:rPr>
        <w:t>s</w:t>
      </w:r>
      <w:r w:rsidR="00BE1118" w:rsidRPr="007372BE">
        <w:t xml:space="preserve">: </w:t>
      </w:r>
    </w:p>
    <w:p w14:paraId="59075207" w14:textId="77777777" w:rsidR="00BE1118" w:rsidRPr="007372BE" w:rsidRDefault="00BE1118">
      <w:pPr>
        <w:pStyle w:val="ListParagraph"/>
        <w:numPr>
          <w:ilvl w:val="2"/>
          <w:numId w:val="64"/>
        </w:numPr>
        <w:jc w:val="both"/>
        <w:rPr>
          <w:sz w:val="16"/>
          <w:szCs w:val="16"/>
        </w:rPr>
      </w:pPr>
      <w:r w:rsidRPr="007372BE">
        <w:t xml:space="preserve">Developing and Demonstrating Hydrogen-based Power Generation Systems, </w:t>
      </w:r>
      <w:r w:rsidRPr="007372BE">
        <w:rPr>
          <w:szCs w:val="22"/>
        </w:rPr>
        <w:t>from the 2021-22 Plan</w:t>
      </w:r>
      <w:r w:rsidRPr="007372BE">
        <w:t>; and</w:t>
      </w:r>
    </w:p>
    <w:p w14:paraId="4A2B5229" w14:textId="63E5248F" w:rsidR="00A8436A" w:rsidRPr="007372BE" w:rsidRDefault="00BE1118">
      <w:pPr>
        <w:pStyle w:val="ListParagraph"/>
        <w:numPr>
          <w:ilvl w:val="2"/>
          <w:numId w:val="64"/>
        </w:numPr>
        <w:jc w:val="both"/>
        <w:rPr>
          <w:sz w:val="16"/>
          <w:szCs w:val="16"/>
        </w:rPr>
      </w:pPr>
      <w:r w:rsidRPr="007372BE">
        <w:t xml:space="preserve">Mitigate Criteria Air Pollutants in Hydrogen-Based Power Generation, from the </w:t>
      </w:r>
      <w:r w:rsidRPr="007372BE">
        <w:rPr>
          <w:szCs w:val="22"/>
        </w:rPr>
        <w:t>2022-23 Plan</w:t>
      </w:r>
      <w:r w:rsidRPr="007372BE">
        <w:t>.</w:t>
      </w:r>
    </w:p>
    <w:p w14:paraId="3DE5FB3D" w14:textId="34F3D04C" w:rsidR="00BA3BBD" w:rsidRDefault="00BA3BBD" w:rsidP="00BA3BBD"/>
    <w:p w14:paraId="088AB241" w14:textId="4BE51565" w:rsidR="00B33C6C" w:rsidRDefault="00B33C6C" w:rsidP="00BA3BBD"/>
    <w:p w14:paraId="2E729CDC" w14:textId="77777777" w:rsidR="00B33C6C" w:rsidRPr="00BA3BBD" w:rsidRDefault="00B33C6C" w:rsidP="00BA3BBD"/>
    <w:p w14:paraId="621B4F97" w14:textId="77777777" w:rsidR="00BA3BBD" w:rsidRPr="00BA3BBD" w:rsidRDefault="00BA3BBD">
      <w:pPr>
        <w:numPr>
          <w:ilvl w:val="0"/>
          <w:numId w:val="51"/>
        </w:numPr>
        <w:tabs>
          <w:tab w:val="num" w:pos="360"/>
        </w:tabs>
        <w:jc w:val="both"/>
        <w:rPr>
          <w:b/>
        </w:rPr>
      </w:pPr>
      <w:bookmarkStart w:id="89" w:name="AppLaws"/>
      <w:r w:rsidRPr="00BA3BBD">
        <w:rPr>
          <w:b/>
        </w:rPr>
        <w:t xml:space="preserve">Applicable Laws, Policies, and Background Documents </w:t>
      </w:r>
    </w:p>
    <w:bookmarkEnd w:id="89"/>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52CF576F" w14:textId="380EE122" w:rsidR="00BA3BBD" w:rsidRPr="00BA3BBD" w:rsidRDefault="00B10326">
      <w:pPr>
        <w:numPr>
          <w:ilvl w:val="0"/>
          <w:numId w:val="39"/>
        </w:numPr>
        <w:jc w:val="both"/>
        <w:rPr>
          <w:b/>
        </w:rPr>
      </w:pPr>
      <w:r w:rsidRPr="00B10326">
        <w:rPr>
          <w:b/>
        </w:rPr>
        <w:t>Assembly Bill (AB) 32</w:t>
      </w:r>
      <w:r w:rsidR="00BA3BBD" w:rsidRPr="00BA3BBD">
        <w:rPr>
          <w:rFonts w:cs="Times New Roman"/>
          <w:b/>
          <w:vertAlign w:val="superscript"/>
        </w:rPr>
        <w:footnoteReference w:id="31"/>
      </w:r>
      <w:r w:rsidR="00BA3BBD" w:rsidRPr="00BA3BBD">
        <w:rPr>
          <w:b/>
        </w:rPr>
        <w:t xml:space="preserve"> - Global Warming Solutions Act of 2006 </w:t>
      </w:r>
    </w:p>
    <w:p w14:paraId="775A2672" w14:textId="6A6BF8F3" w:rsidR="00BA3BBD" w:rsidRPr="00BA3BBD" w:rsidRDefault="00042D6C" w:rsidP="00BA3BBD">
      <w:pPr>
        <w:ind w:left="720"/>
        <w:jc w:val="both"/>
      </w:pPr>
      <w:r>
        <w:t>A</w:t>
      </w:r>
      <w:r w:rsidR="00BA3BBD" w:rsidRPr="00BA3BBD">
        <w:t>B 32</w:t>
      </w:r>
      <w:r w:rsidR="00BA3BBD" w:rsidRPr="00BA3BBD">
        <w:rPr>
          <w:b/>
        </w:rPr>
        <w:t xml:space="preserve"> </w:t>
      </w:r>
      <w:r w:rsidR="00BA3BBD" w:rsidRPr="00BA3BBD">
        <w:t xml:space="preserve">created a comprehensive program to reduce greenhouse gas (GHG) emissions in California. GHG reduction strategies include a reduction mandate of 1990 levels by 2020 and a cap-and-trade program.  </w:t>
      </w:r>
      <w:r w:rsidR="00C45CF7">
        <w:t>A</w:t>
      </w:r>
      <w:r w:rsidR="00BA3BBD" w:rsidRPr="00BA3BBD">
        <w:t xml:space="preserve">B 32 also </w:t>
      </w:r>
      <w:r w:rsidR="00C45CF7">
        <w:t>designates</w:t>
      </w:r>
      <w:r w:rsidR="00BA3BBD" w:rsidRPr="00BA3BBD">
        <w:t xml:space="preserve"> the California Air Resources Board (</w:t>
      </w:r>
      <w:r w:rsidR="00C45CF7">
        <w:t>C</w:t>
      </w:r>
      <w:r w:rsidR="00BA3BBD" w:rsidRPr="00BA3BBD">
        <w:t xml:space="preserve">ARB) </w:t>
      </w:r>
      <w:r w:rsidR="00BE7518" w:rsidRPr="00BE7518">
        <w:t xml:space="preserve">as the state agency charged with monitoring and regulating sources of greenhouse gas (GHG) emissions and requires CARB </w:t>
      </w:r>
      <w:r w:rsidR="00BA3BBD" w:rsidRPr="00BA3BBD">
        <w:t xml:space="preserve">to develop a Scoping Plan that describes the approach California will take to reduce GHGs.  </w:t>
      </w:r>
      <w:r w:rsidR="00697276">
        <w:t>C</w:t>
      </w:r>
      <w:r w:rsidR="00BA3BBD" w:rsidRPr="00BA3BBD">
        <w:t xml:space="preserve">ARB must update the plan </w:t>
      </w:r>
      <w:r w:rsidR="00697276" w:rsidRPr="00697276">
        <w:t xml:space="preserve">at least once </w:t>
      </w:r>
      <w:r w:rsidR="00BA3BBD" w:rsidRPr="00BA3BBD">
        <w:t>every five years.</w:t>
      </w:r>
    </w:p>
    <w:p w14:paraId="5881DD8C" w14:textId="527D95BC" w:rsidR="00BA3BBD" w:rsidRPr="00BA3BBD" w:rsidRDefault="00BA3BBD" w:rsidP="006E5BC9">
      <w:pPr>
        <w:ind w:left="720"/>
        <w:rPr>
          <w:color w:val="000000"/>
        </w:rPr>
      </w:pPr>
      <w:r w:rsidRPr="00BA3BBD">
        <w:t>Additional information:</w:t>
      </w:r>
      <w:r w:rsidRPr="00BA3BBD">
        <w:rPr>
          <w:color w:val="000000"/>
        </w:rPr>
        <w:t xml:space="preserve"> </w:t>
      </w:r>
      <w:r w:rsidR="0098114E" w:rsidRPr="0098114E">
        <w:rPr>
          <w:szCs w:val="22"/>
        </w:rPr>
        <w:t>https://leginfo.legislature.ca.gov/faces/billNavClient.xhtml?bill_id=200520060AB32</w:t>
      </w:r>
      <w:r w:rsidR="006E5BC9" w:rsidRPr="006E5BC9">
        <w:rPr>
          <w:szCs w:val="22"/>
        </w:rPr>
        <w:t>; https://ww2.arb.ca.gov/our-work/programs/ab-32-climate-change-scoping-plan</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F33BF6E" w:rsidR="00BA3BBD" w:rsidRPr="00BA3BBD" w:rsidRDefault="00B7232D">
      <w:pPr>
        <w:numPr>
          <w:ilvl w:val="0"/>
          <w:numId w:val="39"/>
        </w:numPr>
        <w:jc w:val="both"/>
        <w:rPr>
          <w:b/>
        </w:rPr>
      </w:pPr>
      <w:r w:rsidRPr="00B7232D">
        <w:rPr>
          <w:b/>
        </w:rPr>
        <w:t xml:space="preserve">Senate Bill (SB) 32 </w:t>
      </w:r>
      <w:r w:rsidR="00BA3BBD" w:rsidRPr="00BA3BBD">
        <w:rPr>
          <w:b/>
        </w:rPr>
        <w:t>- California Global Warming Solutions Act of 2006: emissions limit</w:t>
      </w:r>
    </w:p>
    <w:p w14:paraId="5F2B910B" w14:textId="62DDE61E" w:rsidR="00BA3BBD" w:rsidRPr="00BA3BBD" w:rsidRDefault="00B7232D" w:rsidP="00BA3BBD">
      <w:pPr>
        <w:ind w:left="720"/>
        <w:jc w:val="both"/>
      </w:pPr>
      <w:r>
        <w:t>S</w:t>
      </w:r>
      <w:r w:rsidR="00BA3BBD" w:rsidRPr="00BA3BBD">
        <w:t xml:space="preserve">B 32 </w:t>
      </w:r>
      <w:r w:rsidR="00B36533" w:rsidRPr="00B36533">
        <w:t xml:space="preserve">expands on AB 32 </w:t>
      </w:r>
      <w:r w:rsidR="00AB6990" w:rsidRPr="00AB6990">
        <w:t>by requiring that CARB</w:t>
      </w:r>
      <w:r w:rsidR="00BA3BBD" w:rsidRPr="00BA3BBD">
        <w:t xml:space="preserve"> ensure statewide GHG emissions are reduced to 40% below the 1990 level by </w:t>
      </w:r>
      <w:r w:rsidR="0D4980FA">
        <w:t xml:space="preserve">no later than December 31, </w:t>
      </w:r>
      <w:r w:rsidR="00BA3BBD">
        <w:t>2030.</w:t>
      </w:r>
      <w:r w:rsidR="008F19CB">
        <w:t xml:space="preserve"> </w:t>
      </w:r>
      <w:r w:rsidR="008F19CB" w:rsidRPr="008F19CB">
        <w:t>SB 32 further requires that these emission reductions are achieved in a manner that benefits the state’s most disadvantaged communities and is transparent and accountable to the public and the Legislature.</w:t>
      </w:r>
    </w:p>
    <w:p w14:paraId="25683035" w14:textId="1BCEAC37" w:rsidR="00BA3BBD" w:rsidRDefault="00BA3BBD" w:rsidP="003D7131">
      <w:pPr>
        <w:spacing w:after="240"/>
        <w:ind w:left="720"/>
        <w:rPr>
          <w:szCs w:val="22"/>
        </w:rPr>
      </w:pPr>
      <w:r w:rsidRPr="00BA3BBD">
        <w:t xml:space="preserve">Additional information: </w:t>
      </w:r>
      <w:r w:rsidR="003D7131" w:rsidRPr="003D7131">
        <w:rPr>
          <w:szCs w:val="22"/>
        </w:rPr>
        <w:t>https://leginfo.legislature.ca.gov/faces/billNavClient.xhtml?bill_id=201520160SB32</w:t>
      </w:r>
    </w:p>
    <w:p w14:paraId="142A6903" w14:textId="68B8660D" w:rsidR="003D7131" w:rsidRDefault="003D7131" w:rsidP="003D7131">
      <w:pPr>
        <w:spacing w:after="240"/>
        <w:ind w:left="720"/>
        <w:jc w:val="both"/>
        <w:rPr>
          <w:szCs w:val="22"/>
        </w:rPr>
      </w:pPr>
      <w:r w:rsidRPr="00697A73">
        <w:rPr>
          <w:szCs w:val="22"/>
        </w:rPr>
        <w:t>Applicable Law: California Health and Safety Code § 38566. </w:t>
      </w:r>
    </w:p>
    <w:p w14:paraId="521FCBDE" w14:textId="77777777" w:rsidR="00BE1118" w:rsidRPr="007372BE" w:rsidRDefault="00BE1118">
      <w:pPr>
        <w:numPr>
          <w:ilvl w:val="0"/>
          <w:numId w:val="65"/>
        </w:numPr>
        <w:jc w:val="both"/>
        <w:rPr>
          <w:b/>
          <w:bCs/>
        </w:rPr>
      </w:pPr>
      <w:r w:rsidRPr="007372BE">
        <w:rPr>
          <w:b/>
          <w:bCs/>
        </w:rPr>
        <w:t>SB 100</w:t>
      </w:r>
      <w:r w:rsidRPr="007372BE">
        <w:rPr>
          <w:rStyle w:val="FootnoteReference"/>
          <w:b/>
          <w:bCs/>
        </w:rPr>
        <w:footnoteReference w:id="32"/>
      </w:r>
      <w:r w:rsidRPr="007372BE">
        <w:rPr>
          <w:b/>
          <w:bCs/>
        </w:rPr>
        <w:t xml:space="preserve"> The 100 Percent Clean Energy Act of 2018,</w:t>
      </w:r>
    </w:p>
    <w:p w14:paraId="28DCE7FB" w14:textId="77777777" w:rsidR="00BE1118" w:rsidRPr="007372BE" w:rsidRDefault="00BE1118" w:rsidP="00BE1118">
      <w:pPr>
        <w:spacing w:after="240"/>
        <w:ind w:left="720"/>
        <w:jc w:val="both"/>
      </w:pPr>
      <w:r w:rsidRPr="007372BE">
        <w:t>SB 100 does the following: 1) sets a 2045 goal of powering all retail electricity sold in California and state agency electricity needs with renewable and zero-carbon resources; and 2) requires the Energy Commission, Public Utilities Commission, and Air Resources Board to use programs under existing laws to achieve 100 percent clean electricity and issue a joint policy report on SB 100 by 2021 and every four years thereafter.</w:t>
      </w:r>
    </w:p>
    <w:p w14:paraId="3DBC43FA" w14:textId="77777777" w:rsidR="00BE1118" w:rsidRPr="007372BE" w:rsidRDefault="00BE1118" w:rsidP="00BE1118">
      <w:pPr>
        <w:spacing w:after="240"/>
        <w:ind w:left="720"/>
        <w:jc w:val="both"/>
      </w:pPr>
      <w:r w:rsidRPr="007372BE">
        <w:lastRenderedPageBreak/>
        <w:t>Additional information: https://leginfo.legislature.ca.gov/faces/billNavClient.xhtml?bill_id=201720180SB100</w:t>
      </w:r>
    </w:p>
    <w:p w14:paraId="2B854A80" w14:textId="77777777" w:rsidR="00BA3BBD" w:rsidRPr="00BA3BBD" w:rsidRDefault="00BA3BBD">
      <w:pPr>
        <w:numPr>
          <w:ilvl w:val="0"/>
          <w:numId w:val="40"/>
        </w:numPr>
        <w:spacing w:line="280" w:lineRule="atLeast"/>
        <w:ind w:hanging="302"/>
        <w:jc w:val="both"/>
        <w:rPr>
          <w:rFonts w:ascii="Palatino Linotype" w:hAnsi="Palatino Linotype" w:cs="Times New Roman"/>
          <w:b/>
          <w:color w:val="000000"/>
        </w:rPr>
      </w:pPr>
      <w:r w:rsidRPr="00BA3BBD">
        <w:rPr>
          <w:b/>
          <w:color w:val="000000"/>
        </w:rPr>
        <w:t>SB 350</w:t>
      </w:r>
      <w:r w:rsidRPr="00BA3BBD">
        <w:rPr>
          <w:rFonts w:cs="Times New Roman"/>
          <w:b/>
          <w:color w:val="000000"/>
          <w:vertAlign w:val="superscript"/>
        </w:rPr>
        <w:footnoteReference w:id="33"/>
      </w:r>
      <w:r w:rsidRPr="00BA3BBD">
        <w:rPr>
          <w:b/>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t>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final end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77B09FE7" w14:textId="77777777" w:rsidR="00BE1118" w:rsidRPr="007372BE" w:rsidRDefault="00BE1118">
      <w:pPr>
        <w:pStyle w:val="ListParagraph"/>
        <w:numPr>
          <w:ilvl w:val="0"/>
          <w:numId w:val="66"/>
        </w:numPr>
        <w:tabs>
          <w:tab w:val="left" w:pos="1170"/>
        </w:tabs>
        <w:spacing w:after="0"/>
        <w:jc w:val="both"/>
        <w:rPr>
          <w:rFonts w:eastAsia="Arial"/>
          <w:b/>
          <w:bCs/>
          <w:szCs w:val="22"/>
        </w:rPr>
      </w:pPr>
      <w:r w:rsidRPr="007372BE">
        <w:rPr>
          <w:b/>
          <w:bCs/>
        </w:rPr>
        <w:t>SB 1075</w:t>
      </w:r>
      <w:r w:rsidRPr="007372BE">
        <w:rPr>
          <w:b/>
          <w:bCs/>
          <w:vertAlign w:val="superscript"/>
        </w:rPr>
        <w:footnoteReference w:id="34"/>
      </w:r>
      <w:r w:rsidRPr="007372BE">
        <w:rPr>
          <w:b/>
          <w:bCs/>
        </w:rPr>
        <w:t xml:space="preserve"> Hydrogen: green hydrogen: emissions of greenhouse gases.</w:t>
      </w:r>
    </w:p>
    <w:p w14:paraId="4DF35DD3" w14:textId="77777777" w:rsidR="00BE1118" w:rsidRPr="007372BE" w:rsidRDefault="00BE1118" w:rsidP="00BE1118">
      <w:pPr>
        <w:tabs>
          <w:tab w:val="left" w:pos="1170"/>
        </w:tabs>
        <w:spacing w:after="0"/>
        <w:jc w:val="both"/>
        <w:rPr>
          <w:b/>
          <w:bCs/>
          <w:szCs w:val="22"/>
        </w:rPr>
      </w:pPr>
    </w:p>
    <w:p w14:paraId="0C6339B4" w14:textId="77777777" w:rsidR="00BE1118" w:rsidRPr="007372BE" w:rsidRDefault="00BE1118" w:rsidP="00BE1118">
      <w:pPr>
        <w:pStyle w:val="ListParagraph"/>
        <w:spacing w:after="240" w:line="280" w:lineRule="atLeast"/>
        <w:jc w:val="both"/>
      </w:pPr>
      <w:r w:rsidRPr="007372BE">
        <w:t xml:space="preserve">SB 1075 requires the Energy Commission, as part of the 2023 and 2025 editions of the integrated energy policy report, to study and model potential growth for hydrogen and its role in decarbonizing, as defined, the electrical and transportation sectors of the economy, and helping to achieve specified goals. </w:t>
      </w:r>
    </w:p>
    <w:p w14:paraId="55A95DE5" w14:textId="77777777" w:rsidR="00BE1118" w:rsidRPr="007372BE" w:rsidRDefault="00BE1118" w:rsidP="00BE1118">
      <w:pPr>
        <w:pStyle w:val="ListParagraph"/>
        <w:spacing w:after="240" w:line="280" w:lineRule="atLeast"/>
      </w:pPr>
      <w:r w:rsidRPr="007372BE">
        <w:t>Additional information: https://leginfo.legislature.ca.gov/faces/billTextClient.xhtml?bill_id=202120220SB1075</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7"/>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48C8738A" w14:textId="77777777" w:rsidR="00BA3BBD" w:rsidRPr="00BA3BBD" w:rsidRDefault="00BA3BBD">
      <w:pPr>
        <w:pStyle w:val="ListParagraph"/>
        <w:numPr>
          <w:ilvl w:val="0"/>
          <w:numId w:val="27"/>
        </w:numPr>
        <w:autoSpaceDE w:val="0"/>
        <w:autoSpaceDN w:val="0"/>
        <w:adjustRightInd w:val="0"/>
        <w:spacing w:after="160"/>
        <w:ind w:left="72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5EFBD4EA" w14:textId="77777777" w:rsidR="00BE1118" w:rsidRPr="007372BE" w:rsidRDefault="00BE1118">
      <w:pPr>
        <w:pStyle w:val="ListParagraph"/>
        <w:numPr>
          <w:ilvl w:val="0"/>
          <w:numId w:val="67"/>
        </w:numPr>
        <w:autoSpaceDE w:val="0"/>
        <w:autoSpaceDN w:val="0"/>
        <w:adjustRightInd w:val="0"/>
        <w:spacing w:after="160"/>
        <w:ind w:left="720"/>
        <w:jc w:val="both"/>
        <w:rPr>
          <w:b/>
          <w:bCs/>
          <w:szCs w:val="22"/>
        </w:rPr>
      </w:pPr>
      <w:r w:rsidRPr="007372BE">
        <w:rPr>
          <w:b/>
          <w:bCs/>
          <w:szCs w:val="22"/>
        </w:rPr>
        <w:t>Executive Order B-55-18</w:t>
      </w:r>
    </w:p>
    <w:p w14:paraId="7E23ECF8" w14:textId="77777777" w:rsidR="00BE1118" w:rsidRPr="007372BE" w:rsidRDefault="00BE1118" w:rsidP="00BE1118">
      <w:pPr>
        <w:tabs>
          <w:tab w:val="left" w:pos="720"/>
        </w:tabs>
        <w:spacing w:after="240"/>
        <w:ind w:left="720"/>
      </w:pPr>
      <w:r w:rsidRPr="007372BE">
        <w:lastRenderedPageBreak/>
        <w:t>Governor Brown’s Executive Order B-55-18 stated a new statewide goal to achieve carbon neutrality as soon as possible, and no later than 2045, and achieve and maintain net negative emissions thereafter. All policy and programs undertaken to achieve this goal shall seek to improve air quality and support the health and economic resiliency of urban and rural communities, particularly low-income and disadvantaged communities, and shall support climate adaptation and biodiversity.</w:t>
      </w:r>
    </w:p>
    <w:p w14:paraId="4346EFBD" w14:textId="77777777" w:rsidR="00BE1118" w:rsidRPr="007372BE" w:rsidRDefault="00BE1118" w:rsidP="00BE1118">
      <w:pPr>
        <w:tabs>
          <w:tab w:val="left" w:pos="720"/>
        </w:tabs>
        <w:spacing w:after="240"/>
        <w:ind w:left="720"/>
        <w:rPr>
          <w:u w:val="single"/>
        </w:rPr>
      </w:pPr>
      <w:r w:rsidRPr="007372BE">
        <w:rPr>
          <w:bCs/>
        </w:rPr>
        <w:t xml:space="preserve">Additional Information: </w:t>
      </w:r>
      <w:r w:rsidRPr="007372BE">
        <w:t>https://www.ca.gov/archive/gov39/wp-content/uploads/2018/09/9.10.18-Executive-Order.pdf</w:t>
      </w:r>
      <w:r w:rsidRPr="007372BE">
        <w:rPr>
          <w:bCs/>
          <w:u w:val="single"/>
        </w:rPr>
        <w:t xml:space="preserve">  </w:t>
      </w:r>
      <w:r w:rsidRPr="007372BE">
        <w:rPr>
          <w:u w:val="single"/>
        </w:rPr>
        <w:t xml:space="preserve"> </w:t>
      </w:r>
    </w:p>
    <w:p w14:paraId="56348417" w14:textId="77777777" w:rsidR="00BA3BBD" w:rsidRPr="00BA3BBD" w:rsidRDefault="00BA3BBD" w:rsidP="00BA3BBD">
      <w:pPr>
        <w:keepLines/>
        <w:widowControl w:val="0"/>
        <w:tabs>
          <w:tab w:val="left" w:pos="360"/>
        </w:tabs>
        <w:spacing w:before="240"/>
        <w:jc w:val="both"/>
        <w:rPr>
          <w:szCs w:val="22"/>
          <w:u w:val="single"/>
        </w:rPr>
      </w:pPr>
      <w:bookmarkStart w:id="90" w:name="RefDoc"/>
      <w:r w:rsidRPr="00BA3BBD">
        <w:rPr>
          <w:szCs w:val="22"/>
          <w:u w:val="single"/>
        </w:rPr>
        <w:t>Reference Documents</w:t>
      </w:r>
    </w:p>
    <w:bookmarkEnd w:id="90"/>
    <w:p w14:paraId="6A58CB4E" w14:textId="77777777" w:rsidR="00BE1118" w:rsidRDefault="00BA3BBD" w:rsidP="00BE1118">
      <w:pPr>
        <w:tabs>
          <w:tab w:val="left" w:pos="1170"/>
        </w:tabs>
        <w:spacing w:after="240"/>
        <w:jc w:val="both"/>
      </w:pPr>
      <w:r w:rsidRPr="00BA3BBD">
        <w:t xml:space="preserve">Refer to the documents below for information about activities associated with </w:t>
      </w:r>
      <w:r w:rsidR="00BE1118">
        <w:t>CEC’s R&amp;D and Renewable Energy and Advanced Generation Program.</w:t>
      </w:r>
    </w:p>
    <w:p w14:paraId="6B7C6CD7" w14:textId="77777777" w:rsidR="00BE1118" w:rsidRPr="002C5EA1" w:rsidRDefault="0027488D">
      <w:pPr>
        <w:numPr>
          <w:ilvl w:val="0"/>
          <w:numId w:val="68"/>
        </w:numPr>
        <w:tabs>
          <w:tab w:val="left" w:pos="720"/>
          <w:tab w:val="left" w:pos="1440"/>
        </w:tabs>
        <w:spacing w:after="0"/>
        <w:jc w:val="both"/>
        <w:rPr>
          <w:rFonts w:eastAsia="Arial"/>
          <w:szCs w:val="22"/>
          <w:u w:val="single"/>
        </w:rPr>
      </w:pPr>
      <w:hyperlink r:id="rId19" w:history="1">
        <w:r w:rsidR="00BE1118" w:rsidRPr="002C5EA1">
          <w:rPr>
            <w:rStyle w:val="Hyperlink"/>
          </w:rPr>
          <w:t>CEC’s R&amp;D Programs</w:t>
        </w:r>
      </w:hyperlink>
    </w:p>
    <w:p w14:paraId="1F685776" w14:textId="77777777" w:rsidR="00BE1118" w:rsidRPr="002C5EA1" w:rsidRDefault="0027488D">
      <w:pPr>
        <w:numPr>
          <w:ilvl w:val="0"/>
          <w:numId w:val="68"/>
        </w:numPr>
        <w:tabs>
          <w:tab w:val="left" w:pos="720"/>
          <w:tab w:val="left" w:pos="1440"/>
        </w:tabs>
        <w:spacing w:after="0"/>
        <w:jc w:val="both"/>
        <w:rPr>
          <w:rFonts w:eastAsia="Arial"/>
          <w:szCs w:val="22"/>
          <w:u w:val="single"/>
        </w:rPr>
      </w:pPr>
      <w:hyperlink r:id="rId20" w:anchor=":~:text=The%20Natural%20Gas%20Research%20Program,gas%20sources%20through%20increased%20efficiency.&amp;text=Develop%20renewable%20gas%20use%20as,gas%20pipeline%20and%20infrastructure%20safety." w:history="1">
        <w:r w:rsidR="00BE1118" w:rsidRPr="002C5EA1">
          <w:rPr>
            <w:rStyle w:val="Hyperlink"/>
          </w:rPr>
          <w:t>CEC’s Gas Research and Development Program</w:t>
        </w:r>
      </w:hyperlink>
    </w:p>
    <w:p w14:paraId="00F01E51" w14:textId="77777777" w:rsidR="00BE1118" w:rsidRPr="002C5EA1" w:rsidRDefault="0027488D">
      <w:pPr>
        <w:numPr>
          <w:ilvl w:val="0"/>
          <w:numId w:val="68"/>
        </w:numPr>
        <w:tabs>
          <w:tab w:val="left" w:pos="720"/>
          <w:tab w:val="left" w:pos="1440"/>
        </w:tabs>
        <w:spacing w:after="0"/>
        <w:jc w:val="both"/>
        <w:rPr>
          <w:u w:val="single"/>
        </w:rPr>
      </w:pPr>
      <w:hyperlink r:id="rId21" w:history="1">
        <w:r w:rsidR="00BE1118" w:rsidRPr="002C5EA1">
          <w:rPr>
            <w:rStyle w:val="Hyperlink"/>
          </w:rPr>
          <w:t>Empower Innovation</w:t>
        </w:r>
      </w:hyperlink>
      <w:r w:rsidR="00BE1118" w:rsidRPr="002C5EA1">
        <w:rPr>
          <w:u w:val="single"/>
        </w:rPr>
        <w:t xml:space="preserve">  </w:t>
      </w:r>
    </w:p>
    <w:p w14:paraId="16C7B1BD" w14:textId="77777777" w:rsidR="00BE1118" w:rsidRPr="002C5EA1" w:rsidRDefault="0027488D">
      <w:pPr>
        <w:numPr>
          <w:ilvl w:val="0"/>
          <w:numId w:val="68"/>
        </w:numPr>
        <w:tabs>
          <w:tab w:val="left" w:pos="720"/>
          <w:tab w:val="left" w:pos="1440"/>
        </w:tabs>
        <w:spacing w:after="0"/>
        <w:jc w:val="both"/>
        <w:rPr>
          <w:rStyle w:val="Hyperlink"/>
          <w:color w:val="auto"/>
        </w:rPr>
      </w:pPr>
      <w:hyperlink r:id="rId22" w:history="1">
        <w:r w:rsidR="00BE1118" w:rsidRPr="002C5EA1">
          <w:rPr>
            <w:rStyle w:val="Hyperlink"/>
          </w:rPr>
          <w:t>2021-2022 Gas Research and Development Investment Plan</w:t>
        </w:r>
      </w:hyperlink>
    </w:p>
    <w:p w14:paraId="05FA6EDD" w14:textId="77777777" w:rsidR="00BE1118" w:rsidRPr="002C5EA1" w:rsidRDefault="0027488D">
      <w:pPr>
        <w:numPr>
          <w:ilvl w:val="0"/>
          <w:numId w:val="68"/>
        </w:numPr>
        <w:tabs>
          <w:tab w:val="left" w:pos="720"/>
          <w:tab w:val="left" w:pos="1440"/>
        </w:tabs>
        <w:spacing w:after="0"/>
        <w:jc w:val="both"/>
        <w:rPr>
          <w:rStyle w:val="Hyperlink"/>
          <w:color w:val="auto"/>
        </w:rPr>
      </w:pPr>
      <w:hyperlink r:id="rId23" w:history="1">
        <w:r w:rsidR="00BE1118" w:rsidRPr="002C5EA1">
          <w:rPr>
            <w:rStyle w:val="Hyperlink"/>
          </w:rPr>
          <w:t>2022-2023 Gas Research and Development Investment Plan</w:t>
        </w:r>
      </w:hyperlink>
    </w:p>
    <w:p w14:paraId="737BD309" w14:textId="77777777" w:rsidR="00BE1118" w:rsidRDefault="00BE1118" w:rsidP="00BE1118">
      <w:pPr>
        <w:tabs>
          <w:tab w:val="left" w:pos="720"/>
          <w:tab w:val="left" w:pos="1440"/>
        </w:tabs>
        <w:spacing w:after="0"/>
        <w:jc w:val="both"/>
      </w:pPr>
    </w:p>
    <w:p w14:paraId="705BF20C" w14:textId="77777777" w:rsidR="00BE1118" w:rsidRPr="007372BE" w:rsidRDefault="00BE1118" w:rsidP="00BE1118">
      <w:pPr>
        <w:tabs>
          <w:tab w:val="left" w:pos="1170"/>
        </w:tabs>
        <w:jc w:val="both"/>
      </w:pPr>
      <w:r w:rsidRPr="007372BE">
        <w:rPr>
          <w:szCs w:val="22"/>
        </w:rPr>
        <w:t>Refer to the documents/webpages below for information about activities associated with hydrogen research and demonstration.</w:t>
      </w:r>
    </w:p>
    <w:p w14:paraId="12619CA4" w14:textId="77777777" w:rsidR="00BE1118" w:rsidRPr="002C5EA1" w:rsidRDefault="0027488D">
      <w:pPr>
        <w:numPr>
          <w:ilvl w:val="0"/>
          <w:numId w:val="68"/>
        </w:numPr>
        <w:tabs>
          <w:tab w:val="left" w:pos="720"/>
          <w:tab w:val="left" w:pos="1440"/>
        </w:tabs>
        <w:spacing w:after="0"/>
        <w:jc w:val="both"/>
        <w:rPr>
          <w:rStyle w:val="Hyperlink"/>
          <w:color w:val="auto"/>
        </w:rPr>
      </w:pPr>
      <w:hyperlink r:id="rId24" w:history="1">
        <w:r w:rsidR="00BE1118" w:rsidRPr="002C5EA1">
          <w:rPr>
            <w:rStyle w:val="Hyperlink"/>
          </w:rPr>
          <w:t>California Air Resources Board 2022 Scoping Plan for Achieving Carbon Neutrality</w:t>
        </w:r>
      </w:hyperlink>
      <w:r w:rsidR="00BE1118" w:rsidRPr="002C5EA1">
        <w:rPr>
          <w:rStyle w:val="Hyperlink"/>
          <w:color w:val="auto"/>
        </w:rPr>
        <w:t xml:space="preserve"> </w:t>
      </w:r>
    </w:p>
    <w:p w14:paraId="45C2F0CE" w14:textId="77777777" w:rsidR="00BE1118" w:rsidRPr="002C5EA1" w:rsidRDefault="0027488D">
      <w:pPr>
        <w:numPr>
          <w:ilvl w:val="0"/>
          <w:numId w:val="68"/>
        </w:numPr>
        <w:tabs>
          <w:tab w:val="left" w:pos="720"/>
          <w:tab w:val="left" w:pos="1440"/>
        </w:tabs>
        <w:spacing w:after="0"/>
        <w:jc w:val="both"/>
        <w:rPr>
          <w:rStyle w:val="Hyperlink"/>
          <w:color w:val="auto"/>
        </w:rPr>
      </w:pPr>
      <w:hyperlink r:id="rId25" w:history="1">
        <w:r w:rsidR="00BE1118" w:rsidRPr="002C5EA1">
          <w:rPr>
            <w:rStyle w:val="Hyperlink"/>
          </w:rPr>
          <w:t>U.S. Department of Energy National Clean Hydrogen Strategy and Roadmap. Draft - September 2022</w:t>
        </w:r>
      </w:hyperlink>
      <w:r w:rsidR="00BE1118" w:rsidRPr="002C5EA1">
        <w:rPr>
          <w:rStyle w:val="Hyperlink"/>
          <w:color w:val="auto"/>
        </w:rPr>
        <w:t xml:space="preserve"> </w:t>
      </w:r>
    </w:p>
    <w:p w14:paraId="5D6BED30" w14:textId="77777777" w:rsidR="002C5EA1" w:rsidRDefault="0027488D">
      <w:pPr>
        <w:numPr>
          <w:ilvl w:val="0"/>
          <w:numId w:val="68"/>
        </w:numPr>
        <w:tabs>
          <w:tab w:val="left" w:pos="720"/>
          <w:tab w:val="left" w:pos="1440"/>
        </w:tabs>
        <w:spacing w:after="0"/>
        <w:jc w:val="both"/>
        <w:rPr>
          <w:rStyle w:val="Hyperlink"/>
          <w:color w:val="auto"/>
        </w:rPr>
      </w:pPr>
      <w:hyperlink r:id="rId26" w:history="1">
        <w:r w:rsidR="00BE1118" w:rsidRPr="002C5EA1">
          <w:rPr>
            <w:rStyle w:val="Hyperlink"/>
          </w:rPr>
          <w:t>U.S. Department of Energy Regional Clean Hydrogen Hubs Program</w:t>
        </w:r>
      </w:hyperlink>
      <w:r w:rsidR="00BE1118" w:rsidRPr="002C5EA1">
        <w:rPr>
          <w:rStyle w:val="Hyperlink"/>
          <w:color w:val="auto"/>
        </w:rPr>
        <w:t xml:space="preserve"> </w:t>
      </w:r>
    </w:p>
    <w:p w14:paraId="3A885026" w14:textId="6D7FDDC6" w:rsidR="00BE1118" w:rsidRPr="002C5EA1" w:rsidRDefault="0027488D">
      <w:pPr>
        <w:numPr>
          <w:ilvl w:val="0"/>
          <w:numId w:val="68"/>
        </w:numPr>
        <w:tabs>
          <w:tab w:val="left" w:pos="720"/>
          <w:tab w:val="left" w:pos="1440"/>
        </w:tabs>
        <w:spacing w:after="0"/>
        <w:jc w:val="both"/>
        <w:rPr>
          <w:rStyle w:val="Hyperlink"/>
          <w:color w:val="auto"/>
        </w:rPr>
      </w:pPr>
      <w:hyperlink r:id="rId27" w:history="1">
        <w:r w:rsidR="00BE1118" w:rsidRPr="002C5EA1">
          <w:rPr>
            <w:rStyle w:val="Hyperlink"/>
          </w:rPr>
          <w:t>U.S. Department of Energy Hydrogen Program Plan, November 2020</w:t>
        </w:r>
      </w:hyperlink>
      <w:r w:rsidR="002C5EA1">
        <w:t xml:space="preserve"> </w:t>
      </w:r>
      <w:hyperlink r:id="rId28" w:history="1">
        <w:r w:rsidR="002C5EA1" w:rsidRPr="00F80A0A">
          <w:rPr>
            <w:rStyle w:val="Hyperlink"/>
          </w:rPr>
          <w:t>https://ww2.arb.ca.gov/sites/default/files/2022-11/2022-sp.pdf</w:t>
        </w:r>
      </w:hyperlink>
    </w:p>
    <w:p w14:paraId="1A7784CB" w14:textId="77777777" w:rsidR="00BE1118" w:rsidRDefault="00BE1118" w:rsidP="00BE1118">
      <w:pPr>
        <w:tabs>
          <w:tab w:val="left" w:pos="720"/>
          <w:tab w:val="left" w:pos="1440"/>
        </w:tabs>
        <w:spacing w:after="0"/>
        <w:jc w:val="both"/>
        <w:rPr>
          <w:rFonts w:eastAsia="Arial"/>
          <w:szCs w:val="22"/>
        </w:rPr>
      </w:pPr>
    </w:p>
    <w:p w14:paraId="762E220E" w14:textId="77777777" w:rsidR="00BE1118" w:rsidRDefault="00BE1118" w:rsidP="00BE1118">
      <w:pPr>
        <w:tabs>
          <w:tab w:val="left" w:pos="720"/>
          <w:tab w:val="left" w:pos="1440"/>
        </w:tabs>
        <w:spacing w:after="0"/>
        <w:jc w:val="both"/>
        <w:rPr>
          <w:color w:val="00B050"/>
          <w:szCs w:val="22"/>
          <w:u w:val="single"/>
        </w:rPr>
      </w:pPr>
    </w:p>
    <w:p w14:paraId="163A3C75" w14:textId="62DD69C5" w:rsidR="00BA3BBD" w:rsidRPr="00BA3BBD" w:rsidRDefault="00BA3BBD" w:rsidP="00BE1118">
      <w:pPr>
        <w:tabs>
          <w:tab w:val="left" w:pos="1170"/>
        </w:tabs>
        <w:spacing w:after="240"/>
        <w:jc w:val="both"/>
        <w:rPr>
          <w:color w:val="0070C0"/>
        </w:rPr>
      </w:pPr>
    </w:p>
    <w:p w14:paraId="532E031C" w14:textId="77777777" w:rsidR="00BA3BBD" w:rsidRPr="00606147" w:rsidRDefault="00BA3BBD">
      <w:pPr>
        <w:pStyle w:val="Heading2"/>
        <w:numPr>
          <w:ilvl w:val="0"/>
          <w:numId w:val="45"/>
        </w:numPr>
      </w:pPr>
      <w:bookmarkStart w:id="91" w:name="_Match_Funding"/>
      <w:bookmarkStart w:id="92" w:name="_Toc522777848"/>
      <w:bookmarkStart w:id="93" w:name="_Toc26361581"/>
      <w:bookmarkStart w:id="94" w:name="_Toc81377107"/>
      <w:bookmarkStart w:id="95" w:name="_Toc86152246"/>
      <w:bookmarkEnd w:id="91"/>
      <w:r w:rsidRPr="00BA3BBD">
        <w:t>Match Funding</w:t>
      </w:r>
      <w:bookmarkEnd w:id="92"/>
      <w:bookmarkEnd w:id="93"/>
      <w:bookmarkEnd w:id="94"/>
      <w:bookmarkEnd w:id="95"/>
    </w:p>
    <w:bookmarkEnd w:id="82"/>
    <w:p w14:paraId="273A2243" w14:textId="77777777" w:rsidR="00BA3BBD" w:rsidRPr="00BA3BBD" w:rsidRDefault="00BA3BBD">
      <w:pPr>
        <w:numPr>
          <w:ilvl w:val="0"/>
          <w:numId w:val="19"/>
        </w:numPr>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06B6565D" w:rsidR="00BA3BBD" w:rsidRPr="00BA3BBD" w:rsidRDefault="00BA3BBD" w:rsidP="00A8436A">
      <w:pPr>
        <w:ind w:left="720"/>
        <w:jc w:val="both"/>
        <w:rPr>
          <w:szCs w:val="22"/>
        </w:rPr>
      </w:pPr>
      <w:r w:rsidRPr="00BA3BBD">
        <w:rPr>
          <w:szCs w:val="22"/>
        </w:rPr>
        <w:t xml:space="preserve">“Match funds” </w:t>
      </w:r>
      <w:r w:rsidRPr="00BA3BBD">
        <w:rPr>
          <w:szCs w:val="22"/>
          <w:u w:val="single"/>
        </w:rPr>
        <w:t>do not</w:t>
      </w:r>
      <w:r w:rsidRPr="00BA3BBD">
        <w:rPr>
          <w:szCs w:val="22"/>
        </w:rPr>
        <w:t xml:space="preserve"> include: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pPr>
        <w:numPr>
          <w:ilvl w:val="2"/>
          <w:numId w:val="19"/>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received from other agencies for the proposed technologies or study (but not for the </w:t>
      </w:r>
      <w:r w:rsidR="00BA3BBD" w:rsidRPr="00BA3BBD">
        <w:lastRenderedPageBreak/>
        <w:t>identical work).  Proof that the funds exist as cash is required.  Cash match will be considered more favorably than in-kind contributions during the scoring phase.</w:t>
      </w:r>
    </w:p>
    <w:p w14:paraId="727B8F66" w14:textId="77777777" w:rsidR="00BA3BBD" w:rsidRPr="00BA3BBD" w:rsidRDefault="00BA3BBD">
      <w:pPr>
        <w:numPr>
          <w:ilvl w:val="2"/>
          <w:numId w:val="19"/>
        </w:numPr>
        <w:spacing w:before="120"/>
        <w:ind w:left="108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0D83B6F5" w:rsidR="00BA3BBD" w:rsidRPr="00BA3BBD" w:rsidRDefault="00BA3BBD">
      <w:pPr>
        <w:numPr>
          <w:ilvl w:val="0"/>
          <w:numId w:val="19"/>
        </w:numPr>
        <w:jc w:val="both"/>
      </w:pPr>
      <w:r w:rsidRPr="00A8436A">
        <w:rPr>
          <w:b/>
        </w:rPr>
        <w:t>Match</w:t>
      </w:r>
      <w:r w:rsidRPr="00BA3BBD">
        <w:t xml:space="preserve"> funds </w:t>
      </w:r>
      <w:r w:rsidR="000F25D5">
        <w:t>must</w:t>
      </w:r>
      <w:r w:rsidRPr="00BA3BBD">
        <w:t xml:space="preserve"> be spent only during the agreement term, either before or concurrently with </w:t>
      </w:r>
      <w:r w:rsidR="00A8436A">
        <w:t>CE</w:t>
      </w:r>
      <w:r w:rsidRPr="00BA3BBD">
        <w:t xml:space="preserve">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pPr>
        <w:numPr>
          <w:ilvl w:val="0"/>
          <w:numId w:val="19"/>
        </w:numPr>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pPr>
        <w:numPr>
          <w:ilvl w:val="0"/>
          <w:numId w:val="19"/>
        </w:numPr>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pPr>
        <w:numPr>
          <w:ilvl w:val="0"/>
          <w:numId w:val="19"/>
        </w:numPr>
        <w:jc w:val="both"/>
        <w:rPr>
          <w:szCs w:val="22"/>
        </w:rPr>
      </w:pPr>
      <w:r w:rsidRPr="00A8436A">
        <w:rPr>
          <w:color w:val="000000" w:themeColor="text1"/>
          <w:szCs w:val="22"/>
        </w:rPr>
        <w:t>Examples</w:t>
      </w:r>
      <w:r w:rsidRPr="00BA3BBD">
        <w:rPr>
          <w:szCs w:val="22"/>
        </w:rPr>
        <w:t xml:space="preserve"> of preferred match share:</w:t>
      </w:r>
    </w:p>
    <w:p w14:paraId="1747B790" w14:textId="30B20AC2" w:rsidR="00B2692C" w:rsidRDefault="00B2692C">
      <w:pPr>
        <w:numPr>
          <w:ilvl w:val="2"/>
          <w:numId w:val="19"/>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1C70781C" w:rsidR="00B2692C" w:rsidRPr="00BA3BBD" w:rsidRDefault="00B2692C">
      <w:pPr>
        <w:numPr>
          <w:ilvl w:val="2"/>
          <w:numId w:val="19"/>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pPr>
        <w:numPr>
          <w:ilvl w:val="2"/>
          <w:numId w:val="19"/>
        </w:numPr>
        <w:spacing w:before="120"/>
        <w:ind w:left="1080"/>
        <w:jc w:val="both"/>
        <w:rPr>
          <w:szCs w:val="22"/>
        </w:rPr>
      </w:pPr>
      <w:r>
        <w:rPr>
          <w:b/>
          <w:szCs w:val="22"/>
        </w:rPr>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160E272F" w:rsidR="00BA3BBD" w:rsidRPr="00606147" w:rsidRDefault="00BA3BBD">
      <w:pPr>
        <w:pStyle w:val="Heading2"/>
        <w:numPr>
          <w:ilvl w:val="0"/>
          <w:numId w:val="45"/>
        </w:numPr>
      </w:pPr>
      <w:bookmarkStart w:id="96" w:name="_Toc26361582"/>
      <w:bookmarkStart w:id="97" w:name="_Toc81377108"/>
      <w:bookmarkStart w:id="98" w:name="_Toc86152247"/>
      <w:r w:rsidRPr="00BA3BBD">
        <w:lastRenderedPageBreak/>
        <w:t>Funds Spent in California</w:t>
      </w:r>
      <w:bookmarkEnd w:id="96"/>
      <w:r w:rsidR="00A8436A">
        <w:t xml:space="preserve"> and </w:t>
      </w:r>
      <w:bookmarkStart w:id="99" w:name="_Toc367363139"/>
      <w:r w:rsidR="00A8436A" w:rsidRPr="00A8436A">
        <w:t>California-Based Entities</w:t>
      </w:r>
      <w:bookmarkEnd w:id="97"/>
      <w:bookmarkEnd w:id="98"/>
      <w:bookmarkEnd w:id="99"/>
      <w:r w:rsidR="00A8436A" w:rsidRPr="00A8436A">
        <w:t xml:space="preserve"> </w:t>
      </w:r>
    </w:p>
    <w:p w14:paraId="0B507BF3" w14:textId="4C9D6A7B" w:rsidR="00BA3BBD" w:rsidRPr="00BA3BBD" w:rsidRDefault="00BA3BBD">
      <w:pPr>
        <w:keepNext/>
        <w:keepLines/>
        <w:numPr>
          <w:ilvl w:val="0"/>
          <w:numId w:val="37"/>
        </w:numPr>
        <w:spacing w:before="60" w:after="60"/>
        <w:jc w:val="both"/>
        <w:outlineLvl w:val="2"/>
        <w:rPr>
          <w:b/>
        </w:rPr>
      </w:pPr>
      <w:r w:rsidRPr="00BA3BBD">
        <w:t xml:space="preserve">Only CEC reimbursable funds counts towards funds spent in California </w:t>
      </w:r>
      <w:r w:rsidR="00A8436A">
        <w:t xml:space="preserve">and funds spent on California-Based Entities </w:t>
      </w:r>
      <w:r w:rsidRPr="00BA3BBD">
        <w:t>total</w:t>
      </w:r>
      <w:r w:rsidR="00A8436A">
        <w:t>s</w:t>
      </w:r>
      <w:r w:rsidRPr="00BA3BBD">
        <w:t>.</w:t>
      </w:r>
    </w:p>
    <w:p w14:paraId="29AFD2E6" w14:textId="77777777" w:rsidR="00BA3BBD" w:rsidRPr="00BA3BBD" w:rsidRDefault="00BA3BBD">
      <w:pPr>
        <w:keepNext/>
        <w:keepLines/>
        <w:numPr>
          <w:ilvl w:val="0"/>
          <w:numId w:val="37"/>
        </w:numPr>
        <w:spacing w:before="60" w:after="60"/>
        <w:jc w:val="both"/>
        <w:outlineLvl w:val="2"/>
      </w:pPr>
      <w:r w:rsidRPr="00BA3BBD">
        <w:t xml:space="preserve">"Spent in California" means that: </w:t>
      </w:r>
    </w:p>
    <w:p w14:paraId="593A8F2E" w14:textId="77777777" w:rsidR="00BA3BBD" w:rsidRPr="00BA3BBD" w:rsidRDefault="00BA3BBD">
      <w:pPr>
        <w:keepNext/>
        <w:keepLines/>
        <w:numPr>
          <w:ilvl w:val="1"/>
          <w:numId w:val="37"/>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pPr>
        <w:keepNext/>
        <w:keepLines/>
        <w:numPr>
          <w:ilvl w:val="1"/>
          <w:numId w:val="37"/>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pPr>
        <w:keepNext/>
        <w:keepLines/>
        <w:numPr>
          <w:ilvl w:val="1"/>
          <w:numId w:val="37"/>
        </w:numPr>
        <w:spacing w:before="60" w:after="60"/>
        <w:ind w:left="108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pPr>
        <w:keepNext/>
        <w:keepLines/>
        <w:numPr>
          <w:ilvl w:val="0"/>
          <w:numId w:val="37"/>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pPr>
        <w:numPr>
          <w:ilvl w:val="1"/>
          <w:numId w:val="37"/>
        </w:numPr>
        <w:tabs>
          <w:tab w:val="left" w:pos="1800"/>
        </w:tabs>
        <w:autoSpaceDE w:val="0"/>
        <w:autoSpaceDN w:val="0"/>
        <w:adjustRightInd w:val="0"/>
        <w:ind w:left="99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pPr>
        <w:numPr>
          <w:ilvl w:val="1"/>
          <w:numId w:val="37"/>
        </w:numPr>
        <w:tabs>
          <w:tab w:val="left" w:pos="1800"/>
        </w:tabs>
        <w:autoSpaceDE w:val="0"/>
        <w:autoSpaceDN w:val="0"/>
        <w:adjustRightInd w:val="0"/>
        <w:ind w:left="99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2F0F2FFD" w14:textId="38C7E0E6" w:rsidR="00A8436A" w:rsidRPr="00A8436A" w:rsidRDefault="00A8436A">
      <w:pPr>
        <w:keepNext/>
        <w:keepLines/>
        <w:numPr>
          <w:ilvl w:val="0"/>
          <w:numId w:val="37"/>
        </w:numPr>
        <w:spacing w:before="60" w:after="60"/>
        <w:jc w:val="both"/>
        <w:outlineLvl w:val="2"/>
        <w:rPr>
          <w:szCs w:val="22"/>
        </w:rPr>
      </w:pPr>
      <w:r w:rsidRPr="00A8436A">
        <w:rPr>
          <w:szCs w:val="22"/>
        </w:rPr>
        <w:t xml:space="preserve">Pursuant to California Public Resources Code Section 25620.5(h), the California Energy Commission’s Gas </w:t>
      </w:r>
      <w:r w:rsidR="00EC7658">
        <w:rPr>
          <w:szCs w:val="22"/>
        </w:rPr>
        <w:t xml:space="preserve">R&amp;D </w:t>
      </w:r>
      <w:r w:rsidRPr="00A8436A">
        <w:rPr>
          <w:szCs w:val="22"/>
        </w:rPr>
        <w:t xml:space="preserve">Program must give priority to “California-Based Entities” (CBEs) when making awards. California Public Resources Code Section 25620.5(i) defines “CBE” as a corporation or other business entity organized for the transaction of business that either: </w:t>
      </w:r>
    </w:p>
    <w:p w14:paraId="74B0D2C6" w14:textId="77777777" w:rsidR="00A8436A" w:rsidRPr="00A8436A" w:rsidRDefault="00A8436A">
      <w:pPr>
        <w:numPr>
          <w:ilvl w:val="1"/>
          <w:numId w:val="37"/>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pPr>
        <w:numPr>
          <w:ilvl w:val="1"/>
          <w:numId w:val="37"/>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pPr>
        <w:keepNext/>
        <w:keepLines/>
        <w:numPr>
          <w:ilvl w:val="0"/>
          <w:numId w:val="37"/>
        </w:numPr>
        <w:spacing w:before="60" w:after="60"/>
        <w:jc w:val="both"/>
        <w:outlineLvl w:val="2"/>
        <w:rPr>
          <w:szCs w:val="22"/>
        </w:rPr>
      </w:pPr>
      <w:r w:rsidRPr="00A8436A">
        <w:rPr>
          <w:szCs w:val="22"/>
        </w:rPr>
        <w:t>Applications must meet the following requirements in order to receive CBE preference points:</w:t>
      </w:r>
    </w:p>
    <w:p w14:paraId="16DDB27A" w14:textId="77777777" w:rsidR="00A8436A" w:rsidRPr="00A8436A" w:rsidRDefault="00A8436A">
      <w:pPr>
        <w:numPr>
          <w:ilvl w:val="1"/>
          <w:numId w:val="37"/>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subcontractor. </w:t>
      </w:r>
    </w:p>
    <w:p w14:paraId="7F683AEA" w14:textId="3C479DB8" w:rsidR="00A8436A" w:rsidRPr="00A8436A" w:rsidRDefault="00A8436A">
      <w:pPr>
        <w:numPr>
          <w:ilvl w:val="1"/>
          <w:numId w:val="37"/>
        </w:numPr>
        <w:tabs>
          <w:tab w:val="left" w:pos="1800"/>
        </w:tabs>
        <w:autoSpaceDE w:val="0"/>
        <w:autoSpaceDN w:val="0"/>
        <w:adjustRightInd w:val="0"/>
        <w:ind w:left="990"/>
        <w:jc w:val="both"/>
        <w:rPr>
          <w:szCs w:val="22"/>
        </w:rPr>
      </w:pPr>
      <w:r w:rsidRPr="00A8436A">
        <w:rPr>
          <w:szCs w:val="22"/>
        </w:rPr>
        <w:lastRenderedPageBreak/>
        <w:t>The budget must show that the CBE(s) will receive more than 60.00% of the funds awarded.</w:t>
      </w:r>
    </w:p>
    <w:p w14:paraId="563ADD18" w14:textId="77777777" w:rsidR="003F6147" w:rsidRDefault="003F6147">
      <w:pPr>
        <w:spacing w:after="0"/>
        <w:rPr>
          <w:b/>
        </w:rPr>
      </w:pPr>
      <w:r>
        <w:rPr>
          <w:b/>
        </w:rPr>
        <w:br w:type="page"/>
      </w:r>
    </w:p>
    <w:p w14:paraId="70704BB3" w14:textId="4151A336" w:rsidR="0067542B" w:rsidRPr="00756BAC" w:rsidRDefault="001C2D56" w:rsidP="00777A7E">
      <w:pPr>
        <w:pStyle w:val="Heading1"/>
        <w:keepLines w:val="0"/>
        <w:spacing w:before="0" w:after="120"/>
        <w:jc w:val="both"/>
      </w:pPr>
      <w:bookmarkStart w:id="100" w:name="_Toc336443618"/>
      <w:bookmarkStart w:id="101" w:name="_Toc366671173"/>
      <w:bookmarkStart w:id="102" w:name="_Toc310513471"/>
      <w:bookmarkStart w:id="103" w:name="_Toc81377109"/>
      <w:bookmarkStart w:id="104" w:name="_Toc86152248"/>
      <w:bookmarkStart w:id="105" w:name="_Toc198951306"/>
      <w:bookmarkStart w:id="106" w:name="_Toc201713533"/>
      <w:bookmarkStart w:id="107" w:name="_Toc217726087"/>
      <w:bookmarkStart w:id="108" w:name="_Toc219275083"/>
      <w:bookmarkEnd w:id="1"/>
      <w:bookmarkEnd w:id="2"/>
      <w:bookmarkEnd w:id="3"/>
      <w:bookmarkEnd w:id="4"/>
      <w:bookmarkEnd w:id="5"/>
      <w:bookmarkEnd w:id="6"/>
      <w:bookmarkEnd w:id="66"/>
      <w:bookmarkEnd w:id="67"/>
      <w:bookmarkEnd w:id="68"/>
      <w:r w:rsidRPr="00C31C1D">
        <w:lastRenderedPageBreak/>
        <w:t>II.</w:t>
      </w:r>
      <w:r w:rsidRPr="00C31C1D">
        <w:tab/>
      </w:r>
      <w:r w:rsidR="008B5D17">
        <w:t>Applicant</w:t>
      </w:r>
      <w:r w:rsidR="00777A7E">
        <w:t xml:space="preserve"> </w:t>
      </w:r>
      <w:r w:rsidRPr="00C31C1D">
        <w:t>Eligibility Requirements</w:t>
      </w:r>
      <w:bookmarkEnd w:id="100"/>
      <w:bookmarkEnd w:id="101"/>
      <w:bookmarkEnd w:id="102"/>
      <w:bookmarkEnd w:id="103"/>
      <w:bookmarkEnd w:id="104"/>
    </w:p>
    <w:p w14:paraId="1F1511A2" w14:textId="77777777" w:rsidR="00DE1CBD" w:rsidRPr="00BE64A5" w:rsidRDefault="00DE1CBD">
      <w:pPr>
        <w:pStyle w:val="Heading2"/>
        <w:numPr>
          <w:ilvl w:val="0"/>
          <w:numId w:val="55"/>
        </w:numPr>
      </w:pPr>
      <w:bookmarkStart w:id="109" w:name="_Toc81377110"/>
      <w:bookmarkStart w:id="110" w:name="_Toc86152249"/>
      <w:bookmarkStart w:id="111" w:name="Elig"/>
      <w:r w:rsidRPr="00BE64A5">
        <w:t>Eligibility</w:t>
      </w:r>
      <w:bookmarkEnd w:id="109"/>
      <w:bookmarkEnd w:id="110"/>
    </w:p>
    <w:bookmarkEnd w:id="111"/>
    <w:p w14:paraId="1AA9FCF2" w14:textId="4A216101" w:rsidR="00527202" w:rsidRPr="00527202" w:rsidRDefault="00A8436A" w:rsidP="00527202">
      <w:pPr>
        <w:jc w:val="both"/>
        <w:rPr>
          <w:szCs w:val="22"/>
        </w:rPr>
      </w:pPr>
      <w:r w:rsidRPr="00527202">
        <w:rPr>
          <w:szCs w:val="22"/>
        </w:rPr>
        <w:t xml:space="preserve">This solicitation is open to all public and private entities. </w:t>
      </w:r>
      <w:r>
        <w:rPr>
          <w:szCs w:val="22"/>
        </w:rPr>
        <w:t xml:space="preserve">Demonstration </w:t>
      </w:r>
      <w:r w:rsidRPr="00110C9B">
        <w:rPr>
          <w:szCs w:val="22"/>
        </w:rPr>
        <w:t>projects in this solicitation must be located in the service territory of a California gas Investor Owned Utility (G</w:t>
      </w:r>
      <w:r w:rsidR="00FC1E77">
        <w:rPr>
          <w:szCs w:val="22"/>
        </w:rPr>
        <w:t>as</w:t>
      </w:r>
      <w:r w:rsidRPr="00110C9B">
        <w:rPr>
          <w:szCs w:val="22"/>
        </w:rPr>
        <w:t xml:space="preserve"> IOU), which includes Pacific Gas and Electric Company, San Diego Gas &amp; Electric Company, and Southern California Gas Company.  All projects in this solicitation must benefit </w:t>
      </w:r>
      <w:r w:rsidR="00376E9A">
        <w:rPr>
          <w:szCs w:val="22"/>
        </w:rPr>
        <w:t>G</w:t>
      </w:r>
      <w:r w:rsidRPr="00110C9B">
        <w:rPr>
          <w:szCs w:val="22"/>
        </w:rPr>
        <w:t>as IOU ratepayers</w:t>
      </w:r>
      <w:r w:rsidR="00527202" w:rsidRPr="00527202">
        <w:rPr>
          <w:szCs w:val="22"/>
        </w:rPr>
        <w:t xml:space="preserve">. </w:t>
      </w:r>
    </w:p>
    <w:p w14:paraId="3FC9E9BE" w14:textId="77777777" w:rsidR="00B13BC2" w:rsidRPr="003632D6" w:rsidRDefault="001C2D56">
      <w:pPr>
        <w:pStyle w:val="Heading2"/>
        <w:numPr>
          <w:ilvl w:val="0"/>
          <w:numId w:val="55"/>
        </w:numPr>
      </w:pPr>
      <w:bookmarkStart w:id="112" w:name="_Toc381079914"/>
      <w:bookmarkStart w:id="113" w:name="_Toc382571176"/>
      <w:bookmarkStart w:id="114" w:name="_Toc395180678"/>
      <w:bookmarkStart w:id="115" w:name="_Toc433981305"/>
      <w:bookmarkStart w:id="116" w:name="_Toc81377111"/>
      <w:bookmarkStart w:id="117" w:name="_Toc86152250"/>
      <w:r w:rsidRPr="003632D6">
        <w:t>Terms and Conditions</w:t>
      </w:r>
      <w:bookmarkEnd w:id="112"/>
      <w:bookmarkEnd w:id="113"/>
      <w:bookmarkEnd w:id="114"/>
      <w:bookmarkEnd w:id="115"/>
      <w:bookmarkEnd w:id="116"/>
      <w:bookmarkEnd w:id="117"/>
    </w:p>
    <w:p w14:paraId="401901AE" w14:textId="4C9B7C04"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7E2938">
        <w:rPr>
          <w:szCs w:val="22"/>
        </w:rPr>
        <w:t>Gas R&amp;D</w:t>
      </w:r>
      <w:r w:rsidR="00CC559A" w:rsidRPr="007E22AE">
        <w:rPr>
          <w:szCs w:val="22"/>
        </w:rPr>
        <w:t xml:space="preserve"> </w:t>
      </w:r>
      <w:r w:rsidR="007E22AE" w:rsidRPr="007E22AE">
        <w:rPr>
          <w:szCs w:val="22"/>
        </w:rPr>
        <w:t>Grant terms and conditions</w:t>
      </w:r>
      <w:r w:rsidR="007E2938">
        <w:rPr>
          <w:szCs w:val="22"/>
        </w:rPr>
        <w:t xml:space="preserve"> </w:t>
      </w:r>
      <w:r w:rsidR="007E2938">
        <w:t>(formerly known as PIER Grant terms and conditions)</w:t>
      </w:r>
      <w:r w:rsidR="007E22AE" w:rsidRPr="007E22AE">
        <w:rPr>
          <w:szCs w:val="22"/>
        </w:rPr>
        <w:t>.</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pPr>
        <w:pStyle w:val="Heading2"/>
        <w:numPr>
          <w:ilvl w:val="0"/>
          <w:numId w:val="55"/>
        </w:numPr>
        <w:rPr>
          <w:b w:val="0"/>
          <w:szCs w:val="22"/>
        </w:rPr>
      </w:pPr>
      <w:bookmarkStart w:id="118" w:name="_Toc81377112"/>
      <w:bookmarkStart w:id="119" w:name="_Toc86152251"/>
      <w:r w:rsidRPr="00D51893">
        <w:rPr>
          <w:bCs/>
        </w:rPr>
        <w:t>California Secretary of State Registration</w:t>
      </w:r>
      <w:bookmarkEnd w:id="118"/>
      <w:bookmarkEnd w:id="119"/>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2458DEFF" w:rsidR="009F702B" w:rsidRPr="009F702B" w:rsidRDefault="009F702B">
      <w:pPr>
        <w:pStyle w:val="Heading2"/>
        <w:numPr>
          <w:ilvl w:val="0"/>
          <w:numId w:val="55"/>
        </w:numPr>
        <w:rPr>
          <w:b w:val="0"/>
        </w:rPr>
      </w:pPr>
      <w:bookmarkStart w:id="120" w:name="Disadv"/>
      <w:bookmarkStart w:id="121" w:name="_Toc81377113"/>
      <w:bookmarkStart w:id="122" w:name="_Toc86152252"/>
      <w:r w:rsidRPr="00D51893">
        <w:rPr>
          <w:smallCaps w:val="0"/>
        </w:rPr>
        <w:t>Disadvantaged &amp; Low-income Communities</w:t>
      </w:r>
      <w:r w:rsidRPr="009F702B">
        <w:rPr>
          <w:b w:val="0"/>
        </w:rPr>
        <w:t xml:space="preserve"> </w:t>
      </w:r>
      <w:bookmarkEnd w:id="120"/>
      <w:bookmarkEnd w:id="121"/>
      <w:bookmarkEnd w:id="122"/>
    </w:p>
    <w:p w14:paraId="1A3EC279" w14:textId="65C0CE7B" w:rsidR="00A8436A" w:rsidRDefault="00A8436A" w:rsidP="00A8436A">
      <w:pPr>
        <w:autoSpaceDE w:val="0"/>
        <w:autoSpaceDN w:val="0"/>
        <w:adjustRightInd w:val="0"/>
        <w:spacing w:after="0"/>
        <w:jc w:val="both"/>
        <w:rPr>
          <w:bCs/>
          <w:color w:val="000000"/>
          <w:szCs w:val="22"/>
        </w:rPr>
      </w:pPr>
      <w:r>
        <w:rPr>
          <w:bCs/>
          <w:color w:val="000000"/>
          <w:szCs w:val="22"/>
        </w:rPr>
        <w:t>In January of 2019, the California Public Utilities Commission (CPUC) Resolution G-3546 stated, “</w:t>
      </w:r>
      <w:r>
        <w:t xml:space="preserve">the Commission directs the CEC to enhance its engagement with disadvantaged communities.” </w:t>
      </w:r>
      <w:r>
        <w:rPr>
          <w:bCs/>
          <w:color w:val="000000"/>
          <w:szCs w:val="22"/>
        </w:rPr>
        <w:t xml:space="preserve"> In addition, the CPUC directed the Energy Commission to </w:t>
      </w:r>
      <w:r w:rsidRPr="00FC1657">
        <w:rPr>
          <w:bCs/>
          <w:color w:val="000000"/>
          <w:szCs w:val="22"/>
        </w:rPr>
        <w:t>Incorporate an explicit long-term strategy for the role of the</w:t>
      </w:r>
      <w:r>
        <w:rPr>
          <w:bCs/>
          <w:color w:val="000000"/>
          <w:szCs w:val="22"/>
        </w:rPr>
        <w:t xml:space="preserve"> </w:t>
      </w:r>
      <w:r w:rsidRPr="00FC1657">
        <w:rPr>
          <w:bCs/>
          <w:color w:val="000000"/>
          <w:szCs w:val="22"/>
        </w:rPr>
        <w:t xml:space="preserve">Gas </w:t>
      </w:r>
      <w:r w:rsidR="003F0CEC">
        <w:rPr>
          <w:bCs/>
          <w:color w:val="000000"/>
          <w:szCs w:val="22"/>
        </w:rPr>
        <w:t xml:space="preserve">R&amp;D </w:t>
      </w:r>
      <w:r w:rsidRPr="00FC1657">
        <w:rPr>
          <w:bCs/>
          <w:color w:val="000000"/>
          <w:szCs w:val="22"/>
        </w:rPr>
        <w:t>Program in the more aggressive statewide decarbonization goals set by</w:t>
      </w:r>
      <w:r>
        <w:rPr>
          <w:bCs/>
          <w:color w:val="000000"/>
          <w:szCs w:val="22"/>
        </w:rPr>
        <w:t xml:space="preserve"> </w:t>
      </w:r>
      <w:r w:rsidRPr="00FC1657">
        <w:rPr>
          <w:bCs/>
          <w:color w:val="000000"/>
          <w:szCs w:val="22"/>
        </w:rPr>
        <w:t>Senate Bill 100 (De León, 2018) and Executive Order B-55-18</w:t>
      </w:r>
      <w:r>
        <w:rPr>
          <w:bCs/>
          <w:color w:val="000000"/>
          <w:szCs w:val="22"/>
        </w:rPr>
        <w:t xml:space="preserve">.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7C0D5C60" w:rsidR="00A8436A" w:rsidRPr="003C3E02" w:rsidRDefault="00A8436A" w:rsidP="00A8436A">
      <w:pPr>
        <w:autoSpaceDE w:val="0"/>
        <w:autoSpaceDN w:val="0"/>
        <w:adjustRightInd w:val="0"/>
        <w:spacing w:after="0"/>
        <w:jc w:val="both"/>
        <w:rPr>
          <w:bCs/>
          <w:color w:val="000000"/>
          <w:szCs w:val="22"/>
        </w:rPr>
      </w:pPr>
      <w:r w:rsidRPr="00C216AA">
        <w:rPr>
          <w:bCs/>
          <w:color w:val="000000"/>
          <w:szCs w:val="22"/>
        </w:rPr>
        <w:t xml:space="preserve">The </w:t>
      </w:r>
      <w:r>
        <w:rPr>
          <w:bCs/>
          <w:color w:val="000000"/>
          <w:szCs w:val="22"/>
        </w:rPr>
        <w:t xml:space="preserve">California </w:t>
      </w:r>
      <w:r w:rsidRPr="00C216AA">
        <w:rPr>
          <w:bCs/>
          <w:color w:val="000000"/>
          <w:szCs w:val="22"/>
        </w:rPr>
        <w:t xml:space="preserve">Energy Commission is committed to ensuring all Californians have an opportunity to participate in and benefit from programs and services. </w:t>
      </w:r>
      <w:r w:rsidRPr="00684DC2">
        <w:rPr>
          <w:bCs/>
          <w:color w:val="000000"/>
          <w:szCs w:val="22"/>
        </w:rPr>
        <w:t>While it is not required to complete the project within a disadvantaged community, demonstration</w:t>
      </w:r>
      <w:r>
        <w:rPr>
          <w:bCs/>
          <w:color w:val="000000"/>
          <w:szCs w:val="22"/>
        </w:rPr>
        <w:t xml:space="preserve"> projects located and benefiting</w:t>
      </w:r>
      <w:r w:rsidRPr="00684DC2">
        <w:rPr>
          <w:bCs/>
          <w:color w:val="000000"/>
          <w:szCs w:val="22"/>
        </w:rPr>
        <w:t xml:space="preserve"> disadvantaged </w:t>
      </w:r>
      <w:r>
        <w:rPr>
          <w:bCs/>
          <w:color w:val="000000"/>
          <w:szCs w:val="22"/>
        </w:rPr>
        <w:t xml:space="preserve">and/or </w:t>
      </w:r>
      <w:r w:rsidRPr="00C216AA">
        <w:rPr>
          <w:bCs/>
          <w:color w:val="000000"/>
          <w:szCs w:val="22"/>
        </w:rPr>
        <w:t xml:space="preserve">low-income </w:t>
      </w:r>
      <w:r w:rsidRPr="00684DC2">
        <w:rPr>
          <w:bCs/>
          <w:color w:val="000000"/>
          <w:szCs w:val="22"/>
        </w:rPr>
        <w:t>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3C87FD94" w14:textId="329A1DD3" w:rsidR="00A8436A" w:rsidRPr="00A8436A" w:rsidRDefault="00A8436A" w:rsidP="00A8436A">
      <w:pPr>
        <w:autoSpaceDE w:val="0"/>
        <w:autoSpaceDN w:val="0"/>
        <w:adjustRightInd w:val="0"/>
        <w:spacing w:after="0"/>
        <w:jc w:val="both"/>
      </w:pPr>
      <w:r w:rsidRPr="00FC1657">
        <w:rPr>
          <w:bCs/>
          <w:color w:val="000000"/>
          <w:szCs w:val="22"/>
        </w:rPr>
        <w:t xml:space="preserve">Low-income communities and households are defined as the census tracts and households, respectively, that are either at or below 80 percent of the statewide median income, or at or below </w:t>
      </w:r>
      <w:r w:rsidRPr="00FC1657">
        <w:rPr>
          <w:bCs/>
          <w:color w:val="000000"/>
          <w:szCs w:val="22"/>
        </w:rPr>
        <w:lastRenderedPageBreak/>
        <w:t>the threshold designated as low-income by the California Department of Hou</w:t>
      </w:r>
      <w:r>
        <w:rPr>
          <w:bCs/>
          <w:color w:val="000000"/>
          <w:szCs w:val="22"/>
        </w:rPr>
        <w:t>sing and Community 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 xml:space="preserve">site for the current HCD State Income Limits: </w:t>
      </w:r>
      <w:r w:rsidRPr="00A8436A">
        <w:t>http://www.hcd.ca.gov/grants-funding/income-limits/index.shtml.</w:t>
      </w:r>
      <w:r w:rsidRPr="00684DC2">
        <w:rPr>
          <w:bCs/>
          <w:color w:val="000000"/>
          <w:szCs w:val="22"/>
        </w:rPr>
        <w:t xml:space="preserve"> </w:t>
      </w:r>
      <w:r w:rsidRPr="00DE5A5A">
        <w:rPr>
          <w:bCs/>
          <w:color w:val="000000"/>
          <w:szCs w:val="22"/>
        </w:rPr>
        <w:t>Disadvantaged communities are defined as areas representing cens</w:t>
      </w:r>
      <w:r>
        <w:rPr>
          <w:bCs/>
          <w:color w:val="000000"/>
          <w:szCs w:val="22"/>
        </w:rPr>
        <w:t>us tracts scoring in the top 25</w:t>
      </w:r>
      <w:r w:rsidRPr="00DE5A5A">
        <w:rPr>
          <w:bCs/>
          <w:color w:val="000000"/>
          <w:szCs w:val="22"/>
        </w:rPr>
        <w:t xml:space="preserve">% in </w:t>
      </w:r>
      <w:r w:rsidRPr="00386F05">
        <w:rPr>
          <w:bCs/>
          <w:color w:val="000000"/>
          <w:szCs w:val="22"/>
        </w:rPr>
        <w:t xml:space="preserve">CalEnviroScreen. For more information on disadvantaged communities and to determine if your project is in a disadvantaged community, use the California Communities Environmental Health Screening tool (CalEnviroScreen): </w:t>
      </w:r>
      <w:r w:rsidR="00EA50F3" w:rsidRPr="00386F05">
        <w:t>https://oehha.ca.gov/calenviroscreen/report/calenviroscreen-40</w:t>
      </w:r>
      <w:r w:rsidRPr="00386F05">
        <w:t>.</w:t>
      </w:r>
      <w:r w:rsidRPr="00A8436A">
        <w:t xml:space="preserve"> </w:t>
      </w:r>
    </w:p>
    <w:p w14:paraId="62223383" w14:textId="77777777" w:rsidR="0081409B" w:rsidRPr="00C31C1D" w:rsidRDefault="0081409B" w:rsidP="00A10CB4">
      <w:pPr>
        <w:jc w:val="both"/>
        <w:rPr>
          <w:szCs w:val="22"/>
        </w:rPr>
      </w:pPr>
    </w:p>
    <w:p w14:paraId="12CED422" w14:textId="77777777" w:rsidR="005161B8" w:rsidRDefault="005161B8" w:rsidP="00D157D1">
      <w:pPr>
        <w:ind w:left="720"/>
        <w:rPr>
          <w:b/>
          <w:szCs w:val="22"/>
        </w:rPr>
      </w:pPr>
      <w:bookmarkStart w:id="123" w:name="_Toc366671176"/>
    </w:p>
    <w:p w14:paraId="266CA25E" w14:textId="2BD52F7E" w:rsidR="001C2D56" w:rsidRPr="009F702B" w:rsidRDefault="001C2D56">
      <w:pPr>
        <w:pStyle w:val="ListParagraph"/>
        <w:numPr>
          <w:ilvl w:val="0"/>
          <w:numId w:val="48"/>
        </w:numPr>
        <w:shd w:val="clear" w:color="auto" w:fill="FFFFFF"/>
        <w:spacing w:after="0"/>
        <w:ind w:left="1440"/>
        <w:jc w:val="both"/>
        <w:textAlignment w:val="baseline"/>
        <w:rPr>
          <w:szCs w:val="22"/>
        </w:rPr>
      </w:pPr>
      <w:bookmarkStart w:id="124" w:name="_Toc366671177"/>
      <w:bookmarkEnd w:id="123"/>
      <w:r w:rsidRPr="00D328D4">
        <w:br w:type="page"/>
      </w:r>
      <w:bookmarkEnd w:id="105"/>
      <w:bookmarkEnd w:id="106"/>
      <w:bookmarkEnd w:id="107"/>
      <w:bookmarkEnd w:id="108"/>
      <w:bookmarkEnd w:id="124"/>
    </w:p>
    <w:p w14:paraId="309DBC47" w14:textId="62B6F635" w:rsidR="0061342D" w:rsidRDefault="001C2D56" w:rsidP="0061342D">
      <w:pPr>
        <w:pStyle w:val="Heading1"/>
        <w:keepLines w:val="0"/>
        <w:spacing w:before="0" w:after="120"/>
        <w:jc w:val="both"/>
      </w:pPr>
      <w:bookmarkStart w:id="125" w:name="_Toc12770892"/>
      <w:bookmarkStart w:id="126" w:name="_Toc219275109"/>
      <w:bookmarkStart w:id="127" w:name="_Toc336443626"/>
      <w:bookmarkStart w:id="128" w:name="_Toc366671182"/>
      <w:bookmarkStart w:id="129" w:name="_Toc81377114"/>
      <w:bookmarkStart w:id="130" w:name="_Toc86152253"/>
      <w:bookmarkStart w:id="131" w:name="_Toc219275098"/>
      <w:r w:rsidRPr="00C31C1D">
        <w:lastRenderedPageBreak/>
        <w:t>III.</w:t>
      </w:r>
      <w:r w:rsidR="4B52DBCB" w:rsidRPr="00C31C1D">
        <w:t xml:space="preserve"> </w:t>
      </w:r>
      <w:r w:rsidRPr="00C31C1D">
        <w:tab/>
      </w:r>
      <w:bookmarkEnd w:id="125"/>
      <w:r w:rsidRPr="00C31C1D">
        <w:t xml:space="preserve">Application Organization and Submission </w:t>
      </w:r>
      <w:bookmarkEnd w:id="126"/>
      <w:bookmarkEnd w:id="127"/>
      <w:bookmarkEnd w:id="128"/>
      <w:r w:rsidRPr="00C31C1D">
        <w:t>Instructions</w:t>
      </w:r>
      <w:bookmarkEnd w:id="129"/>
      <w:bookmarkEnd w:id="130"/>
    </w:p>
    <w:p w14:paraId="2E4CB840" w14:textId="77777777" w:rsidR="001C2D56" w:rsidRPr="00CF6DED" w:rsidRDefault="001C2D56">
      <w:pPr>
        <w:pStyle w:val="Heading2"/>
        <w:numPr>
          <w:ilvl w:val="0"/>
          <w:numId w:val="46"/>
        </w:numPr>
      </w:pPr>
      <w:bookmarkStart w:id="132" w:name="_Toc201713573"/>
      <w:bookmarkStart w:id="133" w:name="_Toc81377115"/>
      <w:bookmarkStart w:id="134" w:name="_Toc86152254"/>
      <w:bookmarkStart w:id="135" w:name="_Toc219275111"/>
      <w:bookmarkStart w:id="136" w:name="_Toc336443628"/>
      <w:bookmarkStart w:id="137" w:name="_Toc366671184"/>
      <w:r w:rsidRPr="00CF6DED">
        <w:t>Application Format</w:t>
      </w:r>
      <w:bookmarkEnd w:id="132"/>
      <w:r w:rsidRPr="00CF6DED">
        <w:t>, Page Limits, and Number of Copies</w:t>
      </w:r>
      <w:bookmarkEnd w:id="133"/>
      <w:bookmarkEnd w:id="134"/>
      <w:r w:rsidRPr="00CF6DED">
        <w:t xml:space="preserve"> </w:t>
      </w:r>
      <w:bookmarkEnd w:id="135"/>
      <w:bookmarkEnd w:id="136"/>
      <w:bookmarkEnd w:id="137"/>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D2672D">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0B5232">
            <w:pPr>
              <w:numPr>
                <w:ilvl w:val="0"/>
                <w:numId w:val="13"/>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D2672D">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734C0C">
            <w:pPr>
              <w:numPr>
                <w:ilvl w:val="1"/>
                <w:numId w:val="14"/>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54653451" w:rsidR="0090258A" w:rsidRPr="00386F05" w:rsidRDefault="0090258A">
      <w:pPr>
        <w:pStyle w:val="Heading2"/>
        <w:numPr>
          <w:ilvl w:val="0"/>
          <w:numId w:val="46"/>
        </w:numPr>
      </w:pPr>
      <w:bookmarkStart w:id="138" w:name="_Toc428191083"/>
      <w:bookmarkStart w:id="139" w:name="_Toc81377116"/>
      <w:bookmarkStart w:id="140" w:name="_Toc86152255"/>
      <w:bookmarkStart w:id="141" w:name="_Toc201713575"/>
      <w:bookmarkStart w:id="142" w:name="_Toc219275113"/>
      <w:bookmarkStart w:id="143" w:name="_Toc336443630"/>
      <w:bookmarkStart w:id="144" w:name="_Toc366671186"/>
      <w:r w:rsidRPr="00386F05">
        <w:t>Method For Delivery</w:t>
      </w:r>
      <w:bookmarkEnd w:id="138"/>
      <w:bookmarkEnd w:id="139"/>
      <w:bookmarkEnd w:id="140"/>
    </w:p>
    <w:p w14:paraId="0DB8EDF6" w14:textId="77777777" w:rsidR="00DA2540" w:rsidRPr="00386F05" w:rsidRDefault="00DA2540" w:rsidP="00DA2540">
      <w:pPr>
        <w:keepNext/>
        <w:jc w:val="both"/>
      </w:pPr>
      <w:r w:rsidRPr="00386F05">
        <w:t xml:space="preserve">The only method of submitting applications to this solicitation is the CEC Grant Solicitation System (GSS), available at: https://gss.energy.ca.gov/. This online tool allows applicants to submit their electronic documents to the CEC prior to the date and time specified in this solicitation. Electronic files must be in Microsoft Word XP (.doc format) or newer and Excel Office Suite formats unless </w:t>
      </w:r>
      <w:r w:rsidRPr="00386F05">
        <w:lastRenderedPageBreak/>
        <w:t xml:space="preserve">originally provided in the solicitation in another format.  Attachments requiring signatures may be scanned and submitted in PDF format.  Completed Budget Forms, (Attachment), must be in Excel format.   </w:t>
      </w:r>
    </w:p>
    <w:p w14:paraId="793DA3AE" w14:textId="77777777" w:rsidR="00DA2540" w:rsidRPr="00386F05" w:rsidRDefault="00DA2540" w:rsidP="00DA2540">
      <w:pPr>
        <w:keepNext/>
        <w:jc w:val="both"/>
      </w:pPr>
      <w:r w:rsidRPr="00386F05">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11E89832" w14:textId="77777777" w:rsidR="00DA2540" w:rsidRPr="00386F05" w:rsidRDefault="00DA2540" w:rsidP="00DA2540">
      <w:pPr>
        <w:keepNext/>
        <w:jc w:val="both"/>
      </w:pPr>
      <w:r w:rsidRPr="00386F05">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21FA1A58" w14:textId="77777777" w:rsidR="00DA2540" w:rsidRPr="00386F05" w:rsidRDefault="00DA2540" w:rsidP="00DA2540">
      <w:pPr>
        <w:keepNext/>
        <w:jc w:val="both"/>
      </w:pPr>
      <w:r w:rsidRPr="00386F05">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083CF4BF" w:rsidR="0090258A" w:rsidRPr="00C07F85" w:rsidRDefault="00DA2540" w:rsidP="00DA2540">
      <w:pPr>
        <w:keepNext/>
        <w:jc w:val="both"/>
      </w:pPr>
      <w:r w:rsidRPr="00386F05">
        <w:t>First time users must register as a new user to access the system. Applicants will receive a confirmation email after all required documents have been successfully uploaded.  A tutorial of the system will be provided at the pre-application workshop, and you may contact the Commission Agreement Officer identified in the Questions section of the solicitation for more assistance.</w:t>
      </w:r>
    </w:p>
    <w:p w14:paraId="517A7FA1" w14:textId="6B7BC20B" w:rsidR="00344986" w:rsidRPr="00CF6DED" w:rsidRDefault="001C2D56">
      <w:pPr>
        <w:pStyle w:val="Heading2"/>
        <w:numPr>
          <w:ilvl w:val="0"/>
          <w:numId w:val="46"/>
        </w:numPr>
      </w:pPr>
      <w:bookmarkStart w:id="145" w:name="_Toc81377118"/>
      <w:bookmarkStart w:id="146" w:name="_Toc86152256"/>
      <w:bookmarkStart w:id="147" w:name="_Toc219275114"/>
      <w:bookmarkStart w:id="148" w:name="_Toc336443632"/>
      <w:bookmarkStart w:id="149" w:name="_Toc366671188"/>
      <w:bookmarkEnd w:id="141"/>
      <w:bookmarkEnd w:id="142"/>
      <w:bookmarkEnd w:id="143"/>
      <w:bookmarkEnd w:id="144"/>
      <w:r w:rsidRPr="00CF6DED">
        <w:t>Application Content</w:t>
      </w:r>
      <w:bookmarkEnd w:id="145"/>
      <w:bookmarkEnd w:id="146"/>
    </w:p>
    <w:p w14:paraId="16F31403" w14:textId="6E655827" w:rsidR="001C2D56" w:rsidRPr="00C31C1D" w:rsidRDefault="001C2D56" w:rsidP="0034260F">
      <w:bookmarkStart w:id="150" w:name="_Toc381079929"/>
      <w:bookmarkStart w:id="151" w:name="_Toc382571192"/>
      <w:bookmarkStart w:id="152" w:name="_Toc395180702"/>
      <w:bookmarkStart w:id="153" w:name="_Toc433981331"/>
      <w:bookmarkStart w:id="154" w:name="_Toc35074593"/>
      <w:bookmarkStart w:id="155" w:name="_Toc366671191"/>
      <w:bookmarkEnd w:id="147"/>
      <w:bookmarkEnd w:id="148"/>
      <w:bookmarkEnd w:id="149"/>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50"/>
      <w:bookmarkEnd w:id="151"/>
      <w:bookmarkEnd w:id="152"/>
      <w:bookmarkEnd w:id="153"/>
      <w:r w:rsidR="00F96CE8">
        <w:t>.</w:t>
      </w:r>
    </w:p>
    <w:bookmarkEnd w:id="154"/>
    <w:bookmarkEnd w:id="155"/>
    <w:p w14:paraId="06536639" w14:textId="77777777" w:rsidR="005E52CD" w:rsidRPr="007065BB" w:rsidRDefault="001C2D56">
      <w:pPr>
        <w:pStyle w:val="HeadingNew1"/>
        <w:numPr>
          <w:ilvl w:val="0"/>
          <w:numId w:val="34"/>
        </w:numPr>
        <w:ind w:left="360"/>
      </w:pPr>
      <w:r w:rsidRPr="007065BB">
        <w:t>Application Form (Attachment 1)</w:t>
      </w:r>
    </w:p>
    <w:p w14:paraId="488555D9" w14:textId="44DA7C82" w:rsidR="001C2D56" w:rsidRPr="00C31C1D" w:rsidRDefault="001C2D56" w:rsidP="00271699">
      <w:pPr>
        <w:widowControl w:val="0"/>
        <w:spacing w:after="0"/>
        <w:ind w:left="360"/>
        <w:jc w:val="both"/>
      </w:pPr>
      <w:r>
        <w:t xml:space="preserve">This form requests basic information about the applicant and the project. </w:t>
      </w:r>
      <w:r w:rsidR="002C75B7" w:rsidRPr="002C75B7">
        <w:t xml:space="preserve">Please reference each individual attachment for a detailed description of the information requested by that attachment. </w:t>
      </w:r>
      <w:r w:rsidRPr="00C31C1D">
        <w:t xml:space="preserve">The application </w:t>
      </w:r>
      <w:r w:rsidR="00AD03A6">
        <w:t>must</w:t>
      </w:r>
      <w:r w:rsidR="005F5DEA">
        <w:t xml:space="preserve"> </w:t>
      </w:r>
      <w:r w:rsidRPr="00C31C1D">
        <w:t xml:space="preserve">include an original </w:t>
      </w:r>
      <w:r w:rsidR="005F5DEA">
        <w:t>Application F</w:t>
      </w:r>
      <w:r w:rsidRPr="00C31C1D">
        <w:t xml:space="preserve">orm </w:t>
      </w:r>
      <w:r>
        <w:t>that includes all requested information</w:t>
      </w:r>
      <w:r w:rsidR="00686D5C">
        <w:t xml:space="preserve">.  The </w:t>
      </w:r>
      <w:r w:rsidR="00CD2DEA" w:rsidRPr="00CD2DEA">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49374573" w:rsidR="001C2D56" w:rsidRDefault="001C2D56" w:rsidP="00A10CB4">
      <w:pPr>
        <w:spacing w:after="0"/>
        <w:ind w:left="720"/>
        <w:jc w:val="both"/>
      </w:pPr>
    </w:p>
    <w:p w14:paraId="68703081" w14:textId="0D6C1990"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71D63E9" w14:textId="77777777" w:rsidR="007E563A" w:rsidRPr="00C31C1D" w:rsidRDefault="007E563A" w:rsidP="007E563A">
      <w:pPr>
        <w:spacing w:after="0"/>
        <w:ind w:left="360"/>
        <w:jc w:val="both"/>
      </w:pPr>
    </w:p>
    <w:p w14:paraId="03486CAD" w14:textId="77777777" w:rsidR="005E52CD" w:rsidRPr="007065BB" w:rsidRDefault="001C2D56">
      <w:pPr>
        <w:pStyle w:val="HeadingNew1"/>
        <w:numPr>
          <w:ilvl w:val="0"/>
          <w:numId w:val="34"/>
        </w:numPr>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pPr>
        <w:pStyle w:val="HeadingNew1"/>
        <w:numPr>
          <w:ilvl w:val="0"/>
          <w:numId w:val="34"/>
        </w:numPr>
        <w:ind w:left="360"/>
      </w:pPr>
      <w:r w:rsidRPr="007065BB">
        <w:lastRenderedPageBreak/>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4F49063D" w14:textId="77777777" w:rsidR="007065BB" w:rsidRPr="00142AAE" w:rsidRDefault="007065BB">
      <w:pPr>
        <w:numPr>
          <w:ilvl w:val="1"/>
          <w:numId w:val="26"/>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39C00C5E" w:rsidR="007065BB" w:rsidRPr="00453F01" w:rsidRDefault="007065BB">
      <w:pPr>
        <w:numPr>
          <w:ilvl w:val="2"/>
          <w:numId w:val="26"/>
        </w:numPr>
        <w:tabs>
          <w:tab w:val="left" w:pos="288"/>
        </w:tabs>
        <w:spacing w:after="0"/>
        <w:ind w:left="1890" w:hanging="450"/>
        <w:rPr>
          <w:rFonts w:eastAsia="MS Mincho" w:cs="Times New Roman"/>
          <w:sz w:val="24"/>
          <w:szCs w:val="24"/>
        </w:rPr>
      </w:pPr>
      <w:r w:rsidRPr="00453F01">
        <w:rPr>
          <w:rFonts w:eastAsia="MS Mincho" w:cs="Times New Roman"/>
          <w:szCs w:val="22"/>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pPr>
        <w:pStyle w:val="HeadingNew1"/>
        <w:numPr>
          <w:ilvl w:val="0"/>
          <w:numId w:val="34"/>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35"/>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pPr>
        <w:pStyle w:val="HeadingNew1"/>
        <w:numPr>
          <w:ilvl w:val="0"/>
          <w:numId w:val="34"/>
        </w:numPr>
        <w:ind w:left="360"/>
      </w:pPr>
      <w:r w:rsidRPr="007065BB">
        <w:t>Scope of Work Template (Attachment</w:t>
      </w:r>
      <w:r w:rsidR="00713198" w:rsidRPr="007065BB">
        <w:t>s</w:t>
      </w:r>
      <w:r w:rsidRPr="007065BB">
        <w:t xml:space="preserve"> </w:t>
      </w:r>
      <w:r w:rsidR="003B24B0">
        <w:t>5</w:t>
      </w:r>
      <w:r w:rsidRPr="007065BB">
        <w:t>)</w:t>
      </w:r>
    </w:p>
    <w:p w14:paraId="2EC5240E" w14:textId="7707AF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See requirements in section I.</w:t>
      </w:r>
      <w:r w:rsidR="00B33E4E">
        <w:t>C</w:t>
      </w:r>
      <w:r w:rsidR="00076A0E">
        <w:t xml:space="preserve">.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pPr>
        <w:pStyle w:val="HeadingNew1"/>
        <w:numPr>
          <w:ilvl w:val="0"/>
          <w:numId w:val="34"/>
        </w:numPr>
        <w:ind w:left="360"/>
      </w:pPr>
      <w:bookmarkStart w:id="156" w:name="_Toc35074602"/>
      <w:r>
        <w:t>Project Schedule (Attachment 6)</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product,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pPr>
        <w:pStyle w:val="HeadingNew1"/>
        <w:numPr>
          <w:ilvl w:val="0"/>
          <w:numId w:val="34"/>
        </w:numPr>
        <w:ind w:left="360"/>
      </w:pPr>
      <w:r w:rsidRPr="007065BB">
        <w:t>Budget Forms (Attachment 7)</w:t>
      </w:r>
    </w:p>
    <w:bookmarkEnd w:id="156"/>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566EB116" w:rsidR="003A4967" w:rsidRPr="00A16CE4" w:rsidRDefault="003A4967" w:rsidP="00734C0C">
      <w:pPr>
        <w:keepLines/>
        <w:widowControl w:val="0"/>
        <w:numPr>
          <w:ilvl w:val="0"/>
          <w:numId w:val="12"/>
        </w:numPr>
        <w:spacing w:after="60"/>
        <w:ind w:left="1080"/>
        <w:jc w:val="both"/>
        <w:rPr>
          <w:szCs w:val="22"/>
        </w:rPr>
      </w:pPr>
      <w:r w:rsidRPr="003A4967">
        <w:rPr>
          <w:bCs/>
        </w:rPr>
        <w:t xml:space="preserve">The budget must NOT identify that </w:t>
      </w:r>
      <w:r w:rsidR="0004449A">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1B277D">
      <w:pPr>
        <w:keepLines/>
        <w:widowControl w:val="0"/>
        <w:numPr>
          <w:ilvl w:val="0"/>
          <w:numId w:val="12"/>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pPr>
        <w:keepLines/>
        <w:widowControl w:val="0"/>
        <w:numPr>
          <w:ilvl w:val="0"/>
          <w:numId w:val="35"/>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pPr>
        <w:keepLines/>
        <w:widowControl w:val="0"/>
        <w:numPr>
          <w:ilvl w:val="0"/>
          <w:numId w:val="35"/>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pPr>
        <w:keepLines/>
        <w:widowControl w:val="0"/>
        <w:numPr>
          <w:ilvl w:val="0"/>
          <w:numId w:val="35"/>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pPr>
        <w:pStyle w:val="HeadingNew1"/>
        <w:numPr>
          <w:ilvl w:val="0"/>
          <w:numId w:val="34"/>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77777777" w:rsidR="00FB7DFE" w:rsidRPr="00C31C1D" w:rsidRDefault="00FB7DFE" w:rsidP="00D53A75">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pPr>
        <w:pStyle w:val="HeadingNew1"/>
        <w:numPr>
          <w:ilvl w:val="0"/>
          <w:numId w:val="34"/>
        </w:numPr>
        <w:ind w:left="360"/>
        <w:rPr>
          <w:b w:val="0"/>
        </w:rPr>
      </w:pPr>
      <w:r w:rsidRPr="007065BB">
        <w:t>Reference and Work Product Form (Attachment 9)</w:t>
      </w:r>
    </w:p>
    <w:p w14:paraId="18EEE686" w14:textId="77777777" w:rsidR="007065BB" w:rsidRDefault="007065BB">
      <w:pPr>
        <w:keepLines/>
        <w:widowControl w:val="0"/>
        <w:numPr>
          <w:ilvl w:val="2"/>
          <w:numId w:val="20"/>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pPr>
        <w:keepLines/>
        <w:widowControl w:val="0"/>
        <w:numPr>
          <w:ilvl w:val="2"/>
          <w:numId w:val="20"/>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pPr>
        <w:pStyle w:val="HeadingNew1"/>
        <w:numPr>
          <w:ilvl w:val="0"/>
          <w:numId w:val="34"/>
        </w:numPr>
        <w:ind w:left="360"/>
      </w:pPr>
      <w:r w:rsidRPr="00E74B5A">
        <w:rPr>
          <w:b w:val="0"/>
          <w:szCs w:val="24"/>
        </w:rPr>
        <w:t xml:space="preserve"> </w:t>
      </w:r>
      <w:bookmarkStart w:id="157" w:name="CommLttr"/>
      <w:r w:rsidR="006760F9" w:rsidRPr="007065BB">
        <w:t>Commitment and Su</w:t>
      </w:r>
      <w:r w:rsidR="000B648E">
        <w:t>pport Letter Form (Attachment 10</w:t>
      </w:r>
      <w:r w:rsidR="006760F9" w:rsidRPr="007065BB">
        <w:t>)</w:t>
      </w:r>
      <w:bookmarkEnd w:id="157"/>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pPr>
        <w:numPr>
          <w:ilvl w:val="0"/>
          <w:numId w:val="56"/>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75281F"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 xml:space="preserve">ndividual that is committing to providing match funding. The letter </w:t>
      </w:r>
      <w:r w:rsidR="2FA5BDC8">
        <w:t>should</w:t>
      </w:r>
      <w:r>
        <w:t>: (1) identify the source(s) of the funds; and (2) guarantee the availability of the funds for the project.</w:t>
      </w:r>
    </w:p>
    <w:p w14:paraId="2A072889" w14:textId="48161314" w:rsidR="006D5C5E" w:rsidRPr="000C49D5" w:rsidRDefault="006D5C5E">
      <w:pPr>
        <w:numPr>
          <w:ilvl w:val="0"/>
          <w:numId w:val="36"/>
        </w:numPr>
        <w:tabs>
          <w:tab w:val="left" w:pos="720"/>
          <w:tab w:val="left" w:pos="1170"/>
          <w:tab w:val="left" w:pos="1260"/>
          <w:tab w:val="left" w:pos="1620"/>
        </w:tabs>
        <w:spacing w:after="0"/>
        <w:ind w:left="1627"/>
        <w:jc w:val="both"/>
        <w:rPr>
          <w:b/>
        </w:rPr>
      </w:pPr>
      <w:r w:rsidRPr="003D71E7">
        <w:rPr>
          <w:szCs w:val="22"/>
        </w:rPr>
        <w:t xml:space="preserve">If the project involves </w:t>
      </w:r>
      <w:r w:rsidRPr="003D71E7">
        <w:rPr>
          <w:b/>
          <w:szCs w:val="22"/>
        </w:rPr>
        <w:t xml:space="preserve">pilot testing </w:t>
      </w:r>
      <w:r w:rsidRPr="003D71E7">
        <w:rPr>
          <w:szCs w:val="22"/>
        </w:rPr>
        <w:t xml:space="preserve">activities, the applicant must include a site </w:t>
      </w:r>
      <w:r w:rsidRPr="000C49D5">
        <w:rPr>
          <w:szCs w:val="22"/>
        </w:rPr>
        <w:t xml:space="preserve">commitment letter signed by an authorized representative of the proposed </w:t>
      </w:r>
      <w:r w:rsidR="00BE1118" w:rsidRPr="000C49D5">
        <w:rPr>
          <w:szCs w:val="22"/>
        </w:rPr>
        <w:t>pilot t</w:t>
      </w:r>
      <w:r w:rsidRPr="000C49D5">
        <w:rPr>
          <w:szCs w:val="22"/>
        </w:rPr>
        <w:t xml:space="preserve">est site. The letter must: (1) identify the location of the site (street address, parcel number, tract map, plot map, etc.) which must be consistent with </w:t>
      </w:r>
      <w:r w:rsidRPr="000C49D5">
        <w:rPr>
          <w:szCs w:val="22"/>
        </w:rPr>
        <w:lastRenderedPageBreak/>
        <w:t xml:space="preserve">Attachments 1 and 8. and (2) commit to providing the site for the proposed activities.  </w:t>
      </w:r>
    </w:p>
    <w:p w14:paraId="6FAAD3CD" w14:textId="5D3E52C8" w:rsidR="006D5C5E" w:rsidRPr="000C49D5" w:rsidRDefault="006D5C5E">
      <w:pPr>
        <w:numPr>
          <w:ilvl w:val="0"/>
          <w:numId w:val="36"/>
        </w:numPr>
        <w:tabs>
          <w:tab w:val="left" w:pos="720"/>
          <w:tab w:val="left" w:pos="1170"/>
          <w:tab w:val="left" w:pos="1260"/>
          <w:tab w:val="left" w:pos="1620"/>
        </w:tabs>
        <w:ind w:left="1627"/>
        <w:jc w:val="both"/>
        <w:rPr>
          <w:b/>
        </w:rPr>
      </w:pPr>
      <w:r w:rsidRPr="000C49D5">
        <w:rPr>
          <w:b/>
        </w:rPr>
        <w:t>Project partners</w:t>
      </w:r>
      <w:r w:rsidRPr="000C49D5">
        <w:t xml:space="preserve"> that are making contributions other than match funding or a </w:t>
      </w:r>
      <w:r w:rsidR="00BE1118" w:rsidRPr="000C49D5">
        <w:t xml:space="preserve">pilot </w:t>
      </w:r>
      <w:r w:rsidRPr="000C49D5">
        <w:t xml:space="preserve">test site, and are not receiving </w:t>
      </w:r>
      <w:r w:rsidR="008F4A0E" w:rsidRPr="000C49D5">
        <w:t>CEC</w:t>
      </w:r>
      <w:r w:rsidRPr="000C49D5">
        <w:t xml:space="preserve"> funds, must submit a commitment letter signed by an authorized representative that: (1) identifies how the partner will contribute to the project; and (2) commits to making the contribution. </w:t>
      </w:r>
    </w:p>
    <w:p w14:paraId="078C5CFB" w14:textId="77777777" w:rsidR="006D5C5E" w:rsidRPr="000C49D5" w:rsidRDefault="006D5C5E">
      <w:pPr>
        <w:numPr>
          <w:ilvl w:val="0"/>
          <w:numId w:val="56"/>
        </w:numPr>
        <w:tabs>
          <w:tab w:val="left" w:pos="720"/>
        </w:tabs>
        <w:spacing w:after="0"/>
        <w:ind w:left="1170"/>
        <w:jc w:val="both"/>
        <w:rPr>
          <w:b/>
          <w:u w:val="single"/>
        </w:rPr>
      </w:pPr>
      <w:r w:rsidRPr="000C49D5">
        <w:rPr>
          <w:szCs w:val="22"/>
          <w:u w:val="single"/>
        </w:rPr>
        <w:t>Support Letters</w:t>
      </w:r>
    </w:p>
    <w:p w14:paraId="2ED7C640" w14:textId="1A352F61" w:rsidR="006D5C5E" w:rsidRPr="000C49D5" w:rsidRDefault="006D5C5E" w:rsidP="006D5C5E">
      <w:pPr>
        <w:tabs>
          <w:tab w:val="left" w:pos="720"/>
          <w:tab w:val="left" w:pos="1170"/>
          <w:tab w:val="left" w:pos="1260"/>
        </w:tabs>
        <w:spacing w:after="0"/>
        <w:ind w:left="1170"/>
        <w:jc w:val="both"/>
        <w:rPr>
          <w:szCs w:val="22"/>
        </w:rPr>
      </w:pPr>
      <w:r w:rsidRPr="000C49D5">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00BE1118" w:rsidRPr="000C49D5">
        <w:t xml:space="preserve">pilot </w:t>
      </w:r>
      <w:r w:rsidRPr="000C49D5">
        <w:t>test</w:t>
      </w:r>
      <w:r w:rsidRPr="000C49D5">
        <w:rPr>
          <w:szCs w:val="22"/>
        </w:rPr>
        <w:t xml:space="preserve"> site.</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7777777" w:rsidR="00BD4343" w:rsidRPr="00943E11" w:rsidRDefault="00BD4343">
      <w:pPr>
        <w:pStyle w:val="HeadingNew1"/>
        <w:numPr>
          <w:ilvl w:val="0"/>
          <w:numId w:val="34"/>
        </w:numPr>
        <w:ind w:left="360"/>
      </w:pPr>
      <w:r w:rsidRPr="00943E11">
        <w:t>Project Performance Metrics</w:t>
      </w:r>
      <w:r w:rsidR="00943E11">
        <w:t xml:space="preserve"> (Attachment 11</w:t>
      </w:r>
      <w:r w:rsidR="00943E11" w:rsidRPr="007065BB">
        <w:t>)</w:t>
      </w:r>
    </w:p>
    <w:p w14:paraId="5D3B0CDB" w14:textId="77777777" w:rsidR="004B2FDF" w:rsidRDefault="007A2434" w:rsidP="00D53A75">
      <w:pPr>
        <w:tabs>
          <w:tab w:val="left" w:pos="360"/>
        </w:tabs>
        <w:spacing w:after="0"/>
        <w:ind w:left="36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pPr>
        <w:pStyle w:val="HeadingNew1"/>
        <w:numPr>
          <w:ilvl w:val="0"/>
          <w:numId w:val="34"/>
        </w:numPr>
        <w:ind w:left="360"/>
      </w:pPr>
      <w:r>
        <w:t>Applicant Declaration</w:t>
      </w:r>
      <w:r w:rsidR="002953A8">
        <w:t xml:space="preserve"> (Attachment 12</w:t>
      </w:r>
      <w:r w:rsidR="002953A8" w:rsidRPr="007065BB">
        <w:t>)</w:t>
      </w:r>
    </w:p>
    <w:p w14:paraId="269DA5E0" w14:textId="7A54428C" w:rsidR="0030785C" w:rsidRDefault="00260970" w:rsidP="00D53A75">
      <w:pPr>
        <w:spacing w:after="0"/>
        <w:ind w:left="360"/>
      </w:pPr>
      <w:r w:rsidRPr="00342998">
        <w:rPr>
          <w:szCs w:val="24"/>
        </w:rPr>
        <w:t>This form requests the applicant declare that they: are not delinquent on taxes nor suspended by the California Franchise Tax Board;</w:t>
      </w:r>
      <w:r w:rsidR="00BE1118">
        <w:t xml:space="preserve">  are not currently being sued by any entity (public or private) or individual, and are not aware of any information that reasonably indicates they may be sued by any entity or individual during the proposed agreement term, that might reasonably be expected to materially impact the applicant’s ability to perform the proposed project</w:t>
      </w:r>
      <w:r w:rsidRPr="00342998">
        <w:rPr>
          <w:szCs w:val="24"/>
        </w:rPr>
        <w:t xml:space="preserve">;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0D89EDB9" w14:textId="7F71853B" w:rsidR="00BE1118" w:rsidRDefault="00BE1118" w:rsidP="00D53A75">
      <w:pPr>
        <w:spacing w:after="0"/>
        <w:ind w:left="360"/>
      </w:pPr>
    </w:p>
    <w:p w14:paraId="72A31838" w14:textId="77777777" w:rsidR="00BE1118" w:rsidRDefault="00BE1118" w:rsidP="00BE1118">
      <w:pPr>
        <w:spacing w:after="0"/>
        <w:ind w:left="360"/>
        <w:contextualSpacing/>
      </w:pPr>
      <w:r>
        <w:t>The CEC may request additional information from potential awardees before the CEC approves awards at a business meeting.</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 xml:space="preserve">The CEC may have waived the requirement for a signature on application materials for this solicitation. If a notice regarding CEC’s waiver of the signature requirement appears here: https://www.energy.ca.gov/funding-opportunities/solicitations, the waiver applies to this </w:t>
      </w:r>
      <w:r w:rsidRPr="007E563A">
        <w:lastRenderedPageBreak/>
        <w:t>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77777777" w:rsidR="00455251" w:rsidRDefault="0030785C">
      <w:pPr>
        <w:pStyle w:val="HeadingNew1"/>
        <w:numPr>
          <w:ilvl w:val="0"/>
          <w:numId w:val="34"/>
        </w:numPr>
        <w:ind w:left="360"/>
      </w:pPr>
      <w:r w:rsidRPr="0030785C">
        <w:t>California Based Entity (CBE) Form</w:t>
      </w:r>
      <w:r w:rsidR="00370C17">
        <w:t xml:space="preserve"> (Attachment 13)</w:t>
      </w:r>
    </w:p>
    <w:p w14:paraId="2AB647B0" w14:textId="51A0839D" w:rsidR="00B06441" w:rsidRDefault="00455251">
      <w:pPr>
        <w:spacing w:after="0"/>
        <w:ind w:left="360"/>
        <w:contextualSpacing/>
        <w:rPr>
          <w:szCs w:val="24"/>
        </w:rPr>
      </w:pPr>
      <w:r w:rsidRPr="00455251">
        <w:rPr>
          <w:szCs w:val="24"/>
        </w:rPr>
        <w:t>Identify any California-based entities as instructed in the form.  California-based entities are entitled to a scoring preference as described in Part I</w:t>
      </w:r>
      <w:r w:rsidR="00141549">
        <w:rPr>
          <w:szCs w:val="24"/>
        </w:rPr>
        <w:t>V</w:t>
      </w:r>
      <w:r w:rsidRPr="00455251">
        <w:rPr>
          <w:szCs w:val="24"/>
        </w:rPr>
        <w:t xml:space="preserve"> of this </w:t>
      </w:r>
      <w:r w:rsidRPr="00141549">
        <w:rPr>
          <w:szCs w:val="24"/>
        </w:rPr>
        <w:t>solicitation.</w:t>
      </w:r>
      <w:r w:rsidR="00D53A75">
        <w:rPr>
          <w:szCs w:val="24"/>
        </w:rPr>
        <w:t xml:space="preserve"> </w:t>
      </w:r>
    </w:p>
    <w:p w14:paraId="15E60DC2" w14:textId="77777777" w:rsidR="001B6C45" w:rsidRDefault="001B6C45">
      <w:pPr>
        <w:spacing w:after="0"/>
        <w:ind w:left="360"/>
        <w:contextualSpacing/>
        <w:rPr>
          <w:szCs w:val="24"/>
        </w:rPr>
      </w:pPr>
    </w:p>
    <w:p w14:paraId="6FF31636" w14:textId="0065CC58" w:rsidR="00B06441" w:rsidRPr="001B6C45" w:rsidRDefault="00B06441">
      <w:pPr>
        <w:pStyle w:val="HeadingNew1"/>
        <w:numPr>
          <w:ilvl w:val="0"/>
          <w:numId w:val="34"/>
        </w:numPr>
        <w:ind w:left="360"/>
        <w:rPr>
          <w:bCs/>
        </w:rPr>
      </w:pPr>
      <w:r w:rsidRPr="001B6C45">
        <w:rPr>
          <w:rStyle w:val="normaltextrun"/>
        </w:rPr>
        <w:t>References for Calculating Energy End-Use and GHG Emissions (Attachment 1</w:t>
      </w:r>
      <w:r w:rsidR="00E1158B">
        <w:rPr>
          <w:rStyle w:val="normaltextrun"/>
        </w:rPr>
        <w:t>4</w:t>
      </w:r>
      <w:r w:rsidRPr="001B6C45">
        <w:rPr>
          <w:rStyle w:val="normaltextrun"/>
        </w:rPr>
        <w:t>)</w:t>
      </w:r>
      <w:r w:rsidRPr="001B6C45">
        <w:rPr>
          <w:rStyle w:val="normaltextrun"/>
          <w:b w:val="0"/>
          <w:bCs/>
        </w:rPr>
        <w:t> </w:t>
      </w:r>
    </w:p>
    <w:p w14:paraId="5BA80316" w14:textId="35AA7849" w:rsidR="00B06441" w:rsidRPr="001B6C45" w:rsidRDefault="00B06441" w:rsidP="00B06441">
      <w:pPr>
        <w:pStyle w:val="paragraph"/>
        <w:spacing w:before="0" w:beforeAutospacing="0" w:after="0" w:afterAutospacing="0"/>
        <w:ind w:left="360"/>
        <w:jc w:val="both"/>
        <w:textAlignment w:val="baseline"/>
        <w:rPr>
          <w:rFonts w:ascii="Arial" w:hAnsi="Arial" w:cs="Arial"/>
          <w:b/>
          <w:bCs/>
          <w:sz w:val="22"/>
          <w:szCs w:val="22"/>
        </w:rPr>
      </w:pPr>
      <w:r w:rsidRPr="001B6C45">
        <w:rPr>
          <w:rStyle w:val="normaltextrun"/>
          <w:rFonts w:ascii="Arial" w:hAnsi="Arial" w:cs="Arial"/>
          <w:sz w:val="22"/>
          <w:szCs w:val="22"/>
        </w:rPr>
        <w:t>Any estimates of energy savings or GHG impacts described in the application should be calculated as specified on this form, to the extent that the references apply to the proposed project.</w:t>
      </w:r>
    </w:p>
    <w:p w14:paraId="425AD885" w14:textId="6B800E6C" w:rsidR="004B2FDF" w:rsidRPr="00B45766" w:rsidRDefault="004B2FDF">
      <w:pPr>
        <w:spacing w:after="0"/>
        <w:ind w:left="36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58" w:name="_Toc81377119"/>
      <w:bookmarkStart w:id="159" w:name="_Toc86152257"/>
      <w:bookmarkStart w:id="160" w:name="_Toc336443635"/>
      <w:bookmarkStart w:id="161" w:name="_Toc366671192"/>
      <w:r w:rsidRPr="00C31C1D">
        <w:t>IV.</w:t>
      </w:r>
      <w:r w:rsidRPr="00C31C1D">
        <w:tab/>
        <w:t xml:space="preserve">Evaluation </w:t>
      </w:r>
      <w:r>
        <w:t xml:space="preserve">and Award </w:t>
      </w:r>
      <w:r w:rsidRPr="00C31C1D">
        <w:t>Process</w:t>
      </w:r>
      <w:bookmarkEnd w:id="158"/>
      <w:bookmarkEnd w:id="159"/>
      <w:r w:rsidRPr="00C31C1D">
        <w:t xml:space="preserve"> </w:t>
      </w:r>
      <w:bookmarkEnd w:id="131"/>
      <w:bookmarkEnd w:id="160"/>
      <w:bookmarkEnd w:id="161"/>
    </w:p>
    <w:p w14:paraId="501AD443" w14:textId="77777777" w:rsidR="003417AD" w:rsidRPr="00CF6DED" w:rsidRDefault="003417AD">
      <w:pPr>
        <w:pStyle w:val="Heading2"/>
        <w:numPr>
          <w:ilvl w:val="0"/>
          <w:numId w:val="47"/>
        </w:numPr>
      </w:pPr>
      <w:bookmarkStart w:id="162" w:name="_Toc339284338"/>
      <w:bookmarkStart w:id="163" w:name="_Toc366671194"/>
      <w:bookmarkStart w:id="164" w:name="_Toc81377120"/>
      <w:bookmarkStart w:id="165" w:name="_Toc86152258"/>
      <w:bookmarkStart w:id="166" w:name="_Toc338162913"/>
      <w:bookmarkStart w:id="167" w:name="_Toc35074632"/>
      <w:bookmarkStart w:id="168" w:name="_Toc219275099"/>
      <w:bookmarkStart w:id="169" w:name="_Toc336443636"/>
      <w:r w:rsidRPr="00CF6DED">
        <w:t>Application Evaluation</w:t>
      </w:r>
      <w:bookmarkEnd w:id="162"/>
      <w:bookmarkEnd w:id="163"/>
      <w:bookmarkEnd w:id="164"/>
      <w:bookmarkEnd w:id="165"/>
    </w:p>
    <w:bookmarkEnd w:id="166"/>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pPr>
        <w:pStyle w:val="ListParagraph"/>
        <w:numPr>
          <w:ilvl w:val="0"/>
          <w:numId w:val="29"/>
        </w:numPr>
        <w:tabs>
          <w:tab w:val="num" w:pos="360"/>
        </w:tabs>
        <w:rPr>
          <w:b/>
        </w:rPr>
      </w:pPr>
      <w:bookmarkStart w:id="170" w:name="_Toc381079932"/>
      <w:bookmarkStart w:id="171" w:name="_Toc382571195"/>
      <w:bookmarkStart w:id="172" w:name="_Toc395180705"/>
      <w:bookmarkStart w:id="173" w:name="_Toc433981334"/>
      <w:bookmarkStart w:id="174" w:name="_Toc360545784"/>
      <w:bookmarkStart w:id="175" w:name="_Toc366671195"/>
      <w:bookmarkStart w:id="176" w:name="_Toc339284339"/>
      <w:r w:rsidRPr="00E13674">
        <w:rPr>
          <w:b/>
        </w:rPr>
        <w:t>Stage One:  Application Screening</w:t>
      </w:r>
      <w:bookmarkEnd w:id="170"/>
      <w:bookmarkEnd w:id="171"/>
      <w:bookmarkEnd w:id="172"/>
      <w:bookmarkEnd w:id="173"/>
      <w:r w:rsidRPr="00E13674">
        <w:rPr>
          <w:b/>
        </w:rPr>
        <w:t xml:space="preserve"> </w:t>
      </w:r>
      <w:bookmarkEnd w:id="174"/>
      <w:bookmarkEnd w:id="175"/>
    </w:p>
    <w:p w14:paraId="58275728" w14:textId="12CF768F"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77" w:name="_Toc339284340"/>
      <w:bookmarkEnd w:id="176"/>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pPr>
        <w:pStyle w:val="ListParagraph"/>
        <w:numPr>
          <w:ilvl w:val="0"/>
          <w:numId w:val="29"/>
        </w:numPr>
        <w:tabs>
          <w:tab w:val="num" w:pos="360"/>
        </w:tabs>
        <w:rPr>
          <w:b/>
        </w:rPr>
      </w:pPr>
      <w:bookmarkStart w:id="178" w:name="_Toc381079933"/>
      <w:bookmarkStart w:id="179" w:name="_Toc382571196"/>
      <w:bookmarkStart w:id="180" w:name="_Toc395180706"/>
      <w:bookmarkStart w:id="181" w:name="_Toc433981335"/>
      <w:bookmarkStart w:id="182" w:name="_Toc360545785"/>
      <w:bookmarkStart w:id="183" w:name="_Toc366671198"/>
      <w:bookmarkStart w:id="184" w:name="Stg2AppScr"/>
      <w:r w:rsidRPr="008E38AF">
        <w:rPr>
          <w:b/>
        </w:rPr>
        <w:t>Stage Two:  Application Scoring</w:t>
      </w:r>
      <w:bookmarkEnd w:id="178"/>
      <w:bookmarkEnd w:id="179"/>
      <w:bookmarkEnd w:id="180"/>
      <w:bookmarkEnd w:id="181"/>
      <w:r w:rsidRPr="008E38AF">
        <w:rPr>
          <w:b/>
        </w:rPr>
        <w:t xml:space="preserve"> </w:t>
      </w:r>
      <w:bookmarkEnd w:id="182"/>
      <w:bookmarkEnd w:id="183"/>
    </w:p>
    <w:bookmarkEnd w:id="184"/>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pPr>
        <w:numPr>
          <w:ilvl w:val="0"/>
          <w:numId w:val="27"/>
        </w:numPr>
        <w:spacing w:after="0"/>
        <w:ind w:left="720"/>
        <w:jc w:val="both"/>
      </w:pPr>
      <w:r w:rsidRPr="004B1445">
        <w:t xml:space="preserve">The scores for each application will be the average of the combined scores of all Evaluation Committee members. </w:t>
      </w:r>
    </w:p>
    <w:p w14:paraId="587923C1" w14:textId="0C6EFBF6" w:rsidR="000E5180" w:rsidRPr="005B549E" w:rsidRDefault="008C0A71">
      <w:pPr>
        <w:numPr>
          <w:ilvl w:val="0"/>
          <w:numId w:val="27"/>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01C2D56">
      <w:pPr>
        <w:numPr>
          <w:ilvl w:val="0"/>
          <w:numId w:val="27"/>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763CC">
        <w:t>1</w:t>
      </w:r>
      <w:r w:rsidR="00BA149B">
        <w:t>-7</w:t>
      </w:r>
      <w:r w:rsidR="0077205A">
        <w:t>-</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A149B">
        <w:rPr>
          <w:b/>
        </w:rPr>
        <w:t>1</w:t>
      </w:r>
      <w:r w:rsidR="00514C5C" w:rsidRPr="004B1445">
        <w:rPr>
          <w:b/>
        </w:rPr>
        <w:t>−</w:t>
      </w:r>
      <w:r w:rsidR="00BA149B">
        <w:rPr>
          <w:b/>
        </w:rPr>
        <w:t>4</w:t>
      </w:r>
      <w:r w:rsidRPr="004B1445">
        <w:rPr>
          <w:b/>
        </w:rPr>
        <w:t xml:space="preserve"> </w:t>
      </w:r>
      <w:r w:rsidRPr="004B1445">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pPr>
        <w:pStyle w:val="Heading2"/>
        <w:numPr>
          <w:ilvl w:val="0"/>
          <w:numId w:val="47"/>
        </w:numPr>
      </w:pPr>
      <w:bookmarkStart w:id="185" w:name="_Toc81377121"/>
      <w:bookmarkStart w:id="186" w:name="_Toc86152259"/>
      <w:r w:rsidRPr="00CF6DED">
        <w:t>Ranking, Notice of Proposed Award, and Agreement Development</w:t>
      </w:r>
      <w:bookmarkEnd w:id="185"/>
      <w:bookmarkEnd w:id="186"/>
    </w:p>
    <w:p w14:paraId="183CEF9D" w14:textId="77777777" w:rsidR="003417AD" w:rsidRPr="008E38AF" w:rsidRDefault="003417AD">
      <w:pPr>
        <w:numPr>
          <w:ilvl w:val="0"/>
          <w:numId w:val="24"/>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77777777" w:rsidR="003417AD" w:rsidRPr="00F14D0E" w:rsidRDefault="008F4A0E">
      <w:pPr>
        <w:numPr>
          <w:ilvl w:val="0"/>
          <w:numId w:val="22"/>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acramento and on its w</w:t>
      </w:r>
      <w:r w:rsidR="003417AD" w:rsidRPr="0004356A">
        <w:rPr>
          <w:szCs w:val="22"/>
        </w:rPr>
        <w:t>eb</w:t>
      </w:r>
      <w:r w:rsidR="003417AD">
        <w:rPr>
          <w:szCs w:val="22"/>
        </w:rPr>
        <w:t>s</w:t>
      </w:r>
      <w:r w:rsidR="003417AD" w:rsidRPr="0004356A">
        <w:rPr>
          <w:szCs w:val="22"/>
        </w:rPr>
        <w:t xml:space="preserve">ite, and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pPr>
        <w:numPr>
          <w:ilvl w:val="0"/>
          <w:numId w:val="23"/>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pPr>
        <w:numPr>
          <w:ilvl w:val="1"/>
          <w:numId w:val="23"/>
        </w:numPr>
        <w:tabs>
          <w:tab w:val="left" w:pos="1440"/>
        </w:tabs>
        <w:spacing w:after="0"/>
        <w:ind w:left="1440" w:hanging="270"/>
        <w:jc w:val="both"/>
      </w:pPr>
      <w:r w:rsidRPr="0093474F">
        <w:lastRenderedPageBreak/>
        <w:t>Allocate any additional funds to passing applications</w:t>
      </w:r>
      <w:r>
        <w:t>, in rank order</w:t>
      </w:r>
      <w:r w:rsidRPr="0093474F">
        <w:t>;</w:t>
      </w:r>
      <w:r>
        <w:t xml:space="preserve"> and</w:t>
      </w:r>
    </w:p>
    <w:p w14:paraId="3CD861EA" w14:textId="77777777" w:rsidR="00DB723D" w:rsidRDefault="003417AD">
      <w:pPr>
        <w:numPr>
          <w:ilvl w:val="1"/>
          <w:numId w:val="23"/>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pPr>
        <w:numPr>
          <w:ilvl w:val="0"/>
          <w:numId w:val="24"/>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pPr>
        <w:numPr>
          <w:ilvl w:val="0"/>
          <w:numId w:val="21"/>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pPr>
        <w:pStyle w:val="Heading2"/>
        <w:numPr>
          <w:ilvl w:val="0"/>
          <w:numId w:val="47"/>
        </w:numPr>
      </w:pPr>
      <w:bookmarkStart w:id="187" w:name="_Toc81377122"/>
      <w:bookmarkStart w:id="188" w:name="_Toc86152260"/>
      <w:bookmarkStart w:id="189" w:name="_Toc366671196"/>
      <w:r w:rsidRPr="00CF6DED">
        <w:t>Grounds to Reject an Application or Cancel an Award</w:t>
      </w:r>
      <w:bookmarkEnd w:id="187"/>
      <w:bookmarkEnd w:id="188"/>
    </w:p>
    <w:bookmarkEnd w:id="189"/>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pPr>
        <w:pStyle w:val="Heading2"/>
        <w:numPr>
          <w:ilvl w:val="0"/>
          <w:numId w:val="47"/>
        </w:numPr>
      </w:pPr>
      <w:bookmarkStart w:id="190" w:name="_Toc81377123"/>
      <w:bookmarkStart w:id="191" w:name="_Toc86152261"/>
      <w:r w:rsidRPr="00CF6DED">
        <w:lastRenderedPageBreak/>
        <w:t>Miscellaneous</w:t>
      </w:r>
      <w:bookmarkEnd w:id="190"/>
      <w:bookmarkEnd w:id="191"/>
    </w:p>
    <w:p w14:paraId="5164777B" w14:textId="77777777" w:rsidR="000E331F" w:rsidRPr="00CF255E" w:rsidRDefault="001C2D56">
      <w:pPr>
        <w:pStyle w:val="ListParagraph"/>
        <w:numPr>
          <w:ilvl w:val="0"/>
          <w:numId w:val="30"/>
        </w:numPr>
        <w:tabs>
          <w:tab w:val="num" w:pos="360"/>
        </w:tabs>
        <w:rPr>
          <w:b/>
        </w:rPr>
      </w:pPr>
      <w:bookmarkStart w:id="192" w:name="_Toc381079937"/>
      <w:bookmarkStart w:id="193" w:name="_Toc382571200"/>
      <w:bookmarkStart w:id="194" w:name="_Toc395180710"/>
      <w:bookmarkStart w:id="195" w:name="_Toc433981339"/>
      <w:r w:rsidRPr="00CF255E">
        <w:rPr>
          <w:b/>
        </w:rPr>
        <w:t>Solicitation Cancellation and Amendment</w:t>
      </w:r>
      <w:bookmarkEnd w:id="192"/>
      <w:bookmarkEnd w:id="193"/>
      <w:bookmarkEnd w:id="194"/>
      <w:bookmarkEnd w:id="195"/>
    </w:p>
    <w:p w14:paraId="16489A88" w14:textId="77777777" w:rsidR="00344986" w:rsidRDefault="001C2D56" w:rsidP="00BC0A05">
      <w:bookmarkStart w:id="196" w:name="_Toc381079938"/>
      <w:bookmarkStart w:id="197" w:name="_Toc382571201"/>
      <w:bookmarkStart w:id="198"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6"/>
      <w:bookmarkEnd w:id="197"/>
      <w:bookmarkEnd w:id="198"/>
    </w:p>
    <w:p w14:paraId="7A5D0CA6" w14:textId="77777777" w:rsidR="005E52CD" w:rsidRDefault="001C2D56" w:rsidP="008D60A8">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pPr>
        <w:pStyle w:val="ListParagraph"/>
        <w:numPr>
          <w:ilvl w:val="0"/>
          <w:numId w:val="30"/>
        </w:numPr>
        <w:tabs>
          <w:tab w:val="num" w:pos="360"/>
        </w:tabs>
        <w:rPr>
          <w:b/>
        </w:rPr>
      </w:pPr>
      <w:bookmarkStart w:id="199" w:name="_Toc381079939"/>
      <w:bookmarkStart w:id="200" w:name="_Toc382571202"/>
      <w:bookmarkStart w:id="201" w:name="_Toc395180712"/>
      <w:bookmarkStart w:id="202" w:name="_Toc433981340"/>
      <w:r w:rsidRPr="004D0A67">
        <w:rPr>
          <w:b/>
        </w:rPr>
        <w:t>Modification or Withdrawal of Application</w:t>
      </w:r>
      <w:bookmarkEnd w:id="199"/>
      <w:bookmarkEnd w:id="200"/>
      <w:bookmarkEnd w:id="201"/>
      <w:bookmarkEnd w:id="202"/>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Applications cannot be changed after that date and time.  An Application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pPr>
        <w:pStyle w:val="ListParagraph"/>
        <w:numPr>
          <w:ilvl w:val="0"/>
          <w:numId w:val="30"/>
        </w:numPr>
        <w:tabs>
          <w:tab w:val="num" w:pos="360"/>
        </w:tabs>
        <w:rPr>
          <w:b/>
        </w:rPr>
      </w:pPr>
      <w:bookmarkStart w:id="203" w:name="_Toc381079940"/>
      <w:bookmarkStart w:id="204" w:name="_Toc382571203"/>
      <w:bookmarkStart w:id="205" w:name="_Toc395180713"/>
      <w:bookmarkStart w:id="206" w:name="_Toc433981341"/>
      <w:bookmarkStart w:id="207" w:name="_Toc381079941"/>
      <w:r w:rsidRPr="004D0A67">
        <w:rPr>
          <w:b/>
        </w:rPr>
        <w:t>Confidentiality</w:t>
      </w:r>
      <w:bookmarkEnd w:id="203"/>
      <w:bookmarkEnd w:id="204"/>
      <w:bookmarkEnd w:id="205"/>
      <w:bookmarkEnd w:id="206"/>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pPr>
        <w:pStyle w:val="ListParagraph"/>
        <w:numPr>
          <w:ilvl w:val="0"/>
          <w:numId w:val="30"/>
        </w:numPr>
        <w:tabs>
          <w:tab w:val="num" w:pos="360"/>
        </w:tabs>
        <w:spacing w:after="160"/>
        <w:rPr>
          <w:b/>
        </w:rPr>
      </w:pPr>
      <w:bookmarkStart w:id="208" w:name="_Toc382571204"/>
      <w:bookmarkStart w:id="209" w:name="_Toc395180714"/>
      <w:bookmarkStart w:id="210" w:name="_Toc433981342"/>
      <w:r w:rsidRPr="004D0A67">
        <w:rPr>
          <w:b/>
        </w:rPr>
        <w:t>Solicitation Errors</w:t>
      </w:r>
      <w:bookmarkEnd w:id="207"/>
      <w:bookmarkEnd w:id="208"/>
      <w:bookmarkEnd w:id="209"/>
      <w:bookmarkEnd w:id="210"/>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pPr>
        <w:pStyle w:val="ListParagraph"/>
        <w:numPr>
          <w:ilvl w:val="0"/>
          <w:numId w:val="30"/>
        </w:numPr>
        <w:tabs>
          <w:tab w:val="num" w:pos="360"/>
        </w:tabs>
        <w:rPr>
          <w:b/>
        </w:rPr>
      </w:pPr>
      <w:bookmarkStart w:id="211" w:name="_Toc381079942"/>
      <w:bookmarkStart w:id="212" w:name="_Toc382571205"/>
      <w:bookmarkStart w:id="213" w:name="_Toc395180715"/>
      <w:bookmarkStart w:id="214" w:name="_Toc433981343"/>
      <w:r w:rsidRPr="004D0A67">
        <w:rPr>
          <w:b/>
        </w:rPr>
        <w:t>Immaterial Defect</w:t>
      </w:r>
      <w:bookmarkEnd w:id="211"/>
      <w:bookmarkEnd w:id="212"/>
      <w:bookmarkEnd w:id="213"/>
      <w:bookmarkEnd w:id="214"/>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pPr>
        <w:pStyle w:val="ListParagraph"/>
        <w:numPr>
          <w:ilvl w:val="0"/>
          <w:numId w:val="30"/>
        </w:numPr>
        <w:tabs>
          <w:tab w:val="num" w:pos="360"/>
        </w:tabs>
        <w:rPr>
          <w:b/>
        </w:rPr>
      </w:pPr>
      <w:bookmarkStart w:id="215" w:name="_Toc381079943"/>
      <w:bookmarkStart w:id="216" w:name="_Toc382571206"/>
      <w:bookmarkStart w:id="217" w:name="_Toc395180716"/>
      <w:bookmarkStart w:id="218" w:name="_Toc433981344"/>
      <w:r w:rsidRPr="004D0A67">
        <w:rPr>
          <w:b/>
        </w:rPr>
        <w:t>Disposition of Applicant’s Documents</w:t>
      </w:r>
      <w:bookmarkEnd w:id="215"/>
      <w:bookmarkEnd w:id="216"/>
      <w:bookmarkEnd w:id="217"/>
      <w:bookmarkEnd w:id="218"/>
    </w:p>
    <w:p w14:paraId="1C5213DD" w14:textId="77777777" w:rsidR="001C2D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pPr>
        <w:pStyle w:val="Heading2"/>
        <w:numPr>
          <w:ilvl w:val="0"/>
          <w:numId w:val="47"/>
        </w:numPr>
      </w:pPr>
      <w:bookmarkStart w:id="219" w:name="_Toc433981345"/>
      <w:bookmarkStart w:id="220" w:name="_Toc81377124"/>
      <w:bookmarkStart w:id="221" w:name="_Toc86152262"/>
      <w:r w:rsidRPr="00CF6DED">
        <w:lastRenderedPageBreak/>
        <w:t>Stage One:  Application Screening</w:t>
      </w:r>
      <w:bookmarkEnd w:id="219"/>
      <w:bookmarkEnd w:id="220"/>
      <w:bookmarkEnd w:id="2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77777777" w:rsidR="003B7447" w:rsidRDefault="003B7447" w:rsidP="003B7447">
            <w:pPr>
              <w:numPr>
                <w:ilvl w:val="0"/>
                <w:numId w:val="8"/>
              </w:numPr>
              <w:jc w:val="both"/>
            </w:pPr>
            <w:r>
              <w:t>The application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3A0A6F">
            <w:pPr>
              <w:numPr>
                <w:ilvl w:val="0"/>
                <w:numId w:val="8"/>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0C49D5" w:rsidRPr="000C49D5" w14:paraId="5668E75B" w14:textId="77777777" w:rsidTr="007E41D6">
        <w:tc>
          <w:tcPr>
            <w:tcW w:w="7231" w:type="dxa"/>
          </w:tcPr>
          <w:p w14:paraId="16CB3FCD" w14:textId="7853412C" w:rsidR="003B7447" w:rsidRPr="000C49D5" w:rsidRDefault="003B7447" w:rsidP="003A0A6F">
            <w:pPr>
              <w:numPr>
                <w:ilvl w:val="0"/>
                <w:numId w:val="8"/>
              </w:numPr>
              <w:jc w:val="both"/>
              <w:rPr>
                <w:noProof/>
              </w:rPr>
            </w:pPr>
            <w:bookmarkStart w:id="222" w:name="Screen5"/>
            <w:bookmarkEnd w:id="222"/>
            <w:r w:rsidRPr="000C49D5">
              <w:t>The Application includes Commitment Letters that total the minimum of 20</w:t>
            </w:r>
            <w:r w:rsidRPr="000C49D5">
              <w:rPr>
                <w:i/>
              </w:rPr>
              <w:t>%</w:t>
            </w:r>
            <w:r w:rsidRPr="000C49D5">
              <w:t xml:space="preserve"> in match share of the total requested </w:t>
            </w:r>
            <w:r w:rsidR="008F4A0E" w:rsidRPr="000C49D5">
              <w:t>CEC</w:t>
            </w:r>
            <w:r w:rsidRPr="000C49D5">
              <w:t xml:space="preserve"> funds.  </w:t>
            </w:r>
          </w:p>
        </w:tc>
        <w:tc>
          <w:tcPr>
            <w:tcW w:w="2119" w:type="dxa"/>
          </w:tcPr>
          <w:p w14:paraId="0E5B4FDA" w14:textId="77777777" w:rsidR="003B7447" w:rsidRPr="000C49D5" w:rsidRDefault="003B7447" w:rsidP="007E41D6">
            <w:pPr>
              <w:keepLines/>
              <w:spacing w:after="0"/>
              <w:jc w:val="both"/>
              <w:rPr>
                <w:noProof/>
              </w:rPr>
            </w:pPr>
            <w:r w:rsidRPr="000C49D5">
              <w:rPr>
                <w:sz w:val="20"/>
              </w:rPr>
              <w:fldChar w:fldCharType="begin">
                <w:ffData>
                  <w:name w:val="Check30"/>
                  <w:enabled/>
                  <w:calcOnExit w:val="0"/>
                  <w:checkBox>
                    <w:sizeAuto/>
                    <w:default w:val="0"/>
                  </w:checkBox>
                </w:ffData>
              </w:fldChar>
            </w:r>
            <w:r w:rsidRPr="000C49D5">
              <w:rPr>
                <w:sz w:val="20"/>
              </w:rPr>
              <w:instrText xml:space="preserve"> FORMCHECKBOX </w:instrText>
            </w:r>
            <w:r w:rsidR="0027488D">
              <w:rPr>
                <w:sz w:val="20"/>
              </w:rPr>
            </w:r>
            <w:r w:rsidR="0027488D">
              <w:rPr>
                <w:sz w:val="20"/>
              </w:rPr>
              <w:fldChar w:fldCharType="separate"/>
            </w:r>
            <w:r w:rsidRPr="000C49D5">
              <w:rPr>
                <w:sz w:val="20"/>
              </w:rPr>
              <w:fldChar w:fldCharType="end"/>
            </w:r>
            <w:r w:rsidRPr="000C49D5">
              <w:rPr>
                <w:sz w:val="20"/>
              </w:rPr>
              <w:t xml:space="preserve"> </w:t>
            </w:r>
            <w:r w:rsidRPr="000C49D5">
              <w:rPr>
                <w:noProof/>
              </w:rPr>
              <w:t xml:space="preserve">Pass   </w:t>
            </w:r>
            <w:r w:rsidRPr="000C49D5">
              <w:rPr>
                <w:sz w:val="20"/>
              </w:rPr>
              <w:fldChar w:fldCharType="begin">
                <w:ffData>
                  <w:name w:val="Check30"/>
                  <w:enabled/>
                  <w:calcOnExit w:val="0"/>
                  <w:checkBox>
                    <w:sizeAuto/>
                    <w:default w:val="0"/>
                  </w:checkBox>
                </w:ffData>
              </w:fldChar>
            </w:r>
            <w:r w:rsidRPr="000C49D5">
              <w:rPr>
                <w:sz w:val="20"/>
              </w:rPr>
              <w:instrText xml:space="preserve"> FORMCHECKBOX </w:instrText>
            </w:r>
            <w:r w:rsidR="0027488D">
              <w:rPr>
                <w:sz w:val="20"/>
              </w:rPr>
            </w:r>
            <w:r w:rsidR="0027488D">
              <w:rPr>
                <w:sz w:val="20"/>
              </w:rPr>
              <w:fldChar w:fldCharType="separate"/>
            </w:r>
            <w:r w:rsidRPr="000C49D5">
              <w:rPr>
                <w:sz w:val="20"/>
              </w:rPr>
              <w:fldChar w:fldCharType="end"/>
            </w:r>
            <w:r w:rsidRPr="000C49D5">
              <w:rPr>
                <w:sz w:val="20"/>
              </w:rPr>
              <w:t xml:space="preserve"> </w:t>
            </w:r>
            <w:r w:rsidRPr="000C49D5">
              <w:rPr>
                <w:noProof/>
              </w:rPr>
              <w:t>Fail</w:t>
            </w:r>
          </w:p>
          <w:p w14:paraId="60131065" w14:textId="77777777" w:rsidR="003B7447" w:rsidRPr="000C49D5"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2CF82202" w:rsidR="003B7447" w:rsidRPr="00705D02" w:rsidRDefault="003B7447" w:rsidP="003A0A6F">
            <w:pPr>
              <w:numPr>
                <w:ilvl w:val="0"/>
                <w:numId w:val="8"/>
              </w:numPr>
              <w:spacing w:after="40"/>
              <w:jc w:val="both"/>
              <w:rPr>
                <w:i/>
                <w:noProof/>
              </w:rPr>
            </w:pPr>
            <w:bookmarkStart w:id="223" w:name="Screen6"/>
            <w:bookmarkEnd w:id="223"/>
            <w:r w:rsidRPr="003E35B7">
              <w:rPr>
                <w:i/>
                <w:snapToGrid w:val="0"/>
              </w:rPr>
              <w:t xml:space="preserve">If </w:t>
            </w:r>
            <w:r w:rsidRPr="00705D02">
              <w:rPr>
                <w:i/>
                <w:snapToGrid w:val="0"/>
              </w:rPr>
              <w:t xml:space="preserve">the project involves </w:t>
            </w:r>
            <w:r>
              <w:rPr>
                <w:i/>
                <w:snapToGrid w:val="0"/>
              </w:rPr>
              <w:t xml:space="preserve">technology </w:t>
            </w:r>
            <w:r w:rsidRPr="00705D02">
              <w:rPr>
                <w:i/>
                <w:snapToGrid w:val="0"/>
              </w:rPr>
              <w:t>demonstration/ deployment activities</w:t>
            </w:r>
            <w:r>
              <w:rPr>
                <w:i/>
                <w:snapToGrid w:val="0"/>
              </w:rPr>
              <w:t xml:space="preserve"> </w:t>
            </w:r>
          </w:p>
          <w:p w14:paraId="76D3A2D8" w14:textId="6DB971F0" w:rsidR="003B7447" w:rsidRPr="00244677" w:rsidRDefault="003B7447">
            <w:pPr>
              <w:numPr>
                <w:ilvl w:val="0"/>
                <w:numId w:val="31"/>
              </w:numPr>
              <w:spacing w:after="0"/>
              <w:ind w:left="1080"/>
              <w:jc w:val="both"/>
              <w:rPr>
                <w:noProof/>
              </w:rPr>
            </w:pPr>
            <w:r w:rsidRPr="00705D02">
              <w:rPr>
                <w:snapToGrid w:val="0"/>
              </w:rPr>
              <w:t>The Application identifies one or more demonstration/ deployment site locations.</w:t>
            </w:r>
          </w:p>
          <w:p w14:paraId="301B2FD5" w14:textId="77777777" w:rsidR="003B7447" w:rsidRPr="00C31C1D" w:rsidRDefault="003B7447">
            <w:pPr>
              <w:numPr>
                <w:ilvl w:val="0"/>
                <w:numId w:val="31"/>
              </w:numPr>
              <w:spacing w:after="0"/>
              <w:ind w:left="1080"/>
              <w:jc w:val="both"/>
              <w:rPr>
                <w:noProof/>
              </w:rPr>
            </w:pPr>
            <w:r>
              <w:rPr>
                <w:szCs w:val="22"/>
              </w:rPr>
              <w:t>T</w:t>
            </w:r>
            <w:r w:rsidRPr="00C74F11">
              <w:rPr>
                <w:szCs w:val="22"/>
              </w:rPr>
              <w:t>he proposal includes a site commitment letter (Section III.D.11)</w:t>
            </w:r>
            <w:r>
              <w:rPr>
                <w:szCs w:val="22"/>
              </w:rPr>
              <w:t xml:space="preserve"> for each demonstration/ deployment site</w:t>
            </w:r>
            <w:r w:rsidRPr="00C74F11">
              <w:rPr>
                <w:szCs w:val="22"/>
              </w:rPr>
              <w:t>.</w:t>
            </w:r>
          </w:p>
        </w:tc>
        <w:tc>
          <w:tcPr>
            <w:tcW w:w="2119" w:type="dxa"/>
          </w:tcPr>
          <w:p w14:paraId="1E06BF7E"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7488D">
              <w:rPr>
                <w:sz w:val="20"/>
              </w:rPr>
            </w:r>
            <w:r w:rsidR="0027488D">
              <w:rPr>
                <w:sz w:val="20"/>
              </w:rPr>
              <w:fldChar w:fldCharType="separate"/>
            </w:r>
            <w:r w:rsidRPr="005F374A">
              <w:rPr>
                <w:sz w:val="20"/>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pPr>
        <w:pStyle w:val="Heading2"/>
        <w:numPr>
          <w:ilvl w:val="0"/>
          <w:numId w:val="47"/>
        </w:numPr>
      </w:pPr>
      <w:bookmarkStart w:id="224" w:name="_Toc433981346"/>
      <w:bookmarkStart w:id="225" w:name="_Toc81377125"/>
      <w:bookmarkStart w:id="226" w:name="_Toc86152263"/>
      <w:r w:rsidRPr="00CF6DED">
        <w:lastRenderedPageBreak/>
        <w:t xml:space="preserve">Stage </w:t>
      </w:r>
      <w:r w:rsidR="00DB3B66" w:rsidRPr="00CF6DED">
        <w:t>Two</w:t>
      </w:r>
      <w:r w:rsidRPr="00CF6DED">
        <w:t>:  Application Sc</w:t>
      </w:r>
      <w:r w:rsidR="00DB3B66" w:rsidRPr="00CF6DED">
        <w:t>oring</w:t>
      </w:r>
      <w:bookmarkEnd w:id="224"/>
      <w:bookmarkEnd w:id="225"/>
      <w:bookmarkEnd w:id="226"/>
    </w:p>
    <w:bookmarkEnd w:id="177"/>
    <w:p w14:paraId="3F044960" w14:textId="707F8CDF"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75010D">
        <w:t>9</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971"/>
        <w:gridCol w:w="5751"/>
      </w:tblGrid>
      <w:tr w:rsidR="00FA352A" w:rsidRPr="00050087" w14:paraId="5AD7696F" w14:textId="77777777" w:rsidTr="000D707E">
        <w:trPr>
          <w:trHeight w:val="800"/>
        </w:trPr>
        <w:tc>
          <w:tcPr>
            <w:tcW w:w="1530"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98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5850"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0D707E">
        <w:trPr>
          <w:trHeight w:val="253"/>
        </w:trPr>
        <w:tc>
          <w:tcPr>
            <w:tcW w:w="1530"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98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5850"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0D707E">
        <w:trPr>
          <w:trHeight w:val="253"/>
        </w:trPr>
        <w:tc>
          <w:tcPr>
            <w:tcW w:w="1530"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98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5850"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0D707E">
        <w:trPr>
          <w:trHeight w:val="253"/>
        </w:trPr>
        <w:tc>
          <w:tcPr>
            <w:tcW w:w="1530"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98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5850"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0D707E">
        <w:trPr>
          <w:trHeight w:val="253"/>
        </w:trPr>
        <w:tc>
          <w:tcPr>
            <w:tcW w:w="1530"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98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5850"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0D707E">
        <w:trPr>
          <w:trHeight w:val="253"/>
        </w:trPr>
        <w:tc>
          <w:tcPr>
            <w:tcW w:w="1530" w:type="dxa"/>
            <w:vAlign w:val="center"/>
          </w:tcPr>
          <w:p w14:paraId="1A9AB6BB" w14:textId="77777777" w:rsidR="00FA352A" w:rsidRPr="00050087" w:rsidRDefault="00FA352A" w:rsidP="000D707E">
            <w:pPr>
              <w:spacing w:after="0"/>
              <w:jc w:val="center"/>
              <w:rPr>
                <w:szCs w:val="22"/>
              </w:rPr>
            </w:pPr>
            <w:r>
              <w:rPr>
                <w:szCs w:val="22"/>
              </w:rPr>
              <w:t>75%</w:t>
            </w:r>
          </w:p>
        </w:tc>
        <w:tc>
          <w:tcPr>
            <w:tcW w:w="198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5850"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0D707E">
        <w:trPr>
          <w:trHeight w:val="253"/>
        </w:trPr>
        <w:tc>
          <w:tcPr>
            <w:tcW w:w="1530"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98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5850"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0D707E">
        <w:trPr>
          <w:trHeight w:val="253"/>
        </w:trPr>
        <w:tc>
          <w:tcPr>
            <w:tcW w:w="1530" w:type="dxa"/>
            <w:vAlign w:val="center"/>
          </w:tcPr>
          <w:p w14:paraId="164B293C" w14:textId="77777777" w:rsidR="00FA352A" w:rsidRPr="00050087" w:rsidRDefault="00FA352A" w:rsidP="000D707E">
            <w:pPr>
              <w:spacing w:after="0"/>
              <w:jc w:val="center"/>
              <w:rPr>
                <w:szCs w:val="22"/>
              </w:rPr>
            </w:pPr>
            <w:r>
              <w:rPr>
                <w:szCs w:val="22"/>
              </w:rPr>
              <w:t>85%</w:t>
            </w:r>
          </w:p>
        </w:tc>
        <w:tc>
          <w:tcPr>
            <w:tcW w:w="198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5850"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0D707E">
        <w:trPr>
          <w:trHeight w:val="253"/>
        </w:trPr>
        <w:tc>
          <w:tcPr>
            <w:tcW w:w="1530"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98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5850"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0D707E">
        <w:trPr>
          <w:trHeight w:val="253"/>
        </w:trPr>
        <w:tc>
          <w:tcPr>
            <w:tcW w:w="1530" w:type="dxa"/>
            <w:vAlign w:val="center"/>
          </w:tcPr>
          <w:p w14:paraId="473C1BA2" w14:textId="77777777" w:rsidR="00FA352A" w:rsidRPr="00050087" w:rsidRDefault="00FA352A" w:rsidP="000D707E">
            <w:pPr>
              <w:spacing w:after="0"/>
              <w:jc w:val="center"/>
              <w:rPr>
                <w:szCs w:val="22"/>
              </w:rPr>
            </w:pPr>
            <w:r>
              <w:rPr>
                <w:szCs w:val="22"/>
              </w:rPr>
              <w:t>95%</w:t>
            </w:r>
          </w:p>
        </w:tc>
        <w:tc>
          <w:tcPr>
            <w:tcW w:w="198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5850"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w:t>
            </w:r>
            <w:r w:rsidRPr="00050087">
              <w:rPr>
                <w:szCs w:val="22"/>
              </w:rPr>
              <w:lastRenderedPageBreak/>
              <w:t>Applicant offers one or more enhancing features, methods or approaches exceeding basic expectations.</w:t>
            </w:r>
          </w:p>
        </w:tc>
      </w:tr>
      <w:tr w:rsidR="00FA352A" w:rsidRPr="00050087" w14:paraId="5819F53D" w14:textId="77777777" w:rsidTr="000D707E">
        <w:trPr>
          <w:trHeight w:val="253"/>
        </w:trPr>
        <w:tc>
          <w:tcPr>
            <w:tcW w:w="1530"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98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5850"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84C4484" w:rsidR="003A2FCD" w:rsidRDefault="001C2D56" w:rsidP="003A2FCD">
      <w:pPr>
        <w:spacing w:after="0"/>
        <w:jc w:val="center"/>
        <w:rPr>
          <w:b/>
          <w:caps/>
          <w:sz w:val="28"/>
          <w:u w:val="single"/>
        </w:rPr>
      </w:pPr>
      <w:r w:rsidRPr="00C31C1D">
        <w:br w:type="page"/>
      </w:r>
      <w:bookmarkEnd w:id="167"/>
      <w:bookmarkEnd w:id="168"/>
      <w:bookmarkEnd w:id="169"/>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1A3E17"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B57507">
        <w:trPr>
          <w:cantSplit/>
          <w:tblHeader/>
        </w:trPr>
        <w:tc>
          <w:tcPr>
            <w:tcW w:w="8365" w:type="dxa"/>
            <w:shd w:val="clear" w:color="auto" w:fill="D9D9D9" w:themeFill="background1" w:themeFillShade="D9"/>
            <w:vAlign w:val="center"/>
          </w:tcPr>
          <w:p w14:paraId="35F025A8" w14:textId="3AB9D10C"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5293C75C"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063BB720" w:rsidR="00402E98" w:rsidRPr="00616F23" w:rsidRDefault="00402E98" w:rsidP="001A3E17">
            <w:pPr>
              <w:spacing w:before="120"/>
              <w:ind w:left="360"/>
              <w:rPr>
                <w:b/>
              </w:rPr>
            </w:pPr>
            <w:r>
              <w:rPr>
                <w:b/>
              </w:rPr>
              <w:t>Applicant</w:t>
            </w:r>
            <w:r w:rsidRPr="00616F23">
              <w:rPr>
                <w:b/>
              </w:rPr>
              <w:t xml:space="preserve"> Past Performance with </w:t>
            </w:r>
            <w:r w:rsidR="004B3AA0">
              <w:rPr>
                <w:b/>
              </w:rPr>
              <w:t>CEC</w:t>
            </w:r>
          </w:p>
          <w:p w14:paraId="44FCC299" w14:textId="7AB68B72"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w:t>
            </w:r>
            <w:r w:rsidR="005628FC">
              <w:t>CEC</w:t>
            </w:r>
            <w:r w:rsidRPr="00616F23">
              <w:t xml:space="preserve"> (e.g., contract, grant, or loan) and entered into an agreement(s) with the C</w:t>
            </w:r>
            <w:r w:rsidR="008A579E">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pPr>
              <w:pStyle w:val="ListParagraph"/>
              <w:numPr>
                <w:ilvl w:val="0"/>
                <w:numId w:val="52"/>
              </w:numPr>
              <w:spacing w:after="0"/>
            </w:pPr>
            <w:r>
              <w:t>S</w:t>
            </w:r>
            <w:r w:rsidRPr="00616F23">
              <w:t>ignificant deviation from agreement requirements</w:t>
            </w:r>
            <w:r w:rsidR="003A2FCD">
              <w:t>;</w:t>
            </w:r>
          </w:p>
          <w:p w14:paraId="4A09E145" w14:textId="77777777" w:rsidR="00402E98" w:rsidRDefault="00402E98">
            <w:pPr>
              <w:pStyle w:val="ListParagraph"/>
              <w:numPr>
                <w:ilvl w:val="0"/>
                <w:numId w:val="52"/>
              </w:numPr>
              <w:spacing w:after="0"/>
            </w:pPr>
            <w:r>
              <w:t>T</w:t>
            </w:r>
            <w:r w:rsidRPr="00616F23">
              <w:t>ermination with cause</w:t>
            </w:r>
            <w:r w:rsidR="003A2FCD">
              <w:t>;</w:t>
            </w:r>
          </w:p>
          <w:p w14:paraId="7813E583" w14:textId="411DCBAC" w:rsidR="00402E98" w:rsidRPr="004849ED" w:rsidRDefault="004849ED">
            <w:pPr>
              <w:pStyle w:val="ListParagraph"/>
              <w:numPr>
                <w:ilvl w:val="0"/>
                <w:numId w:val="52"/>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763935">
              <w:rPr>
                <w:color w:val="000000"/>
                <w:shd w:val="clear" w:color="auto" w:fill="FFFFFF"/>
              </w:rPr>
              <w:t>inability, due to circumstances within its control, from materially completing the project</w:t>
            </w:r>
            <w:r w:rsidR="003A2FCD">
              <w:t>;</w:t>
            </w:r>
          </w:p>
          <w:p w14:paraId="2E58BD70" w14:textId="77777777" w:rsidR="00402E98" w:rsidRDefault="00402E98">
            <w:pPr>
              <w:pStyle w:val="ListParagraph"/>
              <w:numPr>
                <w:ilvl w:val="0"/>
                <w:numId w:val="52"/>
              </w:numPr>
              <w:spacing w:after="0"/>
            </w:pPr>
            <w:r>
              <w:t>Quality issues with deliverables including poorly written final report that prevents publishing</w:t>
            </w:r>
          </w:p>
          <w:p w14:paraId="1D684C6E" w14:textId="77777777" w:rsidR="00402E98" w:rsidRDefault="00402E98">
            <w:pPr>
              <w:pStyle w:val="ListParagraph"/>
              <w:numPr>
                <w:ilvl w:val="0"/>
                <w:numId w:val="52"/>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B57507">
        <w:trPr>
          <w:trHeight w:val="674"/>
        </w:trPr>
        <w:tc>
          <w:tcPr>
            <w:tcW w:w="8365" w:type="dxa"/>
            <w:tcBorders>
              <w:bottom w:val="single" w:sz="4" w:space="0" w:color="auto"/>
            </w:tcBorders>
            <w:shd w:val="clear" w:color="auto" w:fill="D9D9D9" w:themeFill="background1" w:themeFillShade="D9"/>
            <w:vAlign w:val="center"/>
          </w:tcPr>
          <w:p w14:paraId="44C76157" w14:textId="77FC9648" w:rsidR="00402E98" w:rsidRPr="001A3E17" w:rsidRDefault="003A2FCD" w:rsidP="003A2FCD">
            <w:pPr>
              <w:spacing w:before="60" w:after="0"/>
              <w:jc w:val="both"/>
              <w:rPr>
                <w:b/>
                <w:szCs w:val="22"/>
              </w:rPr>
            </w:pPr>
            <w:r w:rsidRPr="001A3E17">
              <w:rPr>
                <w:b/>
                <w:szCs w:val="22"/>
              </w:rPr>
              <w:t>M</w:t>
            </w:r>
            <w:r w:rsidR="00402E98" w:rsidRPr="001A3E17">
              <w:rPr>
                <w:b/>
                <w:szCs w:val="22"/>
              </w:rPr>
              <w:t xml:space="preserve">ust pass to continue </w:t>
            </w:r>
            <w:r w:rsidRPr="001A3E17">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1A3E17" w:rsidRDefault="003A2FCD" w:rsidP="00260970">
            <w:pPr>
              <w:spacing w:after="0"/>
              <w:jc w:val="center"/>
              <w:rPr>
                <w:b/>
                <w:szCs w:val="22"/>
              </w:rPr>
            </w:pPr>
            <w:r w:rsidRPr="001A3E17">
              <w:rPr>
                <w:b/>
                <w:szCs w:val="22"/>
              </w:rPr>
              <w:t>Pass/Fail</w:t>
            </w:r>
          </w:p>
        </w:tc>
      </w:tr>
      <w:tr w:rsidR="003A2FCD" w14:paraId="20B122AC" w14:textId="77777777" w:rsidTr="00B57507">
        <w:trPr>
          <w:cantSplit/>
          <w:trHeight w:val="683"/>
        </w:trPr>
        <w:tc>
          <w:tcPr>
            <w:tcW w:w="9715" w:type="dxa"/>
            <w:gridSpan w:val="2"/>
            <w:tcBorders>
              <w:left w:val="nil"/>
              <w:bottom w:val="nil"/>
              <w:right w:val="nil"/>
            </w:tcBorders>
            <w:shd w:val="clear" w:color="auto" w:fill="auto"/>
          </w:tcPr>
          <w:p w14:paraId="5A09238E" w14:textId="77777777" w:rsidR="003A2FCD" w:rsidRDefault="003A2FCD" w:rsidP="00616F23">
            <w:pPr>
              <w:tabs>
                <w:tab w:val="left" w:pos="1530"/>
              </w:tabs>
              <w:jc w:val="both"/>
              <w:rPr>
                <w:b/>
                <w:szCs w:val="24"/>
              </w:rPr>
            </w:pPr>
          </w:p>
          <w:p w14:paraId="2BA5F1E7" w14:textId="77777777" w:rsidR="003A2FCD" w:rsidRDefault="003A2FCD" w:rsidP="00616F23">
            <w:pPr>
              <w:tabs>
                <w:tab w:val="left" w:pos="1530"/>
              </w:tabs>
              <w:jc w:val="both"/>
              <w:rPr>
                <w:b/>
                <w:szCs w:val="24"/>
              </w:rPr>
            </w:pPr>
          </w:p>
          <w:p w14:paraId="183DF34D" w14:textId="77777777" w:rsidR="003A2FCD" w:rsidRDefault="003A2FCD" w:rsidP="001A3E17">
            <w:pPr>
              <w:tabs>
                <w:tab w:val="left" w:pos="1530"/>
              </w:tabs>
              <w:jc w:val="center"/>
              <w:rPr>
                <w:b/>
                <w:szCs w:val="24"/>
              </w:rPr>
            </w:pPr>
            <w:r w:rsidRPr="00EA02BA">
              <w:rPr>
                <w:b/>
                <w:caps/>
                <w:sz w:val="28"/>
                <w:u w:val="single"/>
              </w:rPr>
              <w:t>Scoring CRITERIA</w:t>
            </w:r>
          </w:p>
          <w:p w14:paraId="1BAB9649" w14:textId="77777777" w:rsidR="003A2FCD" w:rsidRPr="00585EA8" w:rsidRDefault="003A2FCD" w:rsidP="001A3E17">
            <w:pPr>
              <w:spacing w:before="180" w:after="0"/>
              <w:jc w:val="both"/>
              <w:rPr>
                <w:b/>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E699B12">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7E699B12">
        <w:tc>
          <w:tcPr>
            <w:tcW w:w="8362" w:type="dxa"/>
          </w:tcPr>
          <w:p w14:paraId="1C3CEC2F" w14:textId="77777777" w:rsidR="00616F23" w:rsidRPr="00616F23" w:rsidRDefault="00616F23">
            <w:pPr>
              <w:numPr>
                <w:ilvl w:val="0"/>
                <w:numId w:val="38"/>
              </w:numPr>
              <w:spacing w:before="120"/>
              <w:jc w:val="both"/>
              <w:rPr>
                <w:rFonts w:cs="Times New Roman"/>
                <w:b/>
                <w:bCs/>
                <w:smallCaps/>
              </w:rPr>
            </w:pPr>
            <w:bookmarkStart w:id="227" w:name="_Toc366671201"/>
            <w:bookmarkStart w:id="228" w:name="Score1"/>
            <w:r w:rsidRPr="00616F23">
              <w:rPr>
                <w:b/>
              </w:rPr>
              <w:t>Technical Merit</w:t>
            </w:r>
            <w:bookmarkEnd w:id="227"/>
            <w:r w:rsidRPr="00616F23">
              <w:rPr>
                <w:b/>
              </w:rPr>
              <w:t xml:space="preserve"> </w:t>
            </w:r>
          </w:p>
          <w:bookmarkEnd w:id="228"/>
          <w:p w14:paraId="683D955F" w14:textId="77777777" w:rsidR="00616F23" w:rsidRPr="00616F23" w:rsidRDefault="00616F23" w:rsidP="002F33A5">
            <w:pPr>
              <w:numPr>
                <w:ilvl w:val="0"/>
                <w:numId w:val="15"/>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2F33A5">
            <w:pPr>
              <w:numPr>
                <w:ilvl w:val="0"/>
                <w:numId w:val="15"/>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2F33A5">
            <w:pPr>
              <w:numPr>
                <w:ilvl w:val="0"/>
                <w:numId w:val="15"/>
              </w:numPr>
              <w:spacing w:before="240"/>
              <w:ind w:left="1140"/>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2F33A5">
            <w:pPr>
              <w:numPr>
                <w:ilvl w:val="0"/>
                <w:numId w:val="15"/>
              </w:numPr>
              <w:ind w:left="1140"/>
              <w:jc w:val="both"/>
            </w:pPr>
            <w:r w:rsidRPr="00616F23">
              <w:lastRenderedPageBreak/>
              <w:t>Describes the technology readiness level (TRL) the proposed technology has achieved and the expected TRL by the end of the project.</w:t>
            </w:r>
          </w:p>
          <w:p w14:paraId="39D130D9" w14:textId="77777777" w:rsidR="00616F23" w:rsidRPr="00616F23" w:rsidRDefault="00616F23" w:rsidP="002F33A5">
            <w:pPr>
              <w:numPr>
                <w:ilvl w:val="0"/>
                <w:numId w:val="15"/>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2F33A5">
            <w:pPr>
              <w:numPr>
                <w:ilvl w:val="0"/>
                <w:numId w:val="15"/>
              </w:numPr>
              <w:ind w:left="1140"/>
              <w:jc w:val="both"/>
            </w:pPr>
            <w:r w:rsidRPr="00616F23">
              <w:t>Describes how the proposed demonstration will lead to increased adoption of the technology in California.</w:t>
            </w:r>
          </w:p>
          <w:p w14:paraId="22BE3CC5" w14:textId="3BEDFA32" w:rsidR="00616F23" w:rsidRPr="00616F23" w:rsidRDefault="00616F23" w:rsidP="002F33A5">
            <w:pPr>
              <w:numPr>
                <w:ilvl w:val="0"/>
                <w:numId w:val="15"/>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7E699B12">
        <w:tc>
          <w:tcPr>
            <w:tcW w:w="8362" w:type="dxa"/>
          </w:tcPr>
          <w:p w14:paraId="3F26217C" w14:textId="77777777" w:rsidR="00616F23" w:rsidRPr="00616F23" w:rsidRDefault="00616F23">
            <w:pPr>
              <w:numPr>
                <w:ilvl w:val="0"/>
                <w:numId w:val="38"/>
              </w:numPr>
              <w:spacing w:before="120"/>
              <w:jc w:val="both"/>
              <w:rPr>
                <w:rFonts w:cs="Times New Roman"/>
                <w:b/>
                <w:bCs/>
                <w:smallCaps/>
              </w:rPr>
            </w:pPr>
            <w:bookmarkStart w:id="229" w:name="_Toc366671202"/>
            <w:bookmarkStart w:id="230" w:name="Score2"/>
            <w:r w:rsidRPr="00616F23">
              <w:rPr>
                <w:b/>
              </w:rPr>
              <w:t>Technical Approach</w:t>
            </w:r>
            <w:bookmarkEnd w:id="229"/>
            <w:r w:rsidRPr="00616F23">
              <w:rPr>
                <w:b/>
              </w:rPr>
              <w:t xml:space="preserve"> </w:t>
            </w:r>
          </w:p>
          <w:bookmarkEnd w:id="230"/>
          <w:p w14:paraId="34DF631F" w14:textId="51814B27" w:rsidR="00616F23" w:rsidRPr="00616F23" w:rsidRDefault="00616F23">
            <w:pPr>
              <w:numPr>
                <w:ilvl w:val="0"/>
                <w:numId w:val="53"/>
              </w:numPr>
              <w:ind w:left="1140"/>
              <w:jc w:val="both"/>
            </w:pPr>
            <w:r>
              <w:t xml:space="preserve">Proposal describes the technique, approach, and methods to be used in performing the work described in the Scope of Work. </w:t>
            </w:r>
          </w:p>
          <w:p w14:paraId="78EA6444" w14:textId="77777777" w:rsidR="00616F23" w:rsidRPr="00616F23" w:rsidRDefault="00616F23">
            <w:pPr>
              <w:numPr>
                <w:ilvl w:val="0"/>
                <w:numId w:val="53"/>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pPr>
              <w:numPr>
                <w:ilvl w:val="0"/>
                <w:numId w:val="53"/>
              </w:numPr>
              <w:ind w:left="1140"/>
              <w:jc w:val="both"/>
            </w:pPr>
            <w:r w:rsidRPr="00616F23">
              <w:t>Proposal identifies the reliability that the project and site recommendations as described will be carried out if funds are awarded.</w:t>
            </w:r>
          </w:p>
          <w:p w14:paraId="790C074F" w14:textId="77777777" w:rsidR="00616F23" w:rsidRPr="00616F23" w:rsidRDefault="00616F23">
            <w:pPr>
              <w:numPr>
                <w:ilvl w:val="0"/>
                <w:numId w:val="53"/>
              </w:numPr>
              <w:ind w:left="1140"/>
              <w:jc w:val="both"/>
            </w:pPr>
            <w:r w:rsidRPr="00616F23">
              <w:t xml:space="preserve">Identifies and discusses factors critical for success, in addition to risks, barriers, and limitations (e.g. loss of demonstration site, key subcontractor).  Provides a plan to address them. </w:t>
            </w:r>
          </w:p>
          <w:p w14:paraId="5D8149D9" w14:textId="77777777" w:rsidR="00616F23" w:rsidRPr="00616F23" w:rsidRDefault="00616F23">
            <w:pPr>
              <w:numPr>
                <w:ilvl w:val="0"/>
                <w:numId w:val="53"/>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3122D6BF" w:rsidR="00616F23" w:rsidRPr="00616F23" w:rsidRDefault="00616F23">
            <w:pPr>
              <w:numPr>
                <w:ilvl w:val="0"/>
                <w:numId w:val="53"/>
              </w:numPr>
              <w:ind w:left="1140"/>
              <w:jc w:val="both"/>
            </w:pPr>
            <w:r w:rsidRPr="00616F23">
              <w:t>Describes the technology transfer plan to assess and advance the commercial viability of the technology.</w:t>
            </w:r>
          </w:p>
          <w:p w14:paraId="691305A1" w14:textId="77777777" w:rsidR="00616F23" w:rsidRPr="00616F23" w:rsidRDefault="00616F23">
            <w:pPr>
              <w:numPr>
                <w:ilvl w:val="0"/>
                <w:numId w:val="53"/>
              </w:numPr>
              <w:ind w:left="1140"/>
              <w:jc w:val="both"/>
            </w:pPr>
            <w:r w:rsidRPr="00616F23">
              <w:t>Provides a clear and plausible measurement and verification plan that describes how energy savings and other benefits specified in the application will be determined and measured.</w:t>
            </w:r>
          </w:p>
          <w:p w14:paraId="19CBDC0A" w14:textId="77777777" w:rsidR="00616F23" w:rsidRPr="00616F23" w:rsidRDefault="00616F23">
            <w:pPr>
              <w:numPr>
                <w:ilvl w:val="0"/>
                <w:numId w:val="53"/>
              </w:numPr>
              <w:ind w:left="1140"/>
              <w:jc w:val="both"/>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III.D.</w:t>
            </w:r>
            <w:r w:rsidR="002B14DD">
              <w:t>3.</w:t>
            </w:r>
            <w:r w:rsidRPr="00616F23">
              <w:t>, and Section III.D.8</w:t>
            </w:r>
          </w:p>
          <w:p w14:paraId="72F67371" w14:textId="27828E4C" w:rsidR="00616F23" w:rsidRPr="00616F23" w:rsidRDefault="00616F23">
            <w:pPr>
              <w:numPr>
                <w:ilvl w:val="0"/>
                <w:numId w:val="53"/>
              </w:numPr>
              <w:ind w:left="1140"/>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0C49D5" w:rsidRPr="000C49D5" w14:paraId="5BFD93C5" w14:textId="77777777" w:rsidTr="7E699B12">
        <w:trPr>
          <w:trHeight w:val="422"/>
        </w:trPr>
        <w:tc>
          <w:tcPr>
            <w:tcW w:w="8362" w:type="dxa"/>
          </w:tcPr>
          <w:p w14:paraId="7DEECFA7" w14:textId="77777777" w:rsidR="00616F23" w:rsidRPr="000C49D5" w:rsidRDefault="00616F23">
            <w:pPr>
              <w:numPr>
                <w:ilvl w:val="0"/>
                <w:numId w:val="38"/>
              </w:numPr>
              <w:spacing w:before="120"/>
              <w:jc w:val="both"/>
              <w:rPr>
                <w:rFonts w:cs="Times New Roman"/>
                <w:b/>
                <w:bCs/>
                <w:smallCaps/>
              </w:rPr>
            </w:pPr>
            <w:bookmarkStart w:id="231" w:name="_Toc366671203"/>
            <w:bookmarkStart w:id="232" w:name="Score3"/>
            <w:r w:rsidRPr="000C49D5">
              <w:rPr>
                <w:b/>
              </w:rPr>
              <w:t>Impacts and Benefits for California</w:t>
            </w:r>
            <w:bookmarkEnd w:id="231"/>
            <w:r w:rsidRPr="000C49D5">
              <w:rPr>
                <w:b/>
              </w:rPr>
              <w:t xml:space="preserve"> IOU Ratepayers </w:t>
            </w:r>
          </w:p>
          <w:bookmarkEnd w:id="232"/>
          <w:p w14:paraId="39D1E45B" w14:textId="4ABDE005" w:rsidR="00616F23" w:rsidRPr="000C49D5" w:rsidRDefault="00616F23">
            <w:pPr>
              <w:numPr>
                <w:ilvl w:val="0"/>
                <w:numId w:val="16"/>
              </w:numPr>
              <w:spacing w:after="60"/>
              <w:ind w:left="1140"/>
              <w:jc w:val="both"/>
            </w:pPr>
            <w:r w:rsidRPr="000C49D5">
              <w:t xml:space="preserve">Explains how the proposed project will benefit California </w:t>
            </w:r>
            <w:r w:rsidR="00002103" w:rsidRPr="000C49D5">
              <w:t xml:space="preserve">Gas </w:t>
            </w:r>
            <w:r w:rsidRPr="000C49D5">
              <w:t>Investor-Owned Utility (</w:t>
            </w:r>
            <w:r w:rsidR="00903DA3" w:rsidRPr="000C49D5">
              <w:t>G</w:t>
            </w:r>
            <w:r w:rsidR="008116EA" w:rsidRPr="000C49D5">
              <w:t>as</w:t>
            </w:r>
            <w:r w:rsidR="00903DA3" w:rsidRPr="000C49D5">
              <w:t xml:space="preserve"> </w:t>
            </w:r>
            <w:r w:rsidRPr="000C49D5">
              <w:t xml:space="preserve">IOU) ratepayers and provides clear, plausible, and justifiable (quantitative preferred) potential benefits. Estimates the energy benefits including: </w:t>
            </w:r>
          </w:p>
          <w:p w14:paraId="443240F0" w14:textId="65F17E57" w:rsidR="00616F23" w:rsidRPr="000C49D5" w:rsidRDefault="00C25435">
            <w:pPr>
              <w:numPr>
                <w:ilvl w:val="1"/>
                <w:numId w:val="33"/>
              </w:numPr>
              <w:spacing w:after="60"/>
              <w:jc w:val="both"/>
            </w:pPr>
            <w:r w:rsidRPr="000C49D5">
              <w:t>annual thermal savings (kilowatt-hour and therms), energy cost reductions, peak load reduction and/or shifting, infrastructure resiliency, infrastructure reliability</w:t>
            </w:r>
            <w:r w:rsidR="00616F23" w:rsidRPr="000C49D5">
              <w:t>.</w:t>
            </w:r>
          </w:p>
          <w:p w14:paraId="56F214C6" w14:textId="77777777" w:rsidR="00616F23" w:rsidRPr="000C49D5" w:rsidRDefault="00616F23" w:rsidP="00616F23">
            <w:pPr>
              <w:spacing w:after="60"/>
              <w:ind w:left="720"/>
              <w:jc w:val="both"/>
              <w:rPr>
                <w:b/>
              </w:rPr>
            </w:pPr>
            <w:r w:rsidRPr="000C49D5">
              <w:rPr>
                <w:b/>
              </w:rPr>
              <w:lastRenderedPageBreak/>
              <w:t xml:space="preserve">In addition, estimates the non-energy benefits including: </w:t>
            </w:r>
          </w:p>
          <w:p w14:paraId="6F13018B" w14:textId="77777777" w:rsidR="00C25435" w:rsidRPr="000C49D5" w:rsidRDefault="00C25435">
            <w:pPr>
              <w:numPr>
                <w:ilvl w:val="0"/>
                <w:numId w:val="32"/>
              </w:numPr>
              <w:spacing w:after="60"/>
              <w:jc w:val="both"/>
            </w:pPr>
            <w:r w:rsidRPr="000C49D5">
              <w:t>greenhouse gas emission reductions, air emissions reductions (e.g. NOx), water savings and cost reduction, and/or increased safety; and</w:t>
            </w:r>
          </w:p>
          <w:p w14:paraId="2013C4C0" w14:textId="4576098E" w:rsidR="00616F23" w:rsidRPr="000C49D5" w:rsidRDefault="00C25435">
            <w:pPr>
              <w:numPr>
                <w:ilvl w:val="0"/>
                <w:numId w:val="32"/>
              </w:numPr>
              <w:spacing w:after="60"/>
              <w:jc w:val="both"/>
            </w:pPr>
            <w:r w:rsidRPr="000C49D5">
              <w:t>lower carbon intensity by using H</w:t>
            </w:r>
            <w:r w:rsidRPr="000C49D5">
              <w:rPr>
                <w:vertAlign w:val="subscript"/>
              </w:rPr>
              <w:t>2</w:t>
            </w:r>
            <w:r w:rsidRPr="000C49D5">
              <w:t xml:space="preserve"> sourced from low carbon pathways in the project</w:t>
            </w:r>
            <w:r w:rsidR="00616F23" w:rsidRPr="000C49D5">
              <w:t>.</w:t>
            </w:r>
          </w:p>
          <w:p w14:paraId="316FC4E7" w14:textId="77777777" w:rsidR="00616F23" w:rsidRPr="000C49D5" w:rsidRDefault="00616F23">
            <w:pPr>
              <w:numPr>
                <w:ilvl w:val="0"/>
                <w:numId w:val="16"/>
              </w:numPr>
              <w:spacing w:after="60"/>
              <w:ind w:left="1140"/>
              <w:jc w:val="both"/>
            </w:pPr>
            <w:r w:rsidRPr="000C49D5">
              <w:t xml:space="preserve">States the timeframe, assumptions with sources, and calculations for the estimated benefits, and explains their reasonableness. Include baseline or “business as usual” over timeframe. </w:t>
            </w:r>
          </w:p>
          <w:p w14:paraId="1DB1EDCF" w14:textId="77777777" w:rsidR="00616F23" w:rsidRPr="000C49D5" w:rsidRDefault="00616F23">
            <w:pPr>
              <w:numPr>
                <w:ilvl w:val="0"/>
                <w:numId w:val="16"/>
              </w:numPr>
              <w:spacing w:after="60"/>
              <w:ind w:left="1140"/>
              <w:jc w:val="both"/>
            </w:pPr>
            <w:r w:rsidRPr="000C49D5">
              <w:t>Explains the path-to-market strategy including near-term (i.e. initial target markets), mid-term, and long-term markets for the technology, size and penetration or deployment rates, and underlying assumptions.</w:t>
            </w:r>
          </w:p>
          <w:p w14:paraId="7A9C8222" w14:textId="77777777" w:rsidR="00616F23" w:rsidRPr="000C49D5" w:rsidRDefault="00616F23">
            <w:pPr>
              <w:numPr>
                <w:ilvl w:val="0"/>
                <w:numId w:val="16"/>
              </w:numPr>
              <w:spacing w:after="60"/>
              <w:ind w:left="1140"/>
              <w:jc w:val="both"/>
            </w:pPr>
            <w:r w:rsidRPr="000C49D5">
              <w:t xml:space="preserve">Identifies the expected financial performance (e.g. payback period, ROI) of the demonstration at scale. </w:t>
            </w:r>
          </w:p>
          <w:p w14:paraId="11482DE3" w14:textId="64E9395E" w:rsidR="00616F23" w:rsidRPr="000C49D5" w:rsidRDefault="00616F23">
            <w:pPr>
              <w:numPr>
                <w:ilvl w:val="0"/>
                <w:numId w:val="16"/>
              </w:numPr>
              <w:spacing w:after="60"/>
              <w:ind w:left="1140"/>
              <w:jc w:val="both"/>
            </w:pPr>
            <w:r w:rsidRPr="000C49D5">
              <w:t xml:space="preserve">Identifies the specific programs which the technology intends to leverage. </w:t>
            </w:r>
            <w:r w:rsidR="00C25435" w:rsidRPr="000C49D5">
              <w:rPr>
                <w:i/>
                <w:iCs/>
              </w:rPr>
              <w:t>(e.g., clean electricity programs, energy investment programs, hydrogen-related incentives under the Inflation Reduction Act) and extent to which technology meets program requirements)</w:t>
            </w:r>
            <w:r w:rsidRPr="000C49D5">
              <w:t>.</w:t>
            </w:r>
          </w:p>
        </w:tc>
        <w:tc>
          <w:tcPr>
            <w:tcW w:w="1342" w:type="dxa"/>
          </w:tcPr>
          <w:p w14:paraId="19152A1F" w14:textId="77777777" w:rsidR="00616F23" w:rsidRPr="000C49D5" w:rsidRDefault="00616F23" w:rsidP="00616F23">
            <w:pPr>
              <w:spacing w:before="120"/>
              <w:jc w:val="center"/>
            </w:pPr>
            <w:r w:rsidRPr="000C49D5">
              <w:rPr>
                <w:b/>
              </w:rPr>
              <w:lastRenderedPageBreak/>
              <w:t>20</w:t>
            </w:r>
          </w:p>
        </w:tc>
      </w:tr>
      <w:tr w:rsidR="00616F23" w:rsidRPr="00616F23" w14:paraId="7C1D615A" w14:textId="77777777" w:rsidTr="7E699B12">
        <w:trPr>
          <w:trHeight w:val="3248"/>
        </w:trPr>
        <w:tc>
          <w:tcPr>
            <w:tcW w:w="8362" w:type="dxa"/>
          </w:tcPr>
          <w:p w14:paraId="2A1AC25C" w14:textId="77777777" w:rsidR="00616F23" w:rsidRPr="00616F23" w:rsidRDefault="00616F23">
            <w:pPr>
              <w:numPr>
                <w:ilvl w:val="0"/>
                <w:numId w:val="38"/>
              </w:numPr>
              <w:spacing w:before="120"/>
              <w:jc w:val="both"/>
              <w:rPr>
                <w:rFonts w:cs="Times New Roman"/>
                <w:b/>
                <w:bCs/>
                <w:smallCaps/>
              </w:rPr>
            </w:pPr>
            <w:bookmarkStart w:id="233" w:name="_Toc366671205"/>
            <w:bookmarkStart w:id="234" w:name="Score4"/>
            <w:r w:rsidRPr="00616F23">
              <w:rPr>
                <w:b/>
              </w:rPr>
              <w:t>Team Qualifications, Capabilities, and Resources</w:t>
            </w:r>
            <w:bookmarkEnd w:id="233"/>
          </w:p>
          <w:bookmarkEnd w:id="234"/>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pPr>
              <w:numPr>
                <w:ilvl w:val="0"/>
                <w:numId w:val="17"/>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448043D4" w:rsidR="00616F23" w:rsidRPr="00616F23" w:rsidRDefault="00616F23">
            <w:pPr>
              <w:numPr>
                <w:ilvl w:val="0"/>
                <w:numId w:val="17"/>
              </w:numPr>
              <w:ind w:left="1140"/>
              <w:jc w:val="both"/>
            </w:pPr>
            <w:r w:rsidRPr="00616F23">
              <w:t>Demonstrates that the project team has appropriate qualifications, experience, financial stability and capability to complete the project.</w:t>
            </w:r>
          </w:p>
          <w:p w14:paraId="2116B3D5" w14:textId="77777777" w:rsidR="00616F23" w:rsidRPr="00616F23" w:rsidRDefault="00616F23">
            <w:pPr>
              <w:numPr>
                <w:ilvl w:val="0"/>
                <w:numId w:val="17"/>
              </w:numPr>
              <w:ind w:left="1140"/>
              <w:jc w:val="both"/>
            </w:pPr>
            <w:r w:rsidRPr="00616F23">
              <w:t>Explains the team structure and how various tasks will be managed and coordinated.</w:t>
            </w:r>
          </w:p>
          <w:p w14:paraId="7EFDA613" w14:textId="77777777" w:rsidR="00616F23" w:rsidRPr="00616F23" w:rsidRDefault="00616F23">
            <w:pPr>
              <w:numPr>
                <w:ilvl w:val="0"/>
                <w:numId w:val="17"/>
              </w:numPr>
              <w:ind w:left="1140"/>
              <w:jc w:val="both"/>
            </w:pPr>
            <w:r w:rsidRPr="00616F23">
              <w:t>Describes the facilities, infrastructure, and resources available that directly support the project.</w:t>
            </w:r>
          </w:p>
          <w:p w14:paraId="63D933D7" w14:textId="77777777" w:rsidR="00616F23" w:rsidRPr="00616F23" w:rsidRDefault="00616F23">
            <w:pPr>
              <w:numPr>
                <w:ilvl w:val="0"/>
                <w:numId w:val="17"/>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7E699B12">
        <w:trPr>
          <w:cantSplit/>
          <w:trHeight w:val="485"/>
        </w:trPr>
        <w:tc>
          <w:tcPr>
            <w:tcW w:w="8362" w:type="dxa"/>
            <w:shd w:val="clear" w:color="auto" w:fill="D9D9D9" w:themeFill="background1" w:themeFillShade="D9"/>
          </w:tcPr>
          <w:p w14:paraId="0E2CC37E" w14:textId="77D8464C" w:rsidR="00616F23" w:rsidRPr="00616F23" w:rsidRDefault="00616F23" w:rsidP="00616F23">
            <w:pPr>
              <w:spacing w:before="60" w:after="0"/>
              <w:ind w:left="360"/>
              <w:jc w:val="both"/>
              <w:rPr>
                <w:b/>
              </w:rPr>
            </w:pPr>
            <w:r w:rsidRPr="00616F23">
              <w:rPr>
                <w:b/>
              </w:rPr>
              <w:t xml:space="preserve">Total Possible Points for criteria 1− </w:t>
            </w:r>
            <w:r w:rsidR="00844AC1">
              <w:rPr>
                <w:b/>
              </w:rPr>
              <w:t>4</w:t>
            </w:r>
          </w:p>
          <w:p w14:paraId="66546DBF" w14:textId="7488EF74" w:rsidR="00616F23" w:rsidRPr="00616F23" w:rsidRDefault="00616F23" w:rsidP="02304BD1">
            <w:pPr>
              <w:spacing w:after="0"/>
              <w:ind w:left="360"/>
              <w:jc w:val="both"/>
              <w:rPr>
                <w:b/>
                <w:bCs/>
              </w:rPr>
            </w:pPr>
            <w:r w:rsidRPr="02304BD1">
              <w:rPr>
                <w:b/>
                <w:bCs/>
              </w:rPr>
              <w:t xml:space="preserve">(Minimum Passing Score for criteria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7E699B12">
        <w:tc>
          <w:tcPr>
            <w:tcW w:w="8362" w:type="dxa"/>
            <w:tcBorders>
              <w:bottom w:val="single" w:sz="4" w:space="0" w:color="auto"/>
            </w:tcBorders>
          </w:tcPr>
          <w:p w14:paraId="4F5F4254" w14:textId="77777777" w:rsidR="00616F23" w:rsidRPr="00616F23" w:rsidRDefault="00616F23">
            <w:pPr>
              <w:numPr>
                <w:ilvl w:val="0"/>
                <w:numId w:val="38"/>
              </w:numPr>
              <w:spacing w:before="120"/>
              <w:jc w:val="both"/>
              <w:rPr>
                <w:rFonts w:cs="Times New Roman"/>
                <w:b/>
                <w:bCs/>
                <w:smallCaps/>
              </w:rPr>
            </w:pPr>
            <w:r w:rsidRPr="00616F23">
              <w:rPr>
                <w:b/>
              </w:rPr>
              <w:t>Budget and Cost-Effectiveness</w:t>
            </w:r>
          </w:p>
          <w:p w14:paraId="14806663" w14:textId="77777777" w:rsidR="00616F23" w:rsidRPr="00616F23" w:rsidRDefault="00616F23">
            <w:pPr>
              <w:numPr>
                <w:ilvl w:val="0"/>
                <w:numId w:val="18"/>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pPr>
              <w:numPr>
                <w:ilvl w:val="0"/>
                <w:numId w:val="18"/>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pPr>
              <w:numPr>
                <w:ilvl w:val="0"/>
                <w:numId w:val="18"/>
              </w:numPr>
              <w:spacing w:before="120" w:after="0"/>
              <w:ind w:left="1140"/>
              <w:jc w:val="both"/>
            </w:pPr>
            <w:r w:rsidRPr="00616F23">
              <w:lastRenderedPageBreak/>
              <w:t>Justifies the reasonableness of direct costs (e.g., labor, fringe benefits, equipment, materials &amp; misc. travel, and subcontractors).</w:t>
            </w:r>
          </w:p>
          <w:p w14:paraId="4DFACCA1" w14:textId="77777777" w:rsidR="00616F23" w:rsidRPr="00616F23" w:rsidRDefault="00616F23">
            <w:pPr>
              <w:numPr>
                <w:ilvl w:val="0"/>
                <w:numId w:val="18"/>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lastRenderedPageBreak/>
              <w:t>10</w:t>
            </w:r>
          </w:p>
        </w:tc>
      </w:tr>
      <w:tr w:rsidR="00616F23" w:rsidRPr="00616F23" w14:paraId="2634BEF4" w14:textId="77777777" w:rsidTr="7E699B12">
        <w:tc>
          <w:tcPr>
            <w:tcW w:w="8362" w:type="dxa"/>
            <w:tcBorders>
              <w:top w:val="single" w:sz="4" w:space="0" w:color="auto"/>
              <w:bottom w:val="single" w:sz="4" w:space="0" w:color="auto"/>
            </w:tcBorders>
          </w:tcPr>
          <w:p w14:paraId="4CC292F2" w14:textId="77777777" w:rsidR="00616F23" w:rsidRPr="00616F23" w:rsidRDefault="00616F23">
            <w:pPr>
              <w:numPr>
                <w:ilvl w:val="0"/>
                <w:numId w:val="38"/>
              </w:numPr>
              <w:spacing w:before="120"/>
              <w:jc w:val="both"/>
              <w:rPr>
                <w:rFonts w:cs="Times New Roman"/>
                <w:b/>
                <w:bCs/>
                <w:smallCaps/>
              </w:rPr>
            </w:pPr>
            <w:r w:rsidRPr="00616F23">
              <w:rPr>
                <w:b/>
              </w:rPr>
              <w:t>CEC Funds Spent in California</w:t>
            </w:r>
          </w:p>
          <w:p w14:paraId="5F8C2EF2" w14:textId="02D18C2E" w:rsidR="00616F23" w:rsidRPr="00616F23" w:rsidRDefault="00616F23" w:rsidP="00616F23">
            <w:pPr>
              <w:tabs>
                <w:tab w:val="left" w:pos="1170"/>
              </w:tabs>
              <w:autoSpaceDE w:val="0"/>
              <w:autoSpaceDN w:val="0"/>
              <w:adjustRightInd w:val="0"/>
              <w:spacing w:after="0"/>
              <w:ind w:left="360"/>
              <w:jc w:val="both"/>
              <w:rPr>
                <w:szCs w:val="22"/>
              </w:rPr>
            </w:pPr>
            <w:r w:rsidRPr="00616F23">
              <w:t xml:space="preserve">Projects that maximize the spending of CEC funds in California will receive points as indicated in the table below (see CEC Funds Spent in California </w:t>
            </w:r>
            <w:r w:rsidR="00B651D6" w:rsidRPr="00B651D6">
              <w:t xml:space="preserve">and California-Based Entities </w:t>
            </w:r>
            <w:r w:rsidRPr="00616F23">
              <w:t>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62EE4FC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(derived from budget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7E699B12">
        <w:tc>
          <w:tcPr>
            <w:tcW w:w="8362" w:type="dxa"/>
            <w:tcBorders>
              <w:top w:val="single" w:sz="4" w:space="0" w:color="auto"/>
              <w:bottom w:val="nil"/>
            </w:tcBorders>
          </w:tcPr>
          <w:p w14:paraId="508E4FE3" w14:textId="77777777" w:rsidR="00616F23" w:rsidRPr="00616F23" w:rsidRDefault="00616F23">
            <w:pPr>
              <w:numPr>
                <w:ilvl w:val="0"/>
                <w:numId w:val="38"/>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27488D"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E699B12">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6A3671" w:rsidRPr="00CE5562" w14:paraId="41668A29" w14:textId="77777777" w:rsidTr="38777EAD">
        <w:trPr>
          <w:trHeight w:val="750"/>
        </w:trPr>
        <w:tc>
          <w:tcPr>
            <w:tcW w:w="9704" w:type="dxa"/>
            <w:gridSpan w:val="2"/>
            <w:tcBorders>
              <w:bottom w:val="single" w:sz="4" w:space="0" w:color="auto"/>
            </w:tcBorders>
            <w:shd w:val="clear" w:color="auto" w:fill="D9D9D9" w:themeFill="background1" w:themeFillShade="D9"/>
          </w:tcPr>
          <w:p w14:paraId="1CAD5A1B" w14:textId="431FA773" w:rsidR="006A3671" w:rsidRPr="00CE5562" w:rsidRDefault="003E5507" w:rsidP="003E5507">
            <w:pPr>
              <w:keepNext/>
              <w:spacing w:before="120" w:after="0"/>
              <w:rPr>
                <w:b/>
                <w:szCs w:val="22"/>
              </w:rPr>
            </w:pPr>
            <w:r w:rsidRPr="007E6826">
              <w:rPr>
                <w:b/>
                <w:sz w:val="24"/>
                <w:szCs w:val="22"/>
              </w:rPr>
              <w:t xml:space="preserve">Preference Points </w:t>
            </w:r>
            <w:r w:rsidRPr="007E6826">
              <w:rPr>
                <w:sz w:val="24"/>
                <w:szCs w:val="22"/>
              </w:rPr>
              <w:t>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r>
      <w:tr w:rsidR="008B365B" w:rsidRPr="00CE5562" w14:paraId="787F3E5E" w14:textId="77777777" w:rsidTr="38777EAD">
        <w:trPr>
          <w:trHeight w:val="4850"/>
        </w:trPr>
        <w:tc>
          <w:tcPr>
            <w:tcW w:w="8362" w:type="dxa"/>
            <w:tcBorders>
              <w:bottom w:val="single" w:sz="4" w:space="0" w:color="auto"/>
            </w:tcBorders>
            <w:shd w:val="clear" w:color="auto" w:fill="auto"/>
          </w:tcPr>
          <w:p w14:paraId="7B946E24" w14:textId="77777777" w:rsidR="0016371B" w:rsidRPr="007E6826" w:rsidRDefault="0016371B">
            <w:pPr>
              <w:widowControl w:val="0"/>
              <w:numPr>
                <w:ilvl w:val="0"/>
                <w:numId w:val="38"/>
              </w:numPr>
              <w:spacing w:before="120"/>
              <w:jc w:val="both"/>
              <w:rPr>
                <w:b/>
                <w:szCs w:val="22"/>
              </w:rPr>
            </w:pPr>
            <w:r w:rsidRPr="007E6826">
              <w:rPr>
                <w:b/>
                <w:szCs w:val="22"/>
              </w:rPr>
              <w:t xml:space="preserve">California Based Entities (CBE) Preference Points </w:t>
            </w:r>
          </w:p>
          <w:p w14:paraId="52FC8910" w14:textId="2ABFA947" w:rsidR="0016371B" w:rsidRDefault="00132AD7" w:rsidP="00FE32C3">
            <w:pPr>
              <w:widowControl w:val="0"/>
              <w:spacing w:before="120"/>
              <w:ind w:left="782"/>
              <w:jc w:val="both"/>
              <w:rPr>
                <w:szCs w:val="22"/>
              </w:rPr>
            </w:pPr>
            <w:r w:rsidRPr="00132AD7">
              <w:rPr>
                <w:szCs w:val="22"/>
              </w:rPr>
              <w:t xml:space="preserve">Projects that maximize the spending of CEC funds </w:t>
            </w:r>
            <w:r w:rsidR="00F11E79">
              <w:rPr>
                <w:szCs w:val="22"/>
              </w:rPr>
              <w:t>o</w:t>
            </w:r>
            <w:r w:rsidRPr="00132AD7">
              <w:rPr>
                <w:szCs w:val="22"/>
              </w:rPr>
              <w:t xml:space="preserve">n California </w:t>
            </w:r>
            <w:r w:rsidR="00F11E79">
              <w:rPr>
                <w:szCs w:val="22"/>
              </w:rPr>
              <w:t xml:space="preserve">Based Entities </w:t>
            </w:r>
            <w:r w:rsidRPr="00132AD7">
              <w:rPr>
                <w:szCs w:val="22"/>
              </w:rPr>
              <w:t xml:space="preserve">will receive points as indicated in the table below (see </w:t>
            </w:r>
            <w:r w:rsidR="00191A5C" w:rsidRPr="00191A5C">
              <w:rPr>
                <w:szCs w:val="22"/>
              </w:rPr>
              <w:t>F</w:t>
            </w:r>
            <w:r w:rsidR="00191A5C">
              <w:rPr>
                <w:szCs w:val="22"/>
              </w:rPr>
              <w:t>unds</w:t>
            </w:r>
            <w:r w:rsidR="00191A5C" w:rsidRPr="00191A5C">
              <w:rPr>
                <w:szCs w:val="22"/>
              </w:rPr>
              <w:t xml:space="preserve"> S</w:t>
            </w:r>
            <w:r w:rsidR="003C1660">
              <w:rPr>
                <w:szCs w:val="22"/>
              </w:rPr>
              <w:t>pent</w:t>
            </w:r>
            <w:r w:rsidR="00191A5C" w:rsidRPr="00191A5C">
              <w:rPr>
                <w:szCs w:val="22"/>
              </w:rPr>
              <w:t xml:space="preserve"> </w:t>
            </w:r>
            <w:r w:rsidR="000E5D49">
              <w:rPr>
                <w:szCs w:val="22"/>
              </w:rPr>
              <w:t>in</w:t>
            </w:r>
            <w:r w:rsidR="00191A5C" w:rsidRPr="00191A5C">
              <w:rPr>
                <w:szCs w:val="22"/>
              </w:rPr>
              <w:t xml:space="preserve"> C</w:t>
            </w:r>
            <w:r w:rsidR="000E5D49">
              <w:rPr>
                <w:szCs w:val="22"/>
              </w:rPr>
              <w:t>alifornia and</w:t>
            </w:r>
            <w:r w:rsidR="00191A5C" w:rsidRPr="00191A5C">
              <w:rPr>
                <w:szCs w:val="22"/>
              </w:rPr>
              <w:t xml:space="preserve"> C</w:t>
            </w:r>
            <w:r w:rsidR="000E5D49">
              <w:rPr>
                <w:szCs w:val="22"/>
              </w:rPr>
              <w:t>alifornia</w:t>
            </w:r>
            <w:r w:rsidR="00191A5C" w:rsidRPr="00191A5C">
              <w:rPr>
                <w:szCs w:val="22"/>
              </w:rPr>
              <w:t>-B</w:t>
            </w:r>
            <w:r w:rsidR="000E5D49">
              <w:rPr>
                <w:szCs w:val="22"/>
              </w:rPr>
              <w:t>ased</w:t>
            </w:r>
            <w:r w:rsidR="00191A5C" w:rsidRPr="00191A5C">
              <w:rPr>
                <w:szCs w:val="22"/>
              </w:rPr>
              <w:t xml:space="preserve"> E</w:t>
            </w:r>
            <w:r w:rsidR="000E5D49">
              <w:rPr>
                <w:szCs w:val="22"/>
              </w:rPr>
              <w:t>n</w:t>
            </w:r>
            <w:r w:rsidR="00BD6C74">
              <w:rPr>
                <w:szCs w:val="22"/>
              </w:rPr>
              <w:t>tities</w:t>
            </w:r>
            <w:r w:rsidR="00191A5C" w:rsidRPr="00191A5C">
              <w:rPr>
                <w:szCs w:val="22"/>
              </w:rPr>
              <w:t xml:space="preserve"> </w:t>
            </w:r>
            <w:r w:rsidRPr="00132AD7">
              <w:rPr>
                <w:szCs w:val="22"/>
              </w:rPr>
              <w:t>section for more details).</w:t>
            </w:r>
            <w:r>
              <w:rPr>
                <w:szCs w:val="22"/>
              </w:rPr>
              <w:t xml:space="preserve"> </w:t>
            </w:r>
          </w:p>
          <w:p w14:paraId="3D230C12" w14:textId="77777777" w:rsidR="0016371B" w:rsidRPr="007E6826" w:rsidRDefault="0016371B" w:rsidP="00FE32C3">
            <w:pPr>
              <w:widowControl w:val="0"/>
              <w:spacing w:before="120"/>
              <w:ind w:left="720" w:hanging="360"/>
              <w:jc w:val="both"/>
              <w:rPr>
                <w:szCs w:val="22"/>
              </w:rPr>
            </w:pPr>
            <w:r w:rsidRPr="005F2BF3">
              <w:rPr>
                <w:szCs w:val="22"/>
              </w:rPr>
              <w:t>Projects that meet these requirements will receive preference points as</w:t>
            </w:r>
            <w:r w:rsidRPr="007E6826">
              <w:rPr>
                <w:szCs w:val="22"/>
              </w:rPr>
              <w:t xml:space="preserve">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3462"/>
            </w:tblGrid>
            <w:tr w:rsidR="00AD0187" w:rsidRPr="007E6826" w14:paraId="1440C256" w14:textId="77777777" w:rsidTr="0002262F">
              <w:trPr>
                <w:trHeight w:val="1037"/>
              </w:trPr>
              <w:tc>
                <w:tcPr>
                  <w:tcW w:w="4428" w:type="dxa"/>
                  <w:tcBorders>
                    <w:top w:val="single" w:sz="4" w:space="0" w:color="auto"/>
                    <w:left w:val="single" w:sz="4" w:space="0" w:color="auto"/>
                    <w:bottom w:val="single" w:sz="4" w:space="0" w:color="auto"/>
                    <w:right w:val="single" w:sz="4" w:space="0" w:color="auto"/>
                  </w:tcBorders>
                  <w:vAlign w:val="bottom"/>
                </w:tcPr>
                <w:p w14:paraId="0797AB01" w14:textId="2C3FA13A" w:rsidR="00AD0187" w:rsidRPr="007E6826" w:rsidRDefault="00AD0187" w:rsidP="00FE32C3">
                  <w:pPr>
                    <w:widowControl w:val="0"/>
                    <w:spacing w:after="0" w:line="259" w:lineRule="auto"/>
                    <w:rPr>
                      <w:rFonts w:eastAsia="Calibri"/>
                      <w:b/>
                      <w:szCs w:val="22"/>
                    </w:rPr>
                  </w:pPr>
                  <w:r w:rsidRPr="007E6826">
                    <w:rPr>
                      <w:rFonts w:eastAsia="Calibri"/>
                      <w:b/>
                      <w:szCs w:val="22"/>
                    </w:rPr>
                    <w:t xml:space="preserve">Percentage of Gas </w:t>
                  </w:r>
                  <w:r w:rsidR="00903DA3">
                    <w:rPr>
                      <w:rFonts w:eastAsia="Calibri"/>
                      <w:b/>
                      <w:szCs w:val="22"/>
                    </w:rPr>
                    <w:t xml:space="preserve">R&amp;D </w:t>
                  </w:r>
                  <w:r w:rsidRPr="007E6826">
                    <w:rPr>
                      <w:rFonts w:eastAsia="Calibri"/>
                      <w:b/>
                      <w:szCs w:val="22"/>
                    </w:rPr>
                    <w:t>Funds Allocated to CBEs</w:t>
                  </w:r>
                </w:p>
                <w:p w14:paraId="6087EA00" w14:textId="77777777" w:rsidR="00AD0187" w:rsidRPr="007E6826" w:rsidRDefault="00AD0187" w:rsidP="00FE32C3">
                  <w:pPr>
                    <w:widowControl w:val="0"/>
                    <w:tabs>
                      <w:tab w:val="left" w:pos="1170"/>
                    </w:tabs>
                    <w:autoSpaceDE w:val="0"/>
                    <w:autoSpaceDN w:val="0"/>
                    <w:adjustRightInd w:val="0"/>
                    <w:spacing w:after="0" w:line="259" w:lineRule="auto"/>
                    <w:rPr>
                      <w:rFonts w:eastAsia="Calibri"/>
                      <w:b/>
                      <w:bCs/>
                      <w:smallCaps/>
                      <w:szCs w:val="22"/>
                    </w:rPr>
                  </w:pPr>
                  <w:r w:rsidRPr="007E6826">
                    <w:rPr>
                      <w:rFonts w:eastAsia="Calibri"/>
                      <w:szCs w:val="22"/>
                    </w:rPr>
                    <w:t>(derived from budget attachment “Category Budget”)</w:t>
                  </w:r>
                </w:p>
              </w:tc>
              <w:tc>
                <w:tcPr>
                  <w:tcW w:w="3462" w:type="dxa"/>
                  <w:tcBorders>
                    <w:top w:val="single" w:sz="4" w:space="0" w:color="auto"/>
                    <w:left w:val="single" w:sz="4" w:space="0" w:color="auto"/>
                    <w:bottom w:val="single" w:sz="4" w:space="0" w:color="auto"/>
                    <w:right w:val="single" w:sz="4" w:space="0" w:color="auto"/>
                  </w:tcBorders>
                </w:tcPr>
                <w:p w14:paraId="5928FB62" w14:textId="77777777" w:rsidR="00AD0187" w:rsidRPr="007E6826" w:rsidRDefault="00AD0187" w:rsidP="00FE32C3">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b/>
                      <w:szCs w:val="22"/>
                    </w:rPr>
                    <w:t>Percentage of Possible Points</w:t>
                  </w:r>
                </w:p>
              </w:tc>
            </w:tr>
            <w:tr w:rsidR="00AD0187" w:rsidRPr="007E6826" w14:paraId="50057892"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136C07A8" w14:textId="77777777" w:rsidR="00AD0187" w:rsidRPr="007E6826" w:rsidRDefault="00AD0187" w:rsidP="00FE32C3">
                  <w:pPr>
                    <w:widowControl w:val="0"/>
                    <w:tabs>
                      <w:tab w:val="left" w:pos="1170"/>
                    </w:tabs>
                    <w:autoSpaceDE w:val="0"/>
                    <w:autoSpaceDN w:val="0"/>
                    <w:adjustRightInd w:val="0"/>
                    <w:spacing w:after="0" w:line="259" w:lineRule="auto"/>
                    <w:rPr>
                      <w:rFonts w:eastAsia="Calibri"/>
                      <w:szCs w:val="22"/>
                    </w:rPr>
                  </w:pPr>
                  <w:r w:rsidRPr="007E6826">
                    <w:rPr>
                      <w:rFonts w:eastAsia="Calibri"/>
                      <w:szCs w:val="22"/>
                    </w:rPr>
                    <w:t>&gt; 60%</w:t>
                  </w:r>
                </w:p>
              </w:tc>
              <w:tc>
                <w:tcPr>
                  <w:tcW w:w="3462" w:type="dxa"/>
                  <w:tcBorders>
                    <w:top w:val="single" w:sz="4" w:space="0" w:color="auto"/>
                    <w:left w:val="single" w:sz="4" w:space="0" w:color="auto"/>
                    <w:bottom w:val="single" w:sz="4" w:space="0" w:color="auto"/>
                    <w:right w:val="single" w:sz="4" w:space="0" w:color="auto"/>
                  </w:tcBorders>
                  <w:vAlign w:val="bottom"/>
                </w:tcPr>
                <w:p w14:paraId="326E642A"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20%</w:t>
                  </w:r>
                </w:p>
              </w:tc>
            </w:tr>
            <w:tr w:rsidR="00AD0187" w:rsidRPr="007E6826" w14:paraId="1168EFD2"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7CEF66A8"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70% </w:t>
                  </w:r>
                </w:p>
              </w:tc>
              <w:tc>
                <w:tcPr>
                  <w:tcW w:w="3462" w:type="dxa"/>
                  <w:tcBorders>
                    <w:top w:val="single" w:sz="4" w:space="0" w:color="auto"/>
                    <w:left w:val="single" w:sz="4" w:space="0" w:color="auto"/>
                    <w:bottom w:val="single" w:sz="4" w:space="0" w:color="auto"/>
                    <w:right w:val="single" w:sz="4" w:space="0" w:color="auto"/>
                  </w:tcBorders>
                  <w:vAlign w:val="bottom"/>
                </w:tcPr>
                <w:p w14:paraId="07423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40%</w:t>
                  </w:r>
                </w:p>
              </w:tc>
            </w:tr>
            <w:tr w:rsidR="00AD0187" w:rsidRPr="007E6826" w14:paraId="6DC48B03"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01C51745"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80% </w:t>
                  </w:r>
                </w:p>
              </w:tc>
              <w:tc>
                <w:tcPr>
                  <w:tcW w:w="3462" w:type="dxa"/>
                  <w:tcBorders>
                    <w:top w:val="single" w:sz="4" w:space="0" w:color="auto"/>
                    <w:left w:val="single" w:sz="4" w:space="0" w:color="auto"/>
                    <w:bottom w:val="single" w:sz="4" w:space="0" w:color="auto"/>
                    <w:right w:val="single" w:sz="4" w:space="0" w:color="auto"/>
                  </w:tcBorders>
                  <w:vAlign w:val="bottom"/>
                </w:tcPr>
                <w:p w14:paraId="011A6C97"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60%</w:t>
                  </w:r>
                </w:p>
              </w:tc>
            </w:tr>
            <w:tr w:rsidR="00AD0187" w:rsidRPr="007E6826" w14:paraId="4982565C"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15DEBB"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90% </w:t>
                  </w:r>
                </w:p>
              </w:tc>
              <w:tc>
                <w:tcPr>
                  <w:tcW w:w="3462" w:type="dxa"/>
                  <w:tcBorders>
                    <w:top w:val="single" w:sz="4" w:space="0" w:color="auto"/>
                    <w:left w:val="single" w:sz="4" w:space="0" w:color="auto"/>
                    <w:bottom w:val="single" w:sz="4" w:space="0" w:color="auto"/>
                    <w:right w:val="single" w:sz="4" w:space="0" w:color="auto"/>
                  </w:tcBorders>
                  <w:vAlign w:val="bottom"/>
                </w:tcPr>
                <w:p w14:paraId="6A0E8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80%</w:t>
                  </w:r>
                </w:p>
              </w:tc>
            </w:tr>
            <w:tr w:rsidR="00AD0187" w:rsidRPr="007E6826" w14:paraId="2C0FB535"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37F1E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=100%</w:t>
                  </w:r>
                </w:p>
              </w:tc>
              <w:tc>
                <w:tcPr>
                  <w:tcW w:w="3462" w:type="dxa"/>
                  <w:tcBorders>
                    <w:top w:val="single" w:sz="4" w:space="0" w:color="auto"/>
                    <w:left w:val="single" w:sz="4" w:space="0" w:color="auto"/>
                    <w:bottom w:val="single" w:sz="4" w:space="0" w:color="auto"/>
                    <w:right w:val="single" w:sz="4" w:space="0" w:color="auto"/>
                  </w:tcBorders>
                  <w:vAlign w:val="bottom"/>
                </w:tcPr>
                <w:p w14:paraId="0547BC4E"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100%</w:t>
                  </w:r>
                </w:p>
              </w:tc>
            </w:tr>
          </w:tbl>
          <w:p w14:paraId="2818D1C4" w14:textId="77777777" w:rsidR="008B365B" w:rsidRPr="00CE5562" w:rsidRDefault="008B365B" w:rsidP="00FE32C3">
            <w:pPr>
              <w:widowControl w:val="0"/>
              <w:spacing w:before="120"/>
              <w:ind w:left="720"/>
              <w:jc w:val="both"/>
              <w:rPr>
                <w:b/>
                <w:szCs w:val="22"/>
              </w:rPr>
            </w:pPr>
          </w:p>
        </w:tc>
        <w:tc>
          <w:tcPr>
            <w:tcW w:w="1342" w:type="dxa"/>
            <w:tcBorders>
              <w:bottom w:val="single" w:sz="4" w:space="0" w:color="auto"/>
            </w:tcBorders>
            <w:shd w:val="clear" w:color="auto" w:fill="auto"/>
          </w:tcPr>
          <w:p w14:paraId="5B3417BB" w14:textId="3B6D8893" w:rsidR="008B365B" w:rsidRPr="00CE5562" w:rsidRDefault="00773CAF" w:rsidP="00FE32C3">
            <w:pPr>
              <w:widowControl w:val="0"/>
              <w:spacing w:before="120" w:after="0"/>
              <w:jc w:val="center"/>
              <w:rPr>
                <w:b/>
                <w:szCs w:val="22"/>
              </w:rPr>
            </w:pPr>
            <w:r>
              <w:rPr>
                <w:b/>
                <w:szCs w:val="22"/>
              </w:rPr>
              <w:t>5</w:t>
            </w:r>
          </w:p>
        </w:tc>
      </w:tr>
      <w:tr w:rsidR="00CE5562" w:rsidRPr="00CE5562" w14:paraId="0557E785" w14:textId="77777777" w:rsidTr="38777EAD">
        <w:trPr>
          <w:trHeight w:val="4850"/>
        </w:trPr>
        <w:tc>
          <w:tcPr>
            <w:tcW w:w="8362" w:type="dxa"/>
            <w:tcBorders>
              <w:bottom w:val="single" w:sz="4" w:space="0" w:color="auto"/>
            </w:tcBorders>
            <w:shd w:val="clear" w:color="auto" w:fill="auto"/>
          </w:tcPr>
          <w:p w14:paraId="79AA9EC5" w14:textId="77777777" w:rsidR="00CE5562" w:rsidRPr="00CE5562" w:rsidRDefault="00CE5562">
            <w:pPr>
              <w:widowControl w:val="0"/>
              <w:numPr>
                <w:ilvl w:val="0"/>
                <w:numId w:val="38"/>
              </w:numPr>
              <w:spacing w:before="120"/>
              <w:jc w:val="both"/>
              <w:rPr>
                <w:b/>
                <w:szCs w:val="22"/>
              </w:rPr>
            </w:pPr>
            <w:r w:rsidRPr="00CE5562">
              <w:rPr>
                <w:b/>
                <w:szCs w:val="22"/>
              </w:rPr>
              <w:t xml:space="preserve">Match Funds </w:t>
            </w:r>
          </w:p>
          <w:p w14:paraId="2199D6F1" w14:textId="77777777" w:rsidR="00CE5562" w:rsidRPr="00CE5562" w:rsidRDefault="00CE5562">
            <w:pPr>
              <w:widowControl w:val="0"/>
              <w:numPr>
                <w:ilvl w:val="0"/>
                <w:numId w:val="49"/>
              </w:numPr>
              <w:spacing w:line="280" w:lineRule="atLeast"/>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FE32C3">
            <w:pPr>
              <w:widowControl w:val="0"/>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FE32C3">
                  <w:pPr>
                    <w:widowControl w:val="0"/>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FE32C3">
                  <w:pPr>
                    <w:widowControl w:val="0"/>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FE32C3">
                  <w:pPr>
                    <w:widowControl w:val="0"/>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FE32C3">
                  <w:pPr>
                    <w:widowControl w:val="0"/>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FE32C3">
                  <w:pPr>
                    <w:widowControl w:val="0"/>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FE32C3">
                  <w:pPr>
                    <w:widowControl w:val="0"/>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FE32C3">
                  <w:pPr>
                    <w:widowControl w:val="0"/>
                    <w:spacing w:after="60"/>
                    <w:ind w:left="58"/>
                    <w:jc w:val="center"/>
                    <w:rPr>
                      <w:szCs w:val="22"/>
                    </w:rPr>
                  </w:pPr>
                  <w:r w:rsidRPr="00CE5562">
                    <w:rPr>
                      <w:szCs w:val="22"/>
                    </w:rPr>
                    <w:t>1</w:t>
                  </w:r>
                </w:p>
              </w:tc>
            </w:tr>
          </w:tbl>
          <w:p w14:paraId="77228007" w14:textId="77777777" w:rsidR="00CE5562" w:rsidRPr="00CE5562" w:rsidRDefault="00CE5562" w:rsidP="00FE32C3">
            <w:pPr>
              <w:widowControl w:val="0"/>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38777EAD">
        <w:trPr>
          <w:trHeight w:val="647"/>
        </w:trPr>
        <w:tc>
          <w:tcPr>
            <w:tcW w:w="8362" w:type="dxa"/>
            <w:tcBorders>
              <w:bottom w:val="single" w:sz="4" w:space="0" w:color="auto"/>
            </w:tcBorders>
            <w:shd w:val="clear" w:color="auto" w:fill="auto"/>
          </w:tcPr>
          <w:p w14:paraId="18599005" w14:textId="77777777" w:rsidR="00CE5562" w:rsidRPr="00CE5562" w:rsidRDefault="00CE5562">
            <w:pPr>
              <w:widowControl w:val="0"/>
              <w:numPr>
                <w:ilvl w:val="0"/>
                <w:numId w:val="49"/>
              </w:numPr>
              <w:spacing w:before="120"/>
              <w:jc w:val="both"/>
            </w:pPr>
            <w:r w:rsidRPr="00CE5562">
              <w:t xml:space="preserve">Additional points will be awarded to applications that exceed the minimum match requirements </w:t>
            </w:r>
            <w:r w:rsidR="007B3CCE">
              <w:t xml:space="preserve">based on the percentage amount above minimum </w:t>
            </w:r>
            <w:r w:rsidRPr="00CE5562">
              <w:t xml:space="preserve">using </w:t>
            </w:r>
            <w:r w:rsidRPr="00CE5562">
              <w:lastRenderedPageBreak/>
              <w:t>the Exceeds Minimum Match Scoring table:</w:t>
            </w:r>
          </w:p>
          <w:p w14:paraId="3EF6BF5B" w14:textId="77777777" w:rsidR="00CE5562" w:rsidRPr="00CE5562" w:rsidRDefault="00CE5562" w:rsidP="00FE32C3">
            <w:pPr>
              <w:widowControl w:val="0"/>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FE32C3">
                  <w:pPr>
                    <w:widowControl w:val="0"/>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FE32C3">
                  <w:pPr>
                    <w:widowControl w:val="0"/>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FE32C3">
                  <w:pPr>
                    <w:widowControl w:val="0"/>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FE32C3">
                  <w:pPr>
                    <w:widowControl w:val="0"/>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FE32C3">
                  <w:pPr>
                    <w:widowControl w:val="0"/>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FE32C3">
                  <w:pPr>
                    <w:widowControl w:val="0"/>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FE32C3">
                  <w:pPr>
                    <w:widowControl w:val="0"/>
                    <w:spacing w:after="60"/>
                    <w:ind w:left="58"/>
                    <w:jc w:val="center"/>
                    <w:rPr>
                      <w:szCs w:val="22"/>
                    </w:rPr>
                  </w:pPr>
                  <w:r w:rsidRPr="00CE5562">
                    <w:rPr>
                      <w:szCs w:val="22"/>
                    </w:rPr>
                    <w:t>1</w:t>
                  </w:r>
                </w:p>
              </w:tc>
            </w:tr>
          </w:tbl>
          <w:p w14:paraId="118100AC" w14:textId="06BCA4D6" w:rsidR="00CE5562" w:rsidRPr="00CE5562" w:rsidRDefault="00CE5562" w:rsidP="00FE32C3">
            <w:pPr>
              <w:widowControl w:val="0"/>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FE32C3">
            <w:pPr>
              <w:widowControl w:val="0"/>
              <w:spacing w:before="120" w:after="0"/>
              <w:jc w:val="center"/>
              <w:rPr>
                <w:b/>
                <w:szCs w:val="22"/>
              </w:rPr>
            </w:pPr>
            <w:r w:rsidRPr="00CE5562">
              <w:rPr>
                <w:b/>
                <w:szCs w:val="22"/>
              </w:rPr>
              <w:lastRenderedPageBreak/>
              <w:t>5</w:t>
            </w:r>
          </w:p>
        </w:tc>
      </w:tr>
      <w:tr w:rsidR="00CE5562" w:rsidRPr="00CE5562" w14:paraId="05BDF606" w14:textId="77777777" w:rsidTr="38777EAD">
        <w:trPr>
          <w:trHeight w:val="647"/>
        </w:trPr>
        <w:tc>
          <w:tcPr>
            <w:tcW w:w="8362" w:type="dxa"/>
            <w:shd w:val="clear" w:color="auto" w:fill="auto"/>
          </w:tcPr>
          <w:p w14:paraId="17344BDB" w14:textId="77777777" w:rsidR="00CE5562" w:rsidRPr="00CE5562" w:rsidRDefault="00CE5562">
            <w:pPr>
              <w:widowControl w:val="0"/>
              <w:numPr>
                <w:ilvl w:val="0"/>
                <w:numId w:val="38"/>
              </w:numPr>
              <w:spacing w:before="120"/>
              <w:jc w:val="both"/>
              <w:rPr>
                <w:b/>
                <w:szCs w:val="22"/>
              </w:rPr>
            </w:pPr>
            <w:r w:rsidRPr="00CE5562">
              <w:rPr>
                <w:b/>
                <w:szCs w:val="22"/>
              </w:rPr>
              <w:t>Disadvantaged &amp; Low-Income Communities</w:t>
            </w:r>
          </w:p>
          <w:p w14:paraId="4C4EC096" w14:textId="77777777" w:rsidR="00CE5562" w:rsidRPr="00CE5562" w:rsidRDefault="00473ED4" w:rsidP="00FE32C3">
            <w:pPr>
              <w:widowControl w:val="0"/>
              <w:ind w:left="360"/>
              <w:jc w:val="both"/>
              <w:outlineLvl w:val="2"/>
              <w:rPr>
                <w:szCs w:val="22"/>
              </w:rPr>
            </w:pPr>
            <w:r>
              <w:rPr>
                <w:szCs w:val="22"/>
              </w:rPr>
              <w:t>In order to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pPr>
              <w:widowControl w:val="0"/>
              <w:numPr>
                <w:ilvl w:val="0"/>
                <w:numId w:val="50"/>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pPr>
              <w:widowControl w:val="0"/>
              <w:numPr>
                <w:ilvl w:val="0"/>
                <w:numId w:val="50"/>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pPr>
              <w:widowControl w:val="0"/>
              <w:numPr>
                <w:ilvl w:val="0"/>
                <w:numId w:val="50"/>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77777777" w:rsidR="00CE5562" w:rsidRPr="00CE5562" w:rsidDel="004C06FD" w:rsidRDefault="00CE5562">
            <w:pPr>
              <w:widowControl w:val="0"/>
              <w:numPr>
                <w:ilvl w:val="0"/>
                <w:numId w:val="50"/>
              </w:numPr>
              <w:jc w:val="both"/>
              <w:outlineLvl w:val="2"/>
              <w:rPr>
                <w:szCs w:val="22"/>
              </w:rPr>
            </w:pPr>
            <w:r w:rsidRPr="00CE5562">
              <w:rPr>
                <w:szCs w:val="22"/>
              </w:rPr>
              <w:t>Applicants have letters of support from technology partners, community based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FE32C3">
            <w:pPr>
              <w:widowControl w:val="0"/>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3802E0">
      <w:headerReference w:type="default" r:id="rId29"/>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2A78" w14:textId="77777777" w:rsidR="00C60CED" w:rsidRDefault="00C60CED">
      <w:r>
        <w:separator/>
      </w:r>
    </w:p>
  </w:endnote>
  <w:endnote w:type="continuationSeparator" w:id="0">
    <w:p w14:paraId="33B20D21" w14:textId="77777777" w:rsidR="00C60CED" w:rsidRDefault="00C60CED">
      <w:r>
        <w:continuationSeparator/>
      </w:r>
    </w:p>
  </w:endnote>
  <w:endnote w:type="continuationNotice" w:id="1">
    <w:p w14:paraId="52474965" w14:textId="77777777" w:rsidR="00C60CED" w:rsidRDefault="00C60C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C98F" w14:textId="09EB0179" w:rsidR="001641FA" w:rsidRPr="006933C6" w:rsidRDefault="00C11CFC">
    <w:pPr>
      <w:pStyle w:val="Footer"/>
      <w:rPr>
        <w:sz w:val="20"/>
        <w:szCs w:val="18"/>
      </w:rPr>
    </w:pPr>
    <w:r w:rsidRPr="006933C6">
      <w:rPr>
        <w:sz w:val="20"/>
        <w:szCs w:val="18"/>
      </w:rPr>
      <w:t xml:space="preserve">Gas R&amp;D </w:t>
    </w:r>
    <w:r w:rsidR="00A8436A" w:rsidRPr="006933C6">
      <w:rPr>
        <w:sz w:val="20"/>
        <w:szCs w:val="18"/>
      </w:rPr>
      <w:t xml:space="preserve">Template Version </w:t>
    </w:r>
    <w:r w:rsidR="00B96D0B" w:rsidRPr="006933C6">
      <w:rPr>
        <w:sz w:val="20"/>
        <w:szCs w:val="18"/>
      </w:rPr>
      <w:t>Oct</w:t>
    </w:r>
    <w:r w:rsidR="005F6B08" w:rsidRPr="006933C6">
      <w:rPr>
        <w:sz w:val="20"/>
        <w:szCs w:val="18"/>
      </w:rPr>
      <w:t xml:space="preserve"> </w:t>
    </w:r>
    <w:r w:rsidR="00A8436A" w:rsidRPr="006933C6">
      <w:rPr>
        <w:sz w:val="20"/>
        <w:szCs w:val="18"/>
      </w:rPr>
      <w:t>202</w:t>
    </w:r>
    <w:r w:rsidR="006F0CEA" w:rsidRPr="006933C6">
      <w:rPr>
        <w:sz w:val="20"/>
        <w:szCs w:val="18"/>
      </w:rPr>
      <w:t>2</w:t>
    </w:r>
    <w:r w:rsidR="00A8436A" w:rsidRPr="006933C6">
      <w:rPr>
        <w:sz w:val="20"/>
        <w:szCs w:val="18"/>
      </w:rPr>
      <w:t xml:space="preserve"> Q</w:t>
    </w:r>
    <w:r w:rsidR="00B96D0B" w:rsidRPr="006933C6">
      <w:rPr>
        <w:sz w:val="20"/>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7452E2F5" w:rsidR="001641FA" w:rsidRDefault="00C11CFC" w:rsidP="00825DB8">
    <w:pPr>
      <w:tabs>
        <w:tab w:val="left" w:pos="0"/>
        <w:tab w:val="center" w:pos="4680"/>
        <w:tab w:val="right" w:pos="9360"/>
      </w:tabs>
      <w:rPr>
        <w:sz w:val="20"/>
        <w:szCs w:val="16"/>
      </w:rPr>
    </w:pPr>
    <w:r w:rsidRPr="00C11CFC">
      <w:rPr>
        <w:sz w:val="20"/>
        <w:szCs w:val="16"/>
      </w:rPr>
      <w:t>Gas R&amp;D</w:t>
    </w:r>
    <w:r w:rsidR="00A8436A">
      <w:rPr>
        <w:sz w:val="20"/>
        <w:szCs w:val="16"/>
      </w:rPr>
      <w:t xml:space="preserve"> Template Version </w:t>
    </w:r>
    <w:r w:rsidR="00994A47">
      <w:rPr>
        <w:sz w:val="20"/>
        <w:szCs w:val="16"/>
      </w:rPr>
      <w:t>Oct</w:t>
    </w:r>
    <w:r w:rsidR="00A8436A">
      <w:rPr>
        <w:sz w:val="20"/>
        <w:szCs w:val="16"/>
      </w:rPr>
      <w:t xml:space="preserve"> 202</w:t>
    </w:r>
    <w:r w:rsidR="0025173C">
      <w:rPr>
        <w:sz w:val="20"/>
        <w:szCs w:val="16"/>
      </w:rPr>
      <w:t>2</w:t>
    </w:r>
    <w:r w:rsidR="00A8436A">
      <w:rPr>
        <w:sz w:val="20"/>
        <w:szCs w:val="16"/>
      </w:rPr>
      <w:t xml:space="preserve"> Q</w:t>
    </w:r>
    <w:r w:rsidR="00994A47">
      <w:rPr>
        <w:sz w:val="20"/>
        <w:szCs w:val="16"/>
      </w:rPr>
      <w:t>4</w:t>
    </w:r>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1641FA" w:rsidRPr="006933C6">
      <w:rPr>
        <w:sz w:val="20"/>
        <w:szCs w:val="16"/>
      </w:rPr>
      <w:t>GFO-</w:t>
    </w:r>
    <w:r w:rsidR="0009287E" w:rsidRPr="006933C6">
      <w:rPr>
        <w:sz w:val="20"/>
        <w:szCs w:val="16"/>
      </w:rPr>
      <w:t>22-504</w:t>
    </w:r>
  </w:p>
  <w:p w14:paraId="2AD9BBB4" w14:textId="109FF498" w:rsidR="004E6819" w:rsidRPr="006933C6" w:rsidRDefault="004E6819" w:rsidP="00825DB8">
    <w:pPr>
      <w:tabs>
        <w:tab w:val="left" w:pos="0"/>
        <w:tab w:val="center" w:pos="4680"/>
        <w:tab w:val="right" w:pos="9360"/>
      </w:tabs>
      <w:rPr>
        <w:sz w:val="20"/>
        <w:szCs w:val="16"/>
      </w:rPr>
    </w:pPr>
    <w:r>
      <w:rPr>
        <w:sz w:val="20"/>
        <w:szCs w:val="16"/>
      </w:rPr>
      <w:tab/>
    </w:r>
    <w:r>
      <w:rPr>
        <w:sz w:val="20"/>
        <w:szCs w:val="16"/>
      </w:rPr>
      <w:tab/>
      <w:t>HyBLOX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81C8" w14:textId="77777777" w:rsidR="00C60CED" w:rsidRDefault="00C60CED">
      <w:r>
        <w:separator/>
      </w:r>
    </w:p>
  </w:footnote>
  <w:footnote w:type="continuationSeparator" w:id="0">
    <w:p w14:paraId="1EB6D454" w14:textId="77777777" w:rsidR="00C60CED" w:rsidRDefault="00C60CED">
      <w:r>
        <w:continuationSeparator/>
      </w:r>
    </w:p>
  </w:footnote>
  <w:footnote w:type="continuationNotice" w:id="1">
    <w:p w14:paraId="7A8AA0F3" w14:textId="77777777" w:rsidR="00C60CED" w:rsidRDefault="00C60CED">
      <w:pPr>
        <w:spacing w:after="0"/>
      </w:pPr>
    </w:p>
  </w:footnote>
  <w:footnote w:id="2">
    <w:p w14:paraId="329FADC3" w14:textId="77777777" w:rsidR="0009287E" w:rsidRDefault="0009287E" w:rsidP="0009287E">
      <w:pPr>
        <w:pStyle w:val="FootnoteText"/>
      </w:pPr>
      <w:r>
        <w:rPr>
          <w:rStyle w:val="FootnoteReference"/>
        </w:rPr>
        <w:footnoteRef/>
      </w:r>
      <w:r>
        <w:t xml:space="preserve"> </w:t>
      </w:r>
      <w:r w:rsidRPr="002E5A39">
        <w:t>Capstone Green Energy Achieves Goal of 30% Hydrogen Blend-Compatible Products</w:t>
      </w:r>
      <w:r>
        <w:t>. Business Wire</w:t>
      </w:r>
      <w:r w:rsidRPr="002E5A39">
        <w:t xml:space="preserve"> </w:t>
      </w:r>
      <w:hyperlink r:id="rId1" w:history="1">
        <w:r w:rsidRPr="00B46828">
          <w:rPr>
            <w:rStyle w:val="Hyperlink"/>
            <w:rFonts w:cs="Arial"/>
          </w:rPr>
          <w:t>https://www.businesswire.com/news/home/20220329005359/en/Capstone-Green-Energy-Achieves-Goal-of-30-Hydrogen-Blend-Compatible-Products</w:t>
        </w:r>
      </w:hyperlink>
      <w:r>
        <w:t xml:space="preserve"> </w:t>
      </w:r>
    </w:p>
  </w:footnote>
  <w:footnote w:id="3">
    <w:p w14:paraId="09EB5C75" w14:textId="77777777" w:rsidR="0009287E" w:rsidRDefault="0009287E" w:rsidP="0009287E">
      <w:pPr>
        <w:pStyle w:val="FootnoteText"/>
        <w:rPr>
          <w:color w:val="00B050"/>
        </w:rPr>
      </w:pPr>
      <w:r w:rsidRPr="00DE0D6E">
        <w:rPr>
          <w:rStyle w:val="FootnoteReference"/>
        </w:rPr>
        <w:footnoteRef/>
      </w:r>
      <w:r w:rsidRPr="00DE0D6E">
        <w:rPr>
          <w:rStyle w:val="FootnoteReference"/>
        </w:rPr>
        <w:t xml:space="preserve"> </w:t>
      </w:r>
      <w:r w:rsidRPr="00DE0D6E">
        <w:t>2022 Scoping Plan for Achieving Carbon Neutrality. California Air Resources Board. November 16, 2022 (</w:t>
      </w:r>
      <w:hyperlink r:id="rId2" w:history="1">
        <w:r w:rsidRPr="60638909">
          <w:rPr>
            <w:rStyle w:val="Hyperlink"/>
          </w:rPr>
          <w:t>https://ww2.arb.ca.gov/sites/default/files/2022-11/2022-sp.pdf</w:t>
        </w:r>
      </w:hyperlink>
      <w:r w:rsidRPr="00DE0D6E">
        <w:t>)</w:t>
      </w:r>
    </w:p>
  </w:footnote>
  <w:footnote w:id="4">
    <w:p w14:paraId="2546B9D1" w14:textId="77777777" w:rsidR="0009287E" w:rsidRPr="00BE1212" w:rsidRDefault="0009287E" w:rsidP="0009287E">
      <w:pPr>
        <w:pStyle w:val="FootnoteText"/>
        <w:rPr>
          <w:color w:val="00B050"/>
        </w:rPr>
      </w:pPr>
      <w:r w:rsidRPr="00DE0D6E">
        <w:rPr>
          <w:rStyle w:val="FootnoteReference"/>
        </w:rPr>
        <w:footnoteRef/>
      </w:r>
      <w:r w:rsidRPr="00DE0D6E">
        <w:t xml:space="preserve"> California Independent System Operator. Emissions, Today’s Outlook, (</w:t>
      </w:r>
      <w:hyperlink r:id="rId3" w:history="1">
        <w:r w:rsidRPr="00F80A0A">
          <w:rPr>
            <w:rStyle w:val="Hyperlink"/>
          </w:rPr>
          <w:t>https://www.caiso.com/TodaysOutlook/Pages/emissions.aspx</w:t>
        </w:r>
      </w:hyperlink>
      <w:r w:rsidRPr="00DE0D6E">
        <w:rPr>
          <w:rStyle w:val="Hyperlink"/>
          <w:color w:val="auto"/>
        </w:rPr>
        <w:t xml:space="preserve">) </w:t>
      </w:r>
    </w:p>
  </w:footnote>
  <w:footnote w:id="5">
    <w:p w14:paraId="25533B14" w14:textId="77777777" w:rsidR="0009287E" w:rsidRDefault="0009287E" w:rsidP="0009287E">
      <w:pPr>
        <w:pStyle w:val="FootnoteText"/>
      </w:pPr>
      <w:r>
        <w:rPr>
          <w:rStyle w:val="FootnoteReference"/>
        </w:rPr>
        <w:footnoteRef/>
      </w:r>
      <w:r>
        <w:t xml:space="preserve"> </w:t>
      </w:r>
      <w:r w:rsidRPr="004B03BF">
        <w:t>QFER CEC-1304 Power Plant Owner Reporting Database</w:t>
      </w:r>
      <w:r>
        <w:t>. California Energy Commission. (</w:t>
      </w:r>
      <w:hyperlink r:id="rId4" w:history="1">
        <w:r w:rsidRPr="00321130">
          <w:rPr>
            <w:rStyle w:val="Hyperlink"/>
            <w:rFonts w:cs="Arial"/>
          </w:rPr>
          <w:t>https://ww2.energy.ca.gov/almanac/electricity_data/web_qfer/index_cms.php</w:t>
        </w:r>
      </w:hyperlink>
      <w:r>
        <w:t>)</w:t>
      </w:r>
    </w:p>
  </w:footnote>
  <w:footnote w:id="6">
    <w:p w14:paraId="050E31EE" w14:textId="77777777" w:rsidR="0009287E" w:rsidRPr="00BE1212" w:rsidRDefault="0009287E" w:rsidP="0009287E">
      <w:pPr>
        <w:pStyle w:val="FootnoteText"/>
        <w:rPr>
          <w:color w:val="00B050"/>
        </w:rPr>
      </w:pPr>
      <w:r w:rsidRPr="00DE0D6E">
        <w:rPr>
          <w:rStyle w:val="FootnoteReference"/>
        </w:rPr>
        <w:footnoteRef/>
      </w:r>
      <w:r w:rsidRPr="00DE0D6E">
        <w:t xml:space="preserve"> A Comprehensive Assessment of Small Combined Heat and Power Technical and Market Potential in California. (</w:t>
      </w:r>
      <w:hyperlink r:id="rId5" w:history="1">
        <w:r w:rsidRPr="00F80A0A">
          <w:rPr>
            <w:rStyle w:val="Hyperlink"/>
          </w:rPr>
          <w:t>https://www.energy.ca.gov/sites/default/files/2021-06/CEC-500-2019-030.pdf</w:t>
        </w:r>
      </w:hyperlink>
      <w:r w:rsidRPr="00DE0D6E">
        <w:t>)</w:t>
      </w:r>
      <w:r w:rsidRPr="00BE1212">
        <w:rPr>
          <w:color w:val="00B050"/>
        </w:rPr>
        <w:t xml:space="preserve"> </w:t>
      </w:r>
    </w:p>
  </w:footnote>
  <w:footnote w:id="7">
    <w:p w14:paraId="24EC0E8A" w14:textId="77777777" w:rsidR="0009287E" w:rsidRPr="00DE0D6E" w:rsidRDefault="0009287E" w:rsidP="0009287E">
      <w:pPr>
        <w:pStyle w:val="FootnoteText"/>
      </w:pPr>
      <w:r w:rsidRPr="00DE0D6E">
        <w:rPr>
          <w:rStyle w:val="FootnoteReference"/>
        </w:rPr>
        <w:footnoteRef/>
      </w:r>
      <w:r w:rsidRPr="00DE0D6E">
        <w:t xml:space="preserve"> California Air Resources Board. Air District Rules,</w:t>
      </w:r>
      <w:r>
        <w:t xml:space="preserve"> (</w:t>
      </w:r>
      <w:hyperlink r:id="rId6" w:history="1">
        <w:r w:rsidRPr="00DE0D6E">
          <w:rPr>
            <w:rStyle w:val="Hyperlink"/>
          </w:rPr>
          <w:t>https://ww2.arb.ca.gov/air-district-rules</w:t>
        </w:r>
      </w:hyperlink>
      <w:r w:rsidRPr="00DE0D6E">
        <w:t>)</w:t>
      </w:r>
      <w:r w:rsidRPr="00DE0D6E">
        <w:rPr>
          <w:rStyle w:val="Hyperlink"/>
        </w:rPr>
        <w:t xml:space="preserve"> </w:t>
      </w:r>
      <w:r w:rsidRPr="00DE0D6E">
        <w:t xml:space="preserve"> </w:t>
      </w:r>
    </w:p>
  </w:footnote>
  <w:footnote w:id="8">
    <w:p w14:paraId="0EF67A62" w14:textId="77777777" w:rsidR="0009287E" w:rsidRPr="00DE0D6E" w:rsidRDefault="0009287E" w:rsidP="0009287E">
      <w:pPr>
        <w:pStyle w:val="FootnoteText"/>
      </w:pPr>
      <w:r w:rsidRPr="00DE0D6E">
        <w:rPr>
          <w:rStyle w:val="FootnoteReference"/>
        </w:rPr>
        <w:footnoteRef/>
      </w:r>
      <w:r w:rsidRPr="00DE0D6E">
        <w:t xml:space="preserve"> U.S. Department of Energy. 2020. Hydrogen Program Plan. (</w:t>
      </w:r>
      <w:hyperlink r:id="rId7" w:history="1">
        <w:r w:rsidRPr="00DE0D6E">
          <w:rPr>
            <w:rStyle w:val="Hyperlink"/>
          </w:rPr>
          <w:t xml:space="preserve">https://www.hydrogen.energy.gov/pdfs/hydrogen-program-plan-2020.pdf </w:t>
        </w:r>
      </w:hyperlink>
      <w:r w:rsidRPr="00DE0D6E">
        <w:t>)</w:t>
      </w:r>
    </w:p>
  </w:footnote>
  <w:footnote w:id="9">
    <w:p w14:paraId="310C7E58" w14:textId="77777777" w:rsidR="0009287E" w:rsidRDefault="0009287E" w:rsidP="0009287E">
      <w:pPr>
        <w:pStyle w:val="FootnoteText"/>
      </w:pPr>
      <w:r>
        <w:rPr>
          <w:rStyle w:val="FootnoteReference"/>
        </w:rPr>
        <w:footnoteRef/>
      </w:r>
      <w:r>
        <w:t xml:space="preserve"> Partially premixed combustion occurs when fuel and oxidizer enter the combustion chamber separately and are partially mixed by turbulence before the mixture is ignited.</w:t>
      </w:r>
    </w:p>
  </w:footnote>
  <w:footnote w:id="10">
    <w:p w14:paraId="4757C997" w14:textId="77777777" w:rsidR="0009287E" w:rsidRPr="00DE0D6E" w:rsidRDefault="0009287E" w:rsidP="0009287E">
      <w:pPr>
        <w:pStyle w:val="FootnoteText"/>
      </w:pPr>
      <w:r w:rsidRPr="00DE0D6E">
        <w:rPr>
          <w:rStyle w:val="FootnoteReference"/>
        </w:rPr>
        <w:footnoteRef/>
      </w:r>
      <w:r w:rsidRPr="00DE0D6E">
        <w:t xml:space="preserve"> Impact of Hydrogen/Natural Gas Blends on Partially Premixed Combustion Equipment: NOx Emission and Operational Performance. Gas Technology Institute. (</w:t>
      </w:r>
      <w:hyperlink r:id="rId8" w:history="1">
        <w:r w:rsidRPr="00DE0D6E">
          <w:rPr>
            <w:rStyle w:val="Hyperlink"/>
          </w:rPr>
          <w:t>https://www.mdpi.com/1996-1073/15/5/1706/htm</w:t>
        </w:r>
      </w:hyperlink>
      <w:r w:rsidRPr="00DE0D6E">
        <w:t xml:space="preserve">)  </w:t>
      </w:r>
    </w:p>
  </w:footnote>
  <w:footnote w:id="11">
    <w:p w14:paraId="0DDD749C" w14:textId="77777777" w:rsidR="0009287E" w:rsidRPr="00DE0D6E" w:rsidRDefault="0009287E" w:rsidP="0009287E">
      <w:pPr>
        <w:pStyle w:val="FootnoteText"/>
      </w:pPr>
      <w:r w:rsidRPr="00DE0D6E">
        <w:rPr>
          <w:rStyle w:val="FootnoteReference"/>
        </w:rPr>
        <w:footnoteRef/>
      </w:r>
      <w:r w:rsidRPr="00DE0D6E">
        <w:t xml:space="preserve"> Hydrogen as a fuel for gas turbines. GE. (</w:t>
      </w:r>
      <w:hyperlink r:id="rId9" w:history="1">
        <w:r w:rsidRPr="00DE0D6E">
          <w:rPr>
            <w:rStyle w:val="Hyperlink"/>
          </w:rPr>
          <w:t>https://www.ge.com/content/dam/gepower-new/global/en_US/downloads/gas-new-site/future-of-energy/hydrogen-fuel-for-gas-turbines-gea34979.pdf</w:t>
        </w:r>
      </w:hyperlink>
      <w:r w:rsidRPr="00DE0D6E">
        <w:t>), p. 5.</w:t>
      </w:r>
    </w:p>
  </w:footnote>
  <w:footnote w:id="12">
    <w:p w14:paraId="03CF347B" w14:textId="77777777" w:rsidR="0009287E" w:rsidRPr="00DE0D6E" w:rsidRDefault="0009287E" w:rsidP="0009287E">
      <w:pPr>
        <w:pStyle w:val="FootnoteText"/>
      </w:pPr>
      <w:r w:rsidRPr="00DE0D6E">
        <w:rPr>
          <w:rStyle w:val="FootnoteReference"/>
        </w:rPr>
        <w:footnoteRef/>
      </w:r>
      <w:r w:rsidRPr="00DE0D6E">
        <w:t xml:space="preserve"> Smutzer, C., 2006. Application of Hydrogen Assisted Lean Operation to Natural Gas-Fueled Reciprocating Engines (HALO). Tiax LLC.</w:t>
      </w:r>
    </w:p>
  </w:footnote>
  <w:footnote w:id="13">
    <w:p w14:paraId="3F1D01D0" w14:textId="77777777" w:rsidR="0009287E" w:rsidRPr="00DE0D6E" w:rsidRDefault="0009287E" w:rsidP="0009287E">
      <w:pPr>
        <w:pStyle w:val="FootnoteText"/>
      </w:pPr>
      <w:r w:rsidRPr="00DE0D6E">
        <w:rPr>
          <w:rStyle w:val="FootnoteReference"/>
        </w:rPr>
        <w:footnoteRef/>
      </w:r>
      <w:r w:rsidRPr="00DE0D6E">
        <w:t xml:space="preserve"> Chapman, K.S. and Patil, A., 2007. Performance, Efficiency, and Emissions Characterization of Reciprocating Internal Combustion Engines Fueled with Hydrogen/Natural Gas Blends. Kansas State Univ., Manhattan, KS (United States).</w:t>
      </w:r>
    </w:p>
  </w:footnote>
  <w:footnote w:id="14">
    <w:p w14:paraId="5B9F3FE1" w14:textId="77777777" w:rsidR="0009287E" w:rsidRPr="00DE0D6E" w:rsidRDefault="0009287E" w:rsidP="0009287E">
      <w:pPr>
        <w:pStyle w:val="FootnoteText"/>
      </w:pPr>
      <w:r w:rsidRPr="00DE0D6E">
        <w:rPr>
          <w:rStyle w:val="FootnoteReference"/>
        </w:rPr>
        <w:footnoteRef/>
      </w:r>
      <w:r w:rsidRPr="00DE0D6E">
        <w:t xml:space="preserve"> Montgomery County Power Station Enters Commercial Operation with Mitsubishi Power Technology, Enabling Cleaner Energy Today. Mitsubishi Power Americas. (</w:t>
      </w:r>
      <w:hyperlink r:id="rId10" w:history="1">
        <w:r w:rsidRPr="00DE0D6E">
          <w:rPr>
            <w:rStyle w:val="Hyperlink"/>
          </w:rPr>
          <w:t>https://power.mhi.com/regions/amer/news/20210121.html?utm_source=amerweb&amp;utm_medium=release&amp;utm_campaign=Bakken</w:t>
        </w:r>
      </w:hyperlink>
      <w:r w:rsidRPr="00DE0D6E">
        <w:t>)</w:t>
      </w:r>
    </w:p>
  </w:footnote>
  <w:footnote w:id="15">
    <w:p w14:paraId="076293B7" w14:textId="77777777" w:rsidR="0009287E" w:rsidRPr="00DE0D6E" w:rsidRDefault="0009287E" w:rsidP="0009287E">
      <w:pPr>
        <w:pStyle w:val="FootnoteText"/>
      </w:pPr>
      <w:r w:rsidRPr="00DE0D6E">
        <w:rPr>
          <w:rStyle w:val="FootnoteReference"/>
        </w:rPr>
        <w:footnoteRef/>
      </w:r>
      <w:r w:rsidRPr="00DE0D6E">
        <w:t xml:space="preserve"> Siemens Energy to provide hydrogen-capable turbines to back up utility-scale solar installation in Nebraska. Siemens Energy. (</w:t>
      </w:r>
      <w:hyperlink r:id="rId11" w:history="1">
        <w:r w:rsidRPr="00DE0D6E">
          <w:rPr>
            <w:rStyle w:val="Hyperlink"/>
          </w:rPr>
          <w:t>https://press.siemens-energy.com/global/en/pressrelease/siemens-energy-provide-hydrogen-capable-turbines-back-utility-scale-solar-installation</w:t>
        </w:r>
      </w:hyperlink>
      <w:r w:rsidRPr="00DE0D6E">
        <w:t>)</w:t>
      </w:r>
    </w:p>
  </w:footnote>
  <w:footnote w:id="16">
    <w:p w14:paraId="6BC97DBD" w14:textId="77777777" w:rsidR="0009287E" w:rsidRPr="00DE0D6E" w:rsidRDefault="0009287E" w:rsidP="0009287E">
      <w:pPr>
        <w:pStyle w:val="FootnoteText"/>
      </w:pPr>
      <w:r w:rsidRPr="00DE0D6E">
        <w:rPr>
          <w:rStyle w:val="FootnoteReference"/>
        </w:rPr>
        <w:footnoteRef/>
      </w:r>
      <w:r w:rsidRPr="00DE0D6E">
        <w:t xml:space="preserve"> The Road to Zero: New York Power Plant Teams with GE On ‘Green Hydrogen’ Demonstration Project. GE. (</w:t>
      </w:r>
      <w:hyperlink r:id="rId12" w:history="1">
        <w:r w:rsidRPr="00DE0D6E">
          <w:rPr>
            <w:rStyle w:val="Hyperlink"/>
          </w:rPr>
          <w:t>https://www.ge.com/news/reports/the-road-to-zero-new-york-power-plant-teams-with-ge-on-green-hydrogen-demonstration-project</w:t>
        </w:r>
      </w:hyperlink>
      <w:r w:rsidRPr="00DE0D6E">
        <w:t>)</w:t>
      </w:r>
    </w:p>
  </w:footnote>
  <w:footnote w:id="17">
    <w:p w14:paraId="32F9A1BA" w14:textId="77777777" w:rsidR="0009287E" w:rsidRPr="00BE1212" w:rsidRDefault="0009287E" w:rsidP="0009287E">
      <w:pPr>
        <w:pStyle w:val="FootnoteText"/>
        <w:rPr>
          <w:color w:val="00B050"/>
        </w:rPr>
      </w:pPr>
      <w:r w:rsidRPr="00DE0D6E">
        <w:rPr>
          <w:rStyle w:val="FootnoteReference"/>
        </w:rPr>
        <w:footnoteRef/>
      </w:r>
      <w:r w:rsidRPr="00DE0D6E">
        <w:t xml:space="preserve"> Project Selections: University Turbines Systems Research (UTSR) - Focus on Hydrogen (H2) Fuels. USEPA. (</w:t>
      </w:r>
      <w:hyperlink r:id="rId13" w:history="1">
        <w:r w:rsidRPr="00F80A0A">
          <w:rPr>
            <w:rStyle w:val="Hyperlink"/>
          </w:rPr>
          <w:t>https://www.energy.gov/fecm/articles/project-selections-university-turbines-systems-research-utsr-focus-hydrogen-h2-fuels</w:t>
        </w:r>
      </w:hyperlink>
      <w:r w:rsidRPr="00DE0D6E">
        <w:t>)</w:t>
      </w:r>
    </w:p>
  </w:footnote>
  <w:footnote w:id="18">
    <w:p w14:paraId="2DBE1F08" w14:textId="77777777" w:rsidR="0009287E" w:rsidRPr="00DE0D6E" w:rsidRDefault="0009287E" w:rsidP="0009287E">
      <w:pPr>
        <w:pStyle w:val="FootnoteText"/>
      </w:pPr>
      <w:r w:rsidRPr="00DE0D6E">
        <w:rPr>
          <w:rStyle w:val="FootnoteReference"/>
        </w:rPr>
        <w:footnoteRef/>
      </w:r>
      <w:r w:rsidRPr="00DE0D6E">
        <w:t xml:space="preserve"> U.S. Department of Energy Selects 12 Projects to Improve Fossil-Based Hydrogen Production, Transport, Storage and Utilization. USDOE. (</w:t>
      </w:r>
      <w:hyperlink r:id="rId14" w:history="1">
        <w:r w:rsidRPr="00DE0D6E">
          <w:rPr>
            <w:rStyle w:val="Hyperlink"/>
          </w:rPr>
          <w:t>https://www.energy.gov/fecm/articles/us-department-energy-selects-12-projects-improve-fossil-based-hydrogen-production</w:t>
        </w:r>
      </w:hyperlink>
      <w:r w:rsidRPr="00DE0D6E">
        <w:t xml:space="preserve">) </w:t>
      </w:r>
    </w:p>
  </w:footnote>
  <w:footnote w:id="19">
    <w:p w14:paraId="71B9542A" w14:textId="77777777" w:rsidR="0009287E" w:rsidRPr="00DE0D6E" w:rsidRDefault="0009287E" w:rsidP="0009287E">
      <w:pPr>
        <w:pStyle w:val="FootnoteText"/>
      </w:pPr>
      <w:r w:rsidRPr="00DE0D6E">
        <w:rPr>
          <w:rStyle w:val="FootnoteReference"/>
        </w:rPr>
        <w:footnoteRef/>
      </w:r>
      <w:r w:rsidRPr="00DE0D6E">
        <w:t xml:space="preserve"> DOE Announces Nearly $25 Million to Study Advanced Clean Hydrogen Technologies for Electricity Generation. (</w:t>
      </w:r>
      <w:hyperlink r:id="rId15" w:history="1">
        <w:r w:rsidRPr="00F80A0A">
          <w:rPr>
            <w:rStyle w:val="Hyperlink"/>
            <w:rFonts w:cs="Arial"/>
          </w:rPr>
          <w:t>https://www.energy.gov/articles/doe-announces-nearly-25-million-study-advanced-clean-hydrogen-technologies-electricity</w:t>
        </w:r>
      </w:hyperlink>
      <w:r w:rsidRPr="00DE0D6E">
        <w:t>)</w:t>
      </w:r>
    </w:p>
  </w:footnote>
  <w:footnote w:id="20">
    <w:p w14:paraId="6DDEBC6D" w14:textId="77777777" w:rsidR="0009287E" w:rsidRPr="00DE0D6E" w:rsidRDefault="0009287E" w:rsidP="0009287E">
      <w:pPr>
        <w:pStyle w:val="FootnoteText"/>
      </w:pPr>
      <w:r w:rsidRPr="00DE0D6E">
        <w:rPr>
          <w:rStyle w:val="FootnoteReference"/>
        </w:rPr>
        <w:footnoteRef/>
      </w:r>
      <w:r w:rsidRPr="00DE0D6E">
        <w:t xml:space="preserve"> GFO-21-503 - Examining the Effects of Hydrogen in End-Use Appliances for Large Commercial Buildings and Industrial Applications. CEC. </w:t>
      </w:r>
      <w:r>
        <w:t>(</w:t>
      </w:r>
      <w:hyperlink r:id="rId16" w:history="1">
        <w:r w:rsidRPr="00F80A0A">
          <w:rPr>
            <w:rStyle w:val="Hyperlink"/>
            <w:rFonts w:cs="Arial"/>
          </w:rPr>
          <w:t>https://www.energy.ca.gov/sites/default/files/2022-04/GFO-21-503_NOPA_Cover_Letter_2022-04-08_ada.docx</w:t>
        </w:r>
      </w:hyperlink>
      <w:r>
        <w:t>)</w:t>
      </w:r>
    </w:p>
  </w:footnote>
  <w:footnote w:id="21">
    <w:p w14:paraId="14EF9477" w14:textId="77777777" w:rsidR="0009287E" w:rsidRPr="00DE0D6E" w:rsidRDefault="0009287E" w:rsidP="0009287E">
      <w:pPr>
        <w:pStyle w:val="FootnoteText"/>
      </w:pPr>
      <w:r w:rsidRPr="00DE0D6E">
        <w:rPr>
          <w:rStyle w:val="FootnoteReference"/>
        </w:rPr>
        <w:footnoteRef/>
      </w:r>
      <w:r w:rsidRPr="00DE0D6E">
        <w:t xml:space="preserve"> GFO-21-507 - Targeted Hydrogen Blending in Existing Gas Network for Decarbonization. CEC. </w:t>
      </w:r>
      <w:r>
        <w:t>(</w:t>
      </w:r>
      <w:hyperlink r:id="rId17" w:history="1">
        <w:r w:rsidRPr="00F80A0A">
          <w:rPr>
            <w:rStyle w:val="Hyperlink"/>
            <w:rFonts w:cs="Arial"/>
          </w:rPr>
          <w:t>https://www.energy.ca.gov/sites/default/files/2022-06/GFO-21-507_NOPA_Cover_Letter_ADA.docx</w:t>
        </w:r>
      </w:hyperlink>
      <w:r>
        <w:t xml:space="preserve">) </w:t>
      </w:r>
    </w:p>
  </w:footnote>
  <w:footnote w:id="22">
    <w:p w14:paraId="4E55F636" w14:textId="7824442B" w:rsidR="00D57518" w:rsidRPr="00510604" w:rsidRDefault="00D57518">
      <w:pPr>
        <w:pStyle w:val="FootnoteText"/>
        <w:rPr>
          <w:b/>
          <w:bCs/>
          <w:u w:val="single"/>
        </w:rPr>
      </w:pPr>
      <w:r w:rsidRPr="00510604">
        <w:rPr>
          <w:rStyle w:val="FootnoteReference"/>
          <w:b/>
          <w:bCs/>
          <w:u w:val="single"/>
        </w:rPr>
        <w:footnoteRef/>
      </w:r>
      <w:r w:rsidR="68F2BD07" w:rsidRPr="00510604">
        <w:rPr>
          <w:b/>
          <w:bCs/>
          <w:u w:val="single"/>
        </w:rPr>
        <w:t xml:space="preserve"> Pursuant to this solicitation, these exempted systems generally include microturbines up to 250 kW and engines less than 37 kW. For </w:t>
      </w:r>
      <w:r w:rsidR="68F2BD07" w:rsidRPr="68F2BD07">
        <w:rPr>
          <w:b/>
          <w:bCs/>
          <w:u w:val="single"/>
        </w:rPr>
        <w:t>reference,</w:t>
      </w:r>
      <w:r w:rsidR="68F2BD07" w:rsidRPr="00510604">
        <w:rPr>
          <w:b/>
          <w:bCs/>
          <w:u w:val="single"/>
        </w:rPr>
        <w:t xml:space="preserve"> please see CARB’s Distributed Generation Certification Program</w:t>
      </w:r>
      <w:r w:rsidR="68F2BD07" w:rsidRPr="68F2BD07">
        <w:rPr>
          <w:b/>
          <w:bCs/>
          <w:u w:val="single"/>
        </w:rPr>
        <w:t>:</w:t>
      </w:r>
      <w:r w:rsidR="68F2BD07" w:rsidRPr="00510604">
        <w:rPr>
          <w:b/>
          <w:bCs/>
          <w:u w:val="single"/>
        </w:rPr>
        <w:t xml:space="preserve"> </w:t>
      </w:r>
      <w:hyperlink r:id="rId18" w:history="1">
        <w:r w:rsidR="68F2BD07" w:rsidRPr="00510604">
          <w:rPr>
            <w:rStyle w:val="Hyperlink"/>
            <w:rFonts w:cs="Arial"/>
            <w:b/>
            <w:bCs/>
          </w:rPr>
          <w:t>https://ww2.arb.ca.gov/our-work/programs/dgcert/about</w:t>
        </w:r>
      </w:hyperlink>
      <w:r w:rsidR="68F2BD07" w:rsidRPr="68F2BD07">
        <w:rPr>
          <w:b/>
          <w:bCs/>
          <w:u w:val="single"/>
        </w:rPr>
        <w:t>.</w:t>
      </w:r>
    </w:p>
  </w:footnote>
  <w:footnote w:id="23">
    <w:p w14:paraId="3360EDAD" w14:textId="77777777" w:rsidR="00BE1118" w:rsidRPr="00A75C11" w:rsidRDefault="00BE1118" w:rsidP="00BE1118">
      <w:pPr>
        <w:pStyle w:val="FootnoteText"/>
        <w:rPr>
          <w:rFonts w:ascii="Calibri" w:eastAsia="Calibri" w:hAnsi="Calibri" w:cs="Calibri"/>
        </w:rPr>
      </w:pPr>
      <w:r w:rsidRPr="00A75C11">
        <w:rPr>
          <w:rStyle w:val="FootnoteReference"/>
        </w:rPr>
        <w:footnoteRef/>
      </w:r>
      <w:r w:rsidRPr="00A75C11">
        <w:t xml:space="preserve"> </w:t>
      </w:r>
      <w:r w:rsidRPr="00A75C11">
        <w:rPr>
          <w:rFonts w:ascii="Calibri" w:eastAsia="Calibri" w:hAnsi="Calibri" w:cs="Calibri"/>
        </w:rPr>
        <w:t>U.S. Department of Energy. Hydrogen Shot. USDOE. (</w:t>
      </w:r>
      <w:hyperlink r:id="rId19" w:history="1">
        <w:r w:rsidRPr="00A75C11">
          <w:rPr>
            <w:rStyle w:val="Hyperlink"/>
            <w:rFonts w:ascii="Calibri" w:eastAsia="Calibri" w:hAnsi="Calibri" w:cs="Calibri"/>
            <w:color w:val="auto"/>
          </w:rPr>
          <w:t>https://www.energy.gov/eere/fuelcells/hydrogen-shot</w:t>
        </w:r>
      </w:hyperlink>
      <w:r w:rsidRPr="00A75C11">
        <w:rPr>
          <w:rFonts w:ascii="Calibri" w:eastAsia="Calibri" w:hAnsi="Calibri" w:cs="Calibri"/>
        </w:rPr>
        <w:t>)</w:t>
      </w:r>
    </w:p>
  </w:footnote>
  <w:footnote w:id="24">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25">
    <w:p w14:paraId="66AE8602" w14:textId="77777777" w:rsidR="00BE1118" w:rsidRDefault="00BE1118"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26">
    <w:p w14:paraId="13CF84D5" w14:textId="77777777"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p>
  </w:footnote>
  <w:footnote w:id="27">
    <w:p w14:paraId="6FFBBEEC" w14:textId="5B045B04"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r>
        <w:t>.</w:t>
      </w:r>
    </w:p>
  </w:footnote>
  <w:footnote w:id="28">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29">
    <w:p w14:paraId="53BFD82C" w14:textId="77777777" w:rsidR="00BE1118" w:rsidRPr="007372BE" w:rsidRDefault="00BE1118" w:rsidP="00BE1118">
      <w:pPr>
        <w:pStyle w:val="FootnoteText"/>
      </w:pPr>
      <w:r w:rsidRPr="007372BE">
        <w:rPr>
          <w:rStyle w:val="FootnoteReference"/>
        </w:rPr>
        <w:footnoteRef/>
      </w:r>
      <w:r w:rsidRPr="007372BE">
        <w:t xml:space="preserve"> 2021. </w:t>
      </w:r>
      <w:r w:rsidRPr="007372BE">
        <w:rPr>
          <w:i/>
        </w:rPr>
        <w:t>The Gas Research Development and Demonstration Program: Proposed Program Plan and Funding Request for Fiscal Year 2021-22</w:t>
      </w:r>
      <w:r w:rsidRPr="007372BE">
        <w:t xml:space="preserve">. California Energy Commission. Natural Gas Research and Development Program, Proposed Budget Plan for Fiscal Year 2021-22 | California Energy Commission </w:t>
      </w:r>
      <w:hyperlink r:id="rId20" w:history="1">
        <w:r w:rsidRPr="007372BE">
          <w:rPr>
            <w:rStyle w:val="Hyperlink"/>
            <w:color w:val="auto"/>
          </w:rPr>
          <w:t>https://www.energy.ca.gov/publications/2021/natural-gas-research-and-development-program-proposed-budget-plan-fiscal-year</w:t>
        </w:r>
      </w:hyperlink>
      <w:r w:rsidRPr="007372BE">
        <w:t xml:space="preserve"> </w:t>
      </w:r>
    </w:p>
  </w:footnote>
  <w:footnote w:id="30">
    <w:p w14:paraId="01D4E33C" w14:textId="77777777" w:rsidR="00BE1118" w:rsidRPr="007372BE" w:rsidRDefault="00BE1118" w:rsidP="00BE1118">
      <w:pPr>
        <w:pStyle w:val="FootnoteText"/>
      </w:pPr>
      <w:r w:rsidRPr="007372BE">
        <w:rPr>
          <w:rStyle w:val="FootnoteReference"/>
        </w:rPr>
        <w:footnoteRef/>
      </w:r>
      <w:r w:rsidRPr="007372BE">
        <w:t xml:space="preserve">  2022. </w:t>
      </w:r>
      <w:r w:rsidRPr="007372BE">
        <w:rPr>
          <w:i/>
        </w:rPr>
        <w:t>The Gas Research Development and Demonstration Program: Proposed Program Plan and Funding Request for Fiscal Year 2022-23</w:t>
      </w:r>
      <w:r w:rsidRPr="007372BE">
        <w:t xml:space="preserve">. California Energy Commission. Natural Gas Research and Development Program, Proposed Budget Plan for Fiscal Year 2022-23 | California Energy Commission </w:t>
      </w:r>
      <w:hyperlink r:id="rId21" w:history="1">
        <w:r w:rsidRPr="007372BE">
          <w:rPr>
            <w:rStyle w:val="Hyperlink"/>
            <w:color w:val="auto"/>
          </w:rPr>
          <w:t>https://www.energy.ca.gov/publications/2022/gas-research-and-development-program-proposed-budget-plan-fiscal-year-2022-23</w:t>
        </w:r>
      </w:hyperlink>
      <w:r w:rsidRPr="007372BE">
        <w:t xml:space="preserve"> </w:t>
      </w:r>
    </w:p>
  </w:footnote>
  <w:footnote w:id="31">
    <w:p w14:paraId="6C1EDA38" w14:textId="77777777" w:rsidR="001641FA" w:rsidRDefault="001641FA" w:rsidP="00BA3BBD">
      <w:pPr>
        <w:pStyle w:val="FootnoteText"/>
      </w:pPr>
      <w:r>
        <w:rPr>
          <w:rStyle w:val="FootnoteReference"/>
        </w:rPr>
        <w:footnoteRef/>
      </w:r>
      <w:r>
        <w:t xml:space="preserve"> AB 32 (Statutes of 2006, chapter 488)</w:t>
      </w:r>
    </w:p>
  </w:footnote>
  <w:footnote w:id="32">
    <w:p w14:paraId="7A88A5B5" w14:textId="77777777" w:rsidR="00BE1118" w:rsidRPr="007372BE" w:rsidRDefault="00BE1118" w:rsidP="00BE1118">
      <w:pPr>
        <w:pStyle w:val="FootnoteText"/>
      </w:pPr>
      <w:r w:rsidRPr="007372BE">
        <w:rPr>
          <w:rStyle w:val="FootnoteReference"/>
        </w:rPr>
        <w:footnoteRef/>
      </w:r>
      <w:r w:rsidRPr="007372BE">
        <w:t xml:space="preserve"> SB 100 (Statutes of 2018, chapter 312)</w:t>
      </w:r>
    </w:p>
  </w:footnote>
  <w:footnote w:id="33">
    <w:p w14:paraId="204D9ED4" w14:textId="77777777" w:rsidR="001641FA" w:rsidRPr="007372BE" w:rsidRDefault="001641FA" w:rsidP="00BA3BBD">
      <w:pPr>
        <w:pStyle w:val="FootnoteText"/>
      </w:pPr>
      <w:r w:rsidRPr="007372BE">
        <w:rPr>
          <w:rStyle w:val="FootnoteReference"/>
        </w:rPr>
        <w:footnoteRef/>
      </w:r>
      <w:r w:rsidRPr="007372BE">
        <w:t xml:space="preserve"> SB 350 (Statutes of 2015, chapter 547</w:t>
      </w:r>
    </w:p>
  </w:footnote>
  <w:footnote w:id="34">
    <w:p w14:paraId="5D83FA2C" w14:textId="77777777" w:rsidR="00BE1118" w:rsidRPr="007372BE" w:rsidRDefault="00BE1118" w:rsidP="00BE1118">
      <w:pPr>
        <w:pStyle w:val="FootnoteText"/>
      </w:pPr>
      <w:r w:rsidRPr="007372BE">
        <w:footnoteRef/>
      </w:r>
      <w:r w:rsidRPr="007372BE">
        <w:t xml:space="preserve"> SB 1075 (Statutes of 2022, chapter 363)</w:t>
      </w:r>
    </w:p>
  </w:footnote>
  <w:footnote w:id="35">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3"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4"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0A94"/>
    <w:multiLevelType w:val="hybridMultilevel"/>
    <w:tmpl w:val="12940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54AA0"/>
    <w:multiLevelType w:val="hybridMultilevel"/>
    <w:tmpl w:val="101C8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15:restartNumberingAfterBreak="0">
    <w:nsid w:val="2F9A5E17"/>
    <w:multiLevelType w:val="hybridMultilevel"/>
    <w:tmpl w:val="A6BE6D3A"/>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24"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3422C50C"/>
    <w:multiLevelType w:val="hybridMultilevel"/>
    <w:tmpl w:val="2A72CD36"/>
    <w:lvl w:ilvl="0" w:tplc="33BE6F50">
      <w:start w:val="1"/>
      <w:numFmt w:val="bullet"/>
      <w:lvlText w:val=""/>
      <w:lvlJc w:val="left"/>
      <w:pPr>
        <w:ind w:left="720" w:hanging="360"/>
      </w:pPr>
      <w:rPr>
        <w:rFonts w:ascii="Symbol" w:hAnsi="Symbol" w:hint="default"/>
      </w:rPr>
    </w:lvl>
    <w:lvl w:ilvl="1" w:tplc="C46E49E6">
      <w:start w:val="1"/>
      <w:numFmt w:val="bullet"/>
      <w:lvlText w:val="o"/>
      <w:lvlJc w:val="left"/>
      <w:pPr>
        <w:ind w:left="1440" w:hanging="360"/>
      </w:pPr>
      <w:rPr>
        <w:rFonts w:ascii="Courier New" w:hAnsi="Courier New" w:cs="Times New Roman" w:hint="default"/>
      </w:rPr>
    </w:lvl>
    <w:lvl w:ilvl="2" w:tplc="6726A470">
      <w:start w:val="1"/>
      <w:numFmt w:val="bullet"/>
      <w:lvlText w:val=""/>
      <w:lvlJc w:val="left"/>
      <w:pPr>
        <w:ind w:left="2160" w:hanging="360"/>
      </w:pPr>
      <w:rPr>
        <w:rFonts w:ascii="Wingdings" w:hAnsi="Wingdings" w:hint="default"/>
      </w:rPr>
    </w:lvl>
    <w:lvl w:ilvl="3" w:tplc="E49490EA">
      <w:start w:val="1"/>
      <w:numFmt w:val="bullet"/>
      <w:lvlText w:val=""/>
      <w:lvlJc w:val="left"/>
      <w:pPr>
        <w:ind w:left="2880" w:hanging="360"/>
      </w:pPr>
      <w:rPr>
        <w:rFonts w:ascii="Symbol" w:hAnsi="Symbol" w:hint="default"/>
      </w:rPr>
    </w:lvl>
    <w:lvl w:ilvl="4" w:tplc="F0742E94">
      <w:start w:val="1"/>
      <w:numFmt w:val="bullet"/>
      <w:lvlText w:val="o"/>
      <w:lvlJc w:val="left"/>
      <w:pPr>
        <w:ind w:left="3600" w:hanging="360"/>
      </w:pPr>
      <w:rPr>
        <w:rFonts w:ascii="Courier New" w:hAnsi="Courier New" w:cs="Times New Roman" w:hint="default"/>
      </w:rPr>
    </w:lvl>
    <w:lvl w:ilvl="5" w:tplc="330EF1BC">
      <w:start w:val="1"/>
      <w:numFmt w:val="bullet"/>
      <w:lvlText w:val=""/>
      <w:lvlJc w:val="left"/>
      <w:pPr>
        <w:ind w:left="4320" w:hanging="360"/>
      </w:pPr>
      <w:rPr>
        <w:rFonts w:ascii="Wingdings" w:hAnsi="Wingdings" w:hint="default"/>
      </w:rPr>
    </w:lvl>
    <w:lvl w:ilvl="6" w:tplc="59965182">
      <w:start w:val="1"/>
      <w:numFmt w:val="bullet"/>
      <w:lvlText w:val=""/>
      <w:lvlJc w:val="left"/>
      <w:pPr>
        <w:ind w:left="5040" w:hanging="360"/>
      </w:pPr>
      <w:rPr>
        <w:rFonts w:ascii="Symbol" w:hAnsi="Symbol" w:hint="default"/>
      </w:rPr>
    </w:lvl>
    <w:lvl w:ilvl="7" w:tplc="65723752">
      <w:start w:val="1"/>
      <w:numFmt w:val="bullet"/>
      <w:lvlText w:val="o"/>
      <w:lvlJc w:val="left"/>
      <w:pPr>
        <w:ind w:left="5760" w:hanging="360"/>
      </w:pPr>
      <w:rPr>
        <w:rFonts w:ascii="Courier New" w:hAnsi="Courier New" w:cs="Times New Roman" w:hint="default"/>
      </w:rPr>
    </w:lvl>
    <w:lvl w:ilvl="8" w:tplc="9BD847AA">
      <w:start w:val="1"/>
      <w:numFmt w:val="bullet"/>
      <w:lvlText w:val=""/>
      <w:lvlJc w:val="left"/>
      <w:pPr>
        <w:ind w:left="6480" w:hanging="360"/>
      </w:pPr>
      <w:rPr>
        <w:rFonts w:ascii="Wingdings" w:hAnsi="Wingdings" w:hint="default"/>
      </w:rPr>
    </w:lvl>
  </w:abstractNum>
  <w:abstractNum w:abstractNumId="26" w15:restartNumberingAfterBreak="0">
    <w:nsid w:val="35844963"/>
    <w:multiLevelType w:val="hybridMultilevel"/>
    <w:tmpl w:val="BD9C8328"/>
    <w:lvl w:ilvl="0" w:tplc="004E1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2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5C23A1"/>
    <w:multiLevelType w:val="hybridMultilevel"/>
    <w:tmpl w:val="10DAFEB4"/>
    <w:lvl w:ilvl="0" w:tplc="FFFFFFF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B9F7A63"/>
    <w:multiLevelType w:val="hybridMultilevel"/>
    <w:tmpl w:val="4E56CED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31" w15:restartNumberingAfterBreak="0">
    <w:nsid w:val="3E2A14A0"/>
    <w:multiLevelType w:val="hybridMultilevel"/>
    <w:tmpl w:val="E97CF3BC"/>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0D9674C"/>
    <w:multiLevelType w:val="hybridMultilevel"/>
    <w:tmpl w:val="525CE9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76E3E"/>
    <w:multiLevelType w:val="hybridMultilevel"/>
    <w:tmpl w:val="01DEF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932403"/>
    <w:multiLevelType w:val="hybridMultilevel"/>
    <w:tmpl w:val="3F3C5F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8435585"/>
    <w:multiLevelType w:val="hybridMultilevel"/>
    <w:tmpl w:val="521C8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DD24CD"/>
    <w:multiLevelType w:val="hybridMultilevel"/>
    <w:tmpl w:val="2A60F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50"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55"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CA31D5"/>
    <w:multiLevelType w:val="hybridMultilevel"/>
    <w:tmpl w:val="FB2EDF4C"/>
    <w:lvl w:ilvl="0" w:tplc="B64617E0">
      <w:start w:val="1"/>
      <w:numFmt w:val="decimal"/>
      <w:lvlText w:val="%1."/>
      <w:lvlJc w:val="left"/>
      <w:pPr>
        <w:tabs>
          <w:tab w:val="num" w:pos="720"/>
        </w:tabs>
        <w:ind w:left="720" w:hanging="720"/>
      </w:p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60"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449884">
    <w:abstractNumId w:val="3"/>
  </w:num>
  <w:num w:numId="2" w16cid:durableId="1360468717">
    <w:abstractNumId w:val="2"/>
  </w:num>
  <w:num w:numId="3" w16cid:durableId="1543639844">
    <w:abstractNumId w:val="54"/>
  </w:num>
  <w:num w:numId="4" w16cid:durableId="1511987729">
    <w:abstractNumId w:val="49"/>
  </w:num>
  <w:num w:numId="5" w16cid:durableId="1362170906">
    <w:abstractNumId w:val="27"/>
  </w:num>
  <w:num w:numId="6" w16cid:durableId="693531041">
    <w:abstractNumId w:val="28"/>
  </w:num>
  <w:num w:numId="7" w16cid:durableId="2055763542">
    <w:abstractNumId w:val="60"/>
  </w:num>
  <w:num w:numId="8" w16cid:durableId="685248581">
    <w:abstractNumId w:val="7"/>
  </w:num>
  <w:num w:numId="9" w16cid:durableId="178159364">
    <w:abstractNumId w:val="21"/>
  </w:num>
  <w:num w:numId="10" w16cid:durableId="915626563">
    <w:abstractNumId w:val="47"/>
  </w:num>
  <w:num w:numId="11" w16cid:durableId="561722639">
    <w:abstractNumId w:val="6"/>
  </w:num>
  <w:num w:numId="12" w16cid:durableId="1870531268">
    <w:abstractNumId w:val="22"/>
  </w:num>
  <w:num w:numId="13" w16cid:durableId="2048331831">
    <w:abstractNumId w:val="61"/>
  </w:num>
  <w:num w:numId="14" w16cid:durableId="2055033508">
    <w:abstractNumId w:val="43"/>
  </w:num>
  <w:num w:numId="15" w16cid:durableId="1400133793">
    <w:abstractNumId w:val="36"/>
  </w:num>
  <w:num w:numId="16" w16cid:durableId="540170613">
    <w:abstractNumId w:val="55"/>
  </w:num>
  <w:num w:numId="17" w16cid:durableId="1169563866">
    <w:abstractNumId w:val="62"/>
  </w:num>
  <w:num w:numId="18" w16cid:durableId="1798062772">
    <w:abstractNumId w:val="63"/>
  </w:num>
  <w:num w:numId="19" w16cid:durableId="664092566">
    <w:abstractNumId w:val="58"/>
  </w:num>
  <w:num w:numId="20" w16cid:durableId="1768041007">
    <w:abstractNumId w:val="52"/>
  </w:num>
  <w:num w:numId="21" w16cid:durableId="501702179">
    <w:abstractNumId w:val="64"/>
  </w:num>
  <w:num w:numId="22" w16cid:durableId="1101267096">
    <w:abstractNumId w:val="34"/>
  </w:num>
  <w:num w:numId="23" w16cid:durableId="1240410006">
    <w:abstractNumId w:val="44"/>
  </w:num>
  <w:num w:numId="24" w16cid:durableId="1578899095">
    <w:abstractNumId w:val="38"/>
  </w:num>
  <w:num w:numId="25" w16cid:durableId="1072462789">
    <w:abstractNumId w:val="56"/>
  </w:num>
  <w:num w:numId="26" w16cid:durableId="576016960">
    <w:abstractNumId w:val="57"/>
  </w:num>
  <w:num w:numId="27" w16cid:durableId="2065326899">
    <w:abstractNumId w:val="9"/>
  </w:num>
  <w:num w:numId="28" w16cid:durableId="1415798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9481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55630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7255069">
    <w:abstractNumId w:val="18"/>
  </w:num>
  <w:num w:numId="32" w16cid:durableId="1112899204">
    <w:abstractNumId w:val="13"/>
  </w:num>
  <w:num w:numId="33" w16cid:durableId="724182842">
    <w:abstractNumId w:val="4"/>
  </w:num>
  <w:num w:numId="34" w16cid:durableId="2138642573">
    <w:abstractNumId w:val="56"/>
    <w:lvlOverride w:ilvl="0">
      <w:startOverride w:val="1"/>
    </w:lvlOverride>
  </w:num>
  <w:num w:numId="35" w16cid:durableId="1294795885">
    <w:abstractNumId w:val="1"/>
  </w:num>
  <w:num w:numId="36" w16cid:durableId="128012980">
    <w:abstractNumId w:val="53"/>
  </w:num>
  <w:num w:numId="37" w16cid:durableId="660306948">
    <w:abstractNumId w:val="14"/>
  </w:num>
  <w:num w:numId="38" w16cid:durableId="963659011">
    <w:abstractNumId w:val="24"/>
  </w:num>
  <w:num w:numId="39" w16cid:durableId="829105234">
    <w:abstractNumId w:val="0"/>
  </w:num>
  <w:num w:numId="40" w16cid:durableId="302005033">
    <w:abstractNumId w:val="40"/>
  </w:num>
  <w:num w:numId="41" w16cid:durableId="177548556">
    <w:abstractNumId w:val="11"/>
  </w:num>
  <w:num w:numId="42" w16cid:durableId="1077438793">
    <w:abstractNumId w:val="30"/>
  </w:num>
  <w:num w:numId="43" w16cid:durableId="955914303">
    <w:abstractNumId w:val="46"/>
  </w:num>
  <w:num w:numId="44" w16cid:durableId="1679040989">
    <w:abstractNumId w:val="10"/>
  </w:num>
  <w:num w:numId="45" w16cid:durableId="611471995">
    <w:abstractNumId w:val="37"/>
  </w:num>
  <w:num w:numId="46" w16cid:durableId="714309411">
    <w:abstractNumId w:val="33"/>
  </w:num>
  <w:num w:numId="47" w16cid:durableId="1339192388">
    <w:abstractNumId w:val="32"/>
  </w:num>
  <w:num w:numId="48" w16cid:durableId="628705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9790987">
    <w:abstractNumId w:val="51"/>
  </w:num>
  <w:num w:numId="50" w16cid:durableId="1729959613">
    <w:abstractNumId w:val="35"/>
  </w:num>
  <w:num w:numId="51" w16cid:durableId="11616259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4047857">
    <w:abstractNumId w:val="8"/>
  </w:num>
  <w:num w:numId="53" w16cid:durableId="1192888097">
    <w:abstractNumId w:val="17"/>
  </w:num>
  <w:num w:numId="54" w16cid:durableId="990986624">
    <w:abstractNumId w:val="19"/>
  </w:num>
  <w:num w:numId="55" w16cid:durableId="1942181447">
    <w:abstractNumId w:val="50"/>
  </w:num>
  <w:num w:numId="56" w16cid:durableId="1966109186">
    <w:abstractNumId w:val="20"/>
  </w:num>
  <w:num w:numId="57" w16cid:durableId="3866837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7993214">
    <w:abstractNumId w:val="41"/>
  </w:num>
  <w:num w:numId="59" w16cid:durableId="133846127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90345240">
    <w:abstractNumId w:val="45"/>
  </w:num>
  <w:num w:numId="61" w16cid:durableId="1996490767">
    <w:abstractNumId w:val="39"/>
  </w:num>
  <w:num w:numId="62" w16cid:durableId="399984333">
    <w:abstractNumId w:val="5"/>
  </w:num>
  <w:num w:numId="63" w16cid:durableId="129710138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19097083">
    <w:abstractNumId w:val="26"/>
  </w:num>
  <w:num w:numId="65" w16cid:durableId="985553945">
    <w:abstractNumId w:val="0"/>
  </w:num>
  <w:num w:numId="66" w16cid:durableId="1109667561">
    <w:abstractNumId w:val="25"/>
  </w:num>
  <w:num w:numId="67" w16cid:durableId="247232184">
    <w:abstractNumId w:val="9"/>
  </w:num>
  <w:num w:numId="68" w16cid:durableId="1781099131">
    <w:abstractNumId w:val="12"/>
  </w:num>
  <w:num w:numId="69" w16cid:durableId="837112022">
    <w:abstractNumId w:val="48"/>
  </w:num>
  <w:num w:numId="70" w16cid:durableId="998654840">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103E"/>
    <w:rsid w:val="00001424"/>
    <w:rsid w:val="0000172D"/>
    <w:rsid w:val="0000172F"/>
    <w:rsid w:val="0000175F"/>
    <w:rsid w:val="000018AD"/>
    <w:rsid w:val="00002103"/>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15F"/>
    <w:rsid w:val="000114B3"/>
    <w:rsid w:val="000124A3"/>
    <w:rsid w:val="00012510"/>
    <w:rsid w:val="0001353A"/>
    <w:rsid w:val="00013878"/>
    <w:rsid w:val="00013CF0"/>
    <w:rsid w:val="0001460E"/>
    <w:rsid w:val="00014E00"/>
    <w:rsid w:val="00015220"/>
    <w:rsid w:val="00015877"/>
    <w:rsid w:val="00015CEA"/>
    <w:rsid w:val="00015E75"/>
    <w:rsid w:val="00016303"/>
    <w:rsid w:val="00016FC9"/>
    <w:rsid w:val="00017203"/>
    <w:rsid w:val="00017560"/>
    <w:rsid w:val="00017EB7"/>
    <w:rsid w:val="00020361"/>
    <w:rsid w:val="00020529"/>
    <w:rsid w:val="00020B8B"/>
    <w:rsid w:val="000212BB"/>
    <w:rsid w:val="00022296"/>
    <w:rsid w:val="0002262F"/>
    <w:rsid w:val="0002270D"/>
    <w:rsid w:val="00022914"/>
    <w:rsid w:val="000229B2"/>
    <w:rsid w:val="00022FB9"/>
    <w:rsid w:val="0002309F"/>
    <w:rsid w:val="0002354C"/>
    <w:rsid w:val="00023867"/>
    <w:rsid w:val="000239C8"/>
    <w:rsid w:val="000239EE"/>
    <w:rsid w:val="00023B60"/>
    <w:rsid w:val="00023BBE"/>
    <w:rsid w:val="000241C8"/>
    <w:rsid w:val="00024416"/>
    <w:rsid w:val="00025A53"/>
    <w:rsid w:val="00025CE4"/>
    <w:rsid w:val="00025DD0"/>
    <w:rsid w:val="000264F9"/>
    <w:rsid w:val="00026B28"/>
    <w:rsid w:val="00026CA4"/>
    <w:rsid w:val="00026D9E"/>
    <w:rsid w:val="000274C3"/>
    <w:rsid w:val="0002752A"/>
    <w:rsid w:val="000276B1"/>
    <w:rsid w:val="000277C2"/>
    <w:rsid w:val="0003005C"/>
    <w:rsid w:val="000305F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751"/>
    <w:rsid w:val="000338A1"/>
    <w:rsid w:val="0003496A"/>
    <w:rsid w:val="000351CB"/>
    <w:rsid w:val="000354B4"/>
    <w:rsid w:val="00035590"/>
    <w:rsid w:val="0003596D"/>
    <w:rsid w:val="00035BF1"/>
    <w:rsid w:val="00035F37"/>
    <w:rsid w:val="0003609F"/>
    <w:rsid w:val="00036604"/>
    <w:rsid w:val="00036791"/>
    <w:rsid w:val="00037639"/>
    <w:rsid w:val="00037EF7"/>
    <w:rsid w:val="00040579"/>
    <w:rsid w:val="00040A20"/>
    <w:rsid w:val="00040B75"/>
    <w:rsid w:val="00040DAA"/>
    <w:rsid w:val="00040E61"/>
    <w:rsid w:val="000414A3"/>
    <w:rsid w:val="000419FF"/>
    <w:rsid w:val="0004261D"/>
    <w:rsid w:val="0004267B"/>
    <w:rsid w:val="000426A8"/>
    <w:rsid w:val="0004276E"/>
    <w:rsid w:val="00042D6C"/>
    <w:rsid w:val="00042DCB"/>
    <w:rsid w:val="0004356A"/>
    <w:rsid w:val="0004449A"/>
    <w:rsid w:val="000447F1"/>
    <w:rsid w:val="00044959"/>
    <w:rsid w:val="00044D2D"/>
    <w:rsid w:val="00044DF2"/>
    <w:rsid w:val="0004506B"/>
    <w:rsid w:val="0004587B"/>
    <w:rsid w:val="000458D4"/>
    <w:rsid w:val="000458ED"/>
    <w:rsid w:val="00045BB1"/>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B4F"/>
    <w:rsid w:val="00053BEC"/>
    <w:rsid w:val="000541B6"/>
    <w:rsid w:val="00054B48"/>
    <w:rsid w:val="00054F51"/>
    <w:rsid w:val="00055531"/>
    <w:rsid w:val="00055903"/>
    <w:rsid w:val="0005684F"/>
    <w:rsid w:val="0005688E"/>
    <w:rsid w:val="00056D6A"/>
    <w:rsid w:val="0005732D"/>
    <w:rsid w:val="00057527"/>
    <w:rsid w:val="000576AE"/>
    <w:rsid w:val="00057768"/>
    <w:rsid w:val="00057859"/>
    <w:rsid w:val="0006069C"/>
    <w:rsid w:val="00060914"/>
    <w:rsid w:val="00060D67"/>
    <w:rsid w:val="00060E2C"/>
    <w:rsid w:val="000615A2"/>
    <w:rsid w:val="00063170"/>
    <w:rsid w:val="00063223"/>
    <w:rsid w:val="00063593"/>
    <w:rsid w:val="00063EB6"/>
    <w:rsid w:val="00063F67"/>
    <w:rsid w:val="00064449"/>
    <w:rsid w:val="00064472"/>
    <w:rsid w:val="00064663"/>
    <w:rsid w:val="00064BC2"/>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96E"/>
    <w:rsid w:val="00073ABA"/>
    <w:rsid w:val="00074BBF"/>
    <w:rsid w:val="000752AD"/>
    <w:rsid w:val="00075A45"/>
    <w:rsid w:val="00075AFE"/>
    <w:rsid w:val="00075D2B"/>
    <w:rsid w:val="0007647A"/>
    <w:rsid w:val="00076A0E"/>
    <w:rsid w:val="00076BD7"/>
    <w:rsid w:val="00077074"/>
    <w:rsid w:val="000772E5"/>
    <w:rsid w:val="000802B8"/>
    <w:rsid w:val="000807CF"/>
    <w:rsid w:val="0008166D"/>
    <w:rsid w:val="00081F87"/>
    <w:rsid w:val="00082155"/>
    <w:rsid w:val="00082374"/>
    <w:rsid w:val="000823E5"/>
    <w:rsid w:val="000828F4"/>
    <w:rsid w:val="00082E4C"/>
    <w:rsid w:val="00082E73"/>
    <w:rsid w:val="00083382"/>
    <w:rsid w:val="00083D0F"/>
    <w:rsid w:val="00084094"/>
    <w:rsid w:val="000846B3"/>
    <w:rsid w:val="000849A1"/>
    <w:rsid w:val="00085407"/>
    <w:rsid w:val="00085897"/>
    <w:rsid w:val="00085D82"/>
    <w:rsid w:val="00086E98"/>
    <w:rsid w:val="0008749B"/>
    <w:rsid w:val="0008754A"/>
    <w:rsid w:val="00087E0C"/>
    <w:rsid w:val="00087E47"/>
    <w:rsid w:val="000902B3"/>
    <w:rsid w:val="000904AA"/>
    <w:rsid w:val="00090B5B"/>
    <w:rsid w:val="00090B69"/>
    <w:rsid w:val="00090EE4"/>
    <w:rsid w:val="00091A74"/>
    <w:rsid w:val="00091AB4"/>
    <w:rsid w:val="00091E33"/>
    <w:rsid w:val="00091E59"/>
    <w:rsid w:val="00091EE3"/>
    <w:rsid w:val="00091FF9"/>
    <w:rsid w:val="000921CD"/>
    <w:rsid w:val="000926C5"/>
    <w:rsid w:val="0009287E"/>
    <w:rsid w:val="00092950"/>
    <w:rsid w:val="000929BA"/>
    <w:rsid w:val="0009345D"/>
    <w:rsid w:val="00093D90"/>
    <w:rsid w:val="00094552"/>
    <w:rsid w:val="00095093"/>
    <w:rsid w:val="00095153"/>
    <w:rsid w:val="00095B32"/>
    <w:rsid w:val="00095BF3"/>
    <w:rsid w:val="00096570"/>
    <w:rsid w:val="0009657D"/>
    <w:rsid w:val="000965C0"/>
    <w:rsid w:val="0009680D"/>
    <w:rsid w:val="00097264"/>
    <w:rsid w:val="00097B71"/>
    <w:rsid w:val="00097BE8"/>
    <w:rsid w:val="000A01E6"/>
    <w:rsid w:val="000A1035"/>
    <w:rsid w:val="000A11D1"/>
    <w:rsid w:val="000A1AB8"/>
    <w:rsid w:val="000A1F72"/>
    <w:rsid w:val="000A22F2"/>
    <w:rsid w:val="000A246B"/>
    <w:rsid w:val="000A2D2A"/>
    <w:rsid w:val="000A32E6"/>
    <w:rsid w:val="000A348D"/>
    <w:rsid w:val="000A3CF8"/>
    <w:rsid w:val="000A4000"/>
    <w:rsid w:val="000A4E50"/>
    <w:rsid w:val="000A56FA"/>
    <w:rsid w:val="000A5E5D"/>
    <w:rsid w:val="000A6F06"/>
    <w:rsid w:val="000A72D0"/>
    <w:rsid w:val="000A7C94"/>
    <w:rsid w:val="000B053E"/>
    <w:rsid w:val="000B0697"/>
    <w:rsid w:val="000B07EA"/>
    <w:rsid w:val="000B0D33"/>
    <w:rsid w:val="000B0D93"/>
    <w:rsid w:val="000B10F9"/>
    <w:rsid w:val="000B1103"/>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C095D"/>
    <w:rsid w:val="000C0BBB"/>
    <w:rsid w:val="000C0CF1"/>
    <w:rsid w:val="000C0D7B"/>
    <w:rsid w:val="000C0F67"/>
    <w:rsid w:val="000C1814"/>
    <w:rsid w:val="000C1D17"/>
    <w:rsid w:val="000C20A6"/>
    <w:rsid w:val="000C23EF"/>
    <w:rsid w:val="000C2EC3"/>
    <w:rsid w:val="000C33E2"/>
    <w:rsid w:val="000C46E7"/>
    <w:rsid w:val="000C4729"/>
    <w:rsid w:val="000C49D5"/>
    <w:rsid w:val="000C4B31"/>
    <w:rsid w:val="000C4D8C"/>
    <w:rsid w:val="000C4E32"/>
    <w:rsid w:val="000C505A"/>
    <w:rsid w:val="000C5DC3"/>
    <w:rsid w:val="000C65F8"/>
    <w:rsid w:val="000C7157"/>
    <w:rsid w:val="000C72F7"/>
    <w:rsid w:val="000C754E"/>
    <w:rsid w:val="000C7728"/>
    <w:rsid w:val="000C78EB"/>
    <w:rsid w:val="000C7CA0"/>
    <w:rsid w:val="000C7F64"/>
    <w:rsid w:val="000D00C7"/>
    <w:rsid w:val="000D0490"/>
    <w:rsid w:val="000D04B8"/>
    <w:rsid w:val="000D095C"/>
    <w:rsid w:val="000D1040"/>
    <w:rsid w:val="000D113C"/>
    <w:rsid w:val="000D14E1"/>
    <w:rsid w:val="000D14F3"/>
    <w:rsid w:val="000D1583"/>
    <w:rsid w:val="000D15E6"/>
    <w:rsid w:val="000D1AA3"/>
    <w:rsid w:val="000D1C50"/>
    <w:rsid w:val="000D1DFF"/>
    <w:rsid w:val="000D1F86"/>
    <w:rsid w:val="000D20CC"/>
    <w:rsid w:val="000D22CA"/>
    <w:rsid w:val="000D2ACD"/>
    <w:rsid w:val="000D35C1"/>
    <w:rsid w:val="000D37D2"/>
    <w:rsid w:val="000D3F0D"/>
    <w:rsid w:val="000D4096"/>
    <w:rsid w:val="000D4558"/>
    <w:rsid w:val="000D4B4A"/>
    <w:rsid w:val="000D52D2"/>
    <w:rsid w:val="000D5EC7"/>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3026"/>
    <w:rsid w:val="000E30C0"/>
    <w:rsid w:val="000E32AE"/>
    <w:rsid w:val="000E331F"/>
    <w:rsid w:val="000E33A6"/>
    <w:rsid w:val="000E3895"/>
    <w:rsid w:val="000E3B9C"/>
    <w:rsid w:val="000E3DBD"/>
    <w:rsid w:val="000E3FE0"/>
    <w:rsid w:val="000E4814"/>
    <w:rsid w:val="000E494D"/>
    <w:rsid w:val="000E4CB3"/>
    <w:rsid w:val="000E4DF0"/>
    <w:rsid w:val="000E4E2F"/>
    <w:rsid w:val="000E5180"/>
    <w:rsid w:val="000E53CC"/>
    <w:rsid w:val="000E5593"/>
    <w:rsid w:val="000E5D49"/>
    <w:rsid w:val="000E5EFB"/>
    <w:rsid w:val="000E6E9B"/>
    <w:rsid w:val="000E6EE4"/>
    <w:rsid w:val="000E71F8"/>
    <w:rsid w:val="000E799C"/>
    <w:rsid w:val="000E7EB6"/>
    <w:rsid w:val="000F02A9"/>
    <w:rsid w:val="000F03D8"/>
    <w:rsid w:val="000F04CC"/>
    <w:rsid w:val="000F0C7E"/>
    <w:rsid w:val="000F0F1F"/>
    <w:rsid w:val="000F1029"/>
    <w:rsid w:val="000F15F6"/>
    <w:rsid w:val="000F1AF5"/>
    <w:rsid w:val="000F1B9B"/>
    <w:rsid w:val="000F2054"/>
    <w:rsid w:val="000F22E6"/>
    <w:rsid w:val="000F25D5"/>
    <w:rsid w:val="000F2CD4"/>
    <w:rsid w:val="000F2D53"/>
    <w:rsid w:val="000F2E9A"/>
    <w:rsid w:val="000F2F2A"/>
    <w:rsid w:val="000F373E"/>
    <w:rsid w:val="000F397B"/>
    <w:rsid w:val="000F44BF"/>
    <w:rsid w:val="000F487C"/>
    <w:rsid w:val="000F4ED8"/>
    <w:rsid w:val="000F50EA"/>
    <w:rsid w:val="000F565B"/>
    <w:rsid w:val="000F6AD3"/>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127"/>
    <w:rsid w:val="00104487"/>
    <w:rsid w:val="001044F1"/>
    <w:rsid w:val="00105013"/>
    <w:rsid w:val="0010504E"/>
    <w:rsid w:val="001053CC"/>
    <w:rsid w:val="001055CC"/>
    <w:rsid w:val="001056B7"/>
    <w:rsid w:val="00105B4F"/>
    <w:rsid w:val="001063B7"/>
    <w:rsid w:val="001071CA"/>
    <w:rsid w:val="001072C7"/>
    <w:rsid w:val="00107A55"/>
    <w:rsid w:val="00107EC3"/>
    <w:rsid w:val="00107F4A"/>
    <w:rsid w:val="0011060C"/>
    <w:rsid w:val="00110FEC"/>
    <w:rsid w:val="001110CA"/>
    <w:rsid w:val="00111433"/>
    <w:rsid w:val="00111487"/>
    <w:rsid w:val="001114BC"/>
    <w:rsid w:val="00111ABD"/>
    <w:rsid w:val="00111C51"/>
    <w:rsid w:val="00111E04"/>
    <w:rsid w:val="00111F20"/>
    <w:rsid w:val="00113043"/>
    <w:rsid w:val="00114668"/>
    <w:rsid w:val="00114967"/>
    <w:rsid w:val="00114F11"/>
    <w:rsid w:val="0011579C"/>
    <w:rsid w:val="0011611B"/>
    <w:rsid w:val="00116574"/>
    <w:rsid w:val="00116778"/>
    <w:rsid w:val="00116B62"/>
    <w:rsid w:val="00116D36"/>
    <w:rsid w:val="00116F87"/>
    <w:rsid w:val="00117059"/>
    <w:rsid w:val="00117305"/>
    <w:rsid w:val="00117380"/>
    <w:rsid w:val="001201FA"/>
    <w:rsid w:val="001202A1"/>
    <w:rsid w:val="00120ABA"/>
    <w:rsid w:val="00120D43"/>
    <w:rsid w:val="0012143D"/>
    <w:rsid w:val="00121ADB"/>
    <w:rsid w:val="00122853"/>
    <w:rsid w:val="0012344E"/>
    <w:rsid w:val="001235A7"/>
    <w:rsid w:val="00123BE0"/>
    <w:rsid w:val="00123E78"/>
    <w:rsid w:val="00124CDF"/>
    <w:rsid w:val="00124DC6"/>
    <w:rsid w:val="00124EFA"/>
    <w:rsid w:val="001250DA"/>
    <w:rsid w:val="00125125"/>
    <w:rsid w:val="001258B9"/>
    <w:rsid w:val="00125BB4"/>
    <w:rsid w:val="00125D60"/>
    <w:rsid w:val="00125E7A"/>
    <w:rsid w:val="00126BB8"/>
    <w:rsid w:val="00127CBB"/>
    <w:rsid w:val="00130529"/>
    <w:rsid w:val="0013053A"/>
    <w:rsid w:val="001305DE"/>
    <w:rsid w:val="00131CA0"/>
    <w:rsid w:val="00131EC7"/>
    <w:rsid w:val="001323FE"/>
    <w:rsid w:val="001324F7"/>
    <w:rsid w:val="0013286C"/>
    <w:rsid w:val="00132AD7"/>
    <w:rsid w:val="00132EDF"/>
    <w:rsid w:val="001331AC"/>
    <w:rsid w:val="0013362C"/>
    <w:rsid w:val="001338D7"/>
    <w:rsid w:val="00133942"/>
    <w:rsid w:val="001340FE"/>
    <w:rsid w:val="001343E9"/>
    <w:rsid w:val="0013467F"/>
    <w:rsid w:val="00134A0C"/>
    <w:rsid w:val="00134F5D"/>
    <w:rsid w:val="001356C3"/>
    <w:rsid w:val="001357F0"/>
    <w:rsid w:val="00135920"/>
    <w:rsid w:val="00135E3D"/>
    <w:rsid w:val="00135E84"/>
    <w:rsid w:val="001361DC"/>
    <w:rsid w:val="001362A2"/>
    <w:rsid w:val="00136372"/>
    <w:rsid w:val="00136B38"/>
    <w:rsid w:val="0013710A"/>
    <w:rsid w:val="001372CC"/>
    <w:rsid w:val="00137317"/>
    <w:rsid w:val="001379B6"/>
    <w:rsid w:val="00140436"/>
    <w:rsid w:val="0014049F"/>
    <w:rsid w:val="001405CF"/>
    <w:rsid w:val="001408D8"/>
    <w:rsid w:val="001410C6"/>
    <w:rsid w:val="00141390"/>
    <w:rsid w:val="00141549"/>
    <w:rsid w:val="001422C0"/>
    <w:rsid w:val="001425E5"/>
    <w:rsid w:val="00142AAE"/>
    <w:rsid w:val="00142B20"/>
    <w:rsid w:val="00142C15"/>
    <w:rsid w:val="00142D75"/>
    <w:rsid w:val="00143187"/>
    <w:rsid w:val="00143B0D"/>
    <w:rsid w:val="0014502C"/>
    <w:rsid w:val="001450A2"/>
    <w:rsid w:val="00145750"/>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A45"/>
    <w:rsid w:val="00157E14"/>
    <w:rsid w:val="0016127D"/>
    <w:rsid w:val="00161B10"/>
    <w:rsid w:val="00162002"/>
    <w:rsid w:val="00162357"/>
    <w:rsid w:val="00162503"/>
    <w:rsid w:val="00162955"/>
    <w:rsid w:val="00162D3F"/>
    <w:rsid w:val="001631BC"/>
    <w:rsid w:val="0016371B"/>
    <w:rsid w:val="00163BD0"/>
    <w:rsid w:val="00163CEB"/>
    <w:rsid w:val="001641FA"/>
    <w:rsid w:val="00164D10"/>
    <w:rsid w:val="00164F58"/>
    <w:rsid w:val="00165EEA"/>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A2F"/>
    <w:rsid w:val="00172B73"/>
    <w:rsid w:val="00172C26"/>
    <w:rsid w:val="00172E6A"/>
    <w:rsid w:val="00172F4E"/>
    <w:rsid w:val="0017312E"/>
    <w:rsid w:val="00173327"/>
    <w:rsid w:val="00173585"/>
    <w:rsid w:val="0017460D"/>
    <w:rsid w:val="00174ACA"/>
    <w:rsid w:val="00174DB4"/>
    <w:rsid w:val="0017549A"/>
    <w:rsid w:val="00175604"/>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FEF"/>
    <w:rsid w:val="00183370"/>
    <w:rsid w:val="0018348F"/>
    <w:rsid w:val="00183942"/>
    <w:rsid w:val="00183D20"/>
    <w:rsid w:val="00184386"/>
    <w:rsid w:val="001845CB"/>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0E2F"/>
    <w:rsid w:val="001913A6"/>
    <w:rsid w:val="00191A5C"/>
    <w:rsid w:val="0019239B"/>
    <w:rsid w:val="001931A0"/>
    <w:rsid w:val="00193F48"/>
    <w:rsid w:val="00194352"/>
    <w:rsid w:val="0019444B"/>
    <w:rsid w:val="00194E6F"/>
    <w:rsid w:val="0019510E"/>
    <w:rsid w:val="001952E2"/>
    <w:rsid w:val="00195DAD"/>
    <w:rsid w:val="00196188"/>
    <w:rsid w:val="00196608"/>
    <w:rsid w:val="001966D1"/>
    <w:rsid w:val="00196A31"/>
    <w:rsid w:val="00196D4E"/>
    <w:rsid w:val="00197044"/>
    <w:rsid w:val="001970B9"/>
    <w:rsid w:val="001973A5"/>
    <w:rsid w:val="00197522"/>
    <w:rsid w:val="001977F4"/>
    <w:rsid w:val="00197A4B"/>
    <w:rsid w:val="001A0375"/>
    <w:rsid w:val="001A0D64"/>
    <w:rsid w:val="001A0FBA"/>
    <w:rsid w:val="001A10FF"/>
    <w:rsid w:val="001A1159"/>
    <w:rsid w:val="001A1C2D"/>
    <w:rsid w:val="001A1FA3"/>
    <w:rsid w:val="001A2B3B"/>
    <w:rsid w:val="001A2D60"/>
    <w:rsid w:val="001A3288"/>
    <w:rsid w:val="001A3E17"/>
    <w:rsid w:val="001A3ECA"/>
    <w:rsid w:val="001A4B58"/>
    <w:rsid w:val="001A4C44"/>
    <w:rsid w:val="001A4DDE"/>
    <w:rsid w:val="001A4FA6"/>
    <w:rsid w:val="001A5055"/>
    <w:rsid w:val="001A519F"/>
    <w:rsid w:val="001A57C8"/>
    <w:rsid w:val="001A5BA5"/>
    <w:rsid w:val="001A6984"/>
    <w:rsid w:val="001A6AB5"/>
    <w:rsid w:val="001A756E"/>
    <w:rsid w:val="001A77DE"/>
    <w:rsid w:val="001A7B35"/>
    <w:rsid w:val="001A7E4C"/>
    <w:rsid w:val="001B1C17"/>
    <w:rsid w:val="001B2544"/>
    <w:rsid w:val="001B277D"/>
    <w:rsid w:val="001B2C66"/>
    <w:rsid w:val="001B309A"/>
    <w:rsid w:val="001B32AE"/>
    <w:rsid w:val="001B40E4"/>
    <w:rsid w:val="001B47C6"/>
    <w:rsid w:val="001B4E0B"/>
    <w:rsid w:val="001B540A"/>
    <w:rsid w:val="001B55AA"/>
    <w:rsid w:val="001B572E"/>
    <w:rsid w:val="001B597E"/>
    <w:rsid w:val="001B5CE7"/>
    <w:rsid w:val="001B6C45"/>
    <w:rsid w:val="001B6C6C"/>
    <w:rsid w:val="001B6ED4"/>
    <w:rsid w:val="001B7001"/>
    <w:rsid w:val="001B72B2"/>
    <w:rsid w:val="001B7929"/>
    <w:rsid w:val="001C051E"/>
    <w:rsid w:val="001C073B"/>
    <w:rsid w:val="001C0B3C"/>
    <w:rsid w:val="001C1007"/>
    <w:rsid w:val="001C177F"/>
    <w:rsid w:val="001C1C6A"/>
    <w:rsid w:val="001C1E6D"/>
    <w:rsid w:val="001C2A68"/>
    <w:rsid w:val="001C2D56"/>
    <w:rsid w:val="001C2E8E"/>
    <w:rsid w:val="001C3119"/>
    <w:rsid w:val="001C3589"/>
    <w:rsid w:val="001C3A45"/>
    <w:rsid w:val="001C3D7A"/>
    <w:rsid w:val="001C4405"/>
    <w:rsid w:val="001C5001"/>
    <w:rsid w:val="001C54FF"/>
    <w:rsid w:val="001C55CF"/>
    <w:rsid w:val="001C587C"/>
    <w:rsid w:val="001C5CD1"/>
    <w:rsid w:val="001C600C"/>
    <w:rsid w:val="001C628E"/>
    <w:rsid w:val="001C756D"/>
    <w:rsid w:val="001C7867"/>
    <w:rsid w:val="001C78C8"/>
    <w:rsid w:val="001C7D64"/>
    <w:rsid w:val="001D0B63"/>
    <w:rsid w:val="001D0E69"/>
    <w:rsid w:val="001D1029"/>
    <w:rsid w:val="001D1163"/>
    <w:rsid w:val="001D1353"/>
    <w:rsid w:val="001D13F6"/>
    <w:rsid w:val="001D15BA"/>
    <w:rsid w:val="001D16C3"/>
    <w:rsid w:val="001D173A"/>
    <w:rsid w:val="001D1D4B"/>
    <w:rsid w:val="001D1D9D"/>
    <w:rsid w:val="001D20A5"/>
    <w:rsid w:val="001D2A4B"/>
    <w:rsid w:val="001D2C4B"/>
    <w:rsid w:val="001D2D1A"/>
    <w:rsid w:val="001D3021"/>
    <w:rsid w:val="001D33E2"/>
    <w:rsid w:val="001D3567"/>
    <w:rsid w:val="001D44A7"/>
    <w:rsid w:val="001D45A9"/>
    <w:rsid w:val="001D4AE2"/>
    <w:rsid w:val="001D57CC"/>
    <w:rsid w:val="001D5981"/>
    <w:rsid w:val="001D5C20"/>
    <w:rsid w:val="001D5D2F"/>
    <w:rsid w:val="001D63C7"/>
    <w:rsid w:val="001D68BB"/>
    <w:rsid w:val="001D6C10"/>
    <w:rsid w:val="001D6D08"/>
    <w:rsid w:val="001D740D"/>
    <w:rsid w:val="001D77BF"/>
    <w:rsid w:val="001D7D69"/>
    <w:rsid w:val="001E0053"/>
    <w:rsid w:val="001E185B"/>
    <w:rsid w:val="001E1EFA"/>
    <w:rsid w:val="001E21A6"/>
    <w:rsid w:val="001E22EC"/>
    <w:rsid w:val="001E2694"/>
    <w:rsid w:val="001E2729"/>
    <w:rsid w:val="001E2E20"/>
    <w:rsid w:val="001E369D"/>
    <w:rsid w:val="001E3708"/>
    <w:rsid w:val="001E40CB"/>
    <w:rsid w:val="001E40FD"/>
    <w:rsid w:val="001E43D3"/>
    <w:rsid w:val="001E479F"/>
    <w:rsid w:val="001E527A"/>
    <w:rsid w:val="001E5579"/>
    <w:rsid w:val="001E5D7E"/>
    <w:rsid w:val="001E5E9F"/>
    <w:rsid w:val="001E6BF2"/>
    <w:rsid w:val="001E707B"/>
    <w:rsid w:val="001E7283"/>
    <w:rsid w:val="001F0147"/>
    <w:rsid w:val="001F04A0"/>
    <w:rsid w:val="001F0624"/>
    <w:rsid w:val="001F0F8A"/>
    <w:rsid w:val="001F12BF"/>
    <w:rsid w:val="001F186A"/>
    <w:rsid w:val="001F1882"/>
    <w:rsid w:val="001F1D1B"/>
    <w:rsid w:val="001F2889"/>
    <w:rsid w:val="001F2CD8"/>
    <w:rsid w:val="001F3D48"/>
    <w:rsid w:val="001F4160"/>
    <w:rsid w:val="001F4939"/>
    <w:rsid w:val="001F4A89"/>
    <w:rsid w:val="001F4BB4"/>
    <w:rsid w:val="001F51BC"/>
    <w:rsid w:val="001F574E"/>
    <w:rsid w:val="001F5CA0"/>
    <w:rsid w:val="001F61E5"/>
    <w:rsid w:val="001F629E"/>
    <w:rsid w:val="001F6589"/>
    <w:rsid w:val="001F6958"/>
    <w:rsid w:val="001F696A"/>
    <w:rsid w:val="001F6BE9"/>
    <w:rsid w:val="001F6D9D"/>
    <w:rsid w:val="001F702D"/>
    <w:rsid w:val="001F71B4"/>
    <w:rsid w:val="001F7343"/>
    <w:rsid w:val="001F78FD"/>
    <w:rsid w:val="00200E56"/>
    <w:rsid w:val="00201A7A"/>
    <w:rsid w:val="002023AC"/>
    <w:rsid w:val="0020251F"/>
    <w:rsid w:val="002027F7"/>
    <w:rsid w:val="00203645"/>
    <w:rsid w:val="00203822"/>
    <w:rsid w:val="00203CE8"/>
    <w:rsid w:val="00203DAC"/>
    <w:rsid w:val="00203EC9"/>
    <w:rsid w:val="00204AD6"/>
    <w:rsid w:val="002062AE"/>
    <w:rsid w:val="0020690A"/>
    <w:rsid w:val="00206E55"/>
    <w:rsid w:val="00207941"/>
    <w:rsid w:val="00207AB1"/>
    <w:rsid w:val="00207C8A"/>
    <w:rsid w:val="002100C1"/>
    <w:rsid w:val="002102BC"/>
    <w:rsid w:val="0021031C"/>
    <w:rsid w:val="00210BAF"/>
    <w:rsid w:val="00210CDC"/>
    <w:rsid w:val="00211321"/>
    <w:rsid w:val="00211EF1"/>
    <w:rsid w:val="00212015"/>
    <w:rsid w:val="0021251F"/>
    <w:rsid w:val="00212599"/>
    <w:rsid w:val="002125C4"/>
    <w:rsid w:val="002129CB"/>
    <w:rsid w:val="0021344D"/>
    <w:rsid w:val="00213484"/>
    <w:rsid w:val="00213C07"/>
    <w:rsid w:val="00213DF1"/>
    <w:rsid w:val="002141FD"/>
    <w:rsid w:val="0021468C"/>
    <w:rsid w:val="00214701"/>
    <w:rsid w:val="00214707"/>
    <w:rsid w:val="00214FD2"/>
    <w:rsid w:val="002154F1"/>
    <w:rsid w:val="002156BE"/>
    <w:rsid w:val="00215EE6"/>
    <w:rsid w:val="00216F0F"/>
    <w:rsid w:val="00216F5F"/>
    <w:rsid w:val="0021799B"/>
    <w:rsid w:val="00217A81"/>
    <w:rsid w:val="00220017"/>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12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83E"/>
    <w:rsid w:val="00227D35"/>
    <w:rsid w:val="00230476"/>
    <w:rsid w:val="00231568"/>
    <w:rsid w:val="00232BED"/>
    <w:rsid w:val="00232C01"/>
    <w:rsid w:val="00232CF3"/>
    <w:rsid w:val="002334C2"/>
    <w:rsid w:val="00233619"/>
    <w:rsid w:val="00233A04"/>
    <w:rsid w:val="00233B85"/>
    <w:rsid w:val="00233C2B"/>
    <w:rsid w:val="0023443B"/>
    <w:rsid w:val="0023460C"/>
    <w:rsid w:val="002346EE"/>
    <w:rsid w:val="00234E66"/>
    <w:rsid w:val="0023518D"/>
    <w:rsid w:val="00235409"/>
    <w:rsid w:val="002356B8"/>
    <w:rsid w:val="0023597F"/>
    <w:rsid w:val="00235983"/>
    <w:rsid w:val="00236965"/>
    <w:rsid w:val="00237261"/>
    <w:rsid w:val="00237DAF"/>
    <w:rsid w:val="00240032"/>
    <w:rsid w:val="002403B6"/>
    <w:rsid w:val="00240A99"/>
    <w:rsid w:val="00241BC4"/>
    <w:rsid w:val="00241C05"/>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6E7"/>
    <w:rsid w:val="00250EED"/>
    <w:rsid w:val="00251283"/>
    <w:rsid w:val="0025173C"/>
    <w:rsid w:val="00251D27"/>
    <w:rsid w:val="00251E03"/>
    <w:rsid w:val="0025242E"/>
    <w:rsid w:val="0025290A"/>
    <w:rsid w:val="0025310F"/>
    <w:rsid w:val="00253148"/>
    <w:rsid w:val="0025333D"/>
    <w:rsid w:val="00253401"/>
    <w:rsid w:val="0025372A"/>
    <w:rsid w:val="00253850"/>
    <w:rsid w:val="00254B6C"/>
    <w:rsid w:val="00255739"/>
    <w:rsid w:val="0025598A"/>
    <w:rsid w:val="00255D9B"/>
    <w:rsid w:val="00255DE7"/>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B6B"/>
    <w:rsid w:val="00260EC5"/>
    <w:rsid w:val="00260FBE"/>
    <w:rsid w:val="00261A2A"/>
    <w:rsid w:val="00261BFC"/>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53C5"/>
    <w:rsid w:val="002666B0"/>
    <w:rsid w:val="00266DA5"/>
    <w:rsid w:val="00267198"/>
    <w:rsid w:val="0026721F"/>
    <w:rsid w:val="002674BE"/>
    <w:rsid w:val="00267544"/>
    <w:rsid w:val="002676F3"/>
    <w:rsid w:val="00267DAB"/>
    <w:rsid w:val="002708EB"/>
    <w:rsid w:val="00270E7C"/>
    <w:rsid w:val="00270F38"/>
    <w:rsid w:val="002711F4"/>
    <w:rsid w:val="0027122A"/>
    <w:rsid w:val="00271306"/>
    <w:rsid w:val="00271699"/>
    <w:rsid w:val="00271C16"/>
    <w:rsid w:val="00271EE8"/>
    <w:rsid w:val="00272844"/>
    <w:rsid w:val="002729A4"/>
    <w:rsid w:val="00272C33"/>
    <w:rsid w:val="00272D1D"/>
    <w:rsid w:val="00273CF6"/>
    <w:rsid w:val="00273FCB"/>
    <w:rsid w:val="002740B2"/>
    <w:rsid w:val="00274313"/>
    <w:rsid w:val="0027480E"/>
    <w:rsid w:val="0027488D"/>
    <w:rsid w:val="00274B52"/>
    <w:rsid w:val="00274CE7"/>
    <w:rsid w:val="0027506B"/>
    <w:rsid w:val="00275477"/>
    <w:rsid w:val="002757DB"/>
    <w:rsid w:val="00275C43"/>
    <w:rsid w:val="002760E8"/>
    <w:rsid w:val="002766A6"/>
    <w:rsid w:val="00276A9A"/>
    <w:rsid w:val="00276BA9"/>
    <w:rsid w:val="00276DD0"/>
    <w:rsid w:val="00276E53"/>
    <w:rsid w:val="00276E93"/>
    <w:rsid w:val="002773E6"/>
    <w:rsid w:val="002774C5"/>
    <w:rsid w:val="002779B7"/>
    <w:rsid w:val="002779BD"/>
    <w:rsid w:val="002804CD"/>
    <w:rsid w:val="0028096F"/>
    <w:rsid w:val="00280C3E"/>
    <w:rsid w:val="0028152B"/>
    <w:rsid w:val="002815A1"/>
    <w:rsid w:val="0028164B"/>
    <w:rsid w:val="002818E0"/>
    <w:rsid w:val="00281940"/>
    <w:rsid w:val="00281B9D"/>
    <w:rsid w:val="00281FF5"/>
    <w:rsid w:val="00282012"/>
    <w:rsid w:val="00283569"/>
    <w:rsid w:val="00283C2C"/>
    <w:rsid w:val="00283FC7"/>
    <w:rsid w:val="00284377"/>
    <w:rsid w:val="002844B5"/>
    <w:rsid w:val="002847AA"/>
    <w:rsid w:val="00285364"/>
    <w:rsid w:val="0028538A"/>
    <w:rsid w:val="00285CED"/>
    <w:rsid w:val="00285E47"/>
    <w:rsid w:val="00286350"/>
    <w:rsid w:val="002865AE"/>
    <w:rsid w:val="0028718A"/>
    <w:rsid w:val="002874F6"/>
    <w:rsid w:val="002875C0"/>
    <w:rsid w:val="002876FE"/>
    <w:rsid w:val="00287F47"/>
    <w:rsid w:val="002901BF"/>
    <w:rsid w:val="002905C2"/>
    <w:rsid w:val="00290CDD"/>
    <w:rsid w:val="002916C3"/>
    <w:rsid w:val="00291EF1"/>
    <w:rsid w:val="00291FA6"/>
    <w:rsid w:val="00292848"/>
    <w:rsid w:val="00292C07"/>
    <w:rsid w:val="00292D9E"/>
    <w:rsid w:val="0029371D"/>
    <w:rsid w:val="0029378D"/>
    <w:rsid w:val="002937B8"/>
    <w:rsid w:val="00293869"/>
    <w:rsid w:val="00293E6C"/>
    <w:rsid w:val="00294541"/>
    <w:rsid w:val="00294880"/>
    <w:rsid w:val="002948E9"/>
    <w:rsid w:val="00294E96"/>
    <w:rsid w:val="0029521B"/>
    <w:rsid w:val="0029532D"/>
    <w:rsid w:val="002953A8"/>
    <w:rsid w:val="00295A6A"/>
    <w:rsid w:val="002960A6"/>
    <w:rsid w:val="002967F9"/>
    <w:rsid w:val="00296A9F"/>
    <w:rsid w:val="00296B66"/>
    <w:rsid w:val="002971EE"/>
    <w:rsid w:val="0029796E"/>
    <w:rsid w:val="00297DE2"/>
    <w:rsid w:val="002A01D0"/>
    <w:rsid w:val="002A0405"/>
    <w:rsid w:val="002A0448"/>
    <w:rsid w:val="002A142F"/>
    <w:rsid w:val="002A1431"/>
    <w:rsid w:val="002A1DA6"/>
    <w:rsid w:val="002A2DB6"/>
    <w:rsid w:val="002A36D6"/>
    <w:rsid w:val="002A3D79"/>
    <w:rsid w:val="002A40E1"/>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431"/>
    <w:rsid w:val="002B5269"/>
    <w:rsid w:val="002B57DD"/>
    <w:rsid w:val="002B5808"/>
    <w:rsid w:val="002B5D80"/>
    <w:rsid w:val="002B632F"/>
    <w:rsid w:val="002B635A"/>
    <w:rsid w:val="002B67B2"/>
    <w:rsid w:val="002B76A3"/>
    <w:rsid w:val="002B78D7"/>
    <w:rsid w:val="002C002A"/>
    <w:rsid w:val="002C002D"/>
    <w:rsid w:val="002C011E"/>
    <w:rsid w:val="002C021D"/>
    <w:rsid w:val="002C074C"/>
    <w:rsid w:val="002C095C"/>
    <w:rsid w:val="002C09B2"/>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EA1"/>
    <w:rsid w:val="002C5FDA"/>
    <w:rsid w:val="002C6011"/>
    <w:rsid w:val="002C60FB"/>
    <w:rsid w:val="002C61A0"/>
    <w:rsid w:val="002C63C7"/>
    <w:rsid w:val="002C646A"/>
    <w:rsid w:val="002C663D"/>
    <w:rsid w:val="002C6B86"/>
    <w:rsid w:val="002C6F52"/>
    <w:rsid w:val="002C75B7"/>
    <w:rsid w:val="002C780D"/>
    <w:rsid w:val="002C7B63"/>
    <w:rsid w:val="002D00E6"/>
    <w:rsid w:val="002D00F4"/>
    <w:rsid w:val="002D0A64"/>
    <w:rsid w:val="002D0E78"/>
    <w:rsid w:val="002D13A8"/>
    <w:rsid w:val="002D15B3"/>
    <w:rsid w:val="002D1B6F"/>
    <w:rsid w:val="002D1CE4"/>
    <w:rsid w:val="002D1DF5"/>
    <w:rsid w:val="002D1E22"/>
    <w:rsid w:val="002D1E9C"/>
    <w:rsid w:val="002D21B0"/>
    <w:rsid w:val="002D2B77"/>
    <w:rsid w:val="002D2DCD"/>
    <w:rsid w:val="002D3179"/>
    <w:rsid w:val="002D36A2"/>
    <w:rsid w:val="002D3710"/>
    <w:rsid w:val="002D3DAB"/>
    <w:rsid w:val="002D4469"/>
    <w:rsid w:val="002D5211"/>
    <w:rsid w:val="002D52E8"/>
    <w:rsid w:val="002D5394"/>
    <w:rsid w:val="002D5453"/>
    <w:rsid w:val="002D5F08"/>
    <w:rsid w:val="002D6282"/>
    <w:rsid w:val="002D721D"/>
    <w:rsid w:val="002D73B5"/>
    <w:rsid w:val="002D7839"/>
    <w:rsid w:val="002D7F79"/>
    <w:rsid w:val="002E014D"/>
    <w:rsid w:val="002E02C1"/>
    <w:rsid w:val="002E0302"/>
    <w:rsid w:val="002E068E"/>
    <w:rsid w:val="002E07FB"/>
    <w:rsid w:val="002E0E55"/>
    <w:rsid w:val="002E16BB"/>
    <w:rsid w:val="002E1763"/>
    <w:rsid w:val="002E1EBF"/>
    <w:rsid w:val="002E2464"/>
    <w:rsid w:val="002E30E0"/>
    <w:rsid w:val="002E358C"/>
    <w:rsid w:val="002E403E"/>
    <w:rsid w:val="002E4722"/>
    <w:rsid w:val="002E4A43"/>
    <w:rsid w:val="002E4CDC"/>
    <w:rsid w:val="002E4F05"/>
    <w:rsid w:val="002E53E7"/>
    <w:rsid w:val="002E572A"/>
    <w:rsid w:val="002E65A3"/>
    <w:rsid w:val="002E65B5"/>
    <w:rsid w:val="002E6712"/>
    <w:rsid w:val="002E697B"/>
    <w:rsid w:val="002E6A73"/>
    <w:rsid w:val="002E72CF"/>
    <w:rsid w:val="002E7476"/>
    <w:rsid w:val="002E7C5C"/>
    <w:rsid w:val="002E7D30"/>
    <w:rsid w:val="002E7FA7"/>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3D75"/>
    <w:rsid w:val="002F50B3"/>
    <w:rsid w:val="002F530F"/>
    <w:rsid w:val="002F5373"/>
    <w:rsid w:val="002F5423"/>
    <w:rsid w:val="002F54DE"/>
    <w:rsid w:val="002F56C3"/>
    <w:rsid w:val="002F5B18"/>
    <w:rsid w:val="002F5E65"/>
    <w:rsid w:val="002F62BF"/>
    <w:rsid w:val="002F64C4"/>
    <w:rsid w:val="002F68ED"/>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0C4"/>
    <w:rsid w:val="003034A6"/>
    <w:rsid w:val="003035F3"/>
    <w:rsid w:val="003036CF"/>
    <w:rsid w:val="003038BD"/>
    <w:rsid w:val="0030403C"/>
    <w:rsid w:val="00304486"/>
    <w:rsid w:val="003046C0"/>
    <w:rsid w:val="003047EB"/>
    <w:rsid w:val="00304FF7"/>
    <w:rsid w:val="00305197"/>
    <w:rsid w:val="0030582E"/>
    <w:rsid w:val="00305A1C"/>
    <w:rsid w:val="00305EB7"/>
    <w:rsid w:val="003064BF"/>
    <w:rsid w:val="00306DBF"/>
    <w:rsid w:val="00307526"/>
    <w:rsid w:val="003075AA"/>
    <w:rsid w:val="0030785C"/>
    <w:rsid w:val="00307C8D"/>
    <w:rsid w:val="00307D1A"/>
    <w:rsid w:val="00310170"/>
    <w:rsid w:val="00310341"/>
    <w:rsid w:val="00310A2C"/>
    <w:rsid w:val="00310FDC"/>
    <w:rsid w:val="003110A4"/>
    <w:rsid w:val="00311E88"/>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6019"/>
    <w:rsid w:val="0031643B"/>
    <w:rsid w:val="0031675E"/>
    <w:rsid w:val="00316CD0"/>
    <w:rsid w:val="00316DD2"/>
    <w:rsid w:val="00317FC5"/>
    <w:rsid w:val="0032096B"/>
    <w:rsid w:val="003215FD"/>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9CB"/>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824"/>
    <w:rsid w:val="00340BEC"/>
    <w:rsid w:val="00340D32"/>
    <w:rsid w:val="003413A6"/>
    <w:rsid w:val="003416B7"/>
    <w:rsid w:val="003417AD"/>
    <w:rsid w:val="00341961"/>
    <w:rsid w:val="003421CD"/>
    <w:rsid w:val="003422F0"/>
    <w:rsid w:val="00342399"/>
    <w:rsid w:val="0034260F"/>
    <w:rsid w:val="0034297F"/>
    <w:rsid w:val="00343795"/>
    <w:rsid w:val="0034451C"/>
    <w:rsid w:val="00344986"/>
    <w:rsid w:val="00344C79"/>
    <w:rsid w:val="00344FF1"/>
    <w:rsid w:val="003452F8"/>
    <w:rsid w:val="00345569"/>
    <w:rsid w:val="00345849"/>
    <w:rsid w:val="00345A01"/>
    <w:rsid w:val="00345E61"/>
    <w:rsid w:val="00345E69"/>
    <w:rsid w:val="003460E0"/>
    <w:rsid w:val="0034614B"/>
    <w:rsid w:val="003467D3"/>
    <w:rsid w:val="0034690D"/>
    <w:rsid w:val="00346AD4"/>
    <w:rsid w:val="003477BE"/>
    <w:rsid w:val="00347D2E"/>
    <w:rsid w:val="00350ADD"/>
    <w:rsid w:val="003510D2"/>
    <w:rsid w:val="00351C11"/>
    <w:rsid w:val="00351C3E"/>
    <w:rsid w:val="00351DA0"/>
    <w:rsid w:val="00351EB8"/>
    <w:rsid w:val="00352578"/>
    <w:rsid w:val="003527E0"/>
    <w:rsid w:val="00352A91"/>
    <w:rsid w:val="00352E68"/>
    <w:rsid w:val="0035316A"/>
    <w:rsid w:val="00353303"/>
    <w:rsid w:val="00353579"/>
    <w:rsid w:val="0035362D"/>
    <w:rsid w:val="0035386E"/>
    <w:rsid w:val="0035406F"/>
    <w:rsid w:val="0035448E"/>
    <w:rsid w:val="00354722"/>
    <w:rsid w:val="00354B5A"/>
    <w:rsid w:val="00354E3A"/>
    <w:rsid w:val="003557A3"/>
    <w:rsid w:val="00355CAF"/>
    <w:rsid w:val="00356265"/>
    <w:rsid w:val="00356EF6"/>
    <w:rsid w:val="0035724F"/>
    <w:rsid w:val="003572BE"/>
    <w:rsid w:val="00357990"/>
    <w:rsid w:val="00357C93"/>
    <w:rsid w:val="00360517"/>
    <w:rsid w:val="00360F2C"/>
    <w:rsid w:val="00360F57"/>
    <w:rsid w:val="003621DB"/>
    <w:rsid w:val="003632D6"/>
    <w:rsid w:val="003634AC"/>
    <w:rsid w:val="0036389C"/>
    <w:rsid w:val="00363AC1"/>
    <w:rsid w:val="0036409F"/>
    <w:rsid w:val="0036433A"/>
    <w:rsid w:val="003648D3"/>
    <w:rsid w:val="00364B53"/>
    <w:rsid w:val="00364D5A"/>
    <w:rsid w:val="00364DCE"/>
    <w:rsid w:val="0036586B"/>
    <w:rsid w:val="00365DFC"/>
    <w:rsid w:val="00365EAD"/>
    <w:rsid w:val="00365FAE"/>
    <w:rsid w:val="00366251"/>
    <w:rsid w:val="00366284"/>
    <w:rsid w:val="003666DB"/>
    <w:rsid w:val="00366791"/>
    <w:rsid w:val="003676D2"/>
    <w:rsid w:val="003677B9"/>
    <w:rsid w:val="003679AF"/>
    <w:rsid w:val="00370573"/>
    <w:rsid w:val="0037093A"/>
    <w:rsid w:val="00370C17"/>
    <w:rsid w:val="003716E5"/>
    <w:rsid w:val="003720BA"/>
    <w:rsid w:val="003721A4"/>
    <w:rsid w:val="00372F02"/>
    <w:rsid w:val="003732FF"/>
    <w:rsid w:val="00373410"/>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6AA9"/>
    <w:rsid w:val="00376BD5"/>
    <w:rsid w:val="00376E9A"/>
    <w:rsid w:val="0037765A"/>
    <w:rsid w:val="00377A57"/>
    <w:rsid w:val="00377C8B"/>
    <w:rsid w:val="00377D6E"/>
    <w:rsid w:val="0038009F"/>
    <w:rsid w:val="003800DE"/>
    <w:rsid w:val="003802E0"/>
    <w:rsid w:val="003806D9"/>
    <w:rsid w:val="00380F2D"/>
    <w:rsid w:val="00381A45"/>
    <w:rsid w:val="00381D96"/>
    <w:rsid w:val="00381E3B"/>
    <w:rsid w:val="003820FC"/>
    <w:rsid w:val="00382F39"/>
    <w:rsid w:val="0038326A"/>
    <w:rsid w:val="003832F7"/>
    <w:rsid w:val="00383E1F"/>
    <w:rsid w:val="00384E3D"/>
    <w:rsid w:val="00384E5F"/>
    <w:rsid w:val="00384E84"/>
    <w:rsid w:val="003857FD"/>
    <w:rsid w:val="00385F44"/>
    <w:rsid w:val="0038608B"/>
    <w:rsid w:val="00386506"/>
    <w:rsid w:val="00386F05"/>
    <w:rsid w:val="0038708A"/>
    <w:rsid w:val="00387402"/>
    <w:rsid w:val="0038784D"/>
    <w:rsid w:val="00387A90"/>
    <w:rsid w:val="00387ADB"/>
    <w:rsid w:val="00387EA7"/>
    <w:rsid w:val="0039059E"/>
    <w:rsid w:val="0039068C"/>
    <w:rsid w:val="003906F5"/>
    <w:rsid w:val="00390BBC"/>
    <w:rsid w:val="003913EE"/>
    <w:rsid w:val="0039152F"/>
    <w:rsid w:val="0039162C"/>
    <w:rsid w:val="003924A1"/>
    <w:rsid w:val="003925C6"/>
    <w:rsid w:val="00392745"/>
    <w:rsid w:val="003927D1"/>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0C51"/>
    <w:rsid w:val="003A12B3"/>
    <w:rsid w:val="003A181D"/>
    <w:rsid w:val="003A2108"/>
    <w:rsid w:val="003A26D3"/>
    <w:rsid w:val="003A29AE"/>
    <w:rsid w:val="003A2A80"/>
    <w:rsid w:val="003A2DD7"/>
    <w:rsid w:val="003A2FBF"/>
    <w:rsid w:val="003A2FCD"/>
    <w:rsid w:val="003A30E3"/>
    <w:rsid w:val="003A3221"/>
    <w:rsid w:val="003A3B27"/>
    <w:rsid w:val="003A3DB8"/>
    <w:rsid w:val="003A40D6"/>
    <w:rsid w:val="003A4333"/>
    <w:rsid w:val="003A4967"/>
    <w:rsid w:val="003A4DC6"/>
    <w:rsid w:val="003A4E24"/>
    <w:rsid w:val="003A50FA"/>
    <w:rsid w:val="003A5B3B"/>
    <w:rsid w:val="003A637F"/>
    <w:rsid w:val="003A64F9"/>
    <w:rsid w:val="003A678D"/>
    <w:rsid w:val="003A6ED2"/>
    <w:rsid w:val="003A73C8"/>
    <w:rsid w:val="003A779F"/>
    <w:rsid w:val="003A78C1"/>
    <w:rsid w:val="003A7D49"/>
    <w:rsid w:val="003A7E98"/>
    <w:rsid w:val="003B000F"/>
    <w:rsid w:val="003B02CA"/>
    <w:rsid w:val="003B08F3"/>
    <w:rsid w:val="003B09A2"/>
    <w:rsid w:val="003B0C8D"/>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47EB"/>
    <w:rsid w:val="003B50E3"/>
    <w:rsid w:val="003B527B"/>
    <w:rsid w:val="003B58A6"/>
    <w:rsid w:val="003B5B95"/>
    <w:rsid w:val="003B61BA"/>
    <w:rsid w:val="003B6A4F"/>
    <w:rsid w:val="003B72CB"/>
    <w:rsid w:val="003B7447"/>
    <w:rsid w:val="003B744C"/>
    <w:rsid w:val="003B7DEF"/>
    <w:rsid w:val="003C00AF"/>
    <w:rsid w:val="003C0C2D"/>
    <w:rsid w:val="003C0DFF"/>
    <w:rsid w:val="003C111A"/>
    <w:rsid w:val="003C1212"/>
    <w:rsid w:val="003C1369"/>
    <w:rsid w:val="003C13E1"/>
    <w:rsid w:val="003C1660"/>
    <w:rsid w:val="003C1835"/>
    <w:rsid w:val="003C19D7"/>
    <w:rsid w:val="003C1B9A"/>
    <w:rsid w:val="003C1E70"/>
    <w:rsid w:val="003C1E74"/>
    <w:rsid w:val="003C227B"/>
    <w:rsid w:val="003C2325"/>
    <w:rsid w:val="003C283F"/>
    <w:rsid w:val="003C2C7C"/>
    <w:rsid w:val="003C2CB6"/>
    <w:rsid w:val="003C2E93"/>
    <w:rsid w:val="003C48E2"/>
    <w:rsid w:val="003C4B2E"/>
    <w:rsid w:val="003C4B83"/>
    <w:rsid w:val="003C5A9C"/>
    <w:rsid w:val="003C5E84"/>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DA4"/>
    <w:rsid w:val="003D214C"/>
    <w:rsid w:val="003D2209"/>
    <w:rsid w:val="003D22CE"/>
    <w:rsid w:val="003D2418"/>
    <w:rsid w:val="003D2A76"/>
    <w:rsid w:val="003D2ACC"/>
    <w:rsid w:val="003D2ADC"/>
    <w:rsid w:val="003D2FD6"/>
    <w:rsid w:val="003D37F8"/>
    <w:rsid w:val="003D38B0"/>
    <w:rsid w:val="003D3F82"/>
    <w:rsid w:val="003D417E"/>
    <w:rsid w:val="003D42FB"/>
    <w:rsid w:val="003D4357"/>
    <w:rsid w:val="003D43E7"/>
    <w:rsid w:val="003D4B43"/>
    <w:rsid w:val="003D5563"/>
    <w:rsid w:val="003D579E"/>
    <w:rsid w:val="003D5D41"/>
    <w:rsid w:val="003D6319"/>
    <w:rsid w:val="003D7131"/>
    <w:rsid w:val="003D71E7"/>
    <w:rsid w:val="003D73D4"/>
    <w:rsid w:val="003D75BC"/>
    <w:rsid w:val="003D78D9"/>
    <w:rsid w:val="003D7D6F"/>
    <w:rsid w:val="003E0125"/>
    <w:rsid w:val="003E04F2"/>
    <w:rsid w:val="003E0C50"/>
    <w:rsid w:val="003E0DC0"/>
    <w:rsid w:val="003E11F1"/>
    <w:rsid w:val="003E1870"/>
    <w:rsid w:val="003E18EB"/>
    <w:rsid w:val="003E20D8"/>
    <w:rsid w:val="003E22AD"/>
    <w:rsid w:val="003E286E"/>
    <w:rsid w:val="003E2DDA"/>
    <w:rsid w:val="003E2FA7"/>
    <w:rsid w:val="003E311C"/>
    <w:rsid w:val="003E3168"/>
    <w:rsid w:val="003E32C6"/>
    <w:rsid w:val="003E33AF"/>
    <w:rsid w:val="003E3420"/>
    <w:rsid w:val="003E35B7"/>
    <w:rsid w:val="003E362C"/>
    <w:rsid w:val="003E3896"/>
    <w:rsid w:val="003E3ADC"/>
    <w:rsid w:val="003E3D8C"/>
    <w:rsid w:val="003E3E06"/>
    <w:rsid w:val="003E44B6"/>
    <w:rsid w:val="003E4AF2"/>
    <w:rsid w:val="003E4EB7"/>
    <w:rsid w:val="003E4F6D"/>
    <w:rsid w:val="003E4F80"/>
    <w:rsid w:val="003E52B2"/>
    <w:rsid w:val="003E5507"/>
    <w:rsid w:val="003E5C62"/>
    <w:rsid w:val="003E5E72"/>
    <w:rsid w:val="003E6297"/>
    <w:rsid w:val="003E66C0"/>
    <w:rsid w:val="003E68BB"/>
    <w:rsid w:val="003E6D28"/>
    <w:rsid w:val="003E721D"/>
    <w:rsid w:val="003E7DC7"/>
    <w:rsid w:val="003E7FD1"/>
    <w:rsid w:val="003F00F4"/>
    <w:rsid w:val="003F012D"/>
    <w:rsid w:val="003F08BA"/>
    <w:rsid w:val="003F0C1D"/>
    <w:rsid w:val="003F0CEC"/>
    <w:rsid w:val="003F0FCD"/>
    <w:rsid w:val="003F10FF"/>
    <w:rsid w:val="003F1162"/>
    <w:rsid w:val="003F11D9"/>
    <w:rsid w:val="003F13A3"/>
    <w:rsid w:val="003F26F1"/>
    <w:rsid w:val="003F3C38"/>
    <w:rsid w:val="003F4529"/>
    <w:rsid w:val="003F45AB"/>
    <w:rsid w:val="003F51B1"/>
    <w:rsid w:val="003F568D"/>
    <w:rsid w:val="003F59A3"/>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AD2"/>
    <w:rsid w:val="00406B8A"/>
    <w:rsid w:val="00407A4A"/>
    <w:rsid w:val="00407F46"/>
    <w:rsid w:val="004100D0"/>
    <w:rsid w:val="004101B7"/>
    <w:rsid w:val="004101D3"/>
    <w:rsid w:val="00410395"/>
    <w:rsid w:val="0041081C"/>
    <w:rsid w:val="00410C9E"/>
    <w:rsid w:val="00411500"/>
    <w:rsid w:val="00411CEF"/>
    <w:rsid w:val="004122B9"/>
    <w:rsid w:val="0041232D"/>
    <w:rsid w:val="00412DD5"/>
    <w:rsid w:val="00413AEF"/>
    <w:rsid w:val="0041444A"/>
    <w:rsid w:val="00414664"/>
    <w:rsid w:val="00414DC3"/>
    <w:rsid w:val="00415115"/>
    <w:rsid w:val="004156DA"/>
    <w:rsid w:val="00416E5D"/>
    <w:rsid w:val="00416E9E"/>
    <w:rsid w:val="00416F2B"/>
    <w:rsid w:val="0041776A"/>
    <w:rsid w:val="00417ACE"/>
    <w:rsid w:val="00417B6A"/>
    <w:rsid w:val="00417BD8"/>
    <w:rsid w:val="004200E3"/>
    <w:rsid w:val="0042061F"/>
    <w:rsid w:val="004210C3"/>
    <w:rsid w:val="004214B8"/>
    <w:rsid w:val="004218B3"/>
    <w:rsid w:val="00421C81"/>
    <w:rsid w:val="004222F7"/>
    <w:rsid w:val="00422C2A"/>
    <w:rsid w:val="004230C2"/>
    <w:rsid w:val="004232C3"/>
    <w:rsid w:val="00423780"/>
    <w:rsid w:val="00423975"/>
    <w:rsid w:val="0042468D"/>
    <w:rsid w:val="004249C7"/>
    <w:rsid w:val="00424A56"/>
    <w:rsid w:val="00424A73"/>
    <w:rsid w:val="0042594E"/>
    <w:rsid w:val="00425AB4"/>
    <w:rsid w:val="00426113"/>
    <w:rsid w:val="004262ED"/>
    <w:rsid w:val="004269AB"/>
    <w:rsid w:val="00426A4F"/>
    <w:rsid w:val="00426C1E"/>
    <w:rsid w:val="00426C35"/>
    <w:rsid w:val="00426D73"/>
    <w:rsid w:val="00426EFE"/>
    <w:rsid w:val="004273F0"/>
    <w:rsid w:val="00427417"/>
    <w:rsid w:val="00427593"/>
    <w:rsid w:val="004305A7"/>
    <w:rsid w:val="004311E6"/>
    <w:rsid w:val="004312F1"/>
    <w:rsid w:val="0043139D"/>
    <w:rsid w:val="00431427"/>
    <w:rsid w:val="0043154F"/>
    <w:rsid w:val="004317F0"/>
    <w:rsid w:val="00431B9F"/>
    <w:rsid w:val="00431C7A"/>
    <w:rsid w:val="00431D49"/>
    <w:rsid w:val="0043204D"/>
    <w:rsid w:val="0043262C"/>
    <w:rsid w:val="00432F71"/>
    <w:rsid w:val="00433E0C"/>
    <w:rsid w:val="00434289"/>
    <w:rsid w:val="0043461F"/>
    <w:rsid w:val="00434899"/>
    <w:rsid w:val="00434926"/>
    <w:rsid w:val="00434E3E"/>
    <w:rsid w:val="004358F7"/>
    <w:rsid w:val="00435BFF"/>
    <w:rsid w:val="00435C8C"/>
    <w:rsid w:val="00436C32"/>
    <w:rsid w:val="004372A5"/>
    <w:rsid w:val="00437564"/>
    <w:rsid w:val="00437686"/>
    <w:rsid w:val="0044009D"/>
    <w:rsid w:val="0044047F"/>
    <w:rsid w:val="0044058E"/>
    <w:rsid w:val="00440AA5"/>
    <w:rsid w:val="00440CCA"/>
    <w:rsid w:val="00441173"/>
    <w:rsid w:val="0044130A"/>
    <w:rsid w:val="0044145F"/>
    <w:rsid w:val="00442059"/>
    <w:rsid w:val="00442455"/>
    <w:rsid w:val="00442C68"/>
    <w:rsid w:val="00442E03"/>
    <w:rsid w:val="004430AF"/>
    <w:rsid w:val="00443356"/>
    <w:rsid w:val="00443957"/>
    <w:rsid w:val="00443C54"/>
    <w:rsid w:val="004441DD"/>
    <w:rsid w:val="00444298"/>
    <w:rsid w:val="004446BF"/>
    <w:rsid w:val="00444799"/>
    <w:rsid w:val="004449CC"/>
    <w:rsid w:val="00445031"/>
    <w:rsid w:val="00445211"/>
    <w:rsid w:val="00445569"/>
    <w:rsid w:val="004456DE"/>
    <w:rsid w:val="0044589A"/>
    <w:rsid w:val="00446F14"/>
    <w:rsid w:val="004470F6"/>
    <w:rsid w:val="00447454"/>
    <w:rsid w:val="00447837"/>
    <w:rsid w:val="00447FF1"/>
    <w:rsid w:val="00450157"/>
    <w:rsid w:val="00450796"/>
    <w:rsid w:val="00450ED3"/>
    <w:rsid w:val="0045111A"/>
    <w:rsid w:val="00451C73"/>
    <w:rsid w:val="00451D25"/>
    <w:rsid w:val="00451F58"/>
    <w:rsid w:val="004520E4"/>
    <w:rsid w:val="0045266D"/>
    <w:rsid w:val="00452AAC"/>
    <w:rsid w:val="00452E19"/>
    <w:rsid w:val="004536AE"/>
    <w:rsid w:val="00453D37"/>
    <w:rsid w:val="00453F01"/>
    <w:rsid w:val="00454128"/>
    <w:rsid w:val="0045487B"/>
    <w:rsid w:val="00455251"/>
    <w:rsid w:val="004554EF"/>
    <w:rsid w:val="00455888"/>
    <w:rsid w:val="004559F6"/>
    <w:rsid w:val="00455A01"/>
    <w:rsid w:val="00455A47"/>
    <w:rsid w:val="00455EC9"/>
    <w:rsid w:val="00455FD7"/>
    <w:rsid w:val="004563F1"/>
    <w:rsid w:val="00456829"/>
    <w:rsid w:val="00456EAA"/>
    <w:rsid w:val="004570E9"/>
    <w:rsid w:val="00457FB8"/>
    <w:rsid w:val="004604E6"/>
    <w:rsid w:val="004605E6"/>
    <w:rsid w:val="004609AA"/>
    <w:rsid w:val="004610D8"/>
    <w:rsid w:val="00461107"/>
    <w:rsid w:val="004611F6"/>
    <w:rsid w:val="00461BE0"/>
    <w:rsid w:val="004624A3"/>
    <w:rsid w:val="004624D0"/>
    <w:rsid w:val="00462912"/>
    <w:rsid w:val="00462A82"/>
    <w:rsid w:val="00463001"/>
    <w:rsid w:val="0046362A"/>
    <w:rsid w:val="004639EF"/>
    <w:rsid w:val="00463A8E"/>
    <w:rsid w:val="00463B01"/>
    <w:rsid w:val="00463DD7"/>
    <w:rsid w:val="00465254"/>
    <w:rsid w:val="00465258"/>
    <w:rsid w:val="00465773"/>
    <w:rsid w:val="00465C78"/>
    <w:rsid w:val="004661CE"/>
    <w:rsid w:val="00466C25"/>
    <w:rsid w:val="004670BF"/>
    <w:rsid w:val="00467B48"/>
    <w:rsid w:val="00470121"/>
    <w:rsid w:val="00470137"/>
    <w:rsid w:val="00470593"/>
    <w:rsid w:val="004706A4"/>
    <w:rsid w:val="004713AA"/>
    <w:rsid w:val="0047253A"/>
    <w:rsid w:val="0047299C"/>
    <w:rsid w:val="004729EA"/>
    <w:rsid w:val="00472AEA"/>
    <w:rsid w:val="00472D3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C8B"/>
    <w:rsid w:val="00475F0E"/>
    <w:rsid w:val="0047685D"/>
    <w:rsid w:val="0047716B"/>
    <w:rsid w:val="00477229"/>
    <w:rsid w:val="00477539"/>
    <w:rsid w:val="00477748"/>
    <w:rsid w:val="0047790A"/>
    <w:rsid w:val="004779A4"/>
    <w:rsid w:val="00477C46"/>
    <w:rsid w:val="00481D6F"/>
    <w:rsid w:val="00481F35"/>
    <w:rsid w:val="00483C37"/>
    <w:rsid w:val="0048471D"/>
    <w:rsid w:val="0048497C"/>
    <w:rsid w:val="004849ED"/>
    <w:rsid w:val="00484E40"/>
    <w:rsid w:val="00484E7A"/>
    <w:rsid w:val="004853EA"/>
    <w:rsid w:val="00485687"/>
    <w:rsid w:val="0048578E"/>
    <w:rsid w:val="00485DEE"/>
    <w:rsid w:val="0048661B"/>
    <w:rsid w:val="00486926"/>
    <w:rsid w:val="00487508"/>
    <w:rsid w:val="00487BFA"/>
    <w:rsid w:val="004905BF"/>
    <w:rsid w:val="00491107"/>
    <w:rsid w:val="004925D4"/>
    <w:rsid w:val="004928FB"/>
    <w:rsid w:val="00493386"/>
    <w:rsid w:val="00493984"/>
    <w:rsid w:val="00493BC1"/>
    <w:rsid w:val="00494B83"/>
    <w:rsid w:val="00494EAB"/>
    <w:rsid w:val="00495022"/>
    <w:rsid w:val="004950BC"/>
    <w:rsid w:val="004953B4"/>
    <w:rsid w:val="00495FC2"/>
    <w:rsid w:val="00495FF9"/>
    <w:rsid w:val="0049610E"/>
    <w:rsid w:val="00496333"/>
    <w:rsid w:val="004969D4"/>
    <w:rsid w:val="00497323"/>
    <w:rsid w:val="0049776E"/>
    <w:rsid w:val="00497A89"/>
    <w:rsid w:val="00497A9F"/>
    <w:rsid w:val="00497C01"/>
    <w:rsid w:val="00497D65"/>
    <w:rsid w:val="00497EF2"/>
    <w:rsid w:val="004A131C"/>
    <w:rsid w:val="004A14AD"/>
    <w:rsid w:val="004A17D2"/>
    <w:rsid w:val="004A1ADF"/>
    <w:rsid w:val="004A1B43"/>
    <w:rsid w:val="004A1C47"/>
    <w:rsid w:val="004A2740"/>
    <w:rsid w:val="004A27C1"/>
    <w:rsid w:val="004A281A"/>
    <w:rsid w:val="004A2983"/>
    <w:rsid w:val="004A329C"/>
    <w:rsid w:val="004A390E"/>
    <w:rsid w:val="004A43C8"/>
    <w:rsid w:val="004A484D"/>
    <w:rsid w:val="004A48C6"/>
    <w:rsid w:val="004A532B"/>
    <w:rsid w:val="004A5475"/>
    <w:rsid w:val="004A58EB"/>
    <w:rsid w:val="004A5F40"/>
    <w:rsid w:val="004A5F57"/>
    <w:rsid w:val="004A64F5"/>
    <w:rsid w:val="004A6670"/>
    <w:rsid w:val="004A6F15"/>
    <w:rsid w:val="004A7132"/>
    <w:rsid w:val="004A7190"/>
    <w:rsid w:val="004A7BA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AA0"/>
    <w:rsid w:val="004B3BA7"/>
    <w:rsid w:val="004B3BF4"/>
    <w:rsid w:val="004B4903"/>
    <w:rsid w:val="004B4D2A"/>
    <w:rsid w:val="004B4D9C"/>
    <w:rsid w:val="004B524E"/>
    <w:rsid w:val="004B53DC"/>
    <w:rsid w:val="004B5D27"/>
    <w:rsid w:val="004B646D"/>
    <w:rsid w:val="004B6507"/>
    <w:rsid w:val="004B6714"/>
    <w:rsid w:val="004B6BDB"/>
    <w:rsid w:val="004B6C8F"/>
    <w:rsid w:val="004B787C"/>
    <w:rsid w:val="004B7D31"/>
    <w:rsid w:val="004C01D7"/>
    <w:rsid w:val="004C06FD"/>
    <w:rsid w:val="004C0B6E"/>
    <w:rsid w:val="004C0CD0"/>
    <w:rsid w:val="004C0CF0"/>
    <w:rsid w:val="004C0DC7"/>
    <w:rsid w:val="004C214D"/>
    <w:rsid w:val="004C2389"/>
    <w:rsid w:val="004C24C8"/>
    <w:rsid w:val="004C2B45"/>
    <w:rsid w:val="004C2F89"/>
    <w:rsid w:val="004C42DF"/>
    <w:rsid w:val="004C44AF"/>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AB4"/>
    <w:rsid w:val="004C7F2C"/>
    <w:rsid w:val="004D0273"/>
    <w:rsid w:val="004D085D"/>
    <w:rsid w:val="004D0A67"/>
    <w:rsid w:val="004D0F5D"/>
    <w:rsid w:val="004D117F"/>
    <w:rsid w:val="004D22FB"/>
    <w:rsid w:val="004D2388"/>
    <w:rsid w:val="004D2701"/>
    <w:rsid w:val="004D287A"/>
    <w:rsid w:val="004D32FA"/>
    <w:rsid w:val="004D354D"/>
    <w:rsid w:val="004D38E1"/>
    <w:rsid w:val="004D3908"/>
    <w:rsid w:val="004D3DB5"/>
    <w:rsid w:val="004D46C1"/>
    <w:rsid w:val="004D496F"/>
    <w:rsid w:val="004D51F6"/>
    <w:rsid w:val="004D5D2B"/>
    <w:rsid w:val="004D6C67"/>
    <w:rsid w:val="004D6FD1"/>
    <w:rsid w:val="004D7156"/>
    <w:rsid w:val="004D7AF1"/>
    <w:rsid w:val="004D7CBB"/>
    <w:rsid w:val="004D7DE7"/>
    <w:rsid w:val="004E01D8"/>
    <w:rsid w:val="004E037D"/>
    <w:rsid w:val="004E057E"/>
    <w:rsid w:val="004E06C5"/>
    <w:rsid w:val="004E0997"/>
    <w:rsid w:val="004E0E11"/>
    <w:rsid w:val="004E153C"/>
    <w:rsid w:val="004E16CD"/>
    <w:rsid w:val="004E1C6E"/>
    <w:rsid w:val="004E219E"/>
    <w:rsid w:val="004E2442"/>
    <w:rsid w:val="004E2541"/>
    <w:rsid w:val="004E27D8"/>
    <w:rsid w:val="004E339D"/>
    <w:rsid w:val="004E42D6"/>
    <w:rsid w:val="004E498C"/>
    <w:rsid w:val="004E4B7C"/>
    <w:rsid w:val="004E514D"/>
    <w:rsid w:val="004E51B4"/>
    <w:rsid w:val="004E5267"/>
    <w:rsid w:val="004E54F4"/>
    <w:rsid w:val="004E58A4"/>
    <w:rsid w:val="004E5A03"/>
    <w:rsid w:val="004E5F0C"/>
    <w:rsid w:val="004E5F3E"/>
    <w:rsid w:val="004E6032"/>
    <w:rsid w:val="004E6819"/>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51E8"/>
    <w:rsid w:val="004F5D22"/>
    <w:rsid w:val="004F5F63"/>
    <w:rsid w:val="004F633B"/>
    <w:rsid w:val="004F652D"/>
    <w:rsid w:val="004F6D8E"/>
    <w:rsid w:val="004F764C"/>
    <w:rsid w:val="004F7907"/>
    <w:rsid w:val="00500832"/>
    <w:rsid w:val="00501C74"/>
    <w:rsid w:val="00501F4D"/>
    <w:rsid w:val="00502895"/>
    <w:rsid w:val="005028D9"/>
    <w:rsid w:val="00502B9E"/>
    <w:rsid w:val="00502F6F"/>
    <w:rsid w:val="005030A4"/>
    <w:rsid w:val="005030E9"/>
    <w:rsid w:val="005036FF"/>
    <w:rsid w:val="00503D10"/>
    <w:rsid w:val="00503F96"/>
    <w:rsid w:val="00504605"/>
    <w:rsid w:val="00504645"/>
    <w:rsid w:val="00504770"/>
    <w:rsid w:val="0050478F"/>
    <w:rsid w:val="00504948"/>
    <w:rsid w:val="00504A32"/>
    <w:rsid w:val="00504A8E"/>
    <w:rsid w:val="00504D8F"/>
    <w:rsid w:val="005050BD"/>
    <w:rsid w:val="00505370"/>
    <w:rsid w:val="00505541"/>
    <w:rsid w:val="00505742"/>
    <w:rsid w:val="00505B89"/>
    <w:rsid w:val="00505F4C"/>
    <w:rsid w:val="00506107"/>
    <w:rsid w:val="0050629F"/>
    <w:rsid w:val="00506807"/>
    <w:rsid w:val="005069C5"/>
    <w:rsid w:val="00506B7A"/>
    <w:rsid w:val="00507584"/>
    <w:rsid w:val="00507995"/>
    <w:rsid w:val="00507A18"/>
    <w:rsid w:val="00510283"/>
    <w:rsid w:val="005104ED"/>
    <w:rsid w:val="005105C1"/>
    <w:rsid w:val="00510604"/>
    <w:rsid w:val="005108F4"/>
    <w:rsid w:val="005110D8"/>
    <w:rsid w:val="005112C3"/>
    <w:rsid w:val="005117CA"/>
    <w:rsid w:val="00511F81"/>
    <w:rsid w:val="005128D4"/>
    <w:rsid w:val="00512DAD"/>
    <w:rsid w:val="00513B67"/>
    <w:rsid w:val="00513CD1"/>
    <w:rsid w:val="00513DA2"/>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16A3"/>
    <w:rsid w:val="00521DBA"/>
    <w:rsid w:val="005222AF"/>
    <w:rsid w:val="00522601"/>
    <w:rsid w:val="00522607"/>
    <w:rsid w:val="00522966"/>
    <w:rsid w:val="005231C6"/>
    <w:rsid w:val="005233F0"/>
    <w:rsid w:val="005234A0"/>
    <w:rsid w:val="00525121"/>
    <w:rsid w:val="0052555B"/>
    <w:rsid w:val="005265E2"/>
    <w:rsid w:val="00526612"/>
    <w:rsid w:val="005268BC"/>
    <w:rsid w:val="00526CB8"/>
    <w:rsid w:val="00526DFF"/>
    <w:rsid w:val="00526EA2"/>
    <w:rsid w:val="00526FE5"/>
    <w:rsid w:val="00527202"/>
    <w:rsid w:val="00527A63"/>
    <w:rsid w:val="00527F7C"/>
    <w:rsid w:val="0053074A"/>
    <w:rsid w:val="00530815"/>
    <w:rsid w:val="00531013"/>
    <w:rsid w:val="005313D2"/>
    <w:rsid w:val="005318AD"/>
    <w:rsid w:val="00531FB7"/>
    <w:rsid w:val="00532027"/>
    <w:rsid w:val="0053234F"/>
    <w:rsid w:val="005332F2"/>
    <w:rsid w:val="00533652"/>
    <w:rsid w:val="00534111"/>
    <w:rsid w:val="0053466B"/>
    <w:rsid w:val="005348BE"/>
    <w:rsid w:val="0053493A"/>
    <w:rsid w:val="00534F41"/>
    <w:rsid w:val="005355B2"/>
    <w:rsid w:val="0053560B"/>
    <w:rsid w:val="005358C5"/>
    <w:rsid w:val="00537182"/>
    <w:rsid w:val="005371C3"/>
    <w:rsid w:val="005378AE"/>
    <w:rsid w:val="0053792E"/>
    <w:rsid w:val="00537C2F"/>
    <w:rsid w:val="00537D22"/>
    <w:rsid w:val="00540090"/>
    <w:rsid w:val="00540131"/>
    <w:rsid w:val="0054054A"/>
    <w:rsid w:val="00540919"/>
    <w:rsid w:val="00540D87"/>
    <w:rsid w:val="00541595"/>
    <w:rsid w:val="0054164D"/>
    <w:rsid w:val="005417A3"/>
    <w:rsid w:val="00542B04"/>
    <w:rsid w:val="00542E53"/>
    <w:rsid w:val="005432A7"/>
    <w:rsid w:val="00543A5B"/>
    <w:rsid w:val="00543E9D"/>
    <w:rsid w:val="005443A5"/>
    <w:rsid w:val="0054447A"/>
    <w:rsid w:val="00544764"/>
    <w:rsid w:val="00544F1E"/>
    <w:rsid w:val="005451B9"/>
    <w:rsid w:val="00545239"/>
    <w:rsid w:val="005453A1"/>
    <w:rsid w:val="00545411"/>
    <w:rsid w:val="005457FA"/>
    <w:rsid w:val="00545872"/>
    <w:rsid w:val="00546099"/>
    <w:rsid w:val="0054670A"/>
    <w:rsid w:val="00546BD4"/>
    <w:rsid w:val="005471F7"/>
    <w:rsid w:val="00547906"/>
    <w:rsid w:val="00547A64"/>
    <w:rsid w:val="00547B69"/>
    <w:rsid w:val="00550272"/>
    <w:rsid w:val="00550383"/>
    <w:rsid w:val="005506F0"/>
    <w:rsid w:val="00550F3C"/>
    <w:rsid w:val="00551E4B"/>
    <w:rsid w:val="005522EA"/>
    <w:rsid w:val="0055242D"/>
    <w:rsid w:val="00552C6C"/>
    <w:rsid w:val="005534D3"/>
    <w:rsid w:val="00554129"/>
    <w:rsid w:val="00554639"/>
    <w:rsid w:val="005546C2"/>
    <w:rsid w:val="00554BC5"/>
    <w:rsid w:val="005551B3"/>
    <w:rsid w:val="00555809"/>
    <w:rsid w:val="00555A0E"/>
    <w:rsid w:val="00555ABF"/>
    <w:rsid w:val="00555C4C"/>
    <w:rsid w:val="005564A4"/>
    <w:rsid w:val="00556AF9"/>
    <w:rsid w:val="00556D17"/>
    <w:rsid w:val="00557589"/>
    <w:rsid w:val="005575CF"/>
    <w:rsid w:val="005576D3"/>
    <w:rsid w:val="005577CA"/>
    <w:rsid w:val="005578BA"/>
    <w:rsid w:val="00557B47"/>
    <w:rsid w:val="0056014C"/>
    <w:rsid w:val="00560202"/>
    <w:rsid w:val="00560281"/>
    <w:rsid w:val="005602AA"/>
    <w:rsid w:val="00560425"/>
    <w:rsid w:val="0056104A"/>
    <w:rsid w:val="005611F6"/>
    <w:rsid w:val="00561D76"/>
    <w:rsid w:val="0056238D"/>
    <w:rsid w:val="00562554"/>
    <w:rsid w:val="005628FC"/>
    <w:rsid w:val="00562B9B"/>
    <w:rsid w:val="00563343"/>
    <w:rsid w:val="00563C4C"/>
    <w:rsid w:val="005642F8"/>
    <w:rsid w:val="00564821"/>
    <w:rsid w:val="00564896"/>
    <w:rsid w:val="00564AFD"/>
    <w:rsid w:val="00565806"/>
    <w:rsid w:val="005659DA"/>
    <w:rsid w:val="00565A00"/>
    <w:rsid w:val="00565BA9"/>
    <w:rsid w:val="00565EEB"/>
    <w:rsid w:val="00566675"/>
    <w:rsid w:val="005668F6"/>
    <w:rsid w:val="00566944"/>
    <w:rsid w:val="00566A3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8F0"/>
    <w:rsid w:val="00573DC8"/>
    <w:rsid w:val="005741F4"/>
    <w:rsid w:val="00574985"/>
    <w:rsid w:val="00574EFA"/>
    <w:rsid w:val="00575925"/>
    <w:rsid w:val="005759F6"/>
    <w:rsid w:val="00575AE8"/>
    <w:rsid w:val="00575DE8"/>
    <w:rsid w:val="005763CC"/>
    <w:rsid w:val="00576D03"/>
    <w:rsid w:val="00576F8C"/>
    <w:rsid w:val="00577102"/>
    <w:rsid w:val="005779DD"/>
    <w:rsid w:val="00577B53"/>
    <w:rsid w:val="0058018F"/>
    <w:rsid w:val="00580534"/>
    <w:rsid w:val="0058068E"/>
    <w:rsid w:val="0058186C"/>
    <w:rsid w:val="005818FD"/>
    <w:rsid w:val="00581C79"/>
    <w:rsid w:val="005820E5"/>
    <w:rsid w:val="005821DE"/>
    <w:rsid w:val="0058232D"/>
    <w:rsid w:val="00582F4E"/>
    <w:rsid w:val="00583630"/>
    <w:rsid w:val="00583CCB"/>
    <w:rsid w:val="005840C5"/>
    <w:rsid w:val="005841E5"/>
    <w:rsid w:val="005841F2"/>
    <w:rsid w:val="00584775"/>
    <w:rsid w:val="00585313"/>
    <w:rsid w:val="00585471"/>
    <w:rsid w:val="00585618"/>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1561"/>
    <w:rsid w:val="005922B5"/>
    <w:rsid w:val="005925EB"/>
    <w:rsid w:val="00592E22"/>
    <w:rsid w:val="00593E32"/>
    <w:rsid w:val="00593F15"/>
    <w:rsid w:val="00594408"/>
    <w:rsid w:val="005946FD"/>
    <w:rsid w:val="00594800"/>
    <w:rsid w:val="00594886"/>
    <w:rsid w:val="00594AD6"/>
    <w:rsid w:val="00594F94"/>
    <w:rsid w:val="005953CA"/>
    <w:rsid w:val="005953F8"/>
    <w:rsid w:val="0059572F"/>
    <w:rsid w:val="00595969"/>
    <w:rsid w:val="00595B05"/>
    <w:rsid w:val="00596283"/>
    <w:rsid w:val="0059636A"/>
    <w:rsid w:val="005963E2"/>
    <w:rsid w:val="005966A5"/>
    <w:rsid w:val="00596B20"/>
    <w:rsid w:val="00596B53"/>
    <w:rsid w:val="00596F4F"/>
    <w:rsid w:val="00597731"/>
    <w:rsid w:val="00597F3C"/>
    <w:rsid w:val="00597FB1"/>
    <w:rsid w:val="005A09EC"/>
    <w:rsid w:val="005A0E49"/>
    <w:rsid w:val="005A136E"/>
    <w:rsid w:val="005A13C8"/>
    <w:rsid w:val="005A1B5F"/>
    <w:rsid w:val="005A1CC8"/>
    <w:rsid w:val="005A212F"/>
    <w:rsid w:val="005A279A"/>
    <w:rsid w:val="005A2D3C"/>
    <w:rsid w:val="005A2DF5"/>
    <w:rsid w:val="005A3136"/>
    <w:rsid w:val="005A3B62"/>
    <w:rsid w:val="005A3ED8"/>
    <w:rsid w:val="005A409F"/>
    <w:rsid w:val="005A4231"/>
    <w:rsid w:val="005A49F3"/>
    <w:rsid w:val="005A4B8E"/>
    <w:rsid w:val="005A5B4F"/>
    <w:rsid w:val="005A5C0A"/>
    <w:rsid w:val="005A5C19"/>
    <w:rsid w:val="005A617E"/>
    <w:rsid w:val="005A6240"/>
    <w:rsid w:val="005A6622"/>
    <w:rsid w:val="005A664F"/>
    <w:rsid w:val="005A6CBE"/>
    <w:rsid w:val="005A6DEC"/>
    <w:rsid w:val="005A7637"/>
    <w:rsid w:val="005A7DF9"/>
    <w:rsid w:val="005A7EA3"/>
    <w:rsid w:val="005B0511"/>
    <w:rsid w:val="005B073B"/>
    <w:rsid w:val="005B08D5"/>
    <w:rsid w:val="005B0DF1"/>
    <w:rsid w:val="005B0EBB"/>
    <w:rsid w:val="005B0F1C"/>
    <w:rsid w:val="005B0F77"/>
    <w:rsid w:val="005B0FF9"/>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C1E"/>
    <w:rsid w:val="005B549E"/>
    <w:rsid w:val="005B69B7"/>
    <w:rsid w:val="005B6D65"/>
    <w:rsid w:val="005B70A3"/>
    <w:rsid w:val="005B7124"/>
    <w:rsid w:val="005B7374"/>
    <w:rsid w:val="005B739E"/>
    <w:rsid w:val="005B73DC"/>
    <w:rsid w:val="005B7716"/>
    <w:rsid w:val="005B7719"/>
    <w:rsid w:val="005B77E7"/>
    <w:rsid w:val="005B7806"/>
    <w:rsid w:val="005C0039"/>
    <w:rsid w:val="005C03F3"/>
    <w:rsid w:val="005C1DEC"/>
    <w:rsid w:val="005C321B"/>
    <w:rsid w:val="005C32D9"/>
    <w:rsid w:val="005C339A"/>
    <w:rsid w:val="005C3520"/>
    <w:rsid w:val="005C35DB"/>
    <w:rsid w:val="005C3B17"/>
    <w:rsid w:val="005C4A09"/>
    <w:rsid w:val="005C4BB8"/>
    <w:rsid w:val="005C5116"/>
    <w:rsid w:val="005C5243"/>
    <w:rsid w:val="005C551E"/>
    <w:rsid w:val="005C57D4"/>
    <w:rsid w:val="005C591A"/>
    <w:rsid w:val="005C5DFC"/>
    <w:rsid w:val="005C697D"/>
    <w:rsid w:val="005C69DD"/>
    <w:rsid w:val="005C6A35"/>
    <w:rsid w:val="005C7013"/>
    <w:rsid w:val="005C75DA"/>
    <w:rsid w:val="005C762E"/>
    <w:rsid w:val="005C7D49"/>
    <w:rsid w:val="005D01D1"/>
    <w:rsid w:val="005D0B0F"/>
    <w:rsid w:val="005D15D4"/>
    <w:rsid w:val="005D1BD5"/>
    <w:rsid w:val="005D2069"/>
    <w:rsid w:val="005D235E"/>
    <w:rsid w:val="005D2665"/>
    <w:rsid w:val="005D297B"/>
    <w:rsid w:val="005D2E67"/>
    <w:rsid w:val="005D30A3"/>
    <w:rsid w:val="005D30BD"/>
    <w:rsid w:val="005D40BC"/>
    <w:rsid w:val="005D416D"/>
    <w:rsid w:val="005D4B24"/>
    <w:rsid w:val="005D4C2E"/>
    <w:rsid w:val="005D59C5"/>
    <w:rsid w:val="005D6195"/>
    <w:rsid w:val="005D63C5"/>
    <w:rsid w:val="005D63F7"/>
    <w:rsid w:val="005D674D"/>
    <w:rsid w:val="005D6E0C"/>
    <w:rsid w:val="005D70C1"/>
    <w:rsid w:val="005D78BF"/>
    <w:rsid w:val="005D7E20"/>
    <w:rsid w:val="005E0051"/>
    <w:rsid w:val="005E0248"/>
    <w:rsid w:val="005E0F47"/>
    <w:rsid w:val="005E10DD"/>
    <w:rsid w:val="005E12F6"/>
    <w:rsid w:val="005E14FA"/>
    <w:rsid w:val="005E1802"/>
    <w:rsid w:val="005E1EF8"/>
    <w:rsid w:val="005E1F52"/>
    <w:rsid w:val="005E2281"/>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BE1"/>
    <w:rsid w:val="005E52CD"/>
    <w:rsid w:val="005E614C"/>
    <w:rsid w:val="005E627C"/>
    <w:rsid w:val="005E638B"/>
    <w:rsid w:val="005E6394"/>
    <w:rsid w:val="005E6C94"/>
    <w:rsid w:val="005E725C"/>
    <w:rsid w:val="005E76CE"/>
    <w:rsid w:val="005E7DE2"/>
    <w:rsid w:val="005F0037"/>
    <w:rsid w:val="005F05CD"/>
    <w:rsid w:val="005F05DC"/>
    <w:rsid w:val="005F0C5C"/>
    <w:rsid w:val="005F0C5F"/>
    <w:rsid w:val="005F1208"/>
    <w:rsid w:val="005F1477"/>
    <w:rsid w:val="005F1525"/>
    <w:rsid w:val="005F1A6B"/>
    <w:rsid w:val="005F1ED8"/>
    <w:rsid w:val="005F20F5"/>
    <w:rsid w:val="005F245E"/>
    <w:rsid w:val="005F2500"/>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DEA"/>
    <w:rsid w:val="005F5F3A"/>
    <w:rsid w:val="005F6117"/>
    <w:rsid w:val="005F6B08"/>
    <w:rsid w:val="005F6B2B"/>
    <w:rsid w:val="005F6BCF"/>
    <w:rsid w:val="005F7055"/>
    <w:rsid w:val="005F72A5"/>
    <w:rsid w:val="005F734C"/>
    <w:rsid w:val="005F74F1"/>
    <w:rsid w:val="005F76F7"/>
    <w:rsid w:val="005F781A"/>
    <w:rsid w:val="005F7BEA"/>
    <w:rsid w:val="005F7BF7"/>
    <w:rsid w:val="005F7F03"/>
    <w:rsid w:val="00600D61"/>
    <w:rsid w:val="00600DCF"/>
    <w:rsid w:val="00600EA8"/>
    <w:rsid w:val="0060107B"/>
    <w:rsid w:val="00601AAC"/>
    <w:rsid w:val="00601B54"/>
    <w:rsid w:val="00602075"/>
    <w:rsid w:val="00602273"/>
    <w:rsid w:val="0060251F"/>
    <w:rsid w:val="0060280B"/>
    <w:rsid w:val="006029A1"/>
    <w:rsid w:val="00602B79"/>
    <w:rsid w:val="006035A8"/>
    <w:rsid w:val="0060369C"/>
    <w:rsid w:val="00603FB8"/>
    <w:rsid w:val="0060415B"/>
    <w:rsid w:val="00604683"/>
    <w:rsid w:val="00604D73"/>
    <w:rsid w:val="00604F9D"/>
    <w:rsid w:val="006052C4"/>
    <w:rsid w:val="006059B7"/>
    <w:rsid w:val="00605C4F"/>
    <w:rsid w:val="00606147"/>
    <w:rsid w:val="006063AF"/>
    <w:rsid w:val="006065CC"/>
    <w:rsid w:val="00606A59"/>
    <w:rsid w:val="00606E95"/>
    <w:rsid w:val="00606F60"/>
    <w:rsid w:val="006074F4"/>
    <w:rsid w:val="00607671"/>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C6"/>
    <w:rsid w:val="00614054"/>
    <w:rsid w:val="006148E7"/>
    <w:rsid w:val="0061491A"/>
    <w:rsid w:val="00614A6D"/>
    <w:rsid w:val="00614D27"/>
    <w:rsid w:val="006152FE"/>
    <w:rsid w:val="006154D6"/>
    <w:rsid w:val="00615704"/>
    <w:rsid w:val="00615F92"/>
    <w:rsid w:val="0061612B"/>
    <w:rsid w:val="00616534"/>
    <w:rsid w:val="00616EC5"/>
    <w:rsid w:val="00616F23"/>
    <w:rsid w:val="006172D6"/>
    <w:rsid w:val="0061733D"/>
    <w:rsid w:val="00617582"/>
    <w:rsid w:val="006179BA"/>
    <w:rsid w:val="00620F66"/>
    <w:rsid w:val="00621465"/>
    <w:rsid w:val="00621583"/>
    <w:rsid w:val="006218DE"/>
    <w:rsid w:val="00621A59"/>
    <w:rsid w:val="00621C6D"/>
    <w:rsid w:val="00622376"/>
    <w:rsid w:val="00622B5A"/>
    <w:rsid w:val="00622C09"/>
    <w:rsid w:val="00622CF2"/>
    <w:rsid w:val="00623078"/>
    <w:rsid w:val="006231C5"/>
    <w:rsid w:val="00623873"/>
    <w:rsid w:val="00623A00"/>
    <w:rsid w:val="00624B3C"/>
    <w:rsid w:val="00624F21"/>
    <w:rsid w:val="006250B4"/>
    <w:rsid w:val="0062512A"/>
    <w:rsid w:val="00625255"/>
    <w:rsid w:val="006257B8"/>
    <w:rsid w:val="00625809"/>
    <w:rsid w:val="00625DCD"/>
    <w:rsid w:val="00626C63"/>
    <w:rsid w:val="00627ABA"/>
    <w:rsid w:val="0063049B"/>
    <w:rsid w:val="0063058A"/>
    <w:rsid w:val="00630981"/>
    <w:rsid w:val="00632389"/>
    <w:rsid w:val="006325AD"/>
    <w:rsid w:val="006327C5"/>
    <w:rsid w:val="00632DD9"/>
    <w:rsid w:val="0063370B"/>
    <w:rsid w:val="0063378F"/>
    <w:rsid w:val="00633857"/>
    <w:rsid w:val="00633997"/>
    <w:rsid w:val="00633F9D"/>
    <w:rsid w:val="006340D5"/>
    <w:rsid w:val="00634695"/>
    <w:rsid w:val="00634CDD"/>
    <w:rsid w:val="00635A6C"/>
    <w:rsid w:val="00635D62"/>
    <w:rsid w:val="006368D7"/>
    <w:rsid w:val="00636A3D"/>
    <w:rsid w:val="006372BC"/>
    <w:rsid w:val="00637FC7"/>
    <w:rsid w:val="006406F6"/>
    <w:rsid w:val="00640CA1"/>
    <w:rsid w:val="0064141B"/>
    <w:rsid w:val="006421B5"/>
    <w:rsid w:val="00642539"/>
    <w:rsid w:val="006425DF"/>
    <w:rsid w:val="00642777"/>
    <w:rsid w:val="006428D6"/>
    <w:rsid w:val="00643E17"/>
    <w:rsid w:val="0064452D"/>
    <w:rsid w:val="0064466F"/>
    <w:rsid w:val="00644B6C"/>
    <w:rsid w:val="006453E7"/>
    <w:rsid w:val="0064553B"/>
    <w:rsid w:val="0064596C"/>
    <w:rsid w:val="00645D76"/>
    <w:rsid w:val="0064630C"/>
    <w:rsid w:val="006465F7"/>
    <w:rsid w:val="0064725A"/>
    <w:rsid w:val="00647E0E"/>
    <w:rsid w:val="00651893"/>
    <w:rsid w:val="006519B9"/>
    <w:rsid w:val="00651B00"/>
    <w:rsid w:val="00652089"/>
    <w:rsid w:val="006520B8"/>
    <w:rsid w:val="006520E3"/>
    <w:rsid w:val="0065219C"/>
    <w:rsid w:val="00652A81"/>
    <w:rsid w:val="00652B21"/>
    <w:rsid w:val="006533C6"/>
    <w:rsid w:val="0065359E"/>
    <w:rsid w:val="006539B7"/>
    <w:rsid w:val="00654678"/>
    <w:rsid w:val="0065470C"/>
    <w:rsid w:val="00654BBD"/>
    <w:rsid w:val="00654EFB"/>
    <w:rsid w:val="00655245"/>
    <w:rsid w:val="0065529E"/>
    <w:rsid w:val="006557C4"/>
    <w:rsid w:val="0065594C"/>
    <w:rsid w:val="00655DE5"/>
    <w:rsid w:val="00655F3A"/>
    <w:rsid w:val="0065630D"/>
    <w:rsid w:val="00656511"/>
    <w:rsid w:val="0065687D"/>
    <w:rsid w:val="0065699E"/>
    <w:rsid w:val="00656A01"/>
    <w:rsid w:val="00656AEE"/>
    <w:rsid w:val="00656D41"/>
    <w:rsid w:val="00656DB6"/>
    <w:rsid w:val="00657185"/>
    <w:rsid w:val="0065742F"/>
    <w:rsid w:val="00657BD6"/>
    <w:rsid w:val="00657D1E"/>
    <w:rsid w:val="00657DB6"/>
    <w:rsid w:val="00660334"/>
    <w:rsid w:val="00660F37"/>
    <w:rsid w:val="0066133B"/>
    <w:rsid w:val="00661C38"/>
    <w:rsid w:val="006621BD"/>
    <w:rsid w:val="00662C1D"/>
    <w:rsid w:val="00662DEC"/>
    <w:rsid w:val="006638D9"/>
    <w:rsid w:val="006643EF"/>
    <w:rsid w:val="00664676"/>
    <w:rsid w:val="006647D9"/>
    <w:rsid w:val="0066481F"/>
    <w:rsid w:val="006652A2"/>
    <w:rsid w:val="00665E75"/>
    <w:rsid w:val="00666697"/>
    <w:rsid w:val="006667C4"/>
    <w:rsid w:val="00666856"/>
    <w:rsid w:val="0066689A"/>
    <w:rsid w:val="006673A6"/>
    <w:rsid w:val="00667405"/>
    <w:rsid w:val="006674AA"/>
    <w:rsid w:val="00667F5E"/>
    <w:rsid w:val="00670985"/>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5F32"/>
    <w:rsid w:val="006760A1"/>
    <w:rsid w:val="006760F9"/>
    <w:rsid w:val="00676BFC"/>
    <w:rsid w:val="00676C18"/>
    <w:rsid w:val="00676C3B"/>
    <w:rsid w:val="0067719D"/>
    <w:rsid w:val="00677F36"/>
    <w:rsid w:val="006800FE"/>
    <w:rsid w:val="006804FF"/>
    <w:rsid w:val="0068052A"/>
    <w:rsid w:val="00680BB5"/>
    <w:rsid w:val="00680DBA"/>
    <w:rsid w:val="00681166"/>
    <w:rsid w:val="00681203"/>
    <w:rsid w:val="00681984"/>
    <w:rsid w:val="00682025"/>
    <w:rsid w:val="00682719"/>
    <w:rsid w:val="00682ACE"/>
    <w:rsid w:val="00682C60"/>
    <w:rsid w:val="006833C5"/>
    <w:rsid w:val="006836ED"/>
    <w:rsid w:val="00683707"/>
    <w:rsid w:val="00683AE6"/>
    <w:rsid w:val="00683C05"/>
    <w:rsid w:val="0068415B"/>
    <w:rsid w:val="006849D3"/>
    <w:rsid w:val="00684BC6"/>
    <w:rsid w:val="00685651"/>
    <w:rsid w:val="006859D7"/>
    <w:rsid w:val="00686D5C"/>
    <w:rsid w:val="0068716A"/>
    <w:rsid w:val="006872A9"/>
    <w:rsid w:val="00687703"/>
    <w:rsid w:val="0069017B"/>
    <w:rsid w:val="006904B5"/>
    <w:rsid w:val="00690FC8"/>
    <w:rsid w:val="006910D3"/>
    <w:rsid w:val="006916EA"/>
    <w:rsid w:val="0069196B"/>
    <w:rsid w:val="00692309"/>
    <w:rsid w:val="006929CE"/>
    <w:rsid w:val="006933C6"/>
    <w:rsid w:val="006942FF"/>
    <w:rsid w:val="00694345"/>
    <w:rsid w:val="00694926"/>
    <w:rsid w:val="00694DDB"/>
    <w:rsid w:val="00695269"/>
    <w:rsid w:val="00695440"/>
    <w:rsid w:val="00695D18"/>
    <w:rsid w:val="006965AE"/>
    <w:rsid w:val="00696BD0"/>
    <w:rsid w:val="00697276"/>
    <w:rsid w:val="00697302"/>
    <w:rsid w:val="006973E2"/>
    <w:rsid w:val="006974BC"/>
    <w:rsid w:val="00697DEA"/>
    <w:rsid w:val="006A0142"/>
    <w:rsid w:val="006A05DF"/>
    <w:rsid w:val="006A0D23"/>
    <w:rsid w:val="006A0F59"/>
    <w:rsid w:val="006A1529"/>
    <w:rsid w:val="006A18E7"/>
    <w:rsid w:val="006A1FC8"/>
    <w:rsid w:val="006A2023"/>
    <w:rsid w:val="006A23F1"/>
    <w:rsid w:val="006A25CB"/>
    <w:rsid w:val="006A2A47"/>
    <w:rsid w:val="006A2B28"/>
    <w:rsid w:val="006A2D8D"/>
    <w:rsid w:val="006A3671"/>
    <w:rsid w:val="006A39FB"/>
    <w:rsid w:val="006A3C4D"/>
    <w:rsid w:val="006A4A8F"/>
    <w:rsid w:val="006A4DF0"/>
    <w:rsid w:val="006A5D71"/>
    <w:rsid w:val="006A606A"/>
    <w:rsid w:val="006A60E0"/>
    <w:rsid w:val="006A6492"/>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33AE"/>
    <w:rsid w:val="006B439D"/>
    <w:rsid w:val="006B4C40"/>
    <w:rsid w:val="006B4FC2"/>
    <w:rsid w:val="006B50FD"/>
    <w:rsid w:val="006B520A"/>
    <w:rsid w:val="006B5376"/>
    <w:rsid w:val="006B5461"/>
    <w:rsid w:val="006B54A4"/>
    <w:rsid w:val="006B553E"/>
    <w:rsid w:val="006B556A"/>
    <w:rsid w:val="006B67F9"/>
    <w:rsid w:val="006B7130"/>
    <w:rsid w:val="006B7178"/>
    <w:rsid w:val="006B7279"/>
    <w:rsid w:val="006B7286"/>
    <w:rsid w:val="006B7453"/>
    <w:rsid w:val="006B74F2"/>
    <w:rsid w:val="006C0176"/>
    <w:rsid w:val="006C06D5"/>
    <w:rsid w:val="006C0909"/>
    <w:rsid w:val="006C090A"/>
    <w:rsid w:val="006C0DF1"/>
    <w:rsid w:val="006C14F1"/>
    <w:rsid w:val="006C167F"/>
    <w:rsid w:val="006C2207"/>
    <w:rsid w:val="006C315B"/>
    <w:rsid w:val="006C31CD"/>
    <w:rsid w:val="006C31FD"/>
    <w:rsid w:val="006C329F"/>
    <w:rsid w:val="006C36F7"/>
    <w:rsid w:val="006C3E78"/>
    <w:rsid w:val="006C410E"/>
    <w:rsid w:val="006C45E7"/>
    <w:rsid w:val="006C4EDF"/>
    <w:rsid w:val="006C547D"/>
    <w:rsid w:val="006C6004"/>
    <w:rsid w:val="006C6026"/>
    <w:rsid w:val="006C6191"/>
    <w:rsid w:val="006C6533"/>
    <w:rsid w:val="006C6792"/>
    <w:rsid w:val="006C7203"/>
    <w:rsid w:val="006C7517"/>
    <w:rsid w:val="006C7B41"/>
    <w:rsid w:val="006C7E21"/>
    <w:rsid w:val="006D08A4"/>
    <w:rsid w:val="006D0FE4"/>
    <w:rsid w:val="006D157D"/>
    <w:rsid w:val="006D160E"/>
    <w:rsid w:val="006D1A00"/>
    <w:rsid w:val="006D1F3B"/>
    <w:rsid w:val="006D1F99"/>
    <w:rsid w:val="006D2C19"/>
    <w:rsid w:val="006D2DD1"/>
    <w:rsid w:val="006D3178"/>
    <w:rsid w:val="006D3787"/>
    <w:rsid w:val="006D37CA"/>
    <w:rsid w:val="006D39B8"/>
    <w:rsid w:val="006D3FFA"/>
    <w:rsid w:val="006D4517"/>
    <w:rsid w:val="006D551D"/>
    <w:rsid w:val="006D5AF5"/>
    <w:rsid w:val="006D5C2F"/>
    <w:rsid w:val="006D5C5E"/>
    <w:rsid w:val="006D5DBE"/>
    <w:rsid w:val="006D5EB4"/>
    <w:rsid w:val="006D63BA"/>
    <w:rsid w:val="006D6A7B"/>
    <w:rsid w:val="006D6B03"/>
    <w:rsid w:val="006D6BE5"/>
    <w:rsid w:val="006D704D"/>
    <w:rsid w:val="006D7C1B"/>
    <w:rsid w:val="006D7DAD"/>
    <w:rsid w:val="006D7E22"/>
    <w:rsid w:val="006E0037"/>
    <w:rsid w:val="006E042A"/>
    <w:rsid w:val="006E1736"/>
    <w:rsid w:val="006E1E33"/>
    <w:rsid w:val="006E26CC"/>
    <w:rsid w:val="006E2841"/>
    <w:rsid w:val="006E2A88"/>
    <w:rsid w:val="006E3A05"/>
    <w:rsid w:val="006E3A29"/>
    <w:rsid w:val="006E3BA0"/>
    <w:rsid w:val="006E3F27"/>
    <w:rsid w:val="006E3F85"/>
    <w:rsid w:val="006E421F"/>
    <w:rsid w:val="006E526C"/>
    <w:rsid w:val="006E5358"/>
    <w:rsid w:val="006E597D"/>
    <w:rsid w:val="006E59C9"/>
    <w:rsid w:val="006E5BC9"/>
    <w:rsid w:val="006E6019"/>
    <w:rsid w:val="006E62EC"/>
    <w:rsid w:val="006E6327"/>
    <w:rsid w:val="006E6949"/>
    <w:rsid w:val="006E69FA"/>
    <w:rsid w:val="006E7C0B"/>
    <w:rsid w:val="006E7C81"/>
    <w:rsid w:val="006F00BA"/>
    <w:rsid w:val="006F048A"/>
    <w:rsid w:val="006F0666"/>
    <w:rsid w:val="006F0853"/>
    <w:rsid w:val="006F096E"/>
    <w:rsid w:val="006F0CEA"/>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8C"/>
    <w:rsid w:val="006F5CC0"/>
    <w:rsid w:val="006F6046"/>
    <w:rsid w:val="006F6443"/>
    <w:rsid w:val="006F6897"/>
    <w:rsid w:val="006F6920"/>
    <w:rsid w:val="006F6EC3"/>
    <w:rsid w:val="006F70E8"/>
    <w:rsid w:val="006F7350"/>
    <w:rsid w:val="00700A35"/>
    <w:rsid w:val="007011DF"/>
    <w:rsid w:val="00701645"/>
    <w:rsid w:val="00701999"/>
    <w:rsid w:val="00701A5C"/>
    <w:rsid w:val="00701C1B"/>
    <w:rsid w:val="00701C85"/>
    <w:rsid w:val="00702A77"/>
    <w:rsid w:val="00702E2A"/>
    <w:rsid w:val="00703222"/>
    <w:rsid w:val="007032F9"/>
    <w:rsid w:val="007033BA"/>
    <w:rsid w:val="00703459"/>
    <w:rsid w:val="00703E61"/>
    <w:rsid w:val="00704413"/>
    <w:rsid w:val="00704B70"/>
    <w:rsid w:val="00705033"/>
    <w:rsid w:val="00705703"/>
    <w:rsid w:val="00705840"/>
    <w:rsid w:val="007058BF"/>
    <w:rsid w:val="00705D02"/>
    <w:rsid w:val="00705EC8"/>
    <w:rsid w:val="007065BB"/>
    <w:rsid w:val="007066AA"/>
    <w:rsid w:val="0070672A"/>
    <w:rsid w:val="00706C8A"/>
    <w:rsid w:val="007074AB"/>
    <w:rsid w:val="0070770D"/>
    <w:rsid w:val="00710036"/>
    <w:rsid w:val="0071009B"/>
    <w:rsid w:val="007102C1"/>
    <w:rsid w:val="00710983"/>
    <w:rsid w:val="00710DE5"/>
    <w:rsid w:val="007114A4"/>
    <w:rsid w:val="0071219A"/>
    <w:rsid w:val="007121F6"/>
    <w:rsid w:val="007122ED"/>
    <w:rsid w:val="007126C1"/>
    <w:rsid w:val="00712C93"/>
    <w:rsid w:val="007130DD"/>
    <w:rsid w:val="00713198"/>
    <w:rsid w:val="00714136"/>
    <w:rsid w:val="007143AA"/>
    <w:rsid w:val="007144FA"/>
    <w:rsid w:val="0071554C"/>
    <w:rsid w:val="007159B4"/>
    <w:rsid w:val="00715BF4"/>
    <w:rsid w:val="00715EDF"/>
    <w:rsid w:val="0071643C"/>
    <w:rsid w:val="00716543"/>
    <w:rsid w:val="0071682E"/>
    <w:rsid w:val="00717165"/>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3532"/>
    <w:rsid w:val="00723E7C"/>
    <w:rsid w:val="007241CF"/>
    <w:rsid w:val="007244F0"/>
    <w:rsid w:val="00724629"/>
    <w:rsid w:val="007248A1"/>
    <w:rsid w:val="0072493D"/>
    <w:rsid w:val="00724DC8"/>
    <w:rsid w:val="0072553D"/>
    <w:rsid w:val="00725885"/>
    <w:rsid w:val="00725B2F"/>
    <w:rsid w:val="0072600A"/>
    <w:rsid w:val="0072653A"/>
    <w:rsid w:val="007265A4"/>
    <w:rsid w:val="00726D74"/>
    <w:rsid w:val="00726F42"/>
    <w:rsid w:val="0072710D"/>
    <w:rsid w:val="007274E4"/>
    <w:rsid w:val="00727895"/>
    <w:rsid w:val="00727B27"/>
    <w:rsid w:val="00727E59"/>
    <w:rsid w:val="00730A2C"/>
    <w:rsid w:val="00730C29"/>
    <w:rsid w:val="00730D4B"/>
    <w:rsid w:val="00730F14"/>
    <w:rsid w:val="007312BD"/>
    <w:rsid w:val="007318BC"/>
    <w:rsid w:val="00731978"/>
    <w:rsid w:val="007323DD"/>
    <w:rsid w:val="00732657"/>
    <w:rsid w:val="00732C7B"/>
    <w:rsid w:val="00732EA7"/>
    <w:rsid w:val="00733375"/>
    <w:rsid w:val="007333F0"/>
    <w:rsid w:val="00733829"/>
    <w:rsid w:val="00733A66"/>
    <w:rsid w:val="00733F02"/>
    <w:rsid w:val="0073414B"/>
    <w:rsid w:val="007344EA"/>
    <w:rsid w:val="00734517"/>
    <w:rsid w:val="00734C0C"/>
    <w:rsid w:val="00735C25"/>
    <w:rsid w:val="00735E97"/>
    <w:rsid w:val="00736178"/>
    <w:rsid w:val="00736332"/>
    <w:rsid w:val="0073662A"/>
    <w:rsid w:val="007369C2"/>
    <w:rsid w:val="00736A26"/>
    <w:rsid w:val="007370FB"/>
    <w:rsid w:val="00737110"/>
    <w:rsid w:val="007372BE"/>
    <w:rsid w:val="00737B62"/>
    <w:rsid w:val="00740879"/>
    <w:rsid w:val="00740FD1"/>
    <w:rsid w:val="00742350"/>
    <w:rsid w:val="0074290F"/>
    <w:rsid w:val="00742AE4"/>
    <w:rsid w:val="00742B11"/>
    <w:rsid w:val="00742BEB"/>
    <w:rsid w:val="00742F34"/>
    <w:rsid w:val="00743BBD"/>
    <w:rsid w:val="00743F0A"/>
    <w:rsid w:val="0074476B"/>
    <w:rsid w:val="00744835"/>
    <w:rsid w:val="00744A6E"/>
    <w:rsid w:val="007457F2"/>
    <w:rsid w:val="007467F4"/>
    <w:rsid w:val="007468B2"/>
    <w:rsid w:val="00746A42"/>
    <w:rsid w:val="00746B63"/>
    <w:rsid w:val="00746F3A"/>
    <w:rsid w:val="0074749C"/>
    <w:rsid w:val="00747884"/>
    <w:rsid w:val="0075010D"/>
    <w:rsid w:val="0075033A"/>
    <w:rsid w:val="00750554"/>
    <w:rsid w:val="00750EAF"/>
    <w:rsid w:val="0075163D"/>
    <w:rsid w:val="00751CCC"/>
    <w:rsid w:val="0075281F"/>
    <w:rsid w:val="00752846"/>
    <w:rsid w:val="007528B1"/>
    <w:rsid w:val="00753051"/>
    <w:rsid w:val="0075311D"/>
    <w:rsid w:val="007532C2"/>
    <w:rsid w:val="007535B9"/>
    <w:rsid w:val="0075360F"/>
    <w:rsid w:val="007538DD"/>
    <w:rsid w:val="00753A3F"/>
    <w:rsid w:val="00753C62"/>
    <w:rsid w:val="00754543"/>
    <w:rsid w:val="00754D5C"/>
    <w:rsid w:val="00754EE2"/>
    <w:rsid w:val="00754FD9"/>
    <w:rsid w:val="00755248"/>
    <w:rsid w:val="00755392"/>
    <w:rsid w:val="007556B2"/>
    <w:rsid w:val="0075582D"/>
    <w:rsid w:val="0075592E"/>
    <w:rsid w:val="00755C8F"/>
    <w:rsid w:val="00755E1F"/>
    <w:rsid w:val="0075613F"/>
    <w:rsid w:val="0075644B"/>
    <w:rsid w:val="00756976"/>
    <w:rsid w:val="00756BAC"/>
    <w:rsid w:val="007571DC"/>
    <w:rsid w:val="007576F9"/>
    <w:rsid w:val="0075794F"/>
    <w:rsid w:val="00757B9E"/>
    <w:rsid w:val="007606B3"/>
    <w:rsid w:val="007614B1"/>
    <w:rsid w:val="00761542"/>
    <w:rsid w:val="007618C3"/>
    <w:rsid w:val="007621CF"/>
    <w:rsid w:val="00762465"/>
    <w:rsid w:val="00762647"/>
    <w:rsid w:val="007626AC"/>
    <w:rsid w:val="007627F1"/>
    <w:rsid w:val="007628DA"/>
    <w:rsid w:val="00762937"/>
    <w:rsid w:val="00763094"/>
    <w:rsid w:val="00763102"/>
    <w:rsid w:val="00763935"/>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908"/>
    <w:rsid w:val="00767B19"/>
    <w:rsid w:val="00767BD5"/>
    <w:rsid w:val="00767E9E"/>
    <w:rsid w:val="00770079"/>
    <w:rsid w:val="00770537"/>
    <w:rsid w:val="00770797"/>
    <w:rsid w:val="00770AAF"/>
    <w:rsid w:val="007713E7"/>
    <w:rsid w:val="0077143C"/>
    <w:rsid w:val="00771780"/>
    <w:rsid w:val="007717C9"/>
    <w:rsid w:val="0077205A"/>
    <w:rsid w:val="007720F9"/>
    <w:rsid w:val="007732E9"/>
    <w:rsid w:val="00773CAF"/>
    <w:rsid w:val="00773D78"/>
    <w:rsid w:val="00773DFD"/>
    <w:rsid w:val="0077414D"/>
    <w:rsid w:val="0077453D"/>
    <w:rsid w:val="00775C1B"/>
    <w:rsid w:val="00775C54"/>
    <w:rsid w:val="007760B5"/>
    <w:rsid w:val="00776B8D"/>
    <w:rsid w:val="00776C87"/>
    <w:rsid w:val="00776E3A"/>
    <w:rsid w:val="00777395"/>
    <w:rsid w:val="00777599"/>
    <w:rsid w:val="00777845"/>
    <w:rsid w:val="00777A7E"/>
    <w:rsid w:val="007801B7"/>
    <w:rsid w:val="0078047D"/>
    <w:rsid w:val="00780524"/>
    <w:rsid w:val="00780B83"/>
    <w:rsid w:val="007811BD"/>
    <w:rsid w:val="00781BDB"/>
    <w:rsid w:val="00781CA0"/>
    <w:rsid w:val="0078204F"/>
    <w:rsid w:val="007821A2"/>
    <w:rsid w:val="00782364"/>
    <w:rsid w:val="007838D0"/>
    <w:rsid w:val="00784248"/>
    <w:rsid w:val="00784653"/>
    <w:rsid w:val="00784A66"/>
    <w:rsid w:val="00784AB5"/>
    <w:rsid w:val="00784BDA"/>
    <w:rsid w:val="00785B3B"/>
    <w:rsid w:val="00785BD1"/>
    <w:rsid w:val="00786118"/>
    <w:rsid w:val="0078716C"/>
    <w:rsid w:val="007872D7"/>
    <w:rsid w:val="007874E4"/>
    <w:rsid w:val="00787875"/>
    <w:rsid w:val="00787E88"/>
    <w:rsid w:val="007907CC"/>
    <w:rsid w:val="0079098D"/>
    <w:rsid w:val="00790A2E"/>
    <w:rsid w:val="00791268"/>
    <w:rsid w:val="00791468"/>
    <w:rsid w:val="00791FF2"/>
    <w:rsid w:val="00792137"/>
    <w:rsid w:val="00792356"/>
    <w:rsid w:val="00793AD7"/>
    <w:rsid w:val="00793D8E"/>
    <w:rsid w:val="00793EFB"/>
    <w:rsid w:val="00793FD7"/>
    <w:rsid w:val="007941FE"/>
    <w:rsid w:val="00794431"/>
    <w:rsid w:val="00794A07"/>
    <w:rsid w:val="00794EB8"/>
    <w:rsid w:val="007951B3"/>
    <w:rsid w:val="007957B5"/>
    <w:rsid w:val="0079581E"/>
    <w:rsid w:val="0079588F"/>
    <w:rsid w:val="00795960"/>
    <w:rsid w:val="00795C9B"/>
    <w:rsid w:val="007963F0"/>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458"/>
    <w:rsid w:val="007A6669"/>
    <w:rsid w:val="007A77DA"/>
    <w:rsid w:val="007A7FAA"/>
    <w:rsid w:val="007B054A"/>
    <w:rsid w:val="007B0E10"/>
    <w:rsid w:val="007B1453"/>
    <w:rsid w:val="007B19FD"/>
    <w:rsid w:val="007B1CE5"/>
    <w:rsid w:val="007B253D"/>
    <w:rsid w:val="007B3B02"/>
    <w:rsid w:val="007B3CCE"/>
    <w:rsid w:val="007B3F4C"/>
    <w:rsid w:val="007B3F78"/>
    <w:rsid w:val="007B417E"/>
    <w:rsid w:val="007B4411"/>
    <w:rsid w:val="007B4B4A"/>
    <w:rsid w:val="007B4E43"/>
    <w:rsid w:val="007B4F8A"/>
    <w:rsid w:val="007B57FD"/>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DE2"/>
    <w:rsid w:val="007C404B"/>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11FD"/>
    <w:rsid w:val="007D15F8"/>
    <w:rsid w:val="007D2361"/>
    <w:rsid w:val="007D2543"/>
    <w:rsid w:val="007D2882"/>
    <w:rsid w:val="007D310C"/>
    <w:rsid w:val="007D32D5"/>
    <w:rsid w:val="007D38FB"/>
    <w:rsid w:val="007D3957"/>
    <w:rsid w:val="007D3A02"/>
    <w:rsid w:val="007D3F39"/>
    <w:rsid w:val="007D42E3"/>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22AE"/>
    <w:rsid w:val="007E2938"/>
    <w:rsid w:val="007E29FA"/>
    <w:rsid w:val="007E2A56"/>
    <w:rsid w:val="007E2FDD"/>
    <w:rsid w:val="007E3AA3"/>
    <w:rsid w:val="007E3E04"/>
    <w:rsid w:val="007E40F4"/>
    <w:rsid w:val="007E41D6"/>
    <w:rsid w:val="007E4551"/>
    <w:rsid w:val="007E517E"/>
    <w:rsid w:val="007E5346"/>
    <w:rsid w:val="007E563A"/>
    <w:rsid w:val="007E61A6"/>
    <w:rsid w:val="007E628F"/>
    <w:rsid w:val="007E6756"/>
    <w:rsid w:val="007E7343"/>
    <w:rsid w:val="007E7741"/>
    <w:rsid w:val="007E7A77"/>
    <w:rsid w:val="007E7F4F"/>
    <w:rsid w:val="007F001D"/>
    <w:rsid w:val="007F0570"/>
    <w:rsid w:val="007F0690"/>
    <w:rsid w:val="007F0AAB"/>
    <w:rsid w:val="007F0B38"/>
    <w:rsid w:val="007F0DC9"/>
    <w:rsid w:val="007F0E41"/>
    <w:rsid w:val="007F176C"/>
    <w:rsid w:val="007F1B6C"/>
    <w:rsid w:val="007F1BBE"/>
    <w:rsid w:val="007F1D3B"/>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0719"/>
    <w:rsid w:val="008011C0"/>
    <w:rsid w:val="008012BE"/>
    <w:rsid w:val="00801C56"/>
    <w:rsid w:val="00801DD8"/>
    <w:rsid w:val="00801FA9"/>
    <w:rsid w:val="0080280B"/>
    <w:rsid w:val="00802B16"/>
    <w:rsid w:val="008030D4"/>
    <w:rsid w:val="00803B10"/>
    <w:rsid w:val="00804326"/>
    <w:rsid w:val="0080467C"/>
    <w:rsid w:val="008048AA"/>
    <w:rsid w:val="00805CDC"/>
    <w:rsid w:val="00806163"/>
    <w:rsid w:val="008064C5"/>
    <w:rsid w:val="00807176"/>
    <w:rsid w:val="008071DB"/>
    <w:rsid w:val="0080751E"/>
    <w:rsid w:val="00807889"/>
    <w:rsid w:val="008100A7"/>
    <w:rsid w:val="0081043E"/>
    <w:rsid w:val="00810C3C"/>
    <w:rsid w:val="00810CE7"/>
    <w:rsid w:val="00811409"/>
    <w:rsid w:val="008116EA"/>
    <w:rsid w:val="008116ED"/>
    <w:rsid w:val="00811E92"/>
    <w:rsid w:val="00811F75"/>
    <w:rsid w:val="00811FFD"/>
    <w:rsid w:val="00812389"/>
    <w:rsid w:val="00812E9F"/>
    <w:rsid w:val="008134A6"/>
    <w:rsid w:val="00813594"/>
    <w:rsid w:val="00813BED"/>
    <w:rsid w:val="00813E7B"/>
    <w:rsid w:val="0081409B"/>
    <w:rsid w:val="008145C8"/>
    <w:rsid w:val="00814665"/>
    <w:rsid w:val="00814874"/>
    <w:rsid w:val="008149C0"/>
    <w:rsid w:val="00814E9F"/>
    <w:rsid w:val="008153B5"/>
    <w:rsid w:val="00815759"/>
    <w:rsid w:val="00815BB1"/>
    <w:rsid w:val="008160F0"/>
    <w:rsid w:val="00816249"/>
    <w:rsid w:val="008168BB"/>
    <w:rsid w:val="0081691B"/>
    <w:rsid w:val="008171B8"/>
    <w:rsid w:val="008175C4"/>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4E8"/>
    <w:rsid w:val="00825DB8"/>
    <w:rsid w:val="00826003"/>
    <w:rsid w:val="008260BB"/>
    <w:rsid w:val="0082620B"/>
    <w:rsid w:val="00826792"/>
    <w:rsid w:val="00826B3F"/>
    <w:rsid w:val="00827915"/>
    <w:rsid w:val="00827CFD"/>
    <w:rsid w:val="0083040B"/>
    <w:rsid w:val="00830C2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90A"/>
    <w:rsid w:val="00836C74"/>
    <w:rsid w:val="008372AB"/>
    <w:rsid w:val="00837326"/>
    <w:rsid w:val="00837750"/>
    <w:rsid w:val="00837F7A"/>
    <w:rsid w:val="0084091E"/>
    <w:rsid w:val="0084094A"/>
    <w:rsid w:val="00840D3C"/>
    <w:rsid w:val="00840DBF"/>
    <w:rsid w:val="0084248F"/>
    <w:rsid w:val="00842663"/>
    <w:rsid w:val="00842800"/>
    <w:rsid w:val="00842AC5"/>
    <w:rsid w:val="0084366A"/>
    <w:rsid w:val="00844360"/>
    <w:rsid w:val="0084475B"/>
    <w:rsid w:val="00844AC1"/>
    <w:rsid w:val="00844B53"/>
    <w:rsid w:val="008464B0"/>
    <w:rsid w:val="0084659E"/>
    <w:rsid w:val="008466AF"/>
    <w:rsid w:val="00846BE4"/>
    <w:rsid w:val="00846CC3"/>
    <w:rsid w:val="00846D02"/>
    <w:rsid w:val="008475A6"/>
    <w:rsid w:val="0084766A"/>
    <w:rsid w:val="008479D3"/>
    <w:rsid w:val="00847AA5"/>
    <w:rsid w:val="00847EA3"/>
    <w:rsid w:val="00850149"/>
    <w:rsid w:val="00850291"/>
    <w:rsid w:val="008503C0"/>
    <w:rsid w:val="0085138F"/>
    <w:rsid w:val="00851B3B"/>
    <w:rsid w:val="00852510"/>
    <w:rsid w:val="00852686"/>
    <w:rsid w:val="008526FA"/>
    <w:rsid w:val="00852D80"/>
    <w:rsid w:val="00852E59"/>
    <w:rsid w:val="00853E24"/>
    <w:rsid w:val="00854071"/>
    <w:rsid w:val="008543EE"/>
    <w:rsid w:val="008550DB"/>
    <w:rsid w:val="008551EB"/>
    <w:rsid w:val="0085531F"/>
    <w:rsid w:val="0085551E"/>
    <w:rsid w:val="00855805"/>
    <w:rsid w:val="008559B5"/>
    <w:rsid w:val="00855C68"/>
    <w:rsid w:val="00856094"/>
    <w:rsid w:val="008560AA"/>
    <w:rsid w:val="008561A1"/>
    <w:rsid w:val="00856288"/>
    <w:rsid w:val="008564B8"/>
    <w:rsid w:val="00856871"/>
    <w:rsid w:val="00856908"/>
    <w:rsid w:val="008575B5"/>
    <w:rsid w:val="00857A63"/>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9D9"/>
    <w:rsid w:val="00863A1F"/>
    <w:rsid w:val="00863D3D"/>
    <w:rsid w:val="00863DCB"/>
    <w:rsid w:val="008643CD"/>
    <w:rsid w:val="00864882"/>
    <w:rsid w:val="00864B1E"/>
    <w:rsid w:val="00864E00"/>
    <w:rsid w:val="008653C0"/>
    <w:rsid w:val="0086560B"/>
    <w:rsid w:val="00866389"/>
    <w:rsid w:val="00866864"/>
    <w:rsid w:val="00866BB5"/>
    <w:rsid w:val="00867450"/>
    <w:rsid w:val="00867706"/>
    <w:rsid w:val="00867861"/>
    <w:rsid w:val="00867B84"/>
    <w:rsid w:val="00867CD9"/>
    <w:rsid w:val="0087062D"/>
    <w:rsid w:val="008708E8"/>
    <w:rsid w:val="00870998"/>
    <w:rsid w:val="00870AB4"/>
    <w:rsid w:val="00870AFB"/>
    <w:rsid w:val="008714F9"/>
    <w:rsid w:val="008715F0"/>
    <w:rsid w:val="008717FF"/>
    <w:rsid w:val="0087181F"/>
    <w:rsid w:val="00871963"/>
    <w:rsid w:val="00871C2F"/>
    <w:rsid w:val="00871E7C"/>
    <w:rsid w:val="008728AB"/>
    <w:rsid w:val="008728C5"/>
    <w:rsid w:val="00872A98"/>
    <w:rsid w:val="00872AC5"/>
    <w:rsid w:val="00873078"/>
    <w:rsid w:val="0087351E"/>
    <w:rsid w:val="00873CE9"/>
    <w:rsid w:val="00873EFE"/>
    <w:rsid w:val="00874364"/>
    <w:rsid w:val="00874A5E"/>
    <w:rsid w:val="00874CA8"/>
    <w:rsid w:val="00874F5C"/>
    <w:rsid w:val="00874FA2"/>
    <w:rsid w:val="00876005"/>
    <w:rsid w:val="00876312"/>
    <w:rsid w:val="00876780"/>
    <w:rsid w:val="00877626"/>
    <w:rsid w:val="00877F7F"/>
    <w:rsid w:val="00877F92"/>
    <w:rsid w:val="008805A0"/>
    <w:rsid w:val="008810DD"/>
    <w:rsid w:val="008816CE"/>
    <w:rsid w:val="008816FB"/>
    <w:rsid w:val="00881E44"/>
    <w:rsid w:val="00881E9A"/>
    <w:rsid w:val="008822AF"/>
    <w:rsid w:val="00882316"/>
    <w:rsid w:val="00882417"/>
    <w:rsid w:val="00882432"/>
    <w:rsid w:val="008826C3"/>
    <w:rsid w:val="00882854"/>
    <w:rsid w:val="00882C3B"/>
    <w:rsid w:val="00882FB9"/>
    <w:rsid w:val="0088313C"/>
    <w:rsid w:val="00883578"/>
    <w:rsid w:val="00883CE1"/>
    <w:rsid w:val="0088412A"/>
    <w:rsid w:val="008847A2"/>
    <w:rsid w:val="00884A78"/>
    <w:rsid w:val="00884D37"/>
    <w:rsid w:val="00885170"/>
    <w:rsid w:val="0088526F"/>
    <w:rsid w:val="00885666"/>
    <w:rsid w:val="0088606B"/>
    <w:rsid w:val="008861FD"/>
    <w:rsid w:val="008864A2"/>
    <w:rsid w:val="0088692F"/>
    <w:rsid w:val="008870D5"/>
    <w:rsid w:val="00887889"/>
    <w:rsid w:val="00887E26"/>
    <w:rsid w:val="00890569"/>
    <w:rsid w:val="00890D19"/>
    <w:rsid w:val="008918D5"/>
    <w:rsid w:val="00891CAD"/>
    <w:rsid w:val="00892162"/>
    <w:rsid w:val="008921EB"/>
    <w:rsid w:val="00892450"/>
    <w:rsid w:val="008927E9"/>
    <w:rsid w:val="008937E7"/>
    <w:rsid w:val="008941C5"/>
    <w:rsid w:val="0089461C"/>
    <w:rsid w:val="00894729"/>
    <w:rsid w:val="008948E6"/>
    <w:rsid w:val="00894FFE"/>
    <w:rsid w:val="008951AA"/>
    <w:rsid w:val="00895492"/>
    <w:rsid w:val="00896485"/>
    <w:rsid w:val="00896921"/>
    <w:rsid w:val="00896B04"/>
    <w:rsid w:val="00896CC0"/>
    <w:rsid w:val="00896DA5"/>
    <w:rsid w:val="00897291"/>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C30"/>
    <w:rsid w:val="008A4124"/>
    <w:rsid w:val="008A45A1"/>
    <w:rsid w:val="008A4770"/>
    <w:rsid w:val="008A4EDC"/>
    <w:rsid w:val="008A5333"/>
    <w:rsid w:val="008A539F"/>
    <w:rsid w:val="008A579E"/>
    <w:rsid w:val="008A5944"/>
    <w:rsid w:val="008A61BD"/>
    <w:rsid w:val="008A7648"/>
    <w:rsid w:val="008B15A1"/>
    <w:rsid w:val="008B17A9"/>
    <w:rsid w:val="008B22BA"/>
    <w:rsid w:val="008B2503"/>
    <w:rsid w:val="008B2505"/>
    <w:rsid w:val="008B2592"/>
    <w:rsid w:val="008B27CF"/>
    <w:rsid w:val="008B2922"/>
    <w:rsid w:val="008B2C4C"/>
    <w:rsid w:val="008B365B"/>
    <w:rsid w:val="008B366F"/>
    <w:rsid w:val="008B3681"/>
    <w:rsid w:val="008B3896"/>
    <w:rsid w:val="008B38DF"/>
    <w:rsid w:val="008B3D88"/>
    <w:rsid w:val="008B456E"/>
    <w:rsid w:val="008B48B6"/>
    <w:rsid w:val="008B48F4"/>
    <w:rsid w:val="008B4C18"/>
    <w:rsid w:val="008B4E97"/>
    <w:rsid w:val="008B5D17"/>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952"/>
    <w:rsid w:val="008C1B35"/>
    <w:rsid w:val="008C268A"/>
    <w:rsid w:val="008C2D60"/>
    <w:rsid w:val="008C3348"/>
    <w:rsid w:val="008C3771"/>
    <w:rsid w:val="008C3D13"/>
    <w:rsid w:val="008C4AD9"/>
    <w:rsid w:val="008C4EFD"/>
    <w:rsid w:val="008C5188"/>
    <w:rsid w:val="008C57CD"/>
    <w:rsid w:val="008C5CD2"/>
    <w:rsid w:val="008C617C"/>
    <w:rsid w:val="008C6E70"/>
    <w:rsid w:val="008C7618"/>
    <w:rsid w:val="008C7742"/>
    <w:rsid w:val="008C7B96"/>
    <w:rsid w:val="008D0661"/>
    <w:rsid w:val="008D071A"/>
    <w:rsid w:val="008D0763"/>
    <w:rsid w:val="008D0815"/>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B83"/>
    <w:rsid w:val="008D4CBE"/>
    <w:rsid w:val="008D5131"/>
    <w:rsid w:val="008D53FA"/>
    <w:rsid w:val="008D5A2B"/>
    <w:rsid w:val="008D60A8"/>
    <w:rsid w:val="008D64E8"/>
    <w:rsid w:val="008D6D71"/>
    <w:rsid w:val="008D6DF8"/>
    <w:rsid w:val="008D6EBB"/>
    <w:rsid w:val="008D786D"/>
    <w:rsid w:val="008D7F6D"/>
    <w:rsid w:val="008E05E1"/>
    <w:rsid w:val="008E06BA"/>
    <w:rsid w:val="008E0B1B"/>
    <w:rsid w:val="008E11BB"/>
    <w:rsid w:val="008E14A4"/>
    <w:rsid w:val="008E19ED"/>
    <w:rsid w:val="008E1A61"/>
    <w:rsid w:val="008E2295"/>
    <w:rsid w:val="008E2C0F"/>
    <w:rsid w:val="008E32D7"/>
    <w:rsid w:val="008E3385"/>
    <w:rsid w:val="008E338D"/>
    <w:rsid w:val="008E38AF"/>
    <w:rsid w:val="008E400D"/>
    <w:rsid w:val="008E4FA3"/>
    <w:rsid w:val="008E558C"/>
    <w:rsid w:val="008E589D"/>
    <w:rsid w:val="008E5D63"/>
    <w:rsid w:val="008E5DD1"/>
    <w:rsid w:val="008E615B"/>
    <w:rsid w:val="008E6F98"/>
    <w:rsid w:val="008E7250"/>
    <w:rsid w:val="008E73F4"/>
    <w:rsid w:val="008E7753"/>
    <w:rsid w:val="008F0929"/>
    <w:rsid w:val="008F1369"/>
    <w:rsid w:val="008F19CB"/>
    <w:rsid w:val="008F2115"/>
    <w:rsid w:val="008F24D7"/>
    <w:rsid w:val="008F2622"/>
    <w:rsid w:val="008F2EBC"/>
    <w:rsid w:val="008F32ED"/>
    <w:rsid w:val="008F3F50"/>
    <w:rsid w:val="008F43BD"/>
    <w:rsid w:val="008F4828"/>
    <w:rsid w:val="008F4A0E"/>
    <w:rsid w:val="008F4EAD"/>
    <w:rsid w:val="008F511C"/>
    <w:rsid w:val="008F5289"/>
    <w:rsid w:val="008F52C7"/>
    <w:rsid w:val="008F5376"/>
    <w:rsid w:val="008F559B"/>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29C"/>
    <w:rsid w:val="00901414"/>
    <w:rsid w:val="009017DF"/>
    <w:rsid w:val="00901A59"/>
    <w:rsid w:val="00901FAD"/>
    <w:rsid w:val="00902535"/>
    <w:rsid w:val="0090258A"/>
    <w:rsid w:val="009027C5"/>
    <w:rsid w:val="00902A78"/>
    <w:rsid w:val="00902B8F"/>
    <w:rsid w:val="009037D1"/>
    <w:rsid w:val="00903DA3"/>
    <w:rsid w:val="00903E77"/>
    <w:rsid w:val="0090428B"/>
    <w:rsid w:val="009048C4"/>
    <w:rsid w:val="00905576"/>
    <w:rsid w:val="00905A38"/>
    <w:rsid w:val="00905C5F"/>
    <w:rsid w:val="00905D29"/>
    <w:rsid w:val="009064EE"/>
    <w:rsid w:val="0090710B"/>
    <w:rsid w:val="009073AA"/>
    <w:rsid w:val="009076CD"/>
    <w:rsid w:val="009077D6"/>
    <w:rsid w:val="00907D61"/>
    <w:rsid w:val="00907E14"/>
    <w:rsid w:val="00907E7C"/>
    <w:rsid w:val="00907F17"/>
    <w:rsid w:val="009106C2"/>
    <w:rsid w:val="0091072E"/>
    <w:rsid w:val="00910A0F"/>
    <w:rsid w:val="00910F65"/>
    <w:rsid w:val="009119B9"/>
    <w:rsid w:val="00911DCF"/>
    <w:rsid w:val="009125F2"/>
    <w:rsid w:val="00912770"/>
    <w:rsid w:val="009129D6"/>
    <w:rsid w:val="00912CE7"/>
    <w:rsid w:val="00912D2F"/>
    <w:rsid w:val="00912D7F"/>
    <w:rsid w:val="00912E47"/>
    <w:rsid w:val="0091308D"/>
    <w:rsid w:val="009130D3"/>
    <w:rsid w:val="00913796"/>
    <w:rsid w:val="009137AA"/>
    <w:rsid w:val="009146F0"/>
    <w:rsid w:val="00914B45"/>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40D"/>
    <w:rsid w:val="0092150C"/>
    <w:rsid w:val="00921ADC"/>
    <w:rsid w:val="009221D6"/>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9F"/>
    <w:rsid w:val="00932DAC"/>
    <w:rsid w:val="009336D9"/>
    <w:rsid w:val="00933766"/>
    <w:rsid w:val="00933B5F"/>
    <w:rsid w:val="00933C13"/>
    <w:rsid w:val="00933D00"/>
    <w:rsid w:val="0093474F"/>
    <w:rsid w:val="0093577D"/>
    <w:rsid w:val="00935833"/>
    <w:rsid w:val="00935AD4"/>
    <w:rsid w:val="00935C40"/>
    <w:rsid w:val="00936197"/>
    <w:rsid w:val="0093651E"/>
    <w:rsid w:val="00936A97"/>
    <w:rsid w:val="00936E17"/>
    <w:rsid w:val="009370C1"/>
    <w:rsid w:val="009371C5"/>
    <w:rsid w:val="00941033"/>
    <w:rsid w:val="00941216"/>
    <w:rsid w:val="009412B8"/>
    <w:rsid w:val="00941365"/>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A6B"/>
    <w:rsid w:val="00951531"/>
    <w:rsid w:val="009522D3"/>
    <w:rsid w:val="0095246C"/>
    <w:rsid w:val="00952671"/>
    <w:rsid w:val="009529AA"/>
    <w:rsid w:val="00952F25"/>
    <w:rsid w:val="00952F9D"/>
    <w:rsid w:val="00952FB3"/>
    <w:rsid w:val="0095330D"/>
    <w:rsid w:val="009534F9"/>
    <w:rsid w:val="00953CA0"/>
    <w:rsid w:val="0095448E"/>
    <w:rsid w:val="009546C7"/>
    <w:rsid w:val="00954E5A"/>
    <w:rsid w:val="0095525F"/>
    <w:rsid w:val="00955741"/>
    <w:rsid w:val="00955845"/>
    <w:rsid w:val="00955C90"/>
    <w:rsid w:val="00955F3A"/>
    <w:rsid w:val="009563FF"/>
    <w:rsid w:val="00956477"/>
    <w:rsid w:val="009577EE"/>
    <w:rsid w:val="00957913"/>
    <w:rsid w:val="00957922"/>
    <w:rsid w:val="00957A64"/>
    <w:rsid w:val="00960D30"/>
    <w:rsid w:val="0096156B"/>
    <w:rsid w:val="00961991"/>
    <w:rsid w:val="00962E15"/>
    <w:rsid w:val="009647E9"/>
    <w:rsid w:val="009648B7"/>
    <w:rsid w:val="00964AC2"/>
    <w:rsid w:val="00965037"/>
    <w:rsid w:val="009664EC"/>
    <w:rsid w:val="00966A8E"/>
    <w:rsid w:val="00966E8F"/>
    <w:rsid w:val="00967668"/>
    <w:rsid w:val="00967689"/>
    <w:rsid w:val="00967708"/>
    <w:rsid w:val="00967DA0"/>
    <w:rsid w:val="0097030C"/>
    <w:rsid w:val="0097049D"/>
    <w:rsid w:val="00970522"/>
    <w:rsid w:val="00970719"/>
    <w:rsid w:val="0097079C"/>
    <w:rsid w:val="00970D67"/>
    <w:rsid w:val="00970EB5"/>
    <w:rsid w:val="00971581"/>
    <w:rsid w:val="009719B6"/>
    <w:rsid w:val="00971BD4"/>
    <w:rsid w:val="00972297"/>
    <w:rsid w:val="0097245F"/>
    <w:rsid w:val="00972506"/>
    <w:rsid w:val="00972AE8"/>
    <w:rsid w:val="00972EE0"/>
    <w:rsid w:val="00972EE6"/>
    <w:rsid w:val="00972F16"/>
    <w:rsid w:val="00973007"/>
    <w:rsid w:val="00973116"/>
    <w:rsid w:val="009736E3"/>
    <w:rsid w:val="00973711"/>
    <w:rsid w:val="0097381B"/>
    <w:rsid w:val="00973D4F"/>
    <w:rsid w:val="00973E17"/>
    <w:rsid w:val="0097461A"/>
    <w:rsid w:val="00974949"/>
    <w:rsid w:val="00974CF0"/>
    <w:rsid w:val="009752B6"/>
    <w:rsid w:val="0097580B"/>
    <w:rsid w:val="009760C7"/>
    <w:rsid w:val="00976915"/>
    <w:rsid w:val="00976C5C"/>
    <w:rsid w:val="00976EB1"/>
    <w:rsid w:val="009772AC"/>
    <w:rsid w:val="00977E60"/>
    <w:rsid w:val="00977EDB"/>
    <w:rsid w:val="0098011B"/>
    <w:rsid w:val="009804C1"/>
    <w:rsid w:val="0098068D"/>
    <w:rsid w:val="0098098C"/>
    <w:rsid w:val="0098099D"/>
    <w:rsid w:val="0098114E"/>
    <w:rsid w:val="009812A8"/>
    <w:rsid w:val="00981F69"/>
    <w:rsid w:val="00982A00"/>
    <w:rsid w:val="00982CAD"/>
    <w:rsid w:val="00983626"/>
    <w:rsid w:val="0098368D"/>
    <w:rsid w:val="00983A4F"/>
    <w:rsid w:val="0098409D"/>
    <w:rsid w:val="009844BD"/>
    <w:rsid w:val="00985832"/>
    <w:rsid w:val="00986140"/>
    <w:rsid w:val="0098634A"/>
    <w:rsid w:val="0098644E"/>
    <w:rsid w:val="00986580"/>
    <w:rsid w:val="00986A0A"/>
    <w:rsid w:val="00986AD0"/>
    <w:rsid w:val="00986D93"/>
    <w:rsid w:val="00987174"/>
    <w:rsid w:val="00987604"/>
    <w:rsid w:val="0098783C"/>
    <w:rsid w:val="00987B9C"/>
    <w:rsid w:val="00987D6E"/>
    <w:rsid w:val="009902B1"/>
    <w:rsid w:val="00990604"/>
    <w:rsid w:val="009906E0"/>
    <w:rsid w:val="00991085"/>
    <w:rsid w:val="00991308"/>
    <w:rsid w:val="009919C2"/>
    <w:rsid w:val="00992450"/>
    <w:rsid w:val="00992DDC"/>
    <w:rsid w:val="00992EBB"/>
    <w:rsid w:val="00993B63"/>
    <w:rsid w:val="00994138"/>
    <w:rsid w:val="00994544"/>
    <w:rsid w:val="009945C8"/>
    <w:rsid w:val="0099494B"/>
    <w:rsid w:val="00994A47"/>
    <w:rsid w:val="0099537A"/>
    <w:rsid w:val="0099568B"/>
    <w:rsid w:val="009956DC"/>
    <w:rsid w:val="00995EEF"/>
    <w:rsid w:val="0099616D"/>
    <w:rsid w:val="009971E1"/>
    <w:rsid w:val="0099753F"/>
    <w:rsid w:val="009978FE"/>
    <w:rsid w:val="00997D13"/>
    <w:rsid w:val="009A00CE"/>
    <w:rsid w:val="009A0AE8"/>
    <w:rsid w:val="009A16D3"/>
    <w:rsid w:val="009A1722"/>
    <w:rsid w:val="009A1737"/>
    <w:rsid w:val="009A19FB"/>
    <w:rsid w:val="009A23B2"/>
    <w:rsid w:val="009A2582"/>
    <w:rsid w:val="009A292F"/>
    <w:rsid w:val="009A37D1"/>
    <w:rsid w:val="009A37E8"/>
    <w:rsid w:val="009A3F69"/>
    <w:rsid w:val="009A4C64"/>
    <w:rsid w:val="009A4D75"/>
    <w:rsid w:val="009A4EFB"/>
    <w:rsid w:val="009A5C50"/>
    <w:rsid w:val="009A5D02"/>
    <w:rsid w:val="009A63B2"/>
    <w:rsid w:val="009A6990"/>
    <w:rsid w:val="009A69EB"/>
    <w:rsid w:val="009A6B1B"/>
    <w:rsid w:val="009A6BFD"/>
    <w:rsid w:val="009A6F9A"/>
    <w:rsid w:val="009A6FAF"/>
    <w:rsid w:val="009A7AB3"/>
    <w:rsid w:val="009A7E67"/>
    <w:rsid w:val="009A7F86"/>
    <w:rsid w:val="009B06D0"/>
    <w:rsid w:val="009B09AB"/>
    <w:rsid w:val="009B0A6F"/>
    <w:rsid w:val="009B13FF"/>
    <w:rsid w:val="009B17BE"/>
    <w:rsid w:val="009B286F"/>
    <w:rsid w:val="009B32F3"/>
    <w:rsid w:val="009B35DD"/>
    <w:rsid w:val="009B3CC3"/>
    <w:rsid w:val="009B4279"/>
    <w:rsid w:val="009B4B1E"/>
    <w:rsid w:val="009B5B91"/>
    <w:rsid w:val="009B5E11"/>
    <w:rsid w:val="009B5F5A"/>
    <w:rsid w:val="009B6534"/>
    <w:rsid w:val="009B6574"/>
    <w:rsid w:val="009B675D"/>
    <w:rsid w:val="009B68C8"/>
    <w:rsid w:val="009B6BA0"/>
    <w:rsid w:val="009B6FB6"/>
    <w:rsid w:val="009B7329"/>
    <w:rsid w:val="009B7508"/>
    <w:rsid w:val="009B7B14"/>
    <w:rsid w:val="009B7B4B"/>
    <w:rsid w:val="009B7F13"/>
    <w:rsid w:val="009C0C7A"/>
    <w:rsid w:val="009C18F4"/>
    <w:rsid w:val="009C19FC"/>
    <w:rsid w:val="009C1F84"/>
    <w:rsid w:val="009C2176"/>
    <w:rsid w:val="009C2DD1"/>
    <w:rsid w:val="009C2E99"/>
    <w:rsid w:val="009C34A2"/>
    <w:rsid w:val="009C3597"/>
    <w:rsid w:val="009C36C1"/>
    <w:rsid w:val="009C4426"/>
    <w:rsid w:val="009C45A9"/>
    <w:rsid w:val="009C4758"/>
    <w:rsid w:val="009C475F"/>
    <w:rsid w:val="009C47B7"/>
    <w:rsid w:val="009C4C3F"/>
    <w:rsid w:val="009C4F4E"/>
    <w:rsid w:val="009C5D9F"/>
    <w:rsid w:val="009C60B6"/>
    <w:rsid w:val="009C61B5"/>
    <w:rsid w:val="009C6534"/>
    <w:rsid w:val="009C670F"/>
    <w:rsid w:val="009C675F"/>
    <w:rsid w:val="009C6BBE"/>
    <w:rsid w:val="009C6EF9"/>
    <w:rsid w:val="009C73D0"/>
    <w:rsid w:val="009C7B32"/>
    <w:rsid w:val="009D0D09"/>
    <w:rsid w:val="009D0EB0"/>
    <w:rsid w:val="009D111B"/>
    <w:rsid w:val="009D12B7"/>
    <w:rsid w:val="009D14E0"/>
    <w:rsid w:val="009D1509"/>
    <w:rsid w:val="009D1641"/>
    <w:rsid w:val="009D2A4F"/>
    <w:rsid w:val="009D2B0D"/>
    <w:rsid w:val="009D3237"/>
    <w:rsid w:val="009D3F90"/>
    <w:rsid w:val="009D43A6"/>
    <w:rsid w:val="009D4576"/>
    <w:rsid w:val="009D4ED0"/>
    <w:rsid w:val="009D4F37"/>
    <w:rsid w:val="009D4F95"/>
    <w:rsid w:val="009D512D"/>
    <w:rsid w:val="009D5AF6"/>
    <w:rsid w:val="009D5BF3"/>
    <w:rsid w:val="009D5FE5"/>
    <w:rsid w:val="009D64B0"/>
    <w:rsid w:val="009D6B58"/>
    <w:rsid w:val="009D70E0"/>
    <w:rsid w:val="009D7713"/>
    <w:rsid w:val="009D7B31"/>
    <w:rsid w:val="009D7D6B"/>
    <w:rsid w:val="009E0191"/>
    <w:rsid w:val="009E02FB"/>
    <w:rsid w:val="009E034B"/>
    <w:rsid w:val="009E058F"/>
    <w:rsid w:val="009E07CA"/>
    <w:rsid w:val="009E0E9E"/>
    <w:rsid w:val="009E165B"/>
    <w:rsid w:val="009E1944"/>
    <w:rsid w:val="009E1B40"/>
    <w:rsid w:val="009E2816"/>
    <w:rsid w:val="009E29FF"/>
    <w:rsid w:val="009E2AC0"/>
    <w:rsid w:val="009E2D43"/>
    <w:rsid w:val="009E31B3"/>
    <w:rsid w:val="009E3684"/>
    <w:rsid w:val="009E3868"/>
    <w:rsid w:val="009E3FC6"/>
    <w:rsid w:val="009E41C3"/>
    <w:rsid w:val="009E5300"/>
    <w:rsid w:val="009E5A0F"/>
    <w:rsid w:val="009E5A65"/>
    <w:rsid w:val="009E5CC3"/>
    <w:rsid w:val="009E693B"/>
    <w:rsid w:val="009E69D0"/>
    <w:rsid w:val="009E6D0B"/>
    <w:rsid w:val="009E772A"/>
    <w:rsid w:val="009E7882"/>
    <w:rsid w:val="009E79ED"/>
    <w:rsid w:val="009F00E3"/>
    <w:rsid w:val="009F06CF"/>
    <w:rsid w:val="009F075A"/>
    <w:rsid w:val="009F09C1"/>
    <w:rsid w:val="009F09C2"/>
    <w:rsid w:val="009F1017"/>
    <w:rsid w:val="009F1068"/>
    <w:rsid w:val="009F10A8"/>
    <w:rsid w:val="009F17CD"/>
    <w:rsid w:val="009F17F9"/>
    <w:rsid w:val="009F1936"/>
    <w:rsid w:val="009F22B2"/>
    <w:rsid w:val="009F22F4"/>
    <w:rsid w:val="009F2AC5"/>
    <w:rsid w:val="009F2E46"/>
    <w:rsid w:val="009F2E49"/>
    <w:rsid w:val="009F2ECA"/>
    <w:rsid w:val="009F3A36"/>
    <w:rsid w:val="009F3CC8"/>
    <w:rsid w:val="009F3CE7"/>
    <w:rsid w:val="009F42B4"/>
    <w:rsid w:val="009F43DB"/>
    <w:rsid w:val="009F4CA1"/>
    <w:rsid w:val="009F4FA8"/>
    <w:rsid w:val="009F55FD"/>
    <w:rsid w:val="009F60A9"/>
    <w:rsid w:val="009F6BC1"/>
    <w:rsid w:val="009F702B"/>
    <w:rsid w:val="009F72F0"/>
    <w:rsid w:val="009F7934"/>
    <w:rsid w:val="00A0057D"/>
    <w:rsid w:val="00A00EC9"/>
    <w:rsid w:val="00A0160E"/>
    <w:rsid w:val="00A01A0B"/>
    <w:rsid w:val="00A01E7D"/>
    <w:rsid w:val="00A01F5B"/>
    <w:rsid w:val="00A02071"/>
    <w:rsid w:val="00A025B2"/>
    <w:rsid w:val="00A026D3"/>
    <w:rsid w:val="00A0279D"/>
    <w:rsid w:val="00A02F6C"/>
    <w:rsid w:val="00A02FA7"/>
    <w:rsid w:val="00A02FC4"/>
    <w:rsid w:val="00A0327F"/>
    <w:rsid w:val="00A032C2"/>
    <w:rsid w:val="00A03314"/>
    <w:rsid w:val="00A03E2A"/>
    <w:rsid w:val="00A042D3"/>
    <w:rsid w:val="00A048C8"/>
    <w:rsid w:val="00A04D8A"/>
    <w:rsid w:val="00A0502F"/>
    <w:rsid w:val="00A055EF"/>
    <w:rsid w:val="00A064B2"/>
    <w:rsid w:val="00A0651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4E81"/>
    <w:rsid w:val="00A152AF"/>
    <w:rsid w:val="00A1547E"/>
    <w:rsid w:val="00A15A7C"/>
    <w:rsid w:val="00A16413"/>
    <w:rsid w:val="00A16684"/>
    <w:rsid w:val="00A16CE4"/>
    <w:rsid w:val="00A175D3"/>
    <w:rsid w:val="00A17C46"/>
    <w:rsid w:val="00A20309"/>
    <w:rsid w:val="00A20C9A"/>
    <w:rsid w:val="00A21683"/>
    <w:rsid w:val="00A21992"/>
    <w:rsid w:val="00A21C2F"/>
    <w:rsid w:val="00A21D47"/>
    <w:rsid w:val="00A2262B"/>
    <w:rsid w:val="00A2264B"/>
    <w:rsid w:val="00A22C4F"/>
    <w:rsid w:val="00A23486"/>
    <w:rsid w:val="00A23876"/>
    <w:rsid w:val="00A2424A"/>
    <w:rsid w:val="00A244B1"/>
    <w:rsid w:val="00A247DA"/>
    <w:rsid w:val="00A254B6"/>
    <w:rsid w:val="00A2584B"/>
    <w:rsid w:val="00A25AB6"/>
    <w:rsid w:val="00A30171"/>
    <w:rsid w:val="00A301BB"/>
    <w:rsid w:val="00A30616"/>
    <w:rsid w:val="00A3091A"/>
    <w:rsid w:val="00A30A48"/>
    <w:rsid w:val="00A30EC8"/>
    <w:rsid w:val="00A3107A"/>
    <w:rsid w:val="00A32461"/>
    <w:rsid w:val="00A3268F"/>
    <w:rsid w:val="00A330B7"/>
    <w:rsid w:val="00A33E32"/>
    <w:rsid w:val="00A34502"/>
    <w:rsid w:val="00A34619"/>
    <w:rsid w:val="00A34AF7"/>
    <w:rsid w:val="00A34FE0"/>
    <w:rsid w:val="00A34FFF"/>
    <w:rsid w:val="00A359E5"/>
    <w:rsid w:val="00A35AB7"/>
    <w:rsid w:val="00A363C2"/>
    <w:rsid w:val="00A365EC"/>
    <w:rsid w:val="00A365FB"/>
    <w:rsid w:val="00A36878"/>
    <w:rsid w:val="00A36A68"/>
    <w:rsid w:val="00A37839"/>
    <w:rsid w:val="00A407D6"/>
    <w:rsid w:val="00A408E7"/>
    <w:rsid w:val="00A40E01"/>
    <w:rsid w:val="00A41607"/>
    <w:rsid w:val="00A4179F"/>
    <w:rsid w:val="00A41ACF"/>
    <w:rsid w:val="00A42028"/>
    <w:rsid w:val="00A42990"/>
    <w:rsid w:val="00A42B18"/>
    <w:rsid w:val="00A4304E"/>
    <w:rsid w:val="00A4304F"/>
    <w:rsid w:val="00A437FE"/>
    <w:rsid w:val="00A43B64"/>
    <w:rsid w:val="00A44426"/>
    <w:rsid w:val="00A4489D"/>
    <w:rsid w:val="00A448F9"/>
    <w:rsid w:val="00A45270"/>
    <w:rsid w:val="00A4545E"/>
    <w:rsid w:val="00A454FC"/>
    <w:rsid w:val="00A45718"/>
    <w:rsid w:val="00A46405"/>
    <w:rsid w:val="00A46EE0"/>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B96"/>
    <w:rsid w:val="00A56C0C"/>
    <w:rsid w:val="00A56C12"/>
    <w:rsid w:val="00A57071"/>
    <w:rsid w:val="00A57755"/>
    <w:rsid w:val="00A579D1"/>
    <w:rsid w:val="00A57FF1"/>
    <w:rsid w:val="00A6046C"/>
    <w:rsid w:val="00A60540"/>
    <w:rsid w:val="00A6089A"/>
    <w:rsid w:val="00A614D3"/>
    <w:rsid w:val="00A6230B"/>
    <w:rsid w:val="00A6257B"/>
    <w:rsid w:val="00A63493"/>
    <w:rsid w:val="00A64EC6"/>
    <w:rsid w:val="00A6529F"/>
    <w:rsid w:val="00A6539E"/>
    <w:rsid w:val="00A6553D"/>
    <w:rsid w:val="00A656BB"/>
    <w:rsid w:val="00A65744"/>
    <w:rsid w:val="00A657E8"/>
    <w:rsid w:val="00A65962"/>
    <w:rsid w:val="00A6666B"/>
    <w:rsid w:val="00A676D3"/>
    <w:rsid w:val="00A676DE"/>
    <w:rsid w:val="00A677DA"/>
    <w:rsid w:val="00A67816"/>
    <w:rsid w:val="00A67B49"/>
    <w:rsid w:val="00A701BE"/>
    <w:rsid w:val="00A720BD"/>
    <w:rsid w:val="00A72179"/>
    <w:rsid w:val="00A72369"/>
    <w:rsid w:val="00A724C1"/>
    <w:rsid w:val="00A7260F"/>
    <w:rsid w:val="00A726F7"/>
    <w:rsid w:val="00A72CE2"/>
    <w:rsid w:val="00A72DFD"/>
    <w:rsid w:val="00A72EA8"/>
    <w:rsid w:val="00A730BB"/>
    <w:rsid w:val="00A732D9"/>
    <w:rsid w:val="00A7386E"/>
    <w:rsid w:val="00A73BE0"/>
    <w:rsid w:val="00A74B2C"/>
    <w:rsid w:val="00A74CBF"/>
    <w:rsid w:val="00A74D0E"/>
    <w:rsid w:val="00A74E8F"/>
    <w:rsid w:val="00A75756"/>
    <w:rsid w:val="00A757D8"/>
    <w:rsid w:val="00A75C11"/>
    <w:rsid w:val="00A7607C"/>
    <w:rsid w:val="00A769C8"/>
    <w:rsid w:val="00A76B0E"/>
    <w:rsid w:val="00A76F65"/>
    <w:rsid w:val="00A77BFD"/>
    <w:rsid w:val="00A77C81"/>
    <w:rsid w:val="00A8039F"/>
    <w:rsid w:val="00A80680"/>
    <w:rsid w:val="00A80987"/>
    <w:rsid w:val="00A80B75"/>
    <w:rsid w:val="00A80BCD"/>
    <w:rsid w:val="00A80C4F"/>
    <w:rsid w:val="00A80D3A"/>
    <w:rsid w:val="00A80D67"/>
    <w:rsid w:val="00A81087"/>
    <w:rsid w:val="00A810C8"/>
    <w:rsid w:val="00A8171C"/>
    <w:rsid w:val="00A822B2"/>
    <w:rsid w:val="00A8248C"/>
    <w:rsid w:val="00A829C1"/>
    <w:rsid w:val="00A82E08"/>
    <w:rsid w:val="00A82F22"/>
    <w:rsid w:val="00A82F3E"/>
    <w:rsid w:val="00A831DA"/>
    <w:rsid w:val="00A83460"/>
    <w:rsid w:val="00A838CD"/>
    <w:rsid w:val="00A83A60"/>
    <w:rsid w:val="00A8400D"/>
    <w:rsid w:val="00A8436A"/>
    <w:rsid w:val="00A84802"/>
    <w:rsid w:val="00A84811"/>
    <w:rsid w:val="00A849CA"/>
    <w:rsid w:val="00A84AF7"/>
    <w:rsid w:val="00A8604B"/>
    <w:rsid w:val="00A8616C"/>
    <w:rsid w:val="00A86451"/>
    <w:rsid w:val="00A86CF5"/>
    <w:rsid w:val="00A87739"/>
    <w:rsid w:val="00A87940"/>
    <w:rsid w:val="00A87F9E"/>
    <w:rsid w:val="00A9019C"/>
    <w:rsid w:val="00A90362"/>
    <w:rsid w:val="00A90C41"/>
    <w:rsid w:val="00A90FE5"/>
    <w:rsid w:val="00A912A4"/>
    <w:rsid w:val="00A914A8"/>
    <w:rsid w:val="00A91667"/>
    <w:rsid w:val="00A91A9B"/>
    <w:rsid w:val="00A9303A"/>
    <w:rsid w:val="00A934BD"/>
    <w:rsid w:val="00A93852"/>
    <w:rsid w:val="00A940C0"/>
    <w:rsid w:val="00A94578"/>
    <w:rsid w:val="00A94C9F"/>
    <w:rsid w:val="00A94FCA"/>
    <w:rsid w:val="00A95085"/>
    <w:rsid w:val="00A95D22"/>
    <w:rsid w:val="00A9618F"/>
    <w:rsid w:val="00A96222"/>
    <w:rsid w:val="00A96AC8"/>
    <w:rsid w:val="00A96ADC"/>
    <w:rsid w:val="00A96F2C"/>
    <w:rsid w:val="00A97308"/>
    <w:rsid w:val="00A975A9"/>
    <w:rsid w:val="00A97CA7"/>
    <w:rsid w:val="00A97FB6"/>
    <w:rsid w:val="00AA033D"/>
    <w:rsid w:val="00AA062A"/>
    <w:rsid w:val="00AA0BA2"/>
    <w:rsid w:val="00AA0BD2"/>
    <w:rsid w:val="00AA0C9D"/>
    <w:rsid w:val="00AA0F73"/>
    <w:rsid w:val="00AA0F80"/>
    <w:rsid w:val="00AA116A"/>
    <w:rsid w:val="00AA14BB"/>
    <w:rsid w:val="00AA157F"/>
    <w:rsid w:val="00AA2255"/>
    <w:rsid w:val="00AA28BC"/>
    <w:rsid w:val="00AA2BFD"/>
    <w:rsid w:val="00AA2DE9"/>
    <w:rsid w:val="00AA3B4A"/>
    <w:rsid w:val="00AA48F7"/>
    <w:rsid w:val="00AA6097"/>
    <w:rsid w:val="00AA657A"/>
    <w:rsid w:val="00AA68F3"/>
    <w:rsid w:val="00AA6929"/>
    <w:rsid w:val="00AA6DAC"/>
    <w:rsid w:val="00AA6E86"/>
    <w:rsid w:val="00AA737D"/>
    <w:rsid w:val="00AA7A17"/>
    <w:rsid w:val="00AA7B3B"/>
    <w:rsid w:val="00AB00B3"/>
    <w:rsid w:val="00AB028A"/>
    <w:rsid w:val="00AB0363"/>
    <w:rsid w:val="00AB05BE"/>
    <w:rsid w:val="00AB0FB9"/>
    <w:rsid w:val="00AB13EB"/>
    <w:rsid w:val="00AB1673"/>
    <w:rsid w:val="00AB1A60"/>
    <w:rsid w:val="00AB2E6C"/>
    <w:rsid w:val="00AB30AB"/>
    <w:rsid w:val="00AB351E"/>
    <w:rsid w:val="00AB356A"/>
    <w:rsid w:val="00AB3786"/>
    <w:rsid w:val="00AB40AD"/>
    <w:rsid w:val="00AB4800"/>
    <w:rsid w:val="00AB4B0D"/>
    <w:rsid w:val="00AB5E4B"/>
    <w:rsid w:val="00AB5F74"/>
    <w:rsid w:val="00AB628C"/>
    <w:rsid w:val="00AB6523"/>
    <w:rsid w:val="00AB673A"/>
    <w:rsid w:val="00AB691E"/>
    <w:rsid w:val="00AB6990"/>
    <w:rsid w:val="00AB6BC8"/>
    <w:rsid w:val="00AB7D2D"/>
    <w:rsid w:val="00AB7F2A"/>
    <w:rsid w:val="00AC0AFC"/>
    <w:rsid w:val="00AC1151"/>
    <w:rsid w:val="00AC14F5"/>
    <w:rsid w:val="00AC15EB"/>
    <w:rsid w:val="00AC1635"/>
    <w:rsid w:val="00AC17B4"/>
    <w:rsid w:val="00AC18C4"/>
    <w:rsid w:val="00AC19C1"/>
    <w:rsid w:val="00AC26A3"/>
    <w:rsid w:val="00AC3140"/>
    <w:rsid w:val="00AC314B"/>
    <w:rsid w:val="00AC31A9"/>
    <w:rsid w:val="00AC31AC"/>
    <w:rsid w:val="00AC327F"/>
    <w:rsid w:val="00AC342F"/>
    <w:rsid w:val="00AC34E5"/>
    <w:rsid w:val="00AC35E9"/>
    <w:rsid w:val="00AC3896"/>
    <w:rsid w:val="00AC42BA"/>
    <w:rsid w:val="00AC4804"/>
    <w:rsid w:val="00AC4DAE"/>
    <w:rsid w:val="00AC5BB4"/>
    <w:rsid w:val="00AC6022"/>
    <w:rsid w:val="00AC616A"/>
    <w:rsid w:val="00AC6199"/>
    <w:rsid w:val="00AC6459"/>
    <w:rsid w:val="00AC6771"/>
    <w:rsid w:val="00AC6A0E"/>
    <w:rsid w:val="00AC7399"/>
    <w:rsid w:val="00AC7893"/>
    <w:rsid w:val="00AC7A98"/>
    <w:rsid w:val="00AD0187"/>
    <w:rsid w:val="00AD03A6"/>
    <w:rsid w:val="00AD0BB2"/>
    <w:rsid w:val="00AD0D0E"/>
    <w:rsid w:val="00AD10A1"/>
    <w:rsid w:val="00AD123E"/>
    <w:rsid w:val="00AD15B4"/>
    <w:rsid w:val="00AD1CE0"/>
    <w:rsid w:val="00AD28A6"/>
    <w:rsid w:val="00AD2D4A"/>
    <w:rsid w:val="00AD2E76"/>
    <w:rsid w:val="00AD31A7"/>
    <w:rsid w:val="00AD3852"/>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240"/>
    <w:rsid w:val="00AD7505"/>
    <w:rsid w:val="00AD7EDA"/>
    <w:rsid w:val="00AE0EA2"/>
    <w:rsid w:val="00AE1210"/>
    <w:rsid w:val="00AE144F"/>
    <w:rsid w:val="00AE20F0"/>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F0B8B"/>
    <w:rsid w:val="00AF0C34"/>
    <w:rsid w:val="00AF10D8"/>
    <w:rsid w:val="00AF19B1"/>
    <w:rsid w:val="00AF1FC1"/>
    <w:rsid w:val="00AF24E4"/>
    <w:rsid w:val="00AF27E0"/>
    <w:rsid w:val="00AF2A62"/>
    <w:rsid w:val="00AF2AE1"/>
    <w:rsid w:val="00AF3093"/>
    <w:rsid w:val="00AF31DB"/>
    <w:rsid w:val="00AF397F"/>
    <w:rsid w:val="00AF3CB4"/>
    <w:rsid w:val="00AF4C8E"/>
    <w:rsid w:val="00AF4D81"/>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A9E"/>
    <w:rsid w:val="00B02B7A"/>
    <w:rsid w:val="00B02E72"/>
    <w:rsid w:val="00B0429D"/>
    <w:rsid w:val="00B047AD"/>
    <w:rsid w:val="00B04A32"/>
    <w:rsid w:val="00B06008"/>
    <w:rsid w:val="00B06441"/>
    <w:rsid w:val="00B066B3"/>
    <w:rsid w:val="00B0677C"/>
    <w:rsid w:val="00B06936"/>
    <w:rsid w:val="00B06C19"/>
    <w:rsid w:val="00B06DB5"/>
    <w:rsid w:val="00B06F5B"/>
    <w:rsid w:val="00B0751A"/>
    <w:rsid w:val="00B07557"/>
    <w:rsid w:val="00B07622"/>
    <w:rsid w:val="00B0769D"/>
    <w:rsid w:val="00B07A29"/>
    <w:rsid w:val="00B10011"/>
    <w:rsid w:val="00B10326"/>
    <w:rsid w:val="00B10BF6"/>
    <w:rsid w:val="00B10FC8"/>
    <w:rsid w:val="00B112A3"/>
    <w:rsid w:val="00B115CA"/>
    <w:rsid w:val="00B11A1F"/>
    <w:rsid w:val="00B11DB1"/>
    <w:rsid w:val="00B11F85"/>
    <w:rsid w:val="00B1208C"/>
    <w:rsid w:val="00B12779"/>
    <w:rsid w:val="00B12A5D"/>
    <w:rsid w:val="00B12E7B"/>
    <w:rsid w:val="00B13391"/>
    <w:rsid w:val="00B13397"/>
    <w:rsid w:val="00B13BC2"/>
    <w:rsid w:val="00B14025"/>
    <w:rsid w:val="00B1414C"/>
    <w:rsid w:val="00B149DE"/>
    <w:rsid w:val="00B152AA"/>
    <w:rsid w:val="00B15529"/>
    <w:rsid w:val="00B160CE"/>
    <w:rsid w:val="00B1656A"/>
    <w:rsid w:val="00B1686C"/>
    <w:rsid w:val="00B17332"/>
    <w:rsid w:val="00B17868"/>
    <w:rsid w:val="00B17879"/>
    <w:rsid w:val="00B17AA0"/>
    <w:rsid w:val="00B17BFF"/>
    <w:rsid w:val="00B207BE"/>
    <w:rsid w:val="00B20919"/>
    <w:rsid w:val="00B20F07"/>
    <w:rsid w:val="00B21BBB"/>
    <w:rsid w:val="00B22A9A"/>
    <w:rsid w:val="00B22D32"/>
    <w:rsid w:val="00B22E5E"/>
    <w:rsid w:val="00B238B6"/>
    <w:rsid w:val="00B23992"/>
    <w:rsid w:val="00B23C23"/>
    <w:rsid w:val="00B243C5"/>
    <w:rsid w:val="00B24689"/>
    <w:rsid w:val="00B24A7B"/>
    <w:rsid w:val="00B24EF5"/>
    <w:rsid w:val="00B251D6"/>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C6C"/>
    <w:rsid w:val="00B33CC4"/>
    <w:rsid w:val="00B33E1F"/>
    <w:rsid w:val="00B33E45"/>
    <w:rsid w:val="00B33E4E"/>
    <w:rsid w:val="00B33F6C"/>
    <w:rsid w:val="00B34452"/>
    <w:rsid w:val="00B34BE2"/>
    <w:rsid w:val="00B34CCD"/>
    <w:rsid w:val="00B3560A"/>
    <w:rsid w:val="00B35B78"/>
    <w:rsid w:val="00B35C99"/>
    <w:rsid w:val="00B35DC7"/>
    <w:rsid w:val="00B362AB"/>
    <w:rsid w:val="00B3632E"/>
    <w:rsid w:val="00B36533"/>
    <w:rsid w:val="00B365DE"/>
    <w:rsid w:val="00B367F2"/>
    <w:rsid w:val="00B36893"/>
    <w:rsid w:val="00B36E66"/>
    <w:rsid w:val="00B36E68"/>
    <w:rsid w:val="00B37C32"/>
    <w:rsid w:val="00B400D4"/>
    <w:rsid w:val="00B401BD"/>
    <w:rsid w:val="00B4041F"/>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C78"/>
    <w:rsid w:val="00B45766"/>
    <w:rsid w:val="00B45A7C"/>
    <w:rsid w:val="00B45D12"/>
    <w:rsid w:val="00B45FCE"/>
    <w:rsid w:val="00B46517"/>
    <w:rsid w:val="00B46F2F"/>
    <w:rsid w:val="00B476B5"/>
    <w:rsid w:val="00B478B9"/>
    <w:rsid w:val="00B47D10"/>
    <w:rsid w:val="00B507CD"/>
    <w:rsid w:val="00B509FC"/>
    <w:rsid w:val="00B50D35"/>
    <w:rsid w:val="00B51047"/>
    <w:rsid w:val="00B512E5"/>
    <w:rsid w:val="00B51BA6"/>
    <w:rsid w:val="00B51FC2"/>
    <w:rsid w:val="00B523BC"/>
    <w:rsid w:val="00B524D1"/>
    <w:rsid w:val="00B52730"/>
    <w:rsid w:val="00B52EF9"/>
    <w:rsid w:val="00B536AB"/>
    <w:rsid w:val="00B53937"/>
    <w:rsid w:val="00B53A39"/>
    <w:rsid w:val="00B53D3A"/>
    <w:rsid w:val="00B54165"/>
    <w:rsid w:val="00B54673"/>
    <w:rsid w:val="00B54C46"/>
    <w:rsid w:val="00B5513C"/>
    <w:rsid w:val="00B55390"/>
    <w:rsid w:val="00B55568"/>
    <w:rsid w:val="00B555BF"/>
    <w:rsid w:val="00B5570E"/>
    <w:rsid w:val="00B55AB3"/>
    <w:rsid w:val="00B55C6C"/>
    <w:rsid w:val="00B56002"/>
    <w:rsid w:val="00B56A0F"/>
    <w:rsid w:val="00B56AD6"/>
    <w:rsid w:val="00B57114"/>
    <w:rsid w:val="00B57507"/>
    <w:rsid w:val="00B57584"/>
    <w:rsid w:val="00B575BE"/>
    <w:rsid w:val="00B577A8"/>
    <w:rsid w:val="00B5797B"/>
    <w:rsid w:val="00B57AA0"/>
    <w:rsid w:val="00B600AB"/>
    <w:rsid w:val="00B6057C"/>
    <w:rsid w:val="00B6089E"/>
    <w:rsid w:val="00B608BB"/>
    <w:rsid w:val="00B60BA6"/>
    <w:rsid w:val="00B614C8"/>
    <w:rsid w:val="00B617B5"/>
    <w:rsid w:val="00B61FA9"/>
    <w:rsid w:val="00B6206E"/>
    <w:rsid w:val="00B62C19"/>
    <w:rsid w:val="00B6314C"/>
    <w:rsid w:val="00B63917"/>
    <w:rsid w:val="00B6433B"/>
    <w:rsid w:val="00B645A4"/>
    <w:rsid w:val="00B6473A"/>
    <w:rsid w:val="00B64C1A"/>
    <w:rsid w:val="00B651D6"/>
    <w:rsid w:val="00B6520F"/>
    <w:rsid w:val="00B65A4F"/>
    <w:rsid w:val="00B66191"/>
    <w:rsid w:val="00B669D4"/>
    <w:rsid w:val="00B67038"/>
    <w:rsid w:val="00B67796"/>
    <w:rsid w:val="00B7006E"/>
    <w:rsid w:val="00B70081"/>
    <w:rsid w:val="00B700DD"/>
    <w:rsid w:val="00B70155"/>
    <w:rsid w:val="00B701CB"/>
    <w:rsid w:val="00B703F3"/>
    <w:rsid w:val="00B70CCF"/>
    <w:rsid w:val="00B71686"/>
    <w:rsid w:val="00B718ED"/>
    <w:rsid w:val="00B71B49"/>
    <w:rsid w:val="00B71DA6"/>
    <w:rsid w:val="00B71DE1"/>
    <w:rsid w:val="00B71F53"/>
    <w:rsid w:val="00B71F65"/>
    <w:rsid w:val="00B7201F"/>
    <w:rsid w:val="00B7228D"/>
    <w:rsid w:val="00B7232D"/>
    <w:rsid w:val="00B7242B"/>
    <w:rsid w:val="00B727C4"/>
    <w:rsid w:val="00B72CD2"/>
    <w:rsid w:val="00B72D64"/>
    <w:rsid w:val="00B73744"/>
    <w:rsid w:val="00B73C89"/>
    <w:rsid w:val="00B74582"/>
    <w:rsid w:val="00B74ABA"/>
    <w:rsid w:val="00B74C7E"/>
    <w:rsid w:val="00B74E1E"/>
    <w:rsid w:val="00B7521A"/>
    <w:rsid w:val="00B75371"/>
    <w:rsid w:val="00B75573"/>
    <w:rsid w:val="00B75C9F"/>
    <w:rsid w:val="00B76975"/>
    <w:rsid w:val="00B769EC"/>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7A4"/>
    <w:rsid w:val="00B82DD3"/>
    <w:rsid w:val="00B83105"/>
    <w:rsid w:val="00B831C3"/>
    <w:rsid w:val="00B83250"/>
    <w:rsid w:val="00B8327C"/>
    <w:rsid w:val="00B83A0D"/>
    <w:rsid w:val="00B83F18"/>
    <w:rsid w:val="00B84628"/>
    <w:rsid w:val="00B84A64"/>
    <w:rsid w:val="00B84D00"/>
    <w:rsid w:val="00B851DC"/>
    <w:rsid w:val="00B85D61"/>
    <w:rsid w:val="00B8610E"/>
    <w:rsid w:val="00B86290"/>
    <w:rsid w:val="00B8675C"/>
    <w:rsid w:val="00B86BC8"/>
    <w:rsid w:val="00B86E79"/>
    <w:rsid w:val="00B86F22"/>
    <w:rsid w:val="00B86F63"/>
    <w:rsid w:val="00B8723F"/>
    <w:rsid w:val="00B90255"/>
    <w:rsid w:val="00B90772"/>
    <w:rsid w:val="00B9091B"/>
    <w:rsid w:val="00B90E32"/>
    <w:rsid w:val="00B90E3E"/>
    <w:rsid w:val="00B9178E"/>
    <w:rsid w:val="00B91D61"/>
    <w:rsid w:val="00B91EEC"/>
    <w:rsid w:val="00B9207A"/>
    <w:rsid w:val="00B9210D"/>
    <w:rsid w:val="00B92377"/>
    <w:rsid w:val="00B92B3B"/>
    <w:rsid w:val="00B930C8"/>
    <w:rsid w:val="00B938AD"/>
    <w:rsid w:val="00B94136"/>
    <w:rsid w:val="00B942E5"/>
    <w:rsid w:val="00B944D8"/>
    <w:rsid w:val="00B94637"/>
    <w:rsid w:val="00B949C2"/>
    <w:rsid w:val="00B94C7C"/>
    <w:rsid w:val="00B94F9E"/>
    <w:rsid w:val="00B9549B"/>
    <w:rsid w:val="00B95E0D"/>
    <w:rsid w:val="00B95E21"/>
    <w:rsid w:val="00B962FD"/>
    <w:rsid w:val="00B9661B"/>
    <w:rsid w:val="00B967A8"/>
    <w:rsid w:val="00B96D0B"/>
    <w:rsid w:val="00B96F70"/>
    <w:rsid w:val="00B9754F"/>
    <w:rsid w:val="00B9758D"/>
    <w:rsid w:val="00B975CD"/>
    <w:rsid w:val="00B977C4"/>
    <w:rsid w:val="00B97865"/>
    <w:rsid w:val="00B97DBF"/>
    <w:rsid w:val="00B97EDF"/>
    <w:rsid w:val="00BA0596"/>
    <w:rsid w:val="00BA072A"/>
    <w:rsid w:val="00BA09E3"/>
    <w:rsid w:val="00BA0D3B"/>
    <w:rsid w:val="00BA0DA9"/>
    <w:rsid w:val="00BA0DAF"/>
    <w:rsid w:val="00BA142F"/>
    <w:rsid w:val="00BA149B"/>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61D2"/>
    <w:rsid w:val="00BA62D7"/>
    <w:rsid w:val="00BA63D9"/>
    <w:rsid w:val="00BA6D06"/>
    <w:rsid w:val="00BA74FE"/>
    <w:rsid w:val="00BA7684"/>
    <w:rsid w:val="00BA77AD"/>
    <w:rsid w:val="00BA77DF"/>
    <w:rsid w:val="00BA7A1D"/>
    <w:rsid w:val="00BA7C19"/>
    <w:rsid w:val="00BA7C7F"/>
    <w:rsid w:val="00BB03B6"/>
    <w:rsid w:val="00BB03BC"/>
    <w:rsid w:val="00BB0CE6"/>
    <w:rsid w:val="00BB113D"/>
    <w:rsid w:val="00BB12EF"/>
    <w:rsid w:val="00BB130E"/>
    <w:rsid w:val="00BB18AC"/>
    <w:rsid w:val="00BB19C9"/>
    <w:rsid w:val="00BB2028"/>
    <w:rsid w:val="00BB2154"/>
    <w:rsid w:val="00BB2AD1"/>
    <w:rsid w:val="00BB2E67"/>
    <w:rsid w:val="00BB37DD"/>
    <w:rsid w:val="00BB389D"/>
    <w:rsid w:val="00BB396E"/>
    <w:rsid w:val="00BB3DD6"/>
    <w:rsid w:val="00BB4833"/>
    <w:rsid w:val="00BB4A9C"/>
    <w:rsid w:val="00BB4F28"/>
    <w:rsid w:val="00BB57D0"/>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0C"/>
    <w:rsid w:val="00BC2B7D"/>
    <w:rsid w:val="00BC2D7B"/>
    <w:rsid w:val="00BC3715"/>
    <w:rsid w:val="00BC3AE1"/>
    <w:rsid w:val="00BC4152"/>
    <w:rsid w:val="00BC417C"/>
    <w:rsid w:val="00BC50F5"/>
    <w:rsid w:val="00BC536E"/>
    <w:rsid w:val="00BC5713"/>
    <w:rsid w:val="00BC585E"/>
    <w:rsid w:val="00BC5885"/>
    <w:rsid w:val="00BC65A8"/>
    <w:rsid w:val="00BC677F"/>
    <w:rsid w:val="00BC6C47"/>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F4D"/>
    <w:rsid w:val="00BD64CB"/>
    <w:rsid w:val="00BD6C74"/>
    <w:rsid w:val="00BD6C79"/>
    <w:rsid w:val="00BD6E2E"/>
    <w:rsid w:val="00BD7094"/>
    <w:rsid w:val="00BD720F"/>
    <w:rsid w:val="00BD7700"/>
    <w:rsid w:val="00BD78A1"/>
    <w:rsid w:val="00BD7B27"/>
    <w:rsid w:val="00BD7BC1"/>
    <w:rsid w:val="00BD7C34"/>
    <w:rsid w:val="00BD7C62"/>
    <w:rsid w:val="00BD7D9B"/>
    <w:rsid w:val="00BD7FBD"/>
    <w:rsid w:val="00BE0078"/>
    <w:rsid w:val="00BE0ACD"/>
    <w:rsid w:val="00BE1118"/>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D0E"/>
    <w:rsid w:val="00BE48B9"/>
    <w:rsid w:val="00BE491F"/>
    <w:rsid w:val="00BE56F6"/>
    <w:rsid w:val="00BE59C3"/>
    <w:rsid w:val="00BE5D3B"/>
    <w:rsid w:val="00BE6380"/>
    <w:rsid w:val="00BE6466"/>
    <w:rsid w:val="00BE64A5"/>
    <w:rsid w:val="00BE6AB6"/>
    <w:rsid w:val="00BE6BE4"/>
    <w:rsid w:val="00BE6F60"/>
    <w:rsid w:val="00BE6FC3"/>
    <w:rsid w:val="00BE724A"/>
    <w:rsid w:val="00BE7518"/>
    <w:rsid w:val="00BE7646"/>
    <w:rsid w:val="00BE7818"/>
    <w:rsid w:val="00BE7EA3"/>
    <w:rsid w:val="00BF0492"/>
    <w:rsid w:val="00BF0622"/>
    <w:rsid w:val="00BF064A"/>
    <w:rsid w:val="00BF115E"/>
    <w:rsid w:val="00BF2D53"/>
    <w:rsid w:val="00BF3092"/>
    <w:rsid w:val="00BF3448"/>
    <w:rsid w:val="00BF3465"/>
    <w:rsid w:val="00BF4015"/>
    <w:rsid w:val="00BF42FA"/>
    <w:rsid w:val="00BF4385"/>
    <w:rsid w:val="00BF464C"/>
    <w:rsid w:val="00BF4683"/>
    <w:rsid w:val="00BF4849"/>
    <w:rsid w:val="00BF48B5"/>
    <w:rsid w:val="00BF49E8"/>
    <w:rsid w:val="00BF4AD5"/>
    <w:rsid w:val="00BF4E04"/>
    <w:rsid w:val="00BF51B5"/>
    <w:rsid w:val="00BF548B"/>
    <w:rsid w:val="00BF550E"/>
    <w:rsid w:val="00BF5736"/>
    <w:rsid w:val="00BF5A47"/>
    <w:rsid w:val="00BF61B7"/>
    <w:rsid w:val="00BF66BD"/>
    <w:rsid w:val="00BF6785"/>
    <w:rsid w:val="00BF6868"/>
    <w:rsid w:val="00BF6A2A"/>
    <w:rsid w:val="00BF6B39"/>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628"/>
    <w:rsid w:val="00C067FC"/>
    <w:rsid w:val="00C06ED4"/>
    <w:rsid w:val="00C06EEE"/>
    <w:rsid w:val="00C0700A"/>
    <w:rsid w:val="00C07369"/>
    <w:rsid w:val="00C07686"/>
    <w:rsid w:val="00C07BC1"/>
    <w:rsid w:val="00C07F85"/>
    <w:rsid w:val="00C1039F"/>
    <w:rsid w:val="00C108E9"/>
    <w:rsid w:val="00C10BBA"/>
    <w:rsid w:val="00C10E6E"/>
    <w:rsid w:val="00C10FFE"/>
    <w:rsid w:val="00C11CFC"/>
    <w:rsid w:val="00C11D51"/>
    <w:rsid w:val="00C128E1"/>
    <w:rsid w:val="00C12993"/>
    <w:rsid w:val="00C12A99"/>
    <w:rsid w:val="00C13066"/>
    <w:rsid w:val="00C13888"/>
    <w:rsid w:val="00C13A7B"/>
    <w:rsid w:val="00C13C6D"/>
    <w:rsid w:val="00C1445C"/>
    <w:rsid w:val="00C14FB2"/>
    <w:rsid w:val="00C1503E"/>
    <w:rsid w:val="00C159DE"/>
    <w:rsid w:val="00C15E98"/>
    <w:rsid w:val="00C17483"/>
    <w:rsid w:val="00C1765B"/>
    <w:rsid w:val="00C17EB0"/>
    <w:rsid w:val="00C17FF6"/>
    <w:rsid w:val="00C2020F"/>
    <w:rsid w:val="00C20301"/>
    <w:rsid w:val="00C2057A"/>
    <w:rsid w:val="00C20936"/>
    <w:rsid w:val="00C20C90"/>
    <w:rsid w:val="00C20F5E"/>
    <w:rsid w:val="00C215DA"/>
    <w:rsid w:val="00C2187B"/>
    <w:rsid w:val="00C21D62"/>
    <w:rsid w:val="00C21E4F"/>
    <w:rsid w:val="00C2239B"/>
    <w:rsid w:val="00C22F7E"/>
    <w:rsid w:val="00C23167"/>
    <w:rsid w:val="00C23BAD"/>
    <w:rsid w:val="00C24218"/>
    <w:rsid w:val="00C243AD"/>
    <w:rsid w:val="00C24522"/>
    <w:rsid w:val="00C2479C"/>
    <w:rsid w:val="00C247E2"/>
    <w:rsid w:val="00C24A3E"/>
    <w:rsid w:val="00C24EAE"/>
    <w:rsid w:val="00C24FB7"/>
    <w:rsid w:val="00C253F5"/>
    <w:rsid w:val="00C25435"/>
    <w:rsid w:val="00C25787"/>
    <w:rsid w:val="00C258E4"/>
    <w:rsid w:val="00C264F4"/>
    <w:rsid w:val="00C26E59"/>
    <w:rsid w:val="00C2738D"/>
    <w:rsid w:val="00C27827"/>
    <w:rsid w:val="00C27DA5"/>
    <w:rsid w:val="00C302DB"/>
    <w:rsid w:val="00C30447"/>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9F6"/>
    <w:rsid w:val="00C34F18"/>
    <w:rsid w:val="00C362F0"/>
    <w:rsid w:val="00C369C4"/>
    <w:rsid w:val="00C36BFE"/>
    <w:rsid w:val="00C36CCE"/>
    <w:rsid w:val="00C36F55"/>
    <w:rsid w:val="00C37273"/>
    <w:rsid w:val="00C373AE"/>
    <w:rsid w:val="00C37683"/>
    <w:rsid w:val="00C37750"/>
    <w:rsid w:val="00C37765"/>
    <w:rsid w:val="00C402B8"/>
    <w:rsid w:val="00C40576"/>
    <w:rsid w:val="00C408D5"/>
    <w:rsid w:val="00C408FB"/>
    <w:rsid w:val="00C40A25"/>
    <w:rsid w:val="00C40BFC"/>
    <w:rsid w:val="00C41342"/>
    <w:rsid w:val="00C4186A"/>
    <w:rsid w:val="00C418C1"/>
    <w:rsid w:val="00C41E0B"/>
    <w:rsid w:val="00C42CE4"/>
    <w:rsid w:val="00C42E2C"/>
    <w:rsid w:val="00C434B4"/>
    <w:rsid w:val="00C43887"/>
    <w:rsid w:val="00C43D05"/>
    <w:rsid w:val="00C4439D"/>
    <w:rsid w:val="00C44C5A"/>
    <w:rsid w:val="00C450A3"/>
    <w:rsid w:val="00C459B2"/>
    <w:rsid w:val="00C45AA7"/>
    <w:rsid w:val="00C45B22"/>
    <w:rsid w:val="00C45CF7"/>
    <w:rsid w:val="00C462CF"/>
    <w:rsid w:val="00C47AA9"/>
    <w:rsid w:val="00C47F3C"/>
    <w:rsid w:val="00C508DC"/>
    <w:rsid w:val="00C50C41"/>
    <w:rsid w:val="00C5133B"/>
    <w:rsid w:val="00C514BB"/>
    <w:rsid w:val="00C518E2"/>
    <w:rsid w:val="00C51A05"/>
    <w:rsid w:val="00C51CCB"/>
    <w:rsid w:val="00C527FA"/>
    <w:rsid w:val="00C52B3C"/>
    <w:rsid w:val="00C53835"/>
    <w:rsid w:val="00C53E15"/>
    <w:rsid w:val="00C5459C"/>
    <w:rsid w:val="00C546A0"/>
    <w:rsid w:val="00C54E3C"/>
    <w:rsid w:val="00C56473"/>
    <w:rsid w:val="00C5652E"/>
    <w:rsid w:val="00C57DAE"/>
    <w:rsid w:val="00C6007B"/>
    <w:rsid w:val="00C6070E"/>
    <w:rsid w:val="00C60BC7"/>
    <w:rsid w:val="00C60CED"/>
    <w:rsid w:val="00C61794"/>
    <w:rsid w:val="00C61888"/>
    <w:rsid w:val="00C62053"/>
    <w:rsid w:val="00C62568"/>
    <w:rsid w:val="00C62EFF"/>
    <w:rsid w:val="00C6316A"/>
    <w:rsid w:val="00C632A9"/>
    <w:rsid w:val="00C636C5"/>
    <w:rsid w:val="00C64784"/>
    <w:rsid w:val="00C649FB"/>
    <w:rsid w:val="00C649FC"/>
    <w:rsid w:val="00C64B81"/>
    <w:rsid w:val="00C64E5A"/>
    <w:rsid w:val="00C64E75"/>
    <w:rsid w:val="00C64FDD"/>
    <w:rsid w:val="00C6551F"/>
    <w:rsid w:val="00C65533"/>
    <w:rsid w:val="00C65810"/>
    <w:rsid w:val="00C65C34"/>
    <w:rsid w:val="00C65C43"/>
    <w:rsid w:val="00C66147"/>
    <w:rsid w:val="00C66815"/>
    <w:rsid w:val="00C66894"/>
    <w:rsid w:val="00C66D34"/>
    <w:rsid w:val="00C67865"/>
    <w:rsid w:val="00C67C2F"/>
    <w:rsid w:val="00C700B2"/>
    <w:rsid w:val="00C70BCB"/>
    <w:rsid w:val="00C7140F"/>
    <w:rsid w:val="00C71BE5"/>
    <w:rsid w:val="00C7211D"/>
    <w:rsid w:val="00C72294"/>
    <w:rsid w:val="00C724EA"/>
    <w:rsid w:val="00C726AF"/>
    <w:rsid w:val="00C728AC"/>
    <w:rsid w:val="00C728B1"/>
    <w:rsid w:val="00C73061"/>
    <w:rsid w:val="00C7313D"/>
    <w:rsid w:val="00C73316"/>
    <w:rsid w:val="00C73792"/>
    <w:rsid w:val="00C73A26"/>
    <w:rsid w:val="00C73D8E"/>
    <w:rsid w:val="00C73F8E"/>
    <w:rsid w:val="00C73FAE"/>
    <w:rsid w:val="00C7431B"/>
    <w:rsid w:val="00C7508F"/>
    <w:rsid w:val="00C751A5"/>
    <w:rsid w:val="00C751B9"/>
    <w:rsid w:val="00C75B4A"/>
    <w:rsid w:val="00C75C25"/>
    <w:rsid w:val="00C75CBA"/>
    <w:rsid w:val="00C767F4"/>
    <w:rsid w:val="00C76833"/>
    <w:rsid w:val="00C76B4C"/>
    <w:rsid w:val="00C773E5"/>
    <w:rsid w:val="00C77A2B"/>
    <w:rsid w:val="00C77C6D"/>
    <w:rsid w:val="00C803A8"/>
    <w:rsid w:val="00C804A6"/>
    <w:rsid w:val="00C805A9"/>
    <w:rsid w:val="00C80DE7"/>
    <w:rsid w:val="00C81D7C"/>
    <w:rsid w:val="00C81EBC"/>
    <w:rsid w:val="00C82703"/>
    <w:rsid w:val="00C82956"/>
    <w:rsid w:val="00C82993"/>
    <w:rsid w:val="00C82B30"/>
    <w:rsid w:val="00C834A4"/>
    <w:rsid w:val="00C837D5"/>
    <w:rsid w:val="00C838F6"/>
    <w:rsid w:val="00C83F3F"/>
    <w:rsid w:val="00C8470C"/>
    <w:rsid w:val="00C847CE"/>
    <w:rsid w:val="00C84CD9"/>
    <w:rsid w:val="00C84DD9"/>
    <w:rsid w:val="00C851A4"/>
    <w:rsid w:val="00C857B2"/>
    <w:rsid w:val="00C85934"/>
    <w:rsid w:val="00C85F37"/>
    <w:rsid w:val="00C868B0"/>
    <w:rsid w:val="00C86CB5"/>
    <w:rsid w:val="00C86DE6"/>
    <w:rsid w:val="00C870AF"/>
    <w:rsid w:val="00C8778D"/>
    <w:rsid w:val="00C87917"/>
    <w:rsid w:val="00C87D65"/>
    <w:rsid w:val="00C903C9"/>
    <w:rsid w:val="00C90D0E"/>
    <w:rsid w:val="00C90F19"/>
    <w:rsid w:val="00C912C1"/>
    <w:rsid w:val="00C91EF4"/>
    <w:rsid w:val="00C92CA8"/>
    <w:rsid w:val="00C92FF6"/>
    <w:rsid w:val="00C93151"/>
    <w:rsid w:val="00C934D9"/>
    <w:rsid w:val="00C93A31"/>
    <w:rsid w:val="00C93FE8"/>
    <w:rsid w:val="00C94417"/>
    <w:rsid w:val="00C9483B"/>
    <w:rsid w:val="00C9486F"/>
    <w:rsid w:val="00C94D43"/>
    <w:rsid w:val="00C94DB7"/>
    <w:rsid w:val="00C95A9C"/>
    <w:rsid w:val="00C95ECC"/>
    <w:rsid w:val="00C96061"/>
    <w:rsid w:val="00C964D7"/>
    <w:rsid w:val="00C965C2"/>
    <w:rsid w:val="00C96907"/>
    <w:rsid w:val="00C970BB"/>
    <w:rsid w:val="00C97195"/>
    <w:rsid w:val="00C9773B"/>
    <w:rsid w:val="00C97F20"/>
    <w:rsid w:val="00CA0343"/>
    <w:rsid w:val="00CA06FF"/>
    <w:rsid w:val="00CA0A10"/>
    <w:rsid w:val="00CA1036"/>
    <w:rsid w:val="00CA152E"/>
    <w:rsid w:val="00CA18FF"/>
    <w:rsid w:val="00CA2012"/>
    <w:rsid w:val="00CA23DD"/>
    <w:rsid w:val="00CA2491"/>
    <w:rsid w:val="00CA2ABF"/>
    <w:rsid w:val="00CA41DA"/>
    <w:rsid w:val="00CA4334"/>
    <w:rsid w:val="00CA4E84"/>
    <w:rsid w:val="00CA58C3"/>
    <w:rsid w:val="00CA5FAA"/>
    <w:rsid w:val="00CA6F33"/>
    <w:rsid w:val="00CA713C"/>
    <w:rsid w:val="00CA7B49"/>
    <w:rsid w:val="00CA7C5C"/>
    <w:rsid w:val="00CB0AC8"/>
    <w:rsid w:val="00CB0F78"/>
    <w:rsid w:val="00CB17F2"/>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9F2"/>
    <w:rsid w:val="00CB5F2D"/>
    <w:rsid w:val="00CB6125"/>
    <w:rsid w:val="00CB705C"/>
    <w:rsid w:val="00CB7A89"/>
    <w:rsid w:val="00CC066D"/>
    <w:rsid w:val="00CC0F03"/>
    <w:rsid w:val="00CC1385"/>
    <w:rsid w:val="00CC1917"/>
    <w:rsid w:val="00CC1BA8"/>
    <w:rsid w:val="00CC1BC4"/>
    <w:rsid w:val="00CC1CA2"/>
    <w:rsid w:val="00CC1F70"/>
    <w:rsid w:val="00CC2009"/>
    <w:rsid w:val="00CC20E4"/>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C7C56"/>
    <w:rsid w:val="00CD040C"/>
    <w:rsid w:val="00CD044F"/>
    <w:rsid w:val="00CD04D3"/>
    <w:rsid w:val="00CD1036"/>
    <w:rsid w:val="00CD1074"/>
    <w:rsid w:val="00CD1098"/>
    <w:rsid w:val="00CD1AE6"/>
    <w:rsid w:val="00CD1DAF"/>
    <w:rsid w:val="00CD253B"/>
    <w:rsid w:val="00CD2DEA"/>
    <w:rsid w:val="00CD3158"/>
    <w:rsid w:val="00CD389F"/>
    <w:rsid w:val="00CD4060"/>
    <w:rsid w:val="00CD4B7D"/>
    <w:rsid w:val="00CD4FA5"/>
    <w:rsid w:val="00CD5882"/>
    <w:rsid w:val="00CD5BAA"/>
    <w:rsid w:val="00CD5F28"/>
    <w:rsid w:val="00CD6A9F"/>
    <w:rsid w:val="00CD7499"/>
    <w:rsid w:val="00CD7DDD"/>
    <w:rsid w:val="00CD7EDE"/>
    <w:rsid w:val="00CE02D0"/>
    <w:rsid w:val="00CE0351"/>
    <w:rsid w:val="00CE0646"/>
    <w:rsid w:val="00CE07AF"/>
    <w:rsid w:val="00CE0DA8"/>
    <w:rsid w:val="00CE1544"/>
    <w:rsid w:val="00CE1857"/>
    <w:rsid w:val="00CE1D19"/>
    <w:rsid w:val="00CE2474"/>
    <w:rsid w:val="00CE3194"/>
    <w:rsid w:val="00CE4200"/>
    <w:rsid w:val="00CE4B86"/>
    <w:rsid w:val="00CE4ECF"/>
    <w:rsid w:val="00CE5028"/>
    <w:rsid w:val="00CE5182"/>
    <w:rsid w:val="00CE5562"/>
    <w:rsid w:val="00CE55DB"/>
    <w:rsid w:val="00CE639D"/>
    <w:rsid w:val="00CE661E"/>
    <w:rsid w:val="00CE68D9"/>
    <w:rsid w:val="00CE73EF"/>
    <w:rsid w:val="00CE7628"/>
    <w:rsid w:val="00CE7E34"/>
    <w:rsid w:val="00CF02E8"/>
    <w:rsid w:val="00CF0ED0"/>
    <w:rsid w:val="00CF19E2"/>
    <w:rsid w:val="00CF1A8C"/>
    <w:rsid w:val="00CF255E"/>
    <w:rsid w:val="00CF2A05"/>
    <w:rsid w:val="00CF3470"/>
    <w:rsid w:val="00CF3C65"/>
    <w:rsid w:val="00CF3E24"/>
    <w:rsid w:val="00CF41C7"/>
    <w:rsid w:val="00CF4761"/>
    <w:rsid w:val="00CF4FB8"/>
    <w:rsid w:val="00CF57AC"/>
    <w:rsid w:val="00CF5F04"/>
    <w:rsid w:val="00CF684E"/>
    <w:rsid w:val="00CF6DED"/>
    <w:rsid w:val="00CF73FE"/>
    <w:rsid w:val="00CF742C"/>
    <w:rsid w:val="00CF776F"/>
    <w:rsid w:val="00CF79B0"/>
    <w:rsid w:val="00CF7CF6"/>
    <w:rsid w:val="00D00836"/>
    <w:rsid w:val="00D008D6"/>
    <w:rsid w:val="00D00A5E"/>
    <w:rsid w:val="00D00BD3"/>
    <w:rsid w:val="00D01205"/>
    <w:rsid w:val="00D012C4"/>
    <w:rsid w:val="00D013E1"/>
    <w:rsid w:val="00D0149B"/>
    <w:rsid w:val="00D016C3"/>
    <w:rsid w:val="00D01833"/>
    <w:rsid w:val="00D022E9"/>
    <w:rsid w:val="00D02606"/>
    <w:rsid w:val="00D02AC5"/>
    <w:rsid w:val="00D0330D"/>
    <w:rsid w:val="00D03824"/>
    <w:rsid w:val="00D03871"/>
    <w:rsid w:val="00D03A53"/>
    <w:rsid w:val="00D03A56"/>
    <w:rsid w:val="00D03E74"/>
    <w:rsid w:val="00D03F6A"/>
    <w:rsid w:val="00D0418F"/>
    <w:rsid w:val="00D045DD"/>
    <w:rsid w:val="00D04F06"/>
    <w:rsid w:val="00D05330"/>
    <w:rsid w:val="00D0539B"/>
    <w:rsid w:val="00D0582D"/>
    <w:rsid w:val="00D0588E"/>
    <w:rsid w:val="00D061A3"/>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363"/>
    <w:rsid w:val="00D2042F"/>
    <w:rsid w:val="00D205CD"/>
    <w:rsid w:val="00D20F46"/>
    <w:rsid w:val="00D21DA5"/>
    <w:rsid w:val="00D21FEE"/>
    <w:rsid w:val="00D22680"/>
    <w:rsid w:val="00D2283B"/>
    <w:rsid w:val="00D23107"/>
    <w:rsid w:val="00D23CBC"/>
    <w:rsid w:val="00D23CD3"/>
    <w:rsid w:val="00D23EA0"/>
    <w:rsid w:val="00D23FBE"/>
    <w:rsid w:val="00D24265"/>
    <w:rsid w:val="00D24880"/>
    <w:rsid w:val="00D24AAB"/>
    <w:rsid w:val="00D25278"/>
    <w:rsid w:val="00D256DF"/>
    <w:rsid w:val="00D2672D"/>
    <w:rsid w:val="00D26A8A"/>
    <w:rsid w:val="00D2746B"/>
    <w:rsid w:val="00D27A0B"/>
    <w:rsid w:val="00D27B36"/>
    <w:rsid w:val="00D30476"/>
    <w:rsid w:val="00D30869"/>
    <w:rsid w:val="00D30DE3"/>
    <w:rsid w:val="00D318B8"/>
    <w:rsid w:val="00D323DE"/>
    <w:rsid w:val="00D328D4"/>
    <w:rsid w:val="00D329FE"/>
    <w:rsid w:val="00D32D58"/>
    <w:rsid w:val="00D33422"/>
    <w:rsid w:val="00D336AA"/>
    <w:rsid w:val="00D336B0"/>
    <w:rsid w:val="00D33A35"/>
    <w:rsid w:val="00D33E1C"/>
    <w:rsid w:val="00D3460B"/>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9EF"/>
    <w:rsid w:val="00D42DBC"/>
    <w:rsid w:val="00D42F46"/>
    <w:rsid w:val="00D43C96"/>
    <w:rsid w:val="00D43F3C"/>
    <w:rsid w:val="00D447C4"/>
    <w:rsid w:val="00D44F47"/>
    <w:rsid w:val="00D44FC9"/>
    <w:rsid w:val="00D4511C"/>
    <w:rsid w:val="00D4511D"/>
    <w:rsid w:val="00D45E02"/>
    <w:rsid w:val="00D46262"/>
    <w:rsid w:val="00D46549"/>
    <w:rsid w:val="00D466BF"/>
    <w:rsid w:val="00D46A5B"/>
    <w:rsid w:val="00D46E51"/>
    <w:rsid w:val="00D47170"/>
    <w:rsid w:val="00D47506"/>
    <w:rsid w:val="00D4758D"/>
    <w:rsid w:val="00D50008"/>
    <w:rsid w:val="00D50946"/>
    <w:rsid w:val="00D50E49"/>
    <w:rsid w:val="00D512E7"/>
    <w:rsid w:val="00D5132B"/>
    <w:rsid w:val="00D51641"/>
    <w:rsid w:val="00D51893"/>
    <w:rsid w:val="00D5193C"/>
    <w:rsid w:val="00D52654"/>
    <w:rsid w:val="00D52ECE"/>
    <w:rsid w:val="00D52F10"/>
    <w:rsid w:val="00D53A75"/>
    <w:rsid w:val="00D53B51"/>
    <w:rsid w:val="00D53BCA"/>
    <w:rsid w:val="00D53D5D"/>
    <w:rsid w:val="00D545D4"/>
    <w:rsid w:val="00D54675"/>
    <w:rsid w:val="00D54E6A"/>
    <w:rsid w:val="00D552F8"/>
    <w:rsid w:val="00D5569E"/>
    <w:rsid w:val="00D55D2D"/>
    <w:rsid w:val="00D55FD7"/>
    <w:rsid w:val="00D56B7D"/>
    <w:rsid w:val="00D5709A"/>
    <w:rsid w:val="00D57377"/>
    <w:rsid w:val="00D57518"/>
    <w:rsid w:val="00D5773A"/>
    <w:rsid w:val="00D603D8"/>
    <w:rsid w:val="00D61727"/>
    <w:rsid w:val="00D61F7C"/>
    <w:rsid w:val="00D622DC"/>
    <w:rsid w:val="00D6233B"/>
    <w:rsid w:val="00D625A3"/>
    <w:rsid w:val="00D62709"/>
    <w:rsid w:val="00D62972"/>
    <w:rsid w:val="00D62C85"/>
    <w:rsid w:val="00D62FA4"/>
    <w:rsid w:val="00D62FE8"/>
    <w:rsid w:val="00D6303F"/>
    <w:rsid w:val="00D63431"/>
    <w:rsid w:val="00D63747"/>
    <w:rsid w:val="00D63A9F"/>
    <w:rsid w:val="00D63B99"/>
    <w:rsid w:val="00D63D72"/>
    <w:rsid w:val="00D64A64"/>
    <w:rsid w:val="00D64FE5"/>
    <w:rsid w:val="00D65181"/>
    <w:rsid w:val="00D655B3"/>
    <w:rsid w:val="00D65CD4"/>
    <w:rsid w:val="00D66154"/>
    <w:rsid w:val="00D66462"/>
    <w:rsid w:val="00D66C2D"/>
    <w:rsid w:val="00D66EF4"/>
    <w:rsid w:val="00D67334"/>
    <w:rsid w:val="00D67517"/>
    <w:rsid w:val="00D67715"/>
    <w:rsid w:val="00D67E6A"/>
    <w:rsid w:val="00D7029D"/>
    <w:rsid w:val="00D70627"/>
    <w:rsid w:val="00D70D9B"/>
    <w:rsid w:val="00D71186"/>
    <w:rsid w:val="00D717F5"/>
    <w:rsid w:val="00D71A1F"/>
    <w:rsid w:val="00D72496"/>
    <w:rsid w:val="00D7272C"/>
    <w:rsid w:val="00D72842"/>
    <w:rsid w:val="00D72B6D"/>
    <w:rsid w:val="00D72EB1"/>
    <w:rsid w:val="00D73580"/>
    <w:rsid w:val="00D73788"/>
    <w:rsid w:val="00D74232"/>
    <w:rsid w:val="00D74E10"/>
    <w:rsid w:val="00D74FD3"/>
    <w:rsid w:val="00D75460"/>
    <w:rsid w:val="00D757BE"/>
    <w:rsid w:val="00D75AB5"/>
    <w:rsid w:val="00D75DCA"/>
    <w:rsid w:val="00D761CD"/>
    <w:rsid w:val="00D7635D"/>
    <w:rsid w:val="00D763AC"/>
    <w:rsid w:val="00D76BFC"/>
    <w:rsid w:val="00D76DD8"/>
    <w:rsid w:val="00D77025"/>
    <w:rsid w:val="00D7748A"/>
    <w:rsid w:val="00D7751C"/>
    <w:rsid w:val="00D779C3"/>
    <w:rsid w:val="00D77CD1"/>
    <w:rsid w:val="00D80420"/>
    <w:rsid w:val="00D8053E"/>
    <w:rsid w:val="00D806D0"/>
    <w:rsid w:val="00D80B48"/>
    <w:rsid w:val="00D81134"/>
    <w:rsid w:val="00D813D7"/>
    <w:rsid w:val="00D815D6"/>
    <w:rsid w:val="00D81F79"/>
    <w:rsid w:val="00D82313"/>
    <w:rsid w:val="00D823CE"/>
    <w:rsid w:val="00D82630"/>
    <w:rsid w:val="00D8450D"/>
    <w:rsid w:val="00D85152"/>
    <w:rsid w:val="00D851D3"/>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70E"/>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B8"/>
    <w:rsid w:val="00D977A1"/>
    <w:rsid w:val="00DA015F"/>
    <w:rsid w:val="00DA06A8"/>
    <w:rsid w:val="00DA0C85"/>
    <w:rsid w:val="00DA111A"/>
    <w:rsid w:val="00DA16D2"/>
    <w:rsid w:val="00DA18B3"/>
    <w:rsid w:val="00DA1D22"/>
    <w:rsid w:val="00DA1E5B"/>
    <w:rsid w:val="00DA208A"/>
    <w:rsid w:val="00DA20CA"/>
    <w:rsid w:val="00DA220B"/>
    <w:rsid w:val="00DA2540"/>
    <w:rsid w:val="00DA2788"/>
    <w:rsid w:val="00DA2E17"/>
    <w:rsid w:val="00DA31FF"/>
    <w:rsid w:val="00DA380A"/>
    <w:rsid w:val="00DA3A62"/>
    <w:rsid w:val="00DA3F54"/>
    <w:rsid w:val="00DA4653"/>
    <w:rsid w:val="00DA4A8E"/>
    <w:rsid w:val="00DA4B8A"/>
    <w:rsid w:val="00DA4C16"/>
    <w:rsid w:val="00DA4D36"/>
    <w:rsid w:val="00DA54D5"/>
    <w:rsid w:val="00DA5BBD"/>
    <w:rsid w:val="00DA6241"/>
    <w:rsid w:val="00DA635D"/>
    <w:rsid w:val="00DA655A"/>
    <w:rsid w:val="00DA6A03"/>
    <w:rsid w:val="00DA6F0E"/>
    <w:rsid w:val="00DA70B4"/>
    <w:rsid w:val="00DA71C5"/>
    <w:rsid w:val="00DA79F1"/>
    <w:rsid w:val="00DA7B19"/>
    <w:rsid w:val="00DA7F68"/>
    <w:rsid w:val="00DB01C3"/>
    <w:rsid w:val="00DB01D7"/>
    <w:rsid w:val="00DB07B5"/>
    <w:rsid w:val="00DB1581"/>
    <w:rsid w:val="00DB2469"/>
    <w:rsid w:val="00DB2934"/>
    <w:rsid w:val="00DB3288"/>
    <w:rsid w:val="00DB328B"/>
    <w:rsid w:val="00DB36B9"/>
    <w:rsid w:val="00DB3B66"/>
    <w:rsid w:val="00DB3FFB"/>
    <w:rsid w:val="00DB40A1"/>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A64"/>
    <w:rsid w:val="00DC4680"/>
    <w:rsid w:val="00DC47EE"/>
    <w:rsid w:val="00DC4AAC"/>
    <w:rsid w:val="00DC54F4"/>
    <w:rsid w:val="00DC579E"/>
    <w:rsid w:val="00DC59B7"/>
    <w:rsid w:val="00DC5CB5"/>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7245"/>
    <w:rsid w:val="00DD7A84"/>
    <w:rsid w:val="00DD7D2B"/>
    <w:rsid w:val="00DE0047"/>
    <w:rsid w:val="00DE02F5"/>
    <w:rsid w:val="00DE0FF7"/>
    <w:rsid w:val="00DE151B"/>
    <w:rsid w:val="00DE151E"/>
    <w:rsid w:val="00DE1955"/>
    <w:rsid w:val="00DE1CBD"/>
    <w:rsid w:val="00DE1F4F"/>
    <w:rsid w:val="00DE2516"/>
    <w:rsid w:val="00DE261A"/>
    <w:rsid w:val="00DE2F4E"/>
    <w:rsid w:val="00DE41D1"/>
    <w:rsid w:val="00DE45D8"/>
    <w:rsid w:val="00DE45E9"/>
    <w:rsid w:val="00DE53E1"/>
    <w:rsid w:val="00DE56C2"/>
    <w:rsid w:val="00DE57D1"/>
    <w:rsid w:val="00DE6142"/>
    <w:rsid w:val="00DE614E"/>
    <w:rsid w:val="00DE61D6"/>
    <w:rsid w:val="00DE6462"/>
    <w:rsid w:val="00DE69F4"/>
    <w:rsid w:val="00DE6DA1"/>
    <w:rsid w:val="00DE6E06"/>
    <w:rsid w:val="00DE6ED8"/>
    <w:rsid w:val="00DE7A4D"/>
    <w:rsid w:val="00DE7E0B"/>
    <w:rsid w:val="00DF0969"/>
    <w:rsid w:val="00DF168B"/>
    <w:rsid w:val="00DF1E61"/>
    <w:rsid w:val="00DF2040"/>
    <w:rsid w:val="00DF20D4"/>
    <w:rsid w:val="00DF25EF"/>
    <w:rsid w:val="00DF27A8"/>
    <w:rsid w:val="00DF2A48"/>
    <w:rsid w:val="00DF2F66"/>
    <w:rsid w:val="00DF3271"/>
    <w:rsid w:val="00DF3380"/>
    <w:rsid w:val="00DF34CF"/>
    <w:rsid w:val="00DF34D1"/>
    <w:rsid w:val="00DF37AE"/>
    <w:rsid w:val="00DF3ADA"/>
    <w:rsid w:val="00DF3B84"/>
    <w:rsid w:val="00DF3B98"/>
    <w:rsid w:val="00DF4AF1"/>
    <w:rsid w:val="00DF520D"/>
    <w:rsid w:val="00DF52B0"/>
    <w:rsid w:val="00DF69E9"/>
    <w:rsid w:val="00DF71C9"/>
    <w:rsid w:val="00DF74D1"/>
    <w:rsid w:val="00E00A21"/>
    <w:rsid w:val="00E00BAE"/>
    <w:rsid w:val="00E00CA6"/>
    <w:rsid w:val="00E00D89"/>
    <w:rsid w:val="00E01BEB"/>
    <w:rsid w:val="00E01D3E"/>
    <w:rsid w:val="00E01EF0"/>
    <w:rsid w:val="00E022BB"/>
    <w:rsid w:val="00E02AAC"/>
    <w:rsid w:val="00E0335C"/>
    <w:rsid w:val="00E035CC"/>
    <w:rsid w:val="00E039E4"/>
    <w:rsid w:val="00E03A64"/>
    <w:rsid w:val="00E03F6C"/>
    <w:rsid w:val="00E047F0"/>
    <w:rsid w:val="00E048D7"/>
    <w:rsid w:val="00E04B4F"/>
    <w:rsid w:val="00E05312"/>
    <w:rsid w:val="00E05330"/>
    <w:rsid w:val="00E055A4"/>
    <w:rsid w:val="00E06917"/>
    <w:rsid w:val="00E06B8B"/>
    <w:rsid w:val="00E06FC2"/>
    <w:rsid w:val="00E07043"/>
    <w:rsid w:val="00E0720C"/>
    <w:rsid w:val="00E07BE2"/>
    <w:rsid w:val="00E105A8"/>
    <w:rsid w:val="00E106BA"/>
    <w:rsid w:val="00E10785"/>
    <w:rsid w:val="00E10B74"/>
    <w:rsid w:val="00E1158B"/>
    <w:rsid w:val="00E11703"/>
    <w:rsid w:val="00E11B32"/>
    <w:rsid w:val="00E11EAB"/>
    <w:rsid w:val="00E12272"/>
    <w:rsid w:val="00E12284"/>
    <w:rsid w:val="00E12706"/>
    <w:rsid w:val="00E12923"/>
    <w:rsid w:val="00E12A40"/>
    <w:rsid w:val="00E12FB5"/>
    <w:rsid w:val="00E131A1"/>
    <w:rsid w:val="00E13674"/>
    <w:rsid w:val="00E13E5A"/>
    <w:rsid w:val="00E150C8"/>
    <w:rsid w:val="00E1524F"/>
    <w:rsid w:val="00E15902"/>
    <w:rsid w:val="00E164BD"/>
    <w:rsid w:val="00E16AEE"/>
    <w:rsid w:val="00E16D5F"/>
    <w:rsid w:val="00E17239"/>
    <w:rsid w:val="00E17329"/>
    <w:rsid w:val="00E17703"/>
    <w:rsid w:val="00E178BE"/>
    <w:rsid w:val="00E17D7B"/>
    <w:rsid w:val="00E17DC0"/>
    <w:rsid w:val="00E17EB4"/>
    <w:rsid w:val="00E17FA3"/>
    <w:rsid w:val="00E20720"/>
    <w:rsid w:val="00E20830"/>
    <w:rsid w:val="00E20B33"/>
    <w:rsid w:val="00E212C2"/>
    <w:rsid w:val="00E217C0"/>
    <w:rsid w:val="00E21A06"/>
    <w:rsid w:val="00E21B77"/>
    <w:rsid w:val="00E21C03"/>
    <w:rsid w:val="00E21E37"/>
    <w:rsid w:val="00E224CC"/>
    <w:rsid w:val="00E228C4"/>
    <w:rsid w:val="00E22B13"/>
    <w:rsid w:val="00E22DE1"/>
    <w:rsid w:val="00E231EC"/>
    <w:rsid w:val="00E2333F"/>
    <w:rsid w:val="00E234C0"/>
    <w:rsid w:val="00E236E4"/>
    <w:rsid w:val="00E23A51"/>
    <w:rsid w:val="00E23E66"/>
    <w:rsid w:val="00E24771"/>
    <w:rsid w:val="00E24B18"/>
    <w:rsid w:val="00E24BEC"/>
    <w:rsid w:val="00E24FAD"/>
    <w:rsid w:val="00E254A6"/>
    <w:rsid w:val="00E25F43"/>
    <w:rsid w:val="00E25F59"/>
    <w:rsid w:val="00E25F97"/>
    <w:rsid w:val="00E25FEB"/>
    <w:rsid w:val="00E265B4"/>
    <w:rsid w:val="00E266F7"/>
    <w:rsid w:val="00E26EA5"/>
    <w:rsid w:val="00E26EEA"/>
    <w:rsid w:val="00E2735F"/>
    <w:rsid w:val="00E27DB4"/>
    <w:rsid w:val="00E32E11"/>
    <w:rsid w:val="00E33436"/>
    <w:rsid w:val="00E337D2"/>
    <w:rsid w:val="00E33966"/>
    <w:rsid w:val="00E339AA"/>
    <w:rsid w:val="00E33E66"/>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65C"/>
    <w:rsid w:val="00E46AF8"/>
    <w:rsid w:val="00E46D20"/>
    <w:rsid w:val="00E46FB1"/>
    <w:rsid w:val="00E47A09"/>
    <w:rsid w:val="00E47C73"/>
    <w:rsid w:val="00E47D1D"/>
    <w:rsid w:val="00E47D52"/>
    <w:rsid w:val="00E50074"/>
    <w:rsid w:val="00E506A8"/>
    <w:rsid w:val="00E5071A"/>
    <w:rsid w:val="00E50ED3"/>
    <w:rsid w:val="00E51346"/>
    <w:rsid w:val="00E516DF"/>
    <w:rsid w:val="00E51723"/>
    <w:rsid w:val="00E51970"/>
    <w:rsid w:val="00E51A50"/>
    <w:rsid w:val="00E51F35"/>
    <w:rsid w:val="00E5213E"/>
    <w:rsid w:val="00E5312A"/>
    <w:rsid w:val="00E53C9C"/>
    <w:rsid w:val="00E5496D"/>
    <w:rsid w:val="00E54C45"/>
    <w:rsid w:val="00E5539D"/>
    <w:rsid w:val="00E562C8"/>
    <w:rsid w:val="00E56C07"/>
    <w:rsid w:val="00E56CB5"/>
    <w:rsid w:val="00E56D78"/>
    <w:rsid w:val="00E5770D"/>
    <w:rsid w:val="00E6005E"/>
    <w:rsid w:val="00E602D2"/>
    <w:rsid w:val="00E60A86"/>
    <w:rsid w:val="00E60D4D"/>
    <w:rsid w:val="00E60DF5"/>
    <w:rsid w:val="00E61005"/>
    <w:rsid w:val="00E610F8"/>
    <w:rsid w:val="00E613D4"/>
    <w:rsid w:val="00E6195A"/>
    <w:rsid w:val="00E62798"/>
    <w:rsid w:val="00E62A27"/>
    <w:rsid w:val="00E62EC8"/>
    <w:rsid w:val="00E632DA"/>
    <w:rsid w:val="00E633F1"/>
    <w:rsid w:val="00E6340D"/>
    <w:rsid w:val="00E63927"/>
    <w:rsid w:val="00E63A8B"/>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BCE"/>
    <w:rsid w:val="00E671D5"/>
    <w:rsid w:val="00E67448"/>
    <w:rsid w:val="00E6799F"/>
    <w:rsid w:val="00E67E91"/>
    <w:rsid w:val="00E7066C"/>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5242"/>
    <w:rsid w:val="00E75313"/>
    <w:rsid w:val="00E75F62"/>
    <w:rsid w:val="00E763C7"/>
    <w:rsid w:val="00E77050"/>
    <w:rsid w:val="00E77249"/>
    <w:rsid w:val="00E772A5"/>
    <w:rsid w:val="00E7779C"/>
    <w:rsid w:val="00E8050F"/>
    <w:rsid w:val="00E8065B"/>
    <w:rsid w:val="00E80AC0"/>
    <w:rsid w:val="00E82281"/>
    <w:rsid w:val="00E82283"/>
    <w:rsid w:val="00E82A8D"/>
    <w:rsid w:val="00E82ABF"/>
    <w:rsid w:val="00E82C10"/>
    <w:rsid w:val="00E8300C"/>
    <w:rsid w:val="00E8310F"/>
    <w:rsid w:val="00E8379E"/>
    <w:rsid w:val="00E83BF0"/>
    <w:rsid w:val="00E83D5A"/>
    <w:rsid w:val="00E84058"/>
    <w:rsid w:val="00E843E2"/>
    <w:rsid w:val="00E844CE"/>
    <w:rsid w:val="00E846CC"/>
    <w:rsid w:val="00E851A4"/>
    <w:rsid w:val="00E8523F"/>
    <w:rsid w:val="00E85304"/>
    <w:rsid w:val="00E854E1"/>
    <w:rsid w:val="00E855CE"/>
    <w:rsid w:val="00E85A04"/>
    <w:rsid w:val="00E85B0F"/>
    <w:rsid w:val="00E8617A"/>
    <w:rsid w:val="00E86C27"/>
    <w:rsid w:val="00E872FC"/>
    <w:rsid w:val="00E87C5D"/>
    <w:rsid w:val="00E90654"/>
    <w:rsid w:val="00E90B93"/>
    <w:rsid w:val="00E92350"/>
    <w:rsid w:val="00E92807"/>
    <w:rsid w:val="00E9285C"/>
    <w:rsid w:val="00E928FD"/>
    <w:rsid w:val="00E92927"/>
    <w:rsid w:val="00E92CC0"/>
    <w:rsid w:val="00E92FE2"/>
    <w:rsid w:val="00E93145"/>
    <w:rsid w:val="00E93336"/>
    <w:rsid w:val="00E944E5"/>
    <w:rsid w:val="00E947E8"/>
    <w:rsid w:val="00E9486C"/>
    <w:rsid w:val="00E949DA"/>
    <w:rsid w:val="00E94CF1"/>
    <w:rsid w:val="00E95362"/>
    <w:rsid w:val="00E954F9"/>
    <w:rsid w:val="00E95673"/>
    <w:rsid w:val="00E956B5"/>
    <w:rsid w:val="00E96789"/>
    <w:rsid w:val="00E9682D"/>
    <w:rsid w:val="00E9682E"/>
    <w:rsid w:val="00E97698"/>
    <w:rsid w:val="00E97B70"/>
    <w:rsid w:val="00EA00CC"/>
    <w:rsid w:val="00EA0242"/>
    <w:rsid w:val="00EA03C9"/>
    <w:rsid w:val="00EA08F8"/>
    <w:rsid w:val="00EA0B4E"/>
    <w:rsid w:val="00EA0E4D"/>
    <w:rsid w:val="00EA1ED5"/>
    <w:rsid w:val="00EA3838"/>
    <w:rsid w:val="00EA3CAF"/>
    <w:rsid w:val="00EA4181"/>
    <w:rsid w:val="00EA496D"/>
    <w:rsid w:val="00EA4C52"/>
    <w:rsid w:val="00EA4D12"/>
    <w:rsid w:val="00EA4DD4"/>
    <w:rsid w:val="00EA4F5D"/>
    <w:rsid w:val="00EA50F3"/>
    <w:rsid w:val="00EA542B"/>
    <w:rsid w:val="00EA6542"/>
    <w:rsid w:val="00EA6BFB"/>
    <w:rsid w:val="00EA6C04"/>
    <w:rsid w:val="00EA7601"/>
    <w:rsid w:val="00EA764D"/>
    <w:rsid w:val="00EA787F"/>
    <w:rsid w:val="00EA7AC2"/>
    <w:rsid w:val="00EB0550"/>
    <w:rsid w:val="00EB0970"/>
    <w:rsid w:val="00EB1E63"/>
    <w:rsid w:val="00EB200C"/>
    <w:rsid w:val="00EB2658"/>
    <w:rsid w:val="00EB2920"/>
    <w:rsid w:val="00EB2BEF"/>
    <w:rsid w:val="00EB2DF3"/>
    <w:rsid w:val="00EB2F0E"/>
    <w:rsid w:val="00EB3765"/>
    <w:rsid w:val="00EB397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C02DC"/>
    <w:rsid w:val="00EC0398"/>
    <w:rsid w:val="00EC06C2"/>
    <w:rsid w:val="00EC0BE3"/>
    <w:rsid w:val="00EC0BF9"/>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70A6"/>
    <w:rsid w:val="00EC715A"/>
    <w:rsid w:val="00EC7658"/>
    <w:rsid w:val="00EC769A"/>
    <w:rsid w:val="00EC7C92"/>
    <w:rsid w:val="00ED08C5"/>
    <w:rsid w:val="00ED1289"/>
    <w:rsid w:val="00ED16A7"/>
    <w:rsid w:val="00ED17E5"/>
    <w:rsid w:val="00ED233F"/>
    <w:rsid w:val="00ED2491"/>
    <w:rsid w:val="00ED2894"/>
    <w:rsid w:val="00ED2A9D"/>
    <w:rsid w:val="00ED38E6"/>
    <w:rsid w:val="00ED39BA"/>
    <w:rsid w:val="00ED3AB7"/>
    <w:rsid w:val="00ED500F"/>
    <w:rsid w:val="00ED5160"/>
    <w:rsid w:val="00ED51FD"/>
    <w:rsid w:val="00ED5203"/>
    <w:rsid w:val="00ED5325"/>
    <w:rsid w:val="00ED5475"/>
    <w:rsid w:val="00ED55D9"/>
    <w:rsid w:val="00ED5A22"/>
    <w:rsid w:val="00ED6EC0"/>
    <w:rsid w:val="00ED6F5F"/>
    <w:rsid w:val="00ED76A2"/>
    <w:rsid w:val="00ED7B3C"/>
    <w:rsid w:val="00EE05CB"/>
    <w:rsid w:val="00EE06A7"/>
    <w:rsid w:val="00EE10B1"/>
    <w:rsid w:val="00EE1F6E"/>
    <w:rsid w:val="00EE2262"/>
    <w:rsid w:val="00EE24D3"/>
    <w:rsid w:val="00EE2C0C"/>
    <w:rsid w:val="00EE33FD"/>
    <w:rsid w:val="00EE3573"/>
    <w:rsid w:val="00EE3E2D"/>
    <w:rsid w:val="00EE4939"/>
    <w:rsid w:val="00EE51C9"/>
    <w:rsid w:val="00EE5C86"/>
    <w:rsid w:val="00EE5D39"/>
    <w:rsid w:val="00EE6CDA"/>
    <w:rsid w:val="00EE7069"/>
    <w:rsid w:val="00EE715B"/>
    <w:rsid w:val="00EE722A"/>
    <w:rsid w:val="00EE77E2"/>
    <w:rsid w:val="00EE7AF1"/>
    <w:rsid w:val="00EE7B80"/>
    <w:rsid w:val="00EF08B6"/>
    <w:rsid w:val="00EF107D"/>
    <w:rsid w:val="00EF20D8"/>
    <w:rsid w:val="00EF26E8"/>
    <w:rsid w:val="00EF29B6"/>
    <w:rsid w:val="00EF2DF0"/>
    <w:rsid w:val="00EF312E"/>
    <w:rsid w:val="00EF31D4"/>
    <w:rsid w:val="00EF32EC"/>
    <w:rsid w:val="00EF35DE"/>
    <w:rsid w:val="00EF3B73"/>
    <w:rsid w:val="00EF3F96"/>
    <w:rsid w:val="00EF4189"/>
    <w:rsid w:val="00EF44EC"/>
    <w:rsid w:val="00EF457F"/>
    <w:rsid w:val="00EF4752"/>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7E1"/>
    <w:rsid w:val="00F00197"/>
    <w:rsid w:val="00F00B82"/>
    <w:rsid w:val="00F00DB1"/>
    <w:rsid w:val="00F01049"/>
    <w:rsid w:val="00F0117E"/>
    <w:rsid w:val="00F011A6"/>
    <w:rsid w:val="00F017BD"/>
    <w:rsid w:val="00F017D7"/>
    <w:rsid w:val="00F01C38"/>
    <w:rsid w:val="00F01C8D"/>
    <w:rsid w:val="00F021AD"/>
    <w:rsid w:val="00F0226E"/>
    <w:rsid w:val="00F02E42"/>
    <w:rsid w:val="00F02E93"/>
    <w:rsid w:val="00F03208"/>
    <w:rsid w:val="00F0336C"/>
    <w:rsid w:val="00F03A93"/>
    <w:rsid w:val="00F04035"/>
    <w:rsid w:val="00F04329"/>
    <w:rsid w:val="00F0449A"/>
    <w:rsid w:val="00F04624"/>
    <w:rsid w:val="00F05774"/>
    <w:rsid w:val="00F05AF2"/>
    <w:rsid w:val="00F062F6"/>
    <w:rsid w:val="00F06E12"/>
    <w:rsid w:val="00F06E95"/>
    <w:rsid w:val="00F07ABE"/>
    <w:rsid w:val="00F1037F"/>
    <w:rsid w:val="00F10840"/>
    <w:rsid w:val="00F1085D"/>
    <w:rsid w:val="00F108DB"/>
    <w:rsid w:val="00F1099D"/>
    <w:rsid w:val="00F111C9"/>
    <w:rsid w:val="00F116C5"/>
    <w:rsid w:val="00F11E0E"/>
    <w:rsid w:val="00F11E79"/>
    <w:rsid w:val="00F12F5C"/>
    <w:rsid w:val="00F14055"/>
    <w:rsid w:val="00F140D4"/>
    <w:rsid w:val="00F145FA"/>
    <w:rsid w:val="00F147F3"/>
    <w:rsid w:val="00F14B1E"/>
    <w:rsid w:val="00F14C64"/>
    <w:rsid w:val="00F14D0E"/>
    <w:rsid w:val="00F1531B"/>
    <w:rsid w:val="00F15D24"/>
    <w:rsid w:val="00F16743"/>
    <w:rsid w:val="00F16C02"/>
    <w:rsid w:val="00F16E46"/>
    <w:rsid w:val="00F16F46"/>
    <w:rsid w:val="00F17E63"/>
    <w:rsid w:val="00F20301"/>
    <w:rsid w:val="00F208F8"/>
    <w:rsid w:val="00F209CD"/>
    <w:rsid w:val="00F2150B"/>
    <w:rsid w:val="00F21D28"/>
    <w:rsid w:val="00F22650"/>
    <w:rsid w:val="00F23747"/>
    <w:rsid w:val="00F23AE4"/>
    <w:rsid w:val="00F23B77"/>
    <w:rsid w:val="00F23ECA"/>
    <w:rsid w:val="00F23FDD"/>
    <w:rsid w:val="00F24048"/>
    <w:rsid w:val="00F24079"/>
    <w:rsid w:val="00F24473"/>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AD9"/>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9C9"/>
    <w:rsid w:val="00F35C2B"/>
    <w:rsid w:val="00F3660C"/>
    <w:rsid w:val="00F36BF6"/>
    <w:rsid w:val="00F36FE9"/>
    <w:rsid w:val="00F37102"/>
    <w:rsid w:val="00F37AB9"/>
    <w:rsid w:val="00F37D7B"/>
    <w:rsid w:val="00F40011"/>
    <w:rsid w:val="00F40177"/>
    <w:rsid w:val="00F40B25"/>
    <w:rsid w:val="00F40BF2"/>
    <w:rsid w:val="00F42C42"/>
    <w:rsid w:val="00F42C95"/>
    <w:rsid w:val="00F42EFB"/>
    <w:rsid w:val="00F437DA"/>
    <w:rsid w:val="00F4388E"/>
    <w:rsid w:val="00F4409D"/>
    <w:rsid w:val="00F446D8"/>
    <w:rsid w:val="00F447F2"/>
    <w:rsid w:val="00F44B57"/>
    <w:rsid w:val="00F4595B"/>
    <w:rsid w:val="00F46C84"/>
    <w:rsid w:val="00F475E9"/>
    <w:rsid w:val="00F47785"/>
    <w:rsid w:val="00F47BB6"/>
    <w:rsid w:val="00F47E48"/>
    <w:rsid w:val="00F5026F"/>
    <w:rsid w:val="00F50621"/>
    <w:rsid w:val="00F5166F"/>
    <w:rsid w:val="00F51C32"/>
    <w:rsid w:val="00F51CC6"/>
    <w:rsid w:val="00F523F0"/>
    <w:rsid w:val="00F52521"/>
    <w:rsid w:val="00F5270D"/>
    <w:rsid w:val="00F52956"/>
    <w:rsid w:val="00F529B8"/>
    <w:rsid w:val="00F52DD0"/>
    <w:rsid w:val="00F5307B"/>
    <w:rsid w:val="00F530AF"/>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09"/>
    <w:rsid w:val="00F65B27"/>
    <w:rsid w:val="00F65C23"/>
    <w:rsid w:val="00F6600E"/>
    <w:rsid w:val="00F6737B"/>
    <w:rsid w:val="00F6738C"/>
    <w:rsid w:val="00F676DD"/>
    <w:rsid w:val="00F67CE3"/>
    <w:rsid w:val="00F67EB8"/>
    <w:rsid w:val="00F70062"/>
    <w:rsid w:val="00F709F9"/>
    <w:rsid w:val="00F70D15"/>
    <w:rsid w:val="00F70FB2"/>
    <w:rsid w:val="00F71668"/>
    <w:rsid w:val="00F71F7B"/>
    <w:rsid w:val="00F72CFC"/>
    <w:rsid w:val="00F7358A"/>
    <w:rsid w:val="00F73614"/>
    <w:rsid w:val="00F73748"/>
    <w:rsid w:val="00F73CAF"/>
    <w:rsid w:val="00F74939"/>
    <w:rsid w:val="00F74CD9"/>
    <w:rsid w:val="00F751B9"/>
    <w:rsid w:val="00F7598D"/>
    <w:rsid w:val="00F75B96"/>
    <w:rsid w:val="00F75D4D"/>
    <w:rsid w:val="00F75EF8"/>
    <w:rsid w:val="00F765B1"/>
    <w:rsid w:val="00F7691C"/>
    <w:rsid w:val="00F76BA6"/>
    <w:rsid w:val="00F76E3C"/>
    <w:rsid w:val="00F77290"/>
    <w:rsid w:val="00F77548"/>
    <w:rsid w:val="00F77566"/>
    <w:rsid w:val="00F81468"/>
    <w:rsid w:val="00F814FA"/>
    <w:rsid w:val="00F8196D"/>
    <w:rsid w:val="00F81A7C"/>
    <w:rsid w:val="00F81C04"/>
    <w:rsid w:val="00F81FC8"/>
    <w:rsid w:val="00F82430"/>
    <w:rsid w:val="00F82439"/>
    <w:rsid w:val="00F82872"/>
    <w:rsid w:val="00F82B12"/>
    <w:rsid w:val="00F82F3D"/>
    <w:rsid w:val="00F830BA"/>
    <w:rsid w:val="00F836FE"/>
    <w:rsid w:val="00F8393D"/>
    <w:rsid w:val="00F83BC4"/>
    <w:rsid w:val="00F84326"/>
    <w:rsid w:val="00F84574"/>
    <w:rsid w:val="00F84ECF"/>
    <w:rsid w:val="00F854FD"/>
    <w:rsid w:val="00F85647"/>
    <w:rsid w:val="00F85BC6"/>
    <w:rsid w:val="00F85FFE"/>
    <w:rsid w:val="00F8607B"/>
    <w:rsid w:val="00F87417"/>
    <w:rsid w:val="00F903D3"/>
    <w:rsid w:val="00F907BC"/>
    <w:rsid w:val="00F909E4"/>
    <w:rsid w:val="00F91068"/>
    <w:rsid w:val="00F91481"/>
    <w:rsid w:val="00F915AC"/>
    <w:rsid w:val="00F91618"/>
    <w:rsid w:val="00F91CFD"/>
    <w:rsid w:val="00F92722"/>
    <w:rsid w:val="00F929FA"/>
    <w:rsid w:val="00F92CDD"/>
    <w:rsid w:val="00F93D17"/>
    <w:rsid w:val="00F95356"/>
    <w:rsid w:val="00F957CE"/>
    <w:rsid w:val="00F9586E"/>
    <w:rsid w:val="00F95874"/>
    <w:rsid w:val="00F95C55"/>
    <w:rsid w:val="00F95EC8"/>
    <w:rsid w:val="00F96CE8"/>
    <w:rsid w:val="00F96D4A"/>
    <w:rsid w:val="00F97725"/>
    <w:rsid w:val="00FA0082"/>
    <w:rsid w:val="00FA0318"/>
    <w:rsid w:val="00FA06D7"/>
    <w:rsid w:val="00FA08AD"/>
    <w:rsid w:val="00FA0B7B"/>
    <w:rsid w:val="00FA0CC1"/>
    <w:rsid w:val="00FA0F44"/>
    <w:rsid w:val="00FA1080"/>
    <w:rsid w:val="00FA1734"/>
    <w:rsid w:val="00FA1A7D"/>
    <w:rsid w:val="00FA1A8E"/>
    <w:rsid w:val="00FA2064"/>
    <w:rsid w:val="00FA2FF5"/>
    <w:rsid w:val="00FA34C6"/>
    <w:rsid w:val="00FA352A"/>
    <w:rsid w:val="00FA367C"/>
    <w:rsid w:val="00FA36D9"/>
    <w:rsid w:val="00FA409E"/>
    <w:rsid w:val="00FA4244"/>
    <w:rsid w:val="00FA4CE4"/>
    <w:rsid w:val="00FA5784"/>
    <w:rsid w:val="00FA603A"/>
    <w:rsid w:val="00FA658A"/>
    <w:rsid w:val="00FA66F3"/>
    <w:rsid w:val="00FA6B8F"/>
    <w:rsid w:val="00FA7B41"/>
    <w:rsid w:val="00FA7D54"/>
    <w:rsid w:val="00FB0515"/>
    <w:rsid w:val="00FB07E5"/>
    <w:rsid w:val="00FB1616"/>
    <w:rsid w:val="00FB1891"/>
    <w:rsid w:val="00FB1A76"/>
    <w:rsid w:val="00FB1B91"/>
    <w:rsid w:val="00FB209E"/>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B74"/>
    <w:rsid w:val="00FC1E34"/>
    <w:rsid w:val="00FC1E77"/>
    <w:rsid w:val="00FC2149"/>
    <w:rsid w:val="00FC2FB6"/>
    <w:rsid w:val="00FC3487"/>
    <w:rsid w:val="00FC390E"/>
    <w:rsid w:val="00FC599A"/>
    <w:rsid w:val="00FC69A7"/>
    <w:rsid w:val="00FC6DD7"/>
    <w:rsid w:val="00FC777C"/>
    <w:rsid w:val="00FD0CBF"/>
    <w:rsid w:val="00FD0EC5"/>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E39"/>
    <w:rsid w:val="00FD4FCF"/>
    <w:rsid w:val="00FD500E"/>
    <w:rsid w:val="00FD52C9"/>
    <w:rsid w:val="00FD5715"/>
    <w:rsid w:val="00FD590E"/>
    <w:rsid w:val="00FD5A0A"/>
    <w:rsid w:val="00FD5DDA"/>
    <w:rsid w:val="00FD5F1D"/>
    <w:rsid w:val="00FD6239"/>
    <w:rsid w:val="00FD6323"/>
    <w:rsid w:val="00FD6417"/>
    <w:rsid w:val="00FD6BA0"/>
    <w:rsid w:val="00FD6C4A"/>
    <w:rsid w:val="00FD6E28"/>
    <w:rsid w:val="00FD7286"/>
    <w:rsid w:val="00FD77C0"/>
    <w:rsid w:val="00FD781C"/>
    <w:rsid w:val="00FE048E"/>
    <w:rsid w:val="00FE04AC"/>
    <w:rsid w:val="00FE07AE"/>
    <w:rsid w:val="00FE07DE"/>
    <w:rsid w:val="00FE0ADC"/>
    <w:rsid w:val="00FE146F"/>
    <w:rsid w:val="00FE15D4"/>
    <w:rsid w:val="00FE1869"/>
    <w:rsid w:val="00FE1E5E"/>
    <w:rsid w:val="00FE1E61"/>
    <w:rsid w:val="00FE1E74"/>
    <w:rsid w:val="00FE22A1"/>
    <w:rsid w:val="00FE23E2"/>
    <w:rsid w:val="00FE25E0"/>
    <w:rsid w:val="00FE2AE1"/>
    <w:rsid w:val="00FE327D"/>
    <w:rsid w:val="00FE32C3"/>
    <w:rsid w:val="00FE401F"/>
    <w:rsid w:val="00FE4115"/>
    <w:rsid w:val="00FE48A9"/>
    <w:rsid w:val="00FE4E1A"/>
    <w:rsid w:val="00FE505A"/>
    <w:rsid w:val="00FE5361"/>
    <w:rsid w:val="00FE5DA9"/>
    <w:rsid w:val="00FE5EC6"/>
    <w:rsid w:val="00FE6518"/>
    <w:rsid w:val="00FE6546"/>
    <w:rsid w:val="00FE6632"/>
    <w:rsid w:val="00FE72E0"/>
    <w:rsid w:val="00FE7B0D"/>
    <w:rsid w:val="00FE7B1E"/>
    <w:rsid w:val="00FE7E80"/>
    <w:rsid w:val="00FF0637"/>
    <w:rsid w:val="00FF0894"/>
    <w:rsid w:val="00FF2475"/>
    <w:rsid w:val="00FF2664"/>
    <w:rsid w:val="00FF2E0A"/>
    <w:rsid w:val="00FF306C"/>
    <w:rsid w:val="00FF3170"/>
    <w:rsid w:val="00FF34D3"/>
    <w:rsid w:val="00FF368B"/>
    <w:rsid w:val="00FF3802"/>
    <w:rsid w:val="00FF3C79"/>
    <w:rsid w:val="00FF3CED"/>
    <w:rsid w:val="00FF3CFB"/>
    <w:rsid w:val="00FF3D04"/>
    <w:rsid w:val="00FF4137"/>
    <w:rsid w:val="00FF425A"/>
    <w:rsid w:val="00FF4A2A"/>
    <w:rsid w:val="00FF60F0"/>
    <w:rsid w:val="00FF6514"/>
    <w:rsid w:val="00FF71A1"/>
    <w:rsid w:val="00FF72F6"/>
    <w:rsid w:val="00FF759F"/>
    <w:rsid w:val="00FF7E72"/>
    <w:rsid w:val="02304BD1"/>
    <w:rsid w:val="058C3D4C"/>
    <w:rsid w:val="0D4980FA"/>
    <w:rsid w:val="0D4C57FE"/>
    <w:rsid w:val="0FAF46A4"/>
    <w:rsid w:val="17539E6D"/>
    <w:rsid w:val="181A8E32"/>
    <w:rsid w:val="1946635B"/>
    <w:rsid w:val="1A26EFDB"/>
    <w:rsid w:val="1BB04A10"/>
    <w:rsid w:val="1C2E5F12"/>
    <w:rsid w:val="1CB8D00B"/>
    <w:rsid w:val="1EEC818E"/>
    <w:rsid w:val="1FFA9D07"/>
    <w:rsid w:val="267C63D3"/>
    <w:rsid w:val="2957CE1F"/>
    <w:rsid w:val="2C0EAFCC"/>
    <w:rsid w:val="2CC579C3"/>
    <w:rsid w:val="2F6AAF80"/>
    <w:rsid w:val="2F83408E"/>
    <w:rsid w:val="2FA5BDC8"/>
    <w:rsid w:val="3109A628"/>
    <w:rsid w:val="33D88610"/>
    <w:rsid w:val="35CBC906"/>
    <w:rsid w:val="38777EAD"/>
    <w:rsid w:val="399DEDE6"/>
    <w:rsid w:val="3CF0F754"/>
    <w:rsid w:val="4177B5DD"/>
    <w:rsid w:val="4411470C"/>
    <w:rsid w:val="44F04029"/>
    <w:rsid w:val="4568B5F2"/>
    <w:rsid w:val="46302C40"/>
    <w:rsid w:val="4B52DBCB"/>
    <w:rsid w:val="578EE315"/>
    <w:rsid w:val="5AA13D16"/>
    <w:rsid w:val="61267156"/>
    <w:rsid w:val="6511C5F0"/>
    <w:rsid w:val="68F2BD07"/>
    <w:rsid w:val="6C335A6B"/>
    <w:rsid w:val="6C969A95"/>
    <w:rsid w:val="6D116EED"/>
    <w:rsid w:val="6F0AC11D"/>
    <w:rsid w:val="73950878"/>
    <w:rsid w:val="73AB8DDA"/>
    <w:rsid w:val="74FF2F8F"/>
    <w:rsid w:val="784F46BF"/>
    <w:rsid w:val="7A39EC28"/>
    <w:rsid w:val="7C5D796E"/>
    <w:rsid w:val="7D5C9780"/>
    <w:rsid w:val="7D6A6709"/>
    <w:rsid w:val="7E699B12"/>
    <w:rsid w:val="7F9FC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26E65EB1-AEC0-475C-BFEF-01F4700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5"/>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semiHidden/>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ListParagraphChar">
    <w:name w:val="List Paragraph Char"/>
    <w:basedOn w:val="DefaultParagraphFont"/>
    <w:link w:val="ListParagraph"/>
    <w:uiPriority w:val="34"/>
    <w:locked/>
    <w:rsid w:val="000928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736">
      <w:bodyDiv w:val="1"/>
      <w:marLeft w:val="0"/>
      <w:marRight w:val="0"/>
      <w:marTop w:val="0"/>
      <w:marBottom w:val="0"/>
      <w:divBdr>
        <w:top w:val="none" w:sz="0" w:space="0" w:color="auto"/>
        <w:left w:val="none" w:sz="0" w:space="0" w:color="auto"/>
        <w:bottom w:val="none" w:sz="0" w:space="0" w:color="auto"/>
        <w:right w:val="none" w:sz="0" w:space="0" w:color="auto"/>
      </w:divBdr>
    </w:div>
    <w:div w:id="54090562">
      <w:bodyDiv w:val="1"/>
      <w:marLeft w:val="0"/>
      <w:marRight w:val="0"/>
      <w:marTop w:val="0"/>
      <w:marBottom w:val="0"/>
      <w:divBdr>
        <w:top w:val="none" w:sz="0" w:space="0" w:color="auto"/>
        <w:left w:val="none" w:sz="0" w:space="0" w:color="auto"/>
        <w:bottom w:val="none" w:sz="0" w:space="0" w:color="auto"/>
        <w:right w:val="none" w:sz="0" w:space="0" w:color="auto"/>
      </w:divBdr>
    </w:div>
    <w:div w:id="105271412">
      <w:bodyDiv w:val="1"/>
      <w:marLeft w:val="0"/>
      <w:marRight w:val="0"/>
      <w:marTop w:val="0"/>
      <w:marBottom w:val="0"/>
      <w:divBdr>
        <w:top w:val="none" w:sz="0" w:space="0" w:color="auto"/>
        <w:left w:val="none" w:sz="0" w:space="0" w:color="auto"/>
        <w:bottom w:val="none" w:sz="0" w:space="0" w:color="auto"/>
        <w:right w:val="none" w:sz="0" w:space="0" w:color="auto"/>
      </w:divBdr>
    </w:div>
    <w:div w:id="153879612">
      <w:bodyDiv w:val="1"/>
      <w:marLeft w:val="0"/>
      <w:marRight w:val="0"/>
      <w:marTop w:val="0"/>
      <w:marBottom w:val="0"/>
      <w:divBdr>
        <w:top w:val="none" w:sz="0" w:space="0" w:color="auto"/>
        <w:left w:val="none" w:sz="0" w:space="0" w:color="auto"/>
        <w:bottom w:val="none" w:sz="0" w:space="0" w:color="auto"/>
        <w:right w:val="none" w:sz="0" w:space="0" w:color="auto"/>
      </w:divBdr>
    </w:div>
    <w:div w:id="27152203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70309213">
      <w:bodyDiv w:val="1"/>
      <w:marLeft w:val="0"/>
      <w:marRight w:val="0"/>
      <w:marTop w:val="0"/>
      <w:marBottom w:val="0"/>
      <w:divBdr>
        <w:top w:val="none" w:sz="0" w:space="0" w:color="auto"/>
        <w:left w:val="none" w:sz="0" w:space="0" w:color="auto"/>
        <w:bottom w:val="none" w:sz="0" w:space="0" w:color="auto"/>
        <w:right w:val="none" w:sz="0" w:space="0" w:color="auto"/>
      </w:divBdr>
    </w:div>
    <w:div w:id="404383135">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49732494">
      <w:bodyDiv w:val="1"/>
      <w:marLeft w:val="0"/>
      <w:marRight w:val="0"/>
      <w:marTop w:val="0"/>
      <w:marBottom w:val="0"/>
      <w:divBdr>
        <w:top w:val="none" w:sz="0" w:space="0" w:color="auto"/>
        <w:left w:val="none" w:sz="0" w:space="0" w:color="auto"/>
        <w:bottom w:val="none" w:sz="0" w:space="0" w:color="auto"/>
        <w:right w:val="none" w:sz="0" w:space="0" w:color="auto"/>
      </w:divBdr>
    </w:div>
    <w:div w:id="577859693">
      <w:bodyDiv w:val="1"/>
      <w:marLeft w:val="0"/>
      <w:marRight w:val="0"/>
      <w:marTop w:val="0"/>
      <w:marBottom w:val="0"/>
      <w:divBdr>
        <w:top w:val="none" w:sz="0" w:space="0" w:color="auto"/>
        <w:left w:val="none" w:sz="0" w:space="0" w:color="auto"/>
        <w:bottom w:val="none" w:sz="0" w:space="0" w:color="auto"/>
        <w:right w:val="none" w:sz="0" w:space="0" w:color="auto"/>
      </w:divBdr>
    </w:div>
    <w:div w:id="641039273">
      <w:bodyDiv w:val="1"/>
      <w:marLeft w:val="0"/>
      <w:marRight w:val="0"/>
      <w:marTop w:val="0"/>
      <w:marBottom w:val="0"/>
      <w:divBdr>
        <w:top w:val="none" w:sz="0" w:space="0" w:color="auto"/>
        <w:left w:val="none" w:sz="0" w:space="0" w:color="auto"/>
        <w:bottom w:val="none" w:sz="0" w:space="0" w:color="auto"/>
        <w:right w:val="none" w:sz="0" w:space="0" w:color="auto"/>
      </w:divBdr>
    </w:div>
    <w:div w:id="644239662">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848369934">
      <w:bodyDiv w:val="1"/>
      <w:marLeft w:val="0"/>
      <w:marRight w:val="0"/>
      <w:marTop w:val="0"/>
      <w:marBottom w:val="0"/>
      <w:divBdr>
        <w:top w:val="none" w:sz="0" w:space="0" w:color="auto"/>
        <w:left w:val="none" w:sz="0" w:space="0" w:color="auto"/>
        <w:bottom w:val="none" w:sz="0" w:space="0" w:color="auto"/>
        <w:right w:val="none" w:sz="0" w:space="0" w:color="auto"/>
      </w:divBdr>
    </w:div>
    <w:div w:id="858661082">
      <w:bodyDiv w:val="1"/>
      <w:marLeft w:val="0"/>
      <w:marRight w:val="0"/>
      <w:marTop w:val="0"/>
      <w:marBottom w:val="0"/>
      <w:divBdr>
        <w:top w:val="none" w:sz="0" w:space="0" w:color="auto"/>
        <w:left w:val="none" w:sz="0" w:space="0" w:color="auto"/>
        <w:bottom w:val="none" w:sz="0" w:space="0" w:color="auto"/>
        <w:right w:val="none" w:sz="0" w:space="0" w:color="auto"/>
      </w:divBdr>
    </w:div>
    <w:div w:id="961040461">
      <w:bodyDiv w:val="1"/>
      <w:marLeft w:val="0"/>
      <w:marRight w:val="0"/>
      <w:marTop w:val="0"/>
      <w:marBottom w:val="0"/>
      <w:divBdr>
        <w:top w:val="none" w:sz="0" w:space="0" w:color="auto"/>
        <w:left w:val="none" w:sz="0" w:space="0" w:color="auto"/>
        <w:bottom w:val="none" w:sz="0" w:space="0" w:color="auto"/>
        <w:right w:val="none" w:sz="0" w:space="0" w:color="auto"/>
      </w:divBdr>
    </w:div>
    <w:div w:id="1095638088">
      <w:bodyDiv w:val="1"/>
      <w:marLeft w:val="0"/>
      <w:marRight w:val="0"/>
      <w:marTop w:val="0"/>
      <w:marBottom w:val="0"/>
      <w:divBdr>
        <w:top w:val="none" w:sz="0" w:space="0" w:color="auto"/>
        <w:left w:val="none" w:sz="0" w:space="0" w:color="auto"/>
        <w:bottom w:val="none" w:sz="0" w:space="0" w:color="auto"/>
        <w:right w:val="none" w:sz="0" w:space="0" w:color="auto"/>
      </w:divBdr>
    </w:div>
    <w:div w:id="1108542572">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18971117">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46250259">
      <w:bodyDiv w:val="1"/>
      <w:marLeft w:val="0"/>
      <w:marRight w:val="0"/>
      <w:marTop w:val="0"/>
      <w:marBottom w:val="0"/>
      <w:divBdr>
        <w:top w:val="none" w:sz="0" w:space="0" w:color="auto"/>
        <w:left w:val="none" w:sz="0" w:space="0" w:color="auto"/>
        <w:bottom w:val="none" w:sz="0" w:space="0" w:color="auto"/>
        <w:right w:val="none" w:sz="0" w:space="0" w:color="auto"/>
      </w:divBdr>
    </w:div>
    <w:div w:id="1403718716">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19331851">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02248095">
      <w:bodyDiv w:val="1"/>
      <w:marLeft w:val="0"/>
      <w:marRight w:val="0"/>
      <w:marTop w:val="0"/>
      <w:marBottom w:val="0"/>
      <w:divBdr>
        <w:top w:val="none" w:sz="0" w:space="0" w:color="auto"/>
        <w:left w:val="none" w:sz="0" w:space="0" w:color="auto"/>
        <w:bottom w:val="none" w:sz="0" w:space="0" w:color="auto"/>
        <w:right w:val="none" w:sz="0" w:space="0" w:color="auto"/>
      </w:divBdr>
    </w:div>
    <w:div w:id="1735077714">
      <w:bodyDiv w:val="1"/>
      <w:marLeft w:val="0"/>
      <w:marRight w:val="0"/>
      <w:marTop w:val="0"/>
      <w:marBottom w:val="0"/>
      <w:divBdr>
        <w:top w:val="none" w:sz="0" w:space="0" w:color="auto"/>
        <w:left w:val="none" w:sz="0" w:space="0" w:color="auto"/>
        <w:bottom w:val="none" w:sz="0" w:space="0" w:color="auto"/>
        <w:right w:val="none" w:sz="0" w:space="0" w:color="auto"/>
      </w:divBdr>
    </w:div>
    <w:div w:id="1749880030">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35534428">
      <w:bodyDiv w:val="1"/>
      <w:marLeft w:val="0"/>
      <w:marRight w:val="0"/>
      <w:marTop w:val="0"/>
      <w:marBottom w:val="0"/>
      <w:divBdr>
        <w:top w:val="none" w:sz="0" w:space="0" w:color="auto"/>
        <w:left w:val="none" w:sz="0" w:space="0" w:color="auto"/>
        <w:bottom w:val="none" w:sz="0" w:space="0" w:color="auto"/>
        <w:right w:val="none" w:sz="0" w:space="0" w:color="auto"/>
      </w:divBdr>
    </w:div>
    <w:div w:id="1897203941">
      <w:bodyDiv w:val="1"/>
      <w:marLeft w:val="0"/>
      <w:marRight w:val="0"/>
      <w:marTop w:val="0"/>
      <w:marBottom w:val="0"/>
      <w:divBdr>
        <w:top w:val="none" w:sz="0" w:space="0" w:color="auto"/>
        <w:left w:val="none" w:sz="0" w:space="0" w:color="auto"/>
        <w:bottom w:val="none" w:sz="0" w:space="0" w:color="auto"/>
        <w:right w:val="none" w:sz="0" w:space="0" w:color="auto"/>
      </w:divBdr>
    </w:div>
    <w:div w:id="1903370641">
      <w:bodyDiv w:val="1"/>
      <w:marLeft w:val="0"/>
      <w:marRight w:val="0"/>
      <w:marTop w:val="0"/>
      <w:marBottom w:val="0"/>
      <w:divBdr>
        <w:top w:val="none" w:sz="0" w:space="0" w:color="auto"/>
        <w:left w:val="none" w:sz="0" w:space="0" w:color="auto"/>
        <w:bottom w:val="none" w:sz="0" w:space="0" w:color="auto"/>
        <w:right w:val="none" w:sz="0" w:space="0" w:color="auto"/>
      </w:divBdr>
    </w:div>
    <w:div w:id="1978491682">
      <w:bodyDiv w:val="1"/>
      <w:marLeft w:val="0"/>
      <w:marRight w:val="0"/>
      <w:marTop w:val="0"/>
      <w:marBottom w:val="0"/>
      <w:divBdr>
        <w:top w:val="none" w:sz="0" w:space="0" w:color="auto"/>
        <w:left w:val="none" w:sz="0" w:space="0" w:color="auto"/>
        <w:bottom w:val="none" w:sz="0" w:space="0" w:color="auto"/>
        <w:right w:val="none" w:sz="0" w:space="0" w:color="auto"/>
      </w:divBdr>
    </w:div>
    <w:div w:id="2026858831">
      <w:bodyDiv w:val="1"/>
      <w:marLeft w:val="0"/>
      <w:marRight w:val="0"/>
      <w:marTop w:val="0"/>
      <w:marBottom w:val="0"/>
      <w:divBdr>
        <w:top w:val="none" w:sz="0" w:space="0" w:color="auto"/>
        <w:left w:val="none" w:sz="0" w:space="0" w:color="auto"/>
        <w:bottom w:val="none" w:sz="0" w:space="0" w:color="auto"/>
        <w:right w:val="none" w:sz="0" w:space="0" w:color="auto"/>
      </w:divBdr>
    </w:div>
    <w:div w:id="2027175684">
      <w:bodyDiv w:val="1"/>
      <w:marLeft w:val="0"/>
      <w:marRight w:val="0"/>
      <w:marTop w:val="0"/>
      <w:marBottom w:val="0"/>
      <w:divBdr>
        <w:top w:val="none" w:sz="0" w:space="0" w:color="auto"/>
        <w:left w:val="none" w:sz="0" w:space="0" w:color="auto"/>
        <w:bottom w:val="none" w:sz="0" w:space="0" w:color="auto"/>
        <w:right w:val="none" w:sz="0" w:space="0" w:color="auto"/>
      </w:divBdr>
    </w:div>
    <w:div w:id="20998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publicadvisor@energy.ca.gov" TargetMode="External"/><Relationship Id="rId26" Type="http://schemas.openxmlformats.org/officeDocument/2006/relationships/hyperlink" Target="https://www.energy.gov/oced/regional-clean-hydrogen-hubs" TargetMode="External"/><Relationship Id="rId3" Type="http://schemas.openxmlformats.org/officeDocument/2006/relationships/customXml" Target="../customXml/item3.xml"/><Relationship Id="rId21" Type="http://schemas.openxmlformats.org/officeDocument/2006/relationships/hyperlink" Target="https://www.empowerinnovation.n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lbl.gov/dir/assets/docs/TRL%20guide.pdf" TargetMode="External"/><Relationship Id="rId25" Type="http://schemas.openxmlformats.org/officeDocument/2006/relationships/hyperlink" Target="https://www.hydrogen.energy.gov/pdfs/clean-hydrogen-strategy-roadmap.pdf" TargetMode="External"/><Relationship Id="rId2" Type="http://schemas.openxmlformats.org/officeDocument/2006/relationships/customXml" Target="../customXml/item2.xml"/><Relationship Id="rId16" Type="http://schemas.openxmlformats.org/officeDocument/2006/relationships/hyperlink" Target="https://www.hcd.ca.gov/grants-and-funding/income-limits/state-and-federal-income-rent-and-loan-value-limits" TargetMode="External"/><Relationship Id="rId20" Type="http://schemas.openxmlformats.org/officeDocument/2006/relationships/hyperlink" Target="https://www.energy.ca.gov/programs-and-topics/programs/natural-gas-progra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2.arb.ca.gov/sites/default/files/2022-11/2022-sp.pdf"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nergy.ca.gov/publications/2022/gas-research-and-development-program-proposed-budget-plan-fiscal-year-2022-23" TargetMode="External"/><Relationship Id="rId28" Type="http://schemas.openxmlformats.org/officeDocument/2006/relationships/hyperlink" Target="https://ww2.arb.ca.gov/sites/default/files/2022-11/2022-sp.pdf" TargetMode="External"/><Relationship Id="rId10" Type="http://schemas.openxmlformats.org/officeDocument/2006/relationships/endnotes" Target="endnotes.xml"/><Relationship Id="rId19" Type="http://schemas.openxmlformats.org/officeDocument/2006/relationships/hyperlink" Target="https://www.energy.ca.gov/programs-and-topics/topics/research-and-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ocs.cpuc.ca.gov/PublishedDocs/Published/G000/M408/K505/408505761.PDF" TargetMode="External"/><Relationship Id="rId27" Type="http://schemas.openxmlformats.org/officeDocument/2006/relationships/hyperlink" Target="https://www.hydrogen.energy.gov/pdfs/hydrogen-program-plan-2020.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dpi.com/1996-1073/15/5/1706/htm" TargetMode="External"/><Relationship Id="rId13" Type="http://schemas.openxmlformats.org/officeDocument/2006/relationships/hyperlink" Target="https://www.energy.gov/fecm/articles/project-selections-university-turbines-systems-research-utsr-focus-hydrogen-h2-fuels" TargetMode="External"/><Relationship Id="rId18" Type="http://schemas.openxmlformats.org/officeDocument/2006/relationships/hyperlink" Target="https://ww2.arb.ca.gov/our-work/programs/dgcert/about" TargetMode="External"/><Relationship Id="rId3" Type="http://schemas.openxmlformats.org/officeDocument/2006/relationships/hyperlink" Target="https://www.caiso.com/TodaysOutlook/Pages/emissions.aspx" TargetMode="External"/><Relationship Id="rId21" Type="http://schemas.openxmlformats.org/officeDocument/2006/relationships/hyperlink" Target="https://www.energy.ca.gov/publications/2022/gas-research-and-development-program-proposed-budget-plan-fiscal-year-2022-23" TargetMode="External"/><Relationship Id="rId7" Type="http://schemas.openxmlformats.org/officeDocument/2006/relationships/hyperlink" Target="https://www.hydrogen.energy.gov/pdfs/hydrogen-program-plan-2020.pdf" TargetMode="External"/><Relationship Id="rId12" Type="http://schemas.openxmlformats.org/officeDocument/2006/relationships/hyperlink" Target="https://www.ge.com/news/reports/the-road-to-zero-new-york-power-plant-teams-with-ge-on-green-hydrogen-demonstration-project" TargetMode="External"/><Relationship Id="rId17" Type="http://schemas.openxmlformats.org/officeDocument/2006/relationships/hyperlink" Target="https://www.energy.ca.gov/sites/default/files/2022-06/GFO-21-507_NOPA_Cover_Letter_ADA.docx" TargetMode="External"/><Relationship Id="rId2" Type="http://schemas.openxmlformats.org/officeDocument/2006/relationships/hyperlink" Target="https://ww2.arb.ca.gov/sites/default/files/2022-11/2022-sp.pdf" TargetMode="External"/><Relationship Id="rId16" Type="http://schemas.openxmlformats.org/officeDocument/2006/relationships/hyperlink" Target="https://www.energy.ca.gov/sites/default/files/2022-04/GFO-21-503_NOPA_Cover_Letter_2022-04-08_ada.docx" TargetMode="External"/><Relationship Id="rId20" Type="http://schemas.openxmlformats.org/officeDocument/2006/relationships/hyperlink" Target="https://www.energy.ca.gov/publications/2021/natural-gas-research-and-development-program-proposed-budget-plan-fiscal-year" TargetMode="External"/><Relationship Id="rId1" Type="http://schemas.openxmlformats.org/officeDocument/2006/relationships/hyperlink" Target="https://www.businesswire.com/news/home/20220329005359/en/Capstone-Green-Energy-Achieves-Goal-of-30-Hydrogen-Blend-Compatible-Products" TargetMode="External"/><Relationship Id="rId6" Type="http://schemas.openxmlformats.org/officeDocument/2006/relationships/hyperlink" Target="https://ww2.arb.ca.gov/air-district-rules" TargetMode="External"/><Relationship Id="rId11" Type="http://schemas.openxmlformats.org/officeDocument/2006/relationships/hyperlink" Target="https://press.siemens-energy.com/global/en/pressrelease/siemens-energy-provide-hydrogen-capable-turbines-back-utility-scale-solar-installation" TargetMode="External"/><Relationship Id="rId5" Type="http://schemas.openxmlformats.org/officeDocument/2006/relationships/hyperlink" Target="https://www.energy.ca.gov/sites/default/files/2021-06/CEC-500-2019-030.pdf" TargetMode="External"/><Relationship Id="rId15" Type="http://schemas.openxmlformats.org/officeDocument/2006/relationships/hyperlink" Target="https://www.energy.gov/articles/doe-announces-nearly-25-million-study-advanced-clean-hydrogen-technologies-electricity" TargetMode="External"/><Relationship Id="rId10" Type="http://schemas.openxmlformats.org/officeDocument/2006/relationships/hyperlink" Target="https://power.mhi.com/regions/amer/news/20210121.html?utm_source=amerweb&amp;utm_medium=release&amp;utm_campaign=Bakken" TargetMode="External"/><Relationship Id="rId19" Type="http://schemas.openxmlformats.org/officeDocument/2006/relationships/hyperlink" Target="https://www.energy.gov/eere/fuelcells/hydrogen-shot" TargetMode="External"/><Relationship Id="rId4" Type="http://schemas.openxmlformats.org/officeDocument/2006/relationships/hyperlink" Target="https://ww2.energy.ca.gov/almanac/electricity_data/web_qfer/index_cms.php" TargetMode="External"/><Relationship Id="rId9" Type="http://schemas.openxmlformats.org/officeDocument/2006/relationships/hyperlink" Target="https://www.ge.com/content/dam/gepower-new/global/en_US/downloads/gas-new-site/future-of-energy/hydrogen-fuel-for-gas-turbines-gea34979.pdf" TargetMode="External"/><Relationship Id="rId14" Type="http://schemas.openxmlformats.org/officeDocument/2006/relationships/hyperlink" Target="https://www.energy.gov/fecm/articles/us-department-energy-selects-12-projects-improve-fossil-based-hydrogen-p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CBC9CB40A3C43B2680CFA23C27204" ma:contentTypeVersion="4" ma:contentTypeDescription="Create a new document." ma:contentTypeScope="" ma:versionID="79d4eeaa75207d46abce0328e008355e">
  <xsd:schema xmlns:xsd="http://www.w3.org/2001/XMLSchema" xmlns:xs="http://www.w3.org/2001/XMLSchema" xmlns:p="http://schemas.microsoft.com/office/2006/metadata/properties" xmlns:ns2="6753868a-e1ea-43b3-a4cc-2f100b712961" targetNamespace="http://schemas.microsoft.com/office/2006/metadata/properties" ma:root="true" ma:fieldsID="392a742924789ca69d6e345a186bce67" ns2:_="">
    <xsd:import namespace="6753868a-e1ea-43b3-a4cc-2f100b712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3868a-e1ea-43b3-a4cc-2f100b712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C9126-ECA3-4384-B1DA-6032FE913339}">
  <ds:schemaRefs>
    <ds:schemaRef ds:uri="http://purl.org/dc/dcmitype/"/>
    <ds:schemaRef ds:uri="http://schemas.microsoft.com/office/2006/documentManagement/types"/>
    <ds:schemaRef ds:uri="6753868a-e1ea-43b3-a4cc-2f100b712961"/>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304956-5537-4317-B14A-C0CB9E0D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3868a-e1ea-43b3-a4cc-2f100b712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4.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24</TotalTime>
  <Pages>44</Pages>
  <Words>13731</Words>
  <Characters>82549</Characters>
  <Application>Microsoft Office Word</Application>
  <DocSecurity>0</DocSecurity>
  <Lines>687</Lines>
  <Paragraphs>192</Paragraphs>
  <ScaleCrop>false</ScaleCrop>
  <Company>Hewlett-Packard Company</Company>
  <LinksUpToDate>false</LinksUpToDate>
  <CharactersWithSpaces>96088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Richards, Nadia@Energy</cp:lastModifiedBy>
  <cp:revision>9</cp:revision>
  <cp:lastPrinted>2019-05-06T17:50:00Z</cp:lastPrinted>
  <dcterms:created xsi:type="dcterms:W3CDTF">2023-02-14T20:56:00Z</dcterms:created>
  <dcterms:modified xsi:type="dcterms:W3CDTF">2023-02-21T19:14:00Z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0x010100C16CBC9CB40A3C43B2680CFA23C27204</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