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461E" w14:textId="5198BA25" w:rsidR="00620F92" w:rsidRPr="00E118E0" w:rsidRDefault="005947A9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GFO</w:t>
      </w:r>
      <w:r w:rsidR="00620F92" w:rsidRPr="00E118E0">
        <w:rPr>
          <w:rFonts w:ascii="Arial" w:hAnsi="Arial" w:cs="Arial"/>
          <w:b/>
          <w:bCs/>
        </w:rPr>
        <w:t>-21-</w:t>
      </w:r>
      <w:r>
        <w:rPr>
          <w:rFonts w:ascii="Arial" w:hAnsi="Arial" w:cs="Arial"/>
          <w:b/>
          <w:bCs/>
        </w:rPr>
        <w:t>901</w:t>
      </w:r>
    </w:p>
    <w:p w14:paraId="46AF8355" w14:textId="75152DE0" w:rsidR="00620F92" w:rsidRPr="00E118E0" w:rsidRDefault="00443574" w:rsidP="00655A8E">
      <w:pPr>
        <w:jc w:val="center"/>
        <w:rPr>
          <w:rFonts w:ascii="Arial" w:hAnsi="Arial" w:cs="Arial"/>
          <w:b/>
          <w:bCs/>
        </w:rPr>
      </w:pPr>
      <w:r w:rsidRPr="00443574">
        <w:rPr>
          <w:rFonts w:ascii="Arial" w:hAnsi="Arial" w:cs="Arial"/>
          <w:b/>
          <w:bCs/>
        </w:rPr>
        <w:t>Cost Share for Federal Clean Energy Funding Opportunities</w:t>
      </w:r>
    </w:p>
    <w:p w14:paraId="551E3BB5" w14:textId="77777777" w:rsidR="00A80F03" w:rsidRPr="00E118E0" w:rsidRDefault="00A80F03" w:rsidP="00655A8E">
      <w:pPr>
        <w:jc w:val="center"/>
        <w:rPr>
          <w:rFonts w:ascii="Arial" w:hAnsi="Arial" w:cs="Arial"/>
          <w:b/>
          <w:bCs/>
        </w:rPr>
      </w:pPr>
    </w:p>
    <w:p w14:paraId="564E1B96" w14:textId="4F863534" w:rsidR="00620F92" w:rsidRPr="00E118E0" w:rsidRDefault="00620F92" w:rsidP="00655A8E">
      <w:pPr>
        <w:jc w:val="center"/>
        <w:rPr>
          <w:rFonts w:ascii="Arial" w:hAnsi="Arial" w:cs="Arial"/>
          <w:b/>
          <w:bCs/>
        </w:rPr>
      </w:pPr>
      <w:r w:rsidRPr="00E118E0">
        <w:rPr>
          <w:rFonts w:ascii="Arial" w:hAnsi="Arial" w:cs="Arial"/>
          <w:b/>
          <w:bCs/>
        </w:rPr>
        <w:t xml:space="preserve">Addendum </w:t>
      </w:r>
      <w:r w:rsidR="00666F32">
        <w:rPr>
          <w:rFonts w:ascii="Arial" w:hAnsi="Arial" w:cs="Arial"/>
          <w:b/>
          <w:bCs/>
        </w:rPr>
        <w:t>1</w:t>
      </w:r>
      <w:r w:rsidR="0039589D">
        <w:rPr>
          <w:rFonts w:ascii="Arial" w:hAnsi="Arial" w:cs="Arial"/>
          <w:b/>
          <w:bCs/>
        </w:rPr>
        <w:t>1</w:t>
      </w:r>
    </w:p>
    <w:p w14:paraId="0D851CD1" w14:textId="352EE3ED" w:rsidR="00620F92" w:rsidRPr="00E118E0" w:rsidRDefault="004A3789" w:rsidP="00655A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</w:t>
      </w:r>
      <w:r w:rsidR="00347B06">
        <w:rPr>
          <w:rFonts w:ascii="Arial" w:hAnsi="Arial" w:cs="Arial"/>
          <w:b/>
          <w:bCs/>
        </w:rPr>
        <w:t xml:space="preserve"> </w:t>
      </w:r>
      <w:r w:rsidR="002C27C4">
        <w:rPr>
          <w:rFonts w:ascii="Arial" w:hAnsi="Arial" w:cs="Arial"/>
          <w:b/>
          <w:bCs/>
        </w:rPr>
        <w:t>10</w:t>
      </w:r>
      <w:r w:rsidR="00620F92" w:rsidRPr="00E118E0">
        <w:rPr>
          <w:rFonts w:ascii="Arial" w:hAnsi="Arial" w:cs="Arial"/>
          <w:b/>
          <w:bCs/>
        </w:rPr>
        <w:t>, 202</w:t>
      </w:r>
      <w:r w:rsidR="008163DA">
        <w:rPr>
          <w:rFonts w:ascii="Arial" w:hAnsi="Arial" w:cs="Arial"/>
          <w:b/>
          <w:bCs/>
        </w:rPr>
        <w:t>3</w:t>
      </w:r>
    </w:p>
    <w:p w14:paraId="46AF30CD" w14:textId="77777777" w:rsidR="00620F92" w:rsidRPr="00E118E0" w:rsidRDefault="00620F92" w:rsidP="00620F92">
      <w:pPr>
        <w:jc w:val="center"/>
        <w:rPr>
          <w:rFonts w:ascii="Arial" w:hAnsi="Arial" w:cs="Arial"/>
          <w:b/>
          <w:bCs/>
        </w:rPr>
      </w:pPr>
    </w:p>
    <w:p w14:paraId="259559D6" w14:textId="31957562" w:rsidR="00620F92" w:rsidRPr="00E118E0" w:rsidRDefault="00620F92" w:rsidP="00655A8E">
      <w:pPr>
        <w:pStyle w:val="Default"/>
      </w:pPr>
      <w:r w:rsidRPr="00E118E0">
        <w:t xml:space="preserve">The purpose of this addendum is to </w:t>
      </w:r>
      <w:r w:rsidR="00782B87" w:rsidRPr="00E118E0">
        <w:t xml:space="preserve">notify potential applicants of changes that have been made to </w:t>
      </w:r>
      <w:r w:rsidR="00443574">
        <w:t>GFO</w:t>
      </w:r>
      <w:r w:rsidR="00782B87" w:rsidRPr="00E118E0">
        <w:t>-21-</w:t>
      </w:r>
      <w:r w:rsidR="00443574">
        <w:t>901</w:t>
      </w:r>
      <w:r w:rsidR="00782B87" w:rsidRPr="00E118E0">
        <w:t xml:space="preserve">. The addendum includes the following revisions to the </w:t>
      </w:r>
      <w:r w:rsidR="00D2177B">
        <w:t>Solicitation Manual</w:t>
      </w:r>
      <w:r w:rsidRPr="00E118E0">
        <w:t>.</w:t>
      </w:r>
      <w:r w:rsidR="00782B87" w:rsidRPr="00E118E0">
        <w:t xml:space="preserve"> </w:t>
      </w:r>
      <w:r w:rsidR="00782B87" w:rsidRPr="00E118E0">
        <w:rPr>
          <w:rFonts w:eastAsia="Arial"/>
        </w:rPr>
        <w:t xml:space="preserve">Added language appears in </w:t>
      </w:r>
      <w:r w:rsidR="00782B87" w:rsidRPr="00E118E0">
        <w:rPr>
          <w:rFonts w:eastAsia="Arial"/>
          <w:b/>
          <w:bCs/>
          <w:u w:val="single"/>
        </w:rPr>
        <w:t>bold underline</w:t>
      </w:r>
      <w:r w:rsidR="00782B87" w:rsidRPr="00E118E0">
        <w:rPr>
          <w:rFonts w:eastAsia="Arial"/>
        </w:rPr>
        <w:t xml:space="preserve">, and deleted language appears in </w:t>
      </w:r>
      <w:r w:rsidR="00782B87" w:rsidRPr="00E118E0">
        <w:rPr>
          <w:rFonts w:eastAsia="Arial"/>
          <w:strike/>
        </w:rPr>
        <w:t>strikethrough</w:t>
      </w:r>
      <w:r w:rsidR="00782B87" w:rsidRPr="00E118E0">
        <w:rPr>
          <w:rFonts w:eastAsia="Arial"/>
        </w:rPr>
        <w:t xml:space="preserve"> and within square brackets.</w:t>
      </w:r>
    </w:p>
    <w:p w14:paraId="6DA43E1B" w14:textId="6341BDEC" w:rsidR="00620F92" w:rsidRPr="00E118E0" w:rsidRDefault="00620F92" w:rsidP="00655A8E">
      <w:pPr>
        <w:pStyle w:val="Default"/>
        <w:ind w:right="-720"/>
      </w:pPr>
    </w:p>
    <w:p w14:paraId="6C1FF387" w14:textId="31F1CCAC" w:rsidR="00782B87" w:rsidRPr="00E118E0" w:rsidRDefault="00D2177B" w:rsidP="00655A8E">
      <w:pPr>
        <w:pStyle w:val="Default"/>
        <w:ind w:right="-720"/>
        <w:rPr>
          <w:b/>
          <w:bCs/>
        </w:rPr>
      </w:pPr>
      <w:r>
        <w:rPr>
          <w:b/>
          <w:bCs/>
        </w:rPr>
        <w:t>Solicitation Manual</w:t>
      </w:r>
    </w:p>
    <w:p w14:paraId="1BE9250D" w14:textId="77777777" w:rsidR="00782B87" w:rsidRPr="00E118E0" w:rsidRDefault="00782B87" w:rsidP="00655A8E">
      <w:pPr>
        <w:pStyle w:val="Default"/>
        <w:ind w:right="-720"/>
      </w:pPr>
    </w:p>
    <w:p w14:paraId="50EF8A11" w14:textId="7BE257ED" w:rsidR="00620F92" w:rsidRDefault="00620F92" w:rsidP="00655A8E">
      <w:pPr>
        <w:pStyle w:val="Default"/>
        <w:numPr>
          <w:ilvl w:val="0"/>
          <w:numId w:val="2"/>
        </w:numPr>
        <w:ind w:right="-720"/>
        <w:rPr>
          <w:b/>
          <w:bCs/>
        </w:rPr>
      </w:pPr>
      <w:r w:rsidRPr="00E118E0">
        <w:rPr>
          <w:b/>
          <w:bCs/>
        </w:rPr>
        <w:t xml:space="preserve">Page </w:t>
      </w:r>
      <w:r w:rsidR="00E00162">
        <w:rPr>
          <w:b/>
          <w:bCs/>
        </w:rPr>
        <w:t>20</w:t>
      </w:r>
      <w:r w:rsidR="00782B87" w:rsidRPr="00E118E0">
        <w:rPr>
          <w:b/>
          <w:bCs/>
        </w:rPr>
        <w:t xml:space="preserve">, </w:t>
      </w:r>
      <w:r w:rsidR="002108D5">
        <w:rPr>
          <w:b/>
          <w:bCs/>
        </w:rPr>
        <w:t>Table: Funding Opportunities Eligible for Energy Commission Cost Share</w:t>
      </w:r>
    </w:p>
    <w:p w14:paraId="4016F4B7" w14:textId="7BD928CA" w:rsidR="00782B87" w:rsidRDefault="0039589D" w:rsidP="00655A8E">
      <w:pPr>
        <w:pStyle w:val="Default"/>
        <w:ind w:left="360" w:right="-720"/>
      </w:pPr>
      <w:r w:rsidRPr="0039589D">
        <w:t>DE-FOA-0002731</w:t>
      </w:r>
      <w:r>
        <w:t xml:space="preserve"> Added as a new supported FOA.</w:t>
      </w:r>
    </w:p>
    <w:p w14:paraId="2CDDEDE5" w14:textId="77777777" w:rsidR="003B75DC" w:rsidRPr="00E118E0" w:rsidRDefault="003B75DC" w:rsidP="00655A8E">
      <w:pPr>
        <w:pStyle w:val="Default"/>
        <w:ind w:left="360" w:right="-720"/>
        <w:rPr>
          <w:sz w:val="12"/>
          <w:szCs w:val="12"/>
        </w:rPr>
      </w:pPr>
    </w:p>
    <w:tbl>
      <w:tblPr>
        <w:tblStyle w:val="TableGrid4"/>
        <w:tblW w:w="5291" w:type="pct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350"/>
        <w:gridCol w:w="1350"/>
        <w:gridCol w:w="1350"/>
        <w:gridCol w:w="2519"/>
      </w:tblGrid>
      <w:tr w:rsidR="001501DB" w:rsidRPr="008C0101" w14:paraId="5A34EDCC" w14:textId="77777777" w:rsidTr="005C1C0B">
        <w:tc>
          <w:tcPr>
            <w:tcW w:w="953" w:type="pct"/>
            <w:shd w:val="clear" w:color="auto" w:fill="D9D9D9" w:themeFill="background1" w:themeFillShade="D9"/>
          </w:tcPr>
          <w:p w14:paraId="1E0BE45E" w14:textId="77777777" w:rsidR="001501DB" w:rsidRPr="008C0101" w:rsidRDefault="001501DB" w:rsidP="005C1C0B">
            <w:pPr>
              <w:rPr>
                <w:rFonts w:eastAsia="Arial"/>
              </w:rPr>
            </w:pPr>
            <w:r w:rsidRPr="008C0101">
              <w:rPr>
                <w:rFonts w:eastAsia="Arial"/>
                <w:b/>
              </w:rPr>
              <w:t>Funding Opportunity Announcement (FOA) Number and Title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49449E13" w14:textId="77777777" w:rsidR="001501DB" w:rsidRPr="008C0101" w:rsidRDefault="001501DB" w:rsidP="005C1C0B">
            <w:pPr>
              <w:rPr>
                <w:rFonts w:eastAsia="Arial"/>
                <w:szCs w:val="22"/>
              </w:rPr>
            </w:pPr>
            <w:r w:rsidRPr="008C0101">
              <w:rPr>
                <w:rFonts w:eastAsia="Arial"/>
                <w:b/>
                <w:szCs w:val="22"/>
              </w:rPr>
              <w:t xml:space="preserve">CEC Application Due Date (Phase One – </w:t>
            </w:r>
            <w:proofErr w:type="gramStart"/>
            <w:r w:rsidRPr="008C0101">
              <w:rPr>
                <w:rFonts w:eastAsia="Arial"/>
                <w:b/>
                <w:szCs w:val="22"/>
              </w:rPr>
              <w:t>Pre Federal</w:t>
            </w:r>
            <w:proofErr w:type="gramEnd"/>
            <w:r w:rsidRPr="008C0101">
              <w:rPr>
                <w:rFonts w:eastAsia="Arial"/>
                <w:b/>
                <w:szCs w:val="22"/>
              </w:rPr>
              <w:t xml:space="preserve"> Award)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68711405" w14:textId="77777777" w:rsidR="001501DB" w:rsidRPr="008C0101" w:rsidRDefault="001501DB" w:rsidP="005C1C0B">
            <w:pPr>
              <w:spacing w:line="259" w:lineRule="auto"/>
              <w:rPr>
                <w:rFonts w:eastAsia="Arial"/>
                <w:b/>
              </w:rPr>
            </w:pPr>
            <w:proofErr w:type="gramStart"/>
            <w:r w:rsidRPr="008C0101">
              <w:rPr>
                <w:rFonts w:eastAsia="Arial"/>
                <w:b/>
              </w:rPr>
              <w:t>Minimum  CEC</w:t>
            </w:r>
            <w:proofErr w:type="gramEnd"/>
            <w:r w:rsidRPr="008C0101">
              <w:rPr>
                <w:rFonts w:eastAsia="Arial"/>
                <w:b/>
              </w:rPr>
              <w:t xml:space="preserve"> Cost Share Award*</w:t>
            </w:r>
          </w:p>
          <w:p w14:paraId="5519EAD8" w14:textId="77777777" w:rsidR="001501DB" w:rsidRPr="008C0101" w:rsidRDefault="001501DB" w:rsidP="005C1C0B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</w:tcPr>
          <w:p w14:paraId="5E5330F1" w14:textId="77777777" w:rsidR="001501DB" w:rsidRPr="008C0101" w:rsidRDefault="001501DB" w:rsidP="005C1C0B">
            <w:pPr>
              <w:spacing w:line="259" w:lineRule="auto"/>
              <w:rPr>
                <w:rFonts w:eastAsia="Arial"/>
                <w:b/>
              </w:rPr>
            </w:pPr>
            <w:r w:rsidRPr="008C0101">
              <w:rPr>
                <w:rFonts w:eastAsia="Arial"/>
                <w:b/>
              </w:rPr>
              <w:t xml:space="preserve"> Maximum CEC Cost Share Award*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38896A8A" w14:textId="77777777" w:rsidR="001501DB" w:rsidRPr="008C0101" w:rsidRDefault="001501DB" w:rsidP="005C1C0B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Maximum Total CEC Cost Share Across Awards</w:t>
            </w:r>
          </w:p>
        </w:tc>
        <w:tc>
          <w:tcPr>
            <w:tcW w:w="1273" w:type="pct"/>
            <w:shd w:val="clear" w:color="auto" w:fill="D9D9D9" w:themeFill="background1" w:themeFillShade="D9"/>
          </w:tcPr>
          <w:p w14:paraId="0AC8F392" w14:textId="77777777" w:rsidR="001501DB" w:rsidRPr="008C0101" w:rsidRDefault="001501DB" w:rsidP="005C1C0B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Eligible Topic Area/Areas of Interest</w:t>
            </w:r>
          </w:p>
        </w:tc>
      </w:tr>
      <w:tr w:rsidR="001501DB" w:rsidRPr="00031471" w14:paraId="460D2847" w14:textId="77777777" w:rsidTr="005C1C0B">
        <w:tc>
          <w:tcPr>
            <w:tcW w:w="953" w:type="pct"/>
          </w:tcPr>
          <w:p w14:paraId="3B938912" w14:textId="77777777" w:rsidR="001501DB" w:rsidRPr="001501DB" w:rsidRDefault="001501DB" w:rsidP="005C1C0B">
            <w:pPr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  <w:u w:val="single"/>
                <w:bdr w:val="none" w:sz="0" w:space="0" w:color="auto" w:frame="1"/>
              </w:rPr>
            </w:pPr>
            <w:r w:rsidRPr="001501DB"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  <w:u w:val="single"/>
                <w:bdr w:val="none" w:sz="0" w:space="0" w:color="auto" w:frame="1"/>
              </w:rPr>
              <w:t>DE-FOA-0002731</w:t>
            </w:r>
          </w:p>
          <w:p w14:paraId="25FE48D7" w14:textId="77777777" w:rsidR="001501DB" w:rsidRPr="001501DB" w:rsidRDefault="001501DB" w:rsidP="005C1C0B">
            <w:pPr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  <w:u w:val="single"/>
                <w:bdr w:val="none" w:sz="0" w:space="0" w:color="auto" w:frame="1"/>
              </w:rPr>
            </w:pPr>
          </w:p>
          <w:p w14:paraId="273D16A8" w14:textId="77777777" w:rsidR="001501DB" w:rsidRPr="00031471" w:rsidRDefault="001501DB" w:rsidP="005C1C0B">
            <w:pPr>
              <w:rPr>
                <w:b/>
                <w:bCs/>
                <w:color w:val="201F1E"/>
                <w:u w:val="single"/>
                <w:bdr w:val="none" w:sz="0" w:space="0" w:color="auto" w:frame="1"/>
              </w:rPr>
            </w:pPr>
            <w:r w:rsidRPr="001501DB">
              <w:rPr>
                <w:b/>
                <w:bCs/>
                <w:color w:val="201F1E"/>
                <w:u w:val="single"/>
                <w:bdr w:val="none" w:sz="0" w:space="0" w:color="auto" w:frame="1"/>
              </w:rPr>
              <w:t>Innovative Technologies to Enable Low Impact</w:t>
            </w:r>
            <w:r w:rsidRPr="00031471">
              <w:rPr>
                <w:b/>
                <w:bCs/>
                <w:color w:val="201F1E"/>
                <w:u w:val="single"/>
                <w:bdr w:val="none" w:sz="0" w:space="0" w:color="auto" w:frame="1"/>
              </w:rPr>
              <w:t xml:space="preserve"> Hydropower and Pumped Storage</w:t>
            </w:r>
          </w:p>
        </w:tc>
        <w:tc>
          <w:tcPr>
            <w:tcW w:w="728" w:type="pct"/>
          </w:tcPr>
          <w:p w14:paraId="6D9AE77F" w14:textId="77777777" w:rsidR="001501DB" w:rsidRPr="00031471" w:rsidRDefault="001501DB" w:rsidP="005C1C0B">
            <w:pPr>
              <w:rPr>
                <w:b/>
                <w:bCs/>
                <w:color w:val="201F1E"/>
                <w:u w:val="single"/>
                <w:bdr w:val="none" w:sz="0" w:space="0" w:color="auto" w:frame="1"/>
              </w:rPr>
            </w:pPr>
            <w:r w:rsidRPr="00031471">
              <w:rPr>
                <w:b/>
                <w:bCs/>
                <w:color w:val="201F1E"/>
                <w:u w:val="single"/>
                <w:bdr w:val="none" w:sz="0" w:space="0" w:color="auto" w:frame="1"/>
              </w:rPr>
              <w:t>2/22/2023</w:t>
            </w:r>
          </w:p>
        </w:tc>
        <w:tc>
          <w:tcPr>
            <w:tcW w:w="682" w:type="pct"/>
          </w:tcPr>
          <w:p w14:paraId="6AAFE361" w14:textId="77777777" w:rsidR="001501DB" w:rsidRPr="00031471" w:rsidRDefault="001501DB" w:rsidP="005C1C0B">
            <w:pPr>
              <w:rPr>
                <w:b/>
                <w:bCs/>
                <w:color w:val="201F1E"/>
                <w:u w:val="single"/>
                <w:bdr w:val="none" w:sz="0" w:space="0" w:color="auto" w:frame="1"/>
              </w:rPr>
            </w:pPr>
            <w:r w:rsidRPr="00031471">
              <w:rPr>
                <w:b/>
                <w:bCs/>
                <w:color w:val="201F1E"/>
                <w:u w:val="single"/>
                <w:bdr w:val="none" w:sz="0" w:space="0" w:color="auto" w:frame="1"/>
              </w:rPr>
              <w:t>$200,000</w:t>
            </w:r>
          </w:p>
        </w:tc>
        <w:tc>
          <w:tcPr>
            <w:tcW w:w="682" w:type="pct"/>
          </w:tcPr>
          <w:p w14:paraId="78B2DDF8" w14:textId="77777777" w:rsidR="001501DB" w:rsidRPr="00031471" w:rsidRDefault="001501DB" w:rsidP="005C1C0B">
            <w:pPr>
              <w:spacing w:line="259" w:lineRule="auto"/>
              <w:rPr>
                <w:b/>
                <w:bCs/>
                <w:color w:val="201F1E"/>
                <w:u w:val="single"/>
                <w:bdr w:val="none" w:sz="0" w:space="0" w:color="auto" w:frame="1"/>
              </w:rPr>
            </w:pPr>
            <w:r w:rsidRPr="00031471">
              <w:rPr>
                <w:b/>
                <w:bCs/>
                <w:color w:val="201F1E"/>
                <w:u w:val="single"/>
                <w:bdr w:val="none" w:sz="0" w:space="0" w:color="auto" w:frame="1"/>
              </w:rPr>
              <w:t>$400,000</w:t>
            </w:r>
          </w:p>
        </w:tc>
        <w:tc>
          <w:tcPr>
            <w:tcW w:w="682" w:type="pct"/>
          </w:tcPr>
          <w:p w14:paraId="00FA7C37" w14:textId="77777777" w:rsidR="001501DB" w:rsidRPr="00031471" w:rsidRDefault="001501DB" w:rsidP="005C1C0B">
            <w:pPr>
              <w:rPr>
                <w:rFonts w:eastAsia="Arial"/>
                <w:b/>
                <w:bCs/>
                <w:iCs/>
                <w:u w:val="single"/>
              </w:rPr>
            </w:pPr>
            <w:r w:rsidRPr="00031471">
              <w:rPr>
                <w:rFonts w:eastAsia="Arial"/>
                <w:b/>
                <w:bCs/>
                <w:iCs/>
                <w:u w:val="single"/>
              </w:rPr>
              <w:t>$800,000</w:t>
            </w:r>
          </w:p>
        </w:tc>
        <w:tc>
          <w:tcPr>
            <w:tcW w:w="1273" w:type="pct"/>
          </w:tcPr>
          <w:p w14:paraId="247C0D0B" w14:textId="77777777" w:rsidR="001501DB" w:rsidRPr="00031471" w:rsidRDefault="001501DB" w:rsidP="005C1C0B">
            <w:pPr>
              <w:rPr>
                <w:rFonts w:eastAsia="Arial"/>
                <w:b/>
                <w:bCs/>
                <w:iCs/>
                <w:u w:val="single"/>
              </w:rPr>
            </w:pPr>
            <w:r w:rsidRPr="00031471">
              <w:rPr>
                <w:rFonts w:eastAsia="Arial"/>
                <w:b/>
                <w:bCs/>
                <w:iCs/>
                <w:u w:val="single"/>
              </w:rPr>
              <w:t>Topic 2: Innovative Pumped Storage Hydropower Technologies</w:t>
            </w:r>
          </w:p>
        </w:tc>
      </w:tr>
      <w:tr w:rsidR="001501DB" w:rsidRPr="00677449" w14:paraId="7DF7C3C2" w14:textId="77777777" w:rsidTr="005C1C0B">
        <w:tc>
          <w:tcPr>
            <w:tcW w:w="953" w:type="pct"/>
          </w:tcPr>
          <w:p w14:paraId="01CF0380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DE-FOA-0002867</w:t>
            </w:r>
          </w:p>
          <w:p w14:paraId="7DC5FD3E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Long-Duration Energy Storage Demonstrations</w:t>
            </w:r>
          </w:p>
        </w:tc>
        <w:tc>
          <w:tcPr>
            <w:tcW w:w="728" w:type="pct"/>
          </w:tcPr>
          <w:p w14:paraId="2F913920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2/15/2023</w:t>
            </w:r>
          </w:p>
        </w:tc>
        <w:tc>
          <w:tcPr>
            <w:tcW w:w="682" w:type="pct"/>
          </w:tcPr>
          <w:p w14:paraId="714945EE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Topic Area 1A: $1,500,000</w:t>
            </w:r>
          </w:p>
          <w:p w14:paraId="230CBC57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</w:p>
          <w:p w14:paraId="3AA21944" w14:textId="77777777" w:rsidR="001501DB" w:rsidRPr="0067744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Topic Area 1B: $1,500,000</w:t>
            </w:r>
          </w:p>
        </w:tc>
        <w:tc>
          <w:tcPr>
            <w:tcW w:w="682" w:type="pct"/>
          </w:tcPr>
          <w:p w14:paraId="77B0205D" w14:textId="77777777" w:rsidR="001501DB" w:rsidRPr="00677449" w:rsidRDefault="001501DB" w:rsidP="005C1C0B">
            <w:pPr>
              <w:spacing w:line="259" w:lineRule="auto"/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Topic Area 1A: $2,500,000</w:t>
            </w:r>
          </w:p>
          <w:p w14:paraId="3AD687BF" w14:textId="77777777" w:rsidR="001501DB" w:rsidRPr="00677449" w:rsidRDefault="001501DB" w:rsidP="005C1C0B">
            <w:pPr>
              <w:spacing w:line="259" w:lineRule="auto"/>
              <w:rPr>
                <w:color w:val="201F1E"/>
                <w:bdr w:val="none" w:sz="0" w:space="0" w:color="auto" w:frame="1"/>
              </w:rPr>
            </w:pPr>
            <w:r w:rsidRPr="00677449">
              <w:rPr>
                <w:color w:val="201F1E"/>
                <w:bdr w:val="none" w:sz="0" w:space="0" w:color="auto" w:frame="1"/>
              </w:rPr>
              <w:t>Topic Area 1B: $2,375,000</w:t>
            </w:r>
          </w:p>
        </w:tc>
        <w:tc>
          <w:tcPr>
            <w:tcW w:w="682" w:type="pct"/>
          </w:tcPr>
          <w:p w14:paraId="53227CE2" w14:textId="77777777" w:rsidR="001501DB" w:rsidRPr="00677449" w:rsidRDefault="001501DB" w:rsidP="005C1C0B">
            <w:pPr>
              <w:rPr>
                <w:rFonts w:eastAsia="Arial"/>
                <w:iCs/>
              </w:rPr>
            </w:pPr>
            <w:r w:rsidRPr="00677449">
              <w:rPr>
                <w:rFonts w:eastAsia="Arial"/>
                <w:iCs/>
              </w:rPr>
              <w:t>Topic Area 1A: $2,500,000</w:t>
            </w:r>
          </w:p>
          <w:p w14:paraId="6D1DC36A" w14:textId="77777777" w:rsidR="001501DB" w:rsidRPr="00677449" w:rsidRDefault="001501DB" w:rsidP="005C1C0B">
            <w:pPr>
              <w:rPr>
                <w:rFonts w:eastAsia="Arial"/>
                <w:iCs/>
              </w:rPr>
            </w:pPr>
            <w:r w:rsidRPr="00677449">
              <w:rPr>
                <w:rFonts w:eastAsia="Arial"/>
                <w:iCs/>
              </w:rPr>
              <w:t>Topic Area 1B: $4,750,000</w:t>
            </w:r>
          </w:p>
        </w:tc>
        <w:tc>
          <w:tcPr>
            <w:tcW w:w="1273" w:type="pct"/>
          </w:tcPr>
          <w:p w14:paraId="29DEA721" w14:textId="77777777" w:rsidR="001501DB" w:rsidRPr="00677449" w:rsidRDefault="001501DB" w:rsidP="005C1C0B">
            <w:pPr>
              <w:rPr>
                <w:rFonts w:eastAsia="Arial"/>
                <w:iCs/>
              </w:rPr>
            </w:pPr>
            <w:r w:rsidRPr="00677449">
              <w:rPr>
                <w:rFonts w:eastAsia="Arial"/>
                <w:iCs/>
              </w:rPr>
              <w:t xml:space="preserve">Topic 1A: Energy Storage as Second-Life Application for Electric Vehicle Batteries </w:t>
            </w:r>
          </w:p>
          <w:p w14:paraId="5DBE6CEF" w14:textId="77777777" w:rsidR="001501DB" w:rsidRPr="00677449" w:rsidRDefault="001501DB" w:rsidP="005C1C0B">
            <w:pPr>
              <w:rPr>
                <w:rFonts w:eastAsia="Arial"/>
                <w:iCs/>
              </w:rPr>
            </w:pPr>
          </w:p>
          <w:p w14:paraId="6D6605C2" w14:textId="77777777" w:rsidR="001501DB" w:rsidRPr="00677449" w:rsidRDefault="001501DB" w:rsidP="005C1C0B">
            <w:pPr>
              <w:rPr>
                <w:rFonts w:eastAsia="Arial"/>
                <w:iCs/>
              </w:rPr>
            </w:pPr>
            <w:r w:rsidRPr="00677449">
              <w:rPr>
                <w:rFonts w:eastAsia="Arial"/>
                <w:iCs/>
              </w:rPr>
              <w:t>Topic 1B: Next-Generation Grid-Scale Lithium Battery Deployments</w:t>
            </w:r>
          </w:p>
        </w:tc>
      </w:tr>
      <w:tr w:rsidR="001501DB" w:rsidRPr="00E16CFD" w14:paraId="50801F49" w14:textId="77777777" w:rsidTr="005C1C0B">
        <w:tc>
          <w:tcPr>
            <w:tcW w:w="953" w:type="pct"/>
          </w:tcPr>
          <w:p w14:paraId="251DD30D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DE-FOA-0002804</w:t>
            </w:r>
          </w:p>
          <w:p w14:paraId="04367105" w14:textId="77777777" w:rsidR="001501DB" w:rsidRPr="00E16CFD" w:rsidRDefault="001501DB" w:rsidP="005C1C0B">
            <w:pPr>
              <w:rPr>
                <w:rFonts w:eastAsia="Arial"/>
                <w:iCs/>
                <w:szCs w:val="22"/>
              </w:rPr>
            </w:pPr>
            <w:r w:rsidRPr="00E16CFD">
              <w:rPr>
                <w:color w:val="201F1E"/>
                <w:bdr w:val="none" w:sz="0" w:space="0" w:color="auto" w:frame="1"/>
              </w:rPr>
              <w:t>Industrial Efficiency and Decarbonization FOA</w:t>
            </w:r>
          </w:p>
        </w:tc>
        <w:tc>
          <w:tcPr>
            <w:tcW w:w="728" w:type="pct"/>
          </w:tcPr>
          <w:p w14:paraId="379A7162" w14:textId="77777777" w:rsidR="001501DB" w:rsidRPr="00E16CFD" w:rsidRDefault="001501DB" w:rsidP="005C1C0B">
            <w:pPr>
              <w:rPr>
                <w:rFonts w:eastAsia="Arial"/>
                <w:iCs/>
              </w:rPr>
            </w:pPr>
            <w:r w:rsidRPr="00E16CFD">
              <w:rPr>
                <w:color w:val="201F1E"/>
                <w:bdr w:val="none" w:sz="0" w:space="0" w:color="auto" w:frame="1"/>
              </w:rPr>
              <w:t>10/26/2022</w:t>
            </w:r>
          </w:p>
        </w:tc>
        <w:tc>
          <w:tcPr>
            <w:tcW w:w="682" w:type="pct"/>
          </w:tcPr>
          <w:p w14:paraId="3AFC88A8" w14:textId="77777777" w:rsidR="001501DB" w:rsidRPr="002E4789" w:rsidRDefault="001501DB" w:rsidP="005C1C0B">
            <w:pPr>
              <w:rPr>
                <w:color w:val="201F1E"/>
                <w:bdr w:val="none" w:sz="0" w:space="0" w:color="auto" w:frame="1"/>
              </w:rPr>
            </w:pPr>
            <w:r w:rsidRPr="002E4789">
              <w:rPr>
                <w:color w:val="201F1E"/>
                <w:bdr w:val="none" w:sz="0" w:space="0" w:color="auto" w:frame="1"/>
              </w:rPr>
              <w:t>$300,000</w:t>
            </w:r>
          </w:p>
          <w:p w14:paraId="05135686" w14:textId="77777777" w:rsidR="001501DB" w:rsidRPr="00737B9B" w:rsidRDefault="001501DB" w:rsidP="005C1C0B">
            <w:pPr>
              <w:rPr>
                <w:color w:val="201F1E"/>
                <w:bdr w:val="none" w:sz="0" w:space="0" w:color="auto" w:frame="1"/>
              </w:rPr>
            </w:pPr>
          </w:p>
        </w:tc>
        <w:tc>
          <w:tcPr>
            <w:tcW w:w="682" w:type="pct"/>
          </w:tcPr>
          <w:p w14:paraId="51EAFCB7" w14:textId="77777777" w:rsidR="001501DB" w:rsidRPr="00E16CFD" w:rsidRDefault="001501DB" w:rsidP="005C1C0B">
            <w:pPr>
              <w:spacing w:line="259" w:lineRule="auto"/>
              <w:rPr>
                <w:rFonts w:eastAsia="Arial"/>
                <w:iCs/>
              </w:rPr>
            </w:pPr>
            <w:r w:rsidRPr="00E16CFD">
              <w:rPr>
                <w:color w:val="201F1E"/>
                <w:bdr w:val="none" w:sz="0" w:space="0" w:color="auto" w:frame="1"/>
              </w:rPr>
              <w:t>$1,000,000</w:t>
            </w:r>
          </w:p>
        </w:tc>
        <w:tc>
          <w:tcPr>
            <w:tcW w:w="682" w:type="pct"/>
          </w:tcPr>
          <w:p w14:paraId="3EEDCE80" w14:textId="77777777" w:rsidR="001501DB" w:rsidRPr="00E16CFD" w:rsidRDefault="001501DB" w:rsidP="005C1C0B">
            <w:pPr>
              <w:rPr>
                <w:rFonts w:eastAsia="Arial"/>
                <w:iCs/>
              </w:rPr>
            </w:pPr>
            <w:r w:rsidRPr="00E16CFD">
              <w:rPr>
                <w:color w:val="201F1E"/>
                <w:bdr w:val="none" w:sz="0" w:space="0" w:color="auto" w:frame="1"/>
              </w:rPr>
              <w:t>$6,000,000 </w:t>
            </w:r>
          </w:p>
        </w:tc>
        <w:tc>
          <w:tcPr>
            <w:tcW w:w="1273" w:type="pct"/>
          </w:tcPr>
          <w:p w14:paraId="4417CC0E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For each topic area, all research must: 1</w:t>
            </w:r>
            <w:proofErr w:type="gramStart"/>
            <w:r w:rsidRPr="00E16CFD">
              <w:rPr>
                <w:color w:val="201F1E"/>
                <w:bdr w:val="none" w:sz="0" w:space="0" w:color="auto" w:frame="1"/>
              </w:rPr>
              <w:t>)  focus</w:t>
            </w:r>
            <w:proofErr w:type="gramEnd"/>
            <w:r w:rsidRPr="00E16CFD">
              <w:rPr>
                <w:color w:val="201F1E"/>
                <w:bdr w:val="none" w:sz="0" w:space="0" w:color="auto" w:frame="1"/>
              </w:rPr>
              <w:t xml:space="preserve"> on electricity-related advancements, and 2) projects be in California and be relevant, applicable to CA industry.</w:t>
            </w:r>
          </w:p>
          <w:p w14:paraId="5FFC20D5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rFonts w:ascii="Calibri" w:hAnsi="Calibri" w:cs="Calibri"/>
                <w:color w:val="201F1E"/>
              </w:rPr>
              <w:t> </w:t>
            </w:r>
          </w:p>
          <w:p w14:paraId="66846CDC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Topic 1: Decarbonizing Chemicals</w:t>
            </w:r>
          </w:p>
          <w:p w14:paraId="015119D4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Area of Interest 1, 2, and 3</w:t>
            </w:r>
          </w:p>
          <w:p w14:paraId="1F588EB1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 </w:t>
            </w:r>
          </w:p>
          <w:p w14:paraId="2366EA61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lastRenderedPageBreak/>
              <w:t>Topic 2: Decarbonizing Iron and Steel-</w:t>
            </w:r>
          </w:p>
          <w:p w14:paraId="3E3A548E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Area of Interest 1 and 2</w:t>
            </w:r>
          </w:p>
          <w:p w14:paraId="5ECAAE74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rFonts w:ascii="inherit" w:hAnsi="inherit" w:cs="Calibri"/>
                <w:color w:val="201F1E"/>
                <w:bdr w:val="none" w:sz="0" w:space="0" w:color="auto" w:frame="1"/>
              </w:rPr>
              <w:t> </w:t>
            </w:r>
          </w:p>
          <w:p w14:paraId="209378A7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Topic 3: Decarbonizing Food and Beverage Products</w:t>
            </w:r>
          </w:p>
          <w:p w14:paraId="54885058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 </w:t>
            </w:r>
          </w:p>
          <w:p w14:paraId="0C7F2A38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Topic 4: Decarbonizing Cement and Concrete</w:t>
            </w:r>
          </w:p>
          <w:p w14:paraId="05836F8D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 </w:t>
            </w:r>
          </w:p>
          <w:p w14:paraId="1E5B3975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Topic 5: Decarbonizing Paper and Forest Products</w:t>
            </w:r>
          </w:p>
          <w:p w14:paraId="2CB8110D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 </w:t>
            </w:r>
          </w:p>
          <w:p w14:paraId="2C72E781" w14:textId="77777777" w:rsidR="001501DB" w:rsidRPr="00E16CFD" w:rsidRDefault="001501DB" w:rsidP="005C1C0B">
            <w:pPr>
              <w:rPr>
                <w:rFonts w:ascii="Calibri" w:hAnsi="Calibri" w:cs="Calibri"/>
                <w:color w:val="201F1E"/>
              </w:rPr>
            </w:pPr>
            <w:r w:rsidRPr="00E16CFD">
              <w:rPr>
                <w:color w:val="201F1E"/>
                <w:bdr w:val="none" w:sz="0" w:space="0" w:color="auto" w:frame="1"/>
              </w:rPr>
              <w:t>Topic 6: Cross-sector Decarbonization Technologies</w:t>
            </w:r>
          </w:p>
          <w:p w14:paraId="4F281A27" w14:textId="77777777" w:rsidR="001501DB" w:rsidRPr="00E16CFD" w:rsidRDefault="001501DB" w:rsidP="005C1C0B">
            <w:pPr>
              <w:rPr>
                <w:rFonts w:eastAsia="Arial"/>
                <w:iCs/>
              </w:rPr>
            </w:pPr>
            <w:r w:rsidRPr="00E16CFD">
              <w:rPr>
                <w:color w:val="201F1E"/>
                <w:bdr w:val="none" w:sz="0" w:space="0" w:color="auto" w:frame="1"/>
              </w:rPr>
              <w:t xml:space="preserve">Area of Interest 3 </w:t>
            </w:r>
          </w:p>
        </w:tc>
      </w:tr>
      <w:tr w:rsidR="001501DB" w:rsidRPr="00CD65A5" w14:paraId="367D6E12" w14:textId="77777777" w:rsidTr="005C1C0B">
        <w:tc>
          <w:tcPr>
            <w:tcW w:w="953" w:type="pct"/>
          </w:tcPr>
          <w:p w14:paraId="5E3D1A8B" w14:textId="77777777" w:rsidR="001501DB" w:rsidRPr="00CD65A5" w:rsidRDefault="001501DB" w:rsidP="005C1C0B">
            <w:pPr>
              <w:rPr>
                <w:rFonts w:eastAsia="Arial"/>
                <w:iCs/>
                <w:szCs w:val="22"/>
              </w:rPr>
            </w:pPr>
            <w:r w:rsidRPr="00CD65A5">
              <w:rPr>
                <w:rFonts w:eastAsia="Arial"/>
                <w:iCs/>
                <w:szCs w:val="22"/>
              </w:rPr>
              <w:lastRenderedPageBreak/>
              <w:t>DE-FOA-0002611</w:t>
            </w:r>
          </w:p>
          <w:p w14:paraId="69303D55" w14:textId="77777777" w:rsidR="001501DB" w:rsidRPr="00CD65A5" w:rsidRDefault="001501DB" w:rsidP="005C1C0B">
            <w:pPr>
              <w:rPr>
                <w:rFonts w:eastAsia="Arial"/>
                <w:iCs/>
                <w:szCs w:val="22"/>
              </w:rPr>
            </w:pPr>
            <w:r w:rsidRPr="00CD65A5">
              <w:rPr>
                <w:rFonts w:eastAsia="Arial"/>
                <w:iCs/>
                <w:szCs w:val="22"/>
              </w:rPr>
              <w:t>Fiscal Year 2022 Vehicle Technologies Office Program Wide Funding Opportunity Announcement</w:t>
            </w:r>
          </w:p>
        </w:tc>
        <w:tc>
          <w:tcPr>
            <w:tcW w:w="728" w:type="pct"/>
          </w:tcPr>
          <w:p w14:paraId="7AADC2DD" w14:textId="77777777" w:rsidR="001501DB" w:rsidRPr="00CD65A5" w:rsidRDefault="001501DB" w:rsidP="005C1C0B">
            <w:pPr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9/09/2022</w:t>
            </w:r>
          </w:p>
        </w:tc>
        <w:tc>
          <w:tcPr>
            <w:tcW w:w="682" w:type="pct"/>
          </w:tcPr>
          <w:p w14:paraId="77198215" w14:textId="77777777" w:rsidR="001501DB" w:rsidRPr="00CD65A5" w:rsidRDefault="001501DB" w:rsidP="005C1C0B">
            <w:pPr>
              <w:rPr>
                <w:rFonts w:eastAsia="Arial"/>
                <w:iCs/>
                <w:szCs w:val="22"/>
              </w:rPr>
            </w:pPr>
            <w:r w:rsidRPr="00CD65A5">
              <w:rPr>
                <w:rFonts w:eastAsia="Arial"/>
                <w:iCs/>
                <w:szCs w:val="22"/>
              </w:rPr>
              <w:t>Topic Area 1: $1,000,000</w:t>
            </w:r>
          </w:p>
          <w:p w14:paraId="28A04BC1" w14:textId="77777777" w:rsidR="001501DB" w:rsidRPr="00CD65A5" w:rsidRDefault="001501DB" w:rsidP="005C1C0B">
            <w:pPr>
              <w:rPr>
                <w:rFonts w:eastAsia="Arial"/>
                <w:iCs/>
                <w:szCs w:val="22"/>
              </w:rPr>
            </w:pPr>
          </w:p>
          <w:p w14:paraId="2886E2C9" w14:textId="77777777" w:rsidR="001501DB" w:rsidRPr="00CD65A5" w:rsidRDefault="001501DB" w:rsidP="005C1C0B">
            <w:pPr>
              <w:rPr>
                <w:rFonts w:eastAsia="Arial"/>
                <w:iCs/>
                <w:szCs w:val="22"/>
              </w:rPr>
            </w:pPr>
            <w:r w:rsidRPr="00CD65A5">
              <w:rPr>
                <w:rFonts w:eastAsia="Arial"/>
                <w:iCs/>
                <w:szCs w:val="22"/>
              </w:rPr>
              <w:t>Topic Area 2: $200,000</w:t>
            </w:r>
          </w:p>
        </w:tc>
        <w:tc>
          <w:tcPr>
            <w:tcW w:w="682" w:type="pct"/>
          </w:tcPr>
          <w:p w14:paraId="59B71149" w14:textId="77777777" w:rsidR="001501DB" w:rsidRPr="00CD65A5" w:rsidRDefault="001501DB" w:rsidP="005C1C0B">
            <w:pPr>
              <w:spacing w:line="259" w:lineRule="auto"/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Topic Area 1: $2,000,000</w:t>
            </w:r>
          </w:p>
          <w:p w14:paraId="5F1EF64F" w14:textId="77777777" w:rsidR="001501DB" w:rsidRPr="00CD65A5" w:rsidRDefault="001501DB" w:rsidP="005C1C0B">
            <w:pPr>
              <w:spacing w:line="259" w:lineRule="auto"/>
              <w:rPr>
                <w:rFonts w:eastAsia="Arial"/>
                <w:iCs/>
              </w:rPr>
            </w:pPr>
          </w:p>
          <w:p w14:paraId="41DC17E8" w14:textId="77777777" w:rsidR="001501DB" w:rsidRPr="00CD65A5" w:rsidRDefault="001501DB" w:rsidP="005C1C0B">
            <w:pPr>
              <w:spacing w:line="259" w:lineRule="auto"/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Topic Area 2: $400,000</w:t>
            </w:r>
          </w:p>
        </w:tc>
        <w:tc>
          <w:tcPr>
            <w:tcW w:w="682" w:type="pct"/>
          </w:tcPr>
          <w:p w14:paraId="338DE5A4" w14:textId="77777777" w:rsidR="001501DB" w:rsidRPr="00CD65A5" w:rsidRDefault="001501DB" w:rsidP="005C1C0B">
            <w:pPr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$2,400,000</w:t>
            </w:r>
          </w:p>
        </w:tc>
        <w:tc>
          <w:tcPr>
            <w:tcW w:w="1273" w:type="pct"/>
          </w:tcPr>
          <w:p w14:paraId="65AF8D8E" w14:textId="77777777" w:rsidR="001501DB" w:rsidRPr="00CD65A5" w:rsidRDefault="001501DB" w:rsidP="005C1C0B">
            <w:pPr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1) Electric Drive System Innovations</w:t>
            </w:r>
          </w:p>
          <w:p w14:paraId="1AD67DA5" w14:textId="77777777" w:rsidR="001501DB" w:rsidRPr="00CD65A5" w:rsidRDefault="001501DB" w:rsidP="005C1C0B">
            <w:pPr>
              <w:rPr>
                <w:rFonts w:eastAsia="Arial"/>
                <w:iCs/>
              </w:rPr>
            </w:pPr>
          </w:p>
          <w:p w14:paraId="319EDC7D" w14:textId="77777777" w:rsidR="001501DB" w:rsidRPr="00CD65A5" w:rsidRDefault="001501DB" w:rsidP="005C1C0B">
            <w:pPr>
              <w:rPr>
                <w:rFonts w:eastAsia="Arial"/>
                <w:iCs/>
              </w:rPr>
            </w:pPr>
            <w:r w:rsidRPr="00CD65A5">
              <w:rPr>
                <w:rFonts w:eastAsia="Arial"/>
                <w:iCs/>
              </w:rPr>
              <w:t>2) Non-Road Electric Vehicle Charging Concepts</w:t>
            </w:r>
          </w:p>
        </w:tc>
      </w:tr>
    </w:tbl>
    <w:p w14:paraId="5AE77C24" w14:textId="12B834A2" w:rsidR="00782B87" w:rsidRPr="00E118E0" w:rsidRDefault="00782B87" w:rsidP="00655A8E">
      <w:pPr>
        <w:rPr>
          <w:rFonts w:ascii="Arial" w:hAnsi="Arial" w:cs="Arial"/>
          <w:bCs/>
          <w:iCs/>
        </w:rPr>
      </w:pPr>
    </w:p>
    <w:p w14:paraId="761469F0" w14:textId="77777777" w:rsidR="006D1097" w:rsidRPr="00E118E0" w:rsidRDefault="006D1097" w:rsidP="00655A8E">
      <w:pPr>
        <w:pStyle w:val="Default"/>
        <w:ind w:right="-720"/>
        <w:rPr>
          <w:b/>
          <w:bCs/>
        </w:rPr>
      </w:pPr>
    </w:p>
    <w:p w14:paraId="01C4D744" w14:textId="3C62738A" w:rsidR="006D1097" w:rsidRPr="00C36953" w:rsidRDefault="00C36953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>Marissa Su</w:t>
      </w:r>
      <w:r>
        <w:rPr>
          <w:rFonts w:ascii="Arial" w:hAnsi="Arial" w:cs="Arial"/>
          <w:lang w:val="fr-FR"/>
        </w:rPr>
        <w:t>tton</w:t>
      </w:r>
    </w:p>
    <w:p w14:paraId="45C35E8E" w14:textId="47AAE29F" w:rsidR="00620F92" w:rsidRPr="00C36953" w:rsidRDefault="00620F92" w:rsidP="00655A8E">
      <w:pPr>
        <w:rPr>
          <w:rFonts w:ascii="Arial" w:hAnsi="Arial" w:cs="Arial"/>
          <w:lang w:val="fr-FR"/>
        </w:rPr>
      </w:pPr>
      <w:r w:rsidRPr="00C36953">
        <w:rPr>
          <w:rFonts w:ascii="Arial" w:hAnsi="Arial" w:cs="Arial"/>
          <w:lang w:val="fr-FR"/>
        </w:rPr>
        <w:t xml:space="preserve">Commission Agreement </w:t>
      </w:r>
      <w:proofErr w:type="spellStart"/>
      <w:r w:rsidRPr="00C36953">
        <w:rPr>
          <w:rFonts w:ascii="Arial" w:hAnsi="Arial" w:cs="Arial"/>
          <w:lang w:val="fr-FR"/>
        </w:rPr>
        <w:t>Officer</w:t>
      </w:r>
      <w:proofErr w:type="spellEnd"/>
    </w:p>
    <w:sectPr w:rsidR="00620F92" w:rsidRPr="00C36953" w:rsidSect="00655A8E">
      <w:headerReference w:type="first" r:id="rId11"/>
      <w:footerReference w:type="first" r:id="rId12"/>
      <w:pgSz w:w="12240" w:h="15840"/>
      <w:pgMar w:top="1440" w:right="1440" w:bottom="1440" w:left="144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92B6" w14:textId="77777777" w:rsidR="000A0D55" w:rsidRDefault="000A0D55" w:rsidP="00F86D2B">
      <w:r>
        <w:separator/>
      </w:r>
    </w:p>
  </w:endnote>
  <w:endnote w:type="continuationSeparator" w:id="0">
    <w:p w14:paraId="5F86D311" w14:textId="77777777" w:rsidR="000A0D55" w:rsidRDefault="000A0D55" w:rsidP="00F86D2B">
      <w:r>
        <w:continuationSeparator/>
      </w:r>
    </w:p>
  </w:endnote>
  <w:endnote w:type="continuationNotice" w:id="1">
    <w:p w14:paraId="319CD66B" w14:textId="77777777" w:rsidR="000A0D55" w:rsidRDefault="000A0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7E1" w14:textId="611C2C82" w:rsidR="00881871" w:rsidRPr="00881871" w:rsidRDefault="00881871" w:rsidP="00E118E0">
    <w:pPr>
      <w:pStyle w:val="Foot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 w:rsidRPr="00881871">
      <w:rPr>
        <w:rFonts w:ascii="Arial" w:hAnsi="Arial" w:cs="Arial"/>
        <w:sz w:val="22"/>
        <w:szCs w:val="22"/>
      </w:rPr>
      <w:tab/>
      <w:t xml:space="preserve">Page </w:t>
    </w:r>
    <w:r w:rsidRPr="00881871">
      <w:rPr>
        <w:rFonts w:ascii="Arial" w:hAnsi="Arial" w:cs="Arial"/>
        <w:sz w:val="22"/>
        <w:szCs w:val="22"/>
      </w:rPr>
      <w:fldChar w:fldCharType="begin"/>
    </w:r>
    <w:r w:rsidRPr="00881871">
      <w:rPr>
        <w:rFonts w:ascii="Arial" w:hAnsi="Arial" w:cs="Arial"/>
        <w:sz w:val="22"/>
        <w:szCs w:val="22"/>
      </w:rPr>
      <w:instrText xml:space="preserve"> PAGE  \* Arabic  \* MERGEFORMAT </w:instrText>
    </w:r>
    <w:r w:rsidRPr="00881871">
      <w:rPr>
        <w:rFonts w:ascii="Arial" w:hAnsi="Arial" w:cs="Arial"/>
        <w:sz w:val="22"/>
        <w:szCs w:val="22"/>
      </w:rPr>
      <w:fldChar w:fldCharType="separate"/>
    </w:r>
    <w:r w:rsidRPr="00881871">
      <w:rPr>
        <w:rFonts w:ascii="Arial" w:hAnsi="Arial" w:cs="Arial"/>
        <w:sz w:val="22"/>
        <w:szCs w:val="22"/>
      </w:rPr>
      <w:t>2</w:t>
    </w:r>
    <w:r w:rsidRPr="00881871">
      <w:rPr>
        <w:rFonts w:ascii="Arial" w:hAnsi="Arial" w:cs="Arial"/>
        <w:sz w:val="22"/>
        <w:szCs w:val="22"/>
      </w:rPr>
      <w:fldChar w:fldCharType="end"/>
    </w:r>
    <w:r w:rsidRPr="00881871">
      <w:rPr>
        <w:rFonts w:ascii="Arial" w:hAnsi="Arial" w:cs="Arial"/>
        <w:sz w:val="22"/>
        <w:szCs w:val="22"/>
      </w:rPr>
      <w:t xml:space="preserve"> of </w:t>
    </w:r>
    <w:r w:rsidRPr="00881871">
      <w:rPr>
        <w:rFonts w:ascii="Arial" w:hAnsi="Arial" w:cs="Arial"/>
        <w:sz w:val="22"/>
        <w:szCs w:val="22"/>
      </w:rPr>
      <w:fldChar w:fldCharType="begin"/>
    </w:r>
    <w:r w:rsidRPr="00881871">
      <w:rPr>
        <w:rFonts w:ascii="Arial" w:hAnsi="Arial" w:cs="Arial"/>
        <w:sz w:val="22"/>
        <w:szCs w:val="22"/>
      </w:rPr>
      <w:instrText xml:space="preserve"> NUMPAGES  \* Arabic  \* MERGEFORMAT </w:instrText>
    </w:r>
    <w:r w:rsidRPr="00881871">
      <w:rPr>
        <w:rFonts w:ascii="Arial" w:hAnsi="Arial" w:cs="Arial"/>
        <w:sz w:val="22"/>
        <w:szCs w:val="22"/>
      </w:rPr>
      <w:fldChar w:fldCharType="separate"/>
    </w:r>
    <w:r w:rsidRPr="00881871">
      <w:rPr>
        <w:rFonts w:ascii="Arial" w:hAnsi="Arial" w:cs="Arial"/>
        <w:sz w:val="22"/>
        <w:szCs w:val="22"/>
      </w:rPr>
      <w:t>6</w:t>
    </w:r>
    <w:r w:rsidRPr="00881871">
      <w:rPr>
        <w:rFonts w:ascii="Arial" w:hAnsi="Arial" w:cs="Arial"/>
        <w:sz w:val="22"/>
        <w:szCs w:val="22"/>
      </w:rPr>
      <w:fldChar w:fldCharType="end"/>
    </w:r>
    <w:r w:rsidRPr="00881871">
      <w:rPr>
        <w:rFonts w:ascii="Arial" w:hAnsi="Arial" w:cs="Arial"/>
        <w:sz w:val="22"/>
        <w:szCs w:val="22"/>
      </w:rPr>
      <w:tab/>
      <w:t xml:space="preserve">                             </w:t>
    </w:r>
    <w:r w:rsidR="00E118E0">
      <w:rPr>
        <w:rFonts w:ascii="Arial" w:hAnsi="Arial" w:cs="Arial"/>
        <w:sz w:val="22"/>
        <w:szCs w:val="22"/>
      </w:rPr>
      <w:t xml:space="preserve">            </w:t>
    </w:r>
    <w:r w:rsidR="00400496">
      <w:rPr>
        <w:rFonts w:ascii="Arial" w:hAnsi="Arial" w:cs="Arial"/>
        <w:sz w:val="22"/>
        <w:szCs w:val="22"/>
      </w:rPr>
      <w:t>GFO</w:t>
    </w:r>
    <w:r w:rsidRPr="00881871">
      <w:rPr>
        <w:rFonts w:ascii="Arial" w:hAnsi="Arial" w:cs="Arial"/>
        <w:sz w:val="22"/>
        <w:szCs w:val="22"/>
      </w:rPr>
      <w:t>-21-</w:t>
    </w:r>
    <w:r w:rsidR="00400496">
      <w:rPr>
        <w:rFonts w:ascii="Arial" w:hAnsi="Arial" w:cs="Arial"/>
        <w:sz w:val="22"/>
        <w:szCs w:val="22"/>
      </w:rPr>
      <w:t>901</w:t>
    </w:r>
    <w:r w:rsidR="00E118E0">
      <w:rPr>
        <w:rFonts w:ascii="Arial" w:hAnsi="Arial" w:cs="Arial"/>
        <w:sz w:val="22"/>
        <w:szCs w:val="22"/>
      </w:rPr>
      <w:t>-</w:t>
    </w:r>
    <w:r w:rsidR="00DD488A">
      <w:rPr>
        <w:rFonts w:ascii="Arial" w:hAnsi="Arial" w:cs="Arial"/>
        <w:sz w:val="22"/>
        <w:szCs w:val="22"/>
      </w:rPr>
      <w:t>10</w:t>
    </w:r>
  </w:p>
  <w:p w14:paraId="7D1CC783" w14:textId="77777777" w:rsidR="00881871" w:rsidRPr="00CE248B" w:rsidRDefault="00881871" w:rsidP="00881871">
    <w:pPr>
      <w:pStyle w:val="Footer"/>
    </w:pPr>
  </w:p>
  <w:p w14:paraId="3FB80B95" w14:textId="6EE5179D" w:rsidR="00655A8E" w:rsidRDefault="00655A8E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1955" w14:textId="77777777" w:rsidR="000A0D55" w:rsidRDefault="000A0D55" w:rsidP="00F86D2B">
      <w:r>
        <w:separator/>
      </w:r>
    </w:p>
  </w:footnote>
  <w:footnote w:type="continuationSeparator" w:id="0">
    <w:p w14:paraId="6DEB17B0" w14:textId="77777777" w:rsidR="000A0D55" w:rsidRDefault="000A0D55" w:rsidP="00F86D2B">
      <w:r>
        <w:continuationSeparator/>
      </w:r>
    </w:p>
  </w:footnote>
  <w:footnote w:type="continuationNotice" w:id="1">
    <w:p w14:paraId="55BA76A3" w14:textId="77777777" w:rsidR="000A0D55" w:rsidRDefault="000A0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B231" w14:textId="77777777" w:rsidR="00655A8E" w:rsidRDefault="00655A8E" w:rsidP="002D11A5">
    <w:pPr>
      <w:pStyle w:val="Header"/>
      <w:ind w:hanging="1800"/>
    </w:pPr>
  </w:p>
  <w:p w14:paraId="4323C9A8" w14:textId="4A197524" w:rsidR="00655A8E" w:rsidRDefault="00655A8E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36F"/>
    <w:multiLevelType w:val="hybridMultilevel"/>
    <w:tmpl w:val="B9D6F4A8"/>
    <w:lvl w:ilvl="0" w:tplc="F4FAA1DA">
      <w:start w:val="1"/>
      <w:numFmt w:val="lowerLetter"/>
      <w:lvlText w:val="%1."/>
      <w:lvlJc w:val="left"/>
      <w:pPr>
        <w:ind w:left="-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5E83796"/>
    <w:multiLevelType w:val="hybridMultilevel"/>
    <w:tmpl w:val="2C92250A"/>
    <w:lvl w:ilvl="0" w:tplc="DE668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F720F"/>
    <w:multiLevelType w:val="hybridMultilevel"/>
    <w:tmpl w:val="917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5767"/>
    <w:multiLevelType w:val="hybridMultilevel"/>
    <w:tmpl w:val="B3B85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584317">
    <w:abstractNumId w:val="0"/>
  </w:num>
  <w:num w:numId="2" w16cid:durableId="1330937078">
    <w:abstractNumId w:val="2"/>
  </w:num>
  <w:num w:numId="3" w16cid:durableId="1558777577">
    <w:abstractNumId w:val="3"/>
  </w:num>
  <w:num w:numId="4" w16cid:durableId="1236890620">
    <w:abstractNumId w:val="4"/>
  </w:num>
  <w:num w:numId="5" w16cid:durableId="175350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0EA8"/>
    <w:rsid w:val="00027125"/>
    <w:rsid w:val="000557AC"/>
    <w:rsid w:val="00055D91"/>
    <w:rsid w:val="0009064B"/>
    <w:rsid w:val="000A0D55"/>
    <w:rsid w:val="000A1124"/>
    <w:rsid w:val="000E31D6"/>
    <w:rsid w:val="00113622"/>
    <w:rsid w:val="0014731B"/>
    <w:rsid w:val="001501DB"/>
    <w:rsid w:val="001B5906"/>
    <w:rsid w:val="001D58A5"/>
    <w:rsid w:val="001D5D15"/>
    <w:rsid w:val="001F62F3"/>
    <w:rsid w:val="002108D5"/>
    <w:rsid w:val="002308D5"/>
    <w:rsid w:val="002A2635"/>
    <w:rsid w:val="002A5F7A"/>
    <w:rsid w:val="002C27C4"/>
    <w:rsid w:val="002D11A5"/>
    <w:rsid w:val="00300FB1"/>
    <w:rsid w:val="00306C82"/>
    <w:rsid w:val="00334343"/>
    <w:rsid w:val="00347B06"/>
    <w:rsid w:val="00361BC9"/>
    <w:rsid w:val="0039589D"/>
    <w:rsid w:val="003B13A0"/>
    <w:rsid w:val="003B75DC"/>
    <w:rsid w:val="003E0D2D"/>
    <w:rsid w:val="003E404F"/>
    <w:rsid w:val="00400496"/>
    <w:rsid w:val="00415DE9"/>
    <w:rsid w:val="00430859"/>
    <w:rsid w:val="00437D5F"/>
    <w:rsid w:val="00443574"/>
    <w:rsid w:val="004504D5"/>
    <w:rsid w:val="004A1AAA"/>
    <w:rsid w:val="004A3789"/>
    <w:rsid w:val="004A4C18"/>
    <w:rsid w:val="004D128F"/>
    <w:rsid w:val="004F5B50"/>
    <w:rsid w:val="0050519F"/>
    <w:rsid w:val="00524EA9"/>
    <w:rsid w:val="00527817"/>
    <w:rsid w:val="005568CA"/>
    <w:rsid w:val="00577D95"/>
    <w:rsid w:val="005947A9"/>
    <w:rsid w:val="005D60F4"/>
    <w:rsid w:val="005E6FA2"/>
    <w:rsid w:val="005F165F"/>
    <w:rsid w:val="00603231"/>
    <w:rsid w:val="00620F92"/>
    <w:rsid w:val="006511D6"/>
    <w:rsid w:val="00655A8E"/>
    <w:rsid w:val="00666F32"/>
    <w:rsid w:val="00672555"/>
    <w:rsid w:val="006A57AF"/>
    <w:rsid w:val="006B13F0"/>
    <w:rsid w:val="006D1097"/>
    <w:rsid w:val="006D3827"/>
    <w:rsid w:val="006E146A"/>
    <w:rsid w:val="007134AE"/>
    <w:rsid w:val="007211FC"/>
    <w:rsid w:val="00751C0F"/>
    <w:rsid w:val="00761F8B"/>
    <w:rsid w:val="007638E2"/>
    <w:rsid w:val="0077265A"/>
    <w:rsid w:val="00777798"/>
    <w:rsid w:val="00780124"/>
    <w:rsid w:val="0078154A"/>
    <w:rsid w:val="00782B87"/>
    <w:rsid w:val="00783717"/>
    <w:rsid w:val="007B1932"/>
    <w:rsid w:val="007F2A31"/>
    <w:rsid w:val="0081533B"/>
    <w:rsid w:val="008163DA"/>
    <w:rsid w:val="008328DC"/>
    <w:rsid w:val="00846985"/>
    <w:rsid w:val="00881871"/>
    <w:rsid w:val="00891104"/>
    <w:rsid w:val="00891290"/>
    <w:rsid w:val="00892782"/>
    <w:rsid w:val="008E1433"/>
    <w:rsid w:val="008E3926"/>
    <w:rsid w:val="008E7852"/>
    <w:rsid w:val="00910710"/>
    <w:rsid w:val="0092077F"/>
    <w:rsid w:val="00930D5E"/>
    <w:rsid w:val="009407F5"/>
    <w:rsid w:val="009A39EA"/>
    <w:rsid w:val="009E6C35"/>
    <w:rsid w:val="009E754B"/>
    <w:rsid w:val="009F018F"/>
    <w:rsid w:val="00A15FA8"/>
    <w:rsid w:val="00A17202"/>
    <w:rsid w:val="00A270DB"/>
    <w:rsid w:val="00A3384C"/>
    <w:rsid w:val="00A35812"/>
    <w:rsid w:val="00A36CF5"/>
    <w:rsid w:val="00A6325D"/>
    <w:rsid w:val="00A73089"/>
    <w:rsid w:val="00A80ED1"/>
    <w:rsid w:val="00A80F03"/>
    <w:rsid w:val="00AD21FC"/>
    <w:rsid w:val="00AE05B9"/>
    <w:rsid w:val="00B71179"/>
    <w:rsid w:val="00B80DD2"/>
    <w:rsid w:val="00B80E72"/>
    <w:rsid w:val="00B84D31"/>
    <w:rsid w:val="00B906E9"/>
    <w:rsid w:val="00B9523A"/>
    <w:rsid w:val="00BA1317"/>
    <w:rsid w:val="00BA3F4C"/>
    <w:rsid w:val="00BB5DCD"/>
    <w:rsid w:val="00C00C96"/>
    <w:rsid w:val="00C01C97"/>
    <w:rsid w:val="00C03527"/>
    <w:rsid w:val="00C1039B"/>
    <w:rsid w:val="00C36953"/>
    <w:rsid w:val="00C67037"/>
    <w:rsid w:val="00C96BDD"/>
    <w:rsid w:val="00CA31DB"/>
    <w:rsid w:val="00CB6376"/>
    <w:rsid w:val="00D2177B"/>
    <w:rsid w:val="00D32C3D"/>
    <w:rsid w:val="00D431C2"/>
    <w:rsid w:val="00D43B83"/>
    <w:rsid w:val="00D552BE"/>
    <w:rsid w:val="00D660DF"/>
    <w:rsid w:val="00D90B2E"/>
    <w:rsid w:val="00DA66D7"/>
    <w:rsid w:val="00DD488A"/>
    <w:rsid w:val="00E00162"/>
    <w:rsid w:val="00E118E0"/>
    <w:rsid w:val="00E12624"/>
    <w:rsid w:val="00E210F6"/>
    <w:rsid w:val="00E566A4"/>
    <w:rsid w:val="00E95AA9"/>
    <w:rsid w:val="00EA7BDE"/>
    <w:rsid w:val="00ED18F1"/>
    <w:rsid w:val="00F10885"/>
    <w:rsid w:val="00F10DFF"/>
    <w:rsid w:val="00F22AD4"/>
    <w:rsid w:val="00F7450F"/>
    <w:rsid w:val="00F86D2B"/>
    <w:rsid w:val="00F90F6B"/>
    <w:rsid w:val="00F947AC"/>
    <w:rsid w:val="00F95D8D"/>
    <w:rsid w:val="00F967DF"/>
    <w:rsid w:val="00FA7242"/>
    <w:rsid w:val="00FC11EC"/>
    <w:rsid w:val="00FF773E"/>
    <w:rsid w:val="0CD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FB2D7A3-85D8-4202-8BD4-486328E7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B87"/>
    <w:pPr>
      <w:ind w:left="720"/>
      <w:contextualSpacing/>
    </w:pPr>
    <w:rPr>
      <w:rFonts w:ascii="Arial" w:eastAsiaTheme="minorHAnsi" w:hAnsi="Arial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2B87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F10885"/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5C9E9-E286-4050-8260-E5CCA5407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Croft, Joshua@Energy</cp:lastModifiedBy>
  <cp:revision>12</cp:revision>
  <cp:lastPrinted>2019-04-08T16:38:00Z</cp:lastPrinted>
  <dcterms:created xsi:type="dcterms:W3CDTF">2022-10-18T15:46:00Z</dcterms:created>
  <dcterms:modified xsi:type="dcterms:W3CDTF">2023-02-10T19:10:00Z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</Properties>
</file>