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AB8C" w14:textId="3E060B58" w:rsidR="004D5EEA" w:rsidRPr="007E2767" w:rsidRDefault="004D5EEA" w:rsidP="004D5EEA">
      <w:pPr>
        <w:jc w:val="center"/>
        <w:rPr>
          <w:rFonts w:ascii="Arial" w:hAnsi="Arial" w:cs="Arial"/>
          <w:b/>
          <w:bCs/>
        </w:rPr>
      </w:pPr>
      <w:r>
        <w:rPr>
          <w:rFonts w:ascii="Arial" w:hAnsi="Arial" w:cs="Arial"/>
          <w:b/>
          <w:bCs/>
        </w:rPr>
        <w:t>RFP-22-</w:t>
      </w:r>
      <w:r w:rsidR="00853F19">
        <w:rPr>
          <w:rFonts w:ascii="Arial" w:hAnsi="Arial" w:cs="Arial"/>
          <w:b/>
          <w:bCs/>
        </w:rPr>
        <w:t>3</w:t>
      </w:r>
      <w:r>
        <w:rPr>
          <w:rFonts w:ascii="Arial" w:hAnsi="Arial" w:cs="Arial"/>
          <w:b/>
          <w:bCs/>
        </w:rPr>
        <w:t>01</w:t>
      </w:r>
    </w:p>
    <w:p w14:paraId="0223A3E2" w14:textId="42A5FEAF" w:rsidR="00853F19" w:rsidRDefault="00853F19" w:rsidP="004D5EEA">
      <w:pPr>
        <w:jc w:val="center"/>
        <w:rPr>
          <w:rFonts w:ascii="Arial" w:hAnsi="Arial" w:cs="Arial"/>
          <w:b/>
          <w:bCs/>
        </w:rPr>
      </w:pPr>
      <w:r>
        <w:rPr>
          <w:rFonts w:ascii="Arial" w:hAnsi="Arial" w:cs="Arial"/>
          <w:b/>
          <w:bCs/>
        </w:rPr>
        <w:t xml:space="preserve">Technical </w:t>
      </w:r>
      <w:r w:rsidR="009A7FB1">
        <w:rPr>
          <w:rFonts w:ascii="Arial" w:hAnsi="Arial" w:cs="Arial"/>
          <w:b/>
          <w:bCs/>
        </w:rPr>
        <w:t>Assistance for the</w:t>
      </w:r>
      <w:r>
        <w:rPr>
          <w:rFonts w:ascii="Arial" w:hAnsi="Arial" w:cs="Arial"/>
          <w:b/>
          <w:bCs/>
        </w:rPr>
        <w:t xml:space="preserve"> </w:t>
      </w:r>
    </w:p>
    <w:p w14:paraId="15F7E6E3" w14:textId="5CCB6662" w:rsidR="004D5EEA" w:rsidRPr="007E2767" w:rsidRDefault="004D5EEA" w:rsidP="004D5EEA">
      <w:pPr>
        <w:jc w:val="center"/>
        <w:rPr>
          <w:rFonts w:ascii="Arial" w:hAnsi="Arial" w:cs="Arial"/>
          <w:b/>
          <w:bCs/>
        </w:rPr>
      </w:pPr>
      <w:r>
        <w:rPr>
          <w:rFonts w:ascii="Arial" w:hAnsi="Arial" w:cs="Arial"/>
          <w:b/>
          <w:bCs/>
        </w:rPr>
        <w:t xml:space="preserve">Energy </w:t>
      </w:r>
      <w:r w:rsidR="00853F19">
        <w:rPr>
          <w:rFonts w:ascii="Arial" w:hAnsi="Arial" w:cs="Arial"/>
          <w:b/>
          <w:bCs/>
        </w:rPr>
        <w:t>Research and Development Division</w:t>
      </w:r>
    </w:p>
    <w:p w14:paraId="626161D0" w14:textId="77777777" w:rsidR="004D5EEA" w:rsidRPr="007E2767" w:rsidRDefault="004D5EEA" w:rsidP="004D5EEA">
      <w:pPr>
        <w:jc w:val="center"/>
        <w:rPr>
          <w:rFonts w:ascii="Arial" w:hAnsi="Arial" w:cs="Arial"/>
          <w:b/>
          <w:bCs/>
        </w:rPr>
      </w:pPr>
    </w:p>
    <w:p w14:paraId="4CF2501D" w14:textId="78DBDF65" w:rsidR="004D5EEA" w:rsidRPr="007E2767" w:rsidRDefault="004D5EEA" w:rsidP="004D5EEA">
      <w:pPr>
        <w:jc w:val="center"/>
        <w:rPr>
          <w:rFonts w:ascii="Arial" w:hAnsi="Arial" w:cs="Arial"/>
          <w:b/>
          <w:bCs/>
        </w:rPr>
      </w:pPr>
      <w:r w:rsidRPr="1089B420">
        <w:rPr>
          <w:rFonts w:ascii="Arial" w:hAnsi="Arial" w:cs="Arial"/>
          <w:b/>
          <w:bCs/>
        </w:rPr>
        <w:t xml:space="preserve">Addendum </w:t>
      </w:r>
      <w:r w:rsidR="00711642" w:rsidRPr="1089B420">
        <w:rPr>
          <w:rFonts w:ascii="Arial" w:hAnsi="Arial" w:cs="Arial"/>
          <w:b/>
          <w:bCs/>
        </w:rPr>
        <w:t>2</w:t>
      </w:r>
    </w:p>
    <w:p w14:paraId="06F8436D" w14:textId="4D75B3DF" w:rsidR="004D5EEA" w:rsidRPr="007E2767" w:rsidRDefault="00711642" w:rsidP="004D5EEA">
      <w:pPr>
        <w:jc w:val="center"/>
        <w:rPr>
          <w:rFonts w:ascii="Arial" w:hAnsi="Arial" w:cs="Arial"/>
          <w:b/>
          <w:bCs/>
        </w:rPr>
      </w:pPr>
      <w:r>
        <w:rPr>
          <w:rFonts w:ascii="Arial" w:hAnsi="Arial" w:cs="Arial"/>
          <w:b/>
          <w:bCs/>
        </w:rPr>
        <w:t>Febr</w:t>
      </w:r>
      <w:r w:rsidR="009A7FB1">
        <w:rPr>
          <w:rFonts w:ascii="Arial" w:hAnsi="Arial" w:cs="Arial"/>
          <w:b/>
          <w:bCs/>
        </w:rPr>
        <w:t xml:space="preserve">uary </w:t>
      </w:r>
      <w:r w:rsidR="00916554">
        <w:rPr>
          <w:rFonts w:ascii="Arial" w:hAnsi="Arial" w:cs="Arial"/>
          <w:b/>
          <w:bCs/>
        </w:rPr>
        <w:t>7</w:t>
      </w:r>
      <w:r w:rsidR="004D5EEA" w:rsidRPr="007E2767">
        <w:rPr>
          <w:rFonts w:ascii="Arial" w:hAnsi="Arial" w:cs="Arial"/>
          <w:b/>
          <w:bCs/>
        </w:rPr>
        <w:t>, 202</w:t>
      </w:r>
      <w:r w:rsidR="009A7FB1">
        <w:rPr>
          <w:rFonts w:ascii="Arial" w:hAnsi="Arial" w:cs="Arial"/>
          <w:b/>
          <w:bCs/>
        </w:rPr>
        <w:t>3</w:t>
      </w:r>
    </w:p>
    <w:p w14:paraId="7D3F6CBC" w14:textId="77777777" w:rsidR="004D5EEA" w:rsidRPr="007E2767" w:rsidRDefault="004D5EEA" w:rsidP="004D5EEA">
      <w:pPr>
        <w:jc w:val="center"/>
        <w:rPr>
          <w:rFonts w:ascii="Arial" w:hAnsi="Arial" w:cs="Arial"/>
          <w:b/>
          <w:bCs/>
        </w:rPr>
      </w:pPr>
    </w:p>
    <w:p w14:paraId="053B54B9" w14:textId="334559B0" w:rsidR="004D5EEA" w:rsidRPr="00CF0A89" w:rsidRDefault="004D5EEA" w:rsidP="004D5EEA">
      <w:pPr>
        <w:rPr>
          <w:rFonts w:ascii="Arial" w:hAnsi="Arial" w:cs="Arial"/>
        </w:rPr>
      </w:pPr>
      <w:r w:rsidRPr="00CF0A89">
        <w:rPr>
          <w:rFonts w:ascii="Arial" w:eastAsia="Arial" w:hAnsi="Arial" w:cs="Arial"/>
        </w:rPr>
        <w:t xml:space="preserve">Note: Added language appears in </w:t>
      </w:r>
      <w:r w:rsidRPr="00CF0A89">
        <w:rPr>
          <w:rFonts w:ascii="Arial" w:eastAsia="Arial" w:hAnsi="Arial" w:cs="Arial"/>
          <w:b/>
          <w:bCs/>
          <w:u w:val="single"/>
        </w:rPr>
        <w:t>bold underline</w:t>
      </w:r>
      <w:r w:rsidRPr="00CF0A89">
        <w:rPr>
          <w:rFonts w:ascii="Arial" w:eastAsia="Arial" w:hAnsi="Arial" w:cs="Arial"/>
        </w:rPr>
        <w:t xml:space="preserve">, and deleted language appears in </w:t>
      </w:r>
      <w:r w:rsidR="00CF0A89">
        <w:rPr>
          <w:rFonts w:ascii="Arial" w:eastAsia="Arial" w:hAnsi="Arial" w:cs="Arial"/>
        </w:rPr>
        <w:t>[</w:t>
      </w:r>
      <w:r w:rsidRPr="00CF0A89">
        <w:rPr>
          <w:rFonts w:ascii="Arial" w:eastAsia="Arial" w:hAnsi="Arial" w:cs="Arial"/>
          <w:strike/>
        </w:rPr>
        <w:t>strikethrough</w:t>
      </w:r>
      <w:r w:rsidR="00CF0A89" w:rsidRPr="0A6BE34F">
        <w:rPr>
          <w:rFonts w:ascii="Arial" w:eastAsia="Arial" w:hAnsi="Arial" w:cs="Arial"/>
        </w:rPr>
        <w:t>]</w:t>
      </w:r>
      <w:r w:rsidRPr="00CF0A89">
        <w:rPr>
          <w:rFonts w:ascii="Arial" w:eastAsia="Arial" w:hAnsi="Arial" w:cs="Arial"/>
        </w:rPr>
        <w:t xml:space="preserve"> and within square brackets.</w:t>
      </w:r>
    </w:p>
    <w:p w14:paraId="502DEA63" w14:textId="77777777" w:rsidR="004D5EEA" w:rsidRPr="007E2767" w:rsidRDefault="004D5EEA" w:rsidP="004D5EEA">
      <w:pPr>
        <w:pStyle w:val="Default"/>
        <w:ind w:right="-720"/>
      </w:pPr>
    </w:p>
    <w:p w14:paraId="0C85C61D" w14:textId="77777777" w:rsidR="004D5EEA" w:rsidRPr="007E2767" w:rsidRDefault="004D5EEA" w:rsidP="004D5EEA">
      <w:pPr>
        <w:pStyle w:val="Default"/>
        <w:ind w:right="-720"/>
      </w:pPr>
    </w:p>
    <w:p w14:paraId="030DFA77" w14:textId="5EF6AC1F" w:rsidR="004D5EEA" w:rsidRDefault="004D5EEA" w:rsidP="004D5EEA">
      <w:pPr>
        <w:pStyle w:val="Default"/>
        <w:ind w:right="-720"/>
      </w:pPr>
      <w:r w:rsidRPr="007E2767">
        <w:t xml:space="preserve">The purpose of this addendum is to make the following revisions to the </w:t>
      </w:r>
      <w:r>
        <w:t>Application</w:t>
      </w:r>
      <w:r w:rsidRPr="007E2767">
        <w:t xml:space="preserve"> Manual.</w:t>
      </w:r>
    </w:p>
    <w:p w14:paraId="0FF5F64F" w14:textId="69F6E3D4" w:rsidR="004F3BE0" w:rsidRDefault="004F3BE0" w:rsidP="004D5EEA">
      <w:pPr>
        <w:pStyle w:val="Default"/>
        <w:ind w:right="-720"/>
      </w:pPr>
    </w:p>
    <w:p w14:paraId="341B2C48" w14:textId="3E5F3BDD" w:rsidR="00833EFF" w:rsidRDefault="000D4E54" w:rsidP="00C03A13">
      <w:pPr>
        <w:pStyle w:val="Default"/>
        <w:numPr>
          <w:ilvl w:val="0"/>
          <w:numId w:val="10"/>
        </w:numPr>
        <w:ind w:left="360" w:right="-720"/>
      </w:pPr>
      <w:r>
        <w:t xml:space="preserve">On </w:t>
      </w:r>
      <w:r w:rsidR="00624373">
        <w:t xml:space="preserve">page 3 of </w:t>
      </w:r>
      <w:r w:rsidR="00715D37" w:rsidRPr="00715D37">
        <w:t>Attachment</w:t>
      </w:r>
      <w:r w:rsidR="00AC623E">
        <w:t xml:space="preserve"> </w:t>
      </w:r>
      <w:r w:rsidR="00715D37" w:rsidRPr="00715D37">
        <w:t>08</w:t>
      </w:r>
      <w:r w:rsidR="00AC623E">
        <w:t xml:space="preserve"> </w:t>
      </w:r>
      <w:r w:rsidR="00715D37" w:rsidRPr="00715D37">
        <w:t>-</w:t>
      </w:r>
      <w:r w:rsidR="00AC623E">
        <w:t xml:space="preserve"> </w:t>
      </w:r>
      <w:r w:rsidR="00715D37" w:rsidRPr="00715D37">
        <w:t>Personnel</w:t>
      </w:r>
      <w:r w:rsidR="00AC623E">
        <w:t xml:space="preserve"> </w:t>
      </w:r>
      <w:r w:rsidR="00715D37" w:rsidRPr="00715D37">
        <w:t>Technical</w:t>
      </w:r>
      <w:r w:rsidR="00AC623E">
        <w:t xml:space="preserve"> </w:t>
      </w:r>
      <w:r w:rsidR="00715D37" w:rsidRPr="00715D37">
        <w:t>Qualifications</w:t>
      </w:r>
      <w:r w:rsidR="005F3531">
        <w:t xml:space="preserve"> form</w:t>
      </w:r>
      <w:r w:rsidR="00523277">
        <w:t xml:space="preserve">, </w:t>
      </w:r>
      <w:r w:rsidR="00574A02">
        <w:t xml:space="preserve">under Technical Area I. Cross-Cutting Program Support, </w:t>
      </w:r>
      <w:r w:rsidR="003859AD">
        <w:t>are</w:t>
      </w:r>
      <w:r w:rsidR="00282D09">
        <w:t>a</w:t>
      </w:r>
      <w:r w:rsidR="003859AD">
        <w:t xml:space="preserve"> of expertise</w:t>
      </w:r>
      <w:r w:rsidR="003C77B8">
        <w:t xml:space="preserve"> #46 was added</w:t>
      </w:r>
      <w:r w:rsidR="00574A02">
        <w:t xml:space="preserve"> </w:t>
      </w:r>
      <w:r w:rsidR="00A0420C">
        <w:t>to align with changes posted in Addendum 1.</w:t>
      </w:r>
    </w:p>
    <w:p w14:paraId="5792DC92" w14:textId="77777777" w:rsidR="00281BEF" w:rsidRDefault="00281BEF" w:rsidP="00281BEF">
      <w:pPr>
        <w:pStyle w:val="Default"/>
        <w:ind w:right="-720"/>
      </w:pPr>
    </w:p>
    <w:p w14:paraId="74EB8BD3" w14:textId="77777777" w:rsidR="00281BEF" w:rsidRDefault="00281BEF" w:rsidP="00281BEF">
      <w:pPr>
        <w:pStyle w:val="Default"/>
        <w:ind w:right="-720"/>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5"/>
        <w:gridCol w:w="8370"/>
      </w:tblGrid>
      <w:tr w:rsidR="00281BEF" w:rsidRPr="004241A5" w14:paraId="7AF0968E" w14:textId="77777777" w:rsidTr="00CF6C9E">
        <w:trPr>
          <w:cantSplit/>
        </w:trPr>
        <w:tc>
          <w:tcPr>
            <w:tcW w:w="8815" w:type="dxa"/>
            <w:gridSpan w:val="2"/>
            <w:tcBorders>
              <w:bottom w:val="single" w:sz="4" w:space="0" w:color="auto"/>
            </w:tcBorders>
            <w:shd w:val="clear" w:color="auto" w:fill="D9D9D9" w:themeFill="background1" w:themeFillShade="D9"/>
          </w:tcPr>
          <w:p w14:paraId="53C6567B" w14:textId="77777777" w:rsidR="00281BEF" w:rsidRPr="004241A5" w:rsidRDefault="00281BEF" w:rsidP="005D5677">
            <w:pPr>
              <w:keepLines/>
              <w:widowControl w:val="0"/>
              <w:spacing w:after="60"/>
              <w:jc w:val="both"/>
              <w:rPr>
                <w:rFonts w:ascii="Arial" w:hAnsi="Arial" w:cs="Arial"/>
                <w:b/>
                <w:sz w:val="26"/>
                <w:szCs w:val="26"/>
              </w:rPr>
            </w:pPr>
            <w:r w:rsidRPr="004241A5">
              <w:rPr>
                <w:rFonts w:ascii="Arial" w:hAnsi="Arial" w:cs="Arial"/>
                <w:b/>
                <w:sz w:val="26"/>
                <w:szCs w:val="26"/>
              </w:rPr>
              <w:t xml:space="preserve">Other Technical Support </w:t>
            </w:r>
          </w:p>
        </w:tc>
      </w:tr>
      <w:tr w:rsidR="00281BEF" w:rsidRPr="002A3E51" w14:paraId="1CFD85DC" w14:textId="77777777" w:rsidTr="00CF6C9E">
        <w:trPr>
          <w:cantSplit/>
        </w:trPr>
        <w:tc>
          <w:tcPr>
            <w:tcW w:w="8815" w:type="dxa"/>
            <w:gridSpan w:val="2"/>
            <w:tcBorders>
              <w:bottom w:val="single" w:sz="4" w:space="0" w:color="auto"/>
            </w:tcBorders>
            <w:shd w:val="clear" w:color="auto" w:fill="F2F2F2"/>
          </w:tcPr>
          <w:p w14:paraId="7ACCC70F" w14:textId="77777777" w:rsidR="00281BEF" w:rsidRPr="005D7C9C" w:rsidRDefault="00281BEF" w:rsidP="005D5677">
            <w:pPr>
              <w:keepLines/>
              <w:widowControl w:val="0"/>
              <w:spacing w:after="60"/>
              <w:rPr>
                <w:rFonts w:ascii="Arial" w:hAnsi="Arial" w:cs="Arial"/>
                <w:b/>
              </w:rPr>
            </w:pPr>
            <w:r w:rsidRPr="005D7C9C">
              <w:rPr>
                <w:rFonts w:ascii="Arial" w:hAnsi="Arial" w:cs="Arial"/>
                <w:b/>
                <w:bCs/>
              </w:rPr>
              <w:t>Area I. Cross-Cutting Program Support</w:t>
            </w:r>
          </w:p>
        </w:tc>
      </w:tr>
      <w:tr w:rsidR="00281BEF" w:rsidRPr="002A3E51" w14:paraId="324AC5C7" w14:textId="77777777" w:rsidTr="00CF6C9E">
        <w:trPr>
          <w:cantSplit/>
        </w:trPr>
        <w:tc>
          <w:tcPr>
            <w:tcW w:w="445" w:type="dxa"/>
            <w:shd w:val="clear" w:color="auto" w:fill="FFFFFF"/>
          </w:tcPr>
          <w:p w14:paraId="450502B1" w14:textId="77777777" w:rsidR="00281BEF" w:rsidRPr="005D7C9C" w:rsidRDefault="00281BEF" w:rsidP="005D5677">
            <w:pPr>
              <w:pStyle w:val="ListParagraph"/>
              <w:ind w:left="0"/>
              <w:rPr>
                <w:rFonts w:ascii="Arial" w:hAnsi="Arial" w:cs="Arial"/>
                <w:b/>
                <w:bCs/>
              </w:rPr>
            </w:pPr>
          </w:p>
        </w:tc>
        <w:tc>
          <w:tcPr>
            <w:tcW w:w="8370" w:type="dxa"/>
            <w:shd w:val="clear" w:color="auto" w:fill="FFFFFF"/>
          </w:tcPr>
          <w:p w14:paraId="6C451BDC" w14:textId="77777777" w:rsidR="00281BEF" w:rsidRPr="005D7C9C" w:rsidRDefault="00281BEF" w:rsidP="00F075BD">
            <w:pPr>
              <w:pStyle w:val="ListParagraph"/>
              <w:numPr>
                <w:ilvl w:val="0"/>
                <w:numId w:val="13"/>
              </w:numPr>
              <w:ind w:left="426"/>
              <w:rPr>
                <w:rFonts w:ascii="Arial" w:hAnsi="Arial" w:cs="Arial"/>
                <w:b/>
                <w:bCs/>
              </w:rPr>
            </w:pPr>
            <w:r w:rsidRPr="005D7C9C">
              <w:rPr>
                <w:rFonts w:ascii="Arial" w:hAnsi="Arial" w:cs="Arial"/>
                <w:b/>
                <w:bCs/>
              </w:rPr>
              <w:t>Financial Consultant</w:t>
            </w:r>
          </w:p>
        </w:tc>
      </w:tr>
      <w:tr w:rsidR="00281BEF" w:rsidRPr="002A3E51" w14:paraId="0F7CE578" w14:textId="77777777" w:rsidTr="00CF6C9E">
        <w:trPr>
          <w:cantSplit/>
        </w:trPr>
        <w:tc>
          <w:tcPr>
            <w:tcW w:w="445" w:type="dxa"/>
            <w:shd w:val="clear" w:color="auto" w:fill="FFFFFF"/>
          </w:tcPr>
          <w:p w14:paraId="79922AB2" w14:textId="77777777" w:rsidR="00281BEF" w:rsidRPr="005D7C9C" w:rsidRDefault="00281BEF" w:rsidP="005D5677">
            <w:pPr>
              <w:pStyle w:val="ListParagraph"/>
              <w:ind w:left="0"/>
              <w:rPr>
                <w:rFonts w:ascii="Arial" w:hAnsi="Arial" w:cs="Arial"/>
                <w:b/>
                <w:bCs/>
              </w:rPr>
            </w:pPr>
          </w:p>
        </w:tc>
        <w:tc>
          <w:tcPr>
            <w:tcW w:w="8370" w:type="dxa"/>
            <w:shd w:val="clear" w:color="auto" w:fill="FFFFFF"/>
          </w:tcPr>
          <w:p w14:paraId="777CF2D6" w14:textId="77777777" w:rsidR="00281BEF" w:rsidRPr="005D7C9C" w:rsidRDefault="00281BEF" w:rsidP="00F075BD">
            <w:pPr>
              <w:pStyle w:val="ListParagraph"/>
              <w:numPr>
                <w:ilvl w:val="0"/>
                <w:numId w:val="13"/>
              </w:numPr>
              <w:ind w:left="427"/>
              <w:rPr>
                <w:rFonts w:ascii="Arial" w:hAnsi="Arial" w:cs="Arial"/>
                <w:b/>
                <w:bCs/>
              </w:rPr>
            </w:pPr>
            <w:r w:rsidRPr="005D7C9C">
              <w:rPr>
                <w:rFonts w:ascii="Arial" w:hAnsi="Arial" w:cs="Arial"/>
                <w:b/>
                <w:bCs/>
              </w:rPr>
              <w:t>Appraiser</w:t>
            </w:r>
          </w:p>
        </w:tc>
      </w:tr>
      <w:tr w:rsidR="00281BEF" w:rsidRPr="002A3E51" w14:paraId="59C1A463" w14:textId="77777777" w:rsidTr="00CF6C9E">
        <w:trPr>
          <w:cantSplit/>
        </w:trPr>
        <w:tc>
          <w:tcPr>
            <w:tcW w:w="445" w:type="dxa"/>
            <w:shd w:val="clear" w:color="auto" w:fill="FFFFFF"/>
          </w:tcPr>
          <w:p w14:paraId="457BEB75" w14:textId="77777777" w:rsidR="00281BEF" w:rsidRPr="005D7C9C" w:rsidRDefault="00281BEF" w:rsidP="005D5677">
            <w:pPr>
              <w:pStyle w:val="ListParagraph"/>
              <w:ind w:left="0"/>
              <w:rPr>
                <w:rFonts w:ascii="Arial" w:hAnsi="Arial" w:cs="Arial"/>
                <w:b/>
                <w:bCs/>
              </w:rPr>
            </w:pPr>
          </w:p>
        </w:tc>
        <w:tc>
          <w:tcPr>
            <w:tcW w:w="8370" w:type="dxa"/>
            <w:shd w:val="clear" w:color="auto" w:fill="FFFFFF"/>
          </w:tcPr>
          <w:p w14:paraId="3E04D08E" w14:textId="77777777" w:rsidR="00281BEF" w:rsidRPr="005D7C9C" w:rsidRDefault="00281BEF" w:rsidP="00F075BD">
            <w:pPr>
              <w:pStyle w:val="ListParagraph"/>
              <w:numPr>
                <w:ilvl w:val="0"/>
                <w:numId w:val="13"/>
              </w:numPr>
              <w:ind w:left="427"/>
              <w:rPr>
                <w:rFonts w:ascii="Arial" w:hAnsi="Arial" w:cs="Arial"/>
                <w:b/>
                <w:bCs/>
              </w:rPr>
            </w:pPr>
            <w:r w:rsidRPr="005D7C9C">
              <w:rPr>
                <w:rFonts w:ascii="Arial" w:hAnsi="Arial" w:cs="Arial"/>
                <w:b/>
                <w:bCs/>
              </w:rPr>
              <w:t xml:space="preserve">Technical Editor and Formatter </w:t>
            </w:r>
          </w:p>
        </w:tc>
      </w:tr>
      <w:tr w:rsidR="00281BEF" w:rsidRPr="002A3E51" w14:paraId="048B5787" w14:textId="77777777" w:rsidTr="00CF6C9E">
        <w:trPr>
          <w:cantSplit/>
        </w:trPr>
        <w:tc>
          <w:tcPr>
            <w:tcW w:w="445" w:type="dxa"/>
            <w:shd w:val="clear" w:color="auto" w:fill="FFFFFF"/>
          </w:tcPr>
          <w:p w14:paraId="74CC4AC5" w14:textId="77777777" w:rsidR="00281BEF" w:rsidRPr="005D7C9C" w:rsidRDefault="00281BEF" w:rsidP="005D5677">
            <w:pPr>
              <w:pStyle w:val="ListParagraph"/>
              <w:ind w:left="0"/>
              <w:rPr>
                <w:rFonts w:ascii="Arial" w:hAnsi="Arial" w:cs="Arial"/>
                <w:b/>
                <w:bCs/>
              </w:rPr>
            </w:pPr>
          </w:p>
        </w:tc>
        <w:tc>
          <w:tcPr>
            <w:tcW w:w="8370" w:type="dxa"/>
            <w:shd w:val="clear" w:color="auto" w:fill="FFFFFF"/>
            <w:vAlign w:val="center"/>
          </w:tcPr>
          <w:p w14:paraId="5C5D5B7B" w14:textId="77777777" w:rsidR="00281BEF" w:rsidRPr="005D7C9C" w:rsidRDefault="00281BEF" w:rsidP="00F075BD">
            <w:pPr>
              <w:pStyle w:val="ListParagraph"/>
              <w:numPr>
                <w:ilvl w:val="0"/>
                <w:numId w:val="13"/>
              </w:numPr>
              <w:ind w:left="427"/>
              <w:rPr>
                <w:rFonts w:ascii="Arial" w:hAnsi="Arial" w:cs="Arial"/>
                <w:b/>
                <w:bCs/>
              </w:rPr>
            </w:pPr>
            <w:r w:rsidRPr="005D7C9C">
              <w:rPr>
                <w:rFonts w:ascii="Arial" w:hAnsi="Arial" w:cs="Arial"/>
                <w:b/>
                <w:bCs/>
              </w:rPr>
              <w:t>Technical Writer</w:t>
            </w:r>
          </w:p>
        </w:tc>
      </w:tr>
      <w:tr w:rsidR="00281BEF" w14:paraId="34B8A14B" w14:textId="77777777" w:rsidTr="00CF6C9E">
        <w:trPr>
          <w:cantSplit/>
        </w:trPr>
        <w:tc>
          <w:tcPr>
            <w:tcW w:w="445" w:type="dxa"/>
            <w:shd w:val="clear" w:color="auto" w:fill="FFFFFF"/>
          </w:tcPr>
          <w:p w14:paraId="70A98159" w14:textId="77777777" w:rsidR="00281BEF" w:rsidRPr="005D7C9C" w:rsidRDefault="00281BEF" w:rsidP="005D5677">
            <w:pPr>
              <w:pStyle w:val="ListParagraph"/>
              <w:ind w:left="0"/>
              <w:rPr>
                <w:rFonts w:ascii="Arial" w:hAnsi="Arial" w:cs="Arial"/>
                <w:b/>
                <w:bCs/>
              </w:rPr>
            </w:pPr>
          </w:p>
        </w:tc>
        <w:tc>
          <w:tcPr>
            <w:tcW w:w="8370" w:type="dxa"/>
            <w:shd w:val="clear" w:color="auto" w:fill="FFFFFF"/>
            <w:vAlign w:val="center"/>
          </w:tcPr>
          <w:p w14:paraId="31D43316" w14:textId="77777777" w:rsidR="00281BEF" w:rsidRPr="005D7C9C" w:rsidRDefault="00281BEF" w:rsidP="00F075BD">
            <w:pPr>
              <w:pStyle w:val="ListParagraph"/>
              <w:numPr>
                <w:ilvl w:val="0"/>
                <w:numId w:val="13"/>
              </w:numPr>
              <w:ind w:left="427"/>
              <w:rPr>
                <w:rFonts w:ascii="Arial" w:hAnsi="Arial" w:cs="Arial"/>
                <w:b/>
                <w:bCs/>
              </w:rPr>
            </w:pPr>
            <w:r w:rsidRPr="005D7C9C">
              <w:rPr>
                <w:rFonts w:ascii="Arial" w:hAnsi="Arial" w:cs="Arial"/>
                <w:b/>
                <w:bCs/>
              </w:rPr>
              <w:t>Equity Considerations</w:t>
            </w:r>
          </w:p>
        </w:tc>
      </w:tr>
      <w:tr w:rsidR="00281BEF" w:rsidRPr="002A3E51" w14:paraId="1875C489" w14:textId="77777777" w:rsidTr="00CF6C9E">
        <w:trPr>
          <w:cantSplit/>
        </w:trPr>
        <w:tc>
          <w:tcPr>
            <w:tcW w:w="445" w:type="dxa"/>
            <w:shd w:val="clear" w:color="auto" w:fill="FFFFFF"/>
          </w:tcPr>
          <w:p w14:paraId="2A108CF8" w14:textId="77777777" w:rsidR="00281BEF" w:rsidRPr="005D7C9C" w:rsidRDefault="00281BEF" w:rsidP="005D5677">
            <w:pPr>
              <w:pStyle w:val="ListParagraph"/>
              <w:ind w:left="0"/>
              <w:rPr>
                <w:rFonts w:ascii="Arial" w:hAnsi="Arial" w:cs="Arial"/>
                <w:b/>
                <w:bCs/>
              </w:rPr>
            </w:pPr>
          </w:p>
        </w:tc>
        <w:tc>
          <w:tcPr>
            <w:tcW w:w="8370" w:type="dxa"/>
            <w:shd w:val="clear" w:color="auto" w:fill="FFFFFF"/>
            <w:vAlign w:val="center"/>
          </w:tcPr>
          <w:p w14:paraId="57FCCDF3" w14:textId="77777777" w:rsidR="00281BEF" w:rsidRPr="005D7C9C" w:rsidRDefault="00281BEF" w:rsidP="00F075BD">
            <w:pPr>
              <w:pStyle w:val="ListParagraph"/>
              <w:numPr>
                <w:ilvl w:val="0"/>
                <w:numId w:val="13"/>
              </w:numPr>
              <w:ind w:left="427"/>
              <w:rPr>
                <w:rFonts w:ascii="Arial" w:hAnsi="Arial" w:cs="Arial"/>
                <w:b/>
                <w:bCs/>
              </w:rPr>
            </w:pPr>
            <w:r w:rsidRPr="005D7C9C">
              <w:rPr>
                <w:rFonts w:ascii="Arial" w:hAnsi="Arial" w:cs="Arial"/>
                <w:b/>
                <w:bCs/>
              </w:rPr>
              <w:t>Graphic Designer and Video Producer</w:t>
            </w:r>
          </w:p>
        </w:tc>
      </w:tr>
      <w:tr w:rsidR="00281BEF" w:rsidRPr="002A3E51" w14:paraId="5A766142" w14:textId="77777777" w:rsidTr="00CF6C9E">
        <w:trPr>
          <w:cantSplit/>
        </w:trPr>
        <w:tc>
          <w:tcPr>
            <w:tcW w:w="445" w:type="dxa"/>
            <w:shd w:val="clear" w:color="auto" w:fill="FFFFFF"/>
          </w:tcPr>
          <w:p w14:paraId="79018CC4" w14:textId="77777777" w:rsidR="00281BEF" w:rsidRPr="005D7C9C" w:rsidRDefault="00281BEF" w:rsidP="005D5677">
            <w:pPr>
              <w:pStyle w:val="ListParagraph"/>
              <w:ind w:left="0"/>
              <w:rPr>
                <w:rFonts w:ascii="Arial" w:hAnsi="Arial" w:cs="Arial"/>
                <w:b/>
                <w:bCs/>
              </w:rPr>
            </w:pPr>
          </w:p>
        </w:tc>
        <w:tc>
          <w:tcPr>
            <w:tcW w:w="8370" w:type="dxa"/>
            <w:shd w:val="clear" w:color="auto" w:fill="FFFFFF"/>
            <w:vAlign w:val="center"/>
          </w:tcPr>
          <w:p w14:paraId="4B82229B" w14:textId="77777777" w:rsidR="00281BEF" w:rsidRPr="005D7C9C" w:rsidRDefault="00281BEF" w:rsidP="00F075BD">
            <w:pPr>
              <w:pStyle w:val="ListParagraph"/>
              <w:numPr>
                <w:ilvl w:val="0"/>
                <w:numId w:val="13"/>
              </w:numPr>
              <w:ind w:left="427"/>
              <w:rPr>
                <w:rFonts w:ascii="Arial" w:hAnsi="Arial" w:cs="Arial"/>
                <w:b/>
                <w:bCs/>
              </w:rPr>
            </w:pPr>
            <w:r w:rsidRPr="005D7C9C">
              <w:rPr>
                <w:rFonts w:ascii="Arial" w:hAnsi="Arial" w:cs="Arial"/>
                <w:b/>
                <w:bCs/>
              </w:rPr>
              <w:t>Webcast</w:t>
            </w:r>
          </w:p>
        </w:tc>
      </w:tr>
      <w:tr w:rsidR="00281BEF" w:rsidRPr="002A3E51" w14:paraId="7A972F77" w14:textId="77777777" w:rsidTr="00CF6C9E">
        <w:trPr>
          <w:cantSplit/>
        </w:trPr>
        <w:tc>
          <w:tcPr>
            <w:tcW w:w="445" w:type="dxa"/>
            <w:shd w:val="clear" w:color="auto" w:fill="FFFFFF"/>
          </w:tcPr>
          <w:p w14:paraId="0A7E0FB9" w14:textId="77777777" w:rsidR="00281BEF" w:rsidRPr="005D7C9C" w:rsidRDefault="00281BEF" w:rsidP="005D5677">
            <w:pPr>
              <w:pStyle w:val="ListParagraph"/>
              <w:ind w:left="0"/>
              <w:rPr>
                <w:rFonts w:ascii="Arial" w:hAnsi="Arial" w:cs="Arial"/>
                <w:b/>
              </w:rPr>
            </w:pPr>
          </w:p>
        </w:tc>
        <w:tc>
          <w:tcPr>
            <w:tcW w:w="8370" w:type="dxa"/>
            <w:shd w:val="clear" w:color="auto" w:fill="FFFFFF"/>
            <w:vAlign w:val="center"/>
          </w:tcPr>
          <w:p w14:paraId="212DF185" w14:textId="77777777" w:rsidR="00281BEF" w:rsidRPr="005D7C9C" w:rsidRDefault="00281BEF" w:rsidP="00F075BD">
            <w:pPr>
              <w:pStyle w:val="ListParagraph"/>
              <w:numPr>
                <w:ilvl w:val="0"/>
                <w:numId w:val="13"/>
              </w:numPr>
              <w:ind w:left="427"/>
              <w:rPr>
                <w:rFonts w:ascii="Arial" w:hAnsi="Arial" w:cs="Arial"/>
                <w:b/>
              </w:rPr>
            </w:pPr>
            <w:r w:rsidRPr="005D7C9C">
              <w:rPr>
                <w:rFonts w:ascii="Arial" w:hAnsi="Arial" w:cs="Arial"/>
                <w:b/>
              </w:rPr>
              <w:t>Event Planner</w:t>
            </w:r>
          </w:p>
        </w:tc>
      </w:tr>
      <w:tr w:rsidR="00281BEF" w:rsidRPr="002A3E51" w14:paraId="0AB26F44" w14:textId="77777777" w:rsidTr="00CF6C9E">
        <w:trPr>
          <w:cantSplit/>
          <w:trHeight w:val="64"/>
        </w:trPr>
        <w:tc>
          <w:tcPr>
            <w:tcW w:w="445" w:type="dxa"/>
            <w:shd w:val="clear" w:color="auto" w:fill="FFFFFF"/>
          </w:tcPr>
          <w:p w14:paraId="1504D242" w14:textId="77777777" w:rsidR="00281BEF" w:rsidRPr="005D7C9C" w:rsidRDefault="00281BEF" w:rsidP="005D5677">
            <w:pPr>
              <w:pStyle w:val="ListParagraph"/>
              <w:ind w:left="0"/>
              <w:rPr>
                <w:rFonts w:ascii="Arial" w:hAnsi="Arial" w:cs="Arial"/>
                <w:b/>
              </w:rPr>
            </w:pPr>
          </w:p>
        </w:tc>
        <w:tc>
          <w:tcPr>
            <w:tcW w:w="8370" w:type="dxa"/>
            <w:shd w:val="clear" w:color="auto" w:fill="FFFFFF"/>
            <w:vAlign w:val="center"/>
          </w:tcPr>
          <w:p w14:paraId="7502E259" w14:textId="77777777" w:rsidR="00281BEF" w:rsidRPr="005D7C9C" w:rsidRDefault="00281BEF" w:rsidP="00F075BD">
            <w:pPr>
              <w:pStyle w:val="ListParagraph"/>
              <w:numPr>
                <w:ilvl w:val="0"/>
                <w:numId w:val="13"/>
              </w:numPr>
              <w:ind w:left="427"/>
              <w:rPr>
                <w:rFonts w:ascii="Arial" w:hAnsi="Arial" w:cs="Arial"/>
                <w:b/>
              </w:rPr>
            </w:pPr>
            <w:r w:rsidRPr="005D7C9C">
              <w:rPr>
                <w:rFonts w:ascii="Arial" w:hAnsi="Arial" w:cs="Arial"/>
                <w:b/>
              </w:rPr>
              <w:t>Trainer</w:t>
            </w:r>
          </w:p>
        </w:tc>
      </w:tr>
      <w:tr w:rsidR="00281BEF" w:rsidRPr="00880C5B" w14:paraId="44FAF6C3" w14:textId="77777777" w:rsidTr="00CF6C9E">
        <w:trPr>
          <w:cantSplit/>
          <w:trHeight w:val="64"/>
        </w:trPr>
        <w:tc>
          <w:tcPr>
            <w:tcW w:w="445" w:type="dxa"/>
            <w:shd w:val="clear" w:color="auto" w:fill="FFFFFF"/>
          </w:tcPr>
          <w:p w14:paraId="7A632BC9" w14:textId="77777777" w:rsidR="00281BEF" w:rsidRPr="00880C5B" w:rsidRDefault="00281BEF" w:rsidP="00880C5B">
            <w:pPr>
              <w:rPr>
                <w:rFonts w:ascii="Arial" w:hAnsi="Arial" w:cs="Arial"/>
                <w:b/>
              </w:rPr>
            </w:pPr>
          </w:p>
        </w:tc>
        <w:tc>
          <w:tcPr>
            <w:tcW w:w="8370" w:type="dxa"/>
            <w:shd w:val="clear" w:color="auto" w:fill="FFFFFF"/>
            <w:vAlign w:val="center"/>
          </w:tcPr>
          <w:p w14:paraId="4993C50A" w14:textId="0DB7A75C" w:rsidR="00281BEF" w:rsidRPr="000D4E54" w:rsidRDefault="00F075BD" w:rsidP="00F075BD">
            <w:pPr>
              <w:pStyle w:val="ListParagraph"/>
              <w:numPr>
                <w:ilvl w:val="0"/>
                <w:numId w:val="13"/>
              </w:numPr>
              <w:tabs>
                <w:tab w:val="left" w:pos="696"/>
              </w:tabs>
              <w:ind w:left="336" w:hanging="270"/>
              <w:rPr>
                <w:rFonts w:ascii="Arial" w:hAnsi="Arial" w:cs="Arial"/>
                <w:b/>
                <w:u w:val="single"/>
              </w:rPr>
            </w:pPr>
            <w:r w:rsidRPr="000D4E54">
              <w:rPr>
                <w:rFonts w:ascii="Arial" w:hAnsi="Arial" w:cs="Arial"/>
                <w:b/>
                <w:u w:val="single"/>
              </w:rPr>
              <w:t xml:space="preserve"> </w:t>
            </w:r>
            <w:r w:rsidR="00281BEF" w:rsidRPr="000D4E54">
              <w:rPr>
                <w:rFonts w:ascii="Arial" w:hAnsi="Arial" w:cs="Arial"/>
                <w:b/>
                <w:u w:val="single"/>
              </w:rPr>
              <w:t>California Environmental Quality Act (CEQA) Specialists</w:t>
            </w:r>
          </w:p>
        </w:tc>
      </w:tr>
    </w:tbl>
    <w:p w14:paraId="79FFFD0B" w14:textId="77777777" w:rsidR="00523277" w:rsidRDefault="00523277" w:rsidP="00523277">
      <w:pPr>
        <w:pStyle w:val="Default"/>
        <w:ind w:right="-720"/>
      </w:pPr>
    </w:p>
    <w:p w14:paraId="273324E1" w14:textId="77777777" w:rsidR="00523277" w:rsidRDefault="00523277" w:rsidP="00523277">
      <w:pPr>
        <w:pStyle w:val="Default"/>
        <w:ind w:right="-720"/>
      </w:pPr>
    </w:p>
    <w:p w14:paraId="47602347" w14:textId="77777777" w:rsidR="00FE78CB" w:rsidRDefault="00FE78CB" w:rsidP="004D5EEA">
      <w:pPr>
        <w:rPr>
          <w:rFonts w:ascii="Arial" w:hAnsi="Arial" w:cs="Arial"/>
        </w:rPr>
      </w:pPr>
    </w:p>
    <w:p w14:paraId="40E4E7BC" w14:textId="4C75B1A7" w:rsidR="004D5EEA" w:rsidRPr="006053EE" w:rsidRDefault="00F44AAF" w:rsidP="004D5EEA">
      <w:pPr>
        <w:rPr>
          <w:rFonts w:ascii="Arial" w:hAnsi="Arial" w:cs="Arial"/>
        </w:rPr>
      </w:pPr>
      <w:r>
        <w:rPr>
          <w:rFonts w:ascii="Arial" w:hAnsi="Arial" w:cs="Arial"/>
        </w:rPr>
        <w:t xml:space="preserve">The </w:t>
      </w:r>
      <w:r w:rsidR="000B5A7C">
        <w:rPr>
          <w:rFonts w:ascii="Arial" w:hAnsi="Arial" w:cs="Arial"/>
        </w:rPr>
        <w:t xml:space="preserve">change identified above </w:t>
      </w:r>
      <w:r w:rsidR="00755D40">
        <w:rPr>
          <w:rFonts w:ascii="Arial" w:hAnsi="Arial" w:cs="Arial"/>
        </w:rPr>
        <w:t>is</w:t>
      </w:r>
      <w:r w:rsidR="000B5A7C">
        <w:rPr>
          <w:rFonts w:ascii="Arial" w:hAnsi="Arial" w:cs="Arial"/>
        </w:rPr>
        <w:t xml:space="preserve"> the only change in Addendum </w:t>
      </w:r>
      <w:r w:rsidR="00F240DA">
        <w:rPr>
          <w:rFonts w:ascii="Arial" w:hAnsi="Arial" w:cs="Arial"/>
        </w:rPr>
        <w:t>2</w:t>
      </w:r>
      <w:r w:rsidR="000B5A7C">
        <w:rPr>
          <w:rFonts w:ascii="Arial" w:hAnsi="Arial" w:cs="Arial"/>
        </w:rPr>
        <w:t xml:space="preserve">. The RFP contains some pre-existing language shown </w:t>
      </w:r>
      <w:r w:rsidR="009A2E44">
        <w:rPr>
          <w:rFonts w:ascii="Arial" w:hAnsi="Arial" w:cs="Arial"/>
        </w:rPr>
        <w:t xml:space="preserve">in bold and underline </w:t>
      </w:r>
      <w:r w:rsidR="2735D321" w:rsidRPr="0A6BE34F">
        <w:rPr>
          <w:rFonts w:ascii="Arial" w:hAnsi="Arial" w:cs="Arial"/>
        </w:rPr>
        <w:t>that</w:t>
      </w:r>
      <w:r w:rsidR="009A2E44">
        <w:rPr>
          <w:rFonts w:ascii="Arial" w:hAnsi="Arial" w:cs="Arial"/>
        </w:rPr>
        <w:t xml:space="preserve"> </w:t>
      </w:r>
      <w:r w:rsidR="00CF0A89">
        <w:rPr>
          <w:rFonts w:ascii="Arial" w:hAnsi="Arial" w:cs="Arial"/>
        </w:rPr>
        <w:t>is</w:t>
      </w:r>
      <w:r w:rsidR="009A2E44">
        <w:rPr>
          <w:rFonts w:ascii="Arial" w:hAnsi="Arial" w:cs="Arial"/>
        </w:rPr>
        <w:t xml:space="preserve"> not revised language.</w:t>
      </w:r>
    </w:p>
    <w:p w14:paraId="289AF33D" w14:textId="77777777" w:rsidR="004D5EEA" w:rsidRDefault="004D5EEA" w:rsidP="004D5EEA">
      <w:pPr>
        <w:rPr>
          <w:rFonts w:ascii="Arial" w:hAnsi="Arial" w:cs="Arial"/>
        </w:rPr>
      </w:pPr>
    </w:p>
    <w:p w14:paraId="5B7230C4" w14:textId="77777777" w:rsidR="004D5EEA" w:rsidRDefault="004D5EEA" w:rsidP="004D5EEA">
      <w:pPr>
        <w:rPr>
          <w:rFonts w:ascii="Arial" w:hAnsi="Arial" w:cs="Arial"/>
        </w:rPr>
      </w:pPr>
    </w:p>
    <w:p w14:paraId="46C5C597" w14:textId="3A367459" w:rsidR="004D5EEA" w:rsidRPr="00227726" w:rsidRDefault="00715490" w:rsidP="004D5EEA">
      <w:pPr>
        <w:rPr>
          <w:rFonts w:ascii="Arial" w:hAnsi="Arial" w:cs="Arial"/>
        </w:rPr>
      </w:pPr>
      <w:r>
        <w:rPr>
          <w:rFonts w:ascii="Arial" w:hAnsi="Arial" w:cs="Arial"/>
        </w:rPr>
        <w:t>Phil Dyer</w:t>
      </w:r>
    </w:p>
    <w:p w14:paraId="23BDADAF" w14:textId="652CCAFC" w:rsidR="00C744B2" w:rsidRPr="00CD09FB" w:rsidRDefault="004D5EEA" w:rsidP="00CD09FB">
      <w:pPr>
        <w:rPr>
          <w:rFonts w:ascii="Arial" w:eastAsia="Times New Roman" w:hAnsi="Arial" w:cs="Arial"/>
        </w:rPr>
      </w:pPr>
      <w:r w:rsidRPr="00227726">
        <w:rPr>
          <w:rFonts w:ascii="Arial" w:hAnsi="Arial" w:cs="Arial"/>
        </w:rPr>
        <w:t>Commission Agreement Officer</w:t>
      </w:r>
    </w:p>
    <w:sectPr w:rsidR="00C744B2" w:rsidRPr="00CD09FB" w:rsidSect="00636135">
      <w:headerReference w:type="default" r:id="rId11"/>
      <w:footerReference w:type="default" r:id="rId12"/>
      <w:headerReference w:type="first" r:id="rId13"/>
      <w:footerReference w:type="first" r:id="rId14"/>
      <w:pgSz w:w="12240" w:h="15840"/>
      <w:pgMar w:top="1440" w:right="1800" w:bottom="1440" w:left="1800" w:header="576"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42BC" w14:textId="77777777" w:rsidR="00322A13" w:rsidRDefault="00322A13" w:rsidP="00F86D2B">
      <w:r>
        <w:separator/>
      </w:r>
    </w:p>
  </w:endnote>
  <w:endnote w:type="continuationSeparator" w:id="0">
    <w:p w14:paraId="6F8302EF" w14:textId="77777777" w:rsidR="00322A13" w:rsidRDefault="00322A13" w:rsidP="00F86D2B">
      <w:r>
        <w:continuationSeparator/>
      </w:r>
    </w:p>
  </w:endnote>
  <w:endnote w:type="continuationNotice" w:id="1">
    <w:p w14:paraId="7E182971" w14:textId="77777777" w:rsidR="00322A13" w:rsidRDefault="00322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45485536"/>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057603AF" w14:textId="662099D1" w:rsidR="00E55CA9" w:rsidRPr="00E55CA9" w:rsidRDefault="00E55CA9">
            <w:pPr>
              <w:pStyle w:val="Footer"/>
              <w:jc w:val="center"/>
              <w:rPr>
                <w:rFonts w:ascii="Arial" w:hAnsi="Arial" w:cs="Arial"/>
                <w:sz w:val="20"/>
                <w:szCs w:val="20"/>
              </w:rPr>
            </w:pPr>
            <w:r w:rsidRPr="00E55CA9">
              <w:rPr>
                <w:rFonts w:ascii="Arial" w:hAnsi="Arial" w:cs="Arial"/>
                <w:sz w:val="20"/>
                <w:szCs w:val="20"/>
              </w:rPr>
              <w:t xml:space="preserve">Page </w:t>
            </w:r>
            <w:r w:rsidRPr="00E55CA9">
              <w:rPr>
                <w:rFonts w:ascii="Arial" w:hAnsi="Arial" w:cs="Arial"/>
                <w:sz w:val="20"/>
                <w:szCs w:val="20"/>
              </w:rPr>
              <w:fldChar w:fldCharType="begin"/>
            </w:r>
            <w:r w:rsidRPr="00E55CA9">
              <w:rPr>
                <w:rFonts w:ascii="Arial" w:hAnsi="Arial" w:cs="Arial"/>
                <w:sz w:val="20"/>
                <w:szCs w:val="20"/>
              </w:rPr>
              <w:instrText xml:space="preserve"> PAGE </w:instrText>
            </w:r>
            <w:r w:rsidRPr="00E55CA9">
              <w:rPr>
                <w:rFonts w:ascii="Arial" w:hAnsi="Arial" w:cs="Arial"/>
                <w:sz w:val="20"/>
                <w:szCs w:val="20"/>
              </w:rPr>
              <w:fldChar w:fldCharType="separate"/>
            </w:r>
            <w:r w:rsidRPr="00E55CA9">
              <w:rPr>
                <w:rFonts w:ascii="Arial" w:hAnsi="Arial" w:cs="Arial"/>
                <w:noProof/>
                <w:sz w:val="20"/>
                <w:szCs w:val="20"/>
              </w:rPr>
              <w:t>2</w:t>
            </w:r>
            <w:r w:rsidRPr="00E55CA9">
              <w:rPr>
                <w:rFonts w:ascii="Arial" w:hAnsi="Arial" w:cs="Arial"/>
                <w:sz w:val="20"/>
                <w:szCs w:val="20"/>
              </w:rPr>
              <w:fldChar w:fldCharType="end"/>
            </w:r>
            <w:r w:rsidRPr="00E55CA9">
              <w:rPr>
                <w:rFonts w:ascii="Arial" w:hAnsi="Arial" w:cs="Arial"/>
                <w:sz w:val="20"/>
                <w:szCs w:val="20"/>
              </w:rPr>
              <w:t xml:space="preserve"> of </w:t>
            </w:r>
            <w:r w:rsidRPr="00E55CA9">
              <w:rPr>
                <w:rFonts w:ascii="Arial" w:hAnsi="Arial" w:cs="Arial"/>
                <w:sz w:val="20"/>
                <w:szCs w:val="20"/>
              </w:rPr>
              <w:fldChar w:fldCharType="begin"/>
            </w:r>
            <w:r w:rsidRPr="00E55CA9">
              <w:rPr>
                <w:rFonts w:ascii="Arial" w:hAnsi="Arial" w:cs="Arial"/>
                <w:sz w:val="20"/>
                <w:szCs w:val="20"/>
              </w:rPr>
              <w:instrText xml:space="preserve"> NUMPAGES  </w:instrText>
            </w:r>
            <w:r w:rsidRPr="00E55CA9">
              <w:rPr>
                <w:rFonts w:ascii="Arial" w:hAnsi="Arial" w:cs="Arial"/>
                <w:sz w:val="20"/>
                <w:szCs w:val="20"/>
              </w:rPr>
              <w:fldChar w:fldCharType="separate"/>
            </w:r>
            <w:r w:rsidRPr="00E55CA9">
              <w:rPr>
                <w:rFonts w:ascii="Arial" w:hAnsi="Arial" w:cs="Arial"/>
                <w:noProof/>
                <w:sz w:val="20"/>
                <w:szCs w:val="20"/>
              </w:rPr>
              <w:t>2</w:t>
            </w:r>
            <w:r w:rsidRPr="00E55CA9">
              <w:rPr>
                <w:rFonts w:ascii="Arial" w:hAnsi="Arial" w:cs="Arial"/>
                <w:sz w:val="20"/>
                <w:szCs w:val="20"/>
              </w:rPr>
              <w:fldChar w:fldCharType="end"/>
            </w:r>
          </w:p>
        </w:sdtContent>
      </w:sdt>
    </w:sdtContent>
  </w:sdt>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2" name="Picture 2"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73360" w14:textId="77777777" w:rsidR="00322A13" w:rsidRDefault="00322A13" w:rsidP="00F86D2B">
      <w:r>
        <w:separator/>
      </w:r>
    </w:p>
  </w:footnote>
  <w:footnote w:type="continuationSeparator" w:id="0">
    <w:p w14:paraId="3AE1EABC" w14:textId="77777777" w:rsidR="00322A13" w:rsidRDefault="00322A13" w:rsidP="00F86D2B">
      <w:r>
        <w:continuationSeparator/>
      </w:r>
    </w:p>
  </w:footnote>
  <w:footnote w:type="continuationNotice" w:id="1">
    <w:p w14:paraId="2995C8AF" w14:textId="77777777" w:rsidR="00322A13" w:rsidRDefault="00322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97C2" w14:textId="77777777" w:rsidR="00636135" w:rsidRPr="007E2767" w:rsidRDefault="00636135" w:rsidP="00636135">
    <w:pPr>
      <w:jc w:val="center"/>
      <w:rPr>
        <w:rFonts w:ascii="Arial" w:hAnsi="Arial" w:cs="Arial"/>
        <w:b/>
        <w:bCs/>
      </w:rPr>
    </w:pPr>
    <w:r>
      <w:rPr>
        <w:rFonts w:ascii="Arial" w:hAnsi="Arial" w:cs="Arial"/>
        <w:b/>
        <w:bCs/>
      </w:rPr>
      <w:t>RFP-22-301</w:t>
    </w:r>
  </w:p>
  <w:p w14:paraId="71B59DCD" w14:textId="77777777" w:rsidR="00636135" w:rsidRDefault="00636135" w:rsidP="00636135">
    <w:pPr>
      <w:jc w:val="center"/>
      <w:rPr>
        <w:rFonts w:ascii="Arial" w:hAnsi="Arial" w:cs="Arial"/>
        <w:b/>
        <w:bCs/>
      </w:rPr>
    </w:pPr>
    <w:r>
      <w:rPr>
        <w:rFonts w:ascii="Arial" w:hAnsi="Arial" w:cs="Arial"/>
        <w:b/>
        <w:bCs/>
      </w:rPr>
      <w:t xml:space="preserve">Technical Assistance for the </w:t>
    </w:r>
  </w:p>
  <w:p w14:paraId="5F73C7BE" w14:textId="695655D2" w:rsidR="00636135" w:rsidRDefault="00636135" w:rsidP="00636135">
    <w:pPr>
      <w:jc w:val="center"/>
      <w:rPr>
        <w:rFonts w:ascii="Arial" w:hAnsi="Arial" w:cs="Arial"/>
        <w:b/>
        <w:bCs/>
      </w:rPr>
    </w:pPr>
    <w:r>
      <w:rPr>
        <w:rFonts w:ascii="Arial" w:hAnsi="Arial" w:cs="Arial"/>
        <w:b/>
        <w:bCs/>
      </w:rPr>
      <w:t>Energy Research and Development Division</w:t>
    </w:r>
  </w:p>
  <w:p w14:paraId="302743FD" w14:textId="77777777" w:rsidR="00636135" w:rsidRPr="007E2767" w:rsidRDefault="00636135" w:rsidP="00636135">
    <w:pPr>
      <w:jc w:val="center"/>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145053DA">
          <wp:extent cx="7465625" cy="97801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21F33"/>
    <w:multiLevelType w:val="hybridMultilevel"/>
    <w:tmpl w:val="61FECF9A"/>
    <w:lvl w:ilvl="0" w:tplc="75C0DF9C">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83796"/>
    <w:multiLevelType w:val="hybridMultilevel"/>
    <w:tmpl w:val="D03642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9C5E5ABC">
      <w:start w:val="46"/>
      <w:numFmt w:val="decimal"/>
      <w:lvlText w:val="(%3)"/>
      <w:lvlJc w:val="left"/>
      <w:pPr>
        <w:ind w:left="2100" w:hanging="4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A76A8F"/>
    <w:multiLevelType w:val="hybridMultilevel"/>
    <w:tmpl w:val="F24E513A"/>
    <w:lvl w:ilvl="0" w:tplc="04090003">
      <w:start w:val="1"/>
      <w:numFmt w:val="bullet"/>
      <w:lvlText w:val="o"/>
      <w:lvlJc w:val="left"/>
      <w:pPr>
        <w:ind w:left="1576" w:hanging="360"/>
      </w:pPr>
      <w:rPr>
        <w:rFonts w:ascii="Courier New" w:hAnsi="Courier New" w:cs="Courier New" w:hint="default"/>
      </w:rPr>
    </w:lvl>
    <w:lvl w:ilvl="1" w:tplc="04090003">
      <w:start w:val="1"/>
      <w:numFmt w:val="bullet"/>
      <w:lvlText w:val="o"/>
      <w:lvlJc w:val="left"/>
      <w:pPr>
        <w:ind w:left="2296" w:hanging="360"/>
      </w:pPr>
      <w:rPr>
        <w:rFonts w:ascii="Courier New" w:hAnsi="Courier New" w:cs="Courier New" w:hint="default"/>
      </w:rPr>
    </w:lvl>
    <w:lvl w:ilvl="2" w:tplc="04090005">
      <w:start w:val="1"/>
      <w:numFmt w:val="bullet"/>
      <w:lvlText w:val=""/>
      <w:lvlJc w:val="left"/>
      <w:pPr>
        <w:ind w:left="3016" w:hanging="360"/>
      </w:pPr>
      <w:rPr>
        <w:rFonts w:ascii="Wingdings" w:hAnsi="Wingdings" w:hint="default"/>
      </w:rPr>
    </w:lvl>
    <w:lvl w:ilvl="3" w:tplc="04090001">
      <w:start w:val="1"/>
      <w:numFmt w:val="bullet"/>
      <w:lvlText w:val=""/>
      <w:lvlJc w:val="left"/>
      <w:pPr>
        <w:ind w:left="3736" w:hanging="360"/>
      </w:pPr>
      <w:rPr>
        <w:rFonts w:ascii="Symbol" w:hAnsi="Symbol" w:hint="default"/>
      </w:rPr>
    </w:lvl>
    <w:lvl w:ilvl="4" w:tplc="04090003">
      <w:start w:val="1"/>
      <w:numFmt w:val="bullet"/>
      <w:lvlText w:val="o"/>
      <w:lvlJc w:val="left"/>
      <w:pPr>
        <w:ind w:left="4456" w:hanging="360"/>
      </w:pPr>
      <w:rPr>
        <w:rFonts w:ascii="Courier New" w:hAnsi="Courier New" w:cs="Courier New" w:hint="default"/>
      </w:rPr>
    </w:lvl>
    <w:lvl w:ilvl="5" w:tplc="04090005">
      <w:start w:val="1"/>
      <w:numFmt w:val="bullet"/>
      <w:lvlText w:val=""/>
      <w:lvlJc w:val="left"/>
      <w:pPr>
        <w:ind w:left="5176" w:hanging="360"/>
      </w:pPr>
      <w:rPr>
        <w:rFonts w:ascii="Wingdings" w:hAnsi="Wingdings" w:hint="default"/>
      </w:rPr>
    </w:lvl>
    <w:lvl w:ilvl="6" w:tplc="04090001">
      <w:start w:val="1"/>
      <w:numFmt w:val="bullet"/>
      <w:lvlText w:val=""/>
      <w:lvlJc w:val="left"/>
      <w:pPr>
        <w:ind w:left="5896" w:hanging="360"/>
      </w:pPr>
      <w:rPr>
        <w:rFonts w:ascii="Symbol" w:hAnsi="Symbol" w:hint="default"/>
      </w:rPr>
    </w:lvl>
    <w:lvl w:ilvl="7" w:tplc="04090003">
      <w:start w:val="1"/>
      <w:numFmt w:val="bullet"/>
      <w:lvlText w:val="o"/>
      <w:lvlJc w:val="left"/>
      <w:pPr>
        <w:ind w:left="6616" w:hanging="360"/>
      </w:pPr>
      <w:rPr>
        <w:rFonts w:ascii="Courier New" w:hAnsi="Courier New" w:cs="Courier New" w:hint="default"/>
      </w:rPr>
    </w:lvl>
    <w:lvl w:ilvl="8" w:tplc="04090005">
      <w:start w:val="1"/>
      <w:numFmt w:val="bullet"/>
      <w:lvlText w:val=""/>
      <w:lvlJc w:val="left"/>
      <w:pPr>
        <w:ind w:left="7336" w:hanging="360"/>
      </w:pPr>
      <w:rPr>
        <w:rFonts w:ascii="Wingdings" w:hAnsi="Wingdings" w:hint="default"/>
      </w:rPr>
    </w:lvl>
  </w:abstractNum>
  <w:abstractNum w:abstractNumId="4" w15:restartNumberingAfterBreak="0">
    <w:nsid w:val="3F6240EE"/>
    <w:multiLevelType w:val="hybridMultilevel"/>
    <w:tmpl w:val="72908A78"/>
    <w:lvl w:ilvl="0" w:tplc="9C5E5ABC">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E2BEC"/>
    <w:multiLevelType w:val="hybridMultilevel"/>
    <w:tmpl w:val="8EB8A8E4"/>
    <w:lvl w:ilvl="0" w:tplc="9ED02A52">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12161"/>
    <w:multiLevelType w:val="hybridMultilevel"/>
    <w:tmpl w:val="3756627C"/>
    <w:lvl w:ilvl="0" w:tplc="8D90310C">
      <w:start w:val="1"/>
      <w:numFmt w:val="decimal"/>
      <w:lvlText w:val="(%1)"/>
      <w:lvlJc w:val="left"/>
      <w:pPr>
        <w:ind w:left="3600" w:hanging="360"/>
      </w:pPr>
    </w:lvl>
    <w:lvl w:ilvl="1" w:tplc="61B27942">
      <w:start w:val="1"/>
      <w:numFmt w:val="decimal"/>
      <w:lvlText w:val="(%2)"/>
      <w:lvlJc w:val="left"/>
      <w:pPr>
        <w:ind w:left="1842" w:hanging="420"/>
      </w:pPr>
      <w:rPr>
        <w:rFonts w:hint="default"/>
        <w:b w:val="0"/>
        <w:bCs w:val="0"/>
      </w:r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15:restartNumberingAfterBreak="0">
    <w:nsid w:val="53FA751A"/>
    <w:multiLevelType w:val="hybridMultilevel"/>
    <w:tmpl w:val="6A105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BB141C"/>
    <w:multiLevelType w:val="hybridMultilevel"/>
    <w:tmpl w:val="496AF912"/>
    <w:lvl w:ilvl="0" w:tplc="8F2C103A">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744B2"/>
    <w:multiLevelType w:val="hybridMultilevel"/>
    <w:tmpl w:val="6CB6F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2E141C"/>
    <w:multiLevelType w:val="hybridMultilevel"/>
    <w:tmpl w:val="6A500DE4"/>
    <w:lvl w:ilvl="0" w:tplc="A8D8FA4A">
      <w:start w:val="1"/>
      <w:numFmt w:val="decimal"/>
      <w:lvlText w:val="(%1)"/>
      <w:lvlJc w:val="left"/>
      <w:pPr>
        <w:ind w:left="1170" w:hanging="360"/>
      </w:pPr>
      <w:rPr>
        <w:rFonts w:hint="default"/>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1" w15:restartNumberingAfterBreak="0">
    <w:nsid w:val="795D47C8"/>
    <w:multiLevelType w:val="hybridMultilevel"/>
    <w:tmpl w:val="26B8D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2"/>
  </w:num>
  <w:num w:numId="4">
    <w:abstractNumId w:val="5"/>
  </w:num>
  <w:num w:numId="5">
    <w:abstractNumId w:val="6"/>
  </w:num>
  <w:num w:numId="6">
    <w:abstractNumId w:val="9"/>
  </w:num>
  <w:num w:numId="7">
    <w:abstractNumId w:val="7"/>
  </w:num>
  <w:num w:numId="8">
    <w:abstractNumId w:val="3"/>
  </w:num>
  <w:num w:numId="9">
    <w:abstractNumId w:val="10"/>
  </w:num>
  <w:num w:numId="10">
    <w:abstractNumId w:val="11"/>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37F1"/>
    <w:rsid w:val="00027125"/>
    <w:rsid w:val="0003233D"/>
    <w:rsid w:val="00032A78"/>
    <w:rsid w:val="000509E7"/>
    <w:rsid w:val="000557AC"/>
    <w:rsid w:val="00063B9D"/>
    <w:rsid w:val="0007389F"/>
    <w:rsid w:val="00077013"/>
    <w:rsid w:val="00083450"/>
    <w:rsid w:val="0009064B"/>
    <w:rsid w:val="000A0B19"/>
    <w:rsid w:val="000A39CD"/>
    <w:rsid w:val="000A6CE7"/>
    <w:rsid w:val="000B5A7C"/>
    <w:rsid w:val="000C0CF0"/>
    <w:rsid w:val="000C6C80"/>
    <w:rsid w:val="000D2EFF"/>
    <w:rsid w:val="000D4DCF"/>
    <w:rsid w:val="000D4E54"/>
    <w:rsid w:val="000E31D6"/>
    <w:rsid w:val="000E5FDA"/>
    <w:rsid w:val="00103353"/>
    <w:rsid w:val="0014043C"/>
    <w:rsid w:val="00146D6B"/>
    <w:rsid w:val="0014731B"/>
    <w:rsid w:val="00174313"/>
    <w:rsid w:val="001A1AA1"/>
    <w:rsid w:val="001A1D8A"/>
    <w:rsid w:val="001A30F4"/>
    <w:rsid w:val="001E0639"/>
    <w:rsid w:val="001F62F3"/>
    <w:rsid w:val="001F6FFD"/>
    <w:rsid w:val="002033DD"/>
    <w:rsid w:val="00203587"/>
    <w:rsid w:val="002104BA"/>
    <w:rsid w:val="00235167"/>
    <w:rsid w:val="002568AD"/>
    <w:rsid w:val="002747CF"/>
    <w:rsid w:val="00281BEF"/>
    <w:rsid w:val="00282D09"/>
    <w:rsid w:val="00286AA6"/>
    <w:rsid w:val="002A5F7A"/>
    <w:rsid w:val="002C1897"/>
    <w:rsid w:val="002D11A5"/>
    <w:rsid w:val="002D17D5"/>
    <w:rsid w:val="002D2CBA"/>
    <w:rsid w:val="002D53A6"/>
    <w:rsid w:val="00300FB1"/>
    <w:rsid w:val="0030386F"/>
    <w:rsid w:val="00306C82"/>
    <w:rsid w:val="00315F58"/>
    <w:rsid w:val="00322A13"/>
    <w:rsid w:val="00334197"/>
    <w:rsid w:val="00351A2E"/>
    <w:rsid w:val="00363FD0"/>
    <w:rsid w:val="003655BD"/>
    <w:rsid w:val="003859AD"/>
    <w:rsid w:val="003A0C4A"/>
    <w:rsid w:val="003A5409"/>
    <w:rsid w:val="003C77B8"/>
    <w:rsid w:val="003E0AD6"/>
    <w:rsid w:val="003E0D2D"/>
    <w:rsid w:val="003E404F"/>
    <w:rsid w:val="00406023"/>
    <w:rsid w:val="00410AC7"/>
    <w:rsid w:val="00410FAF"/>
    <w:rsid w:val="00414051"/>
    <w:rsid w:val="00415DE9"/>
    <w:rsid w:val="00416513"/>
    <w:rsid w:val="00425D18"/>
    <w:rsid w:val="00430859"/>
    <w:rsid w:val="004379A5"/>
    <w:rsid w:val="00437D5F"/>
    <w:rsid w:val="004504D5"/>
    <w:rsid w:val="0046085D"/>
    <w:rsid w:val="00493781"/>
    <w:rsid w:val="004A1AAA"/>
    <w:rsid w:val="004A4C18"/>
    <w:rsid w:val="004A71FF"/>
    <w:rsid w:val="004D128F"/>
    <w:rsid w:val="004D5EEA"/>
    <w:rsid w:val="004F3BE0"/>
    <w:rsid w:val="005100D5"/>
    <w:rsid w:val="0051584D"/>
    <w:rsid w:val="00523277"/>
    <w:rsid w:val="00524EA9"/>
    <w:rsid w:val="00525E2C"/>
    <w:rsid w:val="00527817"/>
    <w:rsid w:val="00535743"/>
    <w:rsid w:val="00537FE7"/>
    <w:rsid w:val="005568CA"/>
    <w:rsid w:val="00564BFD"/>
    <w:rsid w:val="00566D9C"/>
    <w:rsid w:val="00574A02"/>
    <w:rsid w:val="00577D95"/>
    <w:rsid w:val="00581E96"/>
    <w:rsid w:val="005852B2"/>
    <w:rsid w:val="0058671B"/>
    <w:rsid w:val="0059609D"/>
    <w:rsid w:val="005B0DFD"/>
    <w:rsid w:val="005B207C"/>
    <w:rsid w:val="005E6FA2"/>
    <w:rsid w:val="005F3531"/>
    <w:rsid w:val="00624373"/>
    <w:rsid w:val="00636135"/>
    <w:rsid w:val="006363BB"/>
    <w:rsid w:val="00647BC4"/>
    <w:rsid w:val="00650F6D"/>
    <w:rsid w:val="006511D6"/>
    <w:rsid w:val="00654BE4"/>
    <w:rsid w:val="006648BE"/>
    <w:rsid w:val="00681D81"/>
    <w:rsid w:val="00693454"/>
    <w:rsid w:val="00693548"/>
    <w:rsid w:val="006958E7"/>
    <w:rsid w:val="006A57AF"/>
    <w:rsid w:val="006B13F0"/>
    <w:rsid w:val="006D3827"/>
    <w:rsid w:val="006E118F"/>
    <w:rsid w:val="006E146A"/>
    <w:rsid w:val="006F1F30"/>
    <w:rsid w:val="00711642"/>
    <w:rsid w:val="007134AE"/>
    <w:rsid w:val="00715490"/>
    <w:rsid w:val="00715D37"/>
    <w:rsid w:val="00717DC6"/>
    <w:rsid w:val="007211FC"/>
    <w:rsid w:val="00751C0F"/>
    <w:rsid w:val="00755D40"/>
    <w:rsid w:val="007573E3"/>
    <w:rsid w:val="00761F8B"/>
    <w:rsid w:val="007714FD"/>
    <w:rsid w:val="0077265A"/>
    <w:rsid w:val="00777798"/>
    <w:rsid w:val="0078154A"/>
    <w:rsid w:val="00783717"/>
    <w:rsid w:val="007C6051"/>
    <w:rsid w:val="007C7834"/>
    <w:rsid w:val="007D545A"/>
    <w:rsid w:val="007D601C"/>
    <w:rsid w:val="00800DA4"/>
    <w:rsid w:val="00814D8E"/>
    <w:rsid w:val="0081533B"/>
    <w:rsid w:val="00833EFF"/>
    <w:rsid w:val="00846985"/>
    <w:rsid w:val="00853F19"/>
    <w:rsid w:val="00857D5D"/>
    <w:rsid w:val="00874988"/>
    <w:rsid w:val="00874B38"/>
    <w:rsid w:val="00880C5B"/>
    <w:rsid w:val="00887D51"/>
    <w:rsid w:val="00891290"/>
    <w:rsid w:val="00891410"/>
    <w:rsid w:val="008C17CD"/>
    <w:rsid w:val="008C587E"/>
    <w:rsid w:val="008E1433"/>
    <w:rsid w:val="008E3926"/>
    <w:rsid w:val="008E7852"/>
    <w:rsid w:val="008F7BB2"/>
    <w:rsid w:val="00910710"/>
    <w:rsid w:val="00916554"/>
    <w:rsid w:val="0091761C"/>
    <w:rsid w:val="009407F5"/>
    <w:rsid w:val="00950AF4"/>
    <w:rsid w:val="00952235"/>
    <w:rsid w:val="00961AAF"/>
    <w:rsid w:val="0096692E"/>
    <w:rsid w:val="009910C8"/>
    <w:rsid w:val="00997C25"/>
    <w:rsid w:val="009A2E44"/>
    <w:rsid w:val="009A7FB1"/>
    <w:rsid w:val="009D04FE"/>
    <w:rsid w:val="009E6C35"/>
    <w:rsid w:val="009E754B"/>
    <w:rsid w:val="009E7CBF"/>
    <w:rsid w:val="00A0420C"/>
    <w:rsid w:val="00A15FA8"/>
    <w:rsid w:val="00A17202"/>
    <w:rsid w:val="00A2143B"/>
    <w:rsid w:val="00A243AA"/>
    <w:rsid w:val="00A3384C"/>
    <w:rsid w:val="00A36CF5"/>
    <w:rsid w:val="00A7079C"/>
    <w:rsid w:val="00A73089"/>
    <w:rsid w:val="00A90DC6"/>
    <w:rsid w:val="00AA083C"/>
    <w:rsid w:val="00AB76C3"/>
    <w:rsid w:val="00AB7D63"/>
    <w:rsid w:val="00AC623E"/>
    <w:rsid w:val="00AD21FC"/>
    <w:rsid w:val="00AD3DB4"/>
    <w:rsid w:val="00AD5870"/>
    <w:rsid w:val="00AE05B9"/>
    <w:rsid w:val="00AE3D44"/>
    <w:rsid w:val="00AF16CF"/>
    <w:rsid w:val="00B01B27"/>
    <w:rsid w:val="00B02349"/>
    <w:rsid w:val="00B03AD3"/>
    <w:rsid w:val="00B157AE"/>
    <w:rsid w:val="00B41810"/>
    <w:rsid w:val="00B5475F"/>
    <w:rsid w:val="00B71A11"/>
    <w:rsid w:val="00B77A86"/>
    <w:rsid w:val="00B80E72"/>
    <w:rsid w:val="00B8133E"/>
    <w:rsid w:val="00B84D31"/>
    <w:rsid w:val="00B86EB2"/>
    <w:rsid w:val="00B906E9"/>
    <w:rsid w:val="00B97CD2"/>
    <w:rsid w:val="00BA1317"/>
    <w:rsid w:val="00BA3F4C"/>
    <w:rsid w:val="00BB0D0B"/>
    <w:rsid w:val="00BB5DCD"/>
    <w:rsid w:val="00BC2D51"/>
    <w:rsid w:val="00BE48AF"/>
    <w:rsid w:val="00BF7A18"/>
    <w:rsid w:val="00C01C97"/>
    <w:rsid w:val="00C03527"/>
    <w:rsid w:val="00C03A13"/>
    <w:rsid w:val="00C2336E"/>
    <w:rsid w:val="00C46930"/>
    <w:rsid w:val="00C67037"/>
    <w:rsid w:val="00C744B2"/>
    <w:rsid w:val="00C96BDD"/>
    <w:rsid w:val="00CA5D79"/>
    <w:rsid w:val="00CA6B2B"/>
    <w:rsid w:val="00CB093D"/>
    <w:rsid w:val="00CC1E79"/>
    <w:rsid w:val="00CD09FB"/>
    <w:rsid w:val="00CF0A89"/>
    <w:rsid w:val="00CF6C9E"/>
    <w:rsid w:val="00D02410"/>
    <w:rsid w:val="00D05053"/>
    <w:rsid w:val="00D05845"/>
    <w:rsid w:val="00D32C3D"/>
    <w:rsid w:val="00D33013"/>
    <w:rsid w:val="00D431C2"/>
    <w:rsid w:val="00D43B83"/>
    <w:rsid w:val="00D73AA4"/>
    <w:rsid w:val="00D9065A"/>
    <w:rsid w:val="00DA2CEC"/>
    <w:rsid w:val="00DA4635"/>
    <w:rsid w:val="00DA5061"/>
    <w:rsid w:val="00DA783E"/>
    <w:rsid w:val="00DD366B"/>
    <w:rsid w:val="00E17947"/>
    <w:rsid w:val="00E201F9"/>
    <w:rsid w:val="00E210F6"/>
    <w:rsid w:val="00E2207C"/>
    <w:rsid w:val="00E52B47"/>
    <w:rsid w:val="00E55CA9"/>
    <w:rsid w:val="00E569C7"/>
    <w:rsid w:val="00E62715"/>
    <w:rsid w:val="00E74551"/>
    <w:rsid w:val="00E77DC1"/>
    <w:rsid w:val="00E95AA9"/>
    <w:rsid w:val="00EA7BDE"/>
    <w:rsid w:val="00ED18F1"/>
    <w:rsid w:val="00ED506B"/>
    <w:rsid w:val="00F075BD"/>
    <w:rsid w:val="00F10DFF"/>
    <w:rsid w:val="00F21D37"/>
    <w:rsid w:val="00F220FC"/>
    <w:rsid w:val="00F224E3"/>
    <w:rsid w:val="00F22AD4"/>
    <w:rsid w:val="00F240DA"/>
    <w:rsid w:val="00F25756"/>
    <w:rsid w:val="00F37997"/>
    <w:rsid w:val="00F44AAF"/>
    <w:rsid w:val="00F46613"/>
    <w:rsid w:val="00F54765"/>
    <w:rsid w:val="00F578B3"/>
    <w:rsid w:val="00F71097"/>
    <w:rsid w:val="00F85303"/>
    <w:rsid w:val="00F86D2B"/>
    <w:rsid w:val="00F90F6B"/>
    <w:rsid w:val="00F947AC"/>
    <w:rsid w:val="00F95D8D"/>
    <w:rsid w:val="00F967DF"/>
    <w:rsid w:val="00F96A72"/>
    <w:rsid w:val="00FE17B9"/>
    <w:rsid w:val="00FE5320"/>
    <w:rsid w:val="00FE78CB"/>
    <w:rsid w:val="00FF7303"/>
    <w:rsid w:val="0A6BE34F"/>
    <w:rsid w:val="0CDE3617"/>
    <w:rsid w:val="1089B420"/>
    <w:rsid w:val="2407BBC1"/>
    <w:rsid w:val="2735D321"/>
    <w:rsid w:val="4D7C6706"/>
    <w:rsid w:val="52521B09"/>
    <w:rsid w:val="5770E9BA"/>
    <w:rsid w:val="65B14D97"/>
    <w:rsid w:val="73241326"/>
    <w:rsid w:val="7AFDC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50BC5FE8-22D1-40C7-8E5B-B18EB50D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Section,Minor,level 3,Subhead B,No Indent"/>
    <w:basedOn w:val="Normal"/>
    <w:link w:val="Heading3Char"/>
    <w:qFormat/>
    <w:rsid w:val="00416513"/>
    <w:pPr>
      <w:keepNext/>
      <w:keepLines/>
      <w:spacing w:before="60" w:after="60"/>
      <w:jc w:val="both"/>
      <w:outlineLvl w:val="2"/>
    </w:pPr>
    <w:rPr>
      <w:rFonts w:ascii="Arial" w:eastAsia="Times New Roman"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ListParagraph">
    <w:name w:val="List Paragraph"/>
    <w:aliases w:val="H3,3,POCG Table Text"/>
    <w:basedOn w:val="Normal"/>
    <w:link w:val="ListParagraphChar"/>
    <w:uiPriority w:val="34"/>
    <w:qFormat/>
    <w:rsid w:val="004D5EEA"/>
    <w:pPr>
      <w:ind w:left="720"/>
      <w:contextualSpacing/>
    </w:pPr>
  </w:style>
  <w:style w:type="character" w:customStyle="1" w:styleId="ListParagraphChar">
    <w:name w:val="List Paragraph Char"/>
    <w:aliases w:val="H3 Char,3 Char,POCG Table Text Char"/>
    <w:basedOn w:val="DefaultParagraphFont"/>
    <w:link w:val="ListParagraph"/>
    <w:uiPriority w:val="34"/>
    <w:rsid w:val="00F46613"/>
  </w:style>
  <w:style w:type="character" w:styleId="CommentReference">
    <w:name w:val="annotation reference"/>
    <w:basedOn w:val="DefaultParagraphFont"/>
    <w:uiPriority w:val="99"/>
    <w:semiHidden/>
    <w:unhideWhenUsed/>
    <w:rsid w:val="00B71A11"/>
    <w:rPr>
      <w:sz w:val="16"/>
      <w:szCs w:val="16"/>
    </w:rPr>
  </w:style>
  <w:style w:type="paragraph" w:styleId="CommentText">
    <w:name w:val="annotation text"/>
    <w:basedOn w:val="Normal"/>
    <w:link w:val="CommentTextChar"/>
    <w:uiPriority w:val="99"/>
    <w:unhideWhenUsed/>
    <w:rsid w:val="00B71A11"/>
    <w:rPr>
      <w:sz w:val="20"/>
      <w:szCs w:val="20"/>
    </w:rPr>
  </w:style>
  <w:style w:type="character" w:customStyle="1" w:styleId="CommentTextChar">
    <w:name w:val="Comment Text Char"/>
    <w:basedOn w:val="DefaultParagraphFont"/>
    <w:link w:val="CommentText"/>
    <w:uiPriority w:val="99"/>
    <w:rsid w:val="00B71A11"/>
    <w:rPr>
      <w:sz w:val="20"/>
      <w:szCs w:val="20"/>
    </w:rPr>
  </w:style>
  <w:style w:type="paragraph" w:styleId="CommentSubject">
    <w:name w:val="annotation subject"/>
    <w:basedOn w:val="CommentText"/>
    <w:next w:val="CommentText"/>
    <w:link w:val="CommentSubjectChar"/>
    <w:uiPriority w:val="99"/>
    <w:semiHidden/>
    <w:unhideWhenUsed/>
    <w:rsid w:val="00B71A11"/>
    <w:rPr>
      <w:b/>
      <w:bCs/>
    </w:rPr>
  </w:style>
  <w:style w:type="character" w:customStyle="1" w:styleId="CommentSubjectChar">
    <w:name w:val="Comment Subject Char"/>
    <w:basedOn w:val="CommentTextChar"/>
    <w:link w:val="CommentSubject"/>
    <w:uiPriority w:val="99"/>
    <w:semiHidden/>
    <w:rsid w:val="00B71A11"/>
    <w:rPr>
      <w:b/>
      <w:bCs/>
      <w:sz w:val="20"/>
      <w:szCs w:val="20"/>
    </w:rPr>
  </w:style>
  <w:style w:type="character" w:styleId="Mention">
    <w:name w:val="Mention"/>
    <w:basedOn w:val="DefaultParagraphFont"/>
    <w:uiPriority w:val="99"/>
    <w:unhideWhenUsed/>
    <w:rsid w:val="00B71A11"/>
    <w:rPr>
      <w:color w:val="2B579A"/>
      <w:shd w:val="clear" w:color="auto" w:fill="E1DFDD"/>
    </w:rPr>
  </w:style>
  <w:style w:type="character" w:styleId="UnresolvedMention">
    <w:name w:val="Unresolved Mention"/>
    <w:basedOn w:val="DefaultParagraphFont"/>
    <w:uiPriority w:val="99"/>
    <w:semiHidden/>
    <w:unhideWhenUsed/>
    <w:rsid w:val="00564BFD"/>
    <w:rPr>
      <w:color w:val="605E5C"/>
      <w:shd w:val="clear" w:color="auto" w:fill="E1DFDD"/>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DA783E"/>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DA783E"/>
    <w:rPr>
      <w:rFonts w:ascii="Arial" w:eastAsia="Times New Roman" w:hAnsi="Arial" w:cs="Arial"/>
      <w:sz w:val="20"/>
      <w:szCs w:val="20"/>
    </w:rPr>
  </w:style>
  <w:style w:type="character" w:styleId="FootnoteReference">
    <w:name w:val="footnote reference"/>
    <w:aliases w:val="0 PIER Footnote Reference,o,fr,Style 3,o1,o2,o3,o4,o5,o6,o11,o21,o7,o + Times New Roman"/>
    <w:uiPriority w:val="99"/>
    <w:qFormat/>
    <w:rsid w:val="00DA783E"/>
    <w:rPr>
      <w:vertAlign w:val="superscript"/>
    </w:rPr>
  </w:style>
  <w:style w:type="character" w:customStyle="1" w:styleId="Heading3Char">
    <w:name w:val="Heading 3 Char"/>
    <w:aliases w:val="Section Char,Minor Char,level 3 Char,Subhead B Char,No Indent Char"/>
    <w:basedOn w:val="DefaultParagraphFont"/>
    <w:link w:val="Heading3"/>
    <w:rsid w:val="00416513"/>
    <w:rPr>
      <w:rFonts w:ascii="Arial" w:eastAsia="Times New Roman" w:hAnsi="Arial"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5172">
      <w:bodyDiv w:val="1"/>
      <w:marLeft w:val="0"/>
      <w:marRight w:val="0"/>
      <w:marTop w:val="0"/>
      <w:marBottom w:val="0"/>
      <w:divBdr>
        <w:top w:val="none" w:sz="0" w:space="0" w:color="auto"/>
        <w:left w:val="none" w:sz="0" w:space="0" w:color="auto"/>
        <w:bottom w:val="none" w:sz="0" w:space="0" w:color="auto"/>
        <w:right w:val="none" w:sz="0" w:space="0" w:color="auto"/>
      </w:divBdr>
    </w:div>
    <w:div w:id="740904946">
      <w:bodyDiv w:val="1"/>
      <w:marLeft w:val="0"/>
      <w:marRight w:val="0"/>
      <w:marTop w:val="0"/>
      <w:marBottom w:val="0"/>
      <w:divBdr>
        <w:top w:val="none" w:sz="0" w:space="0" w:color="auto"/>
        <w:left w:val="none" w:sz="0" w:space="0" w:color="auto"/>
        <w:bottom w:val="none" w:sz="0" w:space="0" w:color="auto"/>
        <w:right w:val="none" w:sz="0" w:space="0" w:color="auto"/>
      </w:divBdr>
    </w:div>
    <w:div w:id="1182627741">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3.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4FA68530-9347-4C93-BB85-95022AAB4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887</Characters>
  <Application>Microsoft Office Word</Application>
  <DocSecurity>0</DocSecurity>
  <Lines>20</Lines>
  <Paragraphs>8</Paragraphs>
  <ScaleCrop>false</ScaleCrop>
  <Company>Wobschall Design</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Cover Letter</dc:title>
  <dc:subject/>
  <dc:creator>Bailey Wobschall</dc:creator>
  <cp:keywords/>
  <dc:description/>
  <cp:lastModifiedBy>Dyer, Phil@Energy</cp:lastModifiedBy>
  <cp:revision>35</cp:revision>
  <cp:lastPrinted>2019-04-08T16:38:00Z</cp:lastPrinted>
  <dcterms:created xsi:type="dcterms:W3CDTF">2023-01-26T20:38:00Z</dcterms:created>
  <dcterms:modified xsi:type="dcterms:W3CDTF">2023-02-07T16:17:00Z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