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63EDC44C"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40671C9E" w14:textId="3CE59F53" w:rsidR="000F22E6" w:rsidRDefault="00407CF7" w:rsidP="00407CF7">
      <w:pPr>
        <w:keepLines/>
        <w:widowControl w:val="0"/>
        <w:jc w:val="center"/>
        <w:rPr>
          <w:b/>
          <w:sz w:val="36"/>
        </w:rPr>
      </w:pPr>
      <w:bookmarkStart w:id="0" w:name="_Hlk120798672"/>
      <w:bookmarkStart w:id="1" w:name="_Hlk127960077"/>
      <w:r w:rsidRPr="00407CF7">
        <w:rPr>
          <w:b/>
          <w:sz w:val="36"/>
          <w:szCs w:val="36"/>
        </w:rPr>
        <w:t xml:space="preserve">Advanced </w:t>
      </w:r>
      <w:proofErr w:type="gramStart"/>
      <w:r w:rsidRPr="00407CF7">
        <w:rPr>
          <w:b/>
          <w:sz w:val="36"/>
          <w:szCs w:val="36"/>
        </w:rPr>
        <w:t>Pre-Fabricated</w:t>
      </w:r>
      <w:proofErr w:type="gramEnd"/>
      <w:r w:rsidRPr="00407CF7">
        <w:rPr>
          <w:b/>
          <w:sz w:val="36"/>
          <w:szCs w:val="36"/>
        </w:rPr>
        <w:t xml:space="preserve"> Zero Carbon Homes</w:t>
      </w:r>
      <w:bookmarkEnd w:id="0"/>
    </w:p>
    <w:bookmarkEnd w:id="1"/>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1B8DD7C2" w:rsidR="005A2DF5" w:rsidRPr="005A2DF5" w:rsidRDefault="005A2DF5" w:rsidP="005A2DF5">
      <w:pPr>
        <w:keepLines/>
        <w:widowControl w:val="0"/>
        <w:jc w:val="center"/>
        <w:rPr>
          <w:b/>
          <w:sz w:val="24"/>
        </w:rPr>
      </w:pPr>
      <w:r w:rsidRPr="005A2DF5">
        <w:rPr>
          <w:b/>
          <w:sz w:val="24"/>
          <w:szCs w:val="22"/>
        </w:rPr>
        <w:t>GFO</w:t>
      </w:r>
      <w:r w:rsidRPr="005A2DF5">
        <w:rPr>
          <w:b/>
          <w:color w:val="0070C0"/>
          <w:sz w:val="24"/>
          <w:szCs w:val="22"/>
        </w:rPr>
        <w:t>-</w:t>
      </w:r>
      <w:r w:rsidR="00EA4F93" w:rsidRPr="00A92F73">
        <w:rPr>
          <w:b/>
          <w:sz w:val="24"/>
          <w:szCs w:val="22"/>
        </w:rPr>
        <w:t>22-305</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4C9A1444" w14:textId="77777777" w:rsidR="005A2DF5" w:rsidRDefault="005F25AC" w:rsidP="00E647C3">
      <w:pPr>
        <w:keepLines/>
        <w:widowControl w:val="0"/>
        <w:tabs>
          <w:tab w:val="left" w:pos="1440"/>
        </w:tabs>
        <w:jc w:val="center"/>
      </w:pPr>
      <w:r>
        <w:t>[</w:t>
      </w:r>
      <w:r w:rsidR="00443307" w:rsidRPr="005F25AC">
        <w:rPr>
          <w:strike/>
        </w:rPr>
        <w:t>January</w:t>
      </w:r>
      <w:r>
        <w:t>]</w:t>
      </w:r>
      <w:r w:rsidR="00443307" w:rsidRPr="000062D2">
        <w:t xml:space="preserve"> </w:t>
      </w:r>
      <w:r w:rsidRPr="005F25AC">
        <w:rPr>
          <w:b/>
          <w:bCs/>
          <w:u w:val="single"/>
        </w:rPr>
        <w:t>March</w:t>
      </w:r>
      <w:r>
        <w:t xml:space="preserve"> </w:t>
      </w:r>
      <w:r w:rsidR="000062D2" w:rsidRPr="005F25AC">
        <w:t>202</w:t>
      </w:r>
      <w:r w:rsidR="00443307" w:rsidRPr="005F25AC">
        <w:t>3</w:t>
      </w:r>
    </w:p>
    <w:p w14:paraId="3254DE2A" w14:textId="35244F56" w:rsidR="00E647C3" w:rsidRDefault="00E647C3" w:rsidP="00E647C3">
      <w:pPr>
        <w:keepLines/>
        <w:widowControl w:val="0"/>
        <w:tabs>
          <w:tab w:val="left" w:pos="1440"/>
        </w:tabs>
        <w:jc w:val="center"/>
      </w:pPr>
    </w:p>
    <w:p w14:paraId="4D045422" w14:textId="166102BD" w:rsidR="00724DCE" w:rsidRDefault="00724DCE" w:rsidP="00E647C3">
      <w:pPr>
        <w:keepLines/>
        <w:widowControl w:val="0"/>
        <w:tabs>
          <w:tab w:val="left" w:pos="1440"/>
        </w:tabs>
        <w:jc w:val="center"/>
      </w:pPr>
      <w:r w:rsidRPr="00724DCE">
        <w:t xml:space="preserve">Note: Added language appears in </w:t>
      </w:r>
      <w:r w:rsidRPr="00724DCE">
        <w:rPr>
          <w:b/>
          <w:bCs/>
          <w:u w:val="single"/>
        </w:rPr>
        <w:t>bold underline</w:t>
      </w:r>
      <w:r w:rsidRPr="00724DCE">
        <w:t xml:space="preserve">, and deleted language appears in </w:t>
      </w:r>
      <w:r w:rsidR="00AA3337">
        <w:t>[</w:t>
      </w:r>
      <w:r w:rsidRPr="00AA3337">
        <w:rPr>
          <w:strike/>
        </w:rPr>
        <w:t>strikethrough</w:t>
      </w:r>
      <w:r w:rsidR="00AA3337">
        <w:t>]</w:t>
      </w:r>
      <w:r w:rsidRPr="00724DCE">
        <w:t xml:space="preserve"> and within square brackets.</w:t>
      </w:r>
    </w:p>
    <w:p w14:paraId="696C4914" w14:textId="66265DEF" w:rsidR="00E647C3" w:rsidRPr="00E647C3" w:rsidRDefault="00E647C3" w:rsidP="00E647C3">
      <w:pPr>
        <w:keepLines/>
        <w:widowControl w:val="0"/>
        <w:tabs>
          <w:tab w:val="left" w:pos="1440"/>
        </w:tabs>
        <w:jc w:val="center"/>
        <w:sectPr w:rsidR="00E647C3" w:rsidRPr="00E647C3" w:rsidSect="00EF3F96">
          <w:type w:val="continuous"/>
          <w:pgSz w:w="12240" w:h="15840" w:code="1"/>
          <w:pgMar w:top="1440" w:right="1440" w:bottom="1440" w:left="1440" w:header="1008" w:footer="432" w:gutter="0"/>
          <w:pgNumType w:fmt="lowerRoman" w:start="1"/>
          <w:cols w:space="720"/>
        </w:sectPr>
      </w:pPr>
      <w:r w:rsidRPr="00E647C3">
        <w:t>.</w:t>
      </w: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9F6D930" w14:textId="492D91E6" w:rsidR="00BE3C58" w:rsidRDefault="0083690A">
      <w:pPr>
        <w:pStyle w:val="TOC1"/>
        <w:rPr>
          <w:rFonts w:asciiTheme="minorHAnsi" w:eastAsiaTheme="minorEastAsia" w:hAnsiTheme="minorHAnsi" w:cstheme="minorBidi"/>
          <w:b w:val="0"/>
          <w:bCs w:val="0"/>
          <w:caps w:val="0"/>
          <w:noProof/>
          <w:sz w:val="22"/>
          <w:szCs w:val="22"/>
          <w:lang w:eastAsia="ja-JP"/>
        </w:rPr>
      </w:pPr>
      <w:r w:rsidRPr="0070672A">
        <w:rPr>
          <w:rFonts w:ascii="Arial" w:hAnsi="Arial"/>
          <w:b w:val="0"/>
          <w:bCs w:val="0"/>
          <w:caps w:val="0"/>
          <w:noProof/>
          <w:sz w:val="22"/>
          <w:szCs w:val="22"/>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BE3C58">
        <w:rPr>
          <w:noProof/>
        </w:rPr>
        <w:t>I.</w:t>
      </w:r>
      <w:r w:rsidR="00BE3C58">
        <w:rPr>
          <w:rFonts w:asciiTheme="minorHAnsi" w:eastAsiaTheme="minorEastAsia" w:hAnsiTheme="minorHAnsi" w:cstheme="minorBidi"/>
          <w:b w:val="0"/>
          <w:bCs w:val="0"/>
          <w:caps w:val="0"/>
          <w:noProof/>
          <w:sz w:val="22"/>
          <w:szCs w:val="22"/>
          <w:lang w:eastAsia="ja-JP"/>
        </w:rPr>
        <w:tab/>
      </w:r>
      <w:r w:rsidR="00BE3C58">
        <w:rPr>
          <w:noProof/>
        </w:rPr>
        <w:t>Introduction</w:t>
      </w:r>
      <w:r w:rsidR="00BE3C58">
        <w:rPr>
          <w:noProof/>
        </w:rPr>
        <w:tab/>
      </w:r>
      <w:r w:rsidR="00BE3C58">
        <w:rPr>
          <w:noProof/>
        </w:rPr>
        <w:fldChar w:fldCharType="begin"/>
      </w:r>
      <w:r w:rsidR="00BE3C58">
        <w:rPr>
          <w:noProof/>
        </w:rPr>
        <w:instrText xml:space="preserve"> PAGEREF _Toc87335011 \h </w:instrText>
      </w:r>
      <w:r w:rsidR="00BE3C58">
        <w:rPr>
          <w:noProof/>
        </w:rPr>
      </w:r>
      <w:r w:rsidR="00BE3C58">
        <w:rPr>
          <w:noProof/>
        </w:rPr>
        <w:fldChar w:fldCharType="separate"/>
      </w:r>
      <w:r w:rsidR="006A184A">
        <w:rPr>
          <w:noProof/>
        </w:rPr>
        <w:t>2</w:t>
      </w:r>
      <w:r w:rsidR="00BE3C58">
        <w:rPr>
          <w:noProof/>
        </w:rPr>
        <w:fldChar w:fldCharType="end"/>
      </w:r>
    </w:p>
    <w:p w14:paraId="1DF6D198" w14:textId="4BE3B1CF"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Purpose of Solicitation</w:t>
      </w:r>
      <w:r>
        <w:rPr>
          <w:noProof/>
        </w:rPr>
        <w:tab/>
      </w:r>
      <w:r>
        <w:rPr>
          <w:noProof/>
        </w:rPr>
        <w:fldChar w:fldCharType="begin"/>
      </w:r>
      <w:r>
        <w:rPr>
          <w:noProof/>
        </w:rPr>
        <w:instrText xml:space="preserve"> PAGEREF _Toc87335012 \h </w:instrText>
      </w:r>
      <w:r>
        <w:rPr>
          <w:noProof/>
        </w:rPr>
      </w:r>
      <w:r>
        <w:rPr>
          <w:noProof/>
        </w:rPr>
        <w:fldChar w:fldCharType="separate"/>
      </w:r>
      <w:r w:rsidR="006A184A">
        <w:rPr>
          <w:noProof/>
        </w:rPr>
        <w:t>2</w:t>
      </w:r>
      <w:r>
        <w:rPr>
          <w:noProof/>
        </w:rPr>
        <w:fldChar w:fldCharType="end"/>
      </w:r>
    </w:p>
    <w:p w14:paraId="20D36ED1" w14:textId="3EAA695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Key Words/Terms</w:t>
      </w:r>
      <w:r>
        <w:rPr>
          <w:noProof/>
        </w:rPr>
        <w:tab/>
      </w:r>
      <w:r>
        <w:rPr>
          <w:noProof/>
        </w:rPr>
        <w:fldChar w:fldCharType="begin"/>
      </w:r>
      <w:r>
        <w:rPr>
          <w:noProof/>
        </w:rPr>
        <w:instrText xml:space="preserve"> PAGEREF _Toc87335013 \h </w:instrText>
      </w:r>
      <w:r>
        <w:rPr>
          <w:noProof/>
        </w:rPr>
      </w:r>
      <w:r>
        <w:rPr>
          <w:noProof/>
        </w:rPr>
        <w:fldChar w:fldCharType="separate"/>
      </w:r>
      <w:r w:rsidR="006A184A">
        <w:rPr>
          <w:noProof/>
        </w:rPr>
        <w:t>4</w:t>
      </w:r>
      <w:r>
        <w:rPr>
          <w:noProof/>
        </w:rPr>
        <w:fldChar w:fldCharType="end"/>
      </w:r>
    </w:p>
    <w:p w14:paraId="6A4EFD0C" w14:textId="3780002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Project Focus</w:t>
      </w:r>
      <w:r>
        <w:rPr>
          <w:noProof/>
        </w:rPr>
        <w:tab/>
      </w:r>
      <w:r>
        <w:rPr>
          <w:noProof/>
        </w:rPr>
        <w:fldChar w:fldCharType="begin"/>
      </w:r>
      <w:r>
        <w:rPr>
          <w:noProof/>
        </w:rPr>
        <w:instrText xml:space="preserve"> PAGEREF _Toc87335014 \h </w:instrText>
      </w:r>
      <w:r>
        <w:rPr>
          <w:noProof/>
        </w:rPr>
      </w:r>
      <w:r>
        <w:rPr>
          <w:noProof/>
        </w:rPr>
        <w:fldChar w:fldCharType="separate"/>
      </w:r>
      <w:r w:rsidR="006A184A">
        <w:rPr>
          <w:noProof/>
        </w:rPr>
        <w:t>7</w:t>
      </w:r>
      <w:r>
        <w:rPr>
          <w:noProof/>
        </w:rPr>
        <w:fldChar w:fldCharType="end"/>
      </w:r>
    </w:p>
    <w:p w14:paraId="734EAD3E" w14:textId="5CA9BA40"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Funding</w:t>
      </w:r>
      <w:r>
        <w:rPr>
          <w:noProof/>
        </w:rPr>
        <w:tab/>
      </w:r>
      <w:r>
        <w:rPr>
          <w:noProof/>
        </w:rPr>
        <w:fldChar w:fldCharType="begin"/>
      </w:r>
      <w:r>
        <w:rPr>
          <w:noProof/>
        </w:rPr>
        <w:instrText xml:space="preserve"> PAGEREF _Toc87335015 \h </w:instrText>
      </w:r>
      <w:r>
        <w:rPr>
          <w:noProof/>
        </w:rPr>
      </w:r>
      <w:r>
        <w:rPr>
          <w:noProof/>
        </w:rPr>
        <w:fldChar w:fldCharType="separate"/>
      </w:r>
      <w:r w:rsidR="006A184A">
        <w:rPr>
          <w:noProof/>
        </w:rPr>
        <w:t>11</w:t>
      </w:r>
      <w:r>
        <w:rPr>
          <w:noProof/>
        </w:rPr>
        <w:fldChar w:fldCharType="end"/>
      </w:r>
    </w:p>
    <w:p w14:paraId="2C591557" w14:textId="20EDA8D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Key Activities Schedule</w:t>
      </w:r>
      <w:r>
        <w:rPr>
          <w:noProof/>
        </w:rPr>
        <w:tab/>
      </w:r>
      <w:r>
        <w:rPr>
          <w:noProof/>
        </w:rPr>
        <w:fldChar w:fldCharType="begin"/>
      </w:r>
      <w:r>
        <w:rPr>
          <w:noProof/>
        </w:rPr>
        <w:instrText xml:space="preserve"> PAGEREF _Toc87335016 \h </w:instrText>
      </w:r>
      <w:r>
        <w:rPr>
          <w:noProof/>
        </w:rPr>
      </w:r>
      <w:r>
        <w:rPr>
          <w:noProof/>
        </w:rPr>
        <w:fldChar w:fldCharType="separate"/>
      </w:r>
      <w:r w:rsidR="006A184A">
        <w:rPr>
          <w:noProof/>
        </w:rPr>
        <w:t>12</w:t>
      </w:r>
      <w:r>
        <w:rPr>
          <w:noProof/>
        </w:rPr>
        <w:fldChar w:fldCharType="end"/>
      </w:r>
    </w:p>
    <w:p w14:paraId="70948125" w14:textId="60029176"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Notice of Pre-Application Workshop</w:t>
      </w:r>
      <w:r>
        <w:rPr>
          <w:noProof/>
        </w:rPr>
        <w:tab/>
      </w:r>
      <w:r>
        <w:rPr>
          <w:noProof/>
        </w:rPr>
        <w:fldChar w:fldCharType="begin"/>
      </w:r>
      <w:r>
        <w:rPr>
          <w:noProof/>
        </w:rPr>
        <w:instrText xml:space="preserve"> PAGEREF _Toc87335017 \h </w:instrText>
      </w:r>
      <w:r>
        <w:rPr>
          <w:noProof/>
        </w:rPr>
      </w:r>
      <w:r>
        <w:rPr>
          <w:noProof/>
        </w:rPr>
        <w:fldChar w:fldCharType="separate"/>
      </w:r>
      <w:r w:rsidR="006A184A">
        <w:rPr>
          <w:noProof/>
        </w:rPr>
        <w:t>12</w:t>
      </w:r>
      <w:r>
        <w:rPr>
          <w:noProof/>
        </w:rPr>
        <w:fldChar w:fldCharType="end"/>
      </w:r>
    </w:p>
    <w:p w14:paraId="0C2B60C8" w14:textId="781ABD66"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G.</w:t>
      </w:r>
      <w:r>
        <w:rPr>
          <w:rFonts w:asciiTheme="minorHAnsi" w:eastAsiaTheme="minorEastAsia" w:hAnsiTheme="minorHAnsi" w:cstheme="minorBidi"/>
          <w:smallCaps w:val="0"/>
          <w:noProof/>
          <w:sz w:val="22"/>
          <w:szCs w:val="22"/>
          <w:lang w:eastAsia="ja-JP"/>
        </w:rPr>
        <w:tab/>
      </w:r>
      <w:r>
        <w:rPr>
          <w:noProof/>
        </w:rPr>
        <w:t>Questions</w:t>
      </w:r>
      <w:r>
        <w:rPr>
          <w:noProof/>
        </w:rPr>
        <w:tab/>
      </w:r>
      <w:r>
        <w:rPr>
          <w:noProof/>
        </w:rPr>
        <w:fldChar w:fldCharType="begin"/>
      </w:r>
      <w:r>
        <w:rPr>
          <w:noProof/>
        </w:rPr>
        <w:instrText xml:space="preserve"> PAGEREF _Toc87335018 \h </w:instrText>
      </w:r>
      <w:r>
        <w:rPr>
          <w:noProof/>
        </w:rPr>
      </w:r>
      <w:r>
        <w:rPr>
          <w:noProof/>
        </w:rPr>
        <w:fldChar w:fldCharType="separate"/>
      </w:r>
      <w:r w:rsidR="006A184A">
        <w:rPr>
          <w:noProof/>
        </w:rPr>
        <w:t>13</w:t>
      </w:r>
      <w:r>
        <w:rPr>
          <w:noProof/>
        </w:rPr>
        <w:fldChar w:fldCharType="end"/>
      </w:r>
    </w:p>
    <w:p w14:paraId="772C8157" w14:textId="346A2358"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w:t>
      </w:r>
      <w:r>
        <w:rPr>
          <w:rFonts w:asciiTheme="minorHAnsi" w:eastAsiaTheme="minorEastAsia" w:hAnsiTheme="minorHAnsi" w:cstheme="minorBidi"/>
          <w:b w:val="0"/>
          <w:bCs w:val="0"/>
          <w:caps w:val="0"/>
          <w:noProof/>
          <w:sz w:val="22"/>
          <w:szCs w:val="22"/>
          <w:lang w:eastAsia="ja-JP"/>
        </w:rPr>
        <w:tab/>
      </w:r>
      <w:r>
        <w:rPr>
          <w:noProof/>
        </w:rPr>
        <w:t>Eligibility Requirements</w:t>
      </w:r>
      <w:r>
        <w:rPr>
          <w:noProof/>
        </w:rPr>
        <w:tab/>
      </w:r>
      <w:r>
        <w:rPr>
          <w:noProof/>
        </w:rPr>
        <w:fldChar w:fldCharType="begin"/>
      </w:r>
      <w:r>
        <w:rPr>
          <w:noProof/>
        </w:rPr>
        <w:instrText xml:space="preserve"> PAGEREF _Toc87335019 \h </w:instrText>
      </w:r>
      <w:r>
        <w:rPr>
          <w:noProof/>
        </w:rPr>
      </w:r>
      <w:r>
        <w:rPr>
          <w:noProof/>
        </w:rPr>
        <w:fldChar w:fldCharType="separate"/>
      </w:r>
      <w:r w:rsidR="006A184A">
        <w:rPr>
          <w:noProof/>
        </w:rPr>
        <w:t>23</w:t>
      </w:r>
      <w:r>
        <w:rPr>
          <w:noProof/>
        </w:rPr>
        <w:fldChar w:fldCharType="end"/>
      </w:r>
    </w:p>
    <w:p w14:paraId="016AD8A7" w14:textId="72292B1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Applicant Requirements</w:t>
      </w:r>
      <w:r>
        <w:rPr>
          <w:noProof/>
        </w:rPr>
        <w:tab/>
      </w:r>
      <w:r>
        <w:rPr>
          <w:noProof/>
        </w:rPr>
        <w:fldChar w:fldCharType="begin"/>
      </w:r>
      <w:r>
        <w:rPr>
          <w:noProof/>
        </w:rPr>
        <w:instrText xml:space="preserve"> PAGEREF _Toc87335020 \h </w:instrText>
      </w:r>
      <w:r>
        <w:rPr>
          <w:noProof/>
        </w:rPr>
      </w:r>
      <w:r>
        <w:rPr>
          <w:noProof/>
        </w:rPr>
        <w:fldChar w:fldCharType="separate"/>
      </w:r>
      <w:r w:rsidR="006A184A">
        <w:rPr>
          <w:noProof/>
        </w:rPr>
        <w:t>23</w:t>
      </w:r>
      <w:r>
        <w:rPr>
          <w:noProof/>
        </w:rPr>
        <w:fldChar w:fldCharType="end"/>
      </w:r>
    </w:p>
    <w:p w14:paraId="7B061D76" w14:textId="09D23A19"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Project Requirements</w:t>
      </w:r>
      <w:r>
        <w:rPr>
          <w:noProof/>
        </w:rPr>
        <w:tab/>
      </w:r>
      <w:r>
        <w:rPr>
          <w:noProof/>
        </w:rPr>
        <w:fldChar w:fldCharType="begin"/>
      </w:r>
      <w:r>
        <w:rPr>
          <w:noProof/>
        </w:rPr>
        <w:instrText xml:space="preserve"> PAGEREF _Toc87335021 \h </w:instrText>
      </w:r>
      <w:r>
        <w:rPr>
          <w:noProof/>
        </w:rPr>
      </w:r>
      <w:r>
        <w:rPr>
          <w:noProof/>
        </w:rPr>
        <w:fldChar w:fldCharType="separate"/>
      </w:r>
      <w:r w:rsidR="006A184A">
        <w:rPr>
          <w:noProof/>
        </w:rPr>
        <w:t>25</w:t>
      </w:r>
      <w:r>
        <w:rPr>
          <w:noProof/>
        </w:rPr>
        <w:fldChar w:fldCharType="end"/>
      </w:r>
    </w:p>
    <w:p w14:paraId="34A52ACF" w14:textId="13844121"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III.</w:t>
      </w:r>
      <w:r>
        <w:rPr>
          <w:rFonts w:asciiTheme="minorHAnsi" w:eastAsiaTheme="minorEastAsia" w:hAnsiTheme="minorHAnsi" w:cstheme="minorBidi"/>
          <w:b w:val="0"/>
          <w:bCs w:val="0"/>
          <w:caps w:val="0"/>
          <w:noProof/>
          <w:sz w:val="22"/>
          <w:szCs w:val="22"/>
          <w:lang w:eastAsia="ja-JP"/>
        </w:rPr>
        <w:tab/>
      </w:r>
      <w:r>
        <w:rPr>
          <w:noProof/>
        </w:rPr>
        <w:t>Application Organization and Submission Instructions</w:t>
      </w:r>
      <w:r>
        <w:rPr>
          <w:noProof/>
        </w:rPr>
        <w:tab/>
      </w:r>
      <w:r>
        <w:rPr>
          <w:noProof/>
        </w:rPr>
        <w:fldChar w:fldCharType="begin"/>
      </w:r>
      <w:r>
        <w:rPr>
          <w:noProof/>
        </w:rPr>
        <w:instrText xml:space="preserve"> PAGEREF _Toc87335022 \h </w:instrText>
      </w:r>
      <w:r>
        <w:rPr>
          <w:noProof/>
        </w:rPr>
      </w:r>
      <w:r>
        <w:rPr>
          <w:noProof/>
        </w:rPr>
        <w:fldChar w:fldCharType="separate"/>
      </w:r>
      <w:r w:rsidR="006A184A">
        <w:rPr>
          <w:noProof/>
        </w:rPr>
        <w:t>27</w:t>
      </w:r>
      <w:r>
        <w:rPr>
          <w:noProof/>
        </w:rPr>
        <w:fldChar w:fldCharType="end"/>
      </w:r>
    </w:p>
    <w:p w14:paraId="3F681EA4" w14:textId="0874576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Format, Page Limits, and Number of Copies</w:t>
      </w:r>
      <w:r>
        <w:rPr>
          <w:noProof/>
        </w:rPr>
        <w:tab/>
      </w:r>
      <w:r>
        <w:rPr>
          <w:noProof/>
        </w:rPr>
        <w:fldChar w:fldCharType="begin"/>
      </w:r>
      <w:r>
        <w:rPr>
          <w:noProof/>
        </w:rPr>
        <w:instrText xml:space="preserve"> PAGEREF _Toc87335023 \h </w:instrText>
      </w:r>
      <w:r>
        <w:rPr>
          <w:noProof/>
        </w:rPr>
      </w:r>
      <w:r>
        <w:rPr>
          <w:noProof/>
        </w:rPr>
        <w:fldChar w:fldCharType="separate"/>
      </w:r>
      <w:r w:rsidR="006A184A">
        <w:rPr>
          <w:noProof/>
        </w:rPr>
        <w:t>27</w:t>
      </w:r>
      <w:r>
        <w:rPr>
          <w:noProof/>
        </w:rPr>
        <w:fldChar w:fldCharType="end"/>
      </w:r>
    </w:p>
    <w:p w14:paraId="186C5272" w14:textId="03B0110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Method For Delivery</w:t>
      </w:r>
      <w:r>
        <w:rPr>
          <w:noProof/>
        </w:rPr>
        <w:tab/>
      </w:r>
      <w:r>
        <w:rPr>
          <w:noProof/>
        </w:rPr>
        <w:fldChar w:fldCharType="begin"/>
      </w:r>
      <w:r>
        <w:rPr>
          <w:noProof/>
        </w:rPr>
        <w:instrText xml:space="preserve"> PAGEREF _Toc87335024 \h </w:instrText>
      </w:r>
      <w:r>
        <w:rPr>
          <w:noProof/>
        </w:rPr>
      </w:r>
      <w:r>
        <w:rPr>
          <w:noProof/>
        </w:rPr>
        <w:fldChar w:fldCharType="separate"/>
      </w:r>
      <w:r w:rsidR="006A184A">
        <w:rPr>
          <w:noProof/>
        </w:rPr>
        <w:t>27</w:t>
      </w:r>
      <w:r>
        <w:rPr>
          <w:noProof/>
        </w:rPr>
        <w:fldChar w:fldCharType="end"/>
      </w:r>
    </w:p>
    <w:p w14:paraId="0EA3A33A" w14:textId="7A0EA60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Application Content</w:t>
      </w:r>
      <w:r>
        <w:rPr>
          <w:noProof/>
        </w:rPr>
        <w:tab/>
      </w:r>
      <w:r>
        <w:rPr>
          <w:noProof/>
        </w:rPr>
        <w:fldChar w:fldCharType="begin"/>
      </w:r>
      <w:r>
        <w:rPr>
          <w:noProof/>
        </w:rPr>
        <w:instrText xml:space="preserve"> PAGEREF _Toc87335025 \h </w:instrText>
      </w:r>
      <w:r>
        <w:rPr>
          <w:noProof/>
        </w:rPr>
      </w:r>
      <w:r>
        <w:rPr>
          <w:noProof/>
        </w:rPr>
        <w:fldChar w:fldCharType="separate"/>
      </w:r>
      <w:r w:rsidR="006A184A">
        <w:rPr>
          <w:noProof/>
        </w:rPr>
        <w:t>28</w:t>
      </w:r>
      <w:r>
        <w:rPr>
          <w:noProof/>
        </w:rPr>
        <w:fldChar w:fldCharType="end"/>
      </w:r>
    </w:p>
    <w:p w14:paraId="36B9AA4F" w14:textId="66EB7EC2"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IV.</w:t>
      </w:r>
      <w:r>
        <w:rPr>
          <w:rFonts w:asciiTheme="minorHAnsi" w:eastAsiaTheme="minorEastAsia" w:hAnsiTheme="minorHAnsi" w:cstheme="minorBidi"/>
          <w:b w:val="0"/>
          <w:bCs w:val="0"/>
          <w:caps w:val="0"/>
          <w:noProof/>
          <w:sz w:val="22"/>
          <w:szCs w:val="22"/>
          <w:lang w:eastAsia="ja-JP"/>
        </w:rPr>
        <w:tab/>
      </w:r>
      <w:r>
        <w:rPr>
          <w:noProof/>
        </w:rPr>
        <w:t>Evaluation and Award Process</w:t>
      </w:r>
      <w:r>
        <w:rPr>
          <w:noProof/>
        </w:rPr>
        <w:tab/>
      </w:r>
      <w:r>
        <w:rPr>
          <w:noProof/>
        </w:rPr>
        <w:fldChar w:fldCharType="begin"/>
      </w:r>
      <w:r>
        <w:rPr>
          <w:noProof/>
        </w:rPr>
        <w:instrText xml:space="preserve"> PAGEREF _Toc87335026 \h </w:instrText>
      </w:r>
      <w:r>
        <w:rPr>
          <w:noProof/>
        </w:rPr>
      </w:r>
      <w:r>
        <w:rPr>
          <w:noProof/>
        </w:rPr>
        <w:fldChar w:fldCharType="separate"/>
      </w:r>
      <w:r w:rsidR="006A184A">
        <w:rPr>
          <w:noProof/>
        </w:rPr>
        <w:t>34</w:t>
      </w:r>
      <w:r>
        <w:rPr>
          <w:noProof/>
        </w:rPr>
        <w:fldChar w:fldCharType="end"/>
      </w:r>
    </w:p>
    <w:p w14:paraId="0BC7620F" w14:textId="6491822F"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Evaluation</w:t>
      </w:r>
      <w:r>
        <w:rPr>
          <w:noProof/>
        </w:rPr>
        <w:tab/>
      </w:r>
      <w:r>
        <w:rPr>
          <w:noProof/>
        </w:rPr>
        <w:fldChar w:fldCharType="begin"/>
      </w:r>
      <w:r>
        <w:rPr>
          <w:noProof/>
        </w:rPr>
        <w:instrText xml:space="preserve"> PAGEREF _Toc87335027 \h </w:instrText>
      </w:r>
      <w:r>
        <w:rPr>
          <w:noProof/>
        </w:rPr>
      </w:r>
      <w:r>
        <w:rPr>
          <w:noProof/>
        </w:rPr>
        <w:fldChar w:fldCharType="separate"/>
      </w:r>
      <w:r w:rsidR="006A184A">
        <w:rPr>
          <w:noProof/>
        </w:rPr>
        <w:t>34</w:t>
      </w:r>
      <w:r>
        <w:rPr>
          <w:noProof/>
        </w:rPr>
        <w:fldChar w:fldCharType="end"/>
      </w:r>
    </w:p>
    <w:p w14:paraId="7B098641" w14:textId="48BF6E8E"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Ranking, Notice of Proposed Award, and Agreement Development</w:t>
      </w:r>
      <w:r>
        <w:rPr>
          <w:noProof/>
        </w:rPr>
        <w:tab/>
      </w:r>
      <w:r>
        <w:rPr>
          <w:noProof/>
        </w:rPr>
        <w:fldChar w:fldCharType="begin"/>
      </w:r>
      <w:r>
        <w:rPr>
          <w:noProof/>
        </w:rPr>
        <w:instrText xml:space="preserve"> PAGEREF _Toc87335028 \h </w:instrText>
      </w:r>
      <w:r>
        <w:rPr>
          <w:noProof/>
        </w:rPr>
      </w:r>
      <w:r>
        <w:rPr>
          <w:noProof/>
        </w:rPr>
        <w:fldChar w:fldCharType="separate"/>
      </w:r>
      <w:r w:rsidR="006A184A">
        <w:rPr>
          <w:noProof/>
        </w:rPr>
        <w:t>34</w:t>
      </w:r>
      <w:r>
        <w:rPr>
          <w:noProof/>
        </w:rPr>
        <w:fldChar w:fldCharType="end"/>
      </w:r>
    </w:p>
    <w:p w14:paraId="37705D48" w14:textId="0D95EF2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Grounds to Reject an Application or Cancel an Award</w:t>
      </w:r>
      <w:r>
        <w:rPr>
          <w:noProof/>
        </w:rPr>
        <w:tab/>
      </w:r>
      <w:r>
        <w:rPr>
          <w:noProof/>
        </w:rPr>
        <w:fldChar w:fldCharType="begin"/>
      </w:r>
      <w:r>
        <w:rPr>
          <w:noProof/>
        </w:rPr>
        <w:instrText xml:space="preserve"> PAGEREF _Toc87335029 \h </w:instrText>
      </w:r>
      <w:r>
        <w:rPr>
          <w:noProof/>
        </w:rPr>
      </w:r>
      <w:r>
        <w:rPr>
          <w:noProof/>
        </w:rPr>
        <w:fldChar w:fldCharType="separate"/>
      </w:r>
      <w:r w:rsidR="006A184A">
        <w:rPr>
          <w:noProof/>
        </w:rPr>
        <w:t>35</w:t>
      </w:r>
      <w:r>
        <w:rPr>
          <w:noProof/>
        </w:rPr>
        <w:fldChar w:fldCharType="end"/>
      </w:r>
    </w:p>
    <w:p w14:paraId="6CB75BC2" w14:textId="427AF67B"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Miscellaneous</w:t>
      </w:r>
      <w:r>
        <w:rPr>
          <w:noProof/>
        </w:rPr>
        <w:tab/>
      </w:r>
      <w:r>
        <w:rPr>
          <w:noProof/>
        </w:rPr>
        <w:fldChar w:fldCharType="begin"/>
      </w:r>
      <w:r>
        <w:rPr>
          <w:noProof/>
        </w:rPr>
        <w:instrText xml:space="preserve"> PAGEREF _Toc87335030 \h </w:instrText>
      </w:r>
      <w:r>
        <w:rPr>
          <w:noProof/>
        </w:rPr>
      </w:r>
      <w:r>
        <w:rPr>
          <w:noProof/>
        </w:rPr>
        <w:fldChar w:fldCharType="separate"/>
      </w:r>
      <w:r w:rsidR="006A184A">
        <w:rPr>
          <w:noProof/>
        </w:rPr>
        <w:t>36</w:t>
      </w:r>
      <w:r>
        <w:rPr>
          <w:noProof/>
        </w:rPr>
        <w:fldChar w:fldCharType="end"/>
      </w:r>
    </w:p>
    <w:p w14:paraId="5148220E" w14:textId="1D5FFF7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Stage One:  Application Screening</w:t>
      </w:r>
      <w:r>
        <w:rPr>
          <w:noProof/>
        </w:rPr>
        <w:tab/>
      </w:r>
      <w:r>
        <w:rPr>
          <w:noProof/>
        </w:rPr>
        <w:fldChar w:fldCharType="begin"/>
      </w:r>
      <w:r>
        <w:rPr>
          <w:noProof/>
        </w:rPr>
        <w:instrText xml:space="preserve"> PAGEREF _Toc87335031 \h </w:instrText>
      </w:r>
      <w:r>
        <w:rPr>
          <w:noProof/>
        </w:rPr>
      </w:r>
      <w:r>
        <w:rPr>
          <w:noProof/>
        </w:rPr>
        <w:fldChar w:fldCharType="separate"/>
      </w:r>
      <w:r w:rsidR="006A184A">
        <w:rPr>
          <w:noProof/>
        </w:rPr>
        <w:t>37</w:t>
      </w:r>
      <w:r>
        <w:rPr>
          <w:noProof/>
        </w:rPr>
        <w:fldChar w:fldCharType="end"/>
      </w:r>
    </w:p>
    <w:p w14:paraId="574F413C" w14:textId="409E51C8"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Stage Two:  Application Scoring</w:t>
      </w:r>
      <w:r>
        <w:rPr>
          <w:noProof/>
        </w:rPr>
        <w:tab/>
      </w:r>
      <w:r>
        <w:rPr>
          <w:noProof/>
        </w:rPr>
        <w:fldChar w:fldCharType="begin"/>
      </w:r>
      <w:r>
        <w:rPr>
          <w:noProof/>
        </w:rPr>
        <w:instrText xml:space="preserve"> PAGEREF _Toc87335032 \h </w:instrText>
      </w:r>
      <w:r>
        <w:rPr>
          <w:noProof/>
        </w:rPr>
      </w:r>
      <w:r>
        <w:rPr>
          <w:noProof/>
        </w:rPr>
        <w:fldChar w:fldCharType="separate"/>
      </w:r>
      <w:r w:rsidR="006A184A">
        <w:rPr>
          <w:noProof/>
        </w:rPr>
        <w:t>38</w:t>
      </w:r>
      <w:r>
        <w:rPr>
          <w:noProof/>
        </w:rPr>
        <w:fldChar w:fldCharType="end"/>
      </w:r>
    </w:p>
    <w:p w14:paraId="186E4F9F" w14:textId="77777777" w:rsidR="002318C1" w:rsidRDefault="0083690A" w:rsidP="00FC0D90">
      <w:pPr>
        <w:widowControl w:val="0"/>
        <w:jc w:val="both"/>
        <w:rPr>
          <w:b/>
          <w:bCs/>
          <w:caps/>
          <w:noProof/>
          <w:szCs w:val="22"/>
        </w:rPr>
      </w:pPr>
      <w:r w:rsidRPr="0070672A">
        <w:rPr>
          <w:b/>
          <w:bCs/>
          <w:caps/>
          <w:noProof/>
          <w:szCs w:val="22"/>
        </w:rPr>
        <w:fldChar w:fldCharType="end"/>
      </w:r>
    </w:p>
    <w:p w14:paraId="3BACCFCC" w14:textId="3E25D487" w:rsidR="001C2D56" w:rsidRPr="00C31C1D" w:rsidRDefault="002318C1" w:rsidP="00FC0D90">
      <w:pPr>
        <w:widowControl w:val="0"/>
        <w:jc w:val="both"/>
      </w:pPr>
      <w:r w:rsidRPr="002318C1">
        <w:rPr>
          <w:b/>
          <w:bCs/>
          <w:caps/>
          <w:noProof/>
          <w:szCs w:val="22"/>
        </w:rPr>
        <w:t xml:space="preserve">Note: Added language appears in </w:t>
      </w:r>
      <w:r w:rsidRPr="002318C1">
        <w:rPr>
          <w:b/>
          <w:bCs/>
          <w:caps/>
          <w:noProof/>
          <w:szCs w:val="22"/>
          <w:u w:val="single"/>
        </w:rPr>
        <w:t>bold underline</w:t>
      </w:r>
      <w:r w:rsidRPr="002318C1">
        <w:rPr>
          <w:b/>
          <w:bCs/>
          <w:caps/>
          <w:noProof/>
          <w:szCs w:val="22"/>
        </w:rPr>
        <w:t xml:space="preserve">, and deleted language appears in </w:t>
      </w:r>
      <w:r w:rsidR="00AA3337">
        <w:rPr>
          <w:b/>
          <w:bCs/>
          <w:caps/>
          <w:noProof/>
          <w:szCs w:val="22"/>
        </w:rPr>
        <w:t>[</w:t>
      </w:r>
      <w:r w:rsidRPr="00AA3337">
        <w:rPr>
          <w:b/>
          <w:bCs/>
          <w:caps/>
          <w:strike/>
          <w:noProof/>
          <w:szCs w:val="22"/>
        </w:rPr>
        <w:t>strikethrough</w:t>
      </w:r>
      <w:r w:rsidR="00AA3337">
        <w:rPr>
          <w:b/>
          <w:bCs/>
          <w:caps/>
          <w:noProof/>
          <w:szCs w:val="22"/>
        </w:rPr>
        <w:t>]</w:t>
      </w:r>
      <w:r w:rsidRPr="002318C1">
        <w:rPr>
          <w:b/>
          <w:bCs/>
          <w:caps/>
          <w:noProof/>
          <w:szCs w:val="22"/>
        </w:rPr>
        <w:t xml:space="preserve"> and within square brackets.</w:t>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2"/>
          <w:footerReference w:type="default" r:id="rId13"/>
          <w:pgSz w:w="12240" w:h="15840" w:code="1"/>
          <w:pgMar w:top="1440" w:right="1440" w:bottom="1440" w:left="1440" w:header="1008" w:footer="432" w:gutter="0"/>
          <w:pgNumType w:fmt="lowerRoman" w:start="1"/>
          <w:cols w:space="720"/>
        </w:sectPr>
      </w:pPr>
      <w:bookmarkStart w:id="2" w:name="_Toc481569610"/>
      <w:bookmarkStart w:id="3" w:name="_Toc481570193"/>
      <w:bookmarkStart w:id="4"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5" w:name="_Toc219275079"/>
            <w:bookmarkStart w:id="6" w:name="_Toc336443614"/>
            <w:bookmarkStart w:id="7"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3F6147" w:rsidRPr="003F6147" w14:paraId="0ACF2DC8"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77777777" w:rsidR="003F6147" w:rsidRPr="003F6147" w:rsidRDefault="003F6147"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723CCFFE"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8"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9" w:name="_Toc87335011"/>
      <w:r w:rsidRPr="00756BAC">
        <w:lastRenderedPageBreak/>
        <w:t>I.</w:t>
      </w:r>
      <w:r w:rsidRPr="00756BAC">
        <w:tab/>
        <w:t>Introduction</w:t>
      </w:r>
      <w:bookmarkEnd w:id="8"/>
      <w:bookmarkEnd w:id="9"/>
    </w:p>
    <w:p w14:paraId="15CE67F5" w14:textId="77777777" w:rsidR="003F6147" w:rsidRPr="00756BAC" w:rsidRDefault="003F6147">
      <w:pPr>
        <w:pStyle w:val="Heading2"/>
        <w:numPr>
          <w:ilvl w:val="0"/>
          <w:numId w:val="53"/>
        </w:numPr>
      </w:pPr>
      <w:bookmarkStart w:id="10" w:name="_Toc458602319"/>
      <w:bookmarkStart w:id="11" w:name="_Toc87335012"/>
      <w:r w:rsidRPr="00756BAC">
        <w:t>Purpose of Solicitation</w:t>
      </w:r>
      <w:bookmarkEnd w:id="10"/>
      <w:bookmarkEnd w:id="11"/>
      <w:r w:rsidRPr="00756BAC">
        <w:t xml:space="preserve"> </w:t>
      </w:r>
      <w:bookmarkStart w:id="12" w:name="_Toc395180593"/>
      <w:bookmarkStart w:id="13" w:name="_Toc381079833"/>
      <w:bookmarkStart w:id="14" w:name="_Toc382571091"/>
    </w:p>
    <w:bookmarkEnd w:id="12"/>
    <w:p w14:paraId="2986F92E" w14:textId="45BF93CB" w:rsidR="001B7D69" w:rsidRPr="00E64674" w:rsidRDefault="001B7D69" w:rsidP="001B7D69">
      <w:pPr>
        <w:jc w:val="both"/>
      </w:pPr>
      <w:r w:rsidRPr="00E64674">
        <w:t>The intent of this solicitation is to develop, test and demonstrate zero-carbon or near-zero-carbon (collectively “ZC”), cost-effective, modular and manufactured homes (collectively “prefabricated homes”)</w:t>
      </w:r>
      <w:r w:rsidR="004225C6" w:rsidRPr="00E64674">
        <w:t xml:space="preserve"> </w:t>
      </w:r>
      <w:r w:rsidRPr="00E64674">
        <w:t>that can be readily deployed, particularly in under-resourced communities</w:t>
      </w:r>
      <w:r w:rsidR="00343973" w:rsidRPr="00E64674">
        <w:t xml:space="preserve"> including </w:t>
      </w:r>
      <w:r w:rsidR="001A645F" w:rsidRPr="00E64674">
        <w:t>California Native</w:t>
      </w:r>
      <w:r w:rsidR="00801E90" w:rsidRPr="00E64674">
        <w:t xml:space="preserve"> American Tribes</w:t>
      </w:r>
      <w:r w:rsidRPr="00E64674">
        <w:t>.</w:t>
      </w:r>
    </w:p>
    <w:p w14:paraId="0521B1D4" w14:textId="1AE7120C" w:rsidR="005A2267" w:rsidRPr="00E64674" w:rsidRDefault="00797A3A" w:rsidP="001B7D69">
      <w:pPr>
        <w:jc w:val="both"/>
        <w:rPr>
          <w:bCs/>
        </w:rPr>
      </w:pPr>
      <w:r w:rsidRPr="00E64674">
        <w:t>T</w:t>
      </w:r>
      <w:r w:rsidR="002B3519" w:rsidRPr="00E64674">
        <w:t xml:space="preserve">he </w:t>
      </w:r>
      <w:r w:rsidR="008C559E" w:rsidRPr="00E64674">
        <w:t xml:space="preserve">prefabricated </w:t>
      </w:r>
      <w:r w:rsidR="00FB5B93" w:rsidRPr="00E64674">
        <w:t xml:space="preserve">housing industry generally </w:t>
      </w:r>
      <w:r w:rsidR="002B3519" w:rsidRPr="00E64674">
        <w:t xml:space="preserve">has </w:t>
      </w:r>
      <w:r w:rsidR="00D34575" w:rsidRPr="00E64674">
        <w:t xml:space="preserve">minimal </w:t>
      </w:r>
      <w:r w:rsidR="002B3519" w:rsidRPr="00E64674">
        <w:t xml:space="preserve"> research and product innovation, except in meeting code requirements.</w:t>
      </w:r>
      <w:r w:rsidR="000064C4" w:rsidRPr="00E64674">
        <w:t xml:space="preserve">  By i</w:t>
      </w:r>
      <w:r w:rsidR="00BD71E7" w:rsidRPr="00E64674">
        <w:t>nvolv</w:t>
      </w:r>
      <w:r w:rsidR="00CA7666" w:rsidRPr="00E64674">
        <w:t>ing</w:t>
      </w:r>
      <w:r w:rsidR="00BD71E7" w:rsidRPr="00E64674">
        <w:t xml:space="preserve"> key </w:t>
      </w:r>
      <w:r w:rsidR="00BD5A09" w:rsidRPr="00E64674">
        <w:t xml:space="preserve">prefabricated </w:t>
      </w:r>
      <w:r w:rsidR="00B432F1" w:rsidRPr="00E64674">
        <w:t xml:space="preserve">and manufactured home </w:t>
      </w:r>
      <w:r w:rsidR="00BD71E7" w:rsidRPr="00E64674">
        <w:t>industry stakeholders in the development process</w:t>
      </w:r>
      <w:r w:rsidR="00171383" w:rsidRPr="00E64674">
        <w:t>,</w:t>
      </w:r>
      <w:r w:rsidR="00BD71E7" w:rsidRPr="00E64674" w:rsidDel="00855ECA">
        <w:t xml:space="preserve"> </w:t>
      </w:r>
      <w:r w:rsidR="00BD71E7" w:rsidRPr="00E64674">
        <w:t xml:space="preserve">they share ownership of the results, </w:t>
      </w:r>
      <w:r w:rsidR="001D46BB" w:rsidRPr="00E64674">
        <w:t xml:space="preserve">and increase the </w:t>
      </w:r>
      <w:r w:rsidR="00423842" w:rsidRPr="00E64674">
        <w:t>opportunity to gain</w:t>
      </w:r>
      <w:r w:rsidR="00BD71E7" w:rsidRPr="00E64674">
        <w:t xml:space="preserve"> widespread and immediate market acceptance.</w:t>
      </w:r>
      <w:r w:rsidR="002B0112" w:rsidRPr="00E64674">
        <w:t xml:space="preserve"> </w:t>
      </w:r>
      <w:r w:rsidR="005A2267" w:rsidRPr="00E64674">
        <w:t xml:space="preserve">Economically integrating </w:t>
      </w:r>
      <w:r w:rsidR="00F014B4" w:rsidRPr="00E64674">
        <w:t xml:space="preserve">energy efficiency </w:t>
      </w:r>
      <w:r w:rsidR="005A2267" w:rsidRPr="00E64674">
        <w:t>solutions at the factory with</w:t>
      </w:r>
      <w:r w:rsidR="00266C31" w:rsidRPr="00E64674">
        <w:t xml:space="preserve"> </w:t>
      </w:r>
      <w:r w:rsidR="005A2267" w:rsidRPr="00E64674">
        <w:t xml:space="preserve">advancements in manufacturing processes </w:t>
      </w:r>
      <w:r w:rsidR="00497857" w:rsidRPr="00E64674">
        <w:t>can</w:t>
      </w:r>
      <w:r w:rsidR="005A2267" w:rsidRPr="00E64674">
        <w:t xml:space="preserve"> </w:t>
      </w:r>
      <w:r w:rsidRPr="00E64674">
        <w:t xml:space="preserve">reduce production costs and </w:t>
      </w:r>
      <w:r w:rsidR="005A2267" w:rsidRPr="00E64674">
        <w:t>make the homes affordable</w:t>
      </w:r>
      <w:r w:rsidR="00E642FC" w:rsidRPr="00E64674">
        <w:t>.</w:t>
      </w:r>
      <w:r w:rsidR="00421229" w:rsidRPr="00E64674">
        <w:t xml:space="preserve"> The results of projects funded by this solicitation </w:t>
      </w:r>
      <w:r w:rsidR="002B4F02" w:rsidRPr="00E64674">
        <w:t xml:space="preserve">can </w:t>
      </w:r>
      <w:r w:rsidR="00792174" w:rsidRPr="00E64674">
        <w:t>increase</w:t>
      </w:r>
      <w:r w:rsidR="00421229" w:rsidRPr="00E64674" w:rsidDel="002B4F02">
        <w:t xml:space="preserve"> </w:t>
      </w:r>
      <w:r w:rsidR="00421229" w:rsidRPr="00E64674">
        <w:t xml:space="preserve">cost-effectiveness of energy efficient prefabricated homes in </w:t>
      </w:r>
      <w:r w:rsidR="006171C8" w:rsidRPr="00E64674">
        <w:t>under</w:t>
      </w:r>
      <w:r w:rsidR="007D00CF" w:rsidRPr="00E64674">
        <w:t>-</w:t>
      </w:r>
      <w:r w:rsidR="009810C0" w:rsidRPr="00E64674">
        <w:t xml:space="preserve">resourced communities, </w:t>
      </w:r>
      <w:r w:rsidR="007F6C1A" w:rsidRPr="00E64674">
        <w:t xml:space="preserve">including </w:t>
      </w:r>
      <w:r w:rsidR="009810C0" w:rsidRPr="00E64674">
        <w:t>in fire</w:t>
      </w:r>
      <w:r w:rsidR="00E71A75" w:rsidRPr="00E64674">
        <w:t xml:space="preserve">-prone </w:t>
      </w:r>
      <w:r w:rsidR="00421229" w:rsidRPr="00E64674">
        <w:t>areas.</w:t>
      </w:r>
    </w:p>
    <w:p w14:paraId="6CFDC9B7" w14:textId="77777777" w:rsidR="003F6147" w:rsidRPr="00E64674" w:rsidRDefault="003F6147" w:rsidP="003F6147">
      <w:pPr>
        <w:keepNext/>
        <w:keepLines/>
        <w:spacing w:after="0"/>
        <w:ind w:left="720"/>
        <w:jc w:val="both"/>
        <w:outlineLvl w:val="2"/>
      </w:pPr>
    </w:p>
    <w:p w14:paraId="5E07F508" w14:textId="5B4525B8" w:rsidR="003F6147" w:rsidRPr="00E64674" w:rsidRDefault="003F6147" w:rsidP="003F6147">
      <w:pPr>
        <w:jc w:val="both"/>
        <w:rPr>
          <w:b/>
        </w:rPr>
      </w:pPr>
      <w:bookmarkStart w:id="15" w:name="_Toc433981247"/>
      <w:r w:rsidRPr="00E64674">
        <w:t>The purpose of this solicitation is to fund</w:t>
      </w:r>
      <w:r w:rsidR="00EE125C" w:rsidRPr="00E64674">
        <w:t xml:space="preserve"> the demonstration </w:t>
      </w:r>
      <w:r w:rsidR="00EC0BD9" w:rsidRPr="00E64674">
        <w:t xml:space="preserve">of prefabricated homes that </w:t>
      </w:r>
      <w:r w:rsidR="002F0834" w:rsidRPr="00E64674">
        <w:t xml:space="preserve">integrate </w:t>
      </w:r>
      <w:r w:rsidR="00DD220D" w:rsidRPr="00E64674">
        <w:t xml:space="preserve">advanced </w:t>
      </w:r>
      <w:r w:rsidR="002F0834" w:rsidRPr="00E64674">
        <w:t xml:space="preserve">energy efficiency </w:t>
      </w:r>
      <w:r w:rsidR="00DD220D" w:rsidRPr="00E64674">
        <w:t xml:space="preserve">and renewable energy features </w:t>
      </w:r>
      <w:r w:rsidRPr="00E64674" w:rsidDel="00DD220D">
        <w:t xml:space="preserve"> </w:t>
      </w:r>
      <w:bookmarkStart w:id="16" w:name="_Toc395180594"/>
      <w:bookmarkStart w:id="17" w:name="_Toc433981248"/>
      <w:bookmarkEnd w:id="15"/>
      <w:r w:rsidRPr="00E64674">
        <w:t>that meet</w:t>
      </w:r>
      <w:r w:rsidR="00873246" w:rsidRPr="00E64674">
        <w:t xml:space="preserve"> all</w:t>
      </w:r>
      <w:r w:rsidRPr="00E64674">
        <w:t xml:space="preserve"> the following objectives:</w:t>
      </w:r>
      <w:bookmarkEnd w:id="16"/>
      <w:bookmarkEnd w:id="17"/>
      <w:r w:rsidRPr="00E64674">
        <w:t xml:space="preserve"> </w:t>
      </w:r>
    </w:p>
    <w:p w14:paraId="672C960F" w14:textId="4E4370CB" w:rsidR="00BA7776" w:rsidRPr="00E64674" w:rsidRDefault="00BA7776">
      <w:pPr>
        <w:numPr>
          <w:ilvl w:val="0"/>
          <w:numId w:val="49"/>
        </w:numPr>
        <w:jc w:val="both"/>
        <w:rPr>
          <w:bCs/>
        </w:rPr>
      </w:pPr>
      <w:r w:rsidRPr="00E64674">
        <w:rPr>
          <w:bCs/>
        </w:rPr>
        <w:t>are all electric, using no fossil fuel;</w:t>
      </w:r>
    </w:p>
    <w:p w14:paraId="7C8D8DA7" w14:textId="172F255D" w:rsidR="00BA7776" w:rsidRPr="00E64674" w:rsidRDefault="00BA7776">
      <w:pPr>
        <w:numPr>
          <w:ilvl w:val="0"/>
          <w:numId w:val="49"/>
        </w:numPr>
        <w:jc w:val="both"/>
        <w:rPr>
          <w:bCs/>
        </w:rPr>
      </w:pPr>
      <w:r w:rsidRPr="00E64674">
        <w:rPr>
          <w:bCs/>
        </w:rPr>
        <w:t xml:space="preserve">include solar </w:t>
      </w:r>
      <w:r w:rsidR="00007402" w:rsidRPr="00E64674">
        <w:rPr>
          <w:bCs/>
        </w:rPr>
        <w:t>photo</w:t>
      </w:r>
      <w:r w:rsidR="00B07A6D" w:rsidRPr="00E64674">
        <w:rPr>
          <w:bCs/>
        </w:rPr>
        <w:t>voltaic (</w:t>
      </w:r>
      <w:r w:rsidRPr="00E64674">
        <w:rPr>
          <w:bCs/>
        </w:rPr>
        <w:t>PV</w:t>
      </w:r>
      <w:r w:rsidR="00B07A6D" w:rsidRPr="00E64674">
        <w:rPr>
          <w:bCs/>
        </w:rPr>
        <w:t xml:space="preserve">) system </w:t>
      </w:r>
      <w:r w:rsidRPr="00E64674">
        <w:rPr>
          <w:bCs/>
        </w:rPr>
        <w:t>with energy storage</w:t>
      </w:r>
      <w:r w:rsidR="00186322" w:rsidRPr="00E64674">
        <w:rPr>
          <w:bCs/>
        </w:rPr>
        <w:t>;</w:t>
      </w:r>
      <w:r w:rsidRPr="00E64674">
        <w:rPr>
          <w:bCs/>
        </w:rPr>
        <w:t xml:space="preserve"> </w:t>
      </w:r>
    </w:p>
    <w:p w14:paraId="3485A36D" w14:textId="487A2B83" w:rsidR="00BA7776" w:rsidRPr="00E64674" w:rsidRDefault="00BA7776">
      <w:pPr>
        <w:numPr>
          <w:ilvl w:val="0"/>
          <w:numId w:val="49"/>
        </w:numPr>
        <w:jc w:val="both"/>
        <w:rPr>
          <w:bCs/>
        </w:rPr>
      </w:pPr>
      <w:r w:rsidRPr="00E64674">
        <w:rPr>
          <w:bCs/>
        </w:rPr>
        <w:t xml:space="preserve">have the capability to provide backup power </w:t>
      </w:r>
      <w:r w:rsidR="00B56BBB" w:rsidRPr="00E64674">
        <w:rPr>
          <w:bCs/>
        </w:rPr>
        <w:t xml:space="preserve">to the home </w:t>
      </w:r>
      <w:r w:rsidRPr="00E64674">
        <w:rPr>
          <w:bCs/>
        </w:rPr>
        <w:t>during power outages;</w:t>
      </w:r>
    </w:p>
    <w:p w14:paraId="532DBB16" w14:textId="4EC11920" w:rsidR="00BA7776" w:rsidRPr="00E64674" w:rsidRDefault="5E902F5D">
      <w:pPr>
        <w:numPr>
          <w:ilvl w:val="0"/>
          <w:numId w:val="49"/>
        </w:numPr>
        <w:jc w:val="both"/>
      </w:pPr>
      <w:r w:rsidRPr="00E64674">
        <w:t xml:space="preserve">be affordable from a first cost and operation perspective, such as, </w:t>
      </w:r>
      <w:r w:rsidR="042C65AF" w:rsidRPr="00E64674">
        <w:t>have a 10-year cost of ownership that is less than or equal to a</w:t>
      </w:r>
      <w:r w:rsidR="578BB997" w:rsidRPr="00E64674">
        <w:t xml:space="preserve"> </w:t>
      </w:r>
      <w:r w:rsidRPr="00E64674">
        <w:t xml:space="preserve">home built to </w:t>
      </w:r>
      <w:r w:rsidR="1E8CA562" w:rsidRPr="00E64674">
        <w:t xml:space="preserve">Housing and Urban Development </w:t>
      </w:r>
      <w:r w:rsidR="469E6E07" w:rsidRPr="00E64674">
        <w:t>(</w:t>
      </w:r>
      <w:r w:rsidRPr="00E64674">
        <w:t>HUD</w:t>
      </w:r>
      <w:r w:rsidR="469E6E07" w:rsidRPr="00E64674">
        <w:t>)</w:t>
      </w:r>
      <w:r w:rsidRPr="00E64674">
        <w:t xml:space="preserve"> standards</w:t>
      </w:r>
      <w:r w:rsidR="7FD03190" w:rsidRPr="00E64674">
        <w:t xml:space="preserve"> for </w:t>
      </w:r>
      <w:r w:rsidRPr="00E64674">
        <w:t>manufactured home</w:t>
      </w:r>
      <w:r w:rsidR="0FAC2008" w:rsidRPr="00E64674">
        <w:t>s</w:t>
      </w:r>
      <w:r w:rsidRPr="00E64674">
        <w:t xml:space="preserve"> or </w:t>
      </w:r>
      <w:r w:rsidR="3F123702" w:rsidRPr="00E64674">
        <w:t xml:space="preserve">the 2022 </w:t>
      </w:r>
      <w:r w:rsidRPr="00E64674">
        <w:t>T</w:t>
      </w:r>
      <w:r w:rsidR="1E8CA562" w:rsidRPr="00E64674">
        <w:t xml:space="preserve">itle </w:t>
      </w:r>
      <w:r w:rsidRPr="00E64674">
        <w:t>24</w:t>
      </w:r>
      <w:r w:rsidR="62FE926C" w:rsidRPr="00E64674">
        <w:t xml:space="preserve"> </w:t>
      </w:r>
      <w:r w:rsidR="4D7AC828" w:rsidRPr="00E64674">
        <w:t xml:space="preserve">Building Energy Efficiency Standards for </w:t>
      </w:r>
      <w:r w:rsidRPr="00E64674">
        <w:t>modular construction.</w:t>
      </w:r>
    </w:p>
    <w:p w14:paraId="3C6DDFF5" w14:textId="1A24F5EE" w:rsidR="00417223" w:rsidRPr="00E64674" w:rsidRDefault="00417223" w:rsidP="00417223">
      <w:pPr>
        <w:jc w:val="both"/>
      </w:pPr>
      <w:r w:rsidRPr="00E64674">
        <w:t xml:space="preserve">This solicitation is based on the EPIC interim Investment plan and allocates $15M for </w:t>
      </w:r>
      <w:r w:rsidR="00B12D25" w:rsidRPr="00E64674">
        <w:t>ZC</w:t>
      </w:r>
      <w:r w:rsidRPr="00E64674">
        <w:t xml:space="preserve"> prefabricated homes.  The motivation for this initiative was to address home affordability and creat</w:t>
      </w:r>
      <w:r w:rsidR="0062049B" w:rsidRPr="00E64674">
        <w:t>e</w:t>
      </w:r>
      <w:r w:rsidRPr="00E64674">
        <w:t xml:space="preserve"> </w:t>
      </w:r>
      <w:r w:rsidR="006E59EF" w:rsidRPr="00E64674">
        <w:t xml:space="preserve">and demonstrate </w:t>
      </w:r>
      <w:r w:rsidRPr="00E64674">
        <w:t xml:space="preserve">resilient, </w:t>
      </w:r>
      <w:r w:rsidR="00C04717" w:rsidRPr="00E64674">
        <w:t>ZC</w:t>
      </w:r>
      <w:r w:rsidRPr="00E64674">
        <w:t xml:space="preserve"> energy efficient prefab</w:t>
      </w:r>
      <w:r w:rsidR="0062049B" w:rsidRPr="00E64674">
        <w:t>ricated</w:t>
      </w:r>
      <w:r w:rsidRPr="00E64674">
        <w:t xml:space="preserve"> homes. This research initiative focuses on the following two types of prefabricated homes: </w:t>
      </w:r>
    </w:p>
    <w:p w14:paraId="5E358F7F" w14:textId="1ADDBB7E" w:rsidR="00417223" w:rsidRPr="00E64674" w:rsidRDefault="00417223">
      <w:pPr>
        <w:pStyle w:val="ListParagraph"/>
        <w:numPr>
          <w:ilvl w:val="0"/>
          <w:numId w:val="66"/>
        </w:numPr>
        <w:jc w:val="both"/>
      </w:pPr>
      <w:r w:rsidRPr="00E64674">
        <w:rPr>
          <w:b/>
        </w:rPr>
        <w:t>Manufactured homes:</w:t>
      </w:r>
      <w:r w:rsidRPr="00E64674">
        <w:t xml:space="preserve"> These homes are built on steel chassis and transported to the site. The destination of these homes are mobile home parks and private lots. These homes are built quickly and more affordably in a factory setting compared to standard construction. However, these manufactured homes only need to meet the U.S. </w:t>
      </w:r>
      <w:r w:rsidR="00F638F1" w:rsidRPr="00E64674">
        <w:t>H</w:t>
      </w:r>
      <w:r w:rsidR="00586826" w:rsidRPr="00E64674">
        <w:t>ousing and Urban Development’s (H</w:t>
      </w:r>
      <w:r w:rsidR="00F638F1" w:rsidRPr="00E64674">
        <w:t>UD</w:t>
      </w:r>
      <w:r w:rsidR="00586826" w:rsidRPr="00E64674">
        <w:t>)</w:t>
      </w:r>
      <w:r w:rsidRPr="00E64674">
        <w:t xml:space="preserve"> efficiency standards, which are less energy efficient than the California 2019 Title 24 Building </w:t>
      </w:r>
      <w:r w:rsidR="003F40E5" w:rsidRPr="00E64674">
        <w:t xml:space="preserve">Energy </w:t>
      </w:r>
      <w:r w:rsidRPr="00E64674">
        <w:t xml:space="preserve">Efficiency Standards. As a result, ratepayers in this sector, who are often </w:t>
      </w:r>
      <w:r w:rsidR="004167EF" w:rsidRPr="00E64674">
        <w:t>low-income</w:t>
      </w:r>
      <w:r w:rsidRPr="00E64674">
        <w:t xml:space="preserve">, pay twice as much in energy costs (per square foot) than those who live in homes that are built to </w:t>
      </w:r>
      <w:r w:rsidR="00877828" w:rsidRPr="00E64674">
        <w:t xml:space="preserve">current </w:t>
      </w:r>
      <w:r w:rsidRPr="00E64674">
        <w:t xml:space="preserve">Title 24 </w:t>
      </w:r>
      <w:r w:rsidR="00877828" w:rsidRPr="00E64674">
        <w:t xml:space="preserve">Building Energy Efficiency </w:t>
      </w:r>
      <w:r w:rsidRPr="00E64674">
        <w:t xml:space="preserve">Standards.  </w:t>
      </w:r>
      <w:r w:rsidR="002D7388" w:rsidRPr="00E64674">
        <w:t>These homes are financed using chattel loans</w:t>
      </w:r>
      <w:r w:rsidR="00B5368C" w:rsidRPr="00E64674">
        <w:t xml:space="preserve"> because the underlying land is generally rented or leased and not part of</w:t>
      </w:r>
      <w:r w:rsidR="00081680" w:rsidRPr="00E64674">
        <w:t xml:space="preserve"> the loan financing. Chattel loans are secured by the manufactured home and not the land. As a result, interest rates are higher than for conventional site built/modular homes which include the building and the land.</w:t>
      </w:r>
    </w:p>
    <w:p w14:paraId="47CEDEA4" w14:textId="476E897E" w:rsidR="00417223" w:rsidRPr="00E64674" w:rsidRDefault="00417223">
      <w:pPr>
        <w:pStyle w:val="ListParagraph"/>
        <w:numPr>
          <w:ilvl w:val="0"/>
          <w:numId w:val="66"/>
        </w:numPr>
        <w:jc w:val="both"/>
      </w:pPr>
      <w:r w:rsidRPr="00E64674">
        <w:rPr>
          <w:b/>
        </w:rPr>
        <w:t>Modular homes:</w:t>
      </w:r>
      <w:r w:rsidRPr="00E64674">
        <w:t xml:space="preserve"> These homes are created in sections and then transported to the home site for construction and installation. These are typically installed and treated like a standard house for financing, appraisal, and construction purposes. Although the sections </w:t>
      </w:r>
      <w:r w:rsidRPr="00E64674">
        <w:lastRenderedPageBreak/>
        <w:t xml:space="preserve">of the house are prefabricated, the sections or modules, are put together at the construction site. These homes must meet California’s Title 24 Building </w:t>
      </w:r>
      <w:r w:rsidR="001504B9" w:rsidRPr="00E64674">
        <w:t xml:space="preserve">Energy </w:t>
      </w:r>
      <w:r w:rsidRPr="00E64674">
        <w:t>Efficiency Standards. Modular construction enables home customization to include standardized energy-efficiency measures</w:t>
      </w:r>
      <w:r w:rsidR="006A0B0B" w:rsidRPr="00E64674">
        <w:t xml:space="preserve"> and </w:t>
      </w:r>
      <w:r w:rsidRPr="00E64674">
        <w:t xml:space="preserve">can serve as a path to increasing all electric, ZC-home penetration. Modular construction can create a tight, well-insulated and air-sealed building envelopes, resulting in downsizing heating, ventilation, and air-conditioning (HVAC) systems and reducing building energy consumption and can reduce construction costs compared to standard construction. </w:t>
      </w:r>
    </w:p>
    <w:p w14:paraId="66401BCF" w14:textId="77777777" w:rsidR="00417223" w:rsidRPr="00E64674" w:rsidRDefault="00417223" w:rsidP="00417223">
      <w:pPr>
        <w:jc w:val="both"/>
      </w:pPr>
      <w:r w:rsidRPr="00E64674">
        <w:t>By reducing the amount of energy needed in buildings through energy-efficient design, replacing on-site combustion appliances with high-efficiency heat pumps, and reducing the carbon content of on-site energy resources (e.g., solar PV and storage), this research initiative has the potential to achieve other co-benefits, such as:</w:t>
      </w:r>
    </w:p>
    <w:p w14:paraId="4477B30F" w14:textId="60C1CAA6" w:rsidR="00417223" w:rsidRPr="00E64674" w:rsidRDefault="00417223">
      <w:pPr>
        <w:numPr>
          <w:ilvl w:val="0"/>
          <w:numId w:val="49"/>
        </w:numPr>
        <w:jc w:val="both"/>
        <w:rPr>
          <w:bCs/>
        </w:rPr>
      </w:pPr>
      <w:r w:rsidRPr="00E64674">
        <w:rPr>
          <w:bCs/>
        </w:rPr>
        <w:t>Improve  indoor air quality in the homes due to elimination of appliances burning fossil gas</w:t>
      </w:r>
      <w:r w:rsidR="009037AC" w:rsidRPr="00E64674">
        <w:rPr>
          <w:bCs/>
        </w:rPr>
        <w:t>. Air quality is further improved by mechanica</w:t>
      </w:r>
      <w:r w:rsidR="00830CEB" w:rsidRPr="00E64674">
        <w:rPr>
          <w:bCs/>
        </w:rPr>
        <w:t xml:space="preserve">l </w:t>
      </w:r>
      <w:r w:rsidRPr="00E64674">
        <w:rPr>
          <w:bCs/>
        </w:rPr>
        <w:t>ventilation</w:t>
      </w:r>
      <w:r w:rsidR="00830CEB" w:rsidRPr="00E64674">
        <w:rPr>
          <w:bCs/>
        </w:rPr>
        <w:t>. Bot</w:t>
      </w:r>
      <w:r w:rsidR="00895E16" w:rsidRPr="00E64674">
        <w:rPr>
          <w:bCs/>
        </w:rPr>
        <w:t>h</w:t>
      </w:r>
      <w:r w:rsidR="00830CEB" w:rsidRPr="00E64674">
        <w:rPr>
          <w:bCs/>
        </w:rPr>
        <w:t xml:space="preserve"> of these measures</w:t>
      </w:r>
      <w:r w:rsidRPr="00E64674" w:rsidDel="00830CEB">
        <w:rPr>
          <w:bCs/>
        </w:rPr>
        <w:t xml:space="preserve"> </w:t>
      </w:r>
      <w:r w:rsidRPr="00E64674">
        <w:rPr>
          <w:bCs/>
        </w:rPr>
        <w:t>could reduce health risks</w:t>
      </w:r>
      <w:r w:rsidR="00AB4A92" w:rsidRPr="00E64674">
        <w:rPr>
          <w:bCs/>
        </w:rPr>
        <w:t>.</w:t>
      </w:r>
    </w:p>
    <w:p w14:paraId="3F1D1EA4" w14:textId="058819C0" w:rsidR="00417223" w:rsidRPr="00E64674" w:rsidRDefault="00417223">
      <w:pPr>
        <w:numPr>
          <w:ilvl w:val="0"/>
          <w:numId w:val="49"/>
        </w:numPr>
        <w:jc w:val="both"/>
        <w:rPr>
          <w:bCs/>
        </w:rPr>
      </w:pPr>
      <w:r w:rsidRPr="00E64674">
        <w:rPr>
          <w:bCs/>
        </w:rPr>
        <w:t xml:space="preserve">Result in more comfortable and affordable homes that improve the quality of life for </w:t>
      </w:r>
      <w:proofErr w:type="gramStart"/>
      <w:r w:rsidRPr="00E64674">
        <w:rPr>
          <w:bCs/>
        </w:rPr>
        <w:t>low income</w:t>
      </w:r>
      <w:proofErr w:type="gramEnd"/>
      <w:r w:rsidRPr="00E64674">
        <w:rPr>
          <w:bCs/>
        </w:rPr>
        <w:t xml:space="preserve"> residents</w:t>
      </w:r>
      <w:r w:rsidR="00F032F6" w:rsidRPr="00E64674">
        <w:rPr>
          <w:bCs/>
        </w:rPr>
        <w:t>.</w:t>
      </w:r>
    </w:p>
    <w:p w14:paraId="7510FE99" w14:textId="6619B569" w:rsidR="00417223" w:rsidRPr="00E64674" w:rsidRDefault="00417223">
      <w:pPr>
        <w:numPr>
          <w:ilvl w:val="0"/>
          <w:numId w:val="49"/>
        </w:numPr>
        <w:jc w:val="both"/>
      </w:pPr>
      <w:r w:rsidRPr="00E64674">
        <w:t>Improve ambient air quality through reduction in the need for electricity produced by fossil power plants.</w:t>
      </w:r>
    </w:p>
    <w:p w14:paraId="044608E6" w14:textId="0B005457" w:rsidR="003F6147" w:rsidRPr="00E64674" w:rsidRDefault="003F6147" w:rsidP="003F6147">
      <w:pPr>
        <w:jc w:val="both"/>
        <w:rPr>
          <w:szCs w:val="22"/>
        </w:rPr>
      </w:pPr>
      <w:r w:rsidRPr="00E64674">
        <w:rPr>
          <w:szCs w:val="22"/>
        </w:rPr>
        <w:t xml:space="preserve">Projects must fall within the following project groups: </w:t>
      </w:r>
    </w:p>
    <w:p w14:paraId="0DD013EF" w14:textId="22CB4019" w:rsidR="003F6147" w:rsidRPr="00E64674" w:rsidRDefault="003F6147">
      <w:pPr>
        <w:numPr>
          <w:ilvl w:val="0"/>
          <w:numId w:val="49"/>
        </w:numPr>
        <w:tabs>
          <w:tab w:val="num" w:pos="360"/>
        </w:tabs>
        <w:jc w:val="both"/>
        <w:rPr>
          <w:b/>
        </w:rPr>
      </w:pPr>
      <w:bookmarkStart w:id="18" w:name="_Toc395180596"/>
      <w:bookmarkStart w:id="19" w:name="_Toc433981250"/>
      <w:r w:rsidRPr="00E64674">
        <w:rPr>
          <w:b/>
        </w:rPr>
        <w:t>Group 1</w:t>
      </w:r>
      <w:r w:rsidRPr="00E64674">
        <w:t xml:space="preserve">: </w:t>
      </w:r>
      <w:r w:rsidR="00A21C58" w:rsidRPr="00E64674">
        <w:rPr>
          <w:rFonts w:cs="Times New Roman"/>
        </w:rPr>
        <w:t xml:space="preserve">Develop, Test and </w:t>
      </w:r>
      <w:r w:rsidR="009526D5" w:rsidRPr="00E64674">
        <w:rPr>
          <w:rFonts w:cs="Times New Roman"/>
        </w:rPr>
        <w:t>Demonstrate</w:t>
      </w:r>
      <w:r w:rsidR="00A21C58" w:rsidRPr="00E64674">
        <w:rPr>
          <w:rFonts w:cs="Times New Roman"/>
        </w:rPr>
        <w:t xml:space="preserve"> Innovative </w:t>
      </w:r>
      <w:r w:rsidR="00A21C58" w:rsidRPr="00E64674" w:rsidDel="008661EC">
        <w:rPr>
          <w:rFonts w:cs="Times New Roman"/>
        </w:rPr>
        <w:t xml:space="preserve">Manufactured </w:t>
      </w:r>
      <w:r w:rsidR="00A21C58" w:rsidRPr="00E64674">
        <w:rPr>
          <w:rFonts w:cs="Times New Roman"/>
        </w:rPr>
        <w:t>Homes</w:t>
      </w:r>
      <w:r w:rsidRPr="00E64674">
        <w:rPr>
          <w:rFonts w:cs="Times New Roman"/>
        </w:rPr>
        <w:t>; and</w:t>
      </w:r>
      <w:bookmarkEnd w:id="18"/>
      <w:bookmarkEnd w:id="19"/>
    </w:p>
    <w:p w14:paraId="02996A08" w14:textId="6C7068B3" w:rsidR="003F6147" w:rsidRPr="00E64674" w:rsidRDefault="003F6147">
      <w:pPr>
        <w:numPr>
          <w:ilvl w:val="0"/>
          <w:numId w:val="49"/>
        </w:numPr>
        <w:tabs>
          <w:tab w:val="num" w:pos="360"/>
        </w:tabs>
        <w:jc w:val="both"/>
        <w:rPr>
          <w:b/>
        </w:rPr>
      </w:pPr>
      <w:bookmarkStart w:id="20" w:name="_Toc395180597"/>
      <w:bookmarkStart w:id="21" w:name="_Toc433981251"/>
      <w:r w:rsidRPr="00E64674">
        <w:rPr>
          <w:b/>
        </w:rPr>
        <w:t>Group</w:t>
      </w:r>
      <w:r w:rsidR="00A741AA" w:rsidRPr="00E64674">
        <w:rPr>
          <w:b/>
        </w:rPr>
        <w:t xml:space="preserve"> </w:t>
      </w:r>
      <w:r w:rsidRPr="00E64674">
        <w:rPr>
          <w:b/>
        </w:rPr>
        <w:t>2</w:t>
      </w:r>
      <w:r w:rsidRPr="00E64674">
        <w:t>:</w:t>
      </w:r>
      <w:r w:rsidR="00A741AA" w:rsidRPr="00E64674">
        <w:t xml:space="preserve"> </w:t>
      </w:r>
      <w:r w:rsidR="007218D0" w:rsidRPr="00E64674">
        <w:rPr>
          <w:rFonts w:cs="Times New Roman"/>
        </w:rPr>
        <w:t xml:space="preserve">Develop, Test and </w:t>
      </w:r>
      <w:r w:rsidR="009526D5" w:rsidRPr="00E64674">
        <w:rPr>
          <w:rFonts w:cs="Times New Roman"/>
        </w:rPr>
        <w:t>Demonstrate</w:t>
      </w:r>
      <w:r w:rsidR="007218D0" w:rsidRPr="00E64674">
        <w:rPr>
          <w:rFonts w:cs="Times New Roman"/>
        </w:rPr>
        <w:t xml:space="preserve"> Innovative Modular Homes</w:t>
      </w:r>
      <w:r w:rsidRPr="00E64674">
        <w:rPr>
          <w:rFonts w:cs="Times New Roman"/>
        </w:rPr>
        <w:t>.</w:t>
      </w:r>
      <w:bookmarkEnd w:id="20"/>
      <w:bookmarkEnd w:id="21"/>
    </w:p>
    <w:bookmarkEnd w:id="13"/>
    <w:bookmarkEnd w:id="14"/>
    <w:p w14:paraId="52855CD8" w14:textId="035173FC" w:rsidR="003F6147" w:rsidRPr="00E64674" w:rsidRDefault="003F6147" w:rsidP="003F6147">
      <w:pPr>
        <w:jc w:val="both"/>
        <w:rPr>
          <w:szCs w:val="22"/>
        </w:rPr>
      </w:pPr>
      <w:r w:rsidRPr="00E64674">
        <w:rPr>
          <w:szCs w:val="22"/>
        </w:rPr>
        <w:t xml:space="preserve">See Part II of this solicitation for project eligibility requirements. </w:t>
      </w:r>
      <w:r w:rsidRPr="00E64674">
        <w:t xml:space="preserve">Applications will be evaluated as follows: Stage One proposal screening and Stage Two proposal scoring. </w:t>
      </w:r>
      <w:r w:rsidRPr="00E64674">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sidRPr="00E64674">
        <w:rPr>
          <w:szCs w:val="22"/>
        </w:rPr>
        <w:t xml:space="preserve"> the Scope of Work</w:t>
      </w:r>
      <w:r w:rsidRPr="00E64674">
        <w:rPr>
          <w:szCs w:val="22"/>
        </w:rPr>
        <w:t>).</w:t>
      </w:r>
    </w:p>
    <w:p w14:paraId="61479D31" w14:textId="77777777" w:rsidR="003A0A6F" w:rsidRPr="00E64674" w:rsidRDefault="003A0A6F" w:rsidP="003F6147">
      <w:pPr>
        <w:spacing w:after="0"/>
        <w:jc w:val="both"/>
        <w:rPr>
          <w:szCs w:val="22"/>
        </w:rPr>
      </w:pPr>
    </w:p>
    <w:p w14:paraId="13663FAA" w14:textId="4D278E17" w:rsidR="003F6147" w:rsidRPr="00E64674" w:rsidRDefault="00FD6239" w:rsidP="003F6147">
      <w:pPr>
        <w:spacing w:after="0"/>
        <w:jc w:val="both"/>
        <w:rPr>
          <w:szCs w:val="22"/>
        </w:rPr>
      </w:pPr>
      <w:r w:rsidRPr="00E64674">
        <w:rPr>
          <w:szCs w:val="22"/>
        </w:rPr>
        <w:t xml:space="preserve">Prospective applicants looking for partnering opportunities for this funding opportunity should register on the California Energy Commission’s Empower Innovation website at </w:t>
      </w:r>
      <w:hyperlink r:id="rId14" w:history="1">
        <w:r w:rsidR="00F86B79" w:rsidRPr="00E64674">
          <w:rPr>
            <w:rStyle w:val="Hyperlink"/>
            <w:rFonts w:cs="Arial"/>
            <w:color w:val="auto"/>
            <w:szCs w:val="22"/>
          </w:rPr>
          <w:t>www.empowerinnovation.net</w:t>
        </w:r>
      </w:hyperlink>
    </w:p>
    <w:p w14:paraId="39BF90E2" w14:textId="77777777" w:rsidR="00F86B79" w:rsidRPr="00E64674" w:rsidRDefault="00F86B79" w:rsidP="003F6147">
      <w:pPr>
        <w:spacing w:after="0"/>
        <w:jc w:val="both"/>
        <w:rPr>
          <w:szCs w:val="22"/>
        </w:rPr>
      </w:pPr>
    </w:p>
    <w:p w14:paraId="069B1233" w14:textId="77777777" w:rsidR="00F86B79" w:rsidRPr="00E64674" w:rsidRDefault="00F86B79">
      <w:pPr>
        <w:spacing w:after="0"/>
        <w:rPr>
          <w:rFonts w:cs="Times New Roman"/>
          <w:b/>
          <w:smallCaps/>
          <w:sz w:val="28"/>
        </w:rPr>
      </w:pPr>
      <w:bookmarkStart w:id="22" w:name="_Toc458602320"/>
      <w:bookmarkStart w:id="23" w:name="_Toc87335013"/>
      <w:r w:rsidRPr="00E64674">
        <w:br w:type="page"/>
      </w:r>
    </w:p>
    <w:p w14:paraId="4AB6446E" w14:textId="6FA42136" w:rsidR="003F6147" w:rsidRPr="00E64674" w:rsidRDefault="003F6147">
      <w:pPr>
        <w:pStyle w:val="Heading2"/>
        <w:numPr>
          <w:ilvl w:val="0"/>
          <w:numId w:val="53"/>
        </w:numPr>
      </w:pPr>
      <w:r w:rsidRPr="00E64674">
        <w:lastRenderedPageBreak/>
        <w:t>Key Words/Terms</w:t>
      </w:r>
      <w:bookmarkEnd w:id="22"/>
      <w:bookmarkEnd w:id="23"/>
    </w:p>
    <w:p w14:paraId="4D6C1B8F" w14:textId="2DCCFBB8" w:rsidR="003F6147" w:rsidRPr="00E64674" w:rsidRDefault="003F6147" w:rsidP="003F6147">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E64674" w:rsidRPr="00E64674" w14:paraId="7E8ED4A8" w14:textId="77777777" w:rsidTr="1C048822">
        <w:trPr>
          <w:trHeight w:val="235"/>
          <w:tblHeader/>
        </w:trPr>
        <w:tc>
          <w:tcPr>
            <w:tcW w:w="2430" w:type="dxa"/>
            <w:shd w:val="clear" w:color="auto" w:fill="D9D9D9" w:themeFill="background1" w:themeFillShade="D9"/>
            <w:vAlign w:val="center"/>
          </w:tcPr>
          <w:p w14:paraId="476A107E" w14:textId="77777777" w:rsidR="003F6147" w:rsidRPr="00E64674" w:rsidRDefault="003F6147" w:rsidP="003F6147">
            <w:pPr>
              <w:spacing w:after="0"/>
              <w:rPr>
                <w:b/>
              </w:rPr>
            </w:pPr>
            <w:r w:rsidRPr="00E64674">
              <w:rPr>
                <w:b/>
              </w:rPr>
              <w:t>Word/Term</w:t>
            </w:r>
          </w:p>
        </w:tc>
        <w:tc>
          <w:tcPr>
            <w:tcW w:w="6930" w:type="dxa"/>
            <w:shd w:val="clear" w:color="auto" w:fill="D9D9D9" w:themeFill="background1" w:themeFillShade="D9"/>
            <w:vAlign w:val="center"/>
          </w:tcPr>
          <w:p w14:paraId="4B079FEB" w14:textId="77777777" w:rsidR="003F6147" w:rsidRPr="00E64674" w:rsidRDefault="003F6147" w:rsidP="003F6147">
            <w:pPr>
              <w:spacing w:after="0"/>
              <w:rPr>
                <w:b/>
              </w:rPr>
            </w:pPr>
            <w:r w:rsidRPr="00E64674">
              <w:rPr>
                <w:b/>
              </w:rPr>
              <w:t>Definition</w:t>
            </w:r>
          </w:p>
        </w:tc>
      </w:tr>
      <w:tr w:rsidR="00E64674" w:rsidRPr="00E64674" w14:paraId="690D71DF" w14:textId="77777777" w:rsidTr="1C048822">
        <w:tc>
          <w:tcPr>
            <w:tcW w:w="2430" w:type="dxa"/>
          </w:tcPr>
          <w:p w14:paraId="48812C83" w14:textId="77777777" w:rsidR="003F6147" w:rsidRPr="00E64674" w:rsidRDefault="003F6147" w:rsidP="003F6147">
            <w:pPr>
              <w:jc w:val="both"/>
            </w:pPr>
            <w:r w:rsidRPr="00E64674">
              <w:t>Applicant</w:t>
            </w:r>
          </w:p>
        </w:tc>
        <w:tc>
          <w:tcPr>
            <w:tcW w:w="6930" w:type="dxa"/>
          </w:tcPr>
          <w:p w14:paraId="1E95849E" w14:textId="77777777" w:rsidR="003F6147" w:rsidRPr="00E64674" w:rsidRDefault="003F6147" w:rsidP="003F6147">
            <w:pPr>
              <w:jc w:val="both"/>
            </w:pPr>
            <w:r w:rsidRPr="00E64674">
              <w:t xml:space="preserve">The entity that </w:t>
            </w:r>
            <w:proofErr w:type="gramStart"/>
            <w:r w:rsidRPr="00E64674">
              <w:t>submits an application</w:t>
            </w:r>
            <w:proofErr w:type="gramEnd"/>
            <w:r w:rsidRPr="00E64674">
              <w:t xml:space="preserve"> to this solicitation</w:t>
            </w:r>
            <w:r w:rsidR="00861F15" w:rsidRPr="00E64674">
              <w:t>.</w:t>
            </w:r>
          </w:p>
        </w:tc>
      </w:tr>
      <w:tr w:rsidR="00E64674" w:rsidRPr="00E64674" w14:paraId="3EBC2272" w14:textId="77777777" w:rsidTr="1C048822">
        <w:tc>
          <w:tcPr>
            <w:tcW w:w="2430" w:type="dxa"/>
          </w:tcPr>
          <w:p w14:paraId="43D654FF" w14:textId="77777777" w:rsidR="003F6147" w:rsidRPr="00E64674" w:rsidRDefault="003F6147" w:rsidP="003F6147">
            <w:pPr>
              <w:jc w:val="both"/>
            </w:pPr>
            <w:r w:rsidRPr="00E64674">
              <w:t>Application</w:t>
            </w:r>
          </w:p>
        </w:tc>
        <w:tc>
          <w:tcPr>
            <w:tcW w:w="6930" w:type="dxa"/>
          </w:tcPr>
          <w:p w14:paraId="1087A470" w14:textId="77777777" w:rsidR="003F6147" w:rsidRPr="00E64674" w:rsidRDefault="003F6147" w:rsidP="003F6147">
            <w:pPr>
              <w:jc w:val="both"/>
            </w:pPr>
            <w:r w:rsidRPr="00E64674">
              <w:t>An applicant’s written response to this solicitation</w:t>
            </w:r>
            <w:r w:rsidR="00861F15" w:rsidRPr="00E64674">
              <w:t>.</w:t>
            </w:r>
          </w:p>
        </w:tc>
      </w:tr>
      <w:tr w:rsidR="00E64674" w:rsidRPr="00E64674" w14:paraId="6BD4CDE5" w14:textId="77777777" w:rsidTr="1C048822">
        <w:tc>
          <w:tcPr>
            <w:tcW w:w="2430" w:type="dxa"/>
          </w:tcPr>
          <w:p w14:paraId="52824D60" w14:textId="77777777" w:rsidR="00960D30" w:rsidRPr="00E64674" w:rsidRDefault="00960D30" w:rsidP="00EC2034">
            <w:pPr>
              <w:jc w:val="both"/>
            </w:pPr>
            <w:r w:rsidRPr="00E64674">
              <w:t>Authorized Representative</w:t>
            </w:r>
          </w:p>
        </w:tc>
        <w:tc>
          <w:tcPr>
            <w:tcW w:w="6930" w:type="dxa"/>
          </w:tcPr>
          <w:p w14:paraId="6BDF2D2B" w14:textId="77777777" w:rsidR="00960D30" w:rsidRPr="00E64674" w:rsidRDefault="00960D30" w:rsidP="00EC2034">
            <w:pPr>
              <w:jc w:val="both"/>
            </w:pPr>
            <w:r w:rsidRPr="00E64674">
              <w:rPr>
                <w:i/>
              </w:rPr>
              <w:t>Authorized Representative</w:t>
            </w:r>
            <w:r w:rsidRPr="00E64674">
              <w:t xml:space="preserve">, the person signing the application form who has authority to enter into an agreement with the CEC. </w:t>
            </w:r>
          </w:p>
        </w:tc>
      </w:tr>
      <w:tr w:rsidR="00E64674" w:rsidRPr="00E64674" w14:paraId="46EEC1E8" w14:textId="77777777" w:rsidTr="1C048822">
        <w:tc>
          <w:tcPr>
            <w:tcW w:w="2430" w:type="dxa"/>
          </w:tcPr>
          <w:p w14:paraId="5DEBAD05" w14:textId="77777777" w:rsidR="003F6147" w:rsidRPr="00E64674" w:rsidRDefault="003F6147" w:rsidP="003F6147">
            <w:pPr>
              <w:jc w:val="both"/>
            </w:pPr>
            <w:r w:rsidRPr="00E64674">
              <w:t>CAM</w:t>
            </w:r>
          </w:p>
        </w:tc>
        <w:tc>
          <w:tcPr>
            <w:tcW w:w="6930" w:type="dxa"/>
          </w:tcPr>
          <w:p w14:paraId="35598923" w14:textId="77777777" w:rsidR="003F6147" w:rsidRPr="00E64674" w:rsidRDefault="003F6147" w:rsidP="003F6147">
            <w:pPr>
              <w:jc w:val="both"/>
            </w:pPr>
            <w:r w:rsidRPr="00E64674">
              <w:rPr>
                <w:i/>
              </w:rPr>
              <w:t>Commission Agreement Manager,</w:t>
            </w:r>
            <w:r w:rsidRPr="00E64674">
              <w:t xml:space="preserve"> the person designated by the CEC to oversee the performance of an agreement resulting from this solicitation and to serve as the main point of contact for the Recipient</w:t>
            </w:r>
            <w:r w:rsidR="00861F15" w:rsidRPr="00E64674">
              <w:t>.</w:t>
            </w:r>
          </w:p>
        </w:tc>
      </w:tr>
      <w:tr w:rsidR="00024194" w:rsidRPr="003F6147" w14:paraId="15D99D1F" w14:textId="77777777" w:rsidTr="1C048822">
        <w:tc>
          <w:tcPr>
            <w:tcW w:w="2430" w:type="dxa"/>
          </w:tcPr>
          <w:p w14:paraId="5B7DD6C1" w14:textId="56ED8967" w:rsidR="00024194" w:rsidRPr="003A58C1" w:rsidRDefault="00024194" w:rsidP="00024194">
            <w:pPr>
              <w:jc w:val="both"/>
            </w:pPr>
            <w:r w:rsidRPr="003A58C1">
              <w:rPr>
                <w:rFonts w:eastAsia="Tahoma"/>
                <w:szCs w:val="22"/>
              </w:rPr>
              <w:t>California</w:t>
            </w:r>
            <w:r w:rsidR="003A58C1">
              <w:rPr>
                <w:rFonts w:eastAsia="Tahoma"/>
                <w:szCs w:val="22"/>
              </w:rPr>
              <w:t xml:space="preserve"> </w:t>
            </w:r>
            <w:r w:rsidRPr="003A58C1">
              <w:rPr>
                <w:rFonts w:eastAsia="Tahoma"/>
                <w:szCs w:val="22"/>
              </w:rPr>
              <w:t>Tribal Organization</w:t>
            </w:r>
          </w:p>
        </w:tc>
        <w:tc>
          <w:tcPr>
            <w:tcW w:w="6930" w:type="dxa"/>
          </w:tcPr>
          <w:p w14:paraId="05A4944A" w14:textId="7CC6F78C" w:rsidR="00024194" w:rsidRPr="003A58C1" w:rsidRDefault="00024194" w:rsidP="00024194">
            <w:pPr>
              <w:jc w:val="both"/>
            </w:pPr>
            <w:r w:rsidRPr="003A58C1">
              <w:rPr>
                <w:rFonts w:eastAsia="Tahoma"/>
                <w:szCs w:val="22"/>
              </w:rPr>
              <w:t>A corporation, association, or group controlled, sanctioned, or chartered by a California Native American tribe that is subject to its laws, the laws of the State of California, or the laws of the United States.</w:t>
            </w:r>
          </w:p>
        </w:tc>
      </w:tr>
      <w:tr w:rsidR="00024194" w:rsidRPr="003F6147" w14:paraId="7FC119C4" w14:textId="77777777" w:rsidTr="1C048822">
        <w:tc>
          <w:tcPr>
            <w:tcW w:w="2430" w:type="dxa"/>
          </w:tcPr>
          <w:p w14:paraId="03025E6D" w14:textId="7813A101" w:rsidR="00024194" w:rsidRPr="003A58C1" w:rsidRDefault="00024194" w:rsidP="00024194">
            <w:pPr>
              <w:jc w:val="both"/>
            </w:pPr>
            <w:r w:rsidRPr="003A58C1">
              <w:rPr>
                <w:szCs w:val="22"/>
              </w:rPr>
              <w:t>California Native American Tribe/Tribe</w:t>
            </w:r>
          </w:p>
        </w:tc>
        <w:tc>
          <w:tcPr>
            <w:tcW w:w="6930" w:type="dxa"/>
          </w:tcPr>
          <w:p w14:paraId="0CED1EBE" w14:textId="17111530" w:rsidR="00024194" w:rsidRPr="003A58C1" w:rsidRDefault="00024194" w:rsidP="00024194">
            <w:pPr>
              <w:jc w:val="both"/>
            </w:pPr>
            <w:r w:rsidRPr="003A58C1">
              <w:rPr>
                <w:rFonts w:eastAsia="Tahoma"/>
                <w:szCs w:val="22"/>
              </w:rPr>
              <w:t>A Native American Tribe located in California that is on the contact list maintained by the Native American Heritage Commission for the purposes of Chapter 905 of the Statutes of 2004.</w:t>
            </w:r>
          </w:p>
        </w:tc>
      </w:tr>
      <w:tr w:rsidR="003F6147" w:rsidRPr="003F6147" w14:paraId="58F8E48D" w14:textId="77777777" w:rsidTr="1C048822">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1C048822">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pPr>
              <w:numPr>
                <w:ilvl w:val="0"/>
                <w:numId w:val="51"/>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pPr>
              <w:numPr>
                <w:ilvl w:val="0"/>
                <w:numId w:val="51"/>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pPr>
              <w:numPr>
                <w:ilvl w:val="0"/>
                <w:numId w:val="51"/>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pPr>
              <w:numPr>
                <w:ilvl w:val="0"/>
                <w:numId w:val="51"/>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1C048822">
        <w:tc>
          <w:tcPr>
            <w:tcW w:w="2430" w:type="dxa"/>
          </w:tcPr>
          <w:p w14:paraId="21872A76" w14:textId="77777777" w:rsidR="003F6147" w:rsidRPr="003F6147" w:rsidRDefault="003F6147" w:rsidP="003F6147">
            <w:pPr>
              <w:jc w:val="both"/>
            </w:pPr>
            <w:r w:rsidRPr="003F6147">
              <w:t>CEC</w:t>
            </w:r>
          </w:p>
        </w:tc>
        <w:tc>
          <w:tcPr>
            <w:tcW w:w="6930" w:type="dxa"/>
          </w:tcPr>
          <w:p w14:paraId="5974AC5C" w14:textId="4FD2BBCF" w:rsidR="003F6147" w:rsidRPr="003F6147" w:rsidRDefault="003F6147" w:rsidP="003F6147">
            <w:pPr>
              <w:spacing w:after="60"/>
              <w:contextualSpacing/>
            </w:pPr>
            <w:r>
              <w:t>State Energy Resources Conservation and Development Commission or the California Energy Commission</w:t>
            </w:r>
            <w:r w:rsidR="00861F15">
              <w:t>.</w:t>
            </w:r>
          </w:p>
        </w:tc>
      </w:tr>
      <w:tr w:rsidR="003F6147" w:rsidRPr="003F6147" w14:paraId="52E7E706" w14:textId="77777777" w:rsidTr="1C048822">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BA2CD3" w:rsidRPr="003F6147" w14:paraId="15E1C480" w14:textId="77777777" w:rsidTr="1C048822">
        <w:tc>
          <w:tcPr>
            <w:tcW w:w="2430" w:type="dxa"/>
          </w:tcPr>
          <w:p w14:paraId="43476805" w14:textId="2568A93D" w:rsidR="00BA2CD3" w:rsidRPr="00E64674" w:rsidRDefault="00BA2CD3" w:rsidP="003F6147">
            <w:pPr>
              <w:jc w:val="both"/>
            </w:pPr>
            <w:r w:rsidRPr="00E64674">
              <w:t>Cost of Ownership</w:t>
            </w:r>
          </w:p>
        </w:tc>
        <w:tc>
          <w:tcPr>
            <w:tcW w:w="6930" w:type="dxa"/>
          </w:tcPr>
          <w:p w14:paraId="256E5C90" w14:textId="0474C59E" w:rsidR="00BA2CD3" w:rsidRPr="00E64674" w:rsidRDefault="00BA2CD3" w:rsidP="003F6147">
            <w:pPr>
              <w:keepNext/>
              <w:jc w:val="both"/>
              <w:outlineLvl w:val="1"/>
            </w:pPr>
            <w:r w:rsidRPr="00E64674">
              <w:t>Th</w:t>
            </w:r>
            <w:r w:rsidR="00C46497" w:rsidRPr="00E64674">
              <w:t>is includes th</w:t>
            </w:r>
            <w:r w:rsidRPr="00E64674">
              <w:t xml:space="preserve">e </w:t>
            </w:r>
            <w:r w:rsidR="00C46497" w:rsidRPr="00E64674">
              <w:t xml:space="preserve">following </w:t>
            </w:r>
            <w:r w:rsidR="009A7510" w:rsidRPr="00E64674">
              <w:t xml:space="preserve">ownership </w:t>
            </w:r>
            <w:r w:rsidR="00C46497" w:rsidRPr="00E64674">
              <w:t xml:space="preserve">cost: </w:t>
            </w:r>
            <w:r w:rsidR="00FD4D94" w:rsidRPr="00E64674">
              <w:t xml:space="preserve">home </w:t>
            </w:r>
            <w:r w:rsidR="00681BAC" w:rsidRPr="00E64674">
              <w:t xml:space="preserve">loan payment, </w:t>
            </w:r>
            <w:r w:rsidR="0078125E" w:rsidRPr="00E64674">
              <w:t>installation</w:t>
            </w:r>
            <w:r w:rsidR="00630577" w:rsidRPr="00E64674">
              <w:t>/construction</w:t>
            </w:r>
            <w:r w:rsidR="0078125E" w:rsidRPr="00E64674">
              <w:t xml:space="preserve">, operation, maintenance, </w:t>
            </w:r>
            <w:r w:rsidR="00BC75BB" w:rsidRPr="00E64674">
              <w:t>utilit</w:t>
            </w:r>
            <w:r w:rsidR="00FD4D94" w:rsidRPr="00E64674">
              <w:t>ies</w:t>
            </w:r>
            <w:r w:rsidR="00D869F2" w:rsidRPr="00E64674">
              <w:t>, insurance and rental space (if applicable for manufactured homes)</w:t>
            </w:r>
            <w:r w:rsidR="00FD4D94" w:rsidRPr="00E64674">
              <w:t>.</w:t>
            </w:r>
            <w:r w:rsidR="00CF30D4" w:rsidRPr="00E64674">
              <w:t xml:space="preserve"> </w:t>
            </w:r>
            <w:r w:rsidR="000E6B0D" w:rsidRPr="00E64674">
              <w:t>Home loan payment includes the i</w:t>
            </w:r>
            <w:r w:rsidR="00CF30D4" w:rsidRPr="00E64674">
              <w:t xml:space="preserve">nitial cost </w:t>
            </w:r>
            <w:r w:rsidR="000E6B0D" w:rsidRPr="00E64674">
              <w:t>of the manufactured/modular home</w:t>
            </w:r>
            <w:r w:rsidR="000066A8" w:rsidRPr="00E64674">
              <w:t xml:space="preserve"> including</w:t>
            </w:r>
            <w:r w:rsidR="00396931" w:rsidRPr="00E64674">
              <w:t xml:space="preserve"> </w:t>
            </w:r>
            <w:r w:rsidR="000066A8" w:rsidRPr="00E64674">
              <w:t>interest</w:t>
            </w:r>
            <w:r w:rsidR="00396931" w:rsidRPr="00E64674">
              <w:t>.</w:t>
            </w:r>
            <w:r w:rsidR="00CF30D4" w:rsidRPr="00E64674">
              <w:t xml:space="preserve"> If the </w:t>
            </w:r>
            <w:r w:rsidR="00EB10A3" w:rsidRPr="00E64674">
              <w:t xml:space="preserve">manufactured home </w:t>
            </w:r>
            <w:r w:rsidR="00CF30D4" w:rsidRPr="00E64674">
              <w:t xml:space="preserve">requires a larger </w:t>
            </w:r>
            <w:r w:rsidR="00392077" w:rsidRPr="00E64674">
              <w:t>rental space, the additional rent may also be required for a complete cost comparison.</w:t>
            </w:r>
            <w:r w:rsidR="00D869F2" w:rsidRPr="00E64674">
              <w:t xml:space="preserve"> For modular homes, the home loan will include the home and the land.</w:t>
            </w:r>
          </w:p>
        </w:tc>
      </w:tr>
      <w:tr w:rsidR="003F6147" w:rsidRPr="003F6147" w14:paraId="52C61765" w14:textId="77777777" w:rsidTr="1C048822">
        <w:tc>
          <w:tcPr>
            <w:tcW w:w="2430" w:type="dxa"/>
          </w:tcPr>
          <w:p w14:paraId="2596B177" w14:textId="77777777" w:rsidR="003F6147" w:rsidRPr="00E64674" w:rsidRDefault="003F6147" w:rsidP="003F6147">
            <w:pPr>
              <w:jc w:val="both"/>
            </w:pPr>
            <w:r w:rsidRPr="00E64674">
              <w:lastRenderedPageBreak/>
              <w:t>Days</w:t>
            </w:r>
          </w:p>
        </w:tc>
        <w:tc>
          <w:tcPr>
            <w:tcW w:w="6930" w:type="dxa"/>
          </w:tcPr>
          <w:p w14:paraId="2122E55E" w14:textId="0ECDEA03" w:rsidR="003F6147" w:rsidRPr="00E64674" w:rsidRDefault="003F6147" w:rsidP="00861F15">
            <w:pPr>
              <w:jc w:val="both"/>
              <w:rPr>
                <w:i/>
              </w:rPr>
            </w:pPr>
            <w:r w:rsidRPr="00E64674">
              <w:rPr>
                <w:i/>
              </w:rPr>
              <w:t xml:space="preserve">Days </w:t>
            </w:r>
            <w:r w:rsidRPr="00E64674">
              <w:rPr>
                <w:iCs/>
              </w:rPr>
              <w:t>refer</w:t>
            </w:r>
            <w:r w:rsidRPr="00E64674">
              <w:t xml:space="preserve"> to calendar days</w:t>
            </w:r>
            <w:r w:rsidR="00861F15" w:rsidRPr="00E64674">
              <w:rPr>
                <w:i/>
              </w:rPr>
              <w:t>.</w:t>
            </w:r>
          </w:p>
        </w:tc>
      </w:tr>
      <w:tr w:rsidR="003F6147" w:rsidRPr="003F6147" w14:paraId="710F5904" w14:textId="77777777" w:rsidTr="1C048822">
        <w:tc>
          <w:tcPr>
            <w:tcW w:w="2430" w:type="dxa"/>
          </w:tcPr>
          <w:p w14:paraId="147C6C24" w14:textId="77777777" w:rsidR="003F6147" w:rsidRPr="00E64674" w:rsidRDefault="003F6147" w:rsidP="003F6147">
            <w:pPr>
              <w:jc w:val="both"/>
            </w:pPr>
            <w:r w:rsidRPr="00E64674">
              <w:t>Disadvantaged Community</w:t>
            </w:r>
          </w:p>
        </w:tc>
        <w:tc>
          <w:tcPr>
            <w:tcW w:w="6930" w:type="dxa"/>
          </w:tcPr>
          <w:p w14:paraId="06D22A0B" w14:textId="691674C4" w:rsidR="008E3EA3" w:rsidRPr="00E64674" w:rsidRDefault="008E3EA3" w:rsidP="008E3EA3">
            <w:pPr>
              <w:jc w:val="both"/>
            </w:pPr>
            <w:r w:rsidRPr="00E64674">
              <w:t xml:space="preserve">These are communities that represent the 25% highest scoring census tracts in </w:t>
            </w:r>
            <w:proofErr w:type="spellStart"/>
            <w:r w:rsidRPr="00E64674">
              <w:t>CalEnviroScreen</w:t>
            </w:r>
            <w:proofErr w:type="spellEnd"/>
            <w:r w:rsidRPr="00E64674">
              <w:t xml:space="preserve"> 4.0, census tracts previously identified in the top 25% in </w:t>
            </w:r>
            <w:proofErr w:type="spellStart"/>
            <w:r w:rsidRPr="00E64674">
              <w:t>CalEnviroScreen</w:t>
            </w:r>
            <w:proofErr w:type="spellEnd"/>
            <w:r w:rsidRPr="00E64674">
              <w:t xml:space="preserve"> 3.0, census tracts with high amounts of pollution and low populations, and federally recognized tribal areas as identified by the Census in the 2021 American Indian Areas Related National Geodatabase. </w:t>
            </w:r>
          </w:p>
          <w:p w14:paraId="47A389A4" w14:textId="77777777" w:rsidR="008E3EA3" w:rsidRPr="00E64674" w:rsidRDefault="008E3EA3" w:rsidP="008E3EA3">
            <w:pPr>
              <w:jc w:val="both"/>
            </w:pPr>
            <w:r w:rsidRPr="00E64674">
              <w:t>(https://oehha.ca.gov/calenviroscreen/sb535)</w:t>
            </w:r>
          </w:p>
          <w:p w14:paraId="24306E97" w14:textId="535F33A3" w:rsidR="003F6147" w:rsidRPr="00E64674" w:rsidRDefault="003F6147" w:rsidP="003F6147">
            <w:pPr>
              <w:jc w:val="both"/>
            </w:pPr>
          </w:p>
        </w:tc>
      </w:tr>
      <w:tr w:rsidR="003F6147" w:rsidRPr="003F6147" w14:paraId="440E3ED2" w14:textId="77777777" w:rsidTr="1C048822">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1C048822">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6766D2" w:rsidRPr="003F6147" w14:paraId="03214C72" w14:textId="77777777" w:rsidTr="1C048822">
        <w:tc>
          <w:tcPr>
            <w:tcW w:w="2430" w:type="dxa"/>
          </w:tcPr>
          <w:p w14:paraId="2AE1594E" w14:textId="6DE0C79B" w:rsidR="006766D2" w:rsidRDefault="006766D2" w:rsidP="003F6147">
            <w:pPr>
              <w:jc w:val="both"/>
            </w:pPr>
            <w:r>
              <w:t>Home Loan Costs</w:t>
            </w:r>
          </w:p>
        </w:tc>
        <w:tc>
          <w:tcPr>
            <w:tcW w:w="6930" w:type="dxa"/>
          </w:tcPr>
          <w:p w14:paraId="222BBDE9" w14:textId="1C58673B" w:rsidR="006766D2" w:rsidRPr="001B6C87" w:rsidRDefault="00951F95" w:rsidP="00160100">
            <w:pPr>
              <w:spacing w:after="0"/>
            </w:pPr>
            <w:r w:rsidRPr="001B6C87">
              <w:t>Loans for manufactured homes are often much higher than traditional homes that include land ownership.</w:t>
            </w:r>
            <w:r w:rsidR="0013484A" w:rsidRPr="001B6C87">
              <w:t xml:space="preserve"> For context, t</w:t>
            </w:r>
            <w:r w:rsidR="002407F1" w:rsidRPr="001B6C87">
              <w:t>his refers to the increase in purchase price from applying energy efficiency measures</w:t>
            </w:r>
            <w:r w:rsidR="00A470E2" w:rsidRPr="001B6C87">
              <w:t>, renewable energy, storage</w:t>
            </w:r>
            <w:r w:rsidR="002407F1" w:rsidRPr="001B6C87">
              <w:t xml:space="preserve"> or other costs related to this </w:t>
            </w:r>
            <w:r w:rsidR="00233218" w:rsidRPr="001B6C87">
              <w:rPr>
                <w:iCs/>
              </w:rPr>
              <w:t>project</w:t>
            </w:r>
            <w:r w:rsidR="002127B4" w:rsidRPr="001B6C87">
              <w:rPr>
                <w:iCs/>
              </w:rPr>
              <w:t>.</w:t>
            </w:r>
            <w:r w:rsidR="002127B4" w:rsidRPr="001B6C87">
              <w:t xml:space="preserve">  </w:t>
            </w:r>
            <w:r w:rsidR="002F44A6" w:rsidRPr="001B6C87">
              <w:t>The increase in first cost</w:t>
            </w:r>
            <w:r w:rsidR="00F1019F" w:rsidRPr="001B6C87">
              <w:t xml:space="preserve"> may disqualify a </w:t>
            </w:r>
            <w:proofErr w:type="gramStart"/>
            <w:r w:rsidR="00F1019F" w:rsidRPr="001B6C87">
              <w:t>low income</w:t>
            </w:r>
            <w:proofErr w:type="gramEnd"/>
            <w:r w:rsidR="00F1019F" w:rsidRPr="001B6C87">
              <w:t xml:space="preserve"> buyer from a loan.  The </w:t>
            </w:r>
            <w:r w:rsidR="0081471E" w:rsidRPr="001B6C87">
              <w:t>energy savings must exceed</w:t>
            </w:r>
            <w:r w:rsidR="008D5E7C" w:rsidRPr="001B6C87">
              <w:t xml:space="preserve"> the increase in monthly loan cost to be considered cost effective.</w:t>
            </w:r>
            <w:r w:rsidR="00915A76" w:rsidRPr="001B6C87">
              <w:t xml:space="preserve"> </w:t>
            </w:r>
          </w:p>
        </w:tc>
      </w:tr>
      <w:tr w:rsidR="00947DE1" w:rsidRPr="003F6147" w14:paraId="2DA7FB22" w14:textId="77777777" w:rsidTr="1C048822">
        <w:tc>
          <w:tcPr>
            <w:tcW w:w="2430" w:type="dxa"/>
          </w:tcPr>
          <w:p w14:paraId="560EA2A0" w14:textId="731918A6" w:rsidR="00947DE1" w:rsidRPr="003F6147" w:rsidRDefault="00947DE1" w:rsidP="003F6147">
            <w:pPr>
              <w:jc w:val="both"/>
            </w:pPr>
            <w:r>
              <w:t>HUD</w:t>
            </w:r>
            <w:r w:rsidR="00131A8D">
              <w:t xml:space="preserve"> Standards</w:t>
            </w:r>
            <w:r w:rsidR="003D25A1">
              <w:t xml:space="preserve"> </w:t>
            </w:r>
          </w:p>
        </w:tc>
        <w:tc>
          <w:tcPr>
            <w:tcW w:w="6930" w:type="dxa"/>
          </w:tcPr>
          <w:p w14:paraId="792FDF5A" w14:textId="77777777" w:rsidR="00160100" w:rsidRDefault="00AE4ECF" w:rsidP="00160100">
            <w:pPr>
              <w:spacing w:after="0"/>
              <w:rPr>
                <w:rFonts w:ascii="Times New Roman" w:hAnsi="Times New Roman" w:cs="Times New Roman"/>
                <w:sz w:val="24"/>
                <w:szCs w:val="24"/>
              </w:rPr>
            </w:pPr>
            <w:r>
              <w:rPr>
                <w:i/>
              </w:rPr>
              <w:t xml:space="preserve">U.S </w:t>
            </w:r>
            <w:r w:rsidR="00B306CC">
              <w:rPr>
                <w:i/>
              </w:rPr>
              <w:t>Department</w:t>
            </w:r>
            <w:r w:rsidR="001465AA">
              <w:rPr>
                <w:i/>
              </w:rPr>
              <w:t xml:space="preserve"> of Housing and Urban Development</w:t>
            </w:r>
            <w:r w:rsidR="004E4D1B">
              <w:rPr>
                <w:i/>
              </w:rPr>
              <w:t>’s</w:t>
            </w:r>
            <w:r w:rsidR="00B306CC">
              <w:rPr>
                <w:i/>
              </w:rPr>
              <w:t xml:space="preserve"> </w:t>
            </w:r>
            <w:r w:rsidR="00131A8D" w:rsidRPr="00131A8D">
              <w:rPr>
                <w:i/>
              </w:rPr>
              <w:t>Manufactured Home Construction and Safety Standards (the Standards</w:t>
            </w:r>
            <w:r w:rsidR="00125A09">
              <w:rPr>
                <w:i/>
              </w:rPr>
              <w:t xml:space="preserve">. </w:t>
            </w:r>
            <w:r w:rsidR="00160100">
              <w:t>The Standards cover Body and Frame Requirements, Thermal Protection, Plumbing, Electrical, Fire Safety, and other aspects of the home. The Standards are published in the Code of Federal Regulations under 24 CFR Part 3280.”</w:t>
            </w:r>
            <w:r w:rsidR="00160100">
              <w:rPr>
                <w:rStyle w:val="FootnoteReference"/>
              </w:rPr>
              <w:footnoteReference w:id="2"/>
            </w:r>
            <w:r w:rsidR="00160100">
              <w:rPr>
                <w:rFonts w:ascii="Times New Roman" w:hAnsi="Times New Roman" w:cs="Times New Roman"/>
                <w:sz w:val="24"/>
                <w:szCs w:val="24"/>
              </w:rPr>
              <w:t xml:space="preserve"> </w:t>
            </w:r>
          </w:p>
          <w:p w14:paraId="0A81B922" w14:textId="3C98836B" w:rsidR="00947DE1" w:rsidRPr="00957AD5" w:rsidRDefault="00947DE1" w:rsidP="003F6147">
            <w:pPr>
              <w:jc w:val="both"/>
              <w:rPr>
                <w:iCs/>
              </w:rPr>
            </w:pPr>
          </w:p>
        </w:tc>
      </w:tr>
      <w:tr w:rsidR="003F6147" w:rsidRPr="003F6147" w14:paraId="299AA2AD" w14:textId="77777777" w:rsidTr="1C048822">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3F6147" w14:paraId="3E0981EC" w14:textId="77777777" w:rsidTr="1C048822">
        <w:tc>
          <w:tcPr>
            <w:tcW w:w="2430" w:type="dxa"/>
          </w:tcPr>
          <w:p w14:paraId="2C5F8351" w14:textId="77777777" w:rsidR="003F6147" w:rsidRPr="003F6147" w:rsidRDefault="003F6147" w:rsidP="003F6147">
            <w:r w:rsidRPr="003F6147">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B54206" w:rsidRPr="003F6147" w14:paraId="71B04EA7" w14:textId="77777777" w:rsidTr="1C048822">
        <w:tc>
          <w:tcPr>
            <w:tcW w:w="2430" w:type="dxa"/>
          </w:tcPr>
          <w:p w14:paraId="11E16AF8" w14:textId="3FE5AF0A" w:rsidR="00B54206" w:rsidRPr="003F6147" w:rsidRDefault="00CE3AB5" w:rsidP="003F6147">
            <w:r>
              <w:t>LMI</w:t>
            </w:r>
          </w:p>
        </w:tc>
        <w:tc>
          <w:tcPr>
            <w:tcW w:w="6930" w:type="dxa"/>
          </w:tcPr>
          <w:p w14:paraId="0FD17633" w14:textId="78EE1C6C" w:rsidR="00B54206" w:rsidRPr="00957AD5" w:rsidRDefault="00B54206" w:rsidP="00316409">
            <w:pPr>
              <w:shd w:val="clear" w:color="auto" w:fill="FFFFFF"/>
              <w:spacing w:after="60"/>
              <w:jc w:val="both"/>
              <w:textAlignment w:val="baseline"/>
              <w:rPr>
                <w:iCs/>
              </w:rPr>
            </w:pPr>
            <w:r w:rsidRPr="00B54206">
              <w:rPr>
                <w:iCs/>
              </w:rPr>
              <w:t xml:space="preserve">Low-to-Moderate Income (LMI) means any census tract (or equivalent geographic area defined by the Bureau of the Census) in which at least 50% of households have an income less than 60 percent of the </w:t>
            </w:r>
            <w:r w:rsidRPr="00B54206">
              <w:rPr>
                <w:iCs/>
              </w:rPr>
              <w:lastRenderedPageBreak/>
              <w:t>Area Median Gross Income (AMGI), or which has a poverty rate of at least 25%.</w:t>
            </w:r>
          </w:p>
        </w:tc>
      </w:tr>
      <w:tr w:rsidR="00D66903" w:rsidRPr="003F6147" w14:paraId="49A087A0" w14:textId="77777777" w:rsidTr="1C048822">
        <w:tc>
          <w:tcPr>
            <w:tcW w:w="2430" w:type="dxa"/>
          </w:tcPr>
          <w:p w14:paraId="44586BBA" w14:textId="140BA653" w:rsidR="00D66903" w:rsidRDefault="003E1379" w:rsidP="003F6147">
            <w:pPr>
              <w:jc w:val="both"/>
            </w:pPr>
            <w:r>
              <w:lastRenderedPageBreak/>
              <w:t>Manufactured Home</w:t>
            </w:r>
          </w:p>
        </w:tc>
        <w:tc>
          <w:tcPr>
            <w:tcW w:w="6930" w:type="dxa"/>
          </w:tcPr>
          <w:p w14:paraId="0F29975D" w14:textId="0A51FB0B" w:rsidR="00D66903" w:rsidRPr="001B6C87" w:rsidRDefault="007F5FF1" w:rsidP="003F6147">
            <w:pPr>
              <w:jc w:val="both"/>
            </w:pPr>
            <w:r>
              <w:rPr>
                <w:iCs/>
              </w:rPr>
              <w:t xml:space="preserve">Homes that </w:t>
            </w:r>
            <w:r w:rsidRPr="007F5FF1">
              <w:rPr>
                <w:iCs/>
              </w:rPr>
              <w:t>are built on a chassis, delivered to a mobile home park or a private lot, and are typically the lowest cost unsubsidized home available.  They are currently built to HUD standards that are substantially less efficient than Title 24.</w:t>
            </w:r>
          </w:p>
        </w:tc>
      </w:tr>
      <w:tr w:rsidR="00F204AB" w:rsidRPr="003F6147" w14:paraId="322B19FB" w14:textId="77777777" w:rsidTr="1C048822">
        <w:tc>
          <w:tcPr>
            <w:tcW w:w="2430" w:type="dxa"/>
          </w:tcPr>
          <w:p w14:paraId="05820C73" w14:textId="1B7A42A0" w:rsidR="00F204AB" w:rsidRPr="003F6147" w:rsidRDefault="00D66903" w:rsidP="003F6147">
            <w:pPr>
              <w:jc w:val="both"/>
            </w:pPr>
            <w:r>
              <w:t>Modular Home</w:t>
            </w:r>
          </w:p>
        </w:tc>
        <w:tc>
          <w:tcPr>
            <w:tcW w:w="6930" w:type="dxa"/>
          </w:tcPr>
          <w:p w14:paraId="69245704" w14:textId="0B78C4FB" w:rsidR="00F204AB" w:rsidRPr="001B6C87" w:rsidRDefault="003A6BBF" w:rsidP="003F6147">
            <w:pPr>
              <w:jc w:val="both"/>
            </w:pPr>
            <w:r w:rsidRPr="001B6C87">
              <w:t xml:space="preserve">Homes that are built in sections and assembled onsite.  These homes must meet title 24 and local building codes. They are more expensive than manufactured homes on a chassis but could be less than the price of a traditional stick built home constructed on site.   </w:t>
            </w:r>
          </w:p>
        </w:tc>
      </w:tr>
      <w:tr w:rsidR="003F6147" w:rsidRPr="003F6147" w14:paraId="36EE849E" w14:textId="77777777" w:rsidTr="1C048822">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1C048822">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1F78A2" w:rsidRPr="003F6147" w14:paraId="71D04DEC" w14:textId="77777777" w:rsidTr="1C048822">
        <w:tc>
          <w:tcPr>
            <w:tcW w:w="2430" w:type="dxa"/>
          </w:tcPr>
          <w:p w14:paraId="54AC1AB9" w14:textId="31F355EE" w:rsidR="001F78A2" w:rsidRPr="003F6147" w:rsidRDefault="001F78A2" w:rsidP="00D74B09">
            <w:pPr>
              <w:jc w:val="both"/>
            </w:pPr>
            <w:r>
              <w:t>Pre</w:t>
            </w:r>
            <w:r w:rsidR="00250EC8">
              <w:t>f</w:t>
            </w:r>
            <w:r>
              <w:t xml:space="preserve">abricated </w:t>
            </w:r>
            <w:r w:rsidR="00D74B09">
              <w:t>H</w:t>
            </w:r>
            <w:r>
              <w:t>omes</w:t>
            </w:r>
          </w:p>
        </w:tc>
        <w:tc>
          <w:tcPr>
            <w:tcW w:w="6930" w:type="dxa"/>
          </w:tcPr>
          <w:p w14:paraId="698A183A" w14:textId="7647B717" w:rsidR="001F78A2" w:rsidRPr="00D74B09" w:rsidRDefault="00AD035C" w:rsidP="003F6147">
            <w:pPr>
              <w:spacing w:before="100" w:beforeAutospacing="1" w:after="100" w:afterAutospacing="1"/>
              <w:rPr>
                <w:iCs/>
              </w:rPr>
            </w:pPr>
            <w:r w:rsidRPr="00D74B09">
              <w:rPr>
                <w:iCs/>
              </w:rPr>
              <w:t>Residential building</w:t>
            </w:r>
            <w:r w:rsidR="00D74B09" w:rsidRPr="00D74B09">
              <w:rPr>
                <w:iCs/>
              </w:rPr>
              <w:t>s</w:t>
            </w:r>
            <w:r w:rsidRPr="00D74B09">
              <w:rPr>
                <w:iCs/>
              </w:rPr>
              <w:t xml:space="preserve"> which are manufactured off-site in advance, usually in standard s</w:t>
            </w:r>
            <w:r w:rsidR="005600F8">
              <w:rPr>
                <w:iCs/>
              </w:rPr>
              <w:t>e</w:t>
            </w:r>
            <w:r w:rsidRPr="00D74B09">
              <w:rPr>
                <w:iCs/>
              </w:rPr>
              <w:t>ctions that can be easily shipped and assembled.</w:t>
            </w:r>
            <w:r w:rsidR="005600F8">
              <w:rPr>
                <w:iCs/>
              </w:rPr>
              <w:t xml:space="preserve"> </w:t>
            </w:r>
            <w:r w:rsidR="009D54C4">
              <w:rPr>
                <w:iCs/>
              </w:rPr>
              <w:t>These can include modular or manufactured homes.</w:t>
            </w:r>
          </w:p>
        </w:tc>
      </w:tr>
      <w:tr w:rsidR="003327D0" w:rsidRPr="003F6147" w14:paraId="76FCC24D" w14:textId="77777777" w:rsidTr="1C048822">
        <w:tc>
          <w:tcPr>
            <w:tcW w:w="2430" w:type="dxa"/>
          </w:tcPr>
          <w:p w14:paraId="1435B63B" w14:textId="611806AF" w:rsidR="003327D0" w:rsidRPr="003F6147" w:rsidRDefault="003327D0" w:rsidP="003F6147">
            <w:pPr>
              <w:jc w:val="both"/>
            </w:pPr>
            <w:r>
              <w:t>Photo</w:t>
            </w:r>
            <w:r w:rsidR="00FC4345">
              <w:t>v</w:t>
            </w:r>
            <w:r>
              <w:t>oltaic</w:t>
            </w:r>
          </w:p>
        </w:tc>
        <w:tc>
          <w:tcPr>
            <w:tcW w:w="6930" w:type="dxa"/>
          </w:tcPr>
          <w:p w14:paraId="6B9CBC9D" w14:textId="6F458442" w:rsidR="003327D0" w:rsidRPr="00957AD5" w:rsidRDefault="00FC4345" w:rsidP="003F6147">
            <w:pPr>
              <w:spacing w:before="100" w:beforeAutospacing="1" w:after="100" w:afterAutospacing="1"/>
              <w:rPr>
                <w:iCs/>
              </w:rPr>
            </w:pPr>
            <w:r>
              <w:rPr>
                <w:iCs/>
              </w:rPr>
              <w:t>A</w:t>
            </w:r>
            <w:r w:rsidRPr="00FC4345">
              <w:rPr>
                <w:iCs/>
              </w:rPr>
              <w:t>n electrical device that converts the energy of light directly into electricity by the photovoltaic effect</w:t>
            </w:r>
          </w:p>
        </w:tc>
      </w:tr>
      <w:tr w:rsidR="003F6147" w:rsidRPr="003F6147" w14:paraId="2F48986C" w14:textId="77777777" w:rsidTr="1C048822">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3E5D3093" w:rsidR="003F6147" w:rsidRPr="003F6147" w:rsidRDefault="003F6147" w:rsidP="1C048822">
            <w:pPr>
              <w:spacing w:before="100" w:beforeAutospacing="1" w:after="100" w:afterAutospacing="1"/>
            </w:pPr>
            <w:r w:rsidRPr="1C048822">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3F6147" w14:paraId="6E267D56" w14:textId="77777777" w:rsidTr="1C048822">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1C048822">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1C048822">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133F11" w:rsidRPr="003F6147" w14:paraId="3C71349C" w14:textId="77777777" w:rsidTr="1C048822">
        <w:tc>
          <w:tcPr>
            <w:tcW w:w="2430" w:type="dxa"/>
          </w:tcPr>
          <w:p w14:paraId="5BB6090C" w14:textId="41783649" w:rsidR="00133F11" w:rsidRPr="003F6147" w:rsidRDefault="002B5424" w:rsidP="003F6147">
            <w:pPr>
              <w:jc w:val="both"/>
            </w:pPr>
            <w:r>
              <w:t>R-value</w:t>
            </w:r>
          </w:p>
        </w:tc>
        <w:tc>
          <w:tcPr>
            <w:tcW w:w="6930" w:type="dxa"/>
          </w:tcPr>
          <w:p w14:paraId="7185FE14" w14:textId="0B1FC688" w:rsidR="00133F11" w:rsidRPr="003F6147" w:rsidRDefault="00C234EB" w:rsidP="003F6147">
            <w:pPr>
              <w:jc w:val="both"/>
            </w:pPr>
            <w:r>
              <w:t xml:space="preserve">A unit of thermal resistance used for comparing insulating values of different material. It is </w:t>
            </w:r>
            <w:r w:rsidR="00A05070">
              <w:t>a</w:t>
            </w:r>
            <w:r>
              <w:t xml:space="preserve"> measure of the effectiveness of insulation in stopping heat flow. The higher the R-value number, a material, the greater its insulating properties and the slower the heat flow through it. The specific value needed to insulate a home depends on climate, type of heating system and other factors.</w:t>
            </w:r>
          </w:p>
        </w:tc>
      </w:tr>
      <w:tr w:rsidR="003F6147" w:rsidRPr="003F6147" w14:paraId="5A22456C" w14:textId="77777777" w:rsidTr="1C048822">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1C048822">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6B1DC3B9" w:rsidR="003F6147" w:rsidRPr="003F6147" w:rsidRDefault="003F6147" w:rsidP="003F6147">
            <w:pPr>
              <w:jc w:val="both"/>
            </w:pPr>
            <w:r>
              <w:t xml:space="preserve">This entire document, including all attachments, exhibits, any addendum and written notices, and questions and answers </w:t>
            </w:r>
            <w:r>
              <w:lastRenderedPageBreak/>
              <w:t>(“solicitation” may be used interchangeably with “Grant Funding Opportunity”)</w:t>
            </w:r>
            <w:r w:rsidR="00861F15">
              <w:t>.</w:t>
            </w:r>
            <w:r>
              <w:t xml:space="preserve"> </w:t>
            </w:r>
          </w:p>
        </w:tc>
      </w:tr>
      <w:tr w:rsidR="003F6147" w:rsidRPr="003F6147" w14:paraId="277930E9" w14:textId="77777777" w:rsidTr="1C048822">
        <w:tc>
          <w:tcPr>
            <w:tcW w:w="2430" w:type="dxa"/>
          </w:tcPr>
          <w:p w14:paraId="2490391B" w14:textId="77777777" w:rsidR="003F6147" w:rsidRPr="003F6147" w:rsidRDefault="003F6147" w:rsidP="003F6147">
            <w:pPr>
              <w:jc w:val="both"/>
            </w:pPr>
            <w:r w:rsidRPr="003F6147">
              <w:lastRenderedPageBreak/>
              <w:t>State</w:t>
            </w:r>
          </w:p>
        </w:tc>
        <w:tc>
          <w:tcPr>
            <w:tcW w:w="6930" w:type="dxa"/>
          </w:tcPr>
          <w:p w14:paraId="4BEB9328" w14:textId="77777777" w:rsidR="003F6147" w:rsidRPr="003F6147" w:rsidRDefault="003F6147" w:rsidP="003F6147">
            <w:pPr>
              <w:jc w:val="both"/>
            </w:pPr>
            <w:r w:rsidRPr="003F6147">
              <w:t>State of California</w:t>
            </w:r>
          </w:p>
        </w:tc>
      </w:tr>
      <w:tr w:rsidR="00F07305" w:rsidRPr="003F6147" w14:paraId="0290A720" w14:textId="77777777" w:rsidTr="1C048822">
        <w:tc>
          <w:tcPr>
            <w:tcW w:w="2430" w:type="dxa"/>
          </w:tcPr>
          <w:p w14:paraId="55AAED6A" w14:textId="166E62C3" w:rsidR="00F07305" w:rsidRPr="003F6147" w:rsidRDefault="00F07305" w:rsidP="003F6147">
            <w:pPr>
              <w:jc w:val="both"/>
            </w:pPr>
            <w:r>
              <w:t xml:space="preserve">Title 24 </w:t>
            </w:r>
          </w:p>
        </w:tc>
        <w:tc>
          <w:tcPr>
            <w:tcW w:w="6930" w:type="dxa"/>
          </w:tcPr>
          <w:p w14:paraId="1962E8FB" w14:textId="45234C17" w:rsidR="00F07305" w:rsidRPr="00AF01C2" w:rsidRDefault="0014329F" w:rsidP="003F6147">
            <w:pPr>
              <w:jc w:val="both"/>
            </w:pPr>
            <w:r w:rsidRPr="1C048822">
              <w:rPr>
                <w:i/>
                <w:iCs/>
              </w:rPr>
              <w:t xml:space="preserve">Building Energy Efficiency Standards </w:t>
            </w:r>
            <w:r w:rsidR="00AF01C2" w:rsidRPr="1C048822">
              <w:rPr>
                <w:i/>
                <w:iCs/>
              </w:rPr>
              <w:t>(Title 24, Parts 6 and 11)</w:t>
            </w:r>
            <w:r w:rsidR="00AF01C2">
              <w:t xml:space="preserve">. </w:t>
            </w:r>
            <w:r w:rsidR="009526D5">
              <w:t xml:space="preserve">For </w:t>
            </w:r>
            <w:r w:rsidR="00A53077">
              <w:t xml:space="preserve">the </w:t>
            </w:r>
            <w:r w:rsidR="00E53426">
              <w:t>recent 2022</w:t>
            </w:r>
            <w:r w:rsidR="001F4443">
              <w:t xml:space="preserve"> standards </w:t>
            </w:r>
            <w:r w:rsidR="009526D5">
              <w:t>refer to:</w:t>
            </w:r>
            <w:r w:rsidR="00AF01C2">
              <w:t xml:space="preserve"> </w:t>
            </w:r>
            <w:r w:rsidR="009526D5">
              <w:t>https://www.energy.ca.gov/programs-and-topics/programs/building-energy-efficiency-standards</w:t>
            </w:r>
          </w:p>
        </w:tc>
      </w:tr>
      <w:tr w:rsidR="00960D30" w:rsidRPr="003F6147" w14:paraId="26EDE60B" w14:textId="77777777" w:rsidTr="1C048822">
        <w:tc>
          <w:tcPr>
            <w:tcW w:w="2430" w:type="dxa"/>
          </w:tcPr>
          <w:p w14:paraId="6F562A24" w14:textId="77777777" w:rsidR="00960D30" w:rsidRPr="003F6147" w:rsidRDefault="00960D30" w:rsidP="00EC2034">
            <w:pPr>
              <w:jc w:val="both"/>
            </w:pPr>
            <w:r>
              <w:t>TRL</w:t>
            </w:r>
          </w:p>
        </w:tc>
        <w:tc>
          <w:tcPr>
            <w:tcW w:w="6930" w:type="dxa"/>
          </w:tcPr>
          <w:p w14:paraId="579B9C91" w14:textId="064CD9F9" w:rsidR="00960D30" w:rsidRPr="007076F1" w:rsidRDefault="00A231E3" w:rsidP="00EC2034">
            <w:pPr>
              <w:spacing w:after="0"/>
              <w:rPr>
                <w:szCs w:val="22"/>
              </w:rPr>
            </w:pPr>
            <w:r w:rsidRPr="007076F1">
              <w:rPr>
                <w:szCs w:val="22"/>
              </w:rPr>
              <w:t>Technology readiness levels</w:t>
            </w:r>
            <w:r w:rsidR="00960D30" w:rsidRPr="007076F1">
              <w:rPr>
                <w:szCs w:val="22"/>
              </w:rPr>
              <w:t xml:space="preserve"> are a method for estimating the maturity of technologies during the acquisition phase of a program.</w:t>
            </w:r>
          </w:p>
          <w:p w14:paraId="07D23953" w14:textId="7D0AA669" w:rsidR="00960D30" w:rsidRPr="003F6147" w:rsidRDefault="00960D30" w:rsidP="00EC2034">
            <w:pPr>
              <w:jc w:val="both"/>
            </w:pPr>
            <w:r w:rsidRPr="007076F1">
              <w:rPr>
                <w:szCs w:val="22"/>
              </w:rPr>
              <w:t xml:space="preserve">Source: U.S. Department of Energy, “Technology Readiness Assessment Guide”. </w:t>
            </w:r>
            <w:hyperlink r:id="rId15" w:history="1">
              <w:r w:rsidRPr="007076F1">
                <w:rPr>
                  <w:rStyle w:val="Hyperlink"/>
                  <w:rFonts w:cs="Arial"/>
                  <w:color w:val="auto"/>
                  <w:szCs w:val="22"/>
                </w:rPr>
                <w:t>https://www2.lbl.gov/dir/assets/docs/TRL%20guide.pdf</w:t>
              </w:r>
            </w:hyperlink>
          </w:p>
        </w:tc>
      </w:tr>
      <w:tr w:rsidR="00716CA3" w:rsidRPr="003F6147" w14:paraId="16CC38DE" w14:textId="77777777" w:rsidTr="1C048822">
        <w:tc>
          <w:tcPr>
            <w:tcW w:w="2430" w:type="dxa"/>
          </w:tcPr>
          <w:p w14:paraId="0624B524" w14:textId="4F517A7E" w:rsidR="00716CA3" w:rsidRPr="005D5F9D" w:rsidRDefault="006339B5" w:rsidP="005D5F9D">
            <w:pPr>
              <w:rPr>
                <w:highlight w:val="yellow"/>
              </w:rPr>
            </w:pPr>
            <w:r w:rsidRPr="006339B5">
              <w:rPr>
                <w:szCs w:val="22"/>
              </w:rPr>
              <w:t>Under-</w:t>
            </w:r>
            <w:r>
              <w:rPr>
                <w:szCs w:val="22"/>
              </w:rPr>
              <w:t>R</w:t>
            </w:r>
            <w:r w:rsidRPr="006339B5">
              <w:rPr>
                <w:szCs w:val="22"/>
              </w:rPr>
              <w:t xml:space="preserve">esourced </w:t>
            </w:r>
            <w:r>
              <w:rPr>
                <w:szCs w:val="22"/>
              </w:rPr>
              <w:t>C</w:t>
            </w:r>
            <w:r w:rsidRPr="006339B5">
              <w:rPr>
                <w:szCs w:val="22"/>
              </w:rPr>
              <w:t>ommunities</w:t>
            </w:r>
          </w:p>
        </w:tc>
        <w:tc>
          <w:tcPr>
            <w:tcW w:w="6930" w:type="dxa"/>
          </w:tcPr>
          <w:p w14:paraId="4945D369" w14:textId="4D52CC32" w:rsidR="00716CA3" w:rsidRPr="001B6C87" w:rsidRDefault="006339B5" w:rsidP="00EC2034">
            <w:pPr>
              <w:spacing w:after="0"/>
              <w:rPr>
                <w:szCs w:val="22"/>
              </w:rPr>
            </w:pPr>
            <w:r w:rsidRPr="006339B5">
              <w:rPr>
                <w:szCs w:val="22"/>
              </w:rPr>
              <w:t xml:space="preserve">Under-resourced communities </w:t>
            </w:r>
            <w:r w:rsidR="00A231E3" w:rsidRPr="006339B5">
              <w:rPr>
                <w:szCs w:val="22"/>
              </w:rPr>
              <w:t>refer</w:t>
            </w:r>
            <w:r w:rsidRPr="006339B5">
              <w:rPr>
                <w:szCs w:val="22"/>
              </w:rPr>
              <w:t xml:space="preserve"> to communities that lack energy-related resources and who should be prioritized for investments to increase those resources</w:t>
            </w:r>
          </w:p>
        </w:tc>
      </w:tr>
      <w:tr w:rsidR="005D5F9D" w:rsidRPr="003F6147" w14:paraId="56795301" w14:textId="77777777" w:rsidTr="1C048822">
        <w:tc>
          <w:tcPr>
            <w:tcW w:w="2430" w:type="dxa"/>
          </w:tcPr>
          <w:p w14:paraId="34611466" w14:textId="6628593D" w:rsidR="005D5F9D" w:rsidRDefault="005D5F9D" w:rsidP="005D5F9D">
            <w:r w:rsidRPr="001B6C87">
              <w:t>ZC</w:t>
            </w:r>
            <w:r>
              <w:t xml:space="preserve"> </w:t>
            </w:r>
          </w:p>
        </w:tc>
        <w:tc>
          <w:tcPr>
            <w:tcW w:w="6930" w:type="dxa"/>
          </w:tcPr>
          <w:p w14:paraId="0B58531E" w14:textId="2052D6E8" w:rsidR="005D5F9D" w:rsidRPr="005D5F9D" w:rsidRDefault="005D5F9D" w:rsidP="00EC2034">
            <w:pPr>
              <w:spacing w:after="0"/>
              <w:rPr>
                <w:szCs w:val="22"/>
              </w:rPr>
            </w:pPr>
            <w:r w:rsidRPr="005D5F9D">
              <w:rPr>
                <w:i/>
                <w:iCs/>
                <w:szCs w:val="22"/>
              </w:rPr>
              <w:t>Zero-Carbon</w:t>
            </w:r>
            <w:r w:rsidR="00C96501">
              <w:rPr>
                <w:szCs w:val="22"/>
              </w:rPr>
              <w:t xml:space="preserve"> is defined as zero onsite </w:t>
            </w:r>
            <w:r w:rsidR="00233D80">
              <w:rPr>
                <w:szCs w:val="22"/>
              </w:rPr>
              <w:t>operating carbon emissions</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5E7E97D" w:rsidR="003F6147" w:rsidRDefault="003F6147">
      <w:pPr>
        <w:pStyle w:val="Heading2"/>
        <w:numPr>
          <w:ilvl w:val="0"/>
          <w:numId w:val="53"/>
        </w:numPr>
      </w:pPr>
      <w:bookmarkStart w:id="24" w:name="_Toc87335014"/>
      <w:bookmarkStart w:id="25" w:name="_Toc458602324"/>
      <w:r w:rsidRPr="00756BAC">
        <w:t>Project Focus</w:t>
      </w:r>
      <w:bookmarkEnd w:id="24"/>
    </w:p>
    <w:p w14:paraId="5CF54650" w14:textId="4897461A" w:rsidR="00E95106" w:rsidRDefault="00E95106" w:rsidP="00E95106">
      <w:pPr>
        <w:pStyle w:val="Heading3"/>
      </w:pPr>
    </w:p>
    <w:p w14:paraId="42822FBC" w14:textId="5A30DD7B" w:rsidR="00F95C48" w:rsidRPr="00AD5398" w:rsidRDefault="00F95C48" w:rsidP="1978D05A">
      <w:pPr>
        <w:pStyle w:val="Heading3"/>
        <w:rPr>
          <w:b w:val="0"/>
        </w:rPr>
      </w:pPr>
      <w:r>
        <w:rPr>
          <w:b w:val="0"/>
        </w:rPr>
        <w:t xml:space="preserve">The </w:t>
      </w:r>
      <w:r w:rsidR="008E3608">
        <w:rPr>
          <w:b w:val="0"/>
        </w:rPr>
        <w:t xml:space="preserve">project focuses on </w:t>
      </w:r>
      <w:r w:rsidR="004D1A98">
        <w:rPr>
          <w:b w:val="0"/>
        </w:rPr>
        <w:t>d</w:t>
      </w:r>
      <w:r>
        <w:rPr>
          <w:b w:val="0"/>
        </w:rPr>
        <w:t>evelop</w:t>
      </w:r>
      <w:r w:rsidR="00505FBD">
        <w:rPr>
          <w:b w:val="0"/>
        </w:rPr>
        <w:t xml:space="preserve">ing an </w:t>
      </w:r>
      <w:r>
        <w:rPr>
          <w:b w:val="0"/>
        </w:rPr>
        <w:t>integrat</w:t>
      </w:r>
      <w:r w:rsidR="00505FBD">
        <w:rPr>
          <w:b w:val="0"/>
        </w:rPr>
        <w:t xml:space="preserve">ed </w:t>
      </w:r>
      <w:r>
        <w:rPr>
          <w:b w:val="0"/>
        </w:rPr>
        <w:t xml:space="preserve">portfolio of </w:t>
      </w:r>
      <w:r w:rsidR="001B4ADF">
        <w:rPr>
          <w:b w:val="0"/>
        </w:rPr>
        <w:t>ene</w:t>
      </w:r>
      <w:r w:rsidR="003E64BB">
        <w:rPr>
          <w:b w:val="0"/>
        </w:rPr>
        <w:t xml:space="preserve">rgy </w:t>
      </w:r>
      <w:r>
        <w:rPr>
          <w:b w:val="0"/>
        </w:rPr>
        <w:t>solutions</w:t>
      </w:r>
      <w:r w:rsidR="00505FBD">
        <w:rPr>
          <w:b w:val="0"/>
        </w:rPr>
        <w:t xml:space="preserve"> to increase </w:t>
      </w:r>
      <w:r w:rsidR="00AB6E50">
        <w:rPr>
          <w:b w:val="0"/>
        </w:rPr>
        <w:t>energy efficiency and reduce ownership and operating cost for prefabricated homes</w:t>
      </w:r>
      <w:r w:rsidR="1AD085A4">
        <w:rPr>
          <w:b w:val="0"/>
        </w:rPr>
        <w:t>.</w:t>
      </w:r>
      <w:r>
        <w:rPr>
          <w:b w:val="0"/>
        </w:rPr>
        <w:t xml:space="preserve"> </w:t>
      </w:r>
      <w:r w:rsidR="00FE1B13">
        <w:rPr>
          <w:b w:val="0"/>
        </w:rPr>
        <w:t>T</w:t>
      </w:r>
      <w:r>
        <w:rPr>
          <w:b w:val="0"/>
        </w:rPr>
        <w:t>h</w:t>
      </w:r>
      <w:r w:rsidR="00E70329">
        <w:rPr>
          <w:b w:val="0"/>
        </w:rPr>
        <w:t>is</w:t>
      </w:r>
      <w:r>
        <w:rPr>
          <w:b w:val="0"/>
        </w:rPr>
        <w:t xml:space="preserve"> </w:t>
      </w:r>
      <w:r w:rsidR="0099789A">
        <w:rPr>
          <w:b w:val="0"/>
        </w:rPr>
        <w:t xml:space="preserve">may </w:t>
      </w:r>
      <w:r>
        <w:rPr>
          <w:b w:val="0"/>
        </w:rPr>
        <w:t>include advanced envelop</w:t>
      </w:r>
      <w:r w:rsidR="00160C24">
        <w:rPr>
          <w:b w:val="0"/>
        </w:rPr>
        <w:t>e</w:t>
      </w:r>
      <w:r>
        <w:rPr>
          <w:b w:val="0"/>
        </w:rPr>
        <w:t xml:space="preserve">s, high efficiency heat pumps, smart electric panels, </w:t>
      </w:r>
      <w:r w:rsidR="007C0276">
        <w:rPr>
          <w:b w:val="0"/>
        </w:rPr>
        <w:t xml:space="preserve">and </w:t>
      </w:r>
      <w:r>
        <w:rPr>
          <w:b w:val="0"/>
        </w:rPr>
        <w:t>use of advance innovative manufacturing technologies or processes</w:t>
      </w:r>
      <w:r w:rsidR="00297F90">
        <w:rPr>
          <w:b w:val="0"/>
        </w:rPr>
        <w:t xml:space="preserve"> for prefabricated homes</w:t>
      </w:r>
      <w:r>
        <w:rPr>
          <w:b w:val="0"/>
        </w:rPr>
        <w:t xml:space="preserve">.  </w:t>
      </w:r>
      <w:r w:rsidR="00D170C5">
        <w:rPr>
          <w:b w:val="0"/>
        </w:rPr>
        <w:t>T</w:t>
      </w:r>
      <w:r w:rsidR="001454A3">
        <w:rPr>
          <w:b w:val="0"/>
        </w:rPr>
        <w:t xml:space="preserve">he </w:t>
      </w:r>
      <w:r w:rsidR="00C611DE">
        <w:rPr>
          <w:b w:val="0"/>
        </w:rPr>
        <w:t>goa</w:t>
      </w:r>
      <w:r w:rsidR="0049477A">
        <w:rPr>
          <w:b w:val="0"/>
        </w:rPr>
        <w:t>ls</w:t>
      </w:r>
      <w:r w:rsidR="001454A3">
        <w:rPr>
          <w:b w:val="0"/>
        </w:rPr>
        <w:t xml:space="preserve"> </w:t>
      </w:r>
      <w:r w:rsidR="00D170C5">
        <w:rPr>
          <w:b w:val="0"/>
        </w:rPr>
        <w:t xml:space="preserve">are </w:t>
      </w:r>
      <w:r w:rsidR="007C0276">
        <w:rPr>
          <w:b w:val="0"/>
        </w:rPr>
        <w:t>to</w:t>
      </w:r>
      <w:r w:rsidR="009422A9">
        <w:rPr>
          <w:b w:val="0"/>
        </w:rPr>
        <w:t xml:space="preserve">: 1) </w:t>
      </w:r>
      <w:r w:rsidR="007C0276">
        <w:rPr>
          <w:b w:val="0"/>
        </w:rPr>
        <w:t xml:space="preserve"> </w:t>
      </w:r>
      <w:r>
        <w:rPr>
          <w:b w:val="0"/>
        </w:rPr>
        <w:t>creat</w:t>
      </w:r>
      <w:r w:rsidR="007C0276">
        <w:rPr>
          <w:b w:val="0"/>
        </w:rPr>
        <w:t xml:space="preserve">e </w:t>
      </w:r>
      <w:r>
        <w:rPr>
          <w:b w:val="0"/>
        </w:rPr>
        <w:t xml:space="preserve"> a model for </w:t>
      </w:r>
      <w:r w:rsidR="00CB1F7A">
        <w:rPr>
          <w:b w:val="0"/>
        </w:rPr>
        <w:t xml:space="preserve">energy efficient and resilient </w:t>
      </w:r>
      <w:r>
        <w:rPr>
          <w:b w:val="0"/>
        </w:rPr>
        <w:t xml:space="preserve">prefabricated home </w:t>
      </w:r>
      <w:r w:rsidR="00F047F0">
        <w:rPr>
          <w:b w:val="0"/>
        </w:rPr>
        <w:t xml:space="preserve"> that </w:t>
      </w:r>
      <w:r>
        <w:rPr>
          <w:b w:val="0"/>
        </w:rPr>
        <w:t xml:space="preserve">builders </w:t>
      </w:r>
      <w:r w:rsidR="00F047F0">
        <w:rPr>
          <w:b w:val="0"/>
        </w:rPr>
        <w:t xml:space="preserve">can </w:t>
      </w:r>
      <w:r>
        <w:rPr>
          <w:b w:val="0"/>
        </w:rPr>
        <w:t>use and adopt in their own</w:t>
      </w:r>
      <w:r w:rsidR="00A12D34">
        <w:rPr>
          <w:b w:val="0"/>
        </w:rPr>
        <w:t xml:space="preserve"> </w:t>
      </w:r>
      <w:r>
        <w:rPr>
          <w:b w:val="0"/>
        </w:rPr>
        <w:t>processes</w:t>
      </w:r>
      <w:r w:rsidR="009422A9">
        <w:rPr>
          <w:b w:val="0"/>
        </w:rPr>
        <w:t xml:space="preserve">, </w:t>
      </w:r>
      <w:r w:rsidR="00491B16">
        <w:rPr>
          <w:b w:val="0"/>
        </w:rPr>
        <w:t xml:space="preserve">2) increase construction sector </w:t>
      </w:r>
      <w:r w:rsidR="00B64BCD">
        <w:rPr>
          <w:b w:val="0"/>
        </w:rPr>
        <w:t>adoption and use of these models</w:t>
      </w:r>
      <w:r w:rsidR="00577994">
        <w:rPr>
          <w:b w:val="0"/>
        </w:rPr>
        <w:t xml:space="preserve"> by </w:t>
      </w:r>
      <w:r w:rsidR="005222CA">
        <w:rPr>
          <w:b w:val="0"/>
        </w:rPr>
        <w:t>showing costs and benefits</w:t>
      </w:r>
      <w:r w:rsidR="00B64BCD">
        <w:rPr>
          <w:b w:val="0"/>
        </w:rPr>
        <w:t>, and 3</w:t>
      </w:r>
      <w:r w:rsidR="009422A9">
        <w:rPr>
          <w:b w:val="0"/>
        </w:rPr>
        <w:t xml:space="preserve">) </w:t>
      </w:r>
      <w:r w:rsidR="00B64BCD">
        <w:rPr>
          <w:b w:val="0"/>
        </w:rPr>
        <w:t>reduce the cost</w:t>
      </w:r>
      <w:r w:rsidR="00D91A1C">
        <w:rPr>
          <w:b w:val="0"/>
        </w:rPr>
        <w:t xml:space="preserve"> of home construction and </w:t>
      </w:r>
      <w:r w:rsidR="00EB6715">
        <w:rPr>
          <w:b w:val="0"/>
        </w:rPr>
        <w:t xml:space="preserve">home ownership </w:t>
      </w:r>
      <w:r w:rsidR="00D91A1C">
        <w:rPr>
          <w:b w:val="0"/>
        </w:rPr>
        <w:t xml:space="preserve">while increasing </w:t>
      </w:r>
      <w:r w:rsidR="00EB6715">
        <w:rPr>
          <w:b w:val="0"/>
        </w:rPr>
        <w:t xml:space="preserve">the availability of energy efficient  affordable </w:t>
      </w:r>
      <w:r w:rsidR="004E3108">
        <w:rPr>
          <w:b w:val="0"/>
        </w:rPr>
        <w:t>housing.</w:t>
      </w:r>
      <w:r>
        <w:t xml:space="preserve"> </w:t>
      </w:r>
      <w:r>
        <w:rPr>
          <w:b w:val="0"/>
        </w:rPr>
        <w:t xml:space="preserve">Affordable refers to the purchase price of the home as this is the largest barrier to overcome for low to </w:t>
      </w:r>
      <w:r w:rsidR="005C0A17">
        <w:rPr>
          <w:b w:val="0"/>
        </w:rPr>
        <w:t xml:space="preserve">moderate </w:t>
      </w:r>
      <w:r>
        <w:rPr>
          <w:b w:val="0"/>
        </w:rPr>
        <w:t>income (LMI) home buyers.</w:t>
      </w:r>
    </w:p>
    <w:p w14:paraId="6E692185" w14:textId="7C8D2B01" w:rsidR="00E95106" w:rsidRPr="00AD5398" w:rsidRDefault="00E03C4A" w:rsidP="00E95106">
      <w:pPr>
        <w:pStyle w:val="Heading3"/>
        <w:rPr>
          <w:b w:val="0"/>
        </w:rPr>
      </w:pPr>
      <w:r w:rsidRPr="00AD5398">
        <w:rPr>
          <w:b w:val="0"/>
        </w:rPr>
        <w:t>Propos</w:t>
      </w:r>
      <w:r w:rsidR="004461DB" w:rsidRPr="00AD5398">
        <w:rPr>
          <w:b w:val="0"/>
        </w:rPr>
        <w:t>als</w:t>
      </w:r>
      <w:r w:rsidRPr="00AD5398">
        <w:rPr>
          <w:b w:val="0"/>
        </w:rPr>
        <w:t xml:space="preserve"> submitted </w:t>
      </w:r>
      <w:r w:rsidR="003A2DE1" w:rsidRPr="00AD5398">
        <w:rPr>
          <w:b w:val="0"/>
        </w:rPr>
        <w:t>to b</w:t>
      </w:r>
      <w:r w:rsidR="00E95106" w:rsidRPr="00AD5398">
        <w:rPr>
          <w:b w:val="0"/>
        </w:rPr>
        <w:t xml:space="preserve">oth </w:t>
      </w:r>
      <w:r w:rsidR="003A2DE1" w:rsidRPr="00AD5398">
        <w:rPr>
          <w:b w:val="0"/>
        </w:rPr>
        <w:t xml:space="preserve">funding </w:t>
      </w:r>
      <w:r w:rsidR="00E95106" w:rsidRPr="00AD5398">
        <w:rPr>
          <w:b w:val="0"/>
        </w:rPr>
        <w:t>groups</w:t>
      </w:r>
      <w:r w:rsidR="00E43B19" w:rsidRPr="00AD5398">
        <w:rPr>
          <w:b w:val="0"/>
        </w:rPr>
        <w:t>, as described in Section I.A.</w:t>
      </w:r>
      <w:r w:rsidR="00DE2858" w:rsidRPr="00AD5398">
        <w:rPr>
          <w:b w:val="0"/>
        </w:rPr>
        <w:t xml:space="preserve"> of this </w:t>
      </w:r>
      <w:r w:rsidR="00D14918" w:rsidRPr="00AD5398">
        <w:rPr>
          <w:b w:val="0"/>
        </w:rPr>
        <w:t>solicitation</w:t>
      </w:r>
      <w:r w:rsidR="00E43B19" w:rsidRPr="00AD5398">
        <w:rPr>
          <w:b w:val="0"/>
        </w:rPr>
        <w:t xml:space="preserve">, </w:t>
      </w:r>
      <w:r w:rsidR="00E95106" w:rsidRPr="00AD5398">
        <w:rPr>
          <w:b w:val="0"/>
        </w:rPr>
        <w:t xml:space="preserve">must meet </w:t>
      </w:r>
      <w:r w:rsidR="00F8127D" w:rsidRPr="00AD5398">
        <w:rPr>
          <w:b w:val="0"/>
        </w:rPr>
        <w:t xml:space="preserve">all </w:t>
      </w:r>
      <w:r w:rsidR="00E95106" w:rsidRPr="00AD5398">
        <w:rPr>
          <w:b w:val="0"/>
        </w:rPr>
        <w:t>the following minimum requirements</w:t>
      </w:r>
      <w:r w:rsidR="004461DB" w:rsidRPr="00AD5398">
        <w:rPr>
          <w:b w:val="0"/>
        </w:rPr>
        <w:t xml:space="preserve"> in their home designs</w:t>
      </w:r>
      <w:r w:rsidR="00E95106" w:rsidRPr="00AD5398">
        <w:rPr>
          <w:b w:val="0"/>
        </w:rPr>
        <w:t>:</w:t>
      </w:r>
    </w:p>
    <w:p w14:paraId="75EB27C1" w14:textId="20E748B7" w:rsidR="00E95106" w:rsidRPr="00AD5398" w:rsidRDefault="00E95106">
      <w:pPr>
        <w:numPr>
          <w:ilvl w:val="0"/>
          <w:numId w:val="49"/>
        </w:numPr>
        <w:ind w:hanging="360"/>
        <w:jc w:val="both"/>
      </w:pPr>
      <w:r w:rsidRPr="00AD5398">
        <w:t>all electric, using no fossil fue</w:t>
      </w:r>
      <w:r w:rsidR="001F01FF" w:rsidRPr="00AD5398">
        <w:t>ls</w:t>
      </w:r>
      <w:r w:rsidRPr="00AD5398">
        <w:t>;</w:t>
      </w:r>
    </w:p>
    <w:p w14:paraId="5961003D" w14:textId="0A6FD0C1" w:rsidR="00E95106" w:rsidRPr="00AD5398" w:rsidRDefault="00E95106">
      <w:pPr>
        <w:numPr>
          <w:ilvl w:val="0"/>
          <w:numId w:val="49"/>
        </w:numPr>
        <w:ind w:hanging="360"/>
        <w:jc w:val="both"/>
      </w:pPr>
      <w:r w:rsidRPr="00AD5398">
        <w:t>include solar PV with energy storage</w:t>
      </w:r>
      <w:r w:rsidR="00B044EF" w:rsidRPr="00AD5398">
        <w:t>;</w:t>
      </w:r>
    </w:p>
    <w:p w14:paraId="7952F800" w14:textId="40E761B8" w:rsidR="00E95106" w:rsidRPr="00AD5398" w:rsidRDefault="00E95106">
      <w:pPr>
        <w:numPr>
          <w:ilvl w:val="0"/>
          <w:numId w:val="49"/>
        </w:numPr>
        <w:ind w:hanging="360"/>
        <w:jc w:val="both"/>
      </w:pPr>
      <w:r w:rsidRPr="00AD5398">
        <w:t xml:space="preserve">have the capability to provide backup power to critical </w:t>
      </w:r>
      <w:r w:rsidR="00B3359D" w:rsidRPr="00AD5398">
        <w:t xml:space="preserve">systems </w:t>
      </w:r>
      <w:r w:rsidRPr="00AD5398">
        <w:t>during power outages;</w:t>
      </w:r>
    </w:p>
    <w:p w14:paraId="079C9CCD" w14:textId="4EB7B634" w:rsidR="00EA3804" w:rsidRPr="00AD5398" w:rsidRDefault="0074416A">
      <w:pPr>
        <w:pStyle w:val="ListParagraph"/>
        <w:numPr>
          <w:ilvl w:val="0"/>
          <w:numId w:val="49"/>
        </w:numPr>
        <w:ind w:hanging="360"/>
        <w:jc w:val="both"/>
      </w:pPr>
      <w:r w:rsidRPr="00AD5398">
        <w:t>h</w:t>
      </w:r>
      <w:r w:rsidR="00EA3804" w:rsidRPr="00AD5398">
        <w:t xml:space="preserve">ave lower annual energy </w:t>
      </w:r>
      <w:r w:rsidR="00F2130A" w:rsidRPr="00AD5398">
        <w:t xml:space="preserve">use and </w:t>
      </w:r>
      <w:r w:rsidR="00EA3804" w:rsidRPr="00AD5398">
        <w:t>costs than prefabricated homes currently on the market that use existing construction methods</w:t>
      </w:r>
      <w:r w:rsidR="008B1602" w:rsidRPr="00AD5398">
        <w:t>;</w:t>
      </w:r>
    </w:p>
    <w:p w14:paraId="167C373A" w14:textId="1E037313" w:rsidR="000438E8" w:rsidRPr="00AD5398" w:rsidRDefault="0074416A">
      <w:pPr>
        <w:pStyle w:val="ListParagraph"/>
        <w:numPr>
          <w:ilvl w:val="0"/>
          <w:numId w:val="49"/>
        </w:numPr>
        <w:ind w:hanging="360"/>
        <w:jc w:val="both"/>
      </w:pPr>
      <w:r w:rsidRPr="00AD5398">
        <w:t>p</w:t>
      </w:r>
      <w:r w:rsidR="002A49CE" w:rsidRPr="00AD5398">
        <w:t xml:space="preserve">artner with a </w:t>
      </w:r>
      <w:proofErr w:type="gramStart"/>
      <w:r w:rsidR="00A51775" w:rsidRPr="00AD5398">
        <w:t>pre-fabricated</w:t>
      </w:r>
      <w:proofErr w:type="gramEnd"/>
      <w:r w:rsidR="00A51775" w:rsidRPr="00AD5398">
        <w:t xml:space="preserve"> building manufacturer</w:t>
      </w:r>
      <w:r w:rsidR="008B1602" w:rsidRPr="00AD5398">
        <w:t>;</w:t>
      </w:r>
    </w:p>
    <w:p w14:paraId="4EAAF21F" w14:textId="33CB98D7" w:rsidR="00CD26E8" w:rsidRPr="00AD5398" w:rsidRDefault="00F02CDE">
      <w:pPr>
        <w:pStyle w:val="ListParagraph"/>
        <w:numPr>
          <w:ilvl w:val="0"/>
          <w:numId w:val="49"/>
        </w:numPr>
        <w:ind w:hanging="360"/>
        <w:jc w:val="both"/>
      </w:pPr>
      <w:r w:rsidRPr="00AD5398">
        <w:t>m</w:t>
      </w:r>
      <w:r w:rsidR="56691C8E" w:rsidRPr="00AD5398">
        <w:t xml:space="preserve">odular </w:t>
      </w:r>
      <w:r w:rsidRPr="00AD5398">
        <w:t>h</w:t>
      </w:r>
      <w:r w:rsidR="56691C8E" w:rsidRPr="00AD5398">
        <w:t>omes must m</w:t>
      </w:r>
      <w:r w:rsidR="338B9142" w:rsidRPr="00AD5398">
        <w:t>eet 2022 Title 24 Building Energy Efficiency Standards;</w:t>
      </w:r>
    </w:p>
    <w:p w14:paraId="6A6E4CF4" w14:textId="25BA5B63" w:rsidR="00DC6484" w:rsidRPr="00AD5398" w:rsidRDefault="00676C19">
      <w:pPr>
        <w:pStyle w:val="ListParagraph"/>
        <w:numPr>
          <w:ilvl w:val="0"/>
          <w:numId w:val="49"/>
        </w:numPr>
        <w:ind w:hanging="360"/>
        <w:jc w:val="both"/>
      </w:pPr>
      <w:r w:rsidRPr="00AD5398">
        <w:t>b</w:t>
      </w:r>
      <w:r w:rsidR="009059ED" w:rsidRPr="00AD5398">
        <w:t xml:space="preserve">e located in </w:t>
      </w:r>
      <w:r w:rsidR="006C5251" w:rsidRPr="00AD5398">
        <w:t>areas that have high potential for energy</w:t>
      </w:r>
      <w:r w:rsidR="005D3F8A" w:rsidRPr="00AD5398">
        <w:t xml:space="preserve"> and cost</w:t>
      </w:r>
      <w:r w:rsidR="00520A53" w:rsidRPr="00AD5398">
        <w:t xml:space="preserve"> savings</w:t>
      </w:r>
      <w:r w:rsidR="006C5251" w:rsidRPr="00AD5398">
        <w:t xml:space="preserve"> such as </w:t>
      </w:r>
      <w:r w:rsidR="00F854E2" w:rsidRPr="00AD5398">
        <w:t>climate zones 10,11,12</w:t>
      </w:r>
      <w:r w:rsidR="00730DC7" w:rsidRPr="00AD5398">
        <w:t>,13</w:t>
      </w:r>
      <w:r w:rsidR="00F854E2" w:rsidRPr="00AD5398">
        <w:t xml:space="preserve"> and 14</w:t>
      </w:r>
      <w:r w:rsidR="005D3F8A" w:rsidRPr="00AD5398">
        <w:t>.</w:t>
      </w:r>
    </w:p>
    <w:p w14:paraId="79B44E28" w14:textId="5A1B537F" w:rsidR="00643493" w:rsidRPr="00AD5398" w:rsidRDefault="00D462F7" w:rsidP="001B6C87">
      <w:pPr>
        <w:pStyle w:val="ListParagraph"/>
        <w:ind w:left="0"/>
        <w:jc w:val="both"/>
      </w:pPr>
      <w:r>
        <w:lastRenderedPageBreak/>
        <w:t xml:space="preserve">The CEC grant will pay for the incremental cost difference </w:t>
      </w:r>
      <w:r w:rsidR="00AC6285">
        <w:t>between a standard home</w:t>
      </w:r>
      <w:r w:rsidR="00983A85">
        <w:t xml:space="preserve"> </w:t>
      </w:r>
      <w:r w:rsidR="005470A1">
        <w:t>versus the zero</w:t>
      </w:r>
      <w:r w:rsidR="46C5D9CB">
        <w:t>-</w:t>
      </w:r>
      <w:r w:rsidR="005470A1">
        <w:t>carbon home</w:t>
      </w:r>
      <w:r w:rsidR="00B31CE6">
        <w:t xml:space="preserve">. </w:t>
      </w:r>
      <w:r w:rsidR="00643493">
        <w:t>All homes resulting from this solicitation must be locat</w:t>
      </w:r>
      <w:r w:rsidR="0052769C">
        <w:t>ed in under</w:t>
      </w:r>
      <w:r w:rsidR="005A2D9A">
        <w:t>-</w:t>
      </w:r>
      <w:r w:rsidR="0052769C">
        <w:t>resourced communities</w:t>
      </w:r>
      <w:r w:rsidR="007B76CA">
        <w:t>.</w:t>
      </w:r>
    </w:p>
    <w:p w14:paraId="799C1EE6" w14:textId="7BF13FE2" w:rsidR="0062750D" w:rsidRPr="00AD5398" w:rsidRDefault="0062750D" w:rsidP="00E045BD">
      <w:pPr>
        <w:jc w:val="both"/>
      </w:pPr>
      <w:r>
        <w:t>The</w:t>
      </w:r>
      <w:r w:rsidR="00C81385">
        <w:t xml:space="preserve"> energy using </w:t>
      </w:r>
      <w:r>
        <w:t xml:space="preserve">technologies </w:t>
      </w:r>
      <w:r w:rsidR="00C81385">
        <w:t xml:space="preserve">must </w:t>
      </w:r>
      <w:r>
        <w:t xml:space="preserve">be right </w:t>
      </w:r>
      <w:proofErr w:type="gramStart"/>
      <w:r>
        <w:t>sized</w:t>
      </w:r>
      <w:r w:rsidR="003F4DF8">
        <w:t xml:space="preserve">, </w:t>
      </w:r>
      <w:r>
        <w:t>and</w:t>
      </w:r>
      <w:proofErr w:type="gramEnd"/>
      <w:r>
        <w:t xml:space="preserve"> maintain operating cost effectiveness through lowered utility bills compared to the baseline</w:t>
      </w:r>
      <w:r w:rsidR="00C40406">
        <w:t xml:space="preserve"> (e.g., standard</w:t>
      </w:r>
      <w:r w:rsidR="003A0061">
        <w:t xml:space="preserve"> construction)</w:t>
      </w:r>
      <w:r>
        <w:t xml:space="preserve">. By installing major energy using systems </w:t>
      </w:r>
      <w:r w:rsidR="00791EC5">
        <w:t xml:space="preserve">at or </w:t>
      </w:r>
      <w:r>
        <w:t xml:space="preserve">mostly at the factory there </w:t>
      </w:r>
      <w:r w:rsidR="00791EC5">
        <w:t xml:space="preserve">could be </w:t>
      </w:r>
      <w:r>
        <w:t>a reduction in labor required at the site. Potential for solar PV and energy storage installation at the factory, rather than site installation, will be investigated.</w:t>
      </w:r>
    </w:p>
    <w:p w14:paraId="60DC7DE2" w14:textId="5C327B6B" w:rsidR="00E045BD" w:rsidRPr="00AD5398" w:rsidRDefault="00E045BD" w:rsidP="00E045BD">
      <w:pPr>
        <w:jc w:val="both"/>
      </w:pPr>
      <w:r w:rsidRPr="00AD5398">
        <w:t xml:space="preserve">Additional features may </w:t>
      </w:r>
      <w:r w:rsidR="001A050C" w:rsidRPr="00AD5398">
        <w:t>include</w:t>
      </w:r>
      <w:r w:rsidRPr="00AD5398">
        <w:t>:</w:t>
      </w:r>
    </w:p>
    <w:p w14:paraId="49FD1160" w14:textId="488DD292" w:rsidR="00E045BD" w:rsidRPr="00AD5398" w:rsidRDefault="00D63643">
      <w:pPr>
        <w:numPr>
          <w:ilvl w:val="0"/>
          <w:numId w:val="49"/>
        </w:numPr>
        <w:ind w:hanging="360"/>
        <w:jc w:val="both"/>
      </w:pPr>
      <w:r w:rsidRPr="00AD5398">
        <w:t>E</w:t>
      </w:r>
      <w:r w:rsidR="0078402B" w:rsidRPr="00AD5398">
        <w:t>xceed 2022 Title 24 Building Energy Efficiency Standards</w:t>
      </w:r>
      <w:r w:rsidR="00B044EF" w:rsidRPr="00AD5398">
        <w:t>;</w:t>
      </w:r>
    </w:p>
    <w:p w14:paraId="186665FA" w14:textId="3E4ECE48" w:rsidR="00A17867" w:rsidRPr="00AD5398" w:rsidRDefault="00D63643">
      <w:pPr>
        <w:numPr>
          <w:ilvl w:val="0"/>
          <w:numId w:val="49"/>
        </w:numPr>
        <w:ind w:hanging="360"/>
        <w:jc w:val="both"/>
      </w:pPr>
      <w:r w:rsidRPr="00AD5398">
        <w:t xml:space="preserve">Use building simulation tools, </w:t>
      </w:r>
      <w:r w:rsidR="00A17867" w:rsidRPr="00AD5398">
        <w:t xml:space="preserve">such as CBECC-Res to validate </w:t>
      </w:r>
      <w:r w:rsidR="007B5A96" w:rsidRPr="00AD5398">
        <w:t>cost and energy sav</w:t>
      </w:r>
      <w:r w:rsidRPr="00AD5398">
        <w:t>ings</w:t>
      </w:r>
      <w:r w:rsidR="007B5A96" w:rsidRPr="00AD5398">
        <w:t xml:space="preserve"> during</w:t>
      </w:r>
      <w:r w:rsidR="004F1D14" w:rsidRPr="00AD5398">
        <w:t xml:space="preserve"> and after</w:t>
      </w:r>
      <w:r w:rsidR="007B5A96" w:rsidRPr="00AD5398">
        <w:t xml:space="preserve"> the </w:t>
      </w:r>
      <w:r w:rsidR="00421F4A" w:rsidRPr="00AD5398">
        <w:t xml:space="preserve">development of </w:t>
      </w:r>
      <w:r w:rsidR="002F582F" w:rsidRPr="00AD5398">
        <w:t xml:space="preserve">the demonstration based on the advanced energy measures selected. </w:t>
      </w:r>
      <w:r w:rsidR="004C7E30" w:rsidRPr="00AD5398">
        <w:t>Use of CBECC-Res is preferred because this</w:t>
      </w:r>
      <w:r w:rsidR="000A65F2" w:rsidRPr="00AD5398">
        <w:t xml:space="preserve"> is the program used </w:t>
      </w:r>
      <w:r w:rsidR="009B39FC" w:rsidRPr="00AD5398">
        <w:t xml:space="preserve">in the </w:t>
      </w:r>
      <w:r w:rsidR="000A65F2" w:rsidRPr="00AD5398">
        <w:t>Title-24 Building Energy Eff</w:t>
      </w:r>
      <w:r w:rsidR="009B39FC" w:rsidRPr="00AD5398">
        <w:t>iciency standards</w:t>
      </w:r>
      <w:r w:rsidR="00D26448" w:rsidRPr="00AD5398">
        <w:t>;</w:t>
      </w:r>
    </w:p>
    <w:p w14:paraId="77B388C3" w14:textId="704C7C2A" w:rsidR="0078402B" w:rsidRPr="00AD5398" w:rsidRDefault="009B39FC">
      <w:pPr>
        <w:numPr>
          <w:ilvl w:val="0"/>
          <w:numId w:val="49"/>
        </w:numPr>
        <w:ind w:hanging="360"/>
        <w:jc w:val="both"/>
      </w:pPr>
      <w:r w:rsidRPr="00AD5398">
        <w:t>U</w:t>
      </w:r>
      <w:r w:rsidR="0078402B" w:rsidRPr="00AD5398">
        <w:t xml:space="preserve">se </w:t>
      </w:r>
      <w:r w:rsidRPr="00AD5398">
        <w:t xml:space="preserve">of </w:t>
      </w:r>
      <w:r w:rsidR="0078402B" w:rsidRPr="00AD5398">
        <w:t>low-GWP refrigerant</w:t>
      </w:r>
      <w:r w:rsidR="00605F05" w:rsidRPr="00AD5398">
        <w:t xml:space="preserve"> for heat pumps (HVAC and water heating)</w:t>
      </w:r>
      <w:r w:rsidR="00B044EF" w:rsidRPr="00AD5398">
        <w:t>;</w:t>
      </w:r>
    </w:p>
    <w:p w14:paraId="469488C4" w14:textId="3B8DDCB6" w:rsidR="00E6625C" w:rsidRPr="00AD5398" w:rsidRDefault="00F9121D">
      <w:pPr>
        <w:numPr>
          <w:ilvl w:val="0"/>
          <w:numId w:val="49"/>
        </w:numPr>
        <w:ind w:hanging="360"/>
        <w:jc w:val="both"/>
      </w:pPr>
      <w:r w:rsidRPr="00AD5398">
        <w:t xml:space="preserve">Use of </w:t>
      </w:r>
      <w:r w:rsidR="00621844" w:rsidRPr="00AD5398">
        <w:t>improved</w:t>
      </w:r>
      <w:r w:rsidR="00AF13E2" w:rsidRPr="00AD5398">
        <w:t xml:space="preserve"> construction </w:t>
      </w:r>
      <w:r w:rsidR="00880598" w:rsidRPr="00AD5398">
        <w:t xml:space="preserve">or installation </w:t>
      </w:r>
      <w:r w:rsidR="00AF13E2" w:rsidRPr="00AD5398">
        <w:t>processes</w:t>
      </w:r>
      <w:r w:rsidRPr="00AD5398">
        <w:t xml:space="preserve"> that reduce air emissions</w:t>
      </w:r>
      <w:r w:rsidR="00B044EF" w:rsidRPr="00AD5398">
        <w:t>;</w:t>
      </w:r>
    </w:p>
    <w:p w14:paraId="6672C7F9" w14:textId="2F35C55F" w:rsidR="00251A22" w:rsidRPr="00AD5398" w:rsidRDefault="00F46299">
      <w:pPr>
        <w:numPr>
          <w:ilvl w:val="0"/>
          <w:numId w:val="49"/>
        </w:numPr>
        <w:ind w:hanging="360"/>
        <w:jc w:val="both"/>
      </w:pPr>
      <w:r w:rsidRPr="00AD5398">
        <w:t xml:space="preserve">Use </w:t>
      </w:r>
      <w:r w:rsidR="00F11FFC" w:rsidRPr="00AD5398">
        <w:t>c</w:t>
      </w:r>
      <w:r w:rsidR="003603E8" w:rsidRPr="00AD5398">
        <w:t>onstruction and/or installation practices that reduce manufacturing cost</w:t>
      </w:r>
      <w:r w:rsidR="00C64206" w:rsidRPr="00AD5398">
        <w:t xml:space="preserve"> (manufactured home)</w:t>
      </w:r>
      <w:r w:rsidR="003603E8" w:rsidRPr="00AD5398">
        <w:t xml:space="preserve"> </w:t>
      </w:r>
      <w:r w:rsidR="00C64206" w:rsidRPr="00AD5398">
        <w:t xml:space="preserve">or construction cost (modular home) </w:t>
      </w:r>
      <w:r w:rsidR="00382ED5" w:rsidRPr="00AD5398" w:rsidDel="00C64206">
        <w:t xml:space="preserve">compared to standard </w:t>
      </w:r>
      <w:r w:rsidR="00382ED5" w:rsidRPr="00AD5398">
        <w:t>practice</w:t>
      </w:r>
      <w:r w:rsidR="000E4D49" w:rsidRPr="00AD5398">
        <w:t>;</w:t>
      </w:r>
    </w:p>
    <w:p w14:paraId="59AABDBE" w14:textId="28B2C1A9" w:rsidR="00AF13E2" w:rsidRPr="00AD5398" w:rsidRDefault="00C64206">
      <w:pPr>
        <w:numPr>
          <w:ilvl w:val="0"/>
          <w:numId w:val="49"/>
        </w:numPr>
        <w:ind w:hanging="360"/>
        <w:jc w:val="both"/>
      </w:pPr>
      <w:r w:rsidRPr="00AD5398">
        <w:t xml:space="preserve">Use materials that </w:t>
      </w:r>
      <w:r w:rsidR="00821902" w:rsidRPr="00AD5398">
        <w:t>e</w:t>
      </w:r>
      <w:r w:rsidR="00AF13E2" w:rsidRPr="00AD5398">
        <w:t xml:space="preserve">xceed minimum </w:t>
      </w:r>
      <w:r w:rsidR="006B6772" w:rsidRPr="00AD5398">
        <w:t>f</w:t>
      </w:r>
      <w:r w:rsidR="00AF13E2" w:rsidRPr="00AD5398">
        <w:t xml:space="preserve">ire code for the </w:t>
      </w:r>
      <w:r w:rsidR="004E0526" w:rsidRPr="00AD5398">
        <w:t xml:space="preserve">building </w:t>
      </w:r>
      <w:r w:rsidR="00AF13E2" w:rsidRPr="00AD5398">
        <w:t>installation</w:t>
      </w:r>
      <w:r w:rsidR="00B044EF" w:rsidRPr="00AD5398">
        <w:t>;</w:t>
      </w:r>
    </w:p>
    <w:p w14:paraId="06FE332E" w14:textId="6CBC3806" w:rsidR="00AF13E2" w:rsidRPr="00AD5398" w:rsidRDefault="00BD45EF">
      <w:pPr>
        <w:numPr>
          <w:ilvl w:val="0"/>
          <w:numId w:val="49"/>
        </w:numPr>
        <w:ind w:hanging="360"/>
        <w:jc w:val="both"/>
      </w:pPr>
      <w:r w:rsidRPr="00AD5398">
        <w:t>A</w:t>
      </w:r>
      <w:r w:rsidR="00AF13E2" w:rsidRPr="00AD5398">
        <w:t>bility to island the home</w:t>
      </w:r>
      <w:r w:rsidR="00CF75C6" w:rsidRPr="00AD5398">
        <w:t xml:space="preserve"> from the grid during power outages</w:t>
      </w:r>
      <w:r w:rsidR="00B044EF" w:rsidRPr="00AD5398">
        <w:t>;</w:t>
      </w:r>
    </w:p>
    <w:p w14:paraId="36F52723" w14:textId="49338C90" w:rsidR="00E95106" w:rsidRPr="00266FAF" w:rsidRDefault="00BD45EF">
      <w:pPr>
        <w:numPr>
          <w:ilvl w:val="0"/>
          <w:numId w:val="49"/>
        </w:numPr>
        <w:ind w:hanging="360"/>
        <w:jc w:val="both"/>
      </w:pPr>
      <w:r w:rsidRPr="00AD5398">
        <w:t>U</w:t>
      </w:r>
      <w:r w:rsidR="005B5B0E" w:rsidRPr="00AD5398">
        <w:t xml:space="preserve">se load flexible controls </w:t>
      </w:r>
      <w:r w:rsidR="00CF75C6" w:rsidRPr="00AD5398">
        <w:t xml:space="preserve">to </w:t>
      </w:r>
      <w:r w:rsidR="00702CE9" w:rsidRPr="00AD5398">
        <w:t xml:space="preserve">shift electrical usage to </w:t>
      </w:r>
      <w:r w:rsidR="005236FB" w:rsidRPr="00AD5398">
        <w:t>benefit the grid</w:t>
      </w:r>
      <w:r w:rsidRPr="00AD5398">
        <w:t xml:space="preserve"> and reduce cost</w:t>
      </w:r>
      <w:r w:rsidR="00B044EF" w:rsidRPr="00AD5398">
        <w:t>.</w:t>
      </w:r>
    </w:p>
    <w:p w14:paraId="0AE4E44B" w14:textId="0198788A" w:rsidR="00572C76" w:rsidRPr="00AD5398" w:rsidRDefault="00572C76">
      <w:pPr>
        <w:pStyle w:val="ListParagraph"/>
        <w:numPr>
          <w:ilvl w:val="0"/>
          <w:numId w:val="50"/>
        </w:numPr>
        <w:rPr>
          <w:b/>
        </w:rPr>
      </w:pPr>
      <w:r w:rsidRPr="00AD5398">
        <w:rPr>
          <w:b/>
        </w:rPr>
        <w:t xml:space="preserve">Group 1: Develop, Test and </w:t>
      </w:r>
      <w:r w:rsidR="009526D5" w:rsidRPr="00AD5398">
        <w:rPr>
          <w:b/>
        </w:rPr>
        <w:t>Demonstrate</w:t>
      </w:r>
      <w:r w:rsidRPr="00AD5398">
        <w:rPr>
          <w:b/>
        </w:rPr>
        <w:t xml:space="preserve"> Innovative Manufactured Homes</w:t>
      </w:r>
    </w:p>
    <w:p w14:paraId="19F7FA05" w14:textId="69744D1B" w:rsidR="00FE4480" w:rsidRPr="00AD5398" w:rsidRDefault="00BB4ABD" w:rsidP="4E8EA92E">
      <w:pPr>
        <w:keepNext/>
        <w:ind w:left="450"/>
        <w:jc w:val="both"/>
      </w:pPr>
      <w:r w:rsidRPr="00AD5398">
        <w:t>This group fund</w:t>
      </w:r>
      <w:r w:rsidR="0066439C" w:rsidRPr="00AD5398">
        <w:t>s</w:t>
      </w:r>
      <w:r w:rsidRPr="00AD5398">
        <w:t xml:space="preserve"> </w:t>
      </w:r>
      <w:r w:rsidR="0091129F" w:rsidRPr="00AD5398">
        <w:t xml:space="preserve">advancements in improving manufacturing capabilities </w:t>
      </w:r>
      <w:r w:rsidR="00545992" w:rsidRPr="00AD5398">
        <w:t xml:space="preserve">to improve efficiency and reduce cost of </w:t>
      </w:r>
      <w:r w:rsidR="00261097" w:rsidRPr="00AD5398">
        <w:t xml:space="preserve">construction </w:t>
      </w:r>
      <w:r w:rsidR="00261097" w:rsidRPr="00AD5398">
        <w:rPr>
          <w:b/>
        </w:rPr>
        <w:t xml:space="preserve">and </w:t>
      </w:r>
      <w:r w:rsidR="00522658" w:rsidRPr="00AD5398">
        <w:t>the development, testing and demonstration of advanced manufactured homes</w:t>
      </w:r>
      <w:r w:rsidR="00E90D24" w:rsidRPr="00AD5398">
        <w:t xml:space="preserve"> </w:t>
      </w:r>
      <w:r w:rsidR="002056C2" w:rsidRPr="00AD5398">
        <w:t xml:space="preserve">that include </w:t>
      </w:r>
      <w:r w:rsidR="00E90D24" w:rsidRPr="00AD5398">
        <w:t xml:space="preserve">the requirements in Section I.C. </w:t>
      </w:r>
      <w:r w:rsidR="001E11F3" w:rsidRPr="00AD5398">
        <w:t xml:space="preserve">In </w:t>
      </w:r>
      <w:r w:rsidR="001430B6" w:rsidRPr="00AD5398">
        <w:t>addition</w:t>
      </w:r>
      <w:r w:rsidR="001E11F3" w:rsidRPr="00AD5398">
        <w:t xml:space="preserve">, </w:t>
      </w:r>
      <w:r w:rsidR="001430B6" w:rsidRPr="00AD5398">
        <w:t xml:space="preserve"> </w:t>
      </w:r>
      <w:r w:rsidR="00B723E0" w:rsidRPr="00AD5398">
        <w:t>m</w:t>
      </w:r>
      <w:r w:rsidR="00FE4480" w:rsidRPr="00AD5398">
        <w:t xml:space="preserve">anufactured homes must meet or exceed the </w:t>
      </w:r>
      <w:r w:rsidR="003F36E1" w:rsidRPr="00AD5398">
        <w:t>HUD standard established in 1994</w:t>
      </w:r>
      <w:r w:rsidR="00354160" w:rsidRPr="00AD5398">
        <w:t xml:space="preserve"> and must</w:t>
      </w:r>
      <w:r w:rsidR="00FE4480" w:rsidRPr="00AD5398">
        <w:t xml:space="preserve"> </w:t>
      </w:r>
      <w:bookmarkStart w:id="26" w:name="_Hlk104898763"/>
      <w:r w:rsidR="00FE4480" w:rsidRPr="00AD5398">
        <w:t>have a 10</w:t>
      </w:r>
      <w:r w:rsidR="00354160" w:rsidRPr="00AD5398">
        <w:t>-</w:t>
      </w:r>
      <w:r w:rsidR="00FE4480" w:rsidRPr="00AD5398">
        <w:t xml:space="preserve">year cost of ownership that is less than or equal to baseline </w:t>
      </w:r>
      <w:r w:rsidR="003F36E1" w:rsidRPr="00AD5398">
        <w:t>HUD</w:t>
      </w:r>
      <w:r w:rsidR="00FE4480" w:rsidRPr="00AD5398">
        <w:t xml:space="preserve"> similar building</w:t>
      </w:r>
      <w:r w:rsidR="00711871" w:rsidRPr="00AD5398">
        <w:t xml:space="preserve">. </w:t>
      </w:r>
      <w:r w:rsidR="00AE3763" w:rsidRPr="00AD5398">
        <w:t xml:space="preserve">The </w:t>
      </w:r>
      <w:r w:rsidR="00FE4480" w:rsidRPr="00AD5398">
        <w:t xml:space="preserve">increased energy </w:t>
      </w:r>
      <w:r w:rsidR="005D2C0E" w:rsidRPr="00AD5398">
        <w:t xml:space="preserve">cost </w:t>
      </w:r>
      <w:r w:rsidR="00FE4480" w:rsidRPr="00AD5398">
        <w:t>saving</w:t>
      </w:r>
      <w:r w:rsidR="00AE3763" w:rsidRPr="00AD5398">
        <w:t>s</w:t>
      </w:r>
      <w:r w:rsidR="008210F4" w:rsidRPr="00AD5398">
        <w:t xml:space="preserve"> from energy efficiency and PV</w:t>
      </w:r>
      <w:r w:rsidR="00AE3763" w:rsidRPr="00AD5398">
        <w:t xml:space="preserve"> </w:t>
      </w:r>
      <w:r w:rsidR="009526D5" w:rsidRPr="00AD5398">
        <w:t>must</w:t>
      </w:r>
      <w:r w:rsidR="00AE3763" w:rsidRPr="00AD5398">
        <w:t xml:space="preserve"> offset </w:t>
      </w:r>
      <w:r w:rsidR="00FE4480" w:rsidRPr="00AD5398">
        <w:t>the increase in</w:t>
      </w:r>
      <w:r w:rsidR="00901BBF" w:rsidRPr="00AD5398">
        <w:t xml:space="preserve"> home</w:t>
      </w:r>
      <w:r w:rsidR="00FE4480" w:rsidRPr="00AD5398">
        <w:t xml:space="preserve"> </w:t>
      </w:r>
      <w:r w:rsidR="00FE4480" w:rsidRPr="00AD5398">
        <w:rPr>
          <w:u w:val="single"/>
        </w:rPr>
        <w:t>loan</w:t>
      </w:r>
      <w:r w:rsidR="00FE4480" w:rsidRPr="00AD5398">
        <w:t xml:space="preserve"> costs</w:t>
      </w:r>
      <w:bookmarkEnd w:id="26"/>
      <w:r w:rsidR="00FD0C7F" w:rsidRPr="00AD5398">
        <w:t>.</w:t>
      </w:r>
    </w:p>
    <w:p w14:paraId="593F3FE5" w14:textId="77777777" w:rsidR="00FE4480" w:rsidRPr="00AD5398" w:rsidRDefault="00FE4480" w:rsidP="00FE4480">
      <w:pPr>
        <w:ind w:left="450"/>
        <w:rPr>
          <w:szCs w:val="22"/>
        </w:rPr>
      </w:pPr>
      <w:r w:rsidRPr="00266FAF">
        <w:t>The Project Narrative (Attachment) must discuss the following in the sections identified:</w:t>
      </w:r>
      <w:r w:rsidRPr="00AD5398">
        <w:t xml:space="preserve"> </w:t>
      </w:r>
    </w:p>
    <w:p w14:paraId="6DA70CDB" w14:textId="188983CA" w:rsidR="00AD3D60" w:rsidRPr="00AD5398" w:rsidRDefault="00AD3D60">
      <w:pPr>
        <w:pStyle w:val="ListParagraph"/>
        <w:numPr>
          <w:ilvl w:val="0"/>
          <w:numId w:val="67"/>
        </w:numPr>
      </w:pPr>
      <w:r w:rsidRPr="00AD5398">
        <w:t>Technical Merit:</w:t>
      </w:r>
    </w:p>
    <w:p w14:paraId="13BF2056" w14:textId="23D09F7E" w:rsidR="00A62673" w:rsidRPr="00AD5398" w:rsidRDefault="004E5083">
      <w:pPr>
        <w:pStyle w:val="ListParagraph"/>
        <w:numPr>
          <w:ilvl w:val="1"/>
          <w:numId w:val="64"/>
        </w:numPr>
      </w:pPr>
      <w:r w:rsidRPr="00AD5398">
        <w:t>The</w:t>
      </w:r>
      <w:r w:rsidR="00FE4480" w:rsidRPr="00AD5398">
        <w:t xml:space="preserve"> baseline cost of an affordable HUD manufactured home</w:t>
      </w:r>
      <w:r w:rsidR="00B044EF" w:rsidRPr="00AD5398">
        <w:t>;</w:t>
      </w:r>
    </w:p>
    <w:p w14:paraId="0CD5D5F5" w14:textId="3AD9342F" w:rsidR="001F561F" w:rsidRPr="00AD5398" w:rsidRDefault="004E5083">
      <w:pPr>
        <w:pStyle w:val="ListParagraph"/>
        <w:numPr>
          <w:ilvl w:val="1"/>
          <w:numId w:val="64"/>
        </w:numPr>
      </w:pPr>
      <w:r w:rsidRPr="00AD5398">
        <w:t>The</w:t>
      </w:r>
      <w:r w:rsidR="00FE4480" w:rsidRPr="00AD5398">
        <w:t xml:space="preserve"> proposed production cost and energy savings of the </w:t>
      </w:r>
      <w:r w:rsidR="003F36E1" w:rsidRPr="00AD5398">
        <w:t>manufactured</w:t>
      </w:r>
      <w:r w:rsidR="00FE4480" w:rsidRPr="00AD5398">
        <w:t xml:space="preserve"> home </w:t>
      </w:r>
      <w:r w:rsidR="009E5620" w:rsidRPr="00AD5398">
        <w:t>that is near, meets or exceeds</w:t>
      </w:r>
      <w:r w:rsidR="00FE4480" w:rsidRPr="00AD5398">
        <w:t xml:space="preserve"> Title 24 requirements</w:t>
      </w:r>
      <w:r w:rsidR="00B044EF" w:rsidRPr="00AD5398">
        <w:t>;</w:t>
      </w:r>
    </w:p>
    <w:p w14:paraId="35E69F77" w14:textId="39B3C9AA" w:rsidR="00FE4480" w:rsidRPr="00AD5398" w:rsidRDefault="004E5083">
      <w:pPr>
        <w:pStyle w:val="ListParagraph"/>
        <w:numPr>
          <w:ilvl w:val="1"/>
          <w:numId w:val="64"/>
        </w:numPr>
      </w:pPr>
      <w:r w:rsidRPr="00AD5398">
        <w:t>Estimated</w:t>
      </w:r>
      <w:r w:rsidR="00FE4480" w:rsidRPr="00AD5398">
        <w:t xml:space="preserve"> performance metrics</w:t>
      </w:r>
      <w:r w:rsidR="009E287C" w:rsidRPr="00AD5398">
        <w:t xml:space="preserve"> </w:t>
      </w:r>
      <w:r w:rsidR="00FE4480" w:rsidRPr="00AD5398">
        <w:t>such as R-value and equipment sizing</w:t>
      </w:r>
      <w:r w:rsidR="00462D34" w:rsidRPr="00AD5398">
        <w:t xml:space="preserve"> of the HUD</w:t>
      </w:r>
      <w:r w:rsidR="00D17EBA" w:rsidRPr="00AD5398">
        <w:t xml:space="preserve"> and the advanced manufactured home</w:t>
      </w:r>
      <w:r w:rsidR="00B044EF" w:rsidRPr="00AD5398">
        <w:t>;</w:t>
      </w:r>
    </w:p>
    <w:p w14:paraId="6B807B5C" w14:textId="414C4963" w:rsidR="00FE4480" w:rsidRPr="00AD5398" w:rsidRDefault="004E5083">
      <w:pPr>
        <w:pStyle w:val="ListParagraph"/>
        <w:numPr>
          <w:ilvl w:val="1"/>
          <w:numId w:val="64"/>
        </w:numPr>
      </w:pPr>
      <w:r w:rsidRPr="00AD5398">
        <w:t xml:space="preserve">How </w:t>
      </w:r>
      <w:r w:rsidR="00FE4480" w:rsidRPr="00AD5398">
        <w:t>the proposed solution will interact with the grid and provide backup power during</w:t>
      </w:r>
      <w:r w:rsidR="00821902" w:rsidRPr="00AD5398">
        <w:t xml:space="preserve"> </w:t>
      </w:r>
      <w:r w:rsidR="00FE4480" w:rsidRPr="00AD5398">
        <w:t>outages</w:t>
      </w:r>
      <w:r w:rsidR="00AA7035" w:rsidRPr="00AD5398">
        <w:t xml:space="preserve"> and reduce electrical load </w:t>
      </w:r>
      <w:r w:rsidR="007F0793" w:rsidRPr="00AD5398">
        <w:t>when needed to benefit the grid</w:t>
      </w:r>
      <w:r w:rsidR="00821902" w:rsidRPr="00AD5398">
        <w:t>;</w:t>
      </w:r>
      <w:r w:rsidR="00EB4CFC" w:rsidRPr="00AD5398">
        <w:t xml:space="preserve"> and</w:t>
      </w:r>
    </w:p>
    <w:p w14:paraId="206299E3" w14:textId="1D801A33" w:rsidR="00E8228C" w:rsidRPr="00AD5398" w:rsidRDefault="00E8228C">
      <w:pPr>
        <w:pStyle w:val="ListParagraph"/>
        <w:numPr>
          <w:ilvl w:val="1"/>
          <w:numId w:val="64"/>
        </w:numPr>
      </w:pPr>
      <w:r w:rsidRPr="00AD5398">
        <w:t xml:space="preserve">Provide assumptions used in determining energy </w:t>
      </w:r>
      <w:r w:rsidR="0040115B" w:rsidRPr="00AD5398">
        <w:t xml:space="preserve">and energy cost </w:t>
      </w:r>
      <w:r w:rsidRPr="00AD5398">
        <w:t xml:space="preserve">savings of the advanced manufactured home, including present and future tariffs </w:t>
      </w:r>
      <w:r w:rsidRPr="00AD5398" w:rsidDel="00B91029">
        <w:t xml:space="preserve">used to </w:t>
      </w:r>
      <w:r w:rsidR="006A08CC" w:rsidRPr="00AD5398">
        <w:t xml:space="preserve">determine </w:t>
      </w:r>
      <w:r w:rsidRPr="00AD5398">
        <w:t>cost effectiveness and simple payback</w:t>
      </w:r>
      <w:r w:rsidR="006A08CC" w:rsidRPr="00AD5398">
        <w:t>. Simple payback</w:t>
      </w:r>
      <w:r w:rsidR="004325E2" w:rsidRPr="00AD5398">
        <w:t xml:space="preserve"> is the </w:t>
      </w:r>
      <w:r w:rsidR="00C73B8D" w:rsidRPr="00AD5398">
        <w:lastRenderedPageBreak/>
        <w:t>incremental cost difference</w:t>
      </w:r>
      <w:r w:rsidR="00EB4CFC" w:rsidRPr="00AD5398">
        <w:t xml:space="preserve"> </w:t>
      </w:r>
      <w:r w:rsidR="004325E2" w:rsidRPr="00AD5398">
        <w:t xml:space="preserve">between the advanced home versus the standard HUD home divided by the annual </w:t>
      </w:r>
      <w:r w:rsidR="00EB4CFC" w:rsidRPr="00AD5398">
        <w:t>energy cost savings.</w:t>
      </w:r>
    </w:p>
    <w:p w14:paraId="7FFDCB80" w14:textId="77777777" w:rsidR="007D0153" w:rsidRPr="00AD5398" w:rsidRDefault="007D0153" w:rsidP="001B6C87">
      <w:pPr>
        <w:pStyle w:val="ListParagraph"/>
        <w:ind w:left="1440"/>
      </w:pPr>
    </w:p>
    <w:p w14:paraId="14F3D248" w14:textId="77777777" w:rsidR="00AD3D60" w:rsidRPr="00AD5398" w:rsidRDefault="00AD3D60">
      <w:pPr>
        <w:pStyle w:val="ListParagraph"/>
        <w:numPr>
          <w:ilvl w:val="0"/>
          <w:numId w:val="64"/>
        </w:numPr>
        <w:ind w:left="810"/>
      </w:pPr>
      <w:r w:rsidRPr="00AD5398">
        <w:t>Technical Approach:</w:t>
      </w:r>
    </w:p>
    <w:p w14:paraId="63CACE13" w14:textId="3021FDFE" w:rsidR="007454E5" w:rsidRPr="00AD5398" w:rsidRDefault="00FC4D5C">
      <w:pPr>
        <w:pStyle w:val="ListParagraph"/>
        <w:numPr>
          <w:ilvl w:val="1"/>
          <w:numId w:val="64"/>
        </w:numPr>
      </w:pPr>
      <w:r w:rsidRPr="00AD5398">
        <w:t>Identify the manufacturing facility advancements</w:t>
      </w:r>
      <w:r w:rsidR="00461CE9" w:rsidRPr="00AD5398">
        <w:t xml:space="preserve"> and/or low carbon construction practices</w:t>
      </w:r>
      <w:r w:rsidRPr="00AD5398">
        <w:t xml:space="preserve"> </w:t>
      </w:r>
      <w:r w:rsidR="007B1475" w:rsidRPr="00AD5398">
        <w:t xml:space="preserve">that will be implemented to </w:t>
      </w:r>
      <w:r w:rsidR="009968E9" w:rsidRPr="00AD5398">
        <w:t>reduce construction costs</w:t>
      </w:r>
      <w:r w:rsidR="005C6A46" w:rsidRPr="00AD5398">
        <w:t xml:space="preserve"> and reduce GHG emissions</w:t>
      </w:r>
      <w:r w:rsidR="009968E9" w:rsidRPr="00AD5398">
        <w:t xml:space="preserve">. For each advancement, </w:t>
      </w:r>
      <w:r w:rsidR="007B53E0" w:rsidRPr="00AD5398">
        <w:t>provide all assumptions used to determine construction cost reductions</w:t>
      </w:r>
      <w:r w:rsidR="00F20712" w:rsidRPr="00AD5398">
        <w:t xml:space="preserve">, and the impact they would have on construction cost and GHG emission </w:t>
      </w:r>
      <w:r w:rsidR="007B53E0" w:rsidRPr="00AD5398">
        <w:t>reductions</w:t>
      </w:r>
      <w:r w:rsidR="00737D2E" w:rsidRPr="00AD5398">
        <w:t xml:space="preserve"> when compared to standard </w:t>
      </w:r>
      <w:r w:rsidR="00CE5B7F" w:rsidRPr="00AD5398">
        <w:t xml:space="preserve">HUD </w:t>
      </w:r>
      <w:r w:rsidR="00737D2E" w:rsidRPr="00AD5398">
        <w:t>practice</w:t>
      </w:r>
      <w:r w:rsidR="007B53E0" w:rsidRPr="00AD5398">
        <w:t>.</w:t>
      </w:r>
      <w:r w:rsidR="0010382A" w:rsidRPr="00AD5398">
        <w:t xml:space="preserve"> CEC funds can </w:t>
      </w:r>
      <w:r w:rsidR="00E74C31" w:rsidRPr="00AD5398">
        <w:t>only</w:t>
      </w:r>
      <w:r w:rsidR="0010382A" w:rsidRPr="00AD5398">
        <w:t xml:space="preserve"> be used </w:t>
      </w:r>
      <w:r w:rsidR="00A82353" w:rsidRPr="00AD5398">
        <w:t xml:space="preserve">for </w:t>
      </w:r>
      <w:r w:rsidR="0097252B" w:rsidRPr="00AD5398">
        <w:t>innovativ</w:t>
      </w:r>
      <w:r w:rsidR="00C347FA" w:rsidRPr="00AD5398">
        <w:t>e</w:t>
      </w:r>
      <w:r w:rsidR="00347DE9" w:rsidRPr="00AD5398">
        <w:t xml:space="preserve"> improvements </w:t>
      </w:r>
      <w:r w:rsidR="00E17962" w:rsidRPr="00AD5398">
        <w:t xml:space="preserve">to the manufacturing process </w:t>
      </w:r>
      <w:r w:rsidR="00E74C31" w:rsidRPr="00AD5398">
        <w:t xml:space="preserve">and cannot be used for </w:t>
      </w:r>
      <w:r w:rsidR="00F654A6" w:rsidRPr="00AD5398">
        <w:t xml:space="preserve">improvements to the </w:t>
      </w:r>
      <w:r w:rsidR="00B33B9F" w:rsidRPr="00AD5398">
        <w:t>manufacturing facility (e.g., building upgrades to improve energy efficiency).</w:t>
      </w:r>
      <w:r w:rsidR="00E8425E" w:rsidRPr="00AD5398">
        <w:t xml:space="preserve"> </w:t>
      </w:r>
    </w:p>
    <w:p w14:paraId="3AD7050D" w14:textId="5B75685D" w:rsidR="007079CC" w:rsidRPr="00AD5398" w:rsidRDefault="00C24F9A">
      <w:pPr>
        <w:pStyle w:val="ListParagraph"/>
        <w:numPr>
          <w:ilvl w:val="1"/>
          <w:numId w:val="64"/>
        </w:numPr>
      </w:pPr>
      <w:r w:rsidRPr="00AD5398">
        <w:t xml:space="preserve">Describe </w:t>
      </w:r>
      <w:r w:rsidR="007079CC" w:rsidRPr="00AD5398">
        <w:t xml:space="preserve">the specific </w:t>
      </w:r>
      <w:r w:rsidR="00320528" w:rsidRPr="00AD5398">
        <w:t xml:space="preserve">advancements </w:t>
      </w:r>
      <w:r w:rsidRPr="00AD5398">
        <w:t xml:space="preserve">to be included </w:t>
      </w:r>
      <w:r w:rsidR="006D5DD2" w:rsidRPr="00AD5398">
        <w:t xml:space="preserve">in the homes </w:t>
      </w:r>
      <w:r w:rsidR="00320528" w:rsidRPr="00AD5398">
        <w:t>that will meet the requirements in Section I.C.</w:t>
      </w:r>
      <w:r w:rsidR="006D5DD2" w:rsidRPr="00AD5398">
        <w:t xml:space="preserve"> Discuss </w:t>
      </w:r>
      <w:r w:rsidR="002B0517" w:rsidRPr="00AD5398">
        <w:t xml:space="preserve">how these advancements will affect the cost of the home when compared to the standard </w:t>
      </w:r>
      <w:r w:rsidR="000047D8" w:rsidRPr="00AD5398">
        <w:t>practice and include a table</w:t>
      </w:r>
      <w:r w:rsidR="00B8570C" w:rsidRPr="00AD5398">
        <w:t xml:space="preserve"> comparing the costs.  Note the CEC grant w</w:t>
      </w:r>
      <w:r w:rsidR="00680B88" w:rsidRPr="00AD5398">
        <w:t xml:space="preserve">ill </w:t>
      </w:r>
      <w:r w:rsidR="00B8570C" w:rsidRPr="00AD5398">
        <w:t>only pay for the incremental cost differen</w:t>
      </w:r>
      <w:r w:rsidR="00680B88" w:rsidRPr="00AD5398">
        <w:t xml:space="preserve">ce </w:t>
      </w:r>
      <w:r w:rsidR="00B8570C" w:rsidRPr="00AD5398">
        <w:t>between standard</w:t>
      </w:r>
      <w:r w:rsidR="00CE5B7F" w:rsidRPr="00AD5398">
        <w:t xml:space="preserve"> HUD practice</w:t>
      </w:r>
      <w:r w:rsidR="00B8570C" w:rsidRPr="00AD5398">
        <w:t xml:space="preserve"> and advanced </w:t>
      </w:r>
      <w:r w:rsidR="00533B89" w:rsidRPr="00AD5398">
        <w:t xml:space="preserve">manufactured home. </w:t>
      </w:r>
      <w:r w:rsidR="00D765A2" w:rsidRPr="00AD5398">
        <w:t xml:space="preserve">Features of the advanced manufactured home </w:t>
      </w:r>
      <w:r w:rsidR="004C4701" w:rsidRPr="00AD5398">
        <w:t>can include pre-commercial and emerging technologies, or those that are commercially available but not widely used in HUD homes</w:t>
      </w:r>
      <w:r w:rsidR="00FB57A1" w:rsidRPr="00AD5398">
        <w:t>.</w:t>
      </w:r>
      <w:r w:rsidR="00605ACD" w:rsidRPr="00AD5398">
        <w:t xml:space="preserve"> Advanced equipment does not include </w:t>
      </w:r>
      <w:r w:rsidR="00274FBD" w:rsidRPr="00AD5398">
        <w:t>commercially available equipment that is</w:t>
      </w:r>
      <w:r w:rsidR="007E02A5" w:rsidRPr="00AD5398">
        <w:t xml:space="preserve"> </w:t>
      </w:r>
      <w:r w:rsidR="009F7D7C" w:rsidRPr="00AD5398">
        <w:t xml:space="preserve">already </w:t>
      </w:r>
      <w:r w:rsidR="007E02A5" w:rsidRPr="00AD5398">
        <w:t xml:space="preserve">used in </w:t>
      </w:r>
      <w:r w:rsidR="009F7D7C" w:rsidRPr="00AD5398">
        <w:t xml:space="preserve">new </w:t>
      </w:r>
      <w:r w:rsidR="00327C05" w:rsidRPr="00AD5398">
        <w:t xml:space="preserve">manufactured </w:t>
      </w:r>
      <w:r w:rsidR="009074AC" w:rsidRPr="00AD5398">
        <w:t xml:space="preserve">homes </w:t>
      </w:r>
      <w:r w:rsidR="00C2179A" w:rsidRPr="00AD5398">
        <w:t xml:space="preserve">sold </w:t>
      </w:r>
      <w:r w:rsidR="009074AC" w:rsidRPr="00AD5398">
        <w:t>in California.</w:t>
      </w:r>
    </w:p>
    <w:p w14:paraId="78E42946" w14:textId="55319EED" w:rsidR="00CE1088" w:rsidRPr="004B1C9D" w:rsidRDefault="00CE1088">
      <w:pPr>
        <w:pStyle w:val="ListParagraph"/>
        <w:numPr>
          <w:ilvl w:val="1"/>
          <w:numId w:val="64"/>
        </w:numPr>
        <w:rPr>
          <w:b/>
          <w:bCs/>
          <w:u w:val="single"/>
        </w:rPr>
      </w:pPr>
      <w:r w:rsidRPr="098107A3">
        <w:rPr>
          <w:b/>
          <w:bCs/>
          <w:u w:val="single"/>
        </w:rPr>
        <w:t>Discuss</w:t>
      </w:r>
      <w:r w:rsidR="00015C88" w:rsidRPr="098107A3">
        <w:rPr>
          <w:b/>
          <w:bCs/>
          <w:u w:val="single"/>
        </w:rPr>
        <w:t xml:space="preserve"> how you plan to determine overall building energy performance, </w:t>
      </w:r>
      <w:r w:rsidR="00E2379A" w:rsidRPr="098107A3">
        <w:rPr>
          <w:b/>
          <w:bCs/>
          <w:u w:val="single"/>
        </w:rPr>
        <w:t>especially</w:t>
      </w:r>
      <w:r w:rsidR="00015C88" w:rsidRPr="098107A3">
        <w:rPr>
          <w:b/>
          <w:bCs/>
          <w:u w:val="single"/>
        </w:rPr>
        <w:t xml:space="preserve"> determining building air leakage and </w:t>
      </w:r>
      <w:r w:rsidR="00696D1D" w:rsidRPr="098107A3">
        <w:rPr>
          <w:b/>
          <w:bCs/>
          <w:u w:val="single"/>
        </w:rPr>
        <w:t xml:space="preserve">possibly </w:t>
      </w:r>
      <w:r w:rsidR="00015C88" w:rsidRPr="098107A3">
        <w:rPr>
          <w:b/>
          <w:bCs/>
          <w:u w:val="single"/>
        </w:rPr>
        <w:t xml:space="preserve">use of a </w:t>
      </w:r>
      <w:r w:rsidR="00696D1D" w:rsidRPr="098107A3">
        <w:rPr>
          <w:b/>
          <w:bCs/>
          <w:u w:val="single"/>
        </w:rPr>
        <w:t xml:space="preserve">Home Energy Rater </w:t>
      </w:r>
      <w:r w:rsidR="00015C88" w:rsidRPr="098107A3">
        <w:rPr>
          <w:b/>
          <w:bCs/>
          <w:u w:val="single"/>
        </w:rPr>
        <w:t>to measure building air leakage rates</w:t>
      </w:r>
      <w:r w:rsidR="00696D1D" w:rsidRPr="098107A3">
        <w:rPr>
          <w:b/>
          <w:bCs/>
          <w:u w:val="single"/>
        </w:rPr>
        <w:t>.</w:t>
      </w:r>
    </w:p>
    <w:p w14:paraId="4FA8991A" w14:textId="60E2D3CC" w:rsidR="00AD3D60" w:rsidRPr="00AD5398" w:rsidRDefault="00F572F5">
      <w:pPr>
        <w:pStyle w:val="ListParagraph"/>
        <w:numPr>
          <w:ilvl w:val="1"/>
          <w:numId w:val="64"/>
        </w:numPr>
      </w:pPr>
      <w:r w:rsidRPr="00AD5398">
        <w:t xml:space="preserve">Discuss </w:t>
      </w:r>
      <w:r w:rsidR="009A1429" w:rsidRPr="00AD5398">
        <w:t xml:space="preserve">the </w:t>
      </w:r>
      <w:r w:rsidR="003F7465" w:rsidRPr="00AD5398">
        <w:t>construction cost of the advanced home at commercial scale</w:t>
      </w:r>
      <w:r w:rsidR="00BF2EA6" w:rsidRPr="00AD5398">
        <w:t xml:space="preserve"> and the path to commercialization</w:t>
      </w:r>
      <w:r w:rsidR="00B505C1" w:rsidRPr="00AD5398">
        <w:t xml:space="preserve"> and </w:t>
      </w:r>
      <w:proofErr w:type="gramStart"/>
      <w:r w:rsidR="00B505C1" w:rsidRPr="00AD5398">
        <w:t>large scale</w:t>
      </w:r>
      <w:proofErr w:type="gramEnd"/>
      <w:r w:rsidR="00B505C1" w:rsidRPr="00AD5398">
        <w:t xml:space="preserve"> deployment in California and elsewhere</w:t>
      </w:r>
      <w:r w:rsidR="003F7465" w:rsidRPr="00AD5398">
        <w:t>.</w:t>
      </w:r>
      <w:r w:rsidR="00DF2DE7" w:rsidRPr="00AD5398">
        <w:t xml:space="preserve"> Provide al</w:t>
      </w:r>
      <w:r w:rsidR="002A2781" w:rsidRPr="00AD5398">
        <w:t>l assumptions.</w:t>
      </w:r>
    </w:p>
    <w:p w14:paraId="3E9C2F52" w14:textId="47F9D531" w:rsidR="00EA63B1" w:rsidRPr="00AD5398" w:rsidRDefault="00EA63B1">
      <w:pPr>
        <w:pStyle w:val="ListParagraph"/>
        <w:numPr>
          <w:ilvl w:val="1"/>
          <w:numId w:val="64"/>
        </w:numPr>
      </w:pPr>
      <w:r w:rsidRPr="00AD5398">
        <w:t xml:space="preserve">Discuss how the proposal will meet the requirement that the advanced homes </w:t>
      </w:r>
      <w:r w:rsidR="00CE5B7F" w:rsidRPr="00AD5398">
        <w:t xml:space="preserve">will have </w:t>
      </w:r>
      <w:r w:rsidRPr="00AD5398">
        <w:t>a 10-year cost of ownership that is less than or equal to baseline HUD similar building</w:t>
      </w:r>
    </w:p>
    <w:p w14:paraId="306927BA" w14:textId="3B7AEA23" w:rsidR="009526D5" w:rsidRPr="00AD5398" w:rsidRDefault="009526D5">
      <w:pPr>
        <w:pStyle w:val="ListParagraph"/>
        <w:numPr>
          <w:ilvl w:val="1"/>
          <w:numId w:val="64"/>
        </w:numPr>
      </w:pPr>
      <w:r w:rsidRPr="00AD5398">
        <w:t xml:space="preserve">Please state timeframe, assumptions with </w:t>
      </w:r>
      <w:r w:rsidR="00A75D1A" w:rsidRPr="00AD5398">
        <w:t>references</w:t>
      </w:r>
      <w:r w:rsidRPr="00AD5398">
        <w:t>, and calculation</w:t>
      </w:r>
      <w:r w:rsidR="00BE022E" w:rsidRPr="00AD5398">
        <w:t>s</w:t>
      </w:r>
      <w:r w:rsidRPr="00AD5398">
        <w:t xml:space="preserve"> for estimations</w:t>
      </w:r>
      <w:r w:rsidR="00A75D1A" w:rsidRPr="00AD5398">
        <w:t xml:space="preserve"> for all items listed in the technical approach</w:t>
      </w:r>
      <w:r w:rsidRPr="00AD5398">
        <w:t>.</w:t>
      </w:r>
    </w:p>
    <w:p w14:paraId="351B8CB0" w14:textId="0145CFB1" w:rsidR="00DD0A97" w:rsidRPr="00AD5398" w:rsidRDefault="009A5AA9">
      <w:pPr>
        <w:pStyle w:val="ListParagraph"/>
        <w:numPr>
          <w:ilvl w:val="1"/>
          <w:numId w:val="64"/>
        </w:numPr>
      </w:pPr>
      <w:r w:rsidRPr="00AD5398">
        <w:t xml:space="preserve">Specify </w:t>
      </w:r>
      <w:r w:rsidR="00282011" w:rsidRPr="00AD5398">
        <w:t>t</w:t>
      </w:r>
      <w:r w:rsidR="003E0CDA" w:rsidRPr="00AD5398">
        <w:t>he location of the factory and</w:t>
      </w:r>
      <w:r w:rsidRPr="00AD5398">
        <w:t xml:space="preserve"> the </w:t>
      </w:r>
      <w:r w:rsidR="002F60A0" w:rsidRPr="00AD5398">
        <w:t xml:space="preserve">number of </w:t>
      </w:r>
      <w:r w:rsidRPr="00AD5398">
        <w:t>homes</w:t>
      </w:r>
      <w:r w:rsidR="002F60A0" w:rsidRPr="00AD5398">
        <w:t xml:space="preserve"> to be </w:t>
      </w:r>
      <w:r w:rsidR="00774ECD" w:rsidRPr="00AD5398">
        <w:t xml:space="preserve">located in </w:t>
      </w:r>
      <w:r w:rsidR="001507C8" w:rsidRPr="00AD5398">
        <w:t xml:space="preserve">under-resourced </w:t>
      </w:r>
      <w:r w:rsidR="00774ECD" w:rsidRPr="00AD5398">
        <w:t>communities in electric IOU service areas</w:t>
      </w:r>
      <w:r w:rsidRPr="00AD5398">
        <w:t>.</w:t>
      </w:r>
      <w:r w:rsidR="00EA6EAC" w:rsidRPr="00AD5398">
        <w:t xml:space="preserve"> If the homes are not to be located in climate zones 10,11,12,13 or 14, provide a justification for these other climate zones and why they have </w:t>
      </w:r>
      <w:r w:rsidR="004B70D9" w:rsidRPr="00AD5398">
        <w:t>potential for uptake by under</w:t>
      </w:r>
      <w:r w:rsidR="005A2D9A" w:rsidRPr="00AD5398">
        <w:t>-</w:t>
      </w:r>
      <w:r w:rsidR="004B70D9" w:rsidRPr="00AD5398">
        <w:t>resourced communities.</w:t>
      </w:r>
    </w:p>
    <w:p w14:paraId="71F1C2F0" w14:textId="439D15D2" w:rsidR="00AB1BA7" w:rsidRPr="00AD5398" w:rsidRDefault="00AB1BA7">
      <w:pPr>
        <w:pStyle w:val="ListParagraph"/>
        <w:numPr>
          <w:ilvl w:val="1"/>
          <w:numId w:val="64"/>
        </w:numPr>
      </w:pPr>
      <w:r w:rsidRPr="00AD5398">
        <w:t>Please discuss the disposition of the homes at the end of the grant</w:t>
      </w:r>
      <w:r w:rsidR="00667B06" w:rsidRPr="00AD5398">
        <w:t xml:space="preserve"> and how these homes </w:t>
      </w:r>
      <w:r w:rsidR="00BE07A4" w:rsidRPr="00AD5398">
        <w:t xml:space="preserve">and the project </w:t>
      </w:r>
      <w:r w:rsidR="00667B06" w:rsidRPr="00AD5398">
        <w:t xml:space="preserve">would benefit </w:t>
      </w:r>
      <w:r w:rsidR="00BE07A4" w:rsidRPr="00AD5398">
        <w:t xml:space="preserve">under-resourced </w:t>
      </w:r>
      <w:r w:rsidR="00667B06" w:rsidRPr="00AD5398">
        <w:t>communities</w:t>
      </w:r>
      <w:r w:rsidR="00995779" w:rsidRPr="00AD5398">
        <w:t>.</w:t>
      </w:r>
    </w:p>
    <w:p w14:paraId="14E6539C" w14:textId="4ABD6D2C" w:rsidR="00572C76" w:rsidRPr="00AD5398" w:rsidRDefault="00572C76">
      <w:pPr>
        <w:pStyle w:val="ListParagraph"/>
        <w:numPr>
          <w:ilvl w:val="0"/>
          <w:numId w:val="50"/>
        </w:numPr>
        <w:rPr>
          <w:b/>
        </w:rPr>
      </w:pPr>
      <w:r w:rsidRPr="00266FAF">
        <w:rPr>
          <w:b/>
        </w:rPr>
        <w:t xml:space="preserve">Group 2: Develop, Test and </w:t>
      </w:r>
      <w:r w:rsidR="009526D5" w:rsidRPr="00266FAF">
        <w:rPr>
          <w:b/>
        </w:rPr>
        <w:t>Demonstrate</w:t>
      </w:r>
      <w:r w:rsidRPr="00266FAF">
        <w:rPr>
          <w:b/>
        </w:rPr>
        <w:t xml:space="preserve"> Innovative Modular Homes.</w:t>
      </w:r>
    </w:p>
    <w:p w14:paraId="458CCB59" w14:textId="23F26A0A" w:rsidR="006B38D6" w:rsidRPr="00AD5398" w:rsidRDefault="007F0793" w:rsidP="00105694">
      <w:pPr>
        <w:keepNext/>
        <w:ind w:left="450"/>
        <w:jc w:val="both"/>
      </w:pPr>
      <w:r>
        <w:t>This group fund</w:t>
      </w:r>
      <w:r w:rsidR="001042FC">
        <w:t>s</w:t>
      </w:r>
      <w:r>
        <w:t xml:space="preserve"> advancements in improving manufacturing capabilities </w:t>
      </w:r>
      <w:r w:rsidR="00F90011">
        <w:t xml:space="preserve">at the factory </w:t>
      </w:r>
      <w:r>
        <w:t xml:space="preserve">to improve efficiency and reduce cost of construction </w:t>
      </w:r>
      <w:r w:rsidRPr="1C048822">
        <w:rPr>
          <w:b/>
          <w:bCs/>
        </w:rPr>
        <w:t>and</w:t>
      </w:r>
      <w:r>
        <w:t xml:space="preserve"> the development, testing and demonstration of advanced modular homes with the requirements in Section I.C. </w:t>
      </w:r>
      <w:r w:rsidR="003577F7">
        <w:t>In addition, m</w:t>
      </w:r>
      <w:r w:rsidR="000F4EE3">
        <w:t xml:space="preserve">odular homes must meet or exceed the 2022 Title 24 </w:t>
      </w:r>
      <w:r w:rsidR="00C40352">
        <w:t>Building Efficiency Standards</w:t>
      </w:r>
      <w:r w:rsidR="00EC469F">
        <w:t>.</w:t>
      </w:r>
      <w:r w:rsidR="00992CE8">
        <w:t xml:space="preserve">  </w:t>
      </w:r>
      <w:r w:rsidR="002426E8">
        <w:lastRenderedPageBreak/>
        <w:t>Demonstrated modular homes m</w:t>
      </w:r>
      <w:r w:rsidR="006B38D6">
        <w:t xml:space="preserve">ust have a </w:t>
      </w:r>
      <w:proofErr w:type="gramStart"/>
      <w:r w:rsidR="006B38D6">
        <w:t>10 year</w:t>
      </w:r>
      <w:proofErr w:type="gramEnd"/>
      <w:r w:rsidR="006B38D6">
        <w:t xml:space="preserve"> cost of ownership that is less than or equal to</w:t>
      </w:r>
      <w:r w:rsidR="006459D0">
        <w:t xml:space="preserve"> </w:t>
      </w:r>
      <w:r w:rsidR="00DD1AB5">
        <w:t xml:space="preserve">a </w:t>
      </w:r>
      <w:r w:rsidR="006B38D6">
        <w:t xml:space="preserve">  2022 T</w:t>
      </w:r>
      <w:r w:rsidR="003C52F0">
        <w:t>itle</w:t>
      </w:r>
      <w:r w:rsidR="00F90011">
        <w:t xml:space="preserve"> </w:t>
      </w:r>
      <w:r w:rsidR="006B38D6">
        <w:t xml:space="preserve">24 </w:t>
      </w:r>
      <w:r w:rsidR="003C52F0">
        <w:t xml:space="preserve">compliant </w:t>
      </w:r>
      <w:r w:rsidR="006B38D6">
        <w:t>building</w:t>
      </w:r>
      <w:r w:rsidR="00A6452E">
        <w:t xml:space="preserve">. </w:t>
      </w:r>
      <w:r w:rsidR="00F90011">
        <w:t xml:space="preserve">The </w:t>
      </w:r>
      <w:r w:rsidR="006276D2">
        <w:t xml:space="preserve">cost savings due to </w:t>
      </w:r>
      <w:r w:rsidR="008F52CF">
        <w:t>increased</w:t>
      </w:r>
      <w:r w:rsidR="002B77EA">
        <w:t xml:space="preserve"> energy efficiency</w:t>
      </w:r>
      <w:r w:rsidR="00F31BF4">
        <w:t xml:space="preserve"> and PV</w:t>
      </w:r>
      <w:r w:rsidR="002B77EA">
        <w:t xml:space="preserve"> </w:t>
      </w:r>
      <w:r w:rsidR="009526D5">
        <w:t>must</w:t>
      </w:r>
      <w:r w:rsidR="006276D2">
        <w:t xml:space="preserve"> </w:t>
      </w:r>
      <w:r w:rsidR="002B77EA">
        <w:t xml:space="preserve">offset </w:t>
      </w:r>
      <w:r w:rsidR="006276D2">
        <w:t xml:space="preserve">any </w:t>
      </w:r>
      <w:r w:rsidR="002B77EA">
        <w:t xml:space="preserve">increase in </w:t>
      </w:r>
      <w:r w:rsidR="00242E8C">
        <w:t xml:space="preserve">home </w:t>
      </w:r>
      <w:r w:rsidR="002B77EA" w:rsidRPr="1C048822">
        <w:rPr>
          <w:u w:val="single"/>
        </w:rPr>
        <w:t>loan</w:t>
      </w:r>
      <w:r w:rsidR="002B77EA">
        <w:t xml:space="preserve"> costs</w:t>
      </w:r>
      <w:r w:rsidR="006276D2">
        <w:t>.</w:t>
      </w:r>
    </w:p>
    <w:p w14:paraId="405D7523" w14:textId="7FDCF981" w:rsidR="0098403F" w:rsidRPr="00AD5398" w:rsidRDefault="0098403F" w:rsidP="0098403F">
      <w:pPr>
        <w:ind w:left="450"/>
        <w:rPr>
          <w:szCs w:val="22"/>
        </w:rPr>
      </w:pPr>
      <w:r w:rsidRPr="00266FAF">
        <w:t>The Project Narrative (Attachment) must discuss the following in the sections identified:</w:t>
      </w:r>
      <w:r w:rsidRPr="00AD5398">
        <w:t xml:space="preserve"> </w:t>
      </w:r>
    </w:p>
    <w:p w14:paraId="25292B5F" w14:textId="77777777" w:rsidR="00E2135D" w:rsidRPr="00AD5398" w:rsidRDefault="00E2135D">
      <w:pPr>
        <w:pStyle w:val="ListParagraph"/>
        <w:numPr>
          <w:ilvl w:val="0"/>
          <w:numId w:val="64"/>
        </w:numPr>
      </w:pPr>
      <w:r w:rsidRPr="00AD5398">
        <w:t>Technical Merit:</w:t>
      </w:r>
    </w:p>
    <w:p w14:paraId="72D049D0" w14:textId="6588EED1" w:rsidR="00105694" w:rsidRPr="00AD5398" w:rsidRDefault="00A0054C">
      <w:pPr>
        <w:pStyle w:val="ListParagraph"/>
        <w:numPr>
          <w:ilvl w:val="1"/>
          <w:numId w:val="64"/>
        </w:numPr>
      </w:pPr>
      <w:r w:rsidRPr="00AD5398">
        <w:t>The baseline cost of a</w:t>
      </w:r>
      <w:r w:rsidR="00882925" w:rsidRPr="00AD5398">
        <w:t>n affordable</w:t>
      </w:r>
      <w:r w:rsidRPr="00AD5398">
        <w:t xml:space="preserve"> 2022 T</w:t>
      </w:r>
      <w:r w:rsidR="00D47479" w:rsidRPr="00AD5398">
        <w:t>itle</w:t>
      </w:r>
      <w:r w:rsidRPr="00AD5398">
        <w:t xml:space="preserve">-24 modular home.  </w:t>
      </w:r>
    </w:p>
    <w:p w14:paraId="30AB2782" w14:textId="17DEA9B4" w:rsidR="00CC095D" w:rsidRPr="00AD5398" w:rsidRDefault="00875985">
      <w:pPr>
        <w:pStyle w:val="ListParagraph"/>
        <w:numPr>
          <w:ilvl w:val="1"/>
          <w:numId w:val="64"/>
        </w:numPr>
      </w:pPr>
      <w:r w:rsidRPr="00AD5398">
        <w:t xml:space="preserve">The proposed production cost and energy savings of the </w:t>
      </w:r>
      <w:r w:rsidR="00882925" w:rsidRPr="00AD5398">
        <w:t>modular home exceeding</w:t>
      </w:r>
      <w:r w:rsidR="009E0A3D" w:rsidRPr="00AD5398">
        <w:t xml:space="preserve"> T-24 requirements.</w:t>
      </w:r>
    </w:p>
    <w:p w14:paraId="606B4E55" w14:textId="542128DE" w:rsidR="003D40E5" w:rsidRPr="00AD5398" w:rsidRDefault="003D40E5">
      <w:pPr>
        <w:pStyle w:val="ListParagraph"/>
        <w:numPr>
          <w:ilvl w:val="1"/>
          <w:numId w:val="64"/>
        </w:numPr>
      </w:pPr>
      <w:r w:rsidRPr="00AD5398" w:rsidDel="0093138D">
        <w:t>E</w:t>
      </w:r>
      <w:r w:rsidRPr="00AD5398">
        <w:t>stimated performance metrics such as R-value and equipment sizing</w:t>
      </w:r>
      <w:r w:rsidR="00097BDE" w:rsidRPr="00AD5398">
        <w:t xml:space="preserve"> of the Title-24 compliant home and the </w:t>
      </w:r>
      <w:r w:rsidR="00072E15" w:rsidRPr="00AD5398">
        <w:t>advanced modular home that exceeds T-24</w:t>
      </w:r>
    </w:p>
    <w:p w14:paraId="6A2F0070" w14:textId="6746332F" w:rsidR="004E1AD8" w:rsidRPr="00AD5398" w:rsidRDefault="003D40E5">
      <w:pPr>
        <w:pStyle w:val="ListParagraph"/>
        <w:numPr>
          <w:ilvl w:val="1"/>
          <w:numId w:val="64"/>
        </w:numPr>
      </w:pPr>
      <w:r w:rsidRPr="00AD5398">
        <w:t>How the proposed solution will interact with the power grid and provide backup power during outages and reduce electrical load when needed to benefit the grid;</w:t>
      </w:r>
    </w:p>
    <w:p w14:paraId="2B6C8DA2" w14:textId="5E9EC3CE" w:rsidR="00741B60" w:rsidRPr="00AD5398" w:rsidRDefault="002E29D4">
      <w:pPr>
        <w:pStyle w:val="ListParagraph"/>
        <w:numPr>
          <w:ilvl w:val="1"/>
          <w:numId w:val="64"/>
        </w:numPr>
      </w:pPr>
      <w:r w:rsidRPr="00AD5398">
        <w:t xml:space="preserve">Provide assumptions used in determining energy </w:t>
      </w:r>
      <w:r w:rsidR="00DF7B94" w:rsidRPr="00AD5398">
        <w:t xml:space="preserve">and energy cost </w:t>
      </w:r>
      <w:r w:rsidRPr="00AD5398">
        <w:t xml:space="preserve">savings of the advanced </w:t>
      </w:r>
      <w:r w:rsidR="00CF526C" w:rsidRPr="00AD5398">
        <w:t xml:space="preserve">modular </w:t>
      </w:r>
      <w:r w:rsidRPr="00AD5398">
        <w:t xml:space="preserve">home, including present and future tariffs </w:t>
      </w:r>
      <w:r w:rsidRPr="00AD5398" w:rsidDel="00B91029">
        <w:t xml:space="preserve">used to identify </w:t>
      </w:r>
      <w:r w:rsidRPr="00AD5398">
        <w:t>cost effectiveness and simple payback</w:t>
      </w:r>
      <w:r w:rsidR="008D59BD" w:rsidRPr="00AD5398">
        <w:t>. Simple payback is the incremental cost difference between the advanced modular home versus the standard Title 24 compliant home divided by the annual energy cost savings</w:t>
      </w:r>
      <w:r w:rsidRPr="00AD5398">
        <w:t>;</w:t>
      </w:r>
    </w:p>
    <w:p w14:paraId="41C88E72" w14:textId="77777777" w:rsidR="00741B60" w:rsidRPr="00AD5398" w:rsidRDefault="00741B60">
      <w:pPr>
        <w:pStyle w:val="ListParagraph"/>
        <w:numPr>
          <w:ilvl w:val="0"/>
          <w:numId w:val="64"/>
        </w:numPr>
      </w:pPr>
      <w:r w:rsidRPr="00AD5398">
        <w:t>Technical Approach:</w:t>
      </w:r>
    </w:p>
    <w:p w14:paraId="699EC13A" w14:textId="793D8444" w:rsidR="00214691" w:rsidRPr="00AD5398" w:rsidRDefault="00214691">
      <w:pPr>
        <w:pStyle w:val="ListParagraph"/>
        <w:numPr>
          <w:ilvl w:val="1"/>
          <w:numId w:val="64"/>
        </w:numPr>
      </w:pPr>
      <w:r w:rsidRPr="00AD5398">
        <w:t xml:space="preserve">Identify the manufacturing facility advancements and/or low carbon construction practices that will be implemented to reduce construction costs and reduce GHG emissions. For each advancement, provide all assumptions used to determine construction cost reductions, and the impact they would have on construction cost and GHG emission reductions when compared to </w:t>
      </w:r>
      <w:r w:rsidR="00891E93" w:rsidRPr="00AD5398">
        <w:t>2022 Title 24 home</w:t>
      </w:r>
      <w:r w:rsidRPr="00AD5398">
        <w:t>.</w:t>
      </w:r>
      <w:r w:rsidR="00493585" w:rsidRPr="00AD5398">
        <w:t xml:space="preserve"> CEC funds can only be used for innovative improvements to the manufacturing process </w:t>
      </w:r>
      <w:r w:rsidR="005E5474" w:rsidRPr="00AD5398">
        <w:t>for modular hom</w:t>
      </w:r>
      <w:r w:rsidR="00BA2681" w:rsidRPr="00AD5398">
        <w:t>e</w:t>
      </w:r>
      <w:r w:rsidR="00931073" w:rsidRPr="00AD5398">
        <w:t xml:space="preserve">s </w:t>
      </w:r>
      <w:r w:rsidR="00493585" w:rsidRPr="00AD5398">
        <w:t>and cannot be used for improvements to the manufacturing facility (e.g., building upgrades to improve energy efficiency).</w:t>
      </w:r>
    </w:p>
    <w:p w14:paraId="0A67B9D2" w14:textId="55A4AD47" w:rsidR="00214691" w:rsidRPr="00AD5398" w:rsidRDefault="00214691">
      <w:pPr>
        <w:pStyle w:val="ListParagraph"/>
        <w:numPr>
          <w:ilvl w:val="1"/>
          <w:numId w:val="64"/>
        </w:numPr>
      </w:pPr>
      <w:r>
        <w:t xml:space="preserve">Describe the specific advancements to be included in the homes that will meet the requirements in Section I.C. Discuss how these advancements will affect the cost of the home when compared to the standard practice and include a table comparing the costs.  Note the CEC grant will only pay for the incremental cost difference between standard </w:t>
      </w:r>
      <w:r w:rsidR="00891E93">
        <w:t>T24</w:t>
      </w:r>
      <w:r>
        <w:t xml:space="preserve"> practice and advanced </w:t>
      </w:r>
      <w:r w:rsidR="003E43CB">
        <w:t xml:space="preserve">modular </w:t>
      </w:r>
      <w:r w:rsidR="682853B0">
        <w:t>home</w:t>
      </w:r>
      <w:r w:rsidR="5973E410">
        <w:t>.</w:t>
      </w:r>
      <w:r w:rsidR="008C2578">
        <w:t xml:space="preserve"> Advanced equipment can include pre-commercial and emerging technologies, or those that are commercially available but not widely used in modular homes</w:t>
      </w:r>
      <w:r w:rsidR="6285D282">
        <w:t>.</w:t>
      </w:r>
      <w:r w:rsidR="008C2578">
        <w:t xml:space="preserve"> Advanced equipment does not include commercially available equipment that is already used </w:t>
      </w:r>
      <w:r w:rsidR="00933A37">
        <w:t>to meet the 2022 Title 24 building efficiency standards.</w:t>
      </w:r>
    </w:p>
    <w:p w14:paraId="48506868" w14:textId="77777777" w:rsidR="00214691" w:rsidRPr="00AD5398" w:rsidRDefault="00214691">
      <w:pPr>
        <w:pStyle w:val="ListParagraph"/>
        <w:numPr>
          <w:ilvl w:val="1"/>
          <w:numId w:val="64"/>
        </w:numPr>
      </w:pPr>
      <w:r w:rsidRPr="00AD5398">
        <w:t xml:space="preserve">Discuss the construction cost of the advanced home at commercial scale and the path to commercialization and </w:t>
      </w:r>
      <w:proofErr w:type="gramStart"/>
      <w:r w:rsidRPr="00AD5398">
        <w:t>large scale</w:t>
      </w:r>
      <w:proofErr w:type="gramEnd"/>
      <w:r w:rsidRPr="00AD5398">
        <w:t xml:space="preserve"> deployment in California and elsewhere. Provide all assumptions.</w:t>
      </w:r>
    </w:p>
    <w:p w14:paraId="4FC243AF" w14:textId="472561A9" w:rsidR="00214691" w:rsidRPr="00AD5398" w:rsidRDefault="00214691">
      <w:pPr>
        <w:pStyle w:val="ListParagraph"/>
        <w:numPr>
          <w:ilvl w:val="1"/>
          <w:numId w:val="64"/>
        </w:numPr>
      </w:pPr>
      <w:r w:rsidRPr="00AD5398">
        <w:t xml:space="preserve">Discuss how the proposal will meet the requirement that the advanced homes will have a 10-year cost of ownership that is less than or equal to baseline </w:t>
      </w:r>
      <w:r w:rsidR="002711ED" w:rsidRPr="00AD5398">
        <w:t>of a home built to the 2022 Title 24 standards.</w:t>
      </w:r>
    </w:p>
    <w:p w14:paraId="44495046" w14:textId="20FEF700" w:rsidR="00D72C4A" w:rsidRPr="00AD5398" w:rsidRDefault="002E1DAD">
      <w:pPr>
        <w:pStyle w:val="ListParagraph"/>
        <w:numPr>
          <w:ilvl w:val="1"/>
          <w:numId w:val="64"/>
        </w:numPr>
      </w:pPr>
      <w:bookmarkStart w:id="27" w:name="_Hlk104966487"/>
      <w:r w:rsidRPr="00AD5398">
        <w:t>Please state timeframe, assumptions with sources, and calculation for estimat</w:t>
      </w:r>
      <w:r w:rsidR="004E3A3E" w:rsidRPr="00AD5398">
        <w:t>ions.</w:t>
      </w:r>
    </w:p>
    <w:bookmarkEnd w:id="27"/>
    <w:p w14:paraId="2D6D1271" w14:textId="1B4B4F2B" w:rsidR="002B41A0" w:rsidRPr="00AD5398" w:rsidRDefault="002B41A0">
      <w:pPr>
        <w:pStyle w:val="ListParagraph"/>
        <w:numPr>
          <w:ilvl w:val="1"/>
          <w:numId w:val="64"/>
        </w:numPr>
      </w:pPr>
      <w:r w:rsidRPr="00AD5398">
        <w:lastRenderedPageBreak/>
        <w:t xml:space="preserve">Specify the location of the </w:t>
      </w:r>
      <w:r w:rsidR="00FC1580" w:rsidRPr="00AD5398">
        <w:t xml:space="preserve">manufacturing facility </w:t>
      </w:r>
      <w:r w:rsidRPr="00AD5398">
        <w:t xml:space="preserve">and the number of homes to be located in </w:t>
      </w:r>
      <w:r w:rsidR="00387A9B" w:rsidRPr="00AD5398">
        <w:t>under-resourced</w:t>
      </w:r>
      <w:r w:rsidRPr="00AD5398">
        <w:t xml:space="preserve"> communities in electric IOU service areas. If the homes are not to be located in climate zones 10,11,12,13 or 14, provide a justification for these other climate zones and why they have potential for uptake by under</w:t>
      </w:r>
      <w:r w:rsidR="00387A9B" w:rsidRPr="00AD5398">
        <w:t>-</w:t>
      </w:r>
      <w:r w:rsidRPr="00AD5398">
        <w:t>resourced communities.</w:t>
      </w:r>
    </w:p>
    <w:p w14:paraId="4C695583" w14:textId="3328D5ED" w:rsidR="002B41A0" w:rsidRPr="00AD5398" w:rsidRDefault="002B41A0">
      <w:pPr>
        <w:pStyle w:val="ListParagraph"/>
        <w:numPr>
          <w:ilvl w:val="1"/>
          <w:numId w:val="64"/>
        </w:numPr>
      </w:pPr>
      <w:r w:rsidRPr="00AD5398">
        <w:t xml:space="preserve">Please discuss the disposition of the homes at the end of the grant and how these homes </w:t>
      </w:r>
      <w:r w:rsidR="00387A9B" w:rsidRPr="00AD5398">
        <w:t xml:space="preserve">and the project </w:t>
      </w:r>
      <w:r w:rsidRPr="00AD5398">
        <w:t xml:space="preserve">would benefit </w:t>
      </w:r>
      <w:r w:rsidR="00387A9B" w:rsidRPr="00AD5398">
        <w:t xml:space="preserve">under-resourced </w:t>
      </w:r>
      <w:r w:rsidRPr="00AD5398">
        <w:t>communities.</w:t>
      </w:r>
    </w:p>
    <w:p w14:paraId="5DB98DC6" w14:textId="599926AB" w:rsidR="002E1DAD" w:rsidRPr="00266FAF" w:rsidRDefault="002E1DAD" w:rsidP="001B6C87"/>
    <w:p w14:paraId="1E468149" w14:textId="77777777" w:rsidR="003F6147" w:rsidRPr="00AD5398" w:rsidRDefault="003F6147">
      <w:pPr>
        <w:pStyle w:val="Heading2"/>
        <w:numPr>
          <w:ilvl w:val="0"/>
          <w:numId w:val="53"/>
        </w:numPr>
      </w:pPr>
      <w:bookmarkStart w:id="28" w:name="_Toc87335015"/>
      <w:r w:rsidRPr="00AD5398">
        <w:t>Funding</w:t>
      </w:r>
      <w:bookmarkEnd w:id="25"/>
      <w:bookmarkEnd w:id="28"/>
    </w:p>
    <w:p w14:paraId="11DA8798" w14:textId="77777777" w:rsidR="003F6147" w:rsidRPr="00AD5398" w:rsidRDefault="003F6147">
      <w:pPr>
        <w:numPr>
          <w:ilvl w:val="0"/>
          <w:numId w:val="65"/>
        </w:numPr>
        <w:jc w:val="both"/>
        <w:rPr>
          <w:b/>
        </w:rPr>
      </w:pPr>
      <w:bookmarkStart w:id="29" w:name="_Toc381079878"/>
      <w:bookmarkStart w:id="30" w:name="_Toc382571140"/>
      <w:bookmarkStart w:id="31" w:name="_Toc395180637"/>
      <w:bookmarkStart w:id="32" w:name="_Toc433981282"/>
      <w:r w:rsidRPr="00AD5398">
        <w:rPr>
          <w:b/>
        </w:rPr>
        <w:t>Amount Available and Minimum/ Maximum Funding Amounts</w:t>
      </w:r>
      <w:bookmarkEnd w:id="29"/>
      <w:bookmarkEnd w:id="30"/>
      <w:bookmarkEnd w:id="31"/>
      <w:bookmarkEnd w:id="32"/>
    </w:p>
    <w:p w14:paraId="7A95DEE3" w14:textId="18464087" w:rsidR="003F6147" w:rsidRPr="00AD5398" w:rsidRDefault="003F6147" w:rsidP="003F6147">
      <w:pPr>
        <w:jc w:val="both"/>
      </w:pPr>
      <w:bookmarkStart w:id="33" w:name="_Toc381079884"/>
      <w:bookmarkStart w:id="34" w:name="_Toc382571146"/>
      <w:bookmarkStart w:id="35" w:name="_Toc395180643"/>
      <w:bookmarkStart w:id="36" w:name="_Toc433981288"/>
      <w:r w:rsidRPr="00AD5398">
        <w:t>There is</w:t>
      </w:r>
      <w:r w:rsidRPr="00AD5398">
        <w:rPr>
          <w:b/>
        </w:rPr>
        <w:t xml:space="preserve"> up to $</w:t>
      </w:r>
      <w:r w:rsidR="004452BE" w:rsidRPr="00AD5398">
        <w:rPr>
          <w:b/>
        </w:rPr>
        <w:t xml:space="preserve">7,500,000 </w:t>
      </w:r>
      <w:r w:rsidR="00EA362A" w:rsidRPr="00AD5398">
        <w:rPr>
          <w:b/>
        </w:rPr>
        <w:t xml:space="preserve">per group </w:t>
      </w:r>
      <w:r w:rsidRPr="00266FAF">
        <w:t>available for grants awarded under this solicitation.  The total, minimum, and maximum funding amounts for each project group are listed below.</w:t>
      </w:r>
      <w:bookmarkEnd w:id="33"/>
      <w:bookmarkEnd w:id="34"/>
      <w:bookmarkEnd w:id="35"/>
      <w:bookmarkEnd w:id="36"/>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266FAF" w:rsidRPr="00AD5398" w14:paraId="3F5AFC1C" w14:textId="77777777" w:rsidTr="4E8EA9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AD5398" w:rsidRDefault="005B073B" w:rsidP="005B073B">
            <w:bookmarkStart w:id="37" w:name="_Toc395180644"/>
            <w:bookmarkStart w:id="38" w:name="_Toc433981289"/>
            <w:bookmarkStart w:id="39" w:name="_Toc381079895"/>
            <w:bookmarkStart w:id="40" w:name="_Toc382571157"/>
            <w:bookmarkStart w:id="41" w:name="_Toc395180656"/>
            <w:r w:rsidRPr="00AD5398">
              <w:t>Project Group</w:t>
            </w:r>
            <w:bookmarkEnd w:id="37"/>
            <w:bookmarkEnd w:id="38"/>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77777777" w:rsidR="005B073B" w:rsidRPr="00AD5398" w:rsidRDefault="005B073B" w:rsidP="005B073B">
            <w:bookmarkStart w:id="42" w:name="_Toc395180645"/>
            <w:bookmarkStart w:id="43" w:name="_Toc433981290"/>
            <w:r w:rsidRPr="00AD5398">
              <w:t>Available funding</w:t>
            </w:r>
            <w:bookmarkEnd w:id="42"/>
            <w:bookmarkEnd w:id="43"/>
          </w:p>
        </w:tc>
        <w:tc>
          <w:tcPr>
            <w:tcW w:w="1807" w:type="dxa"/>
          </w:tcPr>
          <w:p w14:paraId="0DC8632D" w14:textId="77777777" w:rsidR="005B073B" w:rsidRPr="00AD5398" w:rsidRDefault="005B073B" w:rsidP="005B073B">
            <w:pPr>
              <w:cnfStyle w:val="100000000000" w:firstRow="1" w:lastRow="0" w:firstColumn="0" w:lastColumn="0" w:oddVBand="0" w:evenVBand="0" w:oddHBand="0" w:evenHBand="0" w:firstRowFirstColumn="0" w:firstRowLastColumn="0" w:lastRowFirstColumn="0" w:lastRowLastColumn="0"/>
            </w:pPr>
            <w:bookmarkStart w:id="44" w:name="_Toc381079887"/>
            <w:bookmarkStart w:id="45" w:name="_Toc382571149"/>
            <w:bookmarkStart w:id="46" w:name="_Toc395180646"/>
            <w:bookmarkStart w:id="47" w:name="_Toc433981291"/>
            <w:r w:rsidRPr="00AD5398">
              <w:t>Minimum award amount</w:t>
            </w:r>
            <w:bookmarkEnd w:id="44"/>
            <w:bookmarkEnd w:id="45"/>
            <w:bookmarkEnd w:id="46"/>
            <w:bookmarkEnd w:id="47"/>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77777777" w:rsidR="005B073B" w:rsidRPr="00AD5398" w:rsidRDefault="005B073B" w:rsidP="005B073B">
            <w:bookmarkStart w:id="48" w:name="_Toc381079888"/>
            <w:bookmarkStart w:id="49" w:name="_Toc382571150"/>
            <w:bookmarkStart w:id="50" w:name="_Toc395180647"/>
            <w:bookmarkStart w:id="51" w:name="_Toc433981292"/>
            <w:r w:rsidRPr="00AD5398">
              <w:t>Maximum award amount</w:t>
            </w:r>
            <w:bookmarkEnd w:id="48"/>
            <w:bookmarkEnd w:id="49"/>
            <w:bookmarkEnd w:id="50"/>
            <w:bookmarkEnd w:id="51"/>
          </w:p>
        </w:tc>
        <w:tc>
          <w:tcPr>
            <w:tcW w:w="2153" w:type="dxa"/>
          </w:tcPr>
          <w:p w14:paraId="72754F15" w14:textId="77777777" w:rsidR="005B073B" w:rsidRPr="00AD5398" w:rsidRDefault="005B073B" w:rsidP="005B073B">
            <w:pPr>
              <w:cnfStyle w:val="100000000000" w:firstRow="1" w:lastRow="0" w:firstColumn="0" w:lastColumn="0" w:oddVBand="0" w:evenVBand="0" w:oddHBand="0" w:evenHBand="0" w:firstRowFirstColumn="0" w:firstRowLastColumn="0" w:lastRowFirstColumn="0" w:lastRowLastColumn="0"/>
            </w:pPr>
            <w:bookmarkStart w:id="52" w:name="_Toc433981293"/>
            <w:r w:rsidRPr="00AD5398">
              <w:t>Minimum match funding</w:t>
            </w:r>
            <w:bookmarkEnd w:id="52"/>
          </w:p>
          <w:p w14:paraId="1967D4CA" w14:textId="77777777" w:rsidR="005B073B" w:rsidRPr="00AD5398" w:rsidRDefault="005B073B" w:rsidP="005B073B">
            <w:pPr>
              <w:cnfStyle w:val="100000000000" w:firstRow="1" w:lastRow="0" w:firstColumn="0" w:lastColumn="0" w:oddVBand="0" w:evenVBand="0" w:oddHBand="0" w:evenHBand="0" w:firstRowFirstColumn="0" w:firstRowLastColumn="0" w:lastRowFirstColumn="0" w:lastRowLastColumn="0"/>
            </w:pPr>
            <w:r w:rsidRPr="00AD5398">
              <w:t>(% of EPIC Funds Requested)</w:t>
            </w:r>
          </w:p>
        </w:tc>
      </w:tr>
      <w:tr w:rsidR="00266FAF" w:rsidRPr="00AD5398" w14:paraId="3B74B442" w14:textId="77777777" w:rsidTr="4E8EA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2FAC80A" w14:textId="1EB60368" w:rsidR="00BF5E81" w:rsidRPr="00266FAF" w:rsidRDefault="00BF5E81" w:rsidP="00324AA1">
            <w:r w:rsidRPr="00AD5398">
              <w:t xml:space="preserve">Group 1: Develop, Test and </w:t>
            </w:r>
            <w:r w:rsidR="009526D5" w:rsidRPr="00AD5398">
              <w:t>Demonstrate</w:t>
            </w:r>
            <w:r w:rsidRPr="00AD5398">
              <w:t xml:space="preserve"> Innovative Manufactured Homes</w:t>
            </w:r>
          </w:p>
        </w:tc>
        <w:tc>
          <w:tcPr>
            <w:cnfStyle w:val="000010000000" w:firstRow="0" w:lastRow="0" w:firstColumn="0" w:lastColumn="0" w:oddVBand="1" w:evenVBand="0" w:oddHBand="0" w:evenHBand="0" w:firstRowFirstColumn="0" w:firstRowLastColumn="0" w:lastRowFirstColumn="0" w:lastRowLastColumn="0"/>
            <w:tcW w:w="1800" w:type="dxa"/>
          </w:tcPr>
          <w:p w14:paraId="09D8FD34" w14:textId="77777777" w:rsidR="00BF5E81" w:rsidRPr="00AD5398" w:rsidRDefault="00BF5E81" w:rsidP="00324AA1">
            <w:pPr>
              <w:keepNext/>
              <w:spacing w:before="120"/>
              <w:outlineLvl w:val="1"/>
            </w:pPr>
            <w:r w:rsidRPr="00AD5398">
              <w:rPr>
                <w:szCs w:val="24"/>
              </w:rPr>
              <w:t>$7,500,000</w:t>
            </w:r>
          </w:p>
        </w:tc>
        <w:tc>
          <w:tcPr>
            <w:tcW w:w="1807" w:type="dxa"/>
          </w:tcPr>
          <w:p w14:paraId="64767800" w14:textId="77777777" w:rsidR="00BF5E81" w:rsidRPr="00AD5398" w:rsidRDefault="00BF5E81" w:rsidP="00324AA1">
            <w:pPr>
              <w:keepNext/>
              <w:spacing w:before="120"/>
              <w:outlineLvl w:val="1"/>
              <w:cnfStyle w:val="000000100000" w:firstRow="0" w:lastRow="0" w:firstColumn="0" w:lastColumn="0" w:oddVBand="0" w:evenVBand="0" w:oddHBand="1" w:evenHBand="0" w:firstRowFirstColumn="0" w:firstRowLastColumn="0" w:lastRowFirstColumn="0" w:lastRowLastColumn="0"/>
            </w:pPr>
            <w:r w:rsidRPr="00AD5398">
              <w:rPr>
                <w:szCs w:val="24"/>
              </w:rPr>
              <w:t>$2,000,000</w:t>
            </w:r>
          </w:p>
        </w:tc>
        <w:tc>
          <w:tcPr>
            <w:cnfStyle w:val="000010000000" w:firstRow="0" w:lastRow="0" w:firstColumn="0" w:lastColumn="0" w:oddVBand="1" w:evenVBand="0" w:oddHBand="0" w:evenHBand="0" w:firstRowFirstColumn="0" w:firstRowLastColumn="0" w:lastRowFirstColumn="0" w:lastRowLastColumn="0"/>
            <w:tcW w:w="2153" w:type="dxa"/>
          </w:tcPr>
          <w:p w14:paraId="2FE6761C" w14:textId="77777777" w:rsidR="00BF5E81" w:rsidRPr="00AD5398" w:rsidRDefault="00BF5E81" w:rsidP="00324AA1">
            <w:pPr>
              <w:keepNext/>
              <w:spacing w:before="120"/>
              <w:outlineLvl w:val="1"/>
            </w:pPr>
            <w:r w:rsidRPr="00AD5398">
              <w:rPr>
                <w:szCs w:val="24"/>
              </w:rPr>
              <w:t>$7,500,000</w:t>
            </w:r>
          </w:p>
        </w:tc>
        <w:tc>
          <w:tcPr>
            <w:tcW w:w="2153" w:type="dxa"/>
          </w:tcPr>
          <w:p w14:paraId="72D0485B" w14:textId="180C5854" w:rsidR="00BF5E81" w:rsidRPr="00AD5398" w:rsidRDefault="00045F58" w:rsidP="00324AA1">
            <w:pPr>
              <w:cnfStyle w:val="000000100000" w:firstRow="0" w:lastRow="0" w:firstColumn="0" w:lastColumn="0" w:oddVBand="0" w:evenVBand="0" w:oddHBand="1" w:evenHBand="0" w:firstRowFirstColumn="0" w:firstRowLastColumn="0" w:lastRowFirstColumn="0" w:lastRowLastColumn="0"/>
            </w:pPr>
            <w:r w:rsidRPr="00AD5398">
              <w:t>0%</w:t>
            </w:r>
          </w:p>
        </w:tc>
      </w:tr>
      <w:tr w:rsidR="00266FAF" w:rsidRPr="00AD5398" w14:paraId="28A4F830" w14:textId="77777777" w:rsidTr="4E8EA92E">
        <w:tc>
          <w:tcPr>
            <w:cnfStyle w:val="001000000000" w:firstRow="0" w:lastRow="0" w:firstColumn="1" w:lastColumn="0" w:oddVBand="0" w:evenVBand="0" w:oddHBand="0" w:evenHBand="0" w:firstRowFirstColumn="0" w:firstRowLastColumn="0" w:lastRowFirstColumn="0" w:lastRowLastColumn="0"/>
            <w:tcW w:w="1800" w:type="dxa"/>
          </w:tcPr>
          <w:p w14:paraId="208696E4" w14:textId="5E5F76B9" w:rsidR="00BF5E81" w:rsidRPr="00266FAF" w:rsidRDefault="00BF5E81" w:rsidP="00BF5E81">
            <w:r w:rsidRPr="00AD5398">
              <w:t xml:space="preserve">Group 2: Develop, Test and </w:t>
            </w:r>
            <w:r w:rsidR="009526D5" w:rsidRPr="00AD5398">
              <w:t>Demonstrate</w:t>
            </w:r>
            <w:r w:rsidRPr="00AD5398">
              <w:t xml:space="preserve"> Innovative Modular Homes.</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1BD3D5ED" w:rsidR="00BF5E81" w:rsidRPr="00AD5398" w:rsidRDefault="00BF5E81" w:rsidP="00BF5E81">
            <w:pPr>
              <w:keepNext/>
              <w:spacing w:before="120"/>
              <w:outlineLvl w:val="1"/>
            </w:pPr>
            <w:r w:rsidRPr="00AD5398">
              <w:rPr>
                <w:szCs w:val="24"/>
              </w:rPr>
              <w:t>$7,500,000</w:t>
            </w:r>
          </w:p>
        </w:tc>
        <w:tc>
          <w:tcPr>
            <w:tcW w:w="1807" w:type="dxa"/>
          </w:tcPr>
          <w:p w14:paraId="40D8E9DF" w14:textId="78269A65" w:rsidR="00BF5E81" w:rsidRPr="00AD5398" w:rsidRDefault="00BF5E81" w:rsidP="00BF5E81">
            <w:pPr>
              <w:keepNext/>
              <w:spacing w:before="120"/>
              <w:outlineLvl w:val="1"/>
              <w:cnfStyle w:val="000000000000" w:firstRow="0" w:lastRow="0" w:firstColumn="0" w:lastColumn="0" w:oddVBand="0" w:evenVBand="0" w:oddHBand="0" w:evenHBand="0" w:firstRowFirstColumn="0" w:firstRowLastColumn="0" w:lastRowFirstColumn="0" w:lastRowLastColumn="0"/>
            </w:pPr>
            <w:r w:rsidRPr="00AD5398">
              <w:rPr>
                <w:szCs w:val="24"/>
              </w:rPr>
              <w:t>$2,000,000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6E37D795" w:rsidR="00BF5E81" w:rsidRPr="00AD5398" w:rsidRDefault="00BF5E81" w:rsidP="00BF5E81">
            <w:pPr>
              <w:keepNext/>
              <w:spacing w:before="120"/>
              <w:outlineLvl w:val="1"/>
            </w:pPr>
            <w:r w:rsidRPr="00AD5398">
              <w:rPr>
                <w:szCs w:val="24"/>
              </w:rPr>
              <w:t>$7,500,000</w:t>
            </w:r>
          </w:p>
        </w:tc>
        <w:tc>
          <w:tcPr>
            <w:tcW w:w="2153" w:type="dxa"/>
          </w:tcPr>
          <w:p w14:paraId="3BD2FF9D" w14:textId="754A1271" w:rsidR="00BF5E81" w:rsidRPr="00AD5398" w:rsidRDefault="00315969" w:rsidP="00BF5E81">
            <w:pPr>
              <w:cnfStyle w:val="000000000000" w:firstRow="0" w:lastRow="0" w:firstColumn="0" w:lastColumn="0" w:oddVBand="0" w:evenVBand="0" w:oddHBand="0" w:evenHBand="0" w:firstRowFirstColumn="0" w:firstRowLastColumn="0" w:lastRowFirstColumn="0" w:lastRowLastColumn="0"/>
            </w:pPr>
            <w:r w:rsidRPr="00AD5398">
              <w:t>0%</w:t>
            </w:r>
          </w:p>
        </w:tc>
      </w:tr>
      <w:bookmarkEnd w:id="39"/>
      <w:bookmarkEnd w:id="40"/>
      <w:bookmarkEnd w:id="41"/>
    </w:tbl>
    <w:p w14:paraId="79C2A816" w14:textId="77777777" w:rsidR="003F6147" w:rsidRPr="00AD5398" w:rsidRDefault="003F6147" w:rsidP="003F6147">
      <w:pPr>
        <w:ind w:left="720"/>
        <w:jc w:val="both"/>
        <w:rPr>
          <w:szCs w:val="22"/>
        </w:rPr>
      </w:pPr>
    </w:p>
    <w:p w14:paraId="3BB75C23" w14:textId="77777777" w:rsidR="003F6147" w:rsidRPr="00AD5398" w:rsidRDefault="003F6147">
      <w:pPr>
        <w:numPr>
          <w:ilvl w:val="0"/>
          <w:numId w:val="65"/>
        </w:numPr>
        <w:jc w:val="both"/>
        <w:rPr>
          <w:b/>
          <w:szCs w:val="22"/>
        </w:rPr>
      </w:pPr>
      <w:r w:rsidRPr="00AD5398">
        <w:rPr>
          <w:b/>
        </w:rPr>
        <w:t>Match Funding Requirement</w:t>
      </w:r>
    </w:p>
    <w:p w14:paraId="3505A6D6" w14:textId="38FE8C35" w:rsidR="003F6147" w:rsidRPr="00266FAF" w:rsidRDefault="00CB0EF0" w:rsidP="003F6147">
      <w:pPr>
        <w:tabs>
          <w:tab w:val="left" w:pos="1170"/>
        </w:tabs>
        <w:jc w:val="both"/>
        <w:rPr>
          <w:szCs w:val="22"/>
        </w:rPr>
      </w:pPr>
      <w:r w:rsidRPr="00AD5398">
        <w:rPr>
          <w:szCs w:val="22"/>
        </w:rPr>
        <w:t>N</w:t>
      </w:r>
      <w:r w:rsidR="009013BF" w:rsidRPr="00AD5398">
        <w:rPr>
          <w:szCs w:val="22"/>
        </w:rPr>
        <w:t>o</w:t>
      </w:r>
      <w:r w:rsidR="00074BE1" w:rsidRPr="00AD5398">
        <w:rPr>
          <w:szCs w:val="22"/>
        </w:rPr>
        <w:t xml:space="preserve"> match is required since all proposed projects must be located in and benefitting</w:t>
      </w:r>
      <w:r w:rsidR="00F07206" w:rsidRPr="00AD5398">
        <w:rPr>
          <w:szCs w:val="22"/>
        </w:rPr>
        <w:t xml:space="preserve"> under-resourced</w:t>
      </w:r>
      <w:r w:rsidR="00074BE1" w:rsidRPr="00AD5398" w:rsidDel="00F07206">
        <w:rPr>
          <w:szCs w:val="22"/>
        </w:rPr>
        <w:t xml:space="preserve"> </w:t>
      </w:r>
      <w:r w:rsidR="00074BE1" w:rsidRPr="00AD5398">
        <w:rPr>
          <w:szCs w:val="22"/>
        </w:rPr>
        <w:t xml:space="preserve">communities within IOU </w:t>
      </w:r>
      <w:r w:rsidR="00F07206" w:rsidRPr="00AD5398">
        <w:rPr>
          <w:szCs w:val="22"/>
        </w:rPr>
        <w:t xml:space="preserve">electric </w:t>
      </w:r>
      <w:r w:rsidR="00074BE1" w:rsidRPr="00AD5398">
        <w:rPr>
          <w:szCs w:val="22"/>
        </w:rPr>
        <w:t xml:space="preserve">service territories.  </w:t>
      </w:r>
      <w:r w:rsidR="003F6147" w:rsidRPr="00266FAF">
        <w:rPr>
          <w:szCs w:val="22"/>
        </w:rPr>
        <w:t>However,</w:t>
      </w:r>
      <w:r w:rsidR="003F6147" w:rsidRPr="00AD5398">
        <w:rPr>
          <w:b/>
          <w:szCs w:val="22"/>
        </w:rPr>
        <w:t xml:space="preserve"> </w:t>
      </w:r>
      <w:r w:rsidR="003F6147" w:rsidRPr="00AD5398">
        <w:rPr>
          <w:szCs w:val="22"/>
        </w:rPr>
        <w:t xml:space="preserve">applications that include match funding will receive additional points during the scoring phase (see Scoring Criteria in Section </w:t>
      </w:r>
      <w:r w:rsidR="00377C8B" w:rsidRPr="00AD5398">
        <w:rPr>
          <w:szCs w:val="22"/>
        </w:rPr>
        <w:t>I</w:t>
      </w:r>
      <w:r w:rsidR="003F6147" w:rsidRPr="00AD5398">
        <w:rPr>
          <w:szCs w:val="22"/>
        </w:rPr>
        <w:t>V F).</w:t>
      </w:r>
      <w:r w:rsidR="00066DCB" w:rsidRPr="00AD5398">
        <w:rPr>
          <w:szCs w:val="22"/>
        </w:rPr>
        <w:t xml:space="preserve"> </w:t>
      </w:r>
    </w:p>
    <w:p w14:paraId="34DE2ABF" w14:textId="77777777" w:rsidR="003F6147" w:rsidRPr="00AD5398" w:rsidRDefault="003F6147" w:rsidP="003F6147">
      <w:pPr>
        <w:tabs>
          <w:tab w:val="left" w:pos="1080"/>
        </w:tabs>
        <w:suppressAutoHyphens/>
        <w:jc w:val="both"/>
        <w:rPr>
          <w:szCs w:val="22"/>
        </w:rPr>
      </w:pPr>
      <w:r w:rsidRPr="00AD5398">
        <w:rPr>
          <w:szCs w:val="22"/>
        </w:rPr>
        <w:t xml:space="preserve">For the definition of match funding see Section </w:t>
      </w:r>
      <w:r w:rsidR="00633997" w:rsidRPr="00AD5398">
        <w:rPr>
          <w:szCs w:val="22"/>
        </w:rPr>
        <w:t>I K</w:t>
      </w:r>
      <w:r w:rsidRPr="00AD5398">
        <w:rPr>
          <w:szCs w:val="22"/>
        </w:rPr>
        <w:t>.</w:t>
      </w:r>
    </w:p>
    <w:p w14:paraId="4A1AB468" w14:textId="77777777" w:rsidR="003F6147" w:rsidRPr="00AD5398" w:rsidRDefault="003F6147">
      <w:pPr>
        <w:numPr>
          <w:ilvl w:val="0"/>
          <w:numId w:val="65"/>
        </w:numPr>
        <w:jc w:val="both"/>
      </w:pPr>
      <w:r w:rsidRPr="00AD5398">
        <w:rPr>
          <w:b/>
        </w:rPr>
        <w:t>Change in Funding Amount</w:t>
      </w:r>
    </w:p>
    <w:p w14:paraId="7D87DD82" w14:textId="77777777" w:rsidR="003F6147" w:rsidRPr="00AD5398" w:rsidRDefault="003F6147" w:rsidP="005B073B">
      <w:pPr>
        <w:tabs>
          <w:tab w:val="left" w:pos="1170"/>
        </w:tabs>
        <w:jc w:val="both"/>
        <w:rPr>
          <w:szCs w:val="22"/>
        </w:rPr>
      </w:pPr>
      <w:r w:rsidRPr="00AD5398">
        <w:rPr>
          <w:szCs w:val="22"/>
        </w:rPr>
        <w:t>Along with any other rights and remedies available to it, the California Energy Commission (CEC) reserves the right to:</w:t>
      </w:r>
    </w:p>
    <w:p w14:paraId="6049BB5C" w14:textId="77777777" w:rsidR="003F6147" w:rsidRPr="00AD5398" w:rsidRDefault="003F6147">
      <w:pPr>
        <w:numPr>
          <w:ilvl w:val="0"/>
          <w:numId w:val="52"/>
        </w:numPr>
        <w:spacing w:after="0"/>
        <w:ind w:left="720"/>
        <w:jc w:val="both"/>
      </w:pPr>
      <w:r w:rsidRPr="00AD5398">
        <w:t>Increase or decrease the available funding and the minimum/maximum award amounts described in this section.</w:t>
      </w:r>
    </w:p>
    <w:p w14:paraId="07A5B16F" w14:textId="77777777" w:rsidR="003F6147" w:rsidRPr="00AD5398" w:rsidRDefault="003F6147">
      <w:pPr>
        <w:numPr>
          <w:ilvl w:val="0"/>
          <w:numId w:val="52"/>
        </w:numPr>
        <w:spacing w:after="0"/>
        <w:ind w:left="720"/>
        <w:jc w:val="both"/>
      </w:pPr>
      <w:r w:rsidRPr="00AD5398">
        <w:t>Allocate any additional or unawarded funds to passing applications, in rank order.</w:t>
      </w:r>
    </w:p>
    <w:p w14:paraId="7A94B035" w14:textId="0160DA12" w:rsidR="005B073B" w:rsidRPr="00AD5398" w:rsidRDefault="005B073B">
      <w:pPr>
        <w:numPr>
          <w:ilvl w:val="0"/>
          <w:numId w:val="52"/>
        </w:numPr>
        <w:spacing w:after="0"/>
        <w:ind w:left="720"/>
        <w:jc w:val="both"/>
      </w:pPr>
      <w:r w:rsidRPr="00AD5398">
        <w:lastRenderedPageBreak/>
        <w:t>Reallocate funding between any of the groups</w:t>
      </w:r>
      <w:r w:rsidR="00351A29" w:rsidRPr="00AD5398">
        <w:t>.</w:t>
      </w:r>
    </w:p>
    <w:p w14:paraId="3538ECFF" w14:textId="77777777" w:rsidR="003F6147" w:rsidRPr="00AD5398" w:rsidRDefault="003F6147">
      <w:pPr>
        <w:numPr>
          <w:ilvl w:val="0"/>
          <w:numId w:val="52"/>
        </w:numPr>
        <w:spacing w:after="0"/>
        <w:ind w:left="720"/>
        <w:jc w:val="both"/>
      </w:pPr>
      <w:r w:rsidRPr="00AD5398">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AD5398" w:rsidRDefault="003F6147" w:rsidP="003F6147">
      <w:pPr>
        <w:spacing w:after="0"/>
        <w:ind w:left="720"/>
        <w:jc w:val="both"/>
      </w:pPr>
    </w:p>
    <w:p w14:paraId="739A85C4" w14:textId="70569177" w:rsidR="003F6147" w:rsidRPr="00AD5398" w:rsidRDefault="003F6147">
      <w:pPr>
        <w:pStyle w:val="Heading2"/>
        <w:numPr>
          <w:ilvl w:val="0"/>
          <w:numId w:val="53"/>
        </w:numPr>
      </w:pPr>
      <w:bookmarkStart w:id="53" w:name="_Toc458602325"/>
      <w:bookmarkStart w:id="54" w:name="_Toc87335016"/>
      <w:r w:rsidRPr="00AD5398">
        <w:t>Key Activities Schedule</w:t>
      </w:r>
      <w:bookmarkEnd w:id="53"/>
      <w:bookmarkEnd w:id="54"/>
    </w:p>
    <w:p w14:paraId="0A0AB401" w14:textId="77777777" w:rsidR="003F6147" w:rsidRPr="00AD5398" w:rsidRDefault="003F6147" w:rsidP="003F6147">
      <w:pPr>
        <w:spacing w:after="0"/>
        <w:jc w:val="both"/>
      </w:pPr>
      <w:r w:rsidRPr="00AD5398">
        <w:t xml:space="preserve">Key activities, dates, and times for this solicitation and for agreements resulting from this solicitation are presented below.  An addendum will be released if the dates change for activities that appear in </w:t>
      </w:r>
      <w:r w:rsidRPr="00AD5398">
        <w:rPr>
          <w:b/>
        </w:rPr>
        <w:t>bold.</w:t>
      </w: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A511B4" w:rsidRPr="00A511B4" w14:paraId="6B4DE808" w14:textId="77777777" w:rsidTr="1C048822">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A511B4" w:rsidRDefault="00A511B4" w:rsidP="00A511B4">
            <w:pPr>
              <w:keepNext/>
              <w:keepLines/>
              <w:widowControl w:val="0"/>
              <w:jc w:val="both"/>
              <w:rPr>
                <w:b w:val="0"/>
                <w:szCs w:val="22"/>
              </w:rPr>
            </w:pPr>
            <w:bookmarkStart w:id="55" w:name="_Hlk127957506"/>
            <w:r w:rsidRPr="00A511B4">
              <w:rPr>
                <w:szCs w:val="22"/>
              </w:rPr>
              <w:t>ACTIVITY</w:t>
            </w:r>
          </w:p>
        </w:tc>
        <w:tc>
          <w:tcPr>
            <w:tcW w:w="2070" w:type="dxa"/>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3"/>
            </w:r>
            <w:r w:rsidRPr="00A511B4">
              <w:rPr>
                <w:szCs w:val="22"/>
              </w:rPr>
              <w:t xml:space="preserve"> </w:t>
            </w:r>
          </w:p>
        </w:tc>
      </w:tr>
      <w:tr w:rsidR="00A33C0C" w:rsidRPr="00A511B4" w14:paraId="00CC20E0" w14:textId="77777777" w:rsidTr="1C048822">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38CD8D2C" w:rsidR="00A33C0C" w:rsidRPr="00A511B4" w:rsidRDefault="00A33C0C" w:rsidP="00A33C0C">
            <w:pPr>
              <w:keepNext/>
              <w:keepLines/>
              <w:widowControl w:val="0"/>
              <w:jc w:val="both"/>
              <w:rPr>
                <w:szCs w:val="22"/>
              </w:rPr>
            </w:pPr>
            <w:r w:rsidRPr="00A511B4">
              <w:rPr>
                <w:szCs w:val="22"/>
              </w:rPr>
              <w:t>Solicitation Release</w:t>
            </w:r>
          </w:p>
        </w:tc>
        <w:tc>
          <w:tcPr>
            <w:tcW w:w="2070" w:type="dxa"/>
          </w:tcPr>
          <w:p w14:paraId="66923AAD" w14:textId="359F24D1" w:rsidR="00A33C0C" w:rsidRPr="00E21B0F" w:rsidRDefault="00283985" w:rsidP="00A33C0C">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E21B0F">
              <w:t>01/1</w:t>
            </w:r>
            <w:r w:rsidR="000F24AE">
              <w:t>1</w:t>
            </w:r>
            <w:r w:rsidRPr="00E21B0F">
              <w:t>/2023</w:t>
            </w:r>
            <w:r w:rsidR="00A33C0C" w:rsidRPr="00E21B0F">
              <w:t> </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5358EDA5" w:rsidR="00A33C0C" w:rsidRPr="00A33C0C" w:rsidRDefault="00A33C0C" w:rsidP="00A33C0C">
            <w:pPr>
              <w:keepNext/>
              <w:keepLines/>
              <w:widowControl w:val="0"/>
              <w:jc w:val="both"/>
              <w:rPr>
                <w:color w:val="00B050"/>
                <w:szCs w:val="22"/>
              </w:rPr>
            </w:pPr>
            <w:r w:rsidRPr="00A33C0C">
              <w:rPr>
                <w:color w:val="00B050"/>
              </w:rPr>
              <w:t> </w:t>
            </w:r>
          </w:p>
        </w:tc>
      </w:tr>
      <w:tr w:rsidR="00A33C0C" w:rsidRPr="00A511B4" w14:paraId="42C05F9F" w14:textId="77777777" w:rsidTr="1C048822">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7777777" w:rsidR="00A33C0C" w:rsidRPr="00A511B4" w:rsidRDefault="00A33C0C" w:rsidP="00A33C0C">
            <w:pPr>
              <w:keepNext/>
              <w:keepLines/>
              <w:widowControl w:val="0"/>
              <w:jc w:val="both"/>
              <w:rPr>
                <w:b/>
                <w:szCs w:val="22"/>
              </w:rPr>
            </w:pPr>
            <w:r w:rsidRPr="00A511B4">
              <w:rPr>
                <w:b/>
                <w:szCs w:val="22"/>
              </w:rPr>
              <w:t>Pre-Application Workshop</w:t>
            </w:r>
          </w:p>
        </w:tc>
        <w:tc>
          <w:tcPr>
            <w:tcW w:w="2070" w:type="dxa"/>
          </w:tcPr>
          <w:p w14:paraId="0DD6A6EA" w14:textId="7F428DC1" w:rsidR="00A33C0C" w:rsidRPr="00E21B0F" w:rsidRDefault="00D40CE5" w:rsidP="00A33C0C">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E21B0F">
              <w:t>0</w:t>
            </w:r>
            <w:r w:rsidR="009E5EAB" w:rsidRPr="00E21B0F">
              <w:t>1/31</w:t>
            </w:r>
            <w:r w:rsidRPr="00E21B0F">
              <w:t>/2023</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32376BD5" w:rsidR="00A33C0C" w:rsidRPr="00A33C0C" w:rsidRDefault="00A33C0C" w:rsidP="00A33C0C">
            <w:pPr>
              <w:keepNext/>
              <w:keepLines/>
              <w:widowControl w:val="0"/>
              <w:jc w:val="both"/>
              <w:rPr>
                <w:b/>
                <w:color w:val="00B050"/>
                <w:szCs w:val="22"/>
              </w:rPr>
            </w:pPr>
            <w:r w:rsidRPr="00E21B0F">
              <w:t>10:00 a</w:t>
            </w:r>
            <w:r w:rsidR="00C90747" w:rsidRPr="00E21B0F">
              <w:t>.m.</w:t>
            </w:r>
          </w:p>
        </w:tc>
      </w:tr>
      <w:tr w:rsidR="00E04A42" w:rsidRPr="00A511B4" w14:paraId="5055D2CF" w14:textId="77777777" w:rsidTr="1C048822">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E04A42" w:rsidRPr="00A511B4" w:rsidRDefault="00E04A42" w:rsidP="00E04A42">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4"/>
            </w:r>
          </w:p>
        </w:tc>
        <w:tc>
          <w:tcPr>
            <w:tcW w:w="2070" w:type="dxa"/>
          </w:tcPr>
          <w:p w14:paraId="36E5718D" w14:textId="41A30628" w:rsidR="00E04A42" w:rsidRPr="00E21B0F" w:rsidRDefault="00E5647B" w:rsidP="00E04A42">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E21B0F">
              <w:t>02/03/2023</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E04A42" w:rsidRPr="00A511B4" w:rsidRDefault="00E04A42" w:rsidP="00E04A42">
            <w:pPr>
              <w:keepNext/>
              <w:keepLines/>
              <w:widowControl w:val="0"/>
              <w:jc w:val="both"/>
              <w:rPr>
                <w:b/>
                <w:color w:val="0070C0"/>
                <w:szCs w:val="22"/>
              </w:rPr>
            </w:pPr>
            <w:r w:rsidRPr="00A511B4">
              <w:rPr>
                <w:b/>
                <w:szCs w:val="22"/>
              </w:rPr>
              <w:t>5:00 p.m.</w:t>
            </w:r>
          </w:p>
        </w:tc>
      </w:tr>
      <w:tr w:rsidR="00E04A42" w:rsidRPr="00A511B4" w14:paraId="596EC8A6" w14:textId="77777777" w:rsidTr="1C048822">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2DA6BA50" w:rsidR="00E04A42" w:rsidRPr="00A511B4" w:rsidRDefault="00E04A42" w:rsidP="00E04A42">
            <w:pPr>
              <w:widowControl w:val="0"/>
              <w:spacing w:after="0"/>
              <w:jc w:val="both"/>
              <w:rPr>
                <w:szCs w:val="22"/>
              </w:rPr>
            </w:pPr>
            <w:r w:rsidRPr="00A511B4">
              <w:rPr>
                <w:szCs w:val="22"/>
              </w:rPr>
              <w:t>Anticipated Distribution of Questions and Answers</w:t>
            </w:r>
          </w:p>
        </w:tc>
        <w:tc>
          <w:tcPr>
            <w:tcW w:w="2070" w:type="dxa"/>
          </w:tcPr>
          <w:p w14:paraId="1D2A97C9" w14:textId="385B4685" w:rsidR="00E04A42" w:rsidRPr="00E21B0F" w:rsidRDefault="00E04A42" w:rsidP="00E04A42">
            <w:pPr>
              <w:keepNext/>
              <w:keepLines/>
              <w:widowControl w:val="0"/>
              <w:cnfStyle w:val="000000000000" w:firstRow="0" w:lastRow="0" w:firstColumn="0" w:lastColumn="0" w:oddVBand="0" w:evenVBand="0" w:oddHBand="0" w:evenHBand="0" w:firstRowFirstColumn="0" w:firstRowLastColumn="0" w:lastRowFirstColumn="0" w:lastRowLastColumn="0"/>
            </w:pPr>
            <w:r w:rsidRPr="00E21B0F">
              <w:t xml:space="preserve">Week of </w:t>
            </w:r>
            <w:r w:rsidR="00334AD6" w:rsidRPr="00E21B0F">
              <w:t>0</w:t>
            </w:r>
            <w:r w:rsidR="00AF738D" w:rsidRPr="00E21B0F">
              <w:t>2</w:t>
            </w:r>
            <w:r w:rsidR="00334AD6" w:rsidRPr="00E21B0F">
              <w:t>/</w:t>
            </w:r>
            <w:r w:rsidR="00005D8B" w:rsidRPr="00E21B0F">
              <w:t>1</w:t>
            </w:r>
            <w:r w:rsidR="00AF738D" w:rsidRPr="00E21B0F">
              <w:t>7</w:t>
            </w:r>
            <w:r w:rsidR="00005D8B" w:rsidRPr="00E21B0F">
              <w:t>/2023</w:t>
            </w:r>
            <w:r w:rsidRPr="00E21B0F">
              <w:t> </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E04A42" w:rsidRPr="00A511B4" w:rsidRDefault="00E04A42" w:rsidP="00E04A42">
            <w:pPr>
              <w:keepNext/>
              <w:keepLines/>
              <w:widowControl w:val="0"/>
              <w:jc w:val="both"/>
              <w:rPr>
                <w:color w:val="0070C0"/>
                <w:szCs w:val="22"/>
              </w:rPr>
            </w:pPr>
          </w:p>
        </w:tc>
      </w:tr>
      <w:tr w:rsidR="00E04A42" w:rsidRPr="00A511B4" w14:paraId="60FA0B14" w14:textId="77777777" w:rsidTr="1C048822">
        <w:trPr>
          <w:cnfStyle w:val="000000100000" w:firstRow="0" w:lastRow="0" w:firstColumn="0" w:lastColumn="0" w:oddVBand="0" w:evenVBand="0" w:oddHBand="1" w:evenHBand="0" w:firstRowFirstColumn="0" w:firstRowLastColumn="0" w:lastRowFirstColumn="0" w:lastRowLastColumn="0"/>
          <w:trHeight w:hRule="exact" w:val="712"/>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E04A42" w:rsidRPr="00A511B4" w:rsidRDefault="00E04A42" w:rsidP="00E04A42">
            <w:pPr>
              <w:keepNext/>
              <w:keepLines/>
              <w:widowControl w:val="0"/>
              <w:jc w:val="both"/>
              <w:rPr>
                <w:b/>
                <w:szCs w:val="22"/>
              </w:rPr>
            </w:pPr>
            <w:r w:rsidRPr="00A511B4">
              <w:rPr>
                <w:b/>
                <w:szCs w:val="22"/>
              </w:rPr>
              <w:t>Deadline to Submit Applications</w:t>
            </w:r>
          </w:p>
        </w:tc>
        <w:tc>
          <w:tcPr>
            <w:tcW w:w="2070" w:type="dxa"/>
          </w:tcPr>
          <w:p w14:paraId="79FB1AD1" w14:textId="77777777" w:rsidR="005F4D25" w:rsidRPr="005F4D25" w:rsidRDefault="005F4D25" w:rsidP="00E04A4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5F4D25">
              <w:rPr>
                <w:b/>
                <w:bCs/>
              </w:rPr>
              <w:t>[</w:t>
            </w:r>
            <w:r w:rsidR="00183AC1" w:rsidRPr="005F4D25">
              <w:rPr>
                <w:b/>
                <w:bCs/>
                <w:strike/>
              </w:rPr>
              <w:t>0</w:t>
            </w:r>
            <w:r w:rsidR="001B558A" w:rsidRPr="005F4D25">
              <w:rPr>
                <w:b/>
                <w:bCs/>
                <w:strike/>
              </w:rPr>
              <w:t>3</w:t>
            </w:r>
            <w:r w:rsidR="00183AC1" w:rsidRPr="005F4D25">
              <w:rPr>
                <w:b/>
                <w:bCs/>
                <w:strike/>
              </w:rPr>
              <w:t>/</w:t>
            </w:r>
            <w:r w:rsidR="001B558A" w:rsidRPr="005F4D25">
              <w:rPr>
                <w:b/>
                <w:bCs/>
                <w:strike/>
              </w:rPr>
              <w:t>17</w:t>
            </w:r>
            <w:r w:rsidR="00183AC1" w:rsidRPr="005F4D25">
              <w:rPr>
                <w:b/>
                <w:bCs/>
                <w:strike/>
              </w:rPr>
              <w:t>/2023</w:t>
            </w:r>
            <w:r w:rsidRPr="005F4D25">
              <w:rPr>
                <w:b/>
                <w:bCs/>
              </w:rPr>
              <w:t>]</w:t>
            </w:r>
          </w:p>
          <w:p w14:paraId="4AD7F92F" w14:textId="2818C3DF" w:rsidR="005F4D25" w:rsidRPr="005F4D25" w:rsidRDefault="005F4D25" w:rsidP="005F4D25">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5F4D25">
              <w:rPr>
                <w:b/>
                <w:bCs/>
                <w:u w:val="single"/>
              </w:rPr>
              <w:t>04/17/2023</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E04A42" w:rsidRPr="00A511B4" w:rsidRDefault="00E04A42" w:rsidP="00E04A42">
            <w:pPr>
              <w:keepNext/>
              <w:keepLines/>
              <w:widowControl w:val="0"/>
              <w:jc w:val="both"/>
              <w:rPr>
                <w:color w:val="0070C0"/>
                <w:szCs w:val="22"/>
              </w:rPr>
            </w:pPr>
            <w:r>
              <w:rPr>
                <w:b/>
                <w:szCs w:val="22"/>
              </w:rPr>
              <w:t>11:59 p.m.</w:t>
            </w:r>
          </w:p>
        </w:tc>
      </w:tr>
      <w:tr w:rsidR="00DE0EC7" w:rsidRPr="00A511B4" w14:paraId="4670966A" w14:textId="77777777" w:rsidTr="1C048822">
        <w:trPr>
          <w:trHeight w:hRule="exact" w:val="802"/>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DE0EC7" w:rsidRPr="00A511B4" w:rsidRDefault="00DE0EC7" w:rsidP="00DE0EC7">
            <w:pPr>
              <w:keepNext/>
              <w:keepLines/>
              <w:widowControl w:val="0"/>
              <w:jc w:val="both"/>
              <w:rPr>
                <w:szCs w:val="22"/>
              </w:rPr>
            </w:pPr>
            <w:r w:rsidRPr="00A511B4">
              <w:rPr>
                <w:szCs w:val="22"/>
              </w:rPr>
              <w:t>Anticipated Notice of Proposed Award Posting Date</w:t>
            </w:r>
          </w:p>
        </w:tc>
        <w:tc>
          <w:tcPr>
            <w:tcW w:w="2070" w:type="dxa"/>
            <w:vAlign w:val="center"/>
          </w:tcPr>
          <w:p w14:paraId="2E07235A" w14:textId="647CB3FD" w:rsidR="00DE0EC7" w:rsidRPr="005F4D25" w:rsidRDefault="005F4D25" w:rsidP="00DE0EC7">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5F4D25">
              <w:rPr>
                <w:b/>
                <w:bCs/>
              </w:rPr>
              <w:t>[</w:t>
            </w:r>
            <w:r w:rsidR="00734FC1" w:rsidRPr="005F4D25">
              <w:rPr>
                <w:b/>
                <w:bCs/>
                <w:strike/>
              </w:rPr>
              <w:t>0</w:t>
            </w:r>
            <w:r w:rsidR="00DD2656" w:rsidRPr="005F4D25">
              <w:rPr>
                <w:b/>
                <w:bCs/>
                <w:strike/>
              </w:rPr>
              <w:t>4/18</w:t>
            </w:r>
            <w:r w:rsidR="00734FC1" w:rsidRPr="005F4D25">
              <w:rPr>
                <w:b/>
                <w:bCs/>
                <w:strike/>
              </w:rPr>
              <w:t>/2023</w:t>
            </w:r>
            <w:r w:rsidRPr="005F4D25">
              <w:rPr>
                <w:b/>
                <w:bCs/>
                <w:strike/>
              </w:rPr>
              <w:t>]</w:t>
            </w:r>
          </w:p>
          <w:p w14:paraId="3E0FCEC2" w14:textId="36D6C2B6" w:rsidR="005F4D25" w:rsidRPr="005F4D25" w:rsidRDefault="005F4D25" w:rsidP="00DE0EC7">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005F4D25">
              <w:rPr>
                <w:b/>
                <w:bCs/>
                <w:u w:val="single"/>
              </w:rPr>
              <w:t>05/18/2023 </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DE0EC7" w:rsidRPr="00A511B4" w:rsidRDefault="00DE0EC7" w:rsidP="00DE0EC7">
            <w:pPr>
              <w:keepNext/>
              <w:keepLines/>
              <w:widowControl w:val="0"/>
              <w:jc w:val="both"/>
              <w:rPr>
                <w:color w:val="0070C0"/>
                <w:szCs w:val="22"/>
              </w:rPr>
            </w:pPr>
          </w:p>
        </w:tc>
      </w:tr>
      <w:tr w:rsidR="00D3441F" w:rsidRPr="00A511B4" w14:paraId="76D982D6" w14:textId="77777777" w:rsidTr="1C048822">
        <w:trPr>
          <w:cnfStyle w:val="000000100000" w:firstRow="0" w:lastRow="0" w:firstColumn="0" w:lastColumn="0" w:oddVBand="0" w:evenVBand="0" w:oddHBand="1" w:evenHBand="0" w:firstRowFirstColumn="0" w:firstRowLastColumn="0" w:lastRowFirstColumn="0" w:lastRowLastColumn="0"/>
          <w:trHeight w:hRule="exact" w:val="820"/>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D3441F" w:rsidRPr="00A511B4" w:rsidRDefault="00D3441F" w:rsidP="00D3441F">
            <w:pPr>
              <w:widowControl w:val="0"/>
              <w:jc w:val="both"/>
              <w:rPr>
                <w:szCs w:val="22"/>
              </w:rPr>
            </w:pPr>
            <w:r w:rsidRPr="00A511B4">
              <w:rPr>
                <w:szCs w:val="22"/>
              </w:rPr>
              <w:t>Anticipated Energy Commission Business Meeting Date</w:t>
            </w:r>
          </w:p>
        </w:tc>
        <w:tc>
          <w:tcPr>
            <w:tcW w:w="2070" w:type="dxa"/>
          </w:tcPr>
          <w:p w14:paraId="3FAD0580" w14:textId="63A86952" w:rsidR="00D3441F" w:rsidRPr="00551344" w:rsidRDefault="181A5007" w:rsidP="00D3441F">
            <w:pPr>
              <w:keepNext/>
              <w:keepLines/>
              <w:widowControl w:val="0"/>
              <w:jc w:val="both"/>
              <w:cnfStyle w:val="000000100000" w:firstRow="0" w:lastRow="0" w:firstColumn="0" w:lastColumn="0" w:oddVBand="0" w:evenVBand="0" w:oddHBand="1" w:evenHBand="0" w:firstRowFirstColumn="0" w:firstRowLastColumn="0" w:lastRowFirstColumn="0" w:lastRowLastColumn="0"/>
              <w:rPr>
                <w:strike/>
              </w:rPr>
            </w:pPr>
            <w:r>
              <w:t>[</w:t>
            </w:r>
            <w:r w:rsidR="1F852C92" w:rsidRPr="1C048822">
              <w:rPr>
                <w:strike/>
              </w:rPr>
              <w:t>06/14/2023</w:t>
            </w:r>
            <w:r w:rsidR="4C7EED69">
              <w:t>]</w:t>
            </w:r>
          </w:p>
          <w:p w14:paraId="0D90D149" w14:textId="666D0E61" w:rsidR="001664B9" w:rsidRPr="00551344" w:rsidRDefault="001664B9" w:rsidP="00D3441F">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551344">
              <w:rPr>
                <w:b/>
                <w:bCs/>
                <w:u w:val="single"/>
              </w:rPr>
              <w:t>August 2023</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D3441F" w:rsidRPr="00A511B4" w:rsidRDefault="00D3441F" w:rsidP="00D3441F">
            <w:pPr>
              <w:keepNext/>
              <w:keepLines/>
              <w:widowControl w:val="0"/>
              <w:jc w:val="both"/>
              <w:rPr>
                <w:color w:val="0070C0"/>
                <w:szCs w:val="22"/>
              </w:rPr>
            </w:pPr>
          </w:p>
        </w:tc>
      </w:tr>
      <w:tr w:rsidR="001664B9" w:rsidRPr="00A511B4" w14:paraId="778A4170" w14:textId="77777777" w:rsidTr="1C048822">
        <w:trPr>
          <w:trHeight w:hRule="exact" w:val="802"/>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1664B9" w:rsidRPr="00A511B4" w:rsidRDefault="001664B9" w:rsidP="001664B9">
            <w:pPr>
              <w:widowControl w:val="0"/>
              <w:jc w:val="both"/>
              <w:rPr>
                <w:szCs w:val="22"/>
              </w:rPr>
            </w:pPr>
            <w:r w:rsidRPr="00A511B4">
              <w:rPr>
                <w:szCs w:val="22"/>
              </w:rPr>
              <w:t>Anticipated Agreement Start Date</w:t>
            </w:r>
          </w:p>
        </w:tc>
        <w:tc>
          <w:tcPr>
            <w:tcW w:w="2070" w:type="dxa"/>
          </w:tcPr>
          <w:p w14:paraId="32D4AA85" w14:textId="7715ED63" w:rsidR="00906DAF" w:rsidRDefault="633B82D4" w:rsidP="001664B9">
            <w:pPr>
              <w:keepNext/>
              <w:keepLines/>
              <w:widowControl w:val="0"/>
              <w:jc w:val="both"/>
              <w:cnfStyle w:val="000000000000" w:firstRow="0" w:lastRow="0" w:firstColumn="0" w:lastColumn="0" w:oddVBand="0" w:evenVBand="0" w:oddHBand="0" w:evenHBand="0" w:firstRowFirstColumn="0" w:firstRowLastColumn="0" w:lastRowFirstColumn="0" w:lastRowLastColumn="0"/>
              <w:rPr>
                <w:strike/>
              </w:rPr>
            </w:pPr>
            <w:r>
              <w:t>[</w:t>
            </w:r>
            <w:r w:rsidR="7E42250C" w:rsidRPr="1C048822">
              <w:rPr>
                <w:strike/>
              </w:rPr>
              <w:t>07/05/2023</w:t>
            </w:r>
            <w:r w:rsidR="691949F4" w:rsidRPr="1C048822">
              <w:rPr>
                <w:strike/>
              </w:rPr>
              <w:t xml:space="preserve"> </w:t>
            </w:r>
            <w:r w:rsidR="699217CD">
              <w:t>]</w:t>
            </w:r>
          </w:p>
          <w:p w14:paraId="0FBD4A51" w14:textId="4592FBDA" w:rsidR="001664B9" w:rsidRPr="00551344" w:rsidRDefault="001664B9" w:rsidP="001664B9">
            <w:pPr>
              <w:keepNext/>
              <w:keepLines/>
              <w:widowControl w:val="0"/>
              <w:jc w:val="both"/>
              <w:cnfStyle w:val="000000000000" w:firstRow="0" w:lastRow="0" w:firstColumn="0" w:lastColumn="0" w:oddVBand="0" w:evenVBand="0" w:oddHBand="0" w:evenHBand="0" w:firstRowFirstColumn="0" w:firstRowLastColumn="0" w:lastRowFirstColumn="0" w:lastRowLastColumn="0"/>
              <w:rPr>
                <w:strike/>
              </w:rPr>
            </w:pPr>
            <w:r w:rsidRPr="00551344">
              <w:rPr>
                <w:b/>
                <w:bCs/>
                <w:u w:val="single"/>
              </w:rPr>
              <w:t>August 2023</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1664B9" w:rsidRPr="00A511B4" w:rsidRDefault="001664B9" w:rsidP="001664B9">
            <w:pPr>
              <w:keepNext/>
              <w:keepLines/>
              <w:widowControl w:val="0"/>
              <w:jc w:val="both"/>
              <w:rPr>
                <w:color w:val="0070C0"/>
                <w:szCs w:val="22"/>
              </w:rPr>
            </w:pPr>
          </w:p>
        </w:tc>
      </w:tr>
      <w:tr w:rsidR="001664B9" w:rsidRPr="00A511B4" w14:paraId="10349A5B" w14:textId="77777777" w:rsidTr="1C048822">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1664B9" w:rsidRPr="00A511B4" w:rsidRDefault="001664B9" w:rsidP="001664B9">
            <w:pPr>
              <w:widowControl w:val="0"/>
              <w:jc w:val="both"/>
              <w:rPr>
                <w:szCs w:val="22"/>
              </w:rPr>
            </w:pPr>
            <w:r w:rsidRPr="00A511B4">
              <w:rPr>
                <w:szCs w:val="22"/>
              </w:rPr>
              <w:t xml:space="preserve">Anticipated Agreement End Date </w:t>
            </w:r>
          </w:p>
        </w:tc>
        <w:tc>
          <w:tcPr>
            <w:tcW w:w="2070" w:type="dxa"/>
          </w:tcPr>
          <w:p w14:paraId="49359BE0" w14:textId="24FE832D" w:rsidR="001664B9" w:rsidRPr="00E21B0F" w:rsidRDefault="001664B9" w:rsidP="001664B9">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E21B0F">
              <w:t>03/29/2027 </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1664B9" w:rsidRPr="00A511B4" w:rsidRDefault="001664B9" w:rsidP="001664B9">
            <w:pPr>
              <w:keepNext/>
              <w:keepLines/>
              <w:widowControl w:val="0"/>
              <w:jc w:val="both"/>
              <w:rPr>
                <w:color w:val="0070C0"/>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pPr>
        <w:pStyle w:val="Heading2"/>
        <w:numPr>
          <w:ilvl w:val="0"/>
          <w:numId w:val="53"/>
        </w:numPr>
      </w:pPr>
      <w:bookmarkStart w:id="56" w:name="_Toc458602326"/>
      <w:bookmarkStart w:id="57" w:name="_Toc87335017"/>
      <w:bookmarkEnd w:id="55"/>
      <w:r w:rsidRPr="00756BAC">
        <w:t>Notice of Pre-Application Workshop</w:t>
      </w:r>
      <w:bookmarkEnd w:id="56"/>
      <w:bookmarkEnd w:id="57"/>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2F950364" w:rsidR="003F6147" w:rsidRPr="003F6147" w:rsidRDefault="003F6147" w:rsidP="00C90747">
      <w:pPr>
        <w:spacing w:after="0"/>
        <w:rPr>
          <w:b/>
        </w:rPr>
      </w:pPr>
      <w:r w:rsidRPr="003F6147">
        <w:rPr>
          <w:b/>
        </w:rPr>
        <w:t xml:space="preserve">Date and time: </w:t>
      </w:r>
      <w:r w:rsidR="00C47749" w:rsidRPr="00431268">
        <w:t>0</w:t>
      </w:r>
      <w:r w:rsidR="00A51621" w:rsidRPr="00431268">
        <w:t>1</w:t>
      </w:r>
      <w:r w:rsidR="00C47749" w:rsidRPr="00431268">
        <w:t>/</w:t>
      </w:r>
      <w:r w:rsidR="00A51621" w:rsidRPr="00431268">
        <w:t>31</w:t>
      </w:r>
      <w:r w:rsidR="00C47749" w:rsidRPr="00431268">
        <w:t>/2023</w:t>
      </w:r>
      <w:r w:rsidR="00C90747" w:rsidRPr="00431268">
        <w:t xml:space="preserve"> 10:00 a.m.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5BE5E260" w:rsidR="003F6147" w:rsidRPr="005F101E" w:rsidRDefault="003F6147" w:rsidP="005F101E">
      <w:pPr>
        <w:tabs>
          <w:tab w:val="left" w:pos="810"/>
        </w:tabs>
        <w:jc w:val="both"/>
      </w:pPr>
      <w:r w:rsidRPr="003F6147">
        <w:t xml:space="preserve">To join the </w:t>
      </w:r>
      <w:r w:rsidR="00680379">
        <w:t>Zoom</w:t>
      </w:r>
      <w:r w:rsidRPr="003F6147">
        <w:t xml:space="preserve"> meeting, go to </w:t>
      </w:r>
      <w:hyperlink r:id="rId16" w:history="1">
        <w:r w:rsidR="003440AC" w:rsidRPr="00C64F66">
          <w:rPr>
            <w:rStyle w:val="Hyperlink"/>
            <w:rFonts w:cs="Arial"/>
          </w:rPr>
          <w:t>https://zoom.us/join</w:t>
        </w:r>
      </w:hyperlink>
      <w:r w:rsidR="003440AC">
        <w:t xml:space="preserve"> </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02AFCD2D" w:rsidR="003F6147" w:rsidRPr="00EE1DDA" w:rsidRDefault="003F6147" w:rsidP="00EE1DDA">
      <w:pPr>
        <w:tabs>
          <w:tab w:val="left" w:pos="1080"/>
        </w:tabs>
        <w:spacing w:after="0"/>
        <w:jc w:val="both"/>
        <w:rPr>
          <w:b/>
        </w:rPr>
      </w:pPr>
      <w:r w:rsidRPr="0070464D">
        <w:rPr>
          <w:b/>
        </w:rPr>
        <w:t xml:space="preserve">Meeting </w:t>
      </w:r>
      <w:r w:rsidR="0060490D" w:rsidRPr="0070464D">
        <w:rPr>
          <w:b/>
        </w:rPr>
        <w:t>ID</w:t>
      </w:r>
      <w:r w:rsidRPr="0070464D">
        <w:rPr>
          <w:b/>
        </w:rPr>
        <w:t>:</w:t>
      </w:r>
      <w:r w:rsidRPr="00EE1DDA">
        <w:rPr>
          <w:b/>
        </w:rPr>
        <w:t xml:space="preserve"> </w:t>
      </w:r>
      <w:r w:rsidR="00FD2D3F" w:rsidRPr="00EE1DDA">
        <w:rPr>
          <w:b/>
        </w:rPr>
        <w:t xml:space="preserve"> </w:t>
      </w:r>
      <w:r w:rsidR="00066195" w:rsidRPr="00EE1DDA">
        <w:rPr>
          <w:bCs/>
        </w:rPr>
        <w:t>87010709925</w:t>
      </w:r>
    </w:p>
    <w:p w14:paraId="2F230024" w14:textId="5DC3AB55" w:rsidR="003F6147" w:rsidRPr="00EE1DDA" w:rsidRDefault="003F6147" w:rsidP="00EE1DDA">
      <w:pPr>
        <w:tabs>
          <w:tab w:val="left" w:pos="1080"/>
        </w:tabs>
        <w:spacing w:after="0"/>
        <w:jc w:val="both"/>
        <w:rPr>
          <w:b/>
        </w:rPr>
      </w:pPr>
      <w:r w:rsidRPr="0070464D">
        <w:rPr>
          <w:b/>
        </w:rPr>
        <w:t>Meeting Password:</w:t>
      </w:r>
      <w:r w:rsidRPr="00EE1DDA">
        <w:rPr>
          <w:b/>
        </w:rPr>
        <w:t xml:space="preserve"> </w:t>
      </w:r>
      <w:r w:rsidR="00155A5E" w:rsidRPr="00EE1DDA">
        <w:rPr>
          <w:b/>
        </w:rPr>
        <w:t xml:space="preserve"> </w:t>
      </w:r>
      <w:r w:rsidR="00155A5E" w:rsidRPr="00EE1DDA">
        <w:rPr>
          <w:bCs/>
        </w:rPr>
        <w:t>meeting@10</w:t>
      </w:r>
    </w:p>
    <w:p w14:paraId="6CC93D6B" w14:textId="688F6C5A" w:rsidR="003F6147" w:rsidRPr="00EE1DDA" w:rsidRDefault="003F6147" w:rsidP="00EE1DDA">
      <w:pPr>
        <w:tabs>
          <w:tab w:val="left" w:pos="1080"/>
        </w:tabs>
        <w:spacing w:after="0"/>
        <w:jc w:val="both"/>
        <w:rPr>
          <w:b/>
        </w:rPr>
      </w:pPr>
      <w:r w:rsidRPr="0070464D">
        <w:rPr>
          <w:b/>
        </w:rPr>
        <w:t>Topic:</w:t>
      </w:r>
      <w:r w:rsidRPr="00EE1DDA">
        <w:rPr>
          <w:b/>
        </w:rPr>
        <w:t xml:space="preserve"> </w:t>
      </w:r>
      <w:r w:rsidR="00FD2D3F" w:rsidRPr="00EE1DDA">
        <w:rPr>
          <w:bCs/>
        </w:rPr>
        <w:t xml:space="preserve">GFO-22-305 Advanced </w:t>
      </w:r>
      <w:proofErr w:type="gramStart"/>
      <w:r w:rsidR="00FD2D3F" w:rsidRPr="00EE1DDA">
        <w:rPr>
          <w:bCs/>
        </w:rPr>
        <w:t>Pre-Fabricated</w:t>
      </w:r>
      <w:proofErr w:type="gramEnd"/>
      <w:r w:rsidR="00FD2D3F" w:rsidRPr="00EE1DDA">
        <w:rPr>
          <w:bCs/>
        </w:rPr>
        <w:t xml:space="preserve"> Zero Carb Homes 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pPr>
        <w:numPr>
          <w:ilvl w:val="0"/>
          <w:numId w:val="4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pPr>
        <w:numPr>
          <w:ilvl w:val="0"/>
          <w:numId w:val="4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7840FB9" w:rsidR="003F6147" w:rsidRPr="00B703F3" w:rsidRDefault="003F6147">
      <w:pPr>
        <w:numPr>
          <w:ilvl w:val="0"/>
          <w:numId w:val="48"/>
        </w:numPr>
        <w:tabs>
          <w:tab w:val="left" w:pos="810"/>
        </w:tabs>
        <w:spacing w:after="0"/>
        <w:ind w:left="810" w:hanging="450"/>
        <w:jc w:val="both"/>
        <w:rPr>
          <w:b/>
          <w:u w:val="single"/>
        </w:rPr>
      </w:pPr>
      <w:r w:rsidRPr="003F6147">
        <w:t xml:space="preserve">If you have a disability and require assistance to participate, please </w:t>
      </w:r>
      <w:r w:rsidR="005418B0">
        <w:t xml:space="preserve">contact </w:t>
      </w:r>
      <w:r w:rsidRPr="003F6147">
        <w:t>Erica Rodriguez</w:t>
      </w:r>
      <w:r w:rsidRPr="003F6147" w:rsidDel="00205C49">
        <w:t xml:space="preserve"> </w:t>
      </w:r>
      <w:r w:rsidRPr="003F6147">
        <w:t xml:space="preserve">by e-mail at Erica.Rodriguez@energy.ca.gov or (916) </w:t>
      </w:r>
      <w:r w:rsidR="005418B0">
        <w:t>764-5705</w:t>
      </w:r>
      <w:r w:rsidR="00CF2972">
        <w:t xml:space="preserve"> </w:t>
      </w:r>
      <w:r w:rsidRPr="003F6147">
        <w:t xml:space="preserve">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pPr>
        <w:pStyle w:val="Heading2"/>
        <w:numPr>
          <w:ilvl w:val="0"/>
          <w:numId w:val="53"/>
        </w:numPr>
      </w:pPr>
      <w:bookmarkStart w:id="58" w:name="_Toc458602327"/>
      <w:bookmarkStart w:id="59" w:name="_Toc87335018"/>
      <w:bookmarkStart w:id="60" w:name="_Toc336443625"/>
      <w:bookmarkStart w:id="61" w:name="_Toc366671181"/>
      <w:bookmarkStart w:id="62" w:name="_Toc219275088"/>
      <w:r w:rsidRPr="00756BAC">
        <w:t>Questions</w:t>
      </w:r>
      <w:bookmarkEnd w:id="58"/>
      <w:bookmarkEnd w:id="59"/>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1238EFEE" w:rsidR="003F6147" w:rsidRPr="00922D16" w:rsidRDefault="0025358C" w:rsidP="003F6147">
      <w:pPr>
        <w:contextualSpacing/>
        <w:jc w:val="center"/>
      </w:pPr>
      <w:r w:rsidRPr="00922D16">
        <w:t>Brad Worster</w:t>
      </w:r>
      <w:r w:rsidR="003F6147" w:rsidRPr="00922D16">
        <w:t>, Commission Agreement Officer</w:t>
      </w:r>
    </w:p>
    <w:p w14:paraId="3084A234" w14:textId="77777777" w:rsidR="003F6147" w:rsidRPr="00922D16" w:rsidRDefault="003F6147" w:rsidP="003F6147">
      <w:pPr>
        <w:contextualSpacing/>
        <w:jc w:val="center"/>
      </w:pPr>
      <w:r w:rsidRPr="00922D16">
        <w:t>California Energy Commission</w:t>
      </w:r>
    </w:p>
    <w:p w14:paraId="6B4F8266" w14:textId="2D5941A6" w:rsidR="003F6147" w:rsidRPr="00922D16" w:rsidRDefault="00B06231" w:rsidP="003F6147">
      <w:pPr>
        <w:contextualSpacing/>
        <w:jc w:val="center"/>
      </w:pPr>
      <w:r w:rsidRPr="00922D16">
        <w:t>715 P</w:t>
      </w:r>
      <w:r w:rsidR="003F6147" w:rsidRPr="00922D16">
        <w:t>, MS-1</w:t>
      </w:r>
      <w:r w:rsidR="0025358C" w:rsidRPr="00922D16">
        <w:t>8</w:t>
      </w:r>
    </w:p>
    <w:p w14:paraId="644A7744" w14:textId="542A4D5A" w:rsidR="003F6147" w:rsidRPr="00922D16" w:rsidRDefault="003F6147" w:rsidP="003F6147">
      <w:pPr>
        <w:contextualSpacing/>
        <w:jc w:val="center"/>
      </w:pPr>
      <w:r w:rsidRPr="00922D16">
        <w:t>Sacramento, California</w:t>
      </w:r>
      <w:r w:rsidR="00624855" w:rsidRPr="00922D16">
        <w:t>,</w:t>
      </w:r>
      <w:r w:rsidRPr="00922D16">
        <w:t xml:space="preserve">  95814</w:t>
      </w:r>
    </w:p>
    <w:p w14:paraId="17CE616B" w14:textId="206B8313" w:rsidR="003F6147" w:rsidRPr="00922D16" w:rsidRDefault="003F6147" w:rsidP="003F6147">
      <w:pPr>
        <w:contextualSpacing/>
        <w:jc w:val="center"/>
      </w:pPr>
      <w:r w:rsidRPr="00922D16">
        <w:t xml:space="preserve">Telephone: (916) </w:t>
      </w:r>
      <w:r w:rsidR="00922D16" w:rsidRPr="00922D16">
        <w:t>897-1647</w:t>
      </w:r>
    </w:p>
    <w:p w14:paraId="2827A557" w14:textId="503219DB" w:rsidR="003F6147" w:rsidRPr="00922D16" w:rsidRDefault="003F6147" w:rsidP="003F6147">
      <w:pPr>
        <w:spacing w:after="0"/>
        <w:contextualSpacing/>
        <w:jc w:val="center"/>
      </w:pPr>
      <w:r w:rsidRPr="00922D16">
        <w:t xml:space="preserve">E-mail: </w:t>
      </w:r>
      <w:r w:rsidR="00922D16" w:rsidRPr="00922D16">
        <w:t>brad.worster</w:t>
      </w:r>
      <w:r w:rsidR="0019760D" w:rsidRPr="00922D16">
        <w:t>@energy.ca.gov</w:t>
      </w:r>
    </w:p>
    <w:p w14:paraId="13FEBABF" w14:textId="77777777" w:rsidR="003F6147" w:rsidRPr="003F6147" w:rsidRDefault="003F6147" w:rsidP="003F6147">
      <w:pPr>
        <w:spacing w:after="0"/>
        <w:jc w:val="both"/>
      </w:pPr>
    </w:p>
    <w:p w14:paraId="2E4EF772" w14:textId="2E35B837"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w:t>
      </w:r>
      <w:r w:rsidRPr="003F6147">
        <w:lastRenderedPageBreak/>
        <w:t xml:space="preserve">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r w:rsidR="005B073B" w:rsidRPr="005B073B">
        <w:t>https://www.energy.ca.gov/funding-opportunities/solicitations</w:t>
      </w:r>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pPr>
        <w:keepNext/>
        <w:numPr>
          <w:ilvl w:val="0"/>
          <w:numId w:val="53"/>
        </w:numPr>
        <w:spacing w:before="120"/>
        <w:outlineLvl w:val="1"/>
        <w:rPr>
          <w:rFonts w:cs="Times New Roman"/>
          <w:b/>
          <w:smallCaps/>
          <w:sz w:val="28"/>
        </w:rPr>
      </w:pPr>
      <w:bookmarkStart w:id="63" w:name="_Toc522777845"/>
      <w:bookmarkStart w:id="64" w:name="_Toc26361578"/>
      <w:r w:rsidRPr="00BA3BBD">
        <w:rPr>
          <w:rFonts w:cs="Times New Roman"/>
          <w:b/>
          <w:smallCaps/>
          <w:sz w:val="28"/>
        </w:rPr>
        <w:t>Applicants’ Admonishment</w:t>
      </w:r>
      <w:bookmarkEnd w:id="63"/>
      <w:bookmarkEnd w:id="64"/>
    </w:p>
    <w:p w14:paraId="0A661823" w14:textId="7777777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Screening/Scoring Criteria and</w:t>
      </w:r>
      <w:r w:rsidRPr="00505E89">
        <w:t xml:space="preserve"> </w:t>
      </w:r>
      <w:r w:rsidRPr="00505E89">
        <w:rPr>
          <w:b/>
        </w:rPr>
        <w:t xml:space="preserve">Grounds for Rejection </w:t>
      </w:r>
      <w:r w:rsidRPr="00505E89">
        <w:t xml:space="preserve">in Part IV, and the relevant EPIC Grant terms and conditions located at: http://www.energy.ca.gov/research/contractors.html.  </w:t>
      </w:r>
    </w:p>
    <w:p w14:paraId="09B8AB8B" w14:textId="77777777" w:rsidR="00BA3BBD" w:rsidRPr="00266FAF" w:rsidRDefault="00BA3BBD" w:rsidP="00BA3BBD">
      <w:pPr>
        <w:jc w:val="both"/>
      </w:pPr>
      <w:bookmarkStart w:id="65" w:name="_Toc433981277"/>
      <w:bookmarkStart w:id="66" w:name="_Toc395180625"/>
      <w:bookmarkStart w:id="67" w:name="_Toc382571127"/>
      <w:bookmarkStart w:id="68" w:name="_Toc381079868"/>
      <w:r w:rsidRPr="00505E89">
        <w:t xml:space="preserve">Applicants are solely responsible for the cost of developing applications.  This cost cannot be charged to the State.  All submitted documents will become publicly available records upon the </w:t>
      </w:r>
      <w:r w:rsidRPr="00266FAF">
        <w:t>posting of the Notice of Proposed Award.</w:t>
      </w:r>
      <w:bookmarkEnd w:id="65"/>
      <w:bookmarkEnd w:id="66"/>
      <w:bookmarkEnd w:id="67"/>
      <w:bookmarkEnd w:id="68"/>
    </w:p>
    <w:p w14:paraId="0C99A926" w14:textId="77777777" w:rsidR="00B703F3" w:rsidRPr="00266FAF" w:rsidRDefault="00B703F3" w:rsidP="00BA3BBD">
      <w:pPr>
        <w:jc w:val="both"/>
        <w:rPr>
          <w:b/>
        </w:rPr>
      </w:pPr>
    </w:p>
    <w:p w14:paraId="7DFACC60" w14:textId="77777777" w:rsidR="00BA3BBD" w:rsidRPr="00266FAF" w:rsidRDefault="00BA3BBD">
      <w:pPr>
        <w:keepNext/>
        <w:numPr>
          <w:ilvl w:val="0"/>
          <w:numId w:val="53"/>
        </w:numPr>
        <w:spacing w:before="120"/>
        <w:outlineLvl w:val="1"/>
        <w:rPr>
          <w:rFonts w:cs="Times New Roman"/>
          <w:b/>
          <w:smallCaps/>
          <w:sz w:val="28"/>
        </w:rPr>
      </w:pPr>
      <w:bookmarkStart w:id="69" w:name="_Toc522777846"/>
      <w:bookmarkStart w:id="70" w:name="_Toc26361579"/>
      <w:bookmarkStart w:id="71" w:name="AddReq"/>
      <w:r w:rsidRPr="00266FAF">
        <w:rPr>
          <w:rFonts w:cs="Times New Roman"/>
          <w:b/>
          <w:smallCaps/>
          <w:sz w:val="28"/>
        </w:rPr>
        <w:t>additional requirements</w:t>
      </w:r>
      <w:bookmarkEnd w:id="69"/>
      <w:bookmarkEnd w:id="70"/>
    </w:p>
    <w:bookmarkEnd w:id="71"/>
    <w:p w14:paraId="197F7A36" w14:textId="1A47E2DF" w:rsidR="00BA3BBD" w:rsidRPr="00266FAF" w:rsidRDefault="00BA3BBD">
      <w:pPr>
        <w:numPr>
          <w:ilvl w:val="0"/>
          <w:numId w:val="60"/>
        </w:numPr>
        <w:spacing w:after="160"/>
        <w:ind w:right="720"/>
        <w:jc w:val="both"/>
        <w:rPr>
          <w:szCs w:val="22"/>
        </w:rPr>
      </w:pPr>
      <w:r w:rsidRPr="00266FAF">
        <w:rPr>
          <w:szCs w:val="22"/>
        </w:rPr>
        <w:t xml:space="preserve">Time is of the essence. Funds available under this solicitation have encumbrance deadlines as early as </w:t>
      </w:r>
      <w:r w:rsidR="00A511B4" w:rsidRPr="00266FAF">
        <w:t>June</w:t>
      </w:r>
      <w:r w:rsidRPr="00266FAF">
        <w:t xml:space="preserve"> 30, </w:t>
      </w:r>
      <w:r w:rsidR="00EE4C6B" w:rsidRPr="00266FAF">
        <w:t>202</w:t>
      </w:r>
      <w:r w:rsidR="006A2AEC" w:rsidRPr="00266FAF">
        <w:t>3</w:t>
      </w:r>
      <w:r w:rsidRPr="00266FAF">
        <w:rPr>
          <w:szCs w:val="22"/>
        </w:rPr>
        <w:t xml:space="preserve">.  This means that the CEC must approve proposed awards at a business meeting (usually held monthly) prior to </w:t>
      </w:r>
      <w:r w:rsidR="00C831C4" w:rsidRPr="00266FAF">
        <w:rPr>
          <w:szCs w:val="22"/>
        </w:rPr>
        <w:t>June 30</w:t>
      </w:r>
      <w:r w:rsidRPr="00266FAF">
        <w:t xml:space="preserve">, </w:t>
      </w:r>
      <w:r w:rsidR="004E3108" w:rsidRPr="00266FAF">
        <w:t>2023,</w:t>
      </w:r>
      <w:r w:rsidRPr="00266FAF">
        <w:rPr>
          <w:szCs w:val="22"/>
        </w:rPr>
        <w:t xml:space="preserve"> in order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BA3BBD" w:rsidRDefault="00BA3BBD">
      <w:pPr>
        <w:numPr>
          <w:ilvl w:val="0"/>
          <w:numId w:val="60"/>
        </w:numPr>
        <w:spacing w:after="160"/>
        <w:ind w:right="720"/>
        <w:jc w:val="both"/>
        <w:rPr>
          <w:szCs w:val="22"/>
        </w:rPr>
      </w:pPr>
      <w:r w:rsidRPr="00266FAF">
        <w:rPr>
          <w:szCs w:val="22"/>
        </w:rPr>
        <w:lastRenderedPageBreak/>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w:t>
      </w:r>
      <w:r w:rsidRPr="00BA3BBD">
        <w:rPr>
          <w:szCs w:val="22"/>
        </w:rPr>
        <w:t xml:space="preserve">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A51775">
      <w:pPr>
        <w:numPr>
          <w:ilvl w:val="0"/>
          <w:numId w:val="3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A51775">
      <w:pPr>
        <w:numPr>
          <w:ilvl w:val="0"/>
          <w:numId w:val="34"/>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BA3BBD" w:rsidRDefault="00BA3BBD" w:rsidP="00A51775">
      <w:pPr>
        <w:numPr>
          <w:ilvl w:val="0"/>
          <w:numId w:val="34"/>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014819F2" w:rsidR="00BA3BBD" w:rsidRPr="00966377" w:rsidRDefault="00BA3BBD" w:rsidP="00A51775">
      <w:pPr>
        <w:numPr>
          <w:ilvl w:val="0"/>
          <w:numId w:val="34"/>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46180DF7" w14:textId="06AD9622" w:rsidR="001A1E3E" w:rsidRPr="00966377" w:rsidRDefault="001A1E3E" w:rsidP="001A1E3E">
      <w:pPr>
        <w:numPr>
          <w:ilvl w:val="0"/>
          <w:numId w:val="34"/>
        </w:numPr>
        <w:spacing w:after="160"/>
        <w:ind w:left="1080" w:right="720"/>
        <w:jc w:val="both"/>
        <w:rPr>
          <w:szCs w:val="22"/>
        </w:rPr>
      </w:pPr>
      <w:r w:rsidRPr="00966377">
        <w:rPr>
          <w:szCs w:val="22"/>
        </w:rPr>
        <w:t>Example 5: If the proposed project will be conducted on tribal land, the Tribe having jurisdiction over the project may conduct environmental review under their own ordinances. The Energy Commission’s review may be delayed while waiting for a determination from the Tribe.</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pPr>
        <w:keepNext/>
        <w:numPr>
          <w:ilvl w:val="0"/>
          <w:numId w:val="53"/>
        </w:numPr>
        <w:spacing w:before="120"/>
        <w:outlineLvl w:val="1"/>
        <w:rPr>
          <w:rFonts w:cs="Times New Roman"/>
          <w:b/>
          <w:smallCaps/>
          <w:sz w:val="28"/>
        </w:rPr>
      </w:pPr>
      <w:bookmarkStart w:id="72" w:name="_Toc522777847"/>
      <w:bookmarkStart w:id="73" w:name="_Toc26361580"/>
      <w:r w:rsidRPr="00BA3BBD">
        <w:rPr>
          <w:rFonts w:cs="Times New Roman"/>
          <w:b/>
          <w:smallCaps/>
          <w:sz w:val="28"/>
        </w:rPr>
        <w:t>Background</w:t>
      </w:r>
      <w:bookmarkEnd w:id="72"/>
      <w:bookmarkEnd w:id="73"/>
    </w:p>
    <w:p w14:paraId="239A2223" w14:textId="77777777" w:rsidR="00BA3BBD" w:rsidRPr="00BA3BBD" w:rsidRDefault="00BA3BBD" w:rsidP="00A51775">
      <w:pPr>
        <w:numPr>
          <w:ilvl w:val="0"/>
          <w:numId w:val="28"/>
        </w:numPr>
        <w:tabs>
          <w:tab w:val="num" w:pos="360"/>
        </w:tabs>
        <w:rPr>
          <w:b/>
        </w:rPr>
      </w:pPr>
      <w:bookmarkStart w:id="74" w:name="_Toc433981280"/>
      <w:bookmarkStart w:id="75" w:name="_Toc395180627"/>
      <w:bookmarkStart w:id="76" w:name="_Toc382571129"/>
      <w:bookmarkStart w:id="77" w:name="_Toc381079870"/>
      <w:r w:rsidRPr="00BA3BBD">
        <w:rPr>
          <w:b/>
        </w:rPr>
        <w:t>Electric Program Investment Charge (EPIC) Program</w:t>
      </w:r>
      <w:bookmarkEnd w:id="74"/>
      <w:bookmarkEnd w:id="75"/>
      <w:bookmarkEnd w:id="76"/>
      <w:bookmarkEnd w:id="77"/>
    </w:p>
    <w:p w14:paraId="6B1C6597" w14:textId="77777777" w:rsidR="00BA3BBD" w:rsidRPr="00BA3BBD" w:rsidRDefault="00BA3BBD" w:rsidP="00BA3BBD">
      <w:pPr>
        <w:jc w:val="both"/>
      </w:pPr>
      <w:r w:rsidRPr="00BA3BBD">
        <w:lastRenderedPageBreak/>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5"/>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6"/>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7"/>
      </w:r>
      <w:r w:rsidRPr="00BA3BBD">
        <w:t xml:space="preserve">  The EPIC program is administered by the CEC and the IOUs.</w:t>
      </w:r>
    </w:p>
    <w:p w14:paraId="3B7239A2" w14:textId="77777777" w:rsidR="00BA3BBD" w:rsidRPr="00BA3BBD" w:rsidRDefault="00BA3BBD" w:rsidP="00BA3BBD">
      <w:pPr>
        <w:jc w:val="both"/>
      </w:pPr>
    </w:p>
    <w:p w14:paraId="2819C55C" w14:textId="77777777" w:rsidR="00BA3BBD" w:rsidRPr="00BA3BBD" w:rsidRDefault="00BA3BBD">
      <w:pPr>
        <w:numPr>
          <w:ilvl w:val="0"/>
          <w:numId w:val="61"/>
        </w:numPr>
        <w:tabs>
          <w:tab w:val="num" w:pos="360"/>
        </w:tabs>
        <w:rPr>
          <w:b/>
        </w:rPr>
      </w:pPr>
      <w:bookmarkStart w:id="78" w:name="PrgmAreas"/>
      <w:bookmarkStart w:id="79" w:name="chkAugment"/>
      <w:r w:rsidRPr="00BA3BBD">
        <w:rPr>
          <w:b/>
        </w:rPr>
        <w:t>Program Areas, Strategic Objectives, and Funding Initiatives</w:t>
      </w:r>
    </w:p>
    <w:bookmarkEnd w:id="78"/>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A51775">
      <w:pPr>
        <w:numPr>
          <w:ilvl w:val="0"/>
          <w:numId w:val="35"/>
        </w:numPr>
        <w:jc w:val="both"/>
      </w:pPr>
      <w:r w:rsidRPr="00BA3BBD">
        <w:t>Applied research and development;</w:t>
      </w:r>
    </w:p>
    <w:p w14:paraId="6B8763ED" w14:textId="77777777" w:rsidR="00BA3BBD" w:rsidRPr="00BA3BBD" w:rsidRDefault="00BA3BBD" w:rsidP="00A51775">
      <w:pPr>
        <w:numPr>
          <w:ilvl w:val="0"/>
          <w:numId w:val="35"/>
        </w:numPr>
        <w:jc w:val="both"/>
      </w:pPr>
      <w:r w:rsidRPr="00BA3BBD">
        <w:t xml:space="preserve">Technology demonstration and deployment; and </w:t>
      </w:r>
    </w:p>
    <w:p w14:paraId="441174A2" w14:textId="1277E5F3" w:rsidR="00BA3BBD" w:rsidRPr="00BA3BBD" w:rsidRDefault="00BA3BBD" w:rsidP="00A51775">
      <w:pPr>
        <w:numPr>
          <w:ilvl w:val="0"/>
          <w:numId w:val="35"/>
        </w:numPr>
        <w:jc w:val="both"/>
      </w:pPr>
      <w:r w:rsidRPr="00BA3BBD">
        <w:t>Market facilitation</w:t>
      </w:r>
      <w:r w:rsidR="006B7447">
        <w:t>.</w:t>
      </w:r>
    </w:p>
    <w:p w14:paraId="6CB4364D" w14:textId="77777777" w:rsidR="00BA3BBD" w:rsidRPr="00271C59" w:rsidRDefault="00BA3BBD" w:rsidP="00BA3BBD">
      <w:pPr>
        <w:jc w:val="both"/>
        <w:rPr>
          <w:szCs w:val="22"/>
        </w:rPr>
      </w:pPr>
      <w:r w:rsidRPr="00AD5398">
        <w:t>In addition, projects must fall within one of the general focus areas (</w:t>
      </w:r>
      <w:r w:rsidRPr="00AD5398">
        <w:rPr>
          <w:b/>
        </w:rPr>
        <w:t>“strategic objectives”</w:t>
      </w:r>
      <w:r w:rsidRPr="00AD5398">
        <w:t>) identified in the CEC’s EPIC Investment Plans</w:t>
      </w:r>
      <w:r w:rsidRPr="00AD5398">
        <w:rPr>
          <w:vertAlign w:val="superscript"/>
        </w:rPr>
        <w:footnoteReference w:id="8"/>
      </w:r>
      <w:r w:rsidRPr="00AD5398">
        <w:t xml:space="preserve"> </w:t>
      </w:r>
      <w:r w:rsidRPr="00AD5398">
        <w:rPr>
          <w:rFonts w:cs="Times New Roman"/>
          <w:vertAlign w:val="superscript"/>
        </w:rPr>
        <w:footnoteReference w:id="9"/>
      </w:r>
      <w:r w:rsidRPr="00AD5398">
        <w:t xml:space="preserve"> and within one or more specific focus areas (</w:t>
      </w:r>
      <w:r w:rsidRPr="00AD5398">
        <w:rPr>
          <w:b/>
        </w:rPr>
        <w:t>“funding initiatives”</w:t>
      </w:r>
      <w:r w:rsidRPr="00AD5398">
        <w:t>) identified in the plan.  This solicitation targets the following</w:t>
      </w:r>
      <w:r w:rsidRPr="00AD5398">
        <w:rPr>
          <w:szCs w:val="22"/>
        </w:rPr>
        <w:t xml:space="preserve"> program area</w:t>
      </w:r>
      <w:r w:rsidRPr="00271C59">
        <w:rPr>
          <w:szCs w:val="22"/>
        </w:rPr>
        <w:t>(s), strategic objective(s), and funding initiative(s):</w:t>
      </w:r>
    </w:p>
    <w:p w14:paraId="589424CD" w14:textId="77777777" w:rsidR="00BA3BBD" w:rsidRPr="00271C59" w:rsidRDefault="00BA3BBD" w:rsidP="00BA3BBD">
      <w:pPr>
        <w:jc w:val="both"/>
      </w:pPr>
      <w:r w:rsidRPr="00271C59">
        <w:t>[</w:t>
      </w:r>
      <w:r w:rsidRPr="00271C59">
        <w:rPr>
          <w:b/>
        </w:rPr>
        <w:t>Specify Investment Plan</w:t>
      </w:r>
      <w:r w:rsidRPr="00271C59">
        <w:t>]</w:t>
      </w:r>
    </w:p>
    <w:p w14:paraId="4654BDFD" w14:textId="69EA087E" w:rsidR="00BA3BBD" w:rsidRPr="00271C59" w:rsidRDefault="00BA3BBD" w:rsidP="00A51775">
      <w:pPr>
        <w:numPr>
          <w:ilvl w:val="0"/>
          <w:numId w:val="36"/>
        </w:numPr>
        <w:jc w:val="both"/>
      </w:pPr>
      <w:bookmarkStart w:id="80" w:name="_Toc395180628"/>
      <w:bookmarkStart w:id="81" w:name="_Toc382571130"/>
      <w:bookmarkStart w:id="82" w:name="_Toc381079871"/>
      <w:r w:rsidRPr="00271C59">
        <w:rPr>
          <w:b/>
        </w:rPr>
        <w:t>Program Area</w:t>
      </w:r>
      <w:r w:rsidRPr="00271C59">
        <w:t xml:space="preserve">: </w:t>
      </w:r>
      <w:bookmarkEnd w:id="80"/>
      <w:bookmarkEnd w:id="81"/>
      <w:bookmarkEnd w:id="82"/>
      <w:r w:rsidR="00D043C7" w:rsidRPr="00271C59">
        <w:t xml:space="preserve">Technology </w:t>
      </w:r>
      <w:r w:rsidR="008B264C" w:rsidRPr="00271C59">
        <w:t>D</w:t>
      </w:r>
      <w:r w:rsidR="00D043C7" w:rsidRPr="00271C59">
        <w:t xml:space="preserve">emonstration &amp; </w:t>
      </w:r>
      <w:r w:rsidR="008B264C" w:rsidRPr="00271C59">
        <w:t>D</w:t>
      </w:r>
      <w:r w:rsidR="00D043C7" w:rsidRPr="00271C59">
        <w:t>eployment</w:t>
      </w:r>
    </w:p>
    <w:p w14:paraId="34CA2EFD" w14:textId="6C2B8202" w:rsidR="00A158F0" w:rsidRPr="00271C59" w:rsidRDefault="00A158F0" w:rsidP="00A51775">
      <w:pPr>
        <w:numPr>
          <w:ilvl w:val="0"/>
          <w:numId w:val="36"/>
        </w:numPr>
        <w:jc w:val="both"/>
        <w:rPr>
          <w:sz w:val="16"/>
          <w:szCs w:val="16"/>
        </w:rPr>
      </w:pPr>
      <w:r w:rsidRPr="00271C59">
        <w:rPr>
          <w:b/>
        </w:rPr>
        <w:t>Strategic Objective</w:t>
      </w:r>
      <w:r w:rsidRPr="00271C59">
        <w:t xml:space="preserve"> </w:t>
      </w:r>
      <w:r w:rsidRPr="00271C59">
        <w:rPr>
          <w:b/>
        </w:rPr>
        <w:t>Interim Plan</w:t>
      </w:r>
    </w:p>
    <w:p w14:paraId="3CF36FF8" w14:textId="729446FB" w:rsidR="00BA3BBD" w:rsidRPr="00271C59" w:rsidRDefault="00A158F0" w:rsidP="00EE3FAB">
      <w:pPr>
        <w:numPr>
          <w:ilvl w:val="1"/>
          <w:numId w:val="36"/>
        </w:numPr>
        <w:jc w:val="both"/>
        <w:rPr>
          <w:sz w:val="16"/>
          <w:szCs w:val="16"/>
        </w:rPr>
      </w:pPr>
      <w:r w:rsidRPr="00271C59">
        <w:rPr>
          <w:b/>
        </w:rPr>
        <w:t>Funding Initiative 1. Advanced Prefabricated Zero-Carbon Homes</w:t>
      </w:r>
    </w:p>
    <w:p w14:paraId="621B4F97" w14:textId="77777777" w:rsidR="00BA3BBD" w:rsidRPr="00271C59" w:rsidRDefault="00BA3BBD" w:rsidP="005D42F3">
      <w:pPr>
        <w:jc w:val="both"/>
        <w:rPr>
          <w:b/>
        </w:rPr>
      </w:pPr>
      <w:bookmarkStart w:id="83" w:name="AppLaws"/>
      <w:r w:rsidRPr="00271C59">
        <w:rPr>
          <w:b/>
        </w:rPr>
        <w:t xml:space="preserve">Applicable Laws, Policies, and Background Documents </w:t>
      </w:r>
    </w:p>
    <w:bookmarkEnd w:id="83"/>
    <w:p w14:paraId="5CD6B83D" w14:textId="77777777" w:rsidR="00BA3BBD" w:rsidRPr="00271C59" w:rsidRDefault="00BA3BBD" w:rsidP="00BA3BBD">
      <w:pPr>
        <w:jc w:val="both"/>
      </w:pPr>
      <w:r w:rsidRPr="00271C59">
        <w:t>This solicitation addresses the energy goals described in the following laws, policies, and background documents.</w:t>
      </w:r>
    </w:p>
    <w:p w14:paraId="3466F266" w14:textId="77777777" w:rsidR="00BA3BBD" w:rsidRPr="00271C59" w:rsidRDefault="00BA3BBD" w:rsidP="00BA3BBD">
      <w:pPr>
        <w:spacing w:after="0"/>
        <w:jc w:val="both"/>
        <w:rPr>
          <w:szCs w:val="22"/>
          <w:u w:val="single"/>
        </w:rPr>
      </w:pPr>
    </w:p>
    <w:p w14:paraId="6C6DFEA8" w14:textId="77777777" w:rsidR="00BA3BBD" w:rsidRPr="00271C59" w:rsidRDefault="00BA3BBD" w:rsidP="00BA3BBD">
      <w:pPr>
        <w:jc w:val="both"/>
        <w:rPr>
          <w:u w:val="single"/>
        </w:rPr>
      </w:pPr>
      <w:bookmarkStart w:id="84" w:name="RefDocs"/>
      <w:r w:rsidRPr="00271C59">
        <w:rPr>
          <w:u w:val="single"/>
        </w:rPr>
        <w:t>Laws/Regulations</w:t>
      </w:r>
    </w:p>
    <w:p w14:paraId="3D7C2887" w14:textId="77777777" w:rsidR="00BA3BBD" w:rsidRPr="00BA3BBD" w:rsidRDefault="00BA3BBD">
      <w:pPr>
        <w:numPr>
          <w:ilvl w:val="0"/>
          <w:numId w:val="46"/>
        </w:numPr>
        <w:jc w:val="both"/>
        <w:rPr>
          <w:b/>
        </w:rPr>
      </w:pPr>
      <w:r w:rsidRPr="00BA3BBD">
        <w:rPr>
          <w:b/>
        </w:rPr>
        <w:lastRenderedPageBreak/>
        <w:t>Senate Bill (SB) 32 - California Global Warming Solutions Act of 2006: emissions limit</w:t>
      </w:r>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290E3999" w14:textId="77777777" w:rsidR="00BA3BBD" w:rsidRPr="00BA3BBD" w:rsidRDefault="00BA3BBD" w:rsidP="00BA3BBD">
      <w:pPr>
        <w:ind w:left="720"/>
        <w:jc w:val="both"/>
        <w:rPr>
          <w:b/>
        </w:rPr>
      </w:pPr>
      <w:r w:rsidRPr="00BA3BBD">
        <w:rPr>
          <w:b/>
        </w:rPr>
        <w:t>Senate Bill (SB) X1-2</w:t>
      </w:r>
      <w:r w:rsidRPr="00BA3BBD">
        <w:rPr>
          <w:rFonts w:cs="Times New Roman"/>
          <w:b/>
          <w:vertAlign w:val="superscript"/>
        </w:rPr>
        <w:footnoteReference w:id="10"/>
      </w:r>
      <w:r w:rsidRPr="00BA3BBD">
        <w:rPr>
          <w:b/>
        </w:rPr>
        <w:t xml:space="preserve"> -</w:t>
      </w:r>
      <w:r w:rsidRPr="00BA3BBD">
        <w:rPr>
          <w:rFonts w:cs="Univers LT Std 57 Cn"/>
          <w:b/>
          <w:color w:val="221E1F"/>
          <w:szCs w:val="24"/>
        </w:rPr>
        <w:t xml:space="preserve"> </w:t>
      </w:r>
      <w:r w:rsidRPr="00BA3BBD">
        <w:rPr>
          <w:b/>
        </w:rPr>
        <w:t>Renewables Portfolio Standard,</w:t>
      </w:r>
    </w:p>
    <w:p w14:paraId="21C45BFB" w14:textId="77777777"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14:paraId="050964E9" w14:textId="77777777" w:rsidR="00BA3BBD" w:rsidRPr="00BA3BBD" w:rsidRDefault="00BA3BBD" w:rsidP="00A614D3">
      <w:pPr>
        <w:spacing w:after="240"/>
        <w:ind w:left="720"/>
        <w:jc w:val="both"/>
      </w:pPr>
      <w:r w:rsidRPr="00BA3BBD">
        <w:t>Applicable Law: California Public Utilities Code § 399.11 et seq.</w:t>
      </w:r>
    </w:p>
    <w:p w14:paraId="5470DF03" w14:textId="77777777" w:rsidR="00BA3BBD" w:rsidRPr="00BA3BBD" w:rsidRDefault="00BA3BBD">
      <w:pPr>
        <w:numPr>
          <w:ilvl w:val="0"/>
          <w:numId w:val="46"/>
        </w:numPr>
        <w:jc w:val="both"/>
        <w:rPr>
          <w:b/>
        </w:rPr>
      </w:pPr>
      <w:r w:rsidRPr="00BA3BBD">
        <w:rPr>
          <w:b/>
        </w:rPr>
        <w:t>AB 758, Building Efficiency</w:t>
      </w:r>
      <w:r w:rsidRPr="00BA3BBD">
        <w:rPr>
          <w:rFonts w:cs="Times New Roman"/>
          <w:b/>
          <w:vertAlign w:val="superscript"/>
        </w:rPr>
        <w:footnoteReference w:id="11"/>
      </w:r>
      <w:r w:rsidRPr="00BA3BBD">
        <w:rPr>
          <w:b/>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0888730D" w14:textId="77777777" w:rsidR="00BA3BBD" w:rsidRPr="00BA3BBD" w:rsidRDefault="00BA3BBD" w:rsidP="00BA3BBD">
      <w:pPr>
        <w:numPr>
          <w:ilvl w:val="0"/>
          <w:numId w:val="7"/>
        </w:numPr>
        <w:tabs>
          <w:tab w:val="left" w:pos="360"/>
          <w:tab w:val="left" w:pos="720"/>
        </w:tabs>
        <w:ind w:left="720"/>
        <w:jc w:val="both"/>
        <w:rPr>
          <w:b/>
        </w:rPr>
      </w:pPr>
      <w:r w:rsidRPr="00BA3BBD">
        <w:rPr>
          <w:b/>
        </w:rPr>
        <w:t>AB 2514</w:t>
      </w:r>
      <w:r w:rsidRPr="00BA3BBD">
        <w:rPr>
          <w:rFonts w:cs="Times New Roman"/>
          <w:b/>
          <w:vertAlign w:val="superscript"/>
        </w:rPr>
        <w:footnoteReference w:id="12"/>
      </w:r>
      <w:r w:rsidRPr="00BA3BBD">
        <w:rPr>
          <w:b/>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77777777" w:rsidR="00BA3BBD" w:rsidRPr="00BA3BBD" w:rsidRDefault="00BA3BBD" w:rsidP="00BA3BBD">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14:paraId="3E13D884" w14:textId="77777777"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14:paraId="2B854A80" w14:textId="77777777" w:rsidR="00BA3BBD" w:rsidRPr="00BA3BBD" w:rsidRDefault="00BA3BBD">
      <w:pPr>
        <w:numPr>
          <w:ilvl w:val="0"/>
          <w:numId w:val="47"/>
        </w:numPr>
        <w:spacing w:line="280" w:lineRule="atLeast"/>
        <w:ind w:hanging="302"/>
        <w:jc w:val="both"/>
        <w:rPr>
          <w:rFonts w:ascii="Palatino Linotype" w:hAnsi="Palatino Linotype" w:cs="Times New Roman"/>
          <w:b/>
          <w:color w:val="000000"/>
        </w:rPr>
      </w:pPr>
      <w:r w:rsidRPr="00BA3BBD">
        <w:rPr>
          <w:b/>
          <w:color w:val="000000"/>
        </w:rPr>
        <w:t>SB 350</w:t>
      </w:r>
      <w:r w:rsidRPr="00BA3BBD">
        <w:rPr>
          <w:rFonts w:cs="Times New Roman"/>
          <w:b/>
          <w:color w:val="000000"/>
          <w:vertAlign w:val="superscript"/>
        </w:rPr>
        <w:footnoteReference w:id="13"/>
      </w:r>
      <w:r w:rsidRPr="00BA3BBD">
        <w:rPr>
          <w:b/>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lastRenderedPageBreak/>
        <w:t>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final end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45042597" w14:textId="77777777" w:rsidR="00BA3BBD" w:rsidRPr="00BA3BBD" w:rsidRDefault="00BA3BBD">
      <w:pPr>
        <w:numPr>
          <w:ilvl w:val="0"/>
          <w:numId w:val="47"/>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22E891D5" w14:textId="77777777" w:rsidR="00BA3BBD" w:rsidRPr="00BA3BBD" w:rsidRDefault="00BA3BBD">
      <w:pPr>
        <w:numPr>
          <w:ilvl w:val="0"/>
          <w:numId w:val="47"/>
        </w:numPr>
        <w:spacing w:line="280" w:lineRule="atLeast"/>
        <w:jc w:val="both"/>
        <w:rPr>
          <w:color w:val="000000"/>
        </w:rPr>
      </w:pPr>
      <w:r w:rsidRPr="00BA3BBD">
        <w:rPr>
          <w:b/>
          <w:color w:val="000000"/>
        </w:rPr>
        <w:t xml:space="preserve"> 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pPr>
        <w:keepNext/>
        <w:numPr>
          <w:ilvl w:val="0"/>
          <w:numId w:val="47"/>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75A10E" w14:textId="77777777" w:rsidR="00BA3BBD" w:rsidRPr="00BA3BBD" w:rsidRDefault="00BA3BBD" w:rsidP="00BA3BBD">
      <w:pPr>
        <w:keepNext/>
        <w:numPr>
          <w:ilvl w:val="0"/>
          <w:numId w:val="7"/>
        </w:numPr>
        <w:tabs>
          <w:tab w:val="left" w:pos="720"/>
        </w:tabs>
        <w:ind w:left="720"/>
        <w:jc w:val="both"/>
        <w:rPr>
          <w:b/>
        </w:rPr>
      </w:pPr>
      <w:r w:rsidRPr="00BA3BBD">
        <w:rPr>
          <w:b/>
        </w:rPr>
        <w:lastRenderedPageBreak/>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77777777" w:rsidR="00BA3BBD" w:rsidRPr="00BA3BBD" w:rsidRDefault="00BA3BBD" w:rsidP="00BA3BBD">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14:paraId="001F78B0" w14:textId="77777777" w:rsidR="00EC2034" w:rsidRPr="000B46BF" w:rsidRDefault="00EC2034" w:rsidP="00A51775">
      <w:pPr>
        <w:pStyle w:val="ListParagraph"/>
        <w:numPr>
          <w:ilvl w:val="0"/>
          <w:numId w:val="27"/>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56348417" w14:textId="77777777" w:rsidR="00BA3BBD" w:rsidRP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p w14:paraId="3CB5B265" w14:textId="77777777" w:rsidR="009526D5" w:rsidRPr="001E57EF" w:rsidRDefault="009526D5">
      <w:pPr>
        <w:pStyle w:val="ListParagraph"/>
        <w:numPr>
          <w:ilvl w:val="0"/>
          <w:numId w:val="47"/>
        </w:numPr>
        <w:tabs>
          <w:tab w:val="left" w:pos="180"/>
          <w:tab w:val="right" w:pos="720"/>
          <w:tab w:val="left" w:pos="1800"/>
        </w:tabs>
        <w:spacing w:after="240"/>
        <w:rPr>
          <w:b/>
          <w:bCs/>
          <w:szCs w:val="22"/>
        </w:rPr>
      </w:pPr>
      <w:bookmarkStart w:id="85" w:name="_Toc522777848"/>
      <w:bookmarkStart w:id="86" w:name="_Toc26361581"/>
      <w:bookmarkEnd w:id="84"/>
      <w:r w:rsidRPr="001E57EF">
        <w:rPr>
          <w:b/>
          <w:bCs/>
          <w:szCs w:val="22"/>
        </w:rPr>
        <w:t>PIR-12-028: Advanced Envelope Systems for Factory Built Homes</w:t>
      </w:r>
    </w:p>
    <w:p w14:paraId="2E07B262" w14:textId="2F687467" w:rsidR="0083305D" w:rsidRDefault="002E6C17" w:rsidP="0083305D">
      <w:pPr>
        <w:tabs>
          <w:tab w:val="left" w:pos="180"/>
          <w:tab w:val="right" w:pos="720"/>
          <w:tab w:val="left" w:pos="1800"/>
        </w:tabs>
        <w:spacing w:after="240"/>
        <w:ind w:left="720"/>
        <w:jc w:val="both"/>
        <w:rPr>
          <w:szCs w:val="24"/>
        </w:rPr>
      </w:pPr>
      <w:r w:rsidRPr="00293AE1">
        <w:rPr>
          <w:bCs/>
          <w:szCs w:val="22"/>
        </w:rPr>
        <w:t>In 2017, the CEC completed a research project focused on pilot-testing advanced envelope</w:t>
      </w:r>
      <w:r w:rsidRPr="00293AE1">
        <w:rPr>
          <w:szCs w:val="24"/>
        </w:rPr>
        <w:t xml:space="preserve"> designs for the manufactured housing industry and how to provide high-performance, cost-effective alternative envelope designs to factory homebuilders.</w:t>
      </w:r>
      <w:r w:rsidRPr="00293AE1">
        <w:rPr>
          <w:rStyle w:val="FootnoteReference"/>
          <w:rFonts w:cs="Arial"/>
          <w:szCs w:val="24"/>
        </w:rPr>
        <w:t xml:space="preserve"> </w:t>
      </w:r>
      <w:r>
        <w:rPr>
          <w:rStyle w:val="FootnoteReference"/>
          <w:rFonts w:cs="Arial"/>
          <w:szCs w:val="24"/>
        </w:rPr>
        <w:footnoteReference w:id="14"/>
      </w:r>
      <w:r w:rsidRPr="00293AE1">
        <w:rPr>
          <w:szCs w:val="24"/>
        </w:rPr>
        <w:t xml:space="preserve"> This project demonstrated advanced building envelope technologies that are cost-effective, commercially-viable, and offer new manufactured home buyers a compelling value proposition: to pay a little more upfront but enjoy lower monthly energy bills and other benefits. The focus was manufactured homes, and the advanced envelope designs were offered as an option to potential homebuyers by participating manufactured housing industry representatives.</w:t>
      </w:r>
      <w:r w:rsidRPr="00293AE1">
        <w:rPr>
          <w:rStyle w:val="FootnoteReference"/>
          <w:rFonts w:cs="Arial"/>
          <w:szCs w:val="24"/>
        </w:rPr>
        <w:t xml:space="preserve"> </w:t>
      </w:r>
      <w:r w:rsidR="009526D5">
        <w:rPr>
          <w:rStyle w:val="FootnoteReference"/>
          <w:rFonts w:cs="Arial"/>
          <w:szCs w:val="24"/>
        </w:rPr>
        <w:footnoteReference w:id="15"/>
      </w:r>
    </w:p>
    <w:p w14:paraId="05771EAA" w14:textId="7B89DE4B" w:rsidR="0083305D" w:rsidRPr="001B6C87" w:rsidRDefault="0083305D">
      <w:pPr>
        <w:pStyle w:val="ListParagraph"/>
        <w:numPr>
          <w:ilvl w:val="0"/>
          <w:numId w:val="68"/>
        </w:numPr>
        <w:tabs>
          <w:tab w:val="left" w:pos="180"/>
          <w:tab w:val="right" w:pos="720"/>
          <w:tab w:val="left" w:pos="1800"/>
        </w:tabs>
        <w:spacing w:after="240"/>
        <w:ind w:left="720"/>
        <w:jc w:val="both"/>
        <w:rPr>
          <w:b/>
          <w:szCs w:val="24"/>
        </w:rPr>
      </w:pPr>
      <w:r w:rsidRPr="001B6C87">
        <w:rPr>
          <w:b/>
        </w:rPr>
        <w:t>EPC-19-035: Advancing Energy Efficiency in Manufactured Homes Through High Performance Envelope; and EPC-19-043: Advanced Energy-efficient and Fire-resistive Envelope Systems Utilizing Vacuum Insulation for Manufactured Homes</w:t>
      </w:r>
    </w:p>
    <w:p w14:paraId="409C340D" w14:textId="73B76ADC" w:rsidR="002E6C17" w:rsidRPr="001E57EF" w:rsidRDefault="002E6C17" w:rsidP="001B6C87">
      <w:pPr>
        <w:pStyle w:val="ListParagraph"/>
        <w:rPr>
          <w:szCs w:val="24"/>
        </w:rPr>
      </w:pPr>
      <w:r w:rsidRPr="001E57EF">
        <w:rPr>
          <w:szCs w:val="24"/>
        </w:rPr>
        <w:t xml:space="preserve">In 2020, the CEC awarded two EPIC grants focused on advanced building envelopes for all-electric manufactured homes. The CEC received more applications and passing proposals than available resources could fund. This research initiative would build on this solicitation by including </w:t>
      </w:r>
      <w:proofErr w:type="gramStart"/>
      <w:r w:rsidR="00411B4A" w:rsidRPr="001E57EF">
        <w:rPr>
          <w:szCs w:val="24"/>
        </w:rPr>
        <w:t>pre-fabricated</w:t>
      </w:r>
      <w:proofErr w:type="gramEnd"/>
      <w:r w:rsidRPr="001E57EF">
        <w:rPr>
          <w:szCs w:val="24"/>
        </w:rPr>
        <w:t xml:space="preserve"> modular homes, other advancements, such as solar PV, energy storage, load flexible controls, and emphasize affordability.  Like the </w:t>
      </w:r>
      <w:r w:rsidRPr="001E57EF">
        <w:rPr>
          <w:szCs w:val="24"/>
        </w:rPr>
        <w:lastRenderedPageBreak/>
        <w:t>2020 solicitation, continuing elements would include fire resiliency, building envelope energy efficiency, and GHG reductions.</w:t>
      </w:r>
      <w:r w:rsidRPr="001E57EF">
        <w:rPr>
          <w:rStyle w:val="FootnoteReference"/>
          <w:rFonts w:cs="Arial"/>
          <w:szCs w:val="24"/>
        </w:rPr>
        <w:t xml:space="preserve"> </w:t>
      </w:r>
      <w:r w:rsidR="009526D5">
        <w:rPr>
          <w:rStyle w:val="FootnoteReference"/>
          <w:rFonts w:cs="Arial"/>
          <w:szCs w:val="24"/>
        </w:rPr>
        <w:footnoteReference w:id="16"/>
      </w:r>
    </w:p>
    <w:p w14:paraId="39DEC1B1" w14:textId="6628EF7D" w:rsidR="001E57EF" w:rsidRPr="001E57EF" w:rsidRDefault="004B67F2">
      <w:pPr>
        <w:pStyle w:val="ListParagraph"/>
        <w:numPr>
          <w:ilvl w:val="0"/>
          <w:numId w:val="47"/>
        </w:numPr>
        <w:tabs>
          <w:tab w:val="left" w:pos="180"/>
          <w:tab w:val="right" w:pos="720"/>
          <w:tab w:val="left" w:pos="1800"/>
        </w:tabs>
        <w:spacing w:after="240"/>
        <w:rPr>
          <w:b/>
          <w:bCs/>
          <w:szCs w:val="22"/>
        </w:rPr>
      </w:pPr>
      <w:r w:rsidRPr="004B67F2">
        <w:rPr>
          <w:b/>
          <w:bCs/>
          <w:szCs w:val="22"/>
        </w:rPr>
        <w:t xml:space="preserve">EPC-14-010: </w:t>
      </w:r>
      <w:r w:rsidRPr="004B67F2">
        <w:rPr>
          <w:b/>
          <w:bCs/>
        </w:rPr>
        <w:t>Solar-Reflective Cool Walls</w:t>
      </w:r>
      <w:r w:rsidRPr="6F846451">
        <w:rPr>
          <w:rStyle w:val="FootnoteReference"/>
          <w:rFonts w:cs="Arial"/>
        </w:rPr>
        <w:footnoteReference w:id="17"/>
      </w:r>
    </w:p>
    <w:p w14:paraId="70E7BF93" w14:textId="1F2741F7" w:rsidR="002E6C17" w:rsidRPr="002B2230" w:rsidRDefault="002E6C17" w:rsidP="004B67F2">
      <w:pPr>
        <w:tabs>
          <w:tab w:val="left" w:pos="180"/>
          <w:tab w:val="right" w:pos="720"/>
          <w:tab w:val="left" w:pos="1800"/>
        </w:tabs>
        <w:spacing w:after="240"/>
        <w:ind w:left="720"/>
        <w:jc w:val="both"/>
      </w:pPr>
      <w:r w:rsidRPr="6F846451">
        <w:t xml:space="preserve">This completed project quantifies the energy savings, peak demand reduction, urban cooling, and air quality improvements associated with cool wall technology.   </w:t>
      </w:r>
    </w:p>
    <w:p w14:paraId="5E6B8340" w14:textId="77777777" w:rsidR="004B67F2" w:rsidRPr="004B67F2" w:rsidRDefault="004B67F2">
      <w:pPr>
        <w:pStyle w:val="ListParagraph"/>
        <w:numPr>
          <w:ilvl w:val="0"/>
          <w:numId w:val="47"/>
        </w:numPr>
        <w:tabs>
          <w:tab w:val="left" w:pos="180"/>
          <w:tab w:val="right" w:pos="720"/>
          <w:tab w:val="left" w:pos="1800"/>
        </w:tabs>
        <w:spacing w:after="240"/>
        <w:rPr>
          <w:b/>
          <w:bCs/>
        </w:rPr>
      </w:pPr>
      <w:r w:rsidRPr="004B67F2">
        <w:rPr>
          <w:b/>
          <w:bCs/>
          <w:szCs w:val="22"/>
        </w:rPr>
        <w:t>300-15-008</w:t>
      </w:r>
      <w:r w:rsidR="001E57EF" w:rsidRPr="004B67F2">
        <w:rPr>
          <w:b/>
          <w:bCs/>
          <w:szCs w:val="22"/>
        </w:rPr>
        <w:t xml:space="preserve">: </w:t>
      </w:r>
      <w:r w:rsidR="002E6C17" w:rsidRPr="004B67F2">
        <w:rPr>
          <w:b/>
          <w:bCs/>
        </w:rPr>
        <w:t>Research Gap Analysis for Zero-Net Energy Buildings</w:t>
      </w:r>
      <w:r w:rsidR="002E6C17" w:rsidRPr="004B67F2">
        <w:rPr>
          <w:rStyle w:val="FootnoteReference"/>
          <w:rFonts w:cs="Arial"/>
          <w:b/>
          <w:bCs/>
        </w:rPr>
        <w:footnoteReference w:id="18"/>
      </w:r>
      <w:r w:rsidR="002E6C17" w:rsidRPr="004B67F2">
        <w:rPr>
          <w:b/>
          <w:bCs/>
        </w:rPr>
        <w:t xml:space="preserve"> </w:t>
      </w:r>
    </w:p>
    <w:p w14:paraId="4C2C673A" w14:textId="1972A689" w:rsidR="002E6C17" w:rsidRPr="004B67F2" w:rsidRDefault="002E6C17" w:rsidP="004B67F2">
      <w:pPr>
        <w:tabs>
          <w:tab w:val="left" w:pos="180"/>
          <w:tab w:val="right" w:pos="720"/>
          <w:tab w:val="left" w:pos="1800"/>
        </w:tabs>
        <w:spacing w:after="240"/>
        <w:ind w:left="810"/>
        <w:jc w:val="both"/>
        <w:rPr>
          <w:szCs w:val="24"/>
        </w:rPr>
      </w:pPr>
      <w:r w:rsidRPr="004B67F2">
        <w:rPr>
          <w:szCs w:val="24"/>
        </w:rPr>
        <w:t xml:space="preserve">This completed project identified high potential envelope technologies to meet the goals of Zero Net Energy (ZNE) in commercial and residential buildings. It also developed a prioritization framework to define ZNE scenarios and the context technologies. </w:t>
      </w:r>
    </w:p>
    <w:p w14:paraId="532E031C" w14:textId="77777777" w:rsidR="00BA3BBD" w:rsidRPr="00BA3BBD" w:rsidRDefault="00BA3BBD">
      <w:pPr>
        <w:keepNext/>
        <w:numPr>
          <w:ilvl w:val="0"/>
          <w:numId w:val="53"/>
        </w:numPr>
        <w:spacing w:before="120"/>
        <w:outlineLvl w:val="1"/>
        <w:rPr>
          <w:rFonts w:cs="Times New Roman"/>
          <w:b/>
          <w:smallCaps/>
          <w:sz w:val="28"/>
        </w:rPr>
      </w:pPr>
      <w:r w:rsidRPr="00BA3BBD">
        <w:rPr>
          <w:rFonts w:cs="Times New Roman"/>
          <w:b/>
          <w:smallCaps/>
          <w:sz w:val="28"/>
        </w:rPr>
        <w:t>Match Funding</w:t>
      </w:r>
      <w:bookmarkEnd w:id="85"/>
      <w:bookmarkEnd w:id="86"/>
    </w:p>
    <w:bookmarkEnd w:id="79"/>
    <w:p w14:paraId="273A2243" w14:textId="77777777" w:rsidR="00BA3BBD" w:rsidRPr="00BA3BBD" w:rsidRDefault="00BA3BBD" w:rsidP="00A51775">
      <w:pPr>
        <w:numPr>
          <w:ilvl w:val="0"/>
          <w:numId w:val="19"/>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F9F0F6A"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r w:rsidR="004E3108" w:rsidRPr="00BA3BBD">
        <w:rPr>
          <w:szCs w:val="22"/>
        </w:rPr>
        <w:t>include</w:t>
      </w:r>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A51775">
      <w:pPr>
        <w:numPr>
          <w:ilvl w:val="2"/>
          <w:numId w:val="19"/>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A51775">
      <w:pPr>
        <w:numPr>
          <w:ilvl w:val="2"/>
          <w:numId w:val="19"/>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w:t>
      </w:r>
      <w:r w:rsidRPr="00BA3BBD">
        <w:rPr>
          <w:szCs w:val="22"/>
        </w:rPr>
        <w:lastRenderedPageBreak/>
        <w:t>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A51775">
      <w:pPr>
        <w:numPr>
          <w:ilvl w:val="0"/>
          <w:numId w:val="19"/>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rsidP="00A51775">
      <w:pPr>
        <w:numPr>
          <w:ilvl w:val="0"/>
          <w:numId w:val="19"/>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rsidP="00A51775">
      <w:pPr>
        <w:numPr>
          <w:ilvl w:val="0"/>
          <w:numId w:val="19"/>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A51775">
      <w:pPr>
        <w:numPr>
          <w:ilvl w:val="2"/>
          <w:numId w:val="19"/>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A51775">
      <w:pPr>
        <w:numPr>
          <w:ilvl w:val="2"/>
          <w:numId w:val="19"/>
        </w:numPr>
        <w:tabs>
          <w:tab w:val="left" w:pos="1620"/>
        </w:tabs>
        <w:spacing w:before="120"/>
        <w:ind w:left="1620"/>
        <w:jc w:val="both"/>
      </w:pPr>
      <w:r w:rsidRPr="1C048822">
        <w:rPr>
          <w:b/>
          <w:bCs/>
        </w:rPr>
        <w:t xml:space="preserve">“Equipment” is </w:t>
      </w:r>
      <w:r w:rsidRPr="1C048822">
        <w:rPr>
          <w:snapToGrid w:val="0"/>
        </w:rPr>
        <w:t xml:space="preserve">an item </w:t>
      </w:r>
      <w:r w:rsidRPr="1C048822">
        <w:t>with a unit cost of at least $5,000 and a useful life of at least one ye</w:t>
      </w:r>
      <w:r w:rsidRPr="1C048822">
        <w:rPr>
          <w:snapToGrid w:val="0"/>
        </w:rPr>
        <w:t xml:space="preserve">ar. </w:t>
      </w:r>
      <w:r w:rsidRPr="1C048822">
        <w:rPr>
          <w:b/>
          <w:bCs/>
          <w:snapToGrid w:val="0"/>
        </w:rPr>
        <w:t>Purchasing equipment with match funding is encouraged</w:t>
      </w:r>
      <w:r w:rsidRPr="00BA3BBD">
        <w:rPr>
          <w:snapToGrid w:val="0"/>
          <w:szCs w:val="22"/>
        </w:rPr>
        <w:t xml:space="preserve"> </w:t>
      </w:r>
      <w:r w:rsidR="00580534" w:rsidRPr="1C048822">
        <w:rPr>
          <w:snapToGrid w:val="0"/>
        </w:rPr>
        <w:t>as</w:t>
      </w:r>
      <w:r w:rsidRPr="1C048822">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A51775">
      <w:pPr>
        <w:numPr>
          <w:ilvl w:val="2"/>
          <w:numId w:val="19"/>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pPr>
        <w:keepNext/>
        <w:numPr>
          <w:ilvl w:val="0"/>
          <w:numId w:val="53"/>
        </w:numPr>
        <w:spacing w:before="120"/>
        <w:outlineLvl w:val="1"/>
        <w:rPr>
          <w:rFonts w:cs="Times New Roman"/>
          <w:b/>
          <w:smallCaps/>
          <w:sz w:val="28"/>
        </w:rPr>
      </w:pPr>
      <w:bookmarkStart w:id="87" w:name="_Toc26361582"/>
      <w:r w:rsidRPr="00BA3BBD">
        <w:rPr>
          <w:rFonts w:cs="Times New Roman"/>
          <w:b/>
          <w:smallCaps/>
          <w:sz w:val="28"/>
        </w:rPr>
        <w:lastRenderedPageBreak/>
        <w:t>Funds Spent in California</w:t>
      </w:r>
      <w:bookmarkEnd w:id="87"/>
    </w:p>
    <w:p w14:paraId="0B507BF3" w14:textId="77777777" w:rsidR="00BA3BBD" w:rsidRPr="00BA3BBD" w:rsidRDefault="00BA3BBD">
      <w:pPr>
        <w:keepNext/>
        <w:keepLines/>
        <w:numPr>
          <w:ilvl w:val="0"/>
          <w:numId w:val="39"/>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pPr>
        <w:keepNext/>
        <w:keepLines/>
        <w:numPr>
          <w:ilvl w:val="0"/>
          <w:numId w:val="39"/>
        </w:numPr>
        <w:spacing w:before="60" w:after="60"/>
        <w:jc w:val="both"/>
        <w:outlineLvl w:val="2"/>
      </w:pPr>
      <w:r w:rsidRPr="00BA3BBD">
        <w:t xml:space="preserve">"Spent in California" means that: </w:t>
      </w:r>
    </w:p>
    <w:p w14:paraId="593A8F2E" w14:textId="77777777" w:rsidR="00BA3BBD" w:rsidRPr="00BA3BBD" w:rsidRDefault="00BA3BBD">
      <w:pPr>
        <w:keepNext/>
        <w:keepLines/>
        <w:numPr>
          <w:ilvl w:val="1"/>
          <w:numId w:val="39"/>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pPr>
        <w:keepNext/>
        <w:keepLines/>
        <w:numPr>
          <w:ilvl w:val="1"/>
          <w:numId w:val="39"/>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pPr>
        <w:keepNext/>
        <w:keepLines/>
        <w:numPr>
          <w:ilvl w:val="1"/>
          <w:numId w:val="39"/>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0C56BC49" w:rsidR="00BA3BBD" w:rsidRPr="00BA3BBD" w:rsidRDefault="00BA3BBD">
      <w:pPr>
        <w:keepNext/>
        <w:keepLines/>
        <w:numPr>
          <w:ilvl w:val="0"/>
          <w:numId w:val="39"/>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0EFD8406">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pPr>
        <w:numPr>
          <w:ilvl w:val="1"/>
          <w:numId w:val="39"/>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pPr>
        <w:numPr>
          <w:ilvl w:val="1"/>
          <w:numId w:val="39"/>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88" w:name="_Toc336443618"/>
      <w:bookmarkStart w:id="89" w:name="_Toc366671173"/>
      <w:bookmarkStart w:id="90" w:name="_Toc87335019"/>
      <w:bookmarkStart w:id="91" w:name="_Toc310513471"/>
      <w:bookmarkStart w:id="92" w:name="_Toc198951306"/>
      <w:bookmarkStart w:id="93" w:name="_Toc201713533"/>
      <w:bookmarkStart w:id="94" w:name="_Toc217726087"/>
      <w:bookmarkStart w:id="95" w:name="_Toc219275083"/>
      <w:bookmarkEnd w:id="2"/>
      <w:bookmarkEnd w:id="3"/>
      <w:bookmarkEnd w:id="4"/>
      <w:bookmarkEnd w:id="5"/>
      <w:bookmarkEnd w:id="6"/>
      <w:bookmarkEnd w:id="7"/>
      <w:bookmarkEnd w:id="60"/>
      <w:bookmarkEnd w:id="61"/>
      <w:bookmarkEnd w:id="62"/>
      <w:r w:rsidRPr="00C31C1D">
        <w:lastRenderedPageBreak/>
        <w:t>II.</w:t>
      </w:r>
      <w:r w:rsidRPr="00C31C1D">
        <w:tab/>
        <w:t>Eligibility Requirements</w:t>
      </w:r>
      <w:bookmarkEnd w:id="88"/>
      <w:bookmarkEnd w:id="89"/>
      <w:bookmarkEnd w:id="90"/>
    </w:p>
    <w:p w14:paraId="70704BB3" w14:textId="77777777" w:rsidR="0067542B" w:rsidRPr="00756BAC" w:rsidRDefault="0067542B">
      <w:pPr>
        <w:pStyle w:val="Heading2"/>
        <w:numPr>
          <w:ilvl w:val="0"/>
          <w:numId w:val="54"/>
        </w:numPr>
      </w:pPr>
      <w:bookmarkStart w:id="96" w:name="_Toc336443619"/>
      <w:bookmarkStart w:id="97" w:name="_Toc366671174"/>
      <w:bookmarkStart w:id="98" w:name="_Toc87335020"/>
      <w:bookmarkEnd w:id="91"/>
      <w:r w:rsidRPr="00756BAC">
        <w:t>Applicant</w:t>
      </w:r>
      <w:bookmarkEnd w:id="96"/>
      <w:bookmarkEnd w:id="97"/>
      <w:r w:rsidRPr="00756BAC">
        <w:t xml:space="preserve"> Requirements</w:t>
      </w:r>
      <w:bookmarkEnd w:id="98"/>
    </w:p>
    <w:p w14:paraId="1F1511A2" w14:textId="77777777" w:rsidR="00DE1CBD" w:rsidRPr="00BE64A5" w:rsidRDefault="00DE1CBD" w:rsidP="00A51775">
      <w:pPr>
        <w:numPr>
          <w:ilvl w:val="0"/>
          <w:numId w:val="26"/>
        </w:numPr>
        <w:spacing w:before="240"/>
        <w:jc w:val="both"/>
        <w:rPr>
          <w:b/>
          <w:szCs w:val="22"/>
        </w:rPr>
      </w:pPr>
      <w:bookmarkStart w:id="99" w:name="Elig"/>
      <w:r w:rsidRPr="00BE64A5">
        <w:rPr>
          <w:b/>
          <w:szCs w:val="22"/>
        </w:rPr>
        <w:t>Eligibility</w:t>
      </w:r>
    </w:p>
    <w:bookmarkEnd w:id="99"/>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with the exception of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19"/>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A51775">
      <w:pPr>
        <w:numPr>
          <w:ilvl w:val="0"/>
          <w:numId w:val="26"/>
        </w:numPr>
        <w:spacing w:before="240"/>
        <w:jc w:val="both"/>
        <w:rPr>
          <w:rFonts w:ascii="Arial Bold" w:hAnsi="Arial Bold"/>
          <w:b/>
          <w:smallCaps/>
          <w:u w:val="single"/>
        </w:rPr>
      </w:pPr>
      <w:bookmarkStart w:id="100" w:name="_Toc381079914"/>
      <w:bookmarkStart w:id="101" w:name="_Toc382571176"/>
      <w:bookmarkStart w:id="102" w:name="_Toc395180678"/>
      <w:bookmarkStart w:id="103" w:name="_Toc433981305"/>
      <w:r w:rsidRPr="00C07F85">
        <w:rPr>
          <w:b/>
        </w:rPr>
        <w:t>Terms and Conditions</w:t>
      </w:r>
      <w:bookmarkEnd w:id="100"/>
      <w:bookmarkEnd w:id="101"/>
      <w:bookmarkEnd w:id="102"/>
      <w:bookmarkEnd w:id="103"/>
    </w:p>
    <w:p w14:paraId="401901AE" w14:textId="415AD711" w:rsidR="002C206F"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w:t>
      </w:r>
      <w:r w:rsidR="0072493D" w:rsidRPr="00BF4012">
        <w:rPr>
          <w:szCs w:val="22"/>
        </w:rPr>
        <w:t xml:space="preserve">California State University </w:t>
      </w:r>
      <w:r w:rsidRPr="0012247F">
        <w:rPr>
          <w:szCs w:val="22"/>
        </w:rPr>
        <w:t xml:space="preserve">terms and conditions; (2) </w:t>
      </w:r>
      <w:r w:rsidRPr="00024194">
        <w:rPr>
          <w:szCs w:val="22"/>
        </w:rPr>
        <w:t xml:space="preserve">U.S. Department of Energy terms and conditions; </w:t>
      </w:r>
      <w:r w:rsidR="001D27BA" w:rsidRPr="00024194">
        <w:t>(3)</w:t>
      </w:r>
      <w:r w:rsidR="001D27BA" w:rsidRPr="001F1289">
        <w:t xml:space="preserve"> special terms and conditions for Tribes and tribal corporations; and (4) </w:t>
      </w:r>
      <w:r w:rsidRPr="00BF4012">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00BF4012" w:rsidRPr="00BF4012">
        <w:rPr>
          <w:szCs w:val="22"/>
        </w:rPr>
        <w:t>, with the exception of special terms and conditions for California Native American Tribe (Tribe) or a California Tribal Organization (Tribal Organization), which will be posted on this GFO website</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0C3D6875" w14:textId="77777777" w:rsidR="0012247F" w:rsidRPr="001F1289" w:rsidRDefault="0012247F" w:rsidP="0012247F">
      <w:pPr>
        <w:jc w:val="both"/>
        <w:rPr>
          <w:rFonts w:eastAsia="Arial"/>
          <w:szCs w:val="22"/>
        </w:rPr>
      </w:pPr>
      <w:r w:rsidRPr="001F1289">
        <w:rPr>
          <w:rFonts w:eastAsia="Arial"/>
          <w:szCs w:val="22"/>
        </w:rPr>
        <w:t xml:space="preserve">If a Tribe or Tribal Organization with sovereign immunity is listed as a proposed awardee in the Notice of Proposed Awards (NOPA), CEC staff must receive the following before bringing the proposed award to Business Meeting: </w:t>
      </w:r>
    </w:p>
    <w:p w14:paraId="2ADD0E79" w14:textId="77777777" w:rsidR="0012247F" w:rsidRPr="001F1289" w:rsidRDefault="0012247F" w:rsidP="0012247F">
      <w:pPr>
        <w:tabs>
          <w:tab w:val="left" w:pos="810"/>
        </w:tabs>
        <w:ind w:left="720" w:hanging="360"/>
        <w:jc w:val="both"/>
        <w:rPr>
          <w:rFonts w:eastAsia="Arial"/>
          <w:szCs w:val="22"/>
        </w:rPr>
      </w:pPr>
      <w:r w:rsidRPr="001F1289">
        <w:rPr>
          <w:rFonts w:eastAsia="Arial"/>
          <w:szCs w:val="22"/>
        </w:rPr>
        <w:t>1.</w:t>
      </w:r>
      <w:r w:rsidRPr="00976648">
        <w:rPr>
          <w:szCs w:val="22"/>
        </w:rPr>
        <w:tab/>
      </w:r>
      <w:r w:rsidRPr="001F1289">
        <w:rPr>
          <w:rFonts w:eastAsia="Arial"/>
          <w:szCs w:val="22"/>
        </w:rPr>
        <w:t>A resolution or other authorizing document by the governing body of the Tribe or Tribal Organization authorizing the Tribe or Tribal Organization to enter into the proposed agreement, including accepting the Special Terms and Conditions for California Native American Tribes and California Tribal Organizations with Sovereign Immunity (see Attachment 14).</w:t>
      </w:r>
    </w:p>
    <w:p w14:paraId="7D80F3BF" w14:textId="77777777" w:rsidR="0012247F" w:rsidRPr="001F1289" w:rsidRDefault="0012247F" w:rsidP="0012247F">
      <w:pPr>
        <w:tabs>
          <w:tab w:val="left" w:pos="810"/>
        </w:tabs>
        <w:ind w:left="720" w:hanging="360"/>
        <w:jc w:val="both"/>
        <w:rPr>
          <w:rFonts w:eastAsia="Arial"/>
          <w:szCs w:val="22"/>
        </w:rPr>
      </w:pPr>
      <w:r w:rsidRPr="001F1289">
        <w:rPr>
          <w:rFonts w:eastAsia="Arial"/>
          <w:szCs w:val="22"/>
        </w:rPr>
        <w:t>2.</w:t>
      </w:r>
      <w:r w:rsidRPr="00976648">
        <w:rPr>
          <w:szCs w:val="22"/>
        </w:rPr>
        <w:tab/>
      </w:r>
      <w:r w:rsidRPr="001F1289">
        <w:rPr>
          <w:rFonts w:eastAsia="Arial"/>
          <w:szCs w:val="22"/>
        </w:rPr>
        <w:t xml:space="preserve">A limited waiver of sovereign immunity in the form and manner required by tribal law; and </w:t>
      </w:r>
    </w:p>
    <w:p w14:paraId="5713E4A4" w14:textId="77777777" w:rsidR="0012247F" w:rsidRPr="001F1289" w:rsidRDefault="0012247F" w:rsidP="0012247F">
      <w:pPr>
        <w:tabs>
          <w:tab w:val="left" w:pos="810"/>
        </w:tabs>
        <w:ind w:left="720" w:hanging="360"/>
        <w:jc w:val="both"/>
        <w:rPr>
          <w:rFonts w:eastAsia="Arial"/>
          <w:szCs w:val="22"/>
        </w:rPr>
      </w:pPr>
      <w:r w:rsidRPr="001F1289">
        <w:rPr>
          <w:rFonts w:eastAsia="Arial"/>
          <w:szCs w:val="22"/>
        </w:rPr>
        <w:t>3.</w:t>
      </w:r>
      <w:r w:rsidRPr="00976648">
        <w:rPr>
          <w:szCs w:val="22"/>
        </w:rPr>
        <w:tab/>
      </w:r>
      <w:r w:rsidRPr="001F1289">
        <w:rPr>
          <w:rFonts w:eastAsia="Arial"/>
          <w:szCs w:val="22"/>
        </w:rPr>
        <w:t xml:space="preserve">A resolution or other authorizing document delegating authority to execute the agreement to an appropriate individual. </w:t>
      </w:r>
    </w:p>
    <w:p w14:paraId="313743F7" w14:textId="77777777" w:rsidR="0012247F" w:rsidRPr="001F1289" w:rsidRDefault="0012247F" w:rsidP="0012247F">
      <w:pPr>
        <w:jc w:val="both"/>
        <w:rPr>
          <w:rFonts w:eastAsia="Arial"/>
          <w:szCs w:val="22"/>
        </w:rPr>
      </w:pPr>
      <w:r w:rsidRPr="001F1289">
        <w:rPr>
          <w:rFonts w:eastAsia="Arial"/>
          <w:szCs w:val="22"/>
        </w:rPr>
        <w:t xml:space="preserve">The above requirements may be provided in one or more documents. The document(s) will be included as an exhibit to the resulting grant agreement. </w:t>
      </w:r>
    </w:p>
    <w:p w14:paraId="30373326" w14:textId="77777777" w:rsidR="0012247F" w:rsidRPr="001F1289" w:rsidRDefault="0012247F" w:rsidP="0012247F">
      <w:pPr>
        <w:jc w:val="both"/>
        <w:rPr>
          <w:rFonts w:eastAsia="Arial"/>
          <w:szCs w:val="22"/>
        </w:rPr>
      </w:pPr>
      <w:r w:rsidRPr="001F1289">
        <w:rPr>
          <w:rFonts w:eastAsia="Arial"/>
          <w:szCs w:val="22"/>
        </w:rPr>
        <w:t>Delay in award. Any delay in the Tribe or Tribal Organization’s ability to provide such documentation may result in delayed award of the grant agreement.</w:t>
      </w:r>
    </w:p>
    <w:p w14:paraId="0B698D8B" w14:textId="77777777" w:rsidR="000A2A14" w:rsidRPr="002B417F" w:rsidRDefault="0012247F" w:rsidP="00A51775">
      <w:pPr>
        <w:numPr>
          <w:ilvl w:val="0"/>
          <w:numId w:val="26"/>
        </w:numPr>
        <w:spacing w:before="240"/>
        <w:jc w:val="both"/>
        <w:rPr>
          <w:b/>
          <w:bCs/>
          <w:szCs w:val="22"/>
        </w:rPr>
      </w:pPr>
      <w:r w:rsidRPr="002B417F">
        <w:rPr>
          <w:rFonts w:eastAsia="Arial"/>
          <w:b/>
          <w:bCs/>
          <w:szCs w:val="22"/>
        </w:rPr>
        <w:t>Reservation of right to cancel proposed award</w:t>
      </w:r>
    </w:p>
    <w:p w14:paraId="42E4D77C" w14:textId="41DF73F9" w:rsidR="00AD1DC2" w:rsidRPr="009E0298" w:rsidRDefault="0012247F" w:rsidP="009E0298">
      <w:pPr>
        <w:spacing w:before="240"/>
        <w:jc w:val="both"/>
        <w:rPr>
          <w:b/>
          <w:szCs w:val="22"/>
        </w:rPr>
      </w:pPr>
      <w:r w:rsidRPr="001F1289">
        <w:rPr>
          <w:rFonts w:eastAsia="Arial"/>
          <w:szCs w:val="22"/>
        </w:rPr>
        <w:lastRenderedPageBreak/>
        <w:t>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w:t>
      </w:r>
      <w:r w:rsidR="00CF2428">
        <w:rPr>
          <w:rFonts w:eastAsia="Arial"/>
          <w:szCs w:val="22"/>
        </w:rPr>
        <w:t>.</w:t>
      </w:r>
    </w:p>
    <w:p w14:paraId="1A623A05" w14:textId="3470E66F" w:rsidR="001C2D56" w:rsidRPr="001E7E6F" w:rsidRDefault="001C2D56" w:rsidP="0045263A">
      <w:pPr>
        <w:numPr>
          <w:ilvl w:val="0"/>
          <w:numId w:val="26"/>
        </w:numPr>
        <w:spacing w:before="240"/>
        <w:jc w:val="both"/>
        <w:rPr>
          <w:b/>
        </w:rPr>
      </w:pPr>
      <w:r w:rsidRPr="0045263A">
        <w:rPr>
          <w:b/>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w:t>
      </w:r>
      <w:bookmarkStart w:id="104" w:name="_Hlk127958165"/>
      <w:r>
        <w:t xml:space="preserve">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71089FEB" w:rsidR="009F702B" w:rsidRPr="009F702B" w:rsidRDefault="009F702B" w:rsidP="009E0298">
      <w:pPr>
        <w:numPr>
          <w:ilvl w:val="0"/>
          <w:numId w:val="26"/>
        </w:numPr>
        <w:spacing w:before="240"/>
        <w:jc w:val="both"/>
        <w:rPr>
          <w:b/>
        </w:rPr>
      </w:pPr>
      <w:r w:rsidRPr="009F702B">
        <w:rPr>
          <w:b/>
        </w:rPr>
        <w:t xml:space="preserve">  Disadvantaged &amp; Low-income Communities</w:t>
      </w:r>
    </w:p>
    <w:p w14:paraId="06DECA77" w14:textId="77777777" w:rsidR="009F702B" w:rsidRPr="009F702B" w:rsidRDefault="00951531" w:rsidP="009F702B">
      <w:pPr>
        <w:jc w:val="both"/>
        <w:rPr>
          <w:bCs/>
        </w:rPr>
      </w:pPr>
      <w:bookmarkStart w:id="105" w:name="_Hlk127958118"/>
      <w:r>
        <w:rPr>
          <w:bCs/>
        </w:rPr>
        <w:t>A</w:t>
      </w:r>
      <w:r w:rsidR="009F702B" w:rsidRPr="009F702B">
        <w:rPr>
          <w:bCs/>
        </w:rPr>
        <w:t xml:space="preserve">t least 25% of available Electric Program Investment Charge (EPIC) technology demonstration and deployment funding </w:t>
      </w:r>
      <w:r>
        <w:rPr>
          <w:bCs/>
        </w:rPr>
        <w:t xml:space="preserve">must </w:t>
      </w:r>
      <w:r w:rsidR="009F702B" w:rsidRPr="009F702B">
        <w:rPr>
          <w:bCs/>
        </w:rPr>
        <w:t xml:space="preserve">be allocated to project sites located in, and benefiting, disadvantaged communities; and an additional minimum 10% of funds </w:t>
      </w:r>
      <w:r>
        <w:rPr>
          <w:bCs/>
        </w:rPr>
        <w:t xml:space="preserve">must </w:t>
      </w:r>
      <w:r w:rsidR="009F702B" w:rsidRPr="009F702B">
        <w:rPr>
          <w:bCs/>
        </w:rPr>
        <w:t>be allocated to projects sites located in and benefiting low-income communities.</w:t>
      </w:r>
      <w:r>
        <w:rPr>
          <w:rStyle w:val="FootnoteReference"/>
          <w:bCs/>
        </w:rPr>
        <w:footnoteReference w:id="20"/>
      </w:r>
      <w:r w:rsidR="009F702B" w:rsidRPr="009F702B">
        <w:t xml:space="preserve"> </w:t>
      </w:r>
      <w:r w:rsidR="0081043E">
        <w:rPr>
          <w:bCs/>
        </w:rPr>
        <w:t xml:space="preserve">The Energy Commission in administering </w:t>
      </w:r>
      <w:r w:rsidR="009F702B" w:rsidRPr="009F702B">
        <w:rPr>
          <w:bCs/>
        </w:rPr>
        <w:t xml:space="preserve">EPIC </w:t>
      </w:r>
      <w:r w:rsidR="0081043E">
        <w:rPr>
          <w:bCs/>
        </w:rPr>
        <w:t xml:space="preserve">must also </w:t>
      </w:r>
      <w:r w:rsidR="009F702B" w:rsidRPr="009F702B">
        <w:rPr>
          <w:bCs/>
        </w:rPr>
        <w:t>take into account adverse localized health impacts of proposed projects to the greatest extent possible,</w:t>
      </w:r>
      <w:r w:rsidR="0081043E">
        <w:rPr>
          <w:rStyle w:val="FootnoteReference"/>
          <w:bCs/>
        </w:rPr>
        <w:footnoteReference w:id="21"/>
      </w:r>
      <w:r w:rsidR="009F702B" w:rsidRPr="009F702B">
        <w:rPr>
          <w:bCs/>
        </w:rPr>
        <w:t xml:space="preserve"> and give preference for funding to clean energy projects that benefit residents of low-income or disadvantaged communities.</w:t>
      </w:r>
      <w:r w:rsidR="0081043E">
        <w:rPr>
          <w:rStyle w:val="FootnoteReference"/>
          <w:bCs/>
        </w:rPr>
        <w:footnoteReference w:id="22"/>
      </w:r>
    </w:p>
    <w:p w14:paraId="2E4048FE" w14:textId="3CD9522F" w:rsidR="00CA5819" w:rsidRDefault="00CA5819" w:rsidP="006116A3">
      <w:pPr>
        <w:spacing w:after="0"/>
        <w:jc w:val="both"/>
      </w:pPr>
      <w:r w:rsidRPr="00CA5819">
        <w:t xml:space="preserve">The California Energy Commission is committed to ensuring all Californians have an opportunity to participate in and benefit from programs and services. </w:t>
      </w:r>
      <w:r w:rsidR="005F4D25">
        <w:t>[</w:t>
      </w:r>
      <w:r w:rsidRPr="005F4D25">
        <w:rPr>
          <w:strike/>
        </w:rPr>
        <w:t>While it is not</w:t>
      </w:r>
      <w:r w:rsidR="005F4D25">
        <w:t>]</w:t>
      </w:r>
      <w:r w:rsidRPr="00CA5819">
        <w:t xml:space="preserve"> </w:t>
      </w:r>
      <w:r w:rsidR="005F4D25" w:rsidRPr="005F4D25">
        <w:rPr>
          <w:b/>
          <w:bCs/>
          <w:u w:val="single"/>
        </w:rPr>
        <w:t>It is</w:t>
      </w:r>
      <w:r w:rsidR="005F4D25">
        <w:rPr>
          <w:b/>
          <w:bCs/>
        </w:rPr>
        <w:t xml:space="preserve"> </w:t>
      </w:r>
      <w:r w:rsidRPr="00CA5819">
        <w:t>required that Group 1 and Group 2 projects complete the demonstration within a DAC/LIC and/or Tribe</w:t>
      </w:r>
      <w:r w:rsidR="005F4D25" w:rsidRPr="005F4D25">
        <w:rPr>
          <w:b/>
          <w:bCs/>
        </w:rPr>
        <w:t>.[</w:t>
      </w:r>
      <w:r w:rsidRPr="005F4D25">
        <w:rPr>
          <w:b/>
          <w:bCs/>
          <w:strike/>
        </w:rPr>
        <w:t>, demonstration projects located and benefiting DACs/LICs and/or Tribes will be eligible for preference points under the scoring criteria for this GFO.</w:t>
      </w:r>
      <w:r w:rsidR="005F4D25" w:rsidRPr="005F4D25">
        <w:rPr>
          <w:b/>
          <w:bCs/>
        </w:rPr>
        <w:t>]</w:t>
      </w:r>
    </w:p>
    <w:bookmarkEnd w:id="105"/>
    <w:p w14:paraId="08AD770E" w14:textId="77777777" w:rsidR="00CA5819" w:rsidRDefault="00CA5819" w:rsidP="006116A3">
      <w:pPr>
        <w:spacing w:after="0"/>
        <w:jc w:val="both"/>
      </w:pPr>
    </w:p>
    <w:p w14:paraId="2072CD1A" w14:textId="733D1076" w:rsidR="009F702B" w:rsidRPr="009F702B" w:rsidRDefault="00541B38" w:rsidP="006116A3">
      <w:pPr>
        <w:spacing w:after="0"/>
        <w:jc w:val="both"/>
      </w:pPr>
      <w:r w:rsidRPr="00541B38">
        <w:t xml:space="preserve">Disadvantaged Communities are those designated pursuant to Health and Safety Code section 39711 as representing the 25% highest scoring census tracts in </w:t>
      </w:r>
      <w:proofErr w:type="spellStart"/>
      <w:r w:rsidRPr="00541B38">
        <w:t>CalEnviroScreen</w:t>
      </w:r>
      <w:proofErr w:type="spellEnd"/>
      <w:r w:rsidRPr="00541B38">
        <w:t xml:space="preserve"> or other areas with high amounts of pollution and low populations as identified by CalEPA.  Please see https://calepa.ca.gov/envjustice/ghginvest/ for the most current CalEPA designations. </w:t>
      </w:r>
    </w:p>
    <w:p w14:paraId="6F331A4F" w14:textId="77777777" w:rsidR="009F702B" w:rsidRPr="009F702B" w:rsidRDefault="009F702B" w:rsidP="006116A3">
      <w:pPr>
        <w:autoSpaceDE w:val="0"/>
        <w:autoSpaceDN w:val="0"/>
        <w:adjustRightInd w:val="0"/>
        <w:spacing w:after="0"/>
        <w:jc w:val="both"/>
      </w:pPr>
    </w:p>
    <w:bookmarkEnd w:id="104"/>
    <w:p w14:paraId="16854DED" w14:textId="77777777" w:rsidR="009F702B" w:rsidRPr="009F702B" w:rsidRDefault="009F702B" w:rsidP="009F702B">
      <w:pPr>
        <w:shd w:val="clear" w:color="auto" w:fill="FFFFFF"/>
        <w:jc w:val="both"/>
        <w:textAlignment w:val="baseline"/>
      </w:pPr>
      <w:r w:rsidRPr="009F702B">
        <w:t>“Low-income communities” are defined as communities within census tracts with median household incomes at or below either of the following levels:</w:t>
      </w:r>
    </w:p>
    <w:p w14:paraId="130B2F14" w14:textId="77777777" w:rsidR="009F702B" w:rsidRPr="009F702B" w:rsidRDefault="009F702B">
      <w:pPr>
        <w:numPr>
          <w:ilvl w:val="0"/>
          <w:numId w:val="57"/>
        </w:numPr>
        <w:shd w:val="clear" w:color="auto" w:fill="FFFFFF"/>
        <w:jc w:val="both"/>
        <w:textAlignment w:val="baseline"/>
      </w:pPr>
      <w:r w:rsidRPr="009F702B">
        <w:t>Eighty percent of the statewide median income.</w:t>
      </w:r>
    </w:p>
    <w:p w14:paraId="2F19CBA9" w14:textId="77777777" w:rsidR="009F702B" w:rsidRPr="009F702B" w:rsidRDefault="009F702B">
      <w:pPr>
        <w:numPr>
          <w:ilvl w:val="0"/>
          <w:numId w:val="57"/>
        </w:numPr>
        <w:shd w:val="clear" w:color="auto" w:fill="FFFFFF"/>
        <w:jc w:val="both"/>
        <w:textAlignment w:val="baseline"/>
      </w:pPr>
      <w:r w:rsidRPr="009F702B">
        <w:lastRenderedPageBreak/>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331E6D4E" w:rsidR="006116A3" w:rsidRDefault="006116A3" w:rsidP="006116A3">
      <w:pPr>
        <w:spacing w:after="0"/>
        <w:jc w:val="both"/>
      </w:pPr>
      <w:r>
        <w:t>Visit the California Department of Housing &amp; Community Development site for the current HCD State Income Limits</w:t>
      </w:r>
      <w:r w:rsidR="006558A6">
        <w:t xml:space="preserve"> at</w:t>
      </w:r>
      <w:r>
        <w:t xml:space="preserve">: http://www.hcd.ca.gov/grants-funding/income-limits/index.shtml.  Disadvantaged communities are defined as areas representing census tracts scoring in the top 25% in </w:t>
      </w:r>
      <w:proofErr w:type="spellStart"/>
      <w:r>
        <w:t>CalEnviroScreen</w:t>
      </w:r>
      <w:proofErr w:type="spellEnd"/>
      <w:r>
        <w:t>. For more information on disadvantaged communities and to determine if your project is in a disadvantaged community, use the California Communities Environmental Health Screening tool (</w:t>
      </w:r>
      <w:proofErr w:type="spellStart"/>
      <w:r>
        <w:t>CalEnviroScreen</w:t>
      </w:r>
      <w:proofErr w:type="spellEnd"/>
      <w:r>
        <w:t>)</w:t>
      </w:r>
      <w:r w:rsidR="00974E41">
        <w:t xml:space="preserve"> at</w:t>
      </w:r>
      <w:r>
        <w:t>:</w:t>
      </w:r>
    </w:p>
    <w:p w14:paraId="1E8AC26B" w14:textId="0429A346" w:rsidR="009F702B" w:rsidRPr="009F702B" w:rsidRDefault="006116A3" w:rsidP="006116A3">
      <w:pPr>
        <w:spacing w:after="0"/>
        <w:jc w:val="both"/>
        <w:rPr>
          <w:rFonts w:cs="Times New Roman"/>
          <w:bCs/>
        </w:rPr>
      </w:pPr>
      <w:r>
        <w:t>https://oehha.ca.gov/calenviroscreen/report/calenviroscreen-</w:t>
      </w:r>
      <w:r w:rsidR="00C43F0B">
        <w:t>4</w:t>
      </w:r>
      <w:r>
        <w:t>0</w:t>
      </w:r>
    </w:p>
    <w:p w14:paraId="4C514854" w14:textId="77777777" w:rsidR="009F702B" w:rsidRPr="009F702B" w:rsidRDefault="009F702B" w:rsidP="009F702B">
      <w:pPr>
        <w:spacing w:after="0"/>
        <w:jc w:val="both"/>
        <w:rPr>
          <w:rFonts w:cs="Times New Roman"/>
          <w:bCs/>
        </w:rPr>
      </w:pPr>
    </w:p>
    <w:p w14:paraId="6550A6F7" w14:textId="77777777" w:rsidR="009F702B" w:rsidRPr="009F702B" w:rsidRDefault="009F702B" w:rsidP="009F702B">
      <w:pPr>
        <w:jc w:val="both"/>
        <w:rPr>
          <w:bCs/>
        </w:rPr>
      </w:pPr>
      <w:r w:rsidRPr="009F702B">
        <w:rPr>
          <w:rFonts w:cs="Times New Roman"/>
          <w:bCs/>
        </w:rPr>
        <w:t>Another resource is the Healthy Places Index Tool for California, located at: https://healthyplacesindex.org/</w:t>
      </w:r>
      <w:r w:rsidRPr="009F702B">
        <w:rPr>
          <w:bCs/>
        </w:rPr>
        <w:t xml:space="preserve"> </w:t>
      </w:r>
    </w:p>
    <w:p w14:paraId="62223383" w14:textId="77777777" w:rsidR="0081409B" w:rsidRPr="00C31C1D" w:rsidRDefault="0081409B" w:rsidP="00A10CB4">
      <w:pPr>
        <w:jc w:val="both"/>
        <w:rPr>
          <w:szCs w:val="22"/>
        </w:rPr>
      </w:pPr>
    </w:p>
    <w:p w14:paraId="551F0400" w14:textId="77777777" w:rsidR="005E52CD" w:rsidRPr="00CF6DED" w:rsidRDefault="001C2D56">
      <w:pPr>
        <w:pStyle w:val="Heading2"/>
        <w:numPr>
          <w:ilvl w:val="0"/>
          <w:numId w:val="54"/>
        </w:numPr>
      </w:pPr>
      <w:bookmarkStart w:id="106" w:name="_Toc336443620"/>
      <w:bookmarkStart w:id="107" w:name="_Toc366671175"/>
      <w:bookmarkStart w:id="108" w:name="_Toc87335021"/>
      <w:bookmarkStart w:id="109" w:name="PrjReq"/>
      <w:r w:rsidRPr="00CF6DED">
        <w:t>Project</w:t>
      </w:r>
      <w:bookmarkEnd w:id="106"/>
      <w:bookmarkEnd w:id="107"/>
      <w:r w:rsidRPr="00CF6DED">
        <w:t xml:space="preserve"> Requirements</w:t>
      </w:r>
      <w:bookmarkEnd w:id="108"/>
    </w:p>
    <w:p w14:paraId="21E964EB" w14:textId="348AB920" w:rsidR="0067542B" w:rsidRPr="00271C59" w:rsidRDefault="0067542B" w:rsidP="00A51775">
      <w:pPr>
        <w:numPr>
          <w:ilvl w:val="0"/>
          <w:numId w:val="25"/>
        </w:numPr>
        <w:ind w:left="720"/>
        <w:jc w:val="both"/>
        <w:rPr>
          <w:b/>
          <w:szCs w:val="22"/>
        </w:rPr>
      </w:pPr>
      <w:bookmarkStart w:id="110" w:name="_Toc433981307"/>
      <w:bookmarkEnd w:id="109"/>
      <w:r w:rsidRPr="00271C59">
        <w:rPr>
          <w:b/>
          <w:szCs w:val="22"/>
        </w:rPr>
        <w:t>Technology Demonstration and Deployment</w:t>
      </w:r>
      <w:r w:rsidR="00BC1D04" w:rsidRPr="00271C59">
        <w:rPr>
          <w:b/>
          <w:szCs w:val="22"/>
        </w:rPr>
        <w:t xml:space="preserve"> </w:t>
      </w:r>
      <w:r w:rsidRPr="00271C59">
        <w:rPr>
          <w:b/>
          <w:szCs w:val="22"/>
        </w:rPr>
        <w:t>Stage</w:t>
      </w:r>
    </w:p>
    <w:p w14:paraId="31AD684F" w14:textId="77777777" w:rsidR="00ED5203" w:rsidRPr="00271C59" w:rsidRDefault="00ED5203" w:rsidP="00FC3827">
      <w:pPr>
        <w:ind w:left="720"/>
      </w:pPr>
      <w:bookmarkStart w:id="111" w:name="_Toc395180684"/>
      <w:bookmarkStart w:id="112" w:name="_Toc433981311"/>
      <w:bookmarkEnd w:id="110"/>
      <w:r w:rsidRPr="00271C59">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271C59">
        <w:rPr>
          <w:rStyle w:val="FootnoteReference"/>
          <w:b/>
          <w:szCs w:val="22"/>
        </w:rPr>
        <w:footnoteReference w:id="23"/>
      </w:r>
      <w:bookmarkEnd w:id="111"/>
      <w:bookmarkEnd w:id="112"/>
      <w:r w:rsidRPr="00271C59">
        <w:t xml:space="preserve"> </w:t>
      </w:r>
    </w:p>
    <w:p w14:paraId="6E414F88" w14:textId="424422AE" w:rsidR="001D15BA" w:rsidRPr="00271C59" w:rsidRDefault="008D3624" w:rsidP="00A51775">
      <w:pPr>
        <w:numPr>
          <w:ilvl w:val="0"/>
          <w:numId w:val="25"/>
        </w:numPr>
        <w:ind w:left="720"/>
        <w:jc w:val="both"/>
      </w:pPr>
      <w:bookmarkStart w:id="113" w:name="TechKnow"/>
      <w:bookmarkStart w:id="114" w:name="_Toc395180693"/>
      <w:bookmarkStart w:id="115" w:name="_Toc433981322"/>
      <w:bookmarkStart w:id="116" w:name="_Toc381079922"/>
      <w:bookmarkStart w:id="117" w:name="_Toc382571183"/>
      <w:bookmarkStart w:id="118" w:name="_Toc366671176"/>
      <w:r w:rsidRPr="00271C59">
        <w:rPr>
          <w:b/>
        </w:rPr>
        <w:t>Technology Transfer Expenditures</w:t>
      </w:r>
      <w:bookmarkEnd w:id="113"/>
    </w:p>
    <w:p w14:paraId="5A950792" w14:textId="7AEB2C59" w:rsidR="001D15BA" w:rsidRPr="00271C59" w:rsidRDefault="008D3624" w:rsidP="00AE1140">
      <w:pPr>
        <w:pStyle w:val="HeadingNew1"/>
        <w:numPr>
          <w:ilvl w:val="0"/>
          <w:numId w:val="0"/>
        </w:numPr>
        <w:ind w:left="720"/>
        <w:rPr>
          <w:b w:val="0"/>
        </w:rPr>
      </w:pPr>
      <w:r w:rsidRPr="00271C59">
        <w:rPr>
          <w:b w:val="0"/>
        </w:rPr>
        <w:t xml:space="preserve">To maximize the impact of EPIC projects and to promote the further development and deployment of EPIC-funded technologies, a minimum of 5 percent of </w:t>
      </w:r>
      <w:r w:rsidR="008F4A0E" w:rsidRPr="00271C59">
        <w:rPr>
          <w:b w:val="0"/>
        </w:rPr>
        <w:t>CEC</w:t>
      </w:r>
      <w:r w:rsidRPr="00271C59">
        <w:rPr>
          <w:b w:val="0"/>
        </w:rPr>
        <w:t xml:space="preserve"> funds requested should go towards </w:t>
      </w:r>
      <w:r w:rsidRPr="00271C59">
        <w:rPr>
          <w:b w:val="0"/>
          <w:szCs w:val="20"/>
        </w:rPr>
        <w:t>technology</w:t>
      </w:r>
      <w:r w:rsidRPr="00271C59">
        <w:rPr>
          <w:b w:val="0"/>
        </w:rPr>
        <w:t xml:space="preserve"> transfer activities. Appropriate </w:t>
      </w:r>
      <w:r w:rsidRPr="00271C59">
        <w:rPr>
          <w:b w:val="0"/>
          <w:szCs w:val="20"/>
        </w:rPr>
        <w:t>technology</w:t>
      </w:r>
      <w:r w:rsidRPr="00271C59">
        <w:rPr>
          <w:b w:val="0"/>
        </w:rPr>
        <w:t xml:space="preserve"> transfer activities for this solicitation are listed in the Scope of Work Template (Attachment). The Budget Forms (Attachment) should clearly distinguish funds dedicated for </w:t>
      </w:r>
      <w:r w:rsidRPr="00271C59">
        <w:rPr>
          <w:b w:val="0"/>
          <w:szCs w:val="20"/>
        </w:rPr>
        <w:t>technology</w:t>
      </w:r>
      <w:r w:rsidRPr="00271C59">
        <w:rPr>
          <w:b w:val="0"/>
        </w:rPr>
        <w:t xml:space="preserve"> transfer.</w:t>
      </w:r>
    </w:p>
    <w:p w14:paraId="22504CEC" w14:textId="77777777" w:rsidR="001D15BA" w:rsidRPr="00271C59" w:rsidRDefault="001D15BA" w:rsidP="005332F2">
      <w:pPr>
        <w:pStyle w:val="HeadingNew1"/>
        <w:numPr>
          <w:ilvl w:val="0"/>
          <w:numId w:val="0"/>
        </w:numPr>
        <w:ind w:left="990" w:hanging="360"/>
        <w:rPr>
          <w:b w:val="0"/>
        </w:rPr>
      </w:pPr>
    </w:p>
    <w:p w14:paraId="7DA3CE40" w14:textId="07E4A12E" w:rsidR="001C2D56" w:rsidRPr="00271C59" w:rsidRDefault="001C2D56" w:rsidP="005F4D25">
      <w:pPr>
        <w:numPr>
          <w:ilvl w:val="0"/>
          <w:numId w:val="25"/>
        </w:numPr>
        <w:ind w:left="720"/>
        <w:jc w:val="both"/>
        <w:rPr>
          <w:b/>
        </w:rPr>
      </w:pPr>
      <w:bookmarkStart w:id="119" w:name="MandV"/>
      <w:r w:rsidRPr="005F4D25">
        <w:rPr>
          <w:b/>
        </w:rPr>
        <w:t>Measurement and Verification Plan</w:t>
      </w:r>
      <w:bookmarkEnd w:id="114"/>
      <w:bookmarkEnd w:id="115"/>
      <w:bookmarkEnd w:id="116"/>
      <w:bookmarkEnd w:id="117"/>
      <w:bookmarkEnd w:id="119"/>
    </w:p>
    <w:p w14:paraId="102C6942" w14:textId="1A23D72E" w:rsidR="00D157D1" w:rsidRPr="00271C59" w:rsidRDefault="00D157D1" w:rsidP="00D157D1">
      <w:pPr>
        <w:ind w:left="720"/>
      </w:pPr>
      <w:bookmarkStart w:id="120" w:name="_Toc381079923"/>
      <w:bookmarkStart w:id="121" w:name="_Toc382571184"/>
      <w:bookmarkStart w:id="122" w:name="_Toc395180694"/>
      <w:bookmarkStart w:id="123" w:name="_Toc433981323"/>
      <w:r w:rsidRPr="00271C59">
        <w:t>The Project Narrative (Attachment) must include a Measurement and Verification Plan that describes how actual project benefits will be measured and quantified, such as by pre</w:t>
      </w:r>
      <w:r w:rsidR="00011FF1" w:rsidRPr="00271C59">
        <w:t>-</w:t>
      </w:r>
      <w:r w:rsidRPr="00271C59">
        <w:t xml:space="preserve"> and post-project energy use (kilowatt hours, kilowatts), water use (million gallons), and cost savings for energy, water, and other benefits.</w:t>
      </w:r>
      <w:bookmarkEnd w:id="120"/>
      <w:r w:rsidRPr="00271C59">
        <w:t xml:space="preserve"> The activities proposed in the Measurement and Verification Plan must be included in the “Technical Tasks” section of the Scope of Work Template (Attachment) </w:t>
      </w:r>
      <w:bookmarkEnd w:id="121"/>
      <w:bookmarkEnd w:id="122"/>
      <w:bookmarkEnd w:id="123"/>
    </w:p>
    <w:p w14:paraId="12CED422" w14:textId="77777777" w:rsidR="005161B8" w:rsidRPr="00271C59" w:rsidRDefault="005161B8" w:rsidP="00D157D1">
      <w:pPr>
        <w:ind w:left="720"/>
        <w:rPr>
          <w:b/>
          <w:szCs w:val="22"/>
        </w:rPr>
      </w:pPr>
    </w:p>
    <w:p w14:paraId="23ACD6F3" w14:textId="0343396F" w:rsidR="005161B8" w:rsidRPr="005F4D25" w:rsidRDefault="005161B8" w:rsidP="005F4D25">
      <w:pPr>
        <w:numPr>
          <w:ilvl w:val="0"/>
          <w:numId w:val="25"/>
        </w:numPr>
        <w:ind w:left="720"/>
        <w:jc w:val="both"/>
        <w:rPr>
          <w:b/>
        </w:rPr>
      </w:pPr>
      <w:r w:rsidRPr="005F4D25">
        <w:rPr>
          <w:b/>
        </w:rPr>
        <w:t>Community Based Organizations</w:t>
      </w:r>
      <w:r w:rsidR="00084BDE" w:rsidRPr="005F4D25">
        <w:rPr>
          <w:b/>
        </w:rPr>
        <w:t xml:space="preserve"> and/or Tribal Engagement</w:t>
      </w:r>
    </w:p>
    <w:p w14:paraId="38BEDD67" w14:textId="464B62CA" w:rsidR="009F702B" w:rsidRPr="00271C59" w:rsidRDefault="00D52F10" w:rsidP="009F702B">
      <w:pPr>
        <w:ind w:left="720"/>
      </w:pPr>
      <w:bookmarkStart w:id="124" w:name="_Toc366671177"/>
      <w:bookmarkEnd w:id="118"/>
      <w:r w:rsidRPr="00271C59">
        <w:t xml:space="preserve">In </w:t>
      </w:r>
      <w:r w:rsidR="009F702B" w:rsidRPr="00271C59">
        <w:t>TD&amp;D solicitations with set aside funding for proposed projects located in and benefiting low-income</w:t>
      </w:r>
      <w:r w:rsidR="00674E60" w:rsidRPr="00271C59">
        <w:t>,</w:t>
      </w:r>
      <w:r w:rsidR="009F702B" w:rsidRPr="00271C59">
        <w:t xml:space="preserve"> disadvantaged communities within IOU service territories, the </w:t>
      </w:r>
      <w:r w:rsidR="009F702B" w:rsidRPr="00271C59">
        <w:lastRenderedPageBreak/>
        <w:t>project must allocate appropriate funding for CBO</w:t>
      </w:r>
      <w:r w:rsidR="00674E60" w:rsidRPr="00271C59">
        <w:t xml:space="preserve"> and/or tribal</w:t>
      </w:r>
      <w:r w:rsidR="009F702B" w:rsidRPr="00271C59">
        <w:t xml:space="preserve"> engagement for relevant tasks under the scope of work. </w:t>
      </w:r>
    </w:p>
    <w:p w14:paraId="0D4089F2" w14:textId="5519C43C" w:rsidR="009F702B" w:rsidRDefault="001C1B5C" w:rsidP="009F702B">
      <w:pPr>
        <w:shd w:val="clear" w:color="auto" w:fill="FFFFFF"/>
        <w:ind w:left="720"/>
        <w:jc w:val="both"/>
        <w:textAlignment w:val="baseline"/>
      </w:pPr>
      <w:r w:rsidRPr="00271C59">
        <w:t>The CBO</w:t>
      </w:r>
      <w:r w:rsidR="009F702B" w:rsidRPr="00271C59">
        <w:t xml:space="preserve"> </w:t>
      </w:r>
      <w:r w:rsidR="009F702B">
        <w:t>should meet, and will be evaluated on the following criteria for this solicitation:</w:t>
      </w:r>
    </w:p>
    <w:p w14:paraId="7FF8AE00" w14:textId="77777777" w:rsidR="009F702B" w:rsidRPr="00134D98" w:rsidRDefault="009F702B" w:rsidP="00134D98">
      <w:pPr>
        <w:pStyle w:val="ListParagraph"/>
        <w:numPr>
          <w:ilvl w:val="0"/>
          <w:numId w:val="58"/>
        </w:numPr>
        <w:spacing w:after="200" w:line="23" w:lineRule="atLeast"/>
      </w:pPr>
      <w:r>
        <w:t>Has an office in the region (e.g., air basin or county) and meets the demographic profile of the communities they serve.</w:t>
      </w:r>
    </w:p>
    <w:p w14:paraId="023832D6" w14:textId="79A787FD" w:rsidR="009F702B" w:rsidRDefault="009F702B" w:rsidP="00134D98">
      <w:pPr>
        <w:pStyle w:val="ListParagraph"/>
        <w:numPr>
          <w:ilvl w:val="0"/>
          <w:numId w:val="58"/>
        </w:numPr>
        <w:spacing w:after="200" w:line="23" w:lineRule="atLeast"/>
        <w:contextualSpacing/>
        <w:rPr>
          <w:strike/>
        </w:rPr>
      </w:pPr>
      <w:r>
        <w:t xml:space="preserve">Has deployed projects and/or outreach efforts within the region (e.g., air basin or county) of the proposed disadvantaged or low-income community. </w:t>
      </w:r>
    </w:p>
    <w:p w14:paraId="374D6574" w14:textId="50E46D1B" w:rsidR="00567F17" w:rsidRDefault="001D6C2A" w:rsidP="00134D98">
      <w:pPr>
        <w:shd w:val="clear" w:color="auto" w:fill="FFFFFF"/>
        <w:tabs>
          <w:tab w:val="left" w:pos="1350"/>
        </w:tabs>
        <w:spacing w:after="200" w:line="23" w:lineRule="atLeast"/>
        <w:ind w:left="1080" w:hanging="360"/>
        <w:jc w:val="both"/>
        <w:textAlignment w:val="baseline"/>
      </w:pPr>
      <w:r w:rsidRPr="00D21560">
        <w:rPr>
          <w:b/>
          <w:bCs/>
          <w:u w:val="single"/>
        </w:rPr>
        <w:t>3</w:t>
      </w:r>
      <w:r w:rsidR="00542822" w:rsidRPr="00D21560">
        <w:rPr>
          <w:b/>
          <w:bCs/>
          <w:u w:val="single"/>
        </w:rPr>
        <w:t>.</w:t>
      </w:r>
      <w:r w:rsidR="00A31BD8" w:rsidRPr="001B66EF">
        <w:rPr>
          <w:b/>
          <w:bCs/>
        </w:rPr>
        <w:tab/>
      </w:r>
      <w:r w:rsidR="00AF2584">
        <w:t>[</w:t>
      </w:r>
      <w:r w:rsidR="00AF2584" w:rsidRPr="001D6C2A">
        <w:rPr>
          <w:strike/>
        </w:rPr>
        <w:t>1</w:t>
      </w:r>
      <w:r w:rsidR="00AF2584">
        <w:t xml:space="preserve">] </w:t>
      </w:r>
      <w:r w:rsidR="009F702B">
        <w:t xml:space="preserve">Have official mission and vision statements that expressly identifies serving disadvantaged and/or low-income communities. </w:t>
      </w:r>
    </w:p>
    <w:p w14:paraId="7B3F4002" w14:textId="539D852F" w:rsidR="008A7803" w:rsidRPr="008A7803" w:rsidRDefault="00542822" w:rsidP="00134D98">
      <w:pPr>
        <w:shd w:val="clear" w:color="auto" w:fill="FFFFFF" w:themeFill="background1"/>
        <w:tabs>
          <w:tab w:val="left" w:pos="1350"/>
        </w:tabs>
        <w:spacing w:after="200" w:line="23" w:lineRule="atLeast"/>
        <w:ind w:left="1080" w:hanging="360"/>
        <w:jc w:val="both"/>
        <w:textAlignment w:val="baseline"/>
      </w:pPr>
      <w:r w:rsidRPr="00953B1E">
        <w:rPr>
          <w:b/>
          <w:bCs/>
          <w:u w:val="single"/>
        </w:rPr>
        <w:t>4</w:t>
      </w:r>
      <w:r w:rsidRPr="00953B1E">
        <w:rPr>
          <w:u w:val="single"/>
        </w:rPr>
        <w:t>.</w:t>
      </w:r>
      <w:r w:rsidR="00A31BD8" w:rsidRPr="00953B1E">
        <w:tab/>
      </w:r>
      <w:r w:rsidR="00C93485" w:rsidRPr="00953B1E">
        <w:t>[</w:t>
      </w:r>
      <w:r w:rsidR="007D02F7" w:rsidRPr="00542822">
        <w:rPr>
          <w:strike/>
        </w:rPr>
        <w:t>2</w:t>
      </w:r>
      <w:r w:rsidR="007D02F7">
        <w:t xml:space="preserve">] </w:t>
      </w:r>
      <w:r w:rsidR="009F702B">
        <w:t>Currently employs staff member(s) who specialized in and are dedicated to diversity, or equity, or inclusion, or is a 501(c)(3) non-profit.</w:t>
      </w:r>
    </w:p>
    <w:p w14:paraId="33DA6F39" w14:textId="48DAF57B" w:rsidR="008A7803" w:rsidRDefault="008A7803" w:rsidP="001B66EF">
      <w:pPr>
        <w:shd w:val="clear" w:color="auto" w:fill="FFFFFF"/>
        <w:spacing w:after="200" w:line="23" w:lineRule="atLeast"/>
        <w:jc w:val="both"/>
        <w:textAlignment w:val="baseline"/>
      </w:pPr>
    </w:p>
    <w:p w14:paraId="266CA25E" w14:textId="067C71BD" w:rsidR="001C2D56" w:rsidRPr="008A7803" w:rsidRDefault="008A7803" w:rsidP="00682F96">
      <w:pPr>
        <w:shd w:val="clear" w:color="auto" w:fill="FFFFFF"/>
        <w:spacing w:after="0"/>
        <w:jc w:val="both"/>
        <w:textAlignment w:val="baseline"/>
        <w:rPr>
          <w:szCs w:val="22"/>
        </w:rPr>
      </w:pPr>
      <w:r w:rsidRPr="008A7803">
        <w:t xml:space="preserve">For projects located in and benefitting Tribes, the Tribe must be included on the project team and within the project budget. </w:t>
      </w:r>
      <w:r w:rsidR="001C2D56" w:rsidRPr="00D328D4">
        <w:br w:type="page"/>
      </w:r>
      <w:bookmarkEnd w:id="92"/>
      <w:bookmarkEnd w:id="93"/>
      <w:bookmarkEnd w:id="94"/>
      <w:bookmarkEnd w:id="95"/>
      <w:bookmarkEnd w:id="124"/>
    </w:p>
    <w:p w14:paraId="309DBC47" w14:textId="77777777" w:rsidR="0061342D" w:rsidRDefault="001C2D56" w:rsidP="0061342D">
      <w:pPr>
        <w:pStyle w:val="Heading1"/>
        <w:keepLines w:val="0"/>
        <w:spacing w:before="0" w:after="120"/>
        <w:jc w:val="both"/>
      </w:pPr>
      <w:bookmarkStart w:id="125" w:name="_Toc12770892"/>
      <w:bookmarkStart w:id="126" w:name="_Toc219275109"/>
      <w:bookmarkStart w:id="127" w:name="_Toc336443626"/>
      <w:bookmarkStart w:id="128" w:name="_Toc366671182"/>
      <w:bookmarkStart w:id="129" w:name="_Toc87335022"/>
      <w:bookmarkStart w:id="130" w:name="_Toc219275098"/>
      <w:r w:rsidRPr="00C31C1D">
        <w:lastRenderedPageBreak/>
        <w:t>III.</w:t>
      </w:r>
      <w:r w:rsidRPr="00C31C1D">
        <w:tab/>
      </w:r>
      <w:bookmarkEnd w:id="125"/>
      <w:r w:rsidRPr="00C31C1D">
        <w:t xml:space="preserve">Application Organization and Submission </w:t>
      </w:r>
      <w:bookmarkEnd w:id="126"/>
      <w:bookmarkEnd w:id="127"/>
      <w:bookmarkEnd w:id="128"/>
      <w:r w:rsidRPr="00C31C1D">
        <w:t>Instructions</w:t>
      </w:r>
      <w:bookmarkEnd w:id="129"/>
    </w:p>
    <w:p w14:paraId="2E4CB840" w14:textId="77777777" w:rsidR="001C2D56" w:rsidRPr="00CF6DED" w:rsidRDefault="001C2D56">
      <w:pPr>
        <w:pStyle w:val="Heading2"/>
        <w:numPr>
          <w:ilvl w:val="0"/>
          <w:numId w:val="55"/>
        </w:numPr>
      </w:pPr>
      <w:bookmarkStart w:id="131" w:name="_Toc201713573"/>
      <w:bookmarkStart w:id="132" w:name="_Toc87335023"/>
      <w:bookmarkStart w:id="133" w:name="_Toc219275111"/>
      <w:bookmarkStart w:id="134" w:name="_Toc336443628"/>
      <w:bookmarkStart w:id="135" w:name="_Toc366671184"/>
      <w:r w:rsidRPr="00CF6DED">
        <w:t>Application Format</w:t>
      </w:r>
      <w:bookmarkEnd w:id="131"/>
      <w:r w:rsidRPr="00CF6DED">
        <w:t>, Page Limits, and Number of Copies</w:t>
      </w:r>
      <w:bookmarkEnd w:id="132"/>
      <w:r w:rsidRPr="00CF6DED">
        <w:t xml:space="preserve"> </w:t>
      </w:r>
      <w:bookmarkEnd w:id="133"/>
      <w:bookmarkEnd w:id="134"/>
      <w:bookmarkEnd w:id="135"/>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2A7931">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0B5232">
            <w:pPr>
              <w:numPr>
                <w:ilvl w:val="0"/>
                <w:numId w:val="13"/>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2A7931">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734C0C">
            <w:pPr>
              <w:numPr>
                <w:ilvl w:val="1"/>
                <w:numId w:val="14"/>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pPr>
        <w:pStyle w:val="Heading2"/>
        <w:numPr>
          <w:ilvl w:val="0"/>
          <w:numId w:val="55"/>
        </w:numPr>
      </w:pPr>
      <w:bookmarkStart w:id="136" w:name="_Toc428191083"/>
      <w:bookmarkStart w:id="137" w:name="_Toc87335024"/>
      <w:bookmarkStart w:id="138" w:name="_Toc201713575"/>
      <w:bookmarkStart w:id="139" w:name="_Toc219275113"/>
      <w:bookmarkStart w:id="140" w:name="_Toc336443630"/>
      <w:bookmarkStart w:id="141" w:name="_Toc366671186"/>
      <w:r w:rsidRPr="00CF6DED">
        <w:t>Method For Delivery</w:t>
      </w:r>
      <w:bookmarkEnd w:id="136"/>
      <w:bookmarkEnd w:id="137"/>
    </w:p>
    <w:p w14:paraId="758B6A49" w14:textId="5D04E09C" w:rsidR="0090258A" w:rsidRDefault="0090258A" w:rsidP="00387A14">
      <w:pPr>
        <w:keepNext/>
        <w:jc w:val="both"/>
        <w:rPr>
          <w:b/>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0616F23">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w:t>
      </w:r>
      <w:r>
        <w:lastRenderedPageBreak/>
        <w:t xml:space="preserve">originally provided in the solicitation in another format.  Attachments requiring signatures may be scanned and submitted in PDF format.  Completed Budget Forms, </w:t>
      </w:r>
      <w:r w:rsidR="0084752E">
        <w:t>(</w:t>
      </w:r>
      <w:r w:rsidRPr="001212D2">
        <w:t>Attachment</w:t>
      </w:r>
      <w:r w:rsidR="0084752E">
        <w:t>)</w:t>
      </w:r>
      <w:r w:rsidRPr="001212D2">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pPr>
        <w:pStyle w:val="Heading2"/>
        <w:numPr>
          <w:ilvl w:val="0"/>
          <w:numId w:val="55"/>
        </w:numPr>
      </w:pPr>
      <w:bookmarkStart w:id="142" w:name="_Toc87335025"/>
      <w:bookmarkStart w:id="143" w:name="_Toc219275114"/>
      <w:bookmarkStart w:id="144" w:name="_Toc336443632"/>
      <w:bookmarkStart w:id="145" w:name="_Toc366671188"/>
      <w:bookmarkEnd w:id="138"/>
      <w:bookmarkEnd w:id="139"/>
      <w:bookmarkEnd w:id="140"/>
      <w:bookmarkEnd w:id="141"/>
      <w:r w:rsidRPr="00CF6DED">
        <w:t>Application Content</w:t>
      </w:r>
      <w:bookmarkEnd w:id="142"/>
    </w:p>
    <w:p w14:paraId="16F31403" w14:textId="5B34620E" w:rsidR="001C2D56" w:rsidRPr="00C31C1D" w:rsidRDefault="001C2D56" w:rsidP="0034260F">
      <w:bookmarkStart w:id="146" w:name="_Toc381079929"/>
      <w:bookmarkStart w:id="147" w:name="_Toc382571192"/>
      <w:bookmarkStart w:id="148" w:name="_Toc395180702"/>
      <w:bookmarkStart w:id="149" w:name="_Toc433981331"/>
      <w:bookmarkStart w:id="150" w:name="_Toc35074593"/>
      <w:bookmarkStart w:id="151" w:name="_Toc366671191"/>
      <w:bookmarkEnd w:id="143"/>
      <w:bookmarkEnd w:id="144"/>
      <w:bookmarkEnd w:id="145"/>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46"/>
      <w:bookmarkEnd w:id="147"/>
      <w:bookmarkEnd w:id="148"/>
      <w:bookmarkEnd w:id="149"/>
      <w:r w:rsidR="00BF6C04">
        <w:t>.</w:t>
      </w:r>
    </w:p>
    <w:bookmarkEnd w:id="150"/>
    <w:bookmarkEnd w:id="151"/>
    <w:p w14:paraId="06536639" w14:textId="1C1B2D86" w:rsidR="005E52CD" w:rsidRPr="007065BB" w:rsidRDefault="0039638D">
      <w:pPr>
        <w:pStyle w:val="HeadingNew1"/>
        <w:numPr>
          <w:ilvl w:val="0"/>
          <w:numId w:val="69"/>
        </w:numPr>
      </w:pPr>
      <w:r>
        <w:t>[</w:t>
      </w:r>
      <w:r w:rsidR="00BF284F">
        <w:rPr>
          <w:strike/>
        </w:rPr>
        <w:t>3</w:t>
      </w:r>
      <w:r>
        <w:t xml:space="preserve">] </w:t>
      </w:r>
      <w:r w:rsidR="001C2D56" w:rsidRPr="007065BB">
        <w:t>Application Form (Attachment 1)</w:t>
      </w:r>
    </w:p>
    <w:p w14:paraId="488555D9" w14:textId="7BB44D10"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00B513CA">
        <w:rPr>
          <w:color w:val="0078D4"/>
          <w:szCs w:val="22"/>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03486CAD" w14:textId="65BCBCFB" w:rsidR="005E52CD" w:rsidRPr="007065BB" w:rsidRDefault="0039638D" w:rsidP="00A51775">
      <w:pPr>
        <w:pStyle w:val="HeadingNew1"/>
      </w:pPr>
      <w:r>
        <w:t>[</w:t>
      </w:r>
      <w:r w:rsidR="00BF284F">
        <w:rPr>
          <w:strike/>
        </w:rPr>
        <w:t>4</w:t>
      </w:r>
      <w:r>
        <w:t xml:space="preserve">] </w:t>
      </w:r>
      <w:r w:rsidR="001C2D56"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1A122B6" w:rsidR="005E52CD" w:rsidRPr="007065BB" w:rsidRDefault="0039638D" w:rsidP="00A51775">
      <w:pPr>
        <w:pStyle w:val="HeadingNew1"/>
      </w:pPr>
      <w:r>
        <w:lastRenderedPageBreak/>
        <w:t>[</w:t>
      </w:r>
      <w:r w:rsidR="00BF284F">
        <w:rPr>
          <w:strike/>
        </w:rPr>
        <w:t>5</w:t>
      </w:r>
      <w:r>
        <w:t xml:space="preserve">] </w:t>
      </w:r>
      <w:r w:rsidR="001C2D56" w:rsidRPr="007065BB">
        <w:t xml:space="preserve">Project Narrative Form (Attachment </w:t>
      </w:r>
      <w:r w:rsidR="003B24B0">
        <w:t>3</w:t>
      </w:r>
      <w:r w:rsidR="001C2D56"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7C0F4785" w:rsidR="007065BB" w:rsidRPr="00142AAE" w:rsidRDefault="007065BB" w:rsidP="00A51775">
      <w:pPr>
        <w:numPr>
          <w:ilvl w:val="1"/>
          <w:numId w:val="26"/>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p>
    <w:p w14:paraId="710E5E6A" w14:textId="77777777" w:rsidR="007065BB" w:rsidRPr="00142AAE" w:rsidRDefault="007065BB" w:rsidP="00A51775">
      <w:pPr>
        <w:numPr>
          <w:ilvl w:val="2"/>
          <w:numId w:val="26"/>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A51775">
      <w:pPr>
        <w:numPr>
          <w:ilvl w:val="1"/>
          <w:numId w:val="26"/>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4E6E5036" w:rsidR="007065BB" w:rsidRPr="00453F01" w:rsidRDefault="007065BB" w:rsidP="00A51775">
      <w:pPr>
        <w:numPr>
          <w:ilvl w:val="2"/>
          <w:numId w:val="26"/>
        </w:numPr>
        <w:tabs>
          <w:tab w:val="left" w:pos="288"/>
        </w:tabs>
        <w:spacing w:after="0"/>
        <w:ind w:left="1890" w:hanging="450"/>
        <w:rPr>
          <w:rFonts w:eastAsia="MS Mincho" w:cs="Times New Roman"/>
          <w:sz w:val="24"/>
          <w:szCs w:val="24"/>
        </w:rPr>
      </w:pPr>
      <w:r w:rsidRPr="721BCCCA">
        <w:rPr>
          <w:rFonts w:eastAsia="MS Mincho" w:cs="Times New Roman"/>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721BCCCA">
        <w:rPr>
          <w:rFonts w:eastAsia="MS Mincho" w:cs="Times New Roman"/>
        </w:rPr>
        <w:t>E</w:t>
      </w:r>
      <w:r w:rsidRPr="721BCCCA">
        <w:rPr>
          <w:rFonts w:eastAsia="MS Mincho" w:cs="Times New Roman"/>
        </w:rPr>
        <w:t>).</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0251323F" w:rsidR="005E52CD" w:rsidRPr="007065BB" w:rsidRDefault="0039638D" w:rsidP="00A51775">
      <w:pPr>
        <w:pStyle w:val="HeadingNew1"/>
      </w:pPr>
      <w:r>
        <w:t>[</w:t>
      </w:r>
      <w:r w:rsidR="00BF284F">
        <w:rPr>
          <w:strike/>
        </w:rPr>
        <w:t>6</w:t>
      </w:r>
      <w:r>
        <w:t xml:space="preserve">] </w:t>
      </w:r>
      <w:r w:rsidR="001C2D56" w:rsidRPr="007065BB">
        <w:t xml:space="preserve">Project Team Form (Attachment </w:t>
      </w:r>
      <w:r w:rsidR="003B24B0">
        <w:t>4</w:t>
      </w:r>
      <w:r w:rsidR="001C2D56"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24"/>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4BB28F0C" w:rsidR="005E52CD" w:rsidRPr="007065BB" w:rsidRDefault="0039638D" w:rsidP="00A51775">
      <w:pPr>
        <w:pStyle w:val="HeadingNew1"/>
      </w:pPr>
      <w:r>
        <w:t>[</w:t>
      </w:r>
      <w:r w:rsidR="00BF284F">
        <w:rPr>
          <w:strike/>
        </w:rPr>
        <w:t>7</w:t>
      </w:r>
      <w:r>
        <w:t xml:space="preserve">] </w:t>
      </w:r>
      <w:r w:rsidR="001C2D56" w:rsidRPr="007065BB">
        <w:t>Scope of Work Template (Attachment</w:t>
      </w:r>
      <w:r w:rsidR="00713198" w:rsidRPr="007065BB">
        <w:t>s</w:t>
      </w:r>
      <w:r w:rsidR="001C2D56" w:rsidRPr="007065BB">
        <w:t xml:space="preserve"> </w:t>
      </w:r>
      <w:r w:rsidR="003B24B0">
        <w:t>5</w:t>
      </w:r>
      <w:r w:rsidR="001C2D56" w:rsidRPr="007065BB">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6BF5AE12" w:rsidR="00A14C92" w:rsidRDefault="0039638D" w:rsidP="00A51775">
      <w:pPr>
        <w:pStyle w:val="HeadingNew1"/>
      </w:pPr>
      <w:bookmarkStart w:id="152" w:name="_Toc35074602"/>
      <w:r>
        <w:t>[</w:t>
      </w:r>
      <w:r w:rsidR="00BF284F">
        <w:rPr>
          <w:strike/>
        </w:rPr>
        <w:t>8</w:t>
      </w:r>
      <w:r>
        <w:t xml:space="preserve">] </w:t>
      </w:r>
      <w:r w:rsidR="00A14C92">
        <w:t>Project Schedule (Attachment 6)</w:t>
      </w:r>
    </w:p>
    <w:p w14:paraId="7E4014C1" w14:textId="4C18D14F" w:rsidR="00A14C92" w:rsidRDefault="003B24B0" w:rsidP="00CC1385">
      <w:pPr>
        <w:pStyle w:val="HeadingNew1"/>
        <w:numPr>
          <w:ilvl w:val="0"/>
          <w:numId w:val="0"/>
        </w:numPr>
        <w:ind w:left="360"/>
        <w:rPr>
          <w:b w:val="0"/>
        </w:rPr>
      </w:pPr>
      <w:r>
        <w:rPr>
          <w:b w:val="0"/>
        </w:rPr>
        <w:t xml:space="preserve">The Project Schedule includes a list of all </w:t>
      </w:r>
      <w:r w:rsidR="00BA50B9">
        <w:rPr>
          <w:b w:val="0"/>
        </w:rPr>
        <w:t>products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319F721D" w:rsidR="005E52CD" w:rsidRPr="007065BB" w:rsidRDefault="0039638D" w:rsidP="00A51775">
      <w:pPr>
        <w:pStyle w:val="HeadingNew1"/>
      </w:pPr>
      <w:r>
        <w:t>[</w:t>
      </w:r>
      <w:r w:rsidR="00BF284F">
        <w:rPr>
          <w:strike/>
        </w:rPr>
        <w:t>9</w:t>
      </w:r>
      <w:r>
        <w:t xml:space="preserve">] </w:t>
      </w:r>
      <w:r w:rsidR="001C2D56" w:rsidRPr="007065BB">
        <w:t>Budget Forms (Attachment 7)</w:t>
      </w:r>
    </w:p>
    <w:bookmarkEnd w:id="152"/>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23C6B6F6"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lastRenderedPageBreak/>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69B95A5A"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669D67AC"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1D3A4E19"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44CFA15B"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6F2816B"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752CCFC5" w:rsidR="003A4967" w:rsidRPr="005B392D" w:rsidRDefault="003A4967" w:rsidP="00734C0C">
      <w:pPr>
        <w:keepLines/>
        <w:widowControl w:val="0"/>
        <w:numPr>
          <w:ilvl w:val="0"/>
          <w:numId w:val="12"/>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r w:rsidR="00973337">
        <w:rPr>
          <w:b/>
          <w:u w:val="single"/>
        </w:rPr>
        <w:t xml:space="preserve"> Recent legal restrictions may include Russian Sanctions</w:t>
      </w:r>
      <w:r w:rsidR="00DC1DE8">
        <w:rPr>
          <w:b/>
          <w:u w:val="single"/>
        </w:rPr>
        <w:t xml:space="preserve"> as described below</w:t>
      </w:r>
      <w:r w:rsidR="007419F2">
        <w:rPr>
          <w:b/>
          <w:u w:val="single"/>
        </w:rPr>
        <w:t>:</w:t>
      </w:r>
    </w:p>
    <w:p w14:paraId="24F184D5" w14:textId="77777777" w:rsidR="008C6C7D" w:rsidRDefault="008C6C7D" w:rsidP="00555193">
      <w:pPr>
        <w:keepLines/>
        <w:widowControl w:val="0"/>
        <w:spacing w:after="60"/>
        <w:ind w:left="1080"/>
        <w:jc w:val="both"/>
        <w:rPr>
          <w:b/>
          <w:u w:val="single"/>
        </w:rPr>
      </w:pPr>
    </w:p>
    <w:p w14:paraId="69A34730" w14:textId="50E4DD98" w:rsidR="008C6C7D" w:rsidRPr="008C6C7D" w:rsidRDefault="008C6C7D" w:rsidP="00555193">
      <w:pPr>
        <w:keepLines/>
        <w:widowControl w:val="0"/>
        <w:spacing w:after="60"/>
        <w:ind w:left="1080"/>
        <w:jc w:val="both"/>
        <w:rPr>
          <w:b/>
          <w:u w:val="single"/>
        </w:rPr>
      </w:pPr>
      <w:r w:rsidRPr="008C6C7D">
        <w:rPr>
          <w:b/>
          <w:u w:val="single"/>
        </w:rPr>
        <w:t>On March 4, 2022, Governor Gavin Newsom issued Executive Order N-6-22 (the EO)</w:t>
      </w:r>
      <w:r w:rsidR="00555193">
        <w:rPr>
          <w:b/>
          <w:u w:val="single"/>
        </w:rPr>
        <w:t xml:space="preserve"> </w:t>
      </w:r>
      <w:r w:rsidRPr="008C6C7D">
        <w:rPr>
          <w:b/>
          <w:u w:val="single"/>
        </w:rPr>
        <w:t>regarding Economic Sanctions against Russia and Russian entities and individuals.</w:t>
      </w:r>
      <w:r w:rsidR="00555193">
        <w:rPr>
          <w:b/>
          <w:u w:val="single"/>
        </w:rPr>
        <w:t xml:space="preserve"> </w:t>
      </w:r>
      <w:r w:rsidRPr="008C6C7D">
        <w:rPr>
          <w:b/>
          <w:u w:val="single"/>
        </w:rPr>
        <w:t>“Economic Sanctions” refers to sanctions imposed by the U.S. government in response</w:t>
      </w:r>
      <w:r w:rsidR="00555193">
        <w:rPr>
          <w:b/>
          <w:u w:val="single"/>
        </w:rPr>
        <w:t xml:space="preserve"> </w:t>
      </w:r>
      <w:r w:rsidRPr="008C6C7D">
        <w:rPr>
          <w:b/>
          <w:u w:val="single"/>
        </w:rPr>
        <w:t>to Russia’s actions in Ukraine, as well as any sanctions imposed under state law. The</w:t>
      </w:r>
      <w:r w:rsidR="00555193">
        <w:rPr>
          <w:b/>
          <w:u w:val="single"/>
        </w:rPr>
        <w:t xml:space="preserve"> </w:t>
      </w:r>
      <w:r w:rsidRPr="008C6C7D">
        <w:rPr>
          <w:b/>
          <w:u w:val="single"/>
        </w:rPr>
        <w:t>EO directs state agencies to terminate contracts with, and to refrain from entering any</w:t>
      </w:r>
      <w:r w:rsidR="00555193">
        <w:rPr>
          <w:b/>
          <w:u w:val="single"/>
        </w:rPr>
        <w:t xml:space="preserve"> </w:t>
      </w:r>
      <w:r w:rsidRPr="008C6C7D">
        <w:rPr>
          <w:b/>
          <w:u w:val="single"/>
        </w:rPr>
        <w:t xml:space="preserve">new contracts with, individuals or entities that are determined to be a target of Economic Sanctions. </w:t>
      </w:r>
    </w:p>
    <w:p w14:paraId="37EEDEC8" w14:textId="77777777" w:rsidR="008C6C7D" w:rsidRPr="008C6C7D" w:rsidRDefault="008C6C7D" w:rsidP="00555193">
      <w:pPr>
        <w:keepLines/>
        <w:widowControl w:val="0"/>
        <w:spacing w:after="60"/>
        <w:ind w:left="1080"/>
        <w:jc w:val="both"/>
        <w:rPr>
          <w:b/>
          <w:u w:val="single"/>
        </w:rPr>
      </w:pPr>
    </w:p>
    <w:p w14:paraId="61E55DD2" w14:textId="77777777" w:rsidR="008C6C7D" w:rsidRPr="008C6C7D" w:rsidRDefault="008C6C7D" w:rsidP="00555193">
      <w:pPr>
        <w:keepLines/>
        <w:widowControl w:val="0"/>
        <w:spacing w:after="60"/>
        <w:ind w:left="1080"/>
        <w:jc w:val="both"/>
        <w:rPr>
          <w:b/>
          <w:u w:val="single"/>
        </w:rPr>
      </w:pPr>
      <w:r w:rsidRPr="008C6C7D">
        <w:rPr>
          <w:b/>
          <w:u w:val="single"/>
        </w:rPr>
        <w:t>Accordingly, should the State determine Contractor is a target of Economic</w:t>
      </w:r>
    </w:p>
    <w:p w14:paraId="01C24179" w14:textId="374D1FD9" w:rsidR="008C6C7D" w:rsidRDefault="008C6C7D" w:rsidP="00555193">
      <w:pPr>
        <w:keepLines/>
        <w:widowControl w:val="0"/>
        <w:spacing w:after="60"/>
        <w:ind w:left="1080"/>
        <w:jc w:val="both"/>
        <w:rPr>
          <w:b/>
          <w:u w:val="single"/>
        </w:rPr>
      </w:pPr>
      <w:r w:rsidRPr="008C6C7D">
        <w:rPr>
          <w:b/>
          <w:u w:val="single"/>
        </w:rPr>
        <w:t>Sanctions or is conducting prohibited transactions with sanctioned individuals or entities, that shall be grounds for termination of this agreement. The State shall provide Contractor advance written notice of such termination, allowing Contractor at least 30 calendar days to provide a written response. Termination shall be at the sole discretion of the State.</w:t>
      </w:r>
    </w:p>
    <w:p w14:paraId="771F636D" w14:textId="77777777" w:rsidR="00FC3827" w:rsidRDefault="00FC3827" w:rsidP="00555193">
      <w:pPr>
        <w:keepLines/>
        <w:widowControl w:val="0"/>
        <w:spacing w:after="60"/>
        <w:ind w:left="1080"/>
        <w:jc w:val="both"/>
        <w:rPr>
          <w:b/>
          <w:u w:val="single"/>
        </w:rPr>
      </w:pPr>
    </w:p>
    <w:p w14:paraId="3D69ADE6" w14:textId="3A8A054D" w:rsidR="001B277D" w:rsidRPr="003A4967" w:rsidRDefault="001B277D" w:rsidP="001B277D">
      <w:pPr>
        <w:keepLines/>
        <w:widowControl w:val="0"/>
        <w:numPr>
          <w:ilvl w:val="0"/>
          <w:numId w:val="12"/>
        </w:numPr>
        <w:spacing w:after="60"/>
        <w:ind w:left="1080"/>
        <w:jc w:val="both"/>
        <w:rPr>
          <w:szCs w:val="22"/>
        </w:rPr>
      </w:pPr>
      <w:r w:rsidRPr="001B277D">
        <w:rPr>
          <w:szCs w:val="22"/>
        </w:rPr>
        <w:lastRenderedPageBreak/>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20F17A3C"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pPr>
        <w:keepLines/>
        <w:widowControl w:val="0"/>
        <w:numPr>
          <w:ilvl w:val="0"/>
          <w:numId w:val="37"/>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1B6C87" w:rsidRDefault="007065BB">
      <w:pPr>
        <w:keepLines/>
        <w:widowControl w:val="0"/>
        <w:numPr>
          <w:ilvl w:val="0"/>
          <w:numId w:val="37"/>
        </w:numPr>
        <w:autoSpaceDE w:val="0"/>
        <w:autoSpaceDN w:val="0"/>
        <w:adjustRightInd w:val="0"/>
        <w:ind w:left="2160"/>
        <w:rPr>
          <w:rFonts w:eastAsia="Calibri"/>
          <w:szCs w:val="24"/>
        </w:rPr>
      </w:pPr>
      <w:r w:rsidRPr="003E3EB6">
        <w:rPr>
          <w:rFonts w:eastAsia="Calibri"/>
          <w:szCs w:val="24"/>
        </w:rPr>
        <w:t>the project budget for labor reflects these prev</w:t>
      </w:r>
      <w:r w:rsidRPr="001B6C87">
        <w:rPr>
          <w:rFonts w:eastAsia="Calibri"/>
          <w:szCs w:val="24"/>
        </w:rPr>
        <w:t xml:space="preserve">ailing wage requirements; and </w:t>
      </w:r>
    </w:p>
    <w:p w14:paraId="1E18E587" w14:textId="737BD39C" w:rsidR="007065BB" w:rsidRPr="001B6C87" w:rsidRDefault="007065BB">
      <w:pPr>
        <w:keepLines/>
        <w:widowControl w:val="0"/>
        <w:numPr>
          <w:ilvl w:val="0"/>
          <w:numId w:val="37"/>
        </w:numPr>
        <w:autoSpaceDE w:val="0"/>
        <w:autoSpaceDN w:val="0"/>
        <w:adjustRightInd w:val="0"/>
        <w:ind w:left="2160"/>
        <w:rPr>
          <w:rFonts w:eastAsia="Calibri"/>
          <w:szCs w:val="24"/>
        </w:rPr>
      </w:pPr>
      <w:r w:rsidRPr="001B6C87">
        <w:rPr>
          <w:rFonts w:eastAsia="Calibri"/>
          <w:szCs w:val="24"/>
        </w:rPr>
        <w:t xml:space="preserve">the project complies with all other requirements of prevailing wage law including but not limited to keeping accurate payroll </w:t>
      </w:r>
      <w:proofErr w:type="gramStart"/>
      <w:r w:rsidRPr="001B6C87">
        <w:rPr>
          <w:rFonts w:eastAsia="Calibri"/>
          <w:szCs w:val="24"/>
        </w:rPr>
        <w:t>records, and</w:t>
      </w:r>
      <w:proofErr w:type="gramEnd"/>
      <w:r w:rsidRPr="001B6C87">
        <w:rPr>
          <w:rFonts w:eastAsia="Calibri"/>
          <w:szCs w:val="24"/>
        </w:rPr>
        <w:t xml:space="preserve"> complying with all working hour requirements and apprenticeship obligations</w:t>
      </w:r>
      <w:r w:rsidR="00FA3831">
        <w:rPr>
          <w:rFonts w:eastAsia="Calibri"/>
          <w:szCs w:val="24"/>
        </w:rPr>
        <w:t>.</w:t>
      </w:r>
      <w:r w:rsidRPr="001B6C87">
        <w:rPr>
          <w:rFonts w:eastAsia="Calibri"/>
          <w:szCs w:val="24"/>
        </w:rPr>
        <w:t xml:space="preserve"> </w:t>
      </w:r>
    </w:p>
    <w:p w14:paraId="3C2A32D0" w14:textId="77777777" w:rsidR="006A2B28" w:rsidRPr="001B6C87" w:rsidRDefault="006A2B28" w:rsidP="006A2B28">
      <w:pPr>
        <w:pStyle w:val="ListParagraph"/>
        <w:keepLines/>
        <w:widowControl w:val="0"/>
        <w:rPr>
          <w:rFonts w:eastAsia="Calibri"/>
          <w:szCs w:val="24"/>
        </w:rPr>
      </w:pPr>
      <w:r w:rsidRPr="001B6C87">
        <w:rPr>
          <w:rFonts w:eastAsia="Calibri"/>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sidRPr="001B6C87">
        <w:rPr>
          <w:rFonts w:eastAsia="Calibri"/>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FE53760" w:rsidR="00FB7DFE" w:rsidRPr="007065BB" w:rsidRDefault="0039638D" w:rsidP="00A51775">
      <w:pPr>
        <w:pStyle w:val="HeadingNew1"/>
      </w:pPr>
      <w:r>
        <w:t>[</w:t>
      </w:r>
      <w:r>
        <w:rPr>
          <w:strike/>
        </w:rPr>
        <w:t>1</w:t>
      </w:r>
      <w:r w:rsidR="00BF284F">
        <w:rPr>
          <w:strike/>
        </w:rPr>
        <w:t>0</w:t>
      </w:r>
      <w:r>
        <w:t xml:space="preserve">] </w:t>
      </w:r>
      <w:r w:rsidR="00FB7DFE" w:rsidRPr="007065BB">
        <w:t>California Environmental Quality Act (CEQA) Compliance Form</w:t>
      </w:r>
      <w:r w:rsidR="00FB7DFE" w:rsidRPr="007065BB" w:rsidDel="00E3682B">
        <w:t xml:space="preserve"> </w:t>
      </w:r>
      <w:r w:rsidR="00FB7DFE" w:rsidRPr="007065BB">
        <w:t>(Attachment 8)</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lastRenderedPageBreak/>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264D34A6" w:rsidR="001C2D56" w:rsidRPr="00C31C1D" w:rsidRDefault="0039638D" w:rsidP="00A51775">
      <w:pPr>
        <w:pStyle w:val="HeadingNew1"/>
        <w:rPr>
          <w:b w:val="0"/>
        </w:rPr>
      </w:pPr>
      <w:r>
        <w:t>[</w:t>
      </w:r>
      <w:r>
        <w:rPr>
          <w:strike/>
        </w:rPr>
        <w:t>1</w:t>
      </w:r>
      <w:r w:rsidR="00BF284F">
        <w:rPr>
          <w:strike/>
        </w:rPr>
        <w:t>1</w:t>
      </w:r>
      <w:r>
        <w:t xml:space="preserve">] </w:t>
      </w:r>
      <w:r w:rsidR="001C2D56" w:rsidRPr="007065BB">
        <w:t>Reference and Work Product Form (Attachment 9)</w:t>
      </w:r>
    </w:p>
    <w:p w14:paraId="18EEE686" w14:textId="77777777" w:rsidR="007065BB" w:rsidRDefault="007065BB" w:rsidP="00A51775">
      <w:pPr>
        <w:keepLines/>
        <w:widowControl w:val="0"/>
        <w:numPr>
          <w:ilvl w:val="2"/>
          <w:numId w:val="20"/>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60EC6FA0" w14:textId="6D207F76" w:rsidR="007065BB" w:rsidRPr="00753051" w:rsidRDefault="007065BB" w:rsidP="1C048822">
      <w:pPr>
        <w:keepLines/>
        <w:widowControl w:val="0"/>
        <w:numPr>
          <w:ilvl w:val="2"/>
          <w:numId w:val="20"/>
        </w:numPr>
        <w:tabs>
          <w:tab w:val="left" w:pos="720"/>
          <w:tab w:val="left" w:pos="1080"/>
        </w:tabs>
        <w:spacing w:after="0"/>
        <w:ind w:left="1080"/>
        <w:jc w:val="both"/>
      </w:pPr>
      <w:r w:rsidRPr="1C048822">
        <w:rPr>
          <w:u w:val="single"/>
        </w:rPr>
        <w:t>Section 2</w:t>
      </w:r>
      <w:r>
        <w:t>: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Default="001C2D56" w:rsidP="00EE24D3">
      <w:pPr>
        <w:spacing w:after="0"/>
        <w:jc w:val="both"/>
        <w:rPr>
          <w:szCs w:val="24"/>
        </w:rPr>
      </w:pPr>
    </w:p>
    <w:p w14:paraId="6874B826" w14:textId="5F84EBC6" w:rsidR="001C2D56" w:rsidRPr="007065BB" w:rsidRDefault="001C2D56" w:rsidP="00A51775">
      <w:pPr>
        <w:pStyle w:val="HeadingNew1"/>
      </w:pPr>
      <w:r w:rsidRPr="00E74B5A">
        <w:rPr>
          <w:b w:val="0"/>
          <w:szCs w:val="24"/>
        </w:rPr>
        <w:t xml:space="preserve"> </w:t>
      </w:r>
      <w:bookmarkStart w:id="153" w:name="CommLttr"/>
      <w:r w:rsidR="0039638D">
        <w:t>[</w:t>
      </w:r>
      <w:r w:rsidR="0039638D">
        <w:rPr>
          <w:strike/>
        </w:rPr>
        <w:t>1</w:t>
      </w:r>
      <w:r w:rsidR="00BF284F">
        <w:rPr>
          <w:strike/>
        </w:rPr>
        <w:t>2</w:t>
      </w:r>
      <w:r w:rsidR="0039638D">
        <w:t xml:space="preserve">] </w:t>
      </w:r>
      <w:r w:rsidR="006760F9" w:rsidRPr="007065BB">
        <w:t>Commitment and Su</w:t>
      </w:r>
      <w:r w:rsidR="000B648E">
        <w:t>pport Letter Form (Attachment 10</w:t>
      </w:r>
      <w:r w:rsidR="006760F9" w:rsidRPr="007065BB">
        <w:t>)</w:t>
      </w:r>
      <w:bookmarkEnd w:id="153"/>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096B23B7" w:rsidR="006D5C5E" w:rsidRDefault="006D5C5E" w:rsidP="00A51775">
      <w:pPr>
        <w:numPr>
          <w:ilvl w:val="2"/>
          <w:numId w:val="20"/>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4C1DB074" w14:textId="580AC555" w:rsidR="006D5C5E" w:rsidRPr="00271C59" w:rsidRDefault="006D5C5E" w:rsidP="006D5C5E">
      <w:pPr>
        <w:tabs>
          <w:tab w:val="left" w:pos="720"/>
          <w:tab w:val="left" w:pos="1080"/>
          <w:tab w:val="left" w:pos="1170"/>
          <w:tab w:val="left" w:pos="1620"/>
        </w:tabs>
        <w:spacing w:after="0"/>
        <w:ind w:left="1620"/>
        <w:jc w:val="both"/>
        <w:rPr>
          <w:b/>
        </w:rPr>
      </w:pPr>
      <w:r>
        <w:t xml:space="preserve">Applicants </w:t>
      </w:r>
      <w:r w:rsidR="66294955" w:rsidRPr="00285DC9">
        <w:rPr>
          <w:rFonts w:eastAsia="Arial"/>
          <w:color w:val="333333"/>
          <w:szCs w:val="22"/>
        </w:rPr>
        <w:t>w</w:t>
      </w:r>
      <w:r w:rsidR="66294955" w:rsidRPr="00285DC9">
        <w:rPr>
          <w:szCs w:val="22"/>
        </w:rPr>
        <w:t>ishing to include</w:t>
      </w:r>
      <w:r w:rsidR="34545AE7" w:rsidRPr="338EF737">
        <w:rPr>
          <w:szCs w:val="22"/>
        </w:rPr>
        <w:t xml:space="preserve"> match funding</w:t>
      </w:r>
      <w:r w:rsidR="66294955">
        <w:t xml:space="preserve"> </w:t>
      </w:r>
      <w:r>
        <w:t xml:space="preserve">must submit a </w:t>
      </w:r>
      <w:r w:rsidRPr="338EF737">
        <w:rPr>
          <w:b/>
        </w:rPr>
        <w:t>match funding</w:t>
      </w:r>
      <w:r>
        <w:t xml:space="preserve"> commitment letter signed</w:t>
      </w:r>
      <w:r w:rsidRPr="338EF737">
        <w:rPr>
          <w:b/>
        </w:rPr>
        <w:t xml:space="preserve"> </w:t>
      </w:r>
      <w:r>
        <w:t xml:space="preserve">by </w:t>
      </w:r>
      <w:r w:rsidRPr="338EF737">
        <w:rPr>
          <w:u w:val="single"/>
        </w:rPr>
        <w:t>each</w:t>
      </w:r>
      <w:r w:rsidRPr="338EF737">
        <w:rPr>
          <w:b/>
        </w:rPr>
        <w:t xml:space="preserve"> </w:t>
      </w:r>
      <w:r>
        <w:t xml:space="preserve">representative of the entity </w:t>
      </w:r>
      <w:r w:rsidRPr="338EF737">
        <w:rPr>
          <w:u w:val="single"/>
        </w:rPr>
        <w:t>or i</w:t>
      </w:r>
      <w:r>
        <w:t>ndividual that is committing to providing match funding. The letter must: (1) identify the source(s) of the funds; and (2) guarantee the availability of the funds for the project.</w:t>
      </w:r>
    </w:p>
    <w:p w14:paraId="2A072889" w14:textId="0093F6EE" w:rsidR="006D5C5E" w:rsidRPr="00271C59" w:rsidRDefault="006D5C5E">
      <w:pPr>
        <w:numPr>
          <w:ilvl w:val="0"/>
          <w:numId w:val="38"/>
        </w:numPr>
        <w:tabs>
          <w:tab w:val="left" w:pos="720"/>
          <w:tab w:val="left" w:pos="1170"/>
          <w:tab w:val="left" w:pos="1260"/>
          <w:tab w:val="left" w:pos="1620"/>
        </w:tabs>
        <w:spacing w:after="0"/>
        <w:ind w:left="1627"/>
        <w:jc w:val="both"/>
        <w:rPr>
          <w:b/>
          <w:bCs/>
        </w:rPr>
      </w:pPr>
      <w:r w:rsidRPr="00271C59">
        <w:t xml:space="preserve">If the project involves </w:t>
      </w:r>
      <w:r w:rsidRPr="00271C59">
        <w:rPr>
          <w:b/>
          <w:bCs/>
        </w:rPr>
        <w:t>demonstration</w:t>
      </w:r>
      <w:r w:rsidR="00FF4F66" w:rsidRPr="00271C59">
        <w:rPr>
          <w:b/>
          <w:bCs/>
        </w:rPr>
        <w:t xml:space="preserve"> </w:t>
      </w:r>
      <w:r w:rsidRPr="00271C59">
        <w:t>activities, the applicant must include a site commitment letter signed by an authorized representative of the proposed  demonstration</w:t>
      </w:r>
      <w:r w:rsidR="00FF4F66" w:rsidRPr="00271C59">
        <w:t xml:space="preserve"> </w:t>
      </w:r>
      <w:r w:rsidRPr="00271C59">
        <w:t xml:space="preserve">site. The letter </w:t>
      </w:r>
      <w:r w:rsidR="71C1E241" w:rsidRPr="00271C59">
        <w:t>should</w:t>
      </w:r>
      <w:r w:rsidRPr="00271C59">
        <w:t xml:space="preserve">: (1) identify the location of the site (street address, parcel number, tract map, plot map, etc.) which must be consistent with Attachments 1 and 8. and (2) commit to providing the site for the proposed activities.  </w:t>
      </w:r>
    </w:p>
    <w:p w14:paraId="6FAAD3CD" w14:textId="16D9DE1C" w:rsidR="006D5C5E" w:rsidRPr="00271C59" w:rsidRDefault="006D5C5E">
      <w:pPr>
        <w:numPr>
          <w:ilvl w:val="0"/>
          <w:numId w:val="38"/>
        </w:numPr>
        <w:tabs>
          <w:tab w:val="left" w:pos="720"/>
          <w:tab w:val="left" w:pos="1170"/>
          <w:tab w:val="left" w:pos="1260"/>
          <w:tab w:val="left" w:pos="1620"/>
        </w:tabs>
        <w:ind w:left="1627"/>
        <w:jc w:val="both"/>
        <w:rPr>
          <w:b/>
        </w:rPr>
      </w:pPr>
      <w:r w:rsidRPr="00271C59">
        <w:rPr>
          <w:b/>
        </w:rPr>
        <w:t>Project partners</w:t>
      </w:r>
      <w:r w:rsidRPr="00271C59">
        <w:t xml:space="preserve"> that are making contributions other than match funding or a  demonstration  site, and are not receiving </w:t>
      </w:r>
      <w:r w:rsidR="008F4A0E" w:rsidRPr="00271C59">
        <w:t>CEC</w:t>
      </w:r>
      <w:r w:rsidRPr="00271C59">
        <w:t xml:space="preserve"> funds, must submit a commitment letter signed by an authorized representative that: (1) identifies how the partner will contribute to the project; and (2) commits to making the contribution. </w:t>
      </w:r>
    </w:p>
    <w:p w14:paraId="078C5CFB" w14:textId="77777777" w:rsidR="006D5C5E" w:rsidRPr="00271C59" w:rsidRDefault="006D5C5E" w:rsidP="00A51775">
      <w:pPr>
        <w:numPr>
          <w:ilvl w:val="2"/>
          <w:numId w:val="20"/>
        </w:numPr>
        <w:tabs>
          <w:tab w:val="left" w:pos="720"/>
          <w:tab w:val="left" w:pos="1170"/>
          <w:tab w:val="left" w:pos="1260"/>
        </w:tabs>
        <w:spacing w:after="0"/>
        <w:ind w:left="1170"/>
        <w:jc w:val="both"/>
        <w:rPr>
          <w:b/>
          <w:u w:val="single"/>
        </w:rPr>
      </w:pPr>
      <w:r w:rsidRPr="00271C59">
        <w:rPr>
          <w:szCs w:val="22"/>
          <w:u w:val="single"/>
        </w:rPr>
        <w:t>Support Letters</w:t>
      </w:r>
    </w:p>
    <w:p w14:paraId="2ED7C640" w14:textId="22E88197" w:rsidR="006D5C5E" w:rsidRPr="00880EEC" w:rsidRDefault="006D5C5E" w:rsidP="006D5C5E">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Pr="0075281F">
        <w:rPr>
          <w:color w:val="0070C0"/>
        </w:rPr>
        <w:t xml:space="preserve"> </w:t>
      </w:r>
      <w:r w:rsidRPr="00880EEC">
        <w:t>demonstration</w:t>
      </w:r>
      <w:r w:rsidRPr="00880EEC">
        <w:rPr>
          <w:szCs w:val="22"/>
        </w:rPr>
        <w:t xml:space="preserve"> site.</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713709BD" w:rsidR="00BD4343" w:rsidRPr="00943E11" w:rsidRDefault="00BF284F" w:rsidP="00A51775">
      <w:pPr>
        <w:pStyle w:val="HeadingNew1"/>
      </w:pPr>
      <w:r>
        <w:t>[</w:t>
      </w:r>
      <w:r>
        <w:rPr>
          <w:strike/>
        </w:rPr>
        <w:t>13</w:t>
      </w:r>
      <w:r>
        <w:t xml:space="preserve">] </w:t>
      </w:r>
      <w:r w:rsidR="00BD4343" w:rsidRPr="00943E11">
        <w:t>Project Performance Metrics</w:t>
      </w:r>
      <w:r w:rsidR="00943E11">
        <w:t xml:space="preserve"> (Attachment 11</w:t>
      </w:r>
      <w:r w:rsidR="00943E11" w:rsidRPr="007065BB">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07342584" w:rsidR="004B2FDF" w:rsidRPr="007065BB" w:rsidRDefault="00BF284F" w:rsidP="00A51775">
      <w:pPr>
        <w:pStyle w:val="HeadingNew1"/>
      </w:pPr>
      <w:r>
        <w:t>[</w:t>
      </w:r>
      <w:r>
        <w:rPr>
          <w:strike/>
        </w:rPr>
        <w:t>14</w:t>
      </w:r>
      <w:r>
        <w:t xml:space="preserve">] </w:t>
      </w:r>
      <w:r w:rsidR="004B2FDF">
        <w:t>Applicant Declaration</w:t>
      </w:r>
      <w:r w:rsidR="002953A8">
        <w:t xml:space="preserve"> (Attachment 12</w:t>
      </w:r>
      <w:r w:rsidR="002953A8" w:rsidRPr="007065BB">
        <w:t>)</w:t>
      </w:r>
    </w:p>
    <w:p w14:paraId="4E9D8DA2" w14:textId="7D6EF689" w:rsidR="00624855" w:rsidRDefault="00260970">
      <w:pPr>
        <w:spacing w:after="0"/>
        <w:contextualSpacing/>
      </w:pPr>
      <w:r>
        <w:t xml:space="preserve">This form requests the applicant declare that they: are not delinquent on taxes nor suspended by the California Franchise Tax Board; are </w:t>
      </w:r>
      <w:r w:rsidRPr="008D66EA">
        <w:t xml:space="preserve">not </w:t>
      </w:r>
      <w:r w:rsidR="009E25D0" w:rsidRPr="00660416">
        <w:rPr>
          <w:rStyle w:val="normaltextrun"/>
          <w:szCs w:val="22"/>
        </w:rPr>
        <w:t>currently being sued by any entity (public or private) or individual, and</w:t>
      </w:r>
      <w:r w:rsidR="008D66EA">
        <w:rPr>
          <w:rStyle w:val="normaltextrun"/>
          <w:szCs w:val="22"/>
        </w:rPr>
        <w:t xml:space="preserve"> </w:t>
      </w:r>
      <w:r w:rsidR="009E25D0" w:rsidRPr="00660416">
        <w:rPr>
          <w:rStyle w:val="normaltextrun"/>
          <w:szCs w:val="22"/>
        </w:rPr>
        <w:t>are</w:t>
      </w:r>
      <w:r w:rsidR="008D66EA">
        <w:rPr>
          <w:rStyle w:val="normaltextrun"/>
          <w:szCs w:val="22"/>
        </w:rPr>
        <w:t xml:space="preserve"> </w:t>
      </w:r>
      <w:r w:rsidR="009E25D0" w:rsidRPr="00660416">
        <w:rPr>
          <w:rStyle w:val="normaltextrun"/>
          <w:szCs w:val="22"/>
        </w:rPr>
        <w:t>not aware of any information that reasonably indicates</w:t>
      </w:r>
      <w:r w:rsidR="008D66EA">
        <w:rPr>
          <w:rStyle w:val="normaltextrun"/>
          <w:szCs w:val="22"/>
        </w:rPr>
        <w:t xml:space="preserve"> </w:t>
      </w:r>
      <w:r w:rsidR="009E25D0" w:rsidRPr="00660416">
        <w:rPr>
          <w:rStyle w:val="normaltextrun"/>
          <w:szCs w:val="22"/>
        </w:rPr>
        <w:t>they</w:t>
      </w:r>
      <w:r w:rsidR="008D66EA">
        <w:rPr>
          <w:rStyle w:val="normaltextrun"/>
          <w:szCs w:val="22"/>
        </w:rPr>
        <w:t xml:space="preserve"> </w:t>
      </w:r>
      <w:r w:rsidR="009E25D0" w:rsidRPr="00660416">
        <w:rPr>
          <w:rStyle w:val="normaltextrun"/>
          <w:szCs w:val="22"/>
        </w:rPr>
        <w:t>may be sued by any entity or individual during the proposed agreement term, that might reasonably be expected to materially impact the applicant’s ability to perform the proposed project</w:t>
      </w:r>
      <w:r w:rsidRPr="00660416">
        <w:t>; are in compliance with the terms of all settlement agreements, if any, entered into with the Energy Commission</w:t>
      </w:r>
      <w:r>
        <w:t xml:space="preserve"> or another public agency or entity; are in compliance with all judgments, if any, issued against the Applicant in any matter to which the Energy Commission or another public agency or entity is a party; </w:t>
      </w:r>
      <w:r w:rsidR="003A0A6F">
        <w:t>are complying with any demand letter made on the Applicant by the Energy Commission or another public agency or entity</w:t>
      </w:r>
      <w:r>
        <w:t>;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t xml:space="preserve"> </w:t>
      </w:r>
    </w:p>
    <w:p w14:paraId="57FFE930" w14:textId="34C65CAC" w:rsidR="00624855" w:rsidRDefault="00624855">
      <w:pPr>
        <w:spacing w:after="0"/>
        <w:contextualSpacing/>
      </w:pPr>
    </w:p>
    <w:p w14:paraId="075585BA" w14:textId="77777777" w:rsidR="00476D0D" w:rsidRPr="00660416" w:rsidRDefault="00476D0D" w:rsidP="00F45E75">
      <w:pPr>
        <w:pStyle w:val="paragraph"/>
        <w:spacing w:before="0" w:beforeAutospacing="0" w:after="0" w:afterAutospacing="0"/>
        <w:textAlignment w:val="baseline"/>
        <w:rPr>
          <w:rFonts w:ascii="Segoe UI" w:hAnsi="Segoe UI" w:cs="Segoe UI"/>
          <w:sz w:val="22"/>
          <w:szCs w:val="22"/>
        </w:rPr>
      </w:pPr>
      <w:r w:rsidRPr="00660416">
        <w:rPr>
          <w:rStyle w:val="normaltextrun"/>
          <w:rFonts w:ascii="Arial" w:hAnsi="Arial" w:cs="Arial"/>
          <w:sz w:val="22"/>
          <w:szCs w:val="22"/>
        </w:rPr>
        <w:t>The CEC may request additional information from potential awardees before the CEC approves awards at a business meeting.</w:t>
      </w:r>
      <w:r w:rsidRPr="00660416">
        <w:rPr>
          <w:rStyle w:val="eop"/>
          <w:rFonts w:ascii="Arial" w:hAnsi="Arial" w:cs="Arial"/>
          <w:sz w:val="22"/>
          <w:szCs w:val="22"/>
        </w:rPr>
        <w:t> </w:t>
      </w:r>
    </w:p>
    <w:p w14:paraId="38DDEFB4" w14:textId="77777777" w:rsidR="00476D0D" w:rsidRDefault="00476D0D">
      <w:pPr>
        <w:spacing w:after="0"/>
        <w:contextualSpacing/>
      </w:pPr>
    </w:p>
    <w:p w14:paraId="25ED1839" w14:textId="0F4789C8"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67D65E5" w14:textId="77777777" w:rsidR="009D1F77" w:rsidRDefault="009D1F77" w:rsidP="00624855">
      <w:pPr>
        <w:spacing w:after="0"/>
        <w:jc w:val="both"/>
      </w:pPr>
    </w:p>
    <w:p w14:paraId="1542A0B7" w14:textId="7200DCB1" w:rsidR="009D1F77" w:rsidRPr="009D1F77" w:rsidRDefault="00BF284F" w:rsidP="00A51775">
      <w:pPr>
        <w:pStyle w:val="HeadingNew1"/>
      </w:pPr>
      <w:r>
        <w:t>[</w:t>
      </w:r>
      <w:r>
        <w:rPr>
          <w:strike/>
        </w:rPr>
        <w:t>15</w:t>
      </w:r>
      <w:r>
        <w:t xml:space="preserve">] </w:t>
      </w:r>
      <w:r w:rsidR="009D1F77">
        <w:t>References for Calculating Energy End-Use and GHG Emissions (Attachment 13)</w:t>
      </w:r>
      <w:r w:rsidR="009D1F77" w:rsidRPr="1C048822">
        <w:rPr>
          <w:color w:val="365F91" w:themeColor="accent1" w:themeShade="BF"/>
        </w:rPr>
        <w:t> </w:t>
      </w:r>
    </w:p>
    <w:p w14:paraId="381C529D" w14:textId="77777777" w:rsidR="009D1F77" w:rsidRPr="009D1F77" w:rsidRDefault="009D1F77" w:rsidP="009D1F77">
      <w:pPr>
        <w:spacing w:after="0"/>
        <w:contextualSpacing/>
        <w:rPr>
          <w:b/>
          <w:bCs/>
        </w:rPr>
      </w:pPr>
      <w:r w:rsidRPr="009D1F77">
        <w:t>Any estimates of energy savings or GHG impacts described in the application should be calculated as specified on this form, to the extent that the references apply to the proposed project.</w:t>
      </w: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54" w:name="_Toc87335026"/>
      <w:bookmarkStart w:id="155" w:name="_Toc336443635"/>
      <w:bookmarkStart w:id="156" w:name="_Toc366671192"/>
      <w:r w:rsidRPr="00C31C1D">
        <w:t>IV.</w:t>
      </w:r>
      <w:r w:rsidRPr="00C31C1D">
        <w:tab/>
        <w:t xml:space="preserve">Evaluation </w:t>
      </w:r>
      <w:r>
        <w:t xml:space="preserve">and Award </w:t>
      </w:r>
      <w:r w:rsidRPr="00C31C1D">
        <w:t>Process</w:t>
      </w:r>
      <w:bookmarkEnd w:id="154"/>
      <w:r w:rsidRPr="00C31C1D">
        <w:t xml:space="preserve"> </w:t>
      </w:r>
      <w:bookmarkEnd w:id="130"/>
      <w:bookmarkEnd w:id="155"/>
      <w:bookmarkEnd w:id="156"/>
    </w:p>
    <w:p w14:paraId="501AD443" w14:textId="77777777" w:rsidR="003417AD" w:rsidRPr="00CF6DED" w:rsidRDefault="003417AD">
      <w:pPr>
        <w:pStyle w:val="Heading2"/>
        <w:numPr>
          <w:ilvl w:val="0"/>
          <w:numId w:val="56"/>
        </w:numPr>
      </w:pPr>
      <w:bookmarkStart w:id="157" w:name="_Toc339284338"/>
      <w:bookmarkStart w:id="158" w:name="_Toc366671194"/>
      <w:bookmarkStart w:id="159" w:name="_Toc87335027"/>
      <w:bookmarkStart w:id="160" w:name="_Toc338162913"/>
      <w:bookmarkStart w:id="161" w:name="_Toc35074632"/>
      <w:bookmarkStart w:id="162" w:name="_Toc219275099"/>
      <w:bookmarkStart w:id="163" w:name="_Toc336443636"/>
      <w:r w:rsidRPr="00CF6DED">
        <w:t>Application Evaluation</w:t>
      </w:r>
      <w:bookmarkEnd w:id="157"/>
      <w:bookmarkEnd w:id="158"/>
      <w:bookmarkEnd w:id="159"/>
    </w:p>
    <w:bookmarkEnd w:id="160"/>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A51775">
      <w:pPr>
        <w:pStyle w:val="ListParagraph"/>
        <w:numPr>
          <w:ilvl w:val="0"/>
          <w:numId w:val="29"/>
        </w:numPr>
        <w:tabs>
          <w:tab w:val="num" w:pos="360"/>
        </w:tabs>
        <w:rPr>
          <w:b/>
        </w:rPr>
      </w:pPr>
      <w:bookmarkStart w:id="164" w:name="_Toc381079932"/>
      <w:bookmarkStart w:id="165" w:name="_Toc382571195"/>
      <w:bookmarkStart w:id="166" w:name="_Toc395180705"/>
      <w:bookmarkStart w:id="167" w:name="_Toc433981334"/>
      <w:bookmarkStart w:id="168" w:name="_Toc360545784"/>
      <w:bookmarkStart w:id="169" w:name="_Toc366671195"/>
      <w:bookmarkStart w:id="170" w:name="_Toc339284339"/>
      <w:r w:rsidRPr="00E13674">
        <w:rPr>
          <w:b/>
        </w:rPr>
        <w:t>Stage One:  Application Screening</w:t>
      </w:r>
      <w:bookmarkEnd w:id="164"/>
      <w:bookmarkEnd w:id="165"/>
      <w:bookmarkEnd w:id="166"/>
      <w:bookmarkEnd w:id="167"/>
      <w:r w:rsidRPr="00E13674">
        <w:rPr>
          <w:b/>
        </w:rPr>
        <w:t xml:space="preserve"> </w:t>
      </w:r>
      <w:bookmarkEnd w:id="168"/>
      <w:bookmarkEnd w:id="169"/>
    </w:p>
    <w:p w14:paraId="58275728" w14:textId="158A4396"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71" w:name="_Toc339284340"/>
      <w:bookmarkEnd w:id="170"/>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A51775">
      <w:pPr>
        <w:pStyle w:val="ListParagraph"/>
        <w:numPr>
          <w:ilvl w:val="0"/>
          <w:numId w:val="29"/>
        </w:numPr>
        <w:tabs>
          <w:tab w:val="num" w:pos="360"/>
        </w:tabs>
        <w:rPr>
          <w:b/>
        </w:rPr>
      </w:pPr>
      <w:bookmarkStart w:id="172" w:name="_Toc381079933"/>
      <w:bookmarkStart w:id="173" w:name="_Toc382571196"/>
      <w:bookmarkStart w:id="174" w:name="_Toc395180706"/>
      <w:bookmarkStart w:id="175" w:name="_Toc433981335"/>
      <w:bookmarkStart w:id="176" w:name="_Toc360545785"/>
      <w:bookmarkStart w:id="177" w:name="_Toc366671198"/>
      <w:bookmarkStart w:id="178" w:name="Stg2AppScr"/>
      <w:r w:rsidRPr="008E38AF">
        <w:rPr>
          <w:b/>
        </w:rPr>
        <w:t>Stage Two:  Application Scoring</w:t>
      </w:r>
      <w:bookmarkEnd w:id="172"/>
      <w:bookmarkEnd w:id="173"/>
      <w:bookmarkEnd w:id="174"/>
      <w:bookmarkEnd w:id="175"/>
      <w:r w:rsidRPr="008E38AF">
        <w:rPr>
          <w:b/>
        </w:rPr>
        <w:t xml:space="preserve"> </w:t>
      </w:r>
      <w:bookmarkEnd w:id="176"/>
      <w:bookmarkEnd w:id="177"/>
    </w:p>
    <w:bookmarkEnd w:id="178"/>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A51775">
      <w:pPr>
        <w:numPr>
          <w:ilvl w:val="0"/>
          <w:numId w:val="27"/>
        </w:numPr>
        <w:spacing w:after="0"/>
        <w:ind w:left="720"/>
        <w:jc w:val="both"/>
      </w:pPr>
      <w:r w:rsidRPr="004B1445">
        <w:t xml:space="preserve">The scores for each application will be the average of the combined scores of all Evaluation Committee members. </w:t>
      </w:r>
    </w:p>
    <w:p w14:paraId="70110852" w14:textId="0E10B70E" w:rsidR="008C0A71" w:rsidRPr="00624855" w:rsidRDefault="008C0A71" w:rsidP="00A51775">
      <w:pPr>
        <w:numPr>
          <w:ilvl w:val="0"/>
          <w:numId w:val="27"/>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79688ED" w14:textId="277E8EEC" w:rsidR="000E5180" w:rsidRDefault="000E5180" w:rsidP="00A51775">
      <w:pPr>
        <w:numPr>
          <w:ilvl w:val="0"/>
          <w:numId w:val="27"/>
        </w:numPr>
        <w:spacing w:after="0"/>
        <w:ind w:left="720"/>
        <w:jc w:val="both"/>
      </w:pPr>
      <w:r w:rsidRPr="004B1445">
        <w:rPr>
          <w:b/>
        </w:rPr>
        <w:t xml:space="preserve">A minimum score of </w:t>
      </w:r>
      <w:r w:rsidR="00B9661B">
        <w:rPr>
          <w:b/>
        </w:rPr>
        <w:t>105</w:t>
      </w:r>
      <w:r w:rsidRPr="004B1445">
        <w:rPr>
          <w:b/>
        </w:rPr>
        <w:t xml:space="preserve">.0 points </w:t>
      </w:r>
      <w:r w:rsidRPr="004B1445">
        <w:t>is required for</w:t>
      </w:r>
      <w:r w:rsidR="00B9661B">
        <w:t xml:space="preserve"> criteria </w:t>
      </w:r>
      <w:r w:rsidR="008B5B91">
        <w:t>1</w:t>
      </w:r>
      <w:r w:rsidR="0077205A">
        <w:t>-</w:t>
      </w:r>
      <w:r w:rsidR="008B5B91">
        <w:t>8</w:t>
      </w:r>
      <w:r w:rsidR="004B1445">
        <w:t xml:space="preserve"> </w:t>
      </w:r>
      <w:r w:rsidRPr="004B1445">
        <w:t xml:space="preserve">to be eligible for funding.  In addition, the application must receive a minimum score of </w:t>
      </w:r>
      <w:r w:rsidR="00B9661B">
        <w:rPr>
          <w:b/>
        </w:rPr>
        <w:t>52</w:t>
      </w:r>
      <w:r w:rsidRPr="004B1445">
        <w:rPr>
          <w:b/>
        </w:rPr>
        <w:t>.</w:t>
      </w:r>
      <w:r w:rsidR="00B9661B">
        <w:rPr>
          <w:b/>
        </w:rPr>
        <w:t>5</w:t>
      </w:r>
      <w:r w:rsidRPr="004B1445">
        <w:rPr>
          <w:b/>
        </w:rPr>
        <w:t xml:space="preserve">0 points for criteria </w:t>
      </w:r>
      <w:r w:rsidR="00D72DF9">
        <w:rPr>
          <w:b/>
        </w:rPr>
        <w:t>1</w:t>
      </w:r>
      <w:r w:rsidRPr="004B1445">
        <w:rPr>
          <w:b/>
        </w:rPr>
        <w:t>−</w:t>
      </w:r>
      <w:r w:rsidR="00D72DF9">
        <w:rPr>
          <w:b/>
        </w:rPr>
        <w:t>4</w:t>
      </w:r>
      <w:r w:rsidR="000C0CF1">
        <w:rPr>
          <w:b/>
        </w:rPr>
        <w:t>,</w:t>
      </w:r>
      <w:r w:rsidR="00B9661B">
        <w:rPr>
          <w:b/>
        </w:rPr>
        <w:t xml:space="preserve"> and 70</w:t>
      </w:r>
      <w:r w:rsidR="000C0CF1">
        <w:rPr>
          <w:b/>
        </w:rPr>
        <w:t>.00 points for criteria 1-</w:t>
      </w:r>
      <w:r w:rsidR="00AE13A8">
        <w:rPr>
          <w:b/>
        </w:rPr>
        <w:t>7</w:t>
      </w:r>
      <w:r w:rsidRPr="004B1445">
        <w:rPr>
          <w:b/>
        </w:rPr>
        <w:t xml:space="preserve"> </w:t>
      </w:r>
      <w:r w:rsidRPr="004B1445">
        <w:t>to be eligible for funding.</w:t>
      </w:r>
    </w:p>
    <w:p w14:paraId="450FC929" w14:textId="77777777" w:rsidR="00122853" w:rsidRPr="004B1445" w:rsidRDefault="00122853" w:rsidP="00122853">
      <w:pPr>
        <w:spacing w:after="0"/>
        <w:ind w:left="720"/>
        <w:jc w:val="both"/>
      </w:pPr>
    </w:p>
    <w:p w14:paraId="09A4F44D" w14:textId="77777777" w:rsidR="001C2D56" w:rsidRPr="00CF6DED" w:rsidRDefault="001C2D56">
      <w:pPr>
        <w:pStyle w:val="Heading2"/>
        <w:numPr>
          <w:ilvl w:val="0"/>
          <w:numId w:val="56"/>
        </w:numPr>
      </w:pPr>
      <w:bookmarkStart w:id="179" w:name="_Toc87335028"/>
      <w:r w:rsidRPr="00CF6DED">
        <w:t>Ranking, Notice of Proposed Award, and Agreement Development</w:t>
      </w:r>
      <w:bookmarkEnd w:id="179"/>
    </w:p>
    <w:p w14:paraId="183CEF9D" w14:textId="77777777" w:rsidR="003417AD" w:rsidRPr="008E38AF" w:rsidRDefault="003417AD" w:rsidP="00A51775">
      <w:pPr>
        <w:numPr>
          <w:ilvl w:val="0"/>
          <w:numId w:val="24"/>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77777777" w:rsidR="003417AD" w:rsidRPr="00F14D0E" w:rsidRDefault="008F4A0E" w:rsidP="00A51775">
      <w:pPr>
        <w:numPr>
          <w:ilvl w:val="0"/>
          <w:numId w:val="22"/>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 xml:space="preserve">acramento and on its </w:t>
      </w:r>
      <w:proofErr w:type="gramStart"/>
      <w:r w:rsidR="003417AD">
        <w:rPr>
          <w:szCs w:val="22"/>
        </w:rPr>
        <w:t>w</w:t>
      </w:r>
      <w:r w:rsidR="003417AD" w:rsidRPr="0004356A">
        <w:rPr>
          <w:szCs w:val="22"/>
        </w:rPr>
        <w:t>eb</w:t>
      </w:r>
      <w:r w:rsidR="003417AD">
        <w:rPr>
          <w:szCs w:val="22"/>
        </w:rPr>
        <w:t>s</w:t>
      </w:r>
      <w:r w:rsidR="003417AD" w:rsidRPr="0004356A">
        <w:rPr>
          <w:szCs w:val="22"/>
        </w:rPr>
        <w:t>ite, and</w:t>
      </w:r>
      <w:proofErr w:type="gramEnd"/>
      <w:r w:rsidR="003417AD" w:rsidRPr="0004356A">
        <w:rPr>
          <w:szCs w:val="22"/>
        </w:rPr>
        <w:t xml:space="preserve">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A51775">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A51775">
      <w:pPr>
        <w:numPr>
          <w:ilvl w:val="0"/>
          <w:numId w:val="23"/>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A51775">
      <w:pPr>
        <w:numPr>
          <w:ilvl w:val="1"/>
          <w:numId w:val="23"/>
        </w:numPr>
        <w:tabs>
          <w:tab w:val="left" w:pos="1440"/>
        </w:tabs>
        <w:spacing w:after="0"/>
        <w:ind w:left="1440" w:hanging="270"/>
        <w:jc w:val="both"/>
      </w:pPr>
      <w:r w:rsidRPr="0093474F">
        <w:lastRenderedPageBreak/>
        <w:t>Allocate any additional funds to passing applications</w:t>
      </w:r>
      <w:r>
        <w:t>, in rank order</w:t>
      </w:r>
      <w:r w:rsidRPr="0093474F">
        <w:t>;</w:t>
      </w:r>
      <w:r>
        <w:t xml:space="preserve"> and</w:t>
      </w:r>
    </w:p>
    <w:p w14:paraId="3CD861EA" w14:textId="77777777" w:rsidR="00DB723D" w:rsidRDefault="003417AD" w:rsidP="00A51775">
      <w:pPr>
        <w:numPr>
          <w:ilvl w:val="1"/>
          <w:numId w:val="23"/>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A51775">
      <w:pPr>
        <w:numPr>
          <w:ilvl w:val="0"/>
          <w:numId w:val="24"/>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A51775">
      <w:pPr>
        <w:numPr>
          <w:ilvl w:val="0"/>
          <w:numId w:val="21"/>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A51775">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pPr>
        <w:pStyle w:val="Heading2"/>
        <w:numPr>
          <w:ilvl w:val="0"/>
          <w:numId w:val="56"/>
        </w:numPr>
      </w:pPr>
      <w:bookmarkStart w:id="180" w:name="_Toc87335029"/>
      <w:bookmarkStart w:id="181" w:name="_Toc366671196"/>
      <w:r w:rsidRPr="00CF6DED">
        <w:t>Grounds to Reject an Application or Cancel an Award</w:t>
      </w:r>
      <w:bookmarkEnd w:id="180"/>
    </w:p>
    <w:bookmarkEnd w:id="181"/>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pPr>
        <w:pStyle w:val="Heading2"/>
        <w:numPr>
          <w:ilvl w:val="0"/>
          <w:numId w:val="56"/>
        </w:numPr>
      </w:pPr>
      <w:bookmarkStart w:id="182" w:name="_Toc87335030"/>
      <w:r w:rsidRPr="00CF6DED">
        <w:lastRenderedPageBreak/>
        <w:t>Miscellaneous</w:t>
      </w:r>
      <w:bookmarkEnd w:id="182"/>
    </w:p>
    <w:p w14:paraId="5164777B" w14:textId="77777777" w:rsidR="000E331F" w:rsidRPr="00CF255E" w:rsidRDefault="001C2D56" w:rsidP="00A51775">
      <w:pPr>
        <w:pStyle w:val="ListParagraph"/>
        <w:numPr>
          <w:ilvl w:val="0"/>
          <w:numId w:val="30"/>
        </w:numPr>
        <w:tabs>
          <w:tab w:val="num" w:pos="360"/>
        </w:tabs>
        <w:rPr>
          <w:b/>
        </w:rPr>
      </w:pPr>
      <w:bookmarkStart w:id="183" w:name="_Toc381079937"/>
      <w:bookmarkStart w:id="184" w:name="_Toc382571200"/>
      <w:bookmarkStart w:id="185" w:name="_Toc395180710"/>
      <w:bookmarkStart w:id="186" w:name="_Toc433981339"/>
      <w:r w:rsidRPr="00CF255E">
        <w:rPr>
          <w:b/>
        </w:rPr>
        <w:t>Solicitation Cancellation and Amendment</w:t>
      </w:r>
      <w:bookmarkEnd w:id="183"/>
      <w:bookmarkEnd w:id="184"/>
      <w:bookmarkEnd w:id="185"/>
      <w:bookmarkEnd w:id="186"/>
    </w:p>
    <w:p w14:paraId="16489A88" w14:textId="77777777" w:rsidR="00344986" w:rsidRDefault="001C2D56" w:rsidP="00BC0A05">
      <w:bookmarkStart w:id="187" w:name="_Toc381079938"/>
      <w:bookmarkStart w:id="188" w:name="_Toc382571201"/>
      <w:bookmarkStart w:id="189"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87"/>
      <w:bookmarkEnd w:id="188"/>
      <w:bookmarkEnd w:id="189"/>
    </w:p>
    <w:p w14:paraId="7A5D0CA6" w14:textId="77777777" w:rsidR="005E52CD" w:rsidRDefault="001C2D56" w:rsidP="008D60A8">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w:t>
      </w:r>
      <w:proofErr w:type="gramStart"/>
      <w:r w:rsidRPr="00D35C41">
        <w:rPr>
          <w:szCs w:val="22"/>
        </w:rPr>
        <w:t>solicitation, and</w:t>
      </w:r>
      <w:proofErr w:type="gramEnd"/>
      <w:r w:rsidRPr="00D35C41">
        <w:rPr>
          <w:szCs w:val="22"/>
        </w:rPr>
        <w:t xml:space="preserve">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A51775">
      <w:pPr>
        <w:pStyle w:val="ListParagraph"/>
        <w:numPr>
          <w:ilvl w:val="0"/>
          <w:numId w:val="30"/>
        </w:numPr>
        <w:tabs>
          <w:tab w:val="num" w:pos="360"/>
        </w:tabs>
        <w:rPr>
          <w:b/>
        </w:rPr>
      </w:pPr>
      <w:bookmarkStart w:id="190" w:name="_Toc381079939"/>
      <w:bookmarkStart w:id="191" w:name="_Toc382571202"/>
      <w:bookmarkStart w:id="192" w:name="_Toc395180712"/>
      <w:bookmarkStart w:id="193" w:name="_Toc433981340"/>
      <w:r w:rsidRPr="004D0A67">
        <w:rPr>
          <w:b/>
        </w:rPr>
        <w:t>Modification or Withdrawal of Application</w:t>
      </w:r>
      <w:bookmarkEnd w:id="190"/>
      <w:bookmarkEnd w:id="191"/>
      <w:bookmarkEnd w:id="192"/>
      <w:bookmarkEnd w:id="193"/>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A51775">
      <w:pPr>
        <w:pStyle w:val="ListParagraph"/>
        <w:numPr>
          <w:ilvl w:val="0"/>
          <w:numId w:val="30"/>
        </w:numPr>
        <w:tabs>
          <w:tab w:val="num" w:pos="360"/>
        </w:tabs>
        <w:rPr>
          <w:b/>
        </w:rPr>
      </w:pPr>
      <w:bookmarkStart w:id="194" w:name="_Toc381079940"/>
      <w:bookmarkStart w:id="195" w:name="_Toc382571203"/>
      <w:bookmarkStart w:id="196" w:name="_Toc395180713"/>
      <w:bookmarkStart w:id="197" w:name="_Toc433981341"/>
      <w:bookmarkStart w:id="198" w:name="_Toc381079941"/>
      <w:r w:rsidRPr="004D0A67">
        <w:rPr>
          <w:b/>
        </w:rPr>
        <w:t>Confidentiality</w:t>
      </w:r>
      <w:bookmarkEnd w:id="194"/>
      <w:bookmarkEnd w:id="195"/>
      <w:bookmarkEnd w:id="196"/>
      <w:bookmarkEnd w:id="197"/>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A51775">
      <w:pPr>
        <w:pStyle w:val="ListParagraph"/>
        <w:numPr>
          <w:ilvl w:val="0"/>
          <w:numId w:val="30"/>
        </w:numPr>
        <w:tabs>
          <w:tab w:val="num" w:pos="360"/>
        </w:tabs>
        <w:spacing w:after="160"/>
        <w:rPr>
          <w:b/>
        </w:rPr>
      </w:pPr>
      <w:bookmarkStart w:id="199" w:name="_Toc382571204"/>
      <w:bookmarkStart w:id="200" w:name="_Toc395180714"/>
      <w:bookmarkStart w:id="201" w:name="_Toc433981342"/>
      <w:r w:rsidRPr="004D0A67">
        <w:rPr>
          <w:b/>
        </w:rPr>
        <w:t>Solicitation Errors</w:t>
      </w:r>
      <w:bookmarkEnd w:id="198"/>
      <w:bookmarkEnd w:id="199"/>
      <w:bookmarkEnd w:id="200"/>
      <w:bookmarkEnd w:id="201"/>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A51775">
      <w:pPr>
        <w:pStyle w:val="ListParagraph"/>
        <w:numPr>
          <w:ilvl w:val="0"/>
          <w:numId w:val="30"/>
        </w:numPr>
        <w:tabs>
          <w:tab w:val="num" w:pos="360"/>
        </w:tabs>
        <w:rPr>
          <w:b/>
        </w:rPr>
      </w:pPr>
      <w:bookmarkStart w:id="202" w:name="_Toc381079942"/>
      <w:bookmarkStart w:id="203" w:name="_Toc382571205"/>
      <w:bookmarkStart w:id="204" w:name="_Toc395180715"/>
      <w:bookmarkStart w:id="205" w:name="_Toc433981343"/>
      <w:r w:rsidRPr="004D0A67">
        <w:rPr>
          <w:b/>
        </w:rPr>
        <w:t>Immaterial Defect</w:t>
      </w:r>
      <w:bookmarkEnd w:id="202"/>
      <w:bookmarkEnd w:id="203"/>
      <w:bookmarkEnd w:id="204"/>
      <w:bookmarkEnd w:id="205"/>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A51775">
      <w:pPr>
        <w:pStyle w:val="ListParagraph"/>
        <w:numPr>
          <w:ilvl w:val="0"/>
          <w:numId w:val="30"/>
        </w:numPr>
        <w:tabs>
          <w:tab w:val="num" w:pos="360"/>
        </w:tabs>
        <w:rPr>
          <w:b/>
        </w:rPr>
      </w:pPr>
      <w:bookmarkStart w:id="206" w:name="_Toc381079943"/>
      <w:bookmarkStart w:id="207" w:name="_Toc382571206"/>
      <w:bookmarkStart w:id="208" w:name="_Toc395180716"/>
      <w:bookmarkStart w:id="209" w:name="_Toc433981344"/>
      <w:r w:rsidRPr="004D0A67">
        <w:rPr>
          <w:b/>
        </w:rPr>
        <w:t>Disposition of Applicant’s Documents</w:t>
      </w:r>
      <w:bookmarkEnd w:id="206"/>
      <w:bookmarkEnd w:id="207"/>
      <w:bookmarkEnd w:id="208"/>
      <w:bookmarkEnd w:id="209"/>
    </w:p>
    <w:p w14:paraId="1C5213DD" w14:textId="77777777" w:rsidR="001C2D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w:t>
      </w:r>
      <w:proofErr w:type="gramStart"/>
      <w:r>
        <w:rPr>
          <w:szCs w:val="22"/>
        </w:rPr>
        <w:t xml:space="preserve">I, </w:t>
      </w:r>
      <w:r w:rsidRPr="00D35C41">
        <w:rPr>
          <w:szCs w:val="22"/>
        </w:rPr>
        <w:t>and</w:t>
      </w:r>
      <w:proofErr w:type="gramEnd"/>
      <w:r w:rsidRPr="00D35C41">
        <w:rPr>
          <w:szCs w:val="22"/>
        </w:rPr>
        <w:t xml:space="preserve">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pPr>
        <w:pStyle w:val="Heading2"/>
        <w:numPr>
          <w:ilvl w:val="0"/>
          <w:numId w:val="56"/>
        </w:numPr>
      </w:pPr>
      <w:bookmarkStart w:id="210" w:name="_Toc433981345"/>
      <w:bookmarkStart w:id="211" w:name="_Toc87335031"/>
      <w:r w:rsidRPr="00CF6DED">
        <w:lastRenderedPageBreak/>
        <w:t>Stage One:  Application Screening</w:t>
      </w:r>
      <w:bookmarkEnd w:id="210"/>
      <w:bookmarkEnd w:id="2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77777777" w:rsidR="003B7447" w:rsidRDefault="003B7447" w:rsidP="003B7447">
            <w:pPr>
              <w:numPr>
                <w:ilvl w:val="0"/>
                <w:numId w:val="8"/>
              </w:numPr>
              <w:jc w:val="both"/>
            </w:pPr>
            <w:r>
              <w:t>The application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3A0A6F">
            <w:pPr>
              <w:numPr>
                <w:ilvl w:val="0"/>
                <w:numId w:val="8"/>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1DBF9683" w:rsidR="00176ACE" w:rsidRPr="00F134B1" w:rsidRDefault="00176ACE" w:rsidP="003A0A6F">
            <w:pPr>
              <w:pStyle w:val="ListParagraph"/>
              <w:numPr>
                <w:ilvl w:val="0"/>
                <w:numId w:val="8"/>
              </w:numPr>
            </w:pPr>
            <w:r>
              <w:t>The a</w:t>
            </w:r>
            <w:r w:rsidRPr="00176ACE">
              <w:t xml:space="preserve">pplication addresses only one of the eligible project groups,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1A102ADD" w14:textId="77777777"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176ACE">
              <w:rPr>
                <w:sz w:val="20"/>
              </w:rPr>
              <w:t xml:space="preserve">Pass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59FDD4F0" w:rsidR="003B7447" w:rsidRPr="00C5422E" w:rsidRDefault="003B7447" w:rsidP="003A0A6F">
            <w:pPr>
              <w:pStyle w:val="ListParagraph"/>
              <w:numPr>
                <w:ilvl w:val="0"/>
                <w:numId w:val="8"/>
              </w:numPr>
              <w:jc w:val="both"/>
            </w:pPr>
            <w:r w:rsidRPr="00AD3852">
              <w:rPr>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1C77F873" w:rsidR="003B7447" w:rsidRPr="00C31C1D" w:rsidRDefault="003B7447" w:rsidP="003A0A6F">
            <w:pPr>
              <w:numPr>
                <w:ilvl w:val="0"/>
                <w:numId w:val="8"/>
              </w:numPr>
              <w:jc w:val="both"/>
              <w:rPr>
                <w:noProof/>
              </w:rPr>
            </w:pPr>
            <w:bookmarkStart w:id="212" w:name="Screen5"/>
            <w:bookmarkEnd w:id="212"/>
            <w:r w:rsidRPr="00705D02">
              <w:t xml:space="preserve">The Application </w:t>
            </w:r>
            <w:r>
              <w:t xml:space="preserve">includes Commitment Letters </w:t>
            </w:r>
            <w:r w:rsidR="003B256F" w:rsidRPr="0012415A">
              <w:t xml:space="preserve">for </w:t>
            </w:r>
            <w:r w:rsidR="00F86408" w:rsidRPr="0012415A">
              <w:t xml:space="preserve">home sites and </w:t>
            </w:r>
            <w:r w:rsidR="003B256F" w:rsidRPr="0012415A">
              <w:t>optional match share funds.</w:t>
            </w:r>
            <w:r w:rsidRPr="001B6C87">
              <w:rPr>
                <w:color w:val="00B050"/>
              </w:rPr>
              <w:t xml:space="preserve">  </w:t>
            </w:r>
          </w:p>
        </w:tc>
        <w:tc>
          <w:tcPr>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6B1512F1" w:rsidR="003B7447" w:rsidRPr="00705D02" w:rsidRDefault="003B7447" w:rsidP="003A0A6F">
            <w:pPr>
              <w:numPr>
                <w:ilvl w:val="0"/>
                <w:numId w:val="8"/>
              </w:numPr>
              <w:spacing w:after="40"/>
              <w:jc w:val="both"/>
              <w:rPr>
                <w:i/>
                <w:noProof/>
              </w:rPr>
            </w:pPr>
            <w:bookmarkStart w:id="213" w:name="Screen6"/>
            <w:bookmarkEnd w:id="213"/>
            <w:r w:rsidRPr="003E35B7">
              <w:rPr>
                <w:i/>
                <w:snapToGrid w:val="0"/>
              </w:rPr>
              <w:t xml:space="preserve">If </w:t>
            </w:r>
            <w:r w:rsidRPr="00705D02">
              <w:rPr>
                <w:i/>
                <w:snapToGrid w:val="0"/>
              </w:rPr>
              <w:t xml:space="preserve">the project involves </w:t>
            </w:r>
            <w:r>
              <w:rPr>
                <w:i/>
                <w:snapToGrid w:val="0"/>
              </w:rPr>
              <w:t xml:space="preserve">technology </w:t>
            </w:r>
            <w:r w:rsidRPr="00705D02">
              <w:rPr>
                <w:i/>
                <w:snapToGrid w:val="0"/>
              </w:rPr>
              <w:t>demonstration/ deployment activities</w:t>
            </w:r>
            <w:r w:rsidR="009515B4">
              <w:rPr>
                <w:i/>
                <w:snapToGrid w:val="0"/>
              </w:rPr>
              <w:t>:</w:t>
            </w:r>
          </w:p>
          <w:p w14:paraId="050DA084" w14:textId="77777777" w:rsidR="003B7447" w:rsidRPr="00705D02" w:rsidRDefault="003B7447" w:rsidP="00A51775">
            <w:pPr>
              <w:numPr>
                <w:ilvl w:val="0"/>
                <w:numId w:val="31"/>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A51775">
            <w:pPr>
              <w:numPr>
                <w:ilvl w:val="0"/>
                <w:numId w:val="31"/>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3D791441" w:rsidR="003B7447" w:rsidRPr="00C31C1D" w:rsidRDefault="003B7447" w:rsidP="00A51775">
            <w:pPr>
              <w:numPr>
                <w:ilvl w:val="0"/>
                <w:numId w:val="31"/>
              </w:numPr>
              <w:spacing w:after="0"/>
              <w:ind w:left="1080"/>
              <w:jc w:val="both"/>
              <w:rPr>
                <w:noProof/>
              </w:rPr>
            </w:pPr>
            <w:r>
              <w:rPr>
                <w:szCs w:val="22"/>
              </w:rPr>
              <w:t>T</w:t>
            </w:r>
            <w:r w:rsidRPr="00C74F11">
              <w:rPr>
                <w:szCs w:val="22"/>
              </w:rPr>
              <w:t>he proposal includes a site commitment letter (Section III.</w:t>
            </w:r>
            <w:r w:rsidR="00630110">
              <w:rPr>
                <w:szCs w:val="22"/>
              </w:rPr>
              <w:t>C</w:t>
            </w:r>
            <w:r w:rsidRPr="00C74F11">
              <w:rPr>
                <w:szCs w:val="22"/>
              </w:rPr>
              <w:t>.1</w:t>
            </w:r>
            <w:r w:rsidR="00481432">
              <w:rPr>
                <w:szCs w:val="22"/>
              </w:rPr>
              <w:t>2</w:t>
            </w:r>
            <w:r w:rsidRPr="00C74F11">
              <w:rPr>
                <w:szCs w:val="22"/>
              </w:rPr>
              <w:t>)</w:t>
            </w:r>
            <w:r>
              <w:rPr>
                <w:szCs w:val="22"/>
              </w:rPr>
              <w:t xml:space="preserve"> for each demonstration/ deployment site</w:t>
            </w:r>
            <w:r w:rsidRPr="00C74F11">
              <w:rPr>
                <w:szCs w:val="22"/>
              </w:rPr>
              <w:t>.</w:t>
            </w:r>
          </w:p>
        </w:tc>
        <w:tc>
          <w:tcPr>
            <w:tcW w:w="2119" w:type="dxa"/>
          </w:tcPr>
          <w:p w14:paraId="1E06BF7E"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pPr>
        <w:pStyle w:val="Heading2"/>
        <w:numPr>
          <w:ilvl w:val="0"/>
          <w:numId w:val="56"/>
        </w:numPr>
      </w:pPr>
      <w:bookmarkStart w:id="214" w:name="_Toc433981346"/>
      <w:bookmarkStart w:id="215" w:name="_Toc87335032"/>
      <w:r w:rsidRPr="00CF6DED">
        <w:lastRenderedPageBreak/>
        <w:t xml:space="preserve">Stage </w:t>
      </w:r>
      <w:r w:rsidR="00DB3B66" w:rsidRPr="00CF6DED">
        <w:t>Two</w:t>
      </w:r>
      <w:r w:rsidRPr="00CF6DED">
        <w:t>:  Application Sc</w:t>
      </w:r>
      <w:r w:rsidR="00DB3B66" w:rsidRPr="00CF6DED">
        <w:t>oring</w:t>
      </w:r>
      <w:bookmarkEnd w:id="214"/>
      <w:bookmarkEnd w:id="215"/>
    </w:p>
    <w:bookmarkEnd w:id="171"/>
    <w:p w14:paraId="3F044960" w14:textId="3D3DC389"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w:t>
      </w:r>
      <w:proofErr w:type="gramStart"/>
      <w:r w:rsidRPr="00C36CCE">
        <w:t>points, and</w:t>
      </w:r>
      <w:proofErr w:type="gramEnd"/>
      <w:r w:rsidRPr="00C36CCE">
        <w:t xml:space="preserve">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1B6C87">
        <w:trPr>
          <w:trHeight w:val="800"/>
          <w:tblHeader/>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xml:space="preserve">% </w:t>
            </w:r>
            <w:proofErr w:type="gramStart"/>
            <w:r w:rsidRPr="00050087">
              <w:rPr>
                <w:b/>
                <w:szCs w:val="22"/>
              </w:rPr>
              <w:t>of</w:t>
            </w:r>
            <w:proofErr w:type="gramEnd"/>
            <w:r w:rsidRPr="00050087">
              <w:rPr>
                <w:b/>
                <w:szCs w:val="22"/>
              </w:rPr>
              <w:t xml:space="preserve">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728D2AEA" w14:textId="22B82811" w:rsidR="002E0FEE" w:rsidRDefault="001C2D56" w:rsidP="002E0FEE">
      <w:pPr>
        <w:jc w:val="center"/>
        <w:rPr>
          <w:b/>
          <w:caps/>
          <w:u w:val="single"/>
        </w:rPr>
      </w:pPr>
      <w:r w:rsidRPr="00C31C1D">
        <w:br w:type="page"/>
      </w:r>
      <w:bookmarkEnd w:id="161"/>
      <w:bookmarkEnd w:id="162"/>
      <w:bookmarkEnd w:id="163"/>
      <w:r w:rsidR="002E0FEE">
        <w:rPr>
          <w:b/>
          <w:caps/>
          <w:u w:val="single"/>
        </w:rPr>
        <w:lastRenderedPageBreak/>
        <w:t>Scoring CRITERIA</w:t>
      </w:r>
    </w:p>
    <w:p w14:paraId="2CB45981" w14:textId="19F95E9D" w:rsidR="002E0FEE" w:rsidRDefault="002E0FEE" w:rsidP="002E0FEE">
      <w:pPr>
        <w:jc w:val="both"/>
        <w:rPr>
          <w:rStyle w:val="Heading3Char"/>
        </w:rPr>
      </w:pPr>
      <w:r w:rsidRPr="72192A6E">
        <w:rPr>
          <w:b/>
          <w:bCs/>
        </w:rPr>
        <w:t>The following scoring criteria is for Group</w:t>
      </w:r>
      <w:r w:rsidR="00DD62E9">
        <w:rPr>
          <w:b/>
          <w:bCs/>
        </w:rPr>
        <w:t>s</w:t>
      </w:r>
      <w:r w:rsidRPr="72192A6E">
        <w:rPr>
          <w:b/>
          <w:bCs/>
        </w:rPr>
        <w:t xml:space="preserve"> 1 </w:t>
      </w:r>
      <w:r w:rsidR="005E7464">
        <w:rPr>
          <w:b/>
          <w:bCs/>
        </w:rPr>
        <w:t>and 2</w:t>
      </w:r>
      <w:r w:rsidRPr="72192A6E">
        <w:rPr>
          <w:b/>
          <w:bCs/>
        </w:rPr>
        <w:t xml:space="preserve">.  </w:t>
      </w:r>
    </w:p>
    <w:p w14:paraId="298C09C9" w14:textId="1DDA8581" w:rsidR="003A2FCD" w:rsidRDefault="003A2FCD" w:rsidP="003A2FCD">
      <w:pPr>
        <w:spacing w:after="0"/>
        <w:jc w:val="center"/>
        <w:rPr>
          <w:b/>
          <w:caps/>
          <w:sz w:val="28"/>
          <w:u w:val="single"/>
        </w:rPr>
      </w:pPr>
      <w:r w:rsidRPr="003A2FCD">
        <w:rPr>
          <w:b/>
          <w:caps/>
          <w:sz w:val="28"/>
          <w:u w:val="single"/>
        </w:rPr>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pPr>
              <w:pStyle w:val="ListParagraph"/>
              <w:numPr>
                <w:ilvl w:val="0"/>
                <w:numId w:val="62"/>
              </w:numPr>
              <w:spacing w:after="0"/>
            </w:pPr>
            <w:r>
              <w:t>S</w:t>
            </w:r>
            <w:r w:rsidRPr="00616F23">
              <w:t>ignificant deviation from agreement requirements</w:t>
            </w:r>
            <w:r w:rsidR="003A2FCD">
              <w:t>;</w:t>
            </w:r>
          </w:p>
          <w:p w14:paraId="4A09E145" w14:textId="77777777" w:rsidR="00402E98" w:rsidRDefault="00402E98">
            <w:pPr>
              <w:pStyle w:val="ListParagraph"/>
              <w:numPr>
                <w:ilvl w:val="0"/>
                <w:numId w:val="62"/>
              </w:numPr>
              <w:spacing w:after="0"/>
            </w:pPr>
            <w:r>
              <w:t>T</w:t>
            </w:r>
            <w:r w:rsidRPr="00616F23">
              <w:t>ermination with cause</w:t>
            </w:r>
            <w:r w:rsidR="003A2FCD">
              <w:t>;</w:t>
            </w:r>
          </w:p>
          <w:p w14:paraId="7813E583" w14:textId="24422B94" w:rsidR="00402E98" w:rsidRPr="004849ED" w:rsidRDefault="004849ED">
            <w:pPr>
              <w:pStyle w:val="ListParagraph"/>
              <w:numPr>
                <w:ilvl w:val="0"/>
                <w:numId w:val="62"/>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inability, due to circumstances within its control, from materially completing the project</w:t>
            </w:r>
            <w:r w:rsidR="003A2FCD">
              <w:t>;</w:t>
            </w:r>
          </w:p>
          <w:p w14:paraId="2E58BD70" w14:textId="7A0ACE29" w:rsidR="00402E98" w:rsidRDefault="00402E98">
            <w:pPr>
              <w:pStyle w:val="ListParagraph"/>
              <w:numPr>
                <w:ilvl w:val="0"/>
                <w:numId w:val="62"/>
              </w:numPr>
              <w:spacing w:after="0"/>
            </w:pPr>
            <w:r>
              <w:t>Quality issues with deliverables including poorly written final report that prevents publishing</w:t>
            </w:r>
            <w:r w:rsidR="005E70DB">
              <w:t>; and</w:t>
            </w:r>
          </w:p>
          <w:p w14:paraId="1D684C6E" w14:textId="77777777" w:rsidR="00402E98" w:rsidRDefault="00402E98">
            <w:pPr>
              <w:pStyle w:val="ListParagraph"/>
              <w:numPr>
                <w:ilvl w:val="0"/>
                <w:numId w:val="62"/>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308D33E9" w14:textId="77777777" w:rsidR="00E11D1E" w:rsidRDefault="00E11D1E" w:rsidP="008B1592">
      <w:pPr>
        <w:tabs>
          <w:tab w:val="left" w:pos="1530"/>
        </w:tabs>
        <w:jc w:val="center"/>
        <w:rPr>
          <w:b/>
          <w:caps/>
          <w:u w:val="single"/>
        </w:rPr>
      </w:pPr>
    </w:p>
    <w:p w14:paraId="6D546A54" w14:textId="4DCC4559" w:rsidR="008B1592" w:rsidRDefault="00EF3B73" w:rsidP="008B1592">
      <w:pPr>
        <w:tabs>
          <w:tab w:val="left" w:pos="1530"/>
        </w:tabs>
        <w:jc w:val="center"/>
        <w:rPr>
          <w:b/>
          <w:szCs w:val="24"/>
        </w:rPr>
      </w:pPr>
      <w:r>
        <w:rPr>
          <w:b/>
          <w:caps/>
          <w:u w:val="single"/>
        </w:rPr>
        <w:t xml:space="preserve"> </w:t>
      </w:r>
      <w:r w:rsidR="008B1592" w:rsidRPr="00EA02BA">
        <w:rPr>
          <w:b/>
          <w:caps/>
          <w:sz w:val="28"/>
          <w:u w:val="single"/>
        </w:rPr>
        <w:t>Scoring CRITERIA</w:t>
      </w:r>
    </w:p>
    <w:p w14:paraId="468BE425" w14:textId="340D3D8C" w:rsidR="00616F23" w:rsidRDefault="008B1592" w:rsidP="008B1592">
      <w:pPr>
        <w:rPr>
          <w:szCs w:val="24"/>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p w14:paraId="7AFEFDC5" w14:textId="77777777" w:rsidR="00E11D1E" w:rsidRDefault="00E11D1E" w:rsidP="008B1592">
      <w:pPr>
        <w:rPr>
          <w:b/>
          <w:caps/>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0616F23">
        <w:trPr>
          <w:trHeight w:val="550"/>
          <w:tblHeader/>
        </w:trPr>
        <w:tc>
          <w:tcPr>
            <w:tcW w:w="8362" w:type="dxa"/>
            <w:shd w:val="clear" w:color="auto" w:fill="D9D9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03F6147">
        <w:tc>
          <w:tcPr>
            <w:tcW w:w="8362" w:type="dxa"/>
          </w:tcPr>
          <w:p w14:paraId="1C3CEC2F" w14:textId="77777777" w:rsidR="00616F23" w:rsidRPr="00616F23" w:rsidRDefault="00616F23">
            <w:pPr>
              <w:numPr>
                <w:ilvl w:val="0"/>
                <w:numId w:val="40"/>
              </w:numPr>
              <w:spacing w:before="120"/>
              <w:jc w:val="both"/>
              <w:rPr>
                <w:rFonts w:cs="Times New Roman"/>
                <w:b/>
                <w:bCs/>
                <w:smallCaps/>
              </w:rPr>
            </w:pPr>
            <w:bookmarkStart w:id="216" w:name="_Toc366671201"/>
            <w:r w:rsidRPr="00616F23">
              <w:rPr>
                <w:b/>
              </w:rPr>
              <w:t>Technical Merit</w:t>
            </w:r>
            <w:bookmarkEnd w:id="216"/>
            <w:r w:rsidRPr="00616F23">
              <w:rPr>
                <w:b/>
              </w:rPr>
              <w:t xml:space="preserve"> </w:t>
            </w:r>
          </w:p>
          <w:p w14:paraId="683D955F" w14:textId="77777777" w:rsidR="00616F23" w:rsidRPr="00616F23" w:rsidRDefault="00616F23" w:rsidP="002F33A5">
            <w:pPr>
              <w:numPr>
                <w:ilvl w:val="0"/>
                <w:numId w:val="15"/>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2F33A5">
            <w:pPr>
              <w:numPr>
                <w:ilvl w:val="0"/>
                <w:numId w:val="15"/>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2F33A5">
            <w:pPr>
              <w:numPr>
                <w:ilvl w:val="0"/>
                <w:numId w:val="15"/>
              </w:numPr>
              <w:spacing w:before="240"/>
              <w:ind w:left="1140"/>
              <w:jc w:val="both"/>
            </w:pPr>
            <w:r w:rsidRPr="00616F23">
              <w:lastRenderedPageBreak/>
              <w:t>Provides the proposed technical specifications and describe how the project will meet or exceed the technical specifications by the end of the project.</w:t>
            </w:r>
          </w:p>
          <w:p w14:paraId="5C2345C9" w14:textId="77777777" w:rsidR="00616F23" w:rsidRPr="00616F23" w:rsidRDefault="00616F23" w:rsidP="002F33A5">
            <w:pPr>
              <w:numPr>
                <w:ilvl w:val="0"/>
                <w:numId w:val="15"/>
              </w:numPr>
              <w:ind w:left="1140"/>
              <w:jc w:val="both"/>
            </w:pPr>
            <w:r w:rsidRPr="00616F23">
              <w:t>Describes the technology readiness level (TRL) the proposed technology has achieved and the expected TRL by the end of the project.</w:t>
            </w:r>
          </w:p>
          <w:p w14:paraId="39D130D9" w14:textId="77777777" w:rsidR="00616F23" w:rsidRPr="00616F23" w:rsidRDefault="00616F23" w:rsidP="002F33A5">
            <w:pPr>
              <w:numPr>
                <w:ilvl w:val="0"/>
                <w:numId w:val="15"/>
              </w:numPr>
              <w:ind w:left="1140"/>
              <w:jc w:val="both"/>
            </w:pPr>
            <w:r w:rsidRPr="00616F23">
              <w:t>Describes at what scale the technology has been successfully demonstrated, including size or capacity, number of previous installations, location and duration, results, etc.</w:t>
            </w:r>
          </w:p>
          <w:p w14:paraId="0B49957F" w14:textId="77777777" w:rsidR="00616F23" w:rsidRDefault="00616F23" w:rsidP="004C5C13">
            <w:pPr>
              <w:numPr>
                <w:ilvl w:val="0"/>
                <w:numId w:val="15"/>
              </w:numPr>
              <w:ind w:left="1140"/>
              <w:jc w:val="both"/>
            </w:pPr>
            <w:r w:rsidRPr="00616F23">
              <w:t>Describes how the proposed demonstration will lead to increased adoption of the technology in California.</w:t>
            </w:r>
          </w:p>
          <w:p w14:paraId="22BE3CC5" w14:textId="2D4FC4E7" w:rsidR="00C3543F" w:rsidRPr="00616F23" w:rsidRDefault="00C3543F" w:rsidP="004C5C13">
            <w:pPr>
              <w:numPr>
                <w:ilvl w:val="0"/>
                <w:numId w:val="15"/>
              </w:numPr>
              <w:ind w:left="1140"/>
              <w:jc w:val="both"/>
            </w:pPr>
            <w:r>
              <w:t>Provides information described in Section I.C.</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003F6147">
        <w:tc>
          <w:tcPr>
            <w:tcW w:w="8362" w:type="dxa"/>
          </w:tcPr>
          <w:p w14:paraId="3F26217C" w14:textId="77777777" w:rsidR="00616F23" w:rsidRPr="00616F23" w:rsidRDefault="00616F23">
            <w:pPr>
              <w:numPr>
                <w:ilvl w:val="0"/>
                <w:numId w:val="40"/>
              </w:numPr>
              <w:spacing w:before="120"/>
              <w:jc w:val="both"/>
              <w:rPr>
                <w:rFonts w:cs="Times New Roman"/>
                <w:b/>
                <w:bCs/>
                <w:smallCaps/>
              </w:rPr>
            </w:pPr>
            <w:bookmarkStart w:id="217" w:name="_Toc366671202"/>
            <w:r w:rsidRPr="00616F23">
              <w:rPr>
                <w:b/>
              </w:rPr>
              <w:t>Technical Approach</w:t>
            </w:r>
            <w:bookmarkEnd w:id="217"/>
            <w:r w:rsidRPr="00616F23">
              <w:rPr>
                <w:b/>
              </w:rPr>
              <w:t xml:space="preserve"> </w:t>
            </w:r>
          </w:p>
          <w:p w14:paraId="34DF631F" w14:textId="77777777" w:rsidR="00616F23" w:rsidRPr="00616F23" w:rsidRDefault="00616F23">
            <w:pPr>
              <w:numPr>
                <w:ilvl w:val="0"/>
                <w:numId w:val="63"/>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pPr>
              <w:numPr>
                <w:ilvl w:val="0"/>
                <w:numId w:val="63"/>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pPr>
              <w:numPr>
                <w:ilvl w:val="0"/>
                <w:numId w:val="63"/>
              </w:numPr>
              <w:ind w:left="1140"/>
              <w:jc w:val="both"/>
            </w:pPr>
            <w:r w:rsidRPr="00616F23">
              <w:t>Proposal identifies the reliability that the project and site recommendations as described will be carried out if funds are awarded.</w:t>
            </w:r>
          </w:p>
          <w:p w14:paraId="790C074F" w14:textId="77777777" w:rsidR="00616F23" w:rsidRPr="00616F23" w:rsidRDefault="00616F23">
            <w:pPr>
              <w:numPr>
                <w:ilvl w:val="0"/>
                <w:numId w:val="63"/>
              </w:numPr>
              <w:ind w:left="1140"/>
              <w:jc w:val="both"/>
            </w:pPr>
            <w:r w:rsidRPr="00616F23">
              <w:t>Identifies and discusses factors critical for success, in addition to risks, barriers, and limitations (</w:t>
            </w:r>
            <w:proofErr w:type="gramStart"/>
            <w:r w:rsidRPr="00616F23">
              <w:t>e.g.</w:t>
            </w:r>
            <w:proofErr w:type="gramEnd"/>
            <w:r w:rsidRPr="00616F23">
              <w:t xml:space="preserve"> loss of demonstration site, key subcontractor).  Provides a plan to address them. </w:t>
            </w:r>
          </w:p>
          <w:p w14:paraId="5D8149D9" w14:textId="77777777" w:rsidR="00616F23" w:rsidRPr="00616F23" w:rsidRDefault="00616F23">
            <w:pPr>
              <w:numPr>
                <w:ilvl w:val="0"/>
                <w:numId w:val="63"/>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088F8CE9" w:rsidR="00616F23" w:rsidRPr="00616F23" w:rsidRDefault="00616F23">
            <w:pPr>
              <w:numPr>
                <w:ilvl w:val="0"/>
                <w:numId w:val="63"/>
              </w:numPr>
              <w:ind w:left="1140"/>
              <w:jc w:val="both"/>
            </w:pPr>
            <w:r w:rsidRPr="00616F23">
              <w:t>Describes the technology transfer plan to assess and advance the commercial viability of the technology.</w:t>
            </w:r>
          </w:p>
          <w:p w14:paraId="691305A1" w14:textId="77777777" w:rsidR="00616F23" w:rsidRPr="00616F23" w:rsidRDefault="00616F23">
            <w:pPr>
              <w:numPr>
                <w:ilvl w:val="0"/>
                <w:numId w:val="63"/>
              </w:numPr>
              <w:ind w:left="1140"/>
              <w:jc w:val="both"/>
            </w:pPr>
            <w:r w:rsidRPr="00616F23">
              <w:t>Provides a clear and plausible measurement and verification plan that describes how energy savings and other benefits specified in the application will be determined and measured.</w:t>
            </w:r>
          </w:p>
          <w:p w14:paraId="13E51BFA" w14:textId="77777777" w:rsidR="00616F23" w:rsidRPr="001B6C87" w:rsidRDefault="00616F23">
            <w:pPr>
              <w:numPr>
                <w:ilvl w:val="0"/>
                <w:numId w:val="63"/>
              </w:numPr>
              <w:ind w:left="1140"/>
              <w:jc w:val="both"/>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III.D.</w:t>
            </w:r>
            <w:r w:rsidR="002B14DD">
              <w:t>3.</w:t>
            </w:r>
            <w:r w:rsidRPr="00616F23">
              <w:t>, and Section III.D.8</w:t>
            </w:r>
            <w:r w:rsidRPr="004C5C13" w:rsidDel="00520068">
              <w:rPr>
                <w:color w:val="0070C0"/>
              </w:rPr>
              <w:t xml:space="preserve"> </w:t>
            </w:r>
          </w:p>
          <w:p w14:paraId="72F67371" w14:textId="496F4FAA" w:rsidR="00C3543F" w:rsidRPr="004C5C13" w:rsidRDefault="00C3543F">
            <w:pPr>
              <w:numPr>
                <w:ilvl w:val="0"/>
                <w:numId w:val="63"/>
              </w:numPr>
              <w:ind w:left="1140"/>
              <w:jc w:val="both"/>
              <w:rPr>
                <w:rFonts w:cs="Times New Roman"/>
                <w:b/>
                <w:smallCaps/>
                <w:color w:val="FF0000"/>
              </w:rPr>
            </w:pPr>
            <w:r w:rsidRPr="00616F23">
              <w:t>Provides information</w:t>
            </w:r>
            <w:r>
              <w:t xml:space="preserve"> described in Section I.C.</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616F23" w:rsidRDefault="00616F23">
            <w:pPr>
              <w:numPr>
                <w:ilvl w:val="0"/>
                <w:numId w:val="40"/>
              </w:numPr>
              <w:spacing w:before="120"/>
              <w:jc w:val="both"/>
              <w:rPr>
                <w:rFonts w:cs="Times New Roman"/>
                <w:b/>
                <w:bCs/>
                <w:smallCaps/>
              </w:rPr>
            </w:pPr>
            <w:bookmarkStart w:id="218" w:name="_Toc366671203"/>
            <w:r w:rsidRPr="00616F23">
              <w:rPr>
                <w:b/>
              </w:rPr>
              <w:t>Impacts and Benefits for California</w:t>
            </w:r>
            <w:bookmarkEnd w:id="218"/>
            <w:r w:rsidRPr="00616F23">
              <w:rPr>
                <w:b/>
              </w:rPr>
              <w:t xml:space="preserve"> IOU Ratepayers </w:t>
            </w:r>
          </w:p>
          <w:p w14:paraId="39D1E45B" w14:textId="77777777" w:rsidR="00616F23" w:rsidRPr="00616F23" w:rsidRDefault="00616F23" w:rsidP="00A51775">
            <w:pPr>
              <w:numPr>
                <w:ilvl w:val="0"/>
                <w:numId w:val="16"/>
              </w:numPr>
              <w:spacing w:after="60"/>
              <w:ind w:left="1140"/>
              <w:jc w:val="both"/>
            </w:pPr>
            <w:r w:rsidRPr="00616F23">
              <w:t xml:space="preserve">Explains how the proposed project will benefit California Investor-Owned Utility (IOU) ratepayers and provides clear, plausible, and justifiable </w:t>
            </w:r>
            <w:r w:rsidRPr="00616F23">
              <w:lastRenderedPageBreak/>
              <w:t xml:space="preserve">(quantitative preferred) potential benefits. Estimates the energy benefits including: </w:t>
            </w:r>
          </w:p>
          <w:p w14:paraId="443240F0" w14:textId="7921902F" w:rsidR="00616F23" w:rsidRPr="0012415A" w:rsidRDefault="00616F23" w:rsidP="00A51775">
            <w:pPr>
              <w:numPr>
                <w:ilvl w:val="1"/>
                <w:numId w:val="33"/>
              </w:numPr>
              <w:spacing w:after="60"/>
              <w:jc w:val="both"/>
            </w:pPr>
            <w:r w:rsidRPr="0012415A">
              <w:t>annual electricity (EPIC) (kilowatt-hour), energy cost reductions, peak load reduction and/or shifting, infrastructure resiliency, infrastructure reliability.</w:t>
            </w:r>
          </w:p>
          <w:p w14:paraId="56F214C6" w14:textId="77777777" w:rsidR="00616F23" w:rsidRPr="0012415A" w:rsidRDefault="00616F23" w:rsidP="00616F23">
            <w:pPr>
              <w:spacing w:after="60"/>
              <w:ind w:left="720"/>
              <w:jc w:val="both"/>
              <w:rPr>
                <w:b/>
              </w:rPr>
            </w:pPr>
            <w:r w:rsidRPr="0012415A">
              <w:rPr>
                <w:b/>
              </w:rPr>
              <w:t xml:space="preserve">In addition, estimates the non-energy benefits including: </w:t>
            </w:r>
          </w:p>
          <w:p w14:paraId="2013C4C0" w14:textId="77777777" w:rsidR="00616F23" w:rsidRPr="0012415A" w:rsidRDefault="00616F23" w:rsidP="00A51775">
            <w:pPr>
              <w:numPr>
                <w:ilvl w:val="0"/>
                <w:numId w:val="32"/>
              </w:numPr>
              <w:spacing w:after="60"/>
              <w:jc w:val="both"/>
            </w:pPr>
            <w:r w:rsidRPr="0012415A">
              <w:t>greenhouse gas emission reductions, air emission reductions (</w:t>
            </w:r>
            <w:proofErr w:type="gramStart"/>
            <w:r w:rsidRPr="0012415A">
              <w:t>e.g.</w:t>
            </w:r>
            <w:proofErr w:type="gramEnd"/>
            <w:r w:rsidRPr="0012415A">
              <w:t xml:space="preserve"> NOx), water savings and cost reduction, and/or increased safety.</w:t>
            </w:r>
          </w:p>
          <w:p w14:paraId="316FC4E7" w14:textId="77777777" w:rsidR="00616F23" w:rsidRPr="0012415A" w:rsidRDefault="00616F23" w:rsidP="00A51775">
            <w:pPr>
              <w:numPr>
                <w:ilvl w:val="0"/>
                <w:numId w:val="16"/>
              </w:numPr>
              <w:spacing w:after="60"/>
              <w:ind w:left="1140"/>
              <w:jc w:val="both"/>
            </w:pPr>
            <w:r w:rsidRPr="0012415A">
              <w:t xml:space="preserve">States the timeframe, assumptions with sources, and calculations for the estimated benefits, and explains their reasonableness. Include baseline or “business as usual” over timeframe. </w:t>
            </w:r>
          </w:p>
          <w:p w14:paraId="1DB1EDCF" w14:textId="77777777" w:rsidR="00616F23" w:rsidRPr="0012415A" w:rsidRDefault="00616F23" w:rsidP="00A51775">
            <w:pPr>
              <w:numPr>
                <w:ilvl w:val="0"/>
                <w:numId w:val="16"/>
              </w:numPr>
              <w:spacing w:after="60"/>
              <w:ind w:left="1140"/>
              <w:jc w:val="both"/>
            </w:pPr>
            <w:r w:rsidRPr="0012415A">
              <w:t>Explains the path-to-market strategy including near-term (</w:t>
            </w:r>
            <w:proofErr w:type="gramStart"/>
            <w:r w:rsidRPr="0012415A">
              <w:t>i.e.</w:t>
            </w:r>
            <w:proofErr w:type="gramEnd"/>
            <w:r w:rsidRPr="0012415A">
              <w:t xml:space="preserve"> initial target markets), mid-term, and long-term markets for the technology, size and penetration or deployment rates, and underlying assumptions.</w:t>
            </w:r>
          </w:p>
          <w:p w14:paraId="7A9C8222" w14:textId="77777777" w:rsidR="00616F23" w:rsidRPr="0012415A" w:rsidRDefault="00616F23" w:rsidP="00A51775">
            <w:pPr>
              <w:numPr>
                <w:ilvl w:val="0"/>
                <w:numId w:val="16"/>
              </w:numPr>
              <w:spacing w:after="60"/>
              <w:ind w:left="1140"/>
              <w:jc w:val="both"/>
            </w:pPr>
            <w:r w:rsidRPr="0012415A">
              <w:t>Identifies the expected financial performance (</w:t>
            </w:r>
            <w:proofErr w:type="gramStart"/>
            <w:r w:rsidRPr="0012415A">
              <w:t>e.g.</w:t>
            </w:r>
            <w:proofErr w:type="gramEnd"/>
            <w:r w:rsidRPr="0012415A">
              <w:t xml:space="preserve"> payback period, ROI) of the demonstration at scale. </w:t>
            </w:r>
          </w:p>
          <w:p w14:paraId="11482DE3" w14:textId="39710832" w:rsidR="00616F23" w:rsidRPr="00616F23" w:rsidRDefault="00616F23" w:rsidP="00A51775">
            <w:pPr>
              <w:numPr>
                <w:ilvl w:val="0"/>
                <w:numId w:val="16"/>
              </w:numPr>
              <w:spacing w:after="60"/>
              <w:ind w:left="1140"/>
              <w:jc w:val="both"/>
            </w:pPr>
            <w:r w:rsidRPr="0012415A">
              <w:t xml:space="preserve">Identifies the specific programs which the technology intends to leverage. </w:t>
            </w:r>
            <w:r w:rsidRPr="0012415A">
              <w:rPr>
                <w:i/>
              </w:rPr>
              <w:t>(</w:t>
            </w:r>
            <w:proofErr w:type="gramStart"/>
            <w:r w:rsidRPr="0012415A">
              <w:rPr>
                <w:i/>
              </w:rPr>
              <w:t>e.g.</w:t>
            </w:r>
            <w:proofErr w:type="gramEnd"/>
            <w:r w:rsidRPr="0012415A">
              <w:rPr>
                <w:i/>
              </w:rPr>
              <w:t xml:space="preserve"> feed-in tariffs, IOU rebates, demand response, storage procurement) and extent to which technology meets program requirements.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03F6147">
        <w:trPr>
          <w:trHeight w:val="3248"/>
        </w:trPr>
        <w:tc>
          <w:tcPr>
            <w:tcW w:w="8362" w:type="dxa"/>
          </w:tcPr>
          <w:p w14:paraId="2A1AC25C" w14:textId="77777777" w:rsidR="00616F23" w:rsidRPr="00616F23" w:rsidRDefault="00616F23">
            <w:pPr>
              <w:numPr>
                <w:ilvl w:val="0"/>
                <w:numId w:val="40"/>
              </w:numPr>
              <w:spacing w:before="120"/>
              <w:jc w:val="both"/>
              <w:rPr>
                <w:rFonts w:cs="Times New Roman"/>
                <w:b/>
                <w:bCs/>
                <w:smallCaps/>
              </w:rPr>
            </w:pPr>
            <w:bookmarkStart w:id="219" w:name="_Toc366671205"/>
            <w:r w:rsidRPr="00616F23">
              <w:rPr>
                <w:b/>
              </w:rPr>
              <w:t>Team Qualifications, Capabilities, and Resources</w:t>
            </w:r>
            <w:bookmarkEnd w:id="219"/>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12415A" w:rsidRDefault="00616F23" w:rsidP="00A51775">
            <w:pPr>
              <w:numPr>
                <w:ilvl w:val="0"/>
                <w:numId w:val="17"/>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 xml:space="preserve">(include this information in the Project Team </w:t>
            </w:r>
            <w:r w:rsidRPr="0012415A">
              <w:rPr>
                <w:i/>
              </w:rPr>
              <w:t>Form).</w:t>
            </w:r>
          </w:p>
          <w:p w14:paraId="495370AF" w14:textId="085DFE14" w:rsidR="00616F23" w:rsidRPr="0012415A" w:rsidRDefault="00616F23" w:rsidP="00A51775">
            <w:pPr>
              <w:numPr>
                <w:ilvl w:val="0"/>
                <w:numId w:val="17"/>
              </w:numPr>
              <w:ind w:left="1140"/>
              <w:jc w:val="both"/>
            </w:pPr>
            <w:r w:rsidRPr="0012415A">
              <w:t xml:space="preserve">Demonstrates that the project team </w:t>
            </w:r>
            <w:r w:rsidRPr="0012415A">
              <w:rPr>
                <w:iCs/>
              </w:rPr>
              <w:t>including Community Based Organization</w:t>
            </w:r>
            <w:r w:rsidRPr="0012415A">
              <w:t xml:space="preserve"> has appropriate qualifications, experience, financial stability and capability to complete the project.</w:t>
            </w:r>
          </w:p>
          <w:p w14:paraId="2116B3D5" w14:textId="77777777" w:rsidR="00616F23" w:rsidRPr="0012415A" w:rsidRDefault="00616F23" w:rsidP="00A51775">
            <w:pPr>
              <w:numPr>
                <w:ilvl w:val="0"/>
                <w:numId w:val="17"/>
              </w:numPr>
              <w:ind w:left="1140"/>
              <w:jc w:val="both"/>
            </w:pPr>
            <w:r w:rsidRPr="0012415A">
              <w:t>Explains the team structure and how various tasks will be managed and coordinated.</w:t>
            </w:r>
          </w:p>
          <w:p w14:paraId="7EFDA613" w14:textId="77777777" w:rsidR="00616F23" w:rsidRPr="0012415A" w:rsidRDefault="00616F23" w:rsidP="00A51775">
            <w:pPr>
              <w:numPr>
                <w:ilvl w:val="0"/>
                <w:numId w:val="17"/>
              </w:numPr>
              <w:ind w:left="1140"/>
              <w:jc w:val="both"/>
            </w:pPr>
            <w:r w:rsidRPr="0012415A">
              <w:t>Describes the facilities, infrastructure, and resources available that directly support the project.</w:t>
            </w:r>
          </w:p>
          <w:p w14:paraId="63D933D7" w14:textId="77777777" w:rsidR="00616F23" w:rsidRPr="00616F23" w:rsidRDefault="00616F23" w:rsidP="00A51775">
            <w:pPr>
              <w:numPr>
                <w:ilvl w:val="0"/>
                <w:numId w:val="17"/>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00616F23">
        <w:trPr>
          <w:cantSplit/>
          <w:trHeight w:val="485"/>
        </w:trPr>
        <w:tc>
          <w:tcPr>
            <w:tcW w:w="8362" w:type="dxa"/>
            <w:shd w:val="clear" w:color="auto" w:fill="D9D9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3F6147">
        <w:tc>
          <w:tcPr>
            <w:tcW w:w="8362" w:type="dxa"/>
            <w:tcBorders>
              <w:bottom w:val="single" w:sz="4" w:space="0" w:color="auto"/>
            </w:tcBorders>
          </w:tcPr>
          <w:p w14:paraId="4F5F4254" w14:textId="77777777" w:rsidR="00616F23" w:rsidRPr="00616F23" w:rsidRDefault="00616F23">
            <w:pPr>
              <w:numPr>
                <w:ilvl w:val="0"/>
                <w:numId w:val="40"/>
              </w:numPr>
              <w:spacing w:before="120"/>
              <w:jc w:val="both"/>
              <w:rPr>
                <w:rFonts w:cs="Times New Roman"/>
                <w:b/>
                <w:bCs/>
                <w:smallCaps/>
              </w:rPr>
            </w:pPr>
            <w:r w:rsidRPr="00616F23">
              <w:rPr>
                <w:b/>
              </w:rPr>
              <w:t>Budget and Cost-Effectiveness</w:t>
            </w:r>
          </w:p>
          <w:p w14:paraId="14806663" w14:textId="77777777" w:rsidR="00616F23" w:rsidRPr="00616F23" w:rsidRDefault="00616F23" w:rsidP="00A51775">
            <w:pPr>
              <w:numPr>
                <w:ilvl w:val="0"/>
                <w:numId w:val="18"/>
              </w:numPr>
              <w:spacing w:before="120" w:after="0"/>
              <w:ind w:left="1140"/>
              <w:jc w:val="both"/>
            </w:pPr>
            <w:r w:rsidRPr="00616F23">
              <w:lastRenderedPageBreak/>
              <w:t>Budget forms are complete for the applicant and all subcontractors, as described in the Budget instructions.</w:t>
            </w:r>
          </w:p>
          <w:p w14:paraId="1CE49D96" w14:textId="77777777" w:rsidR="00616F23" w:rsidRPr="00616F23" w:rsidRDefault="00616F23" w:rsidP="00A51775">
            <w:pPr>
              <w:numPr>
                <w:ilvl w:val="0"/>
                <w:numId w:val="18"/>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A51775">
            <w:pPr>
              <w:numPr>
                <w:ilvl w:val="0"/>
                <w:numId w:val="18"/>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rsidP="00A51775">
            <w:pPr>
              <w:numPr>
                <w:ilvl w:val="0"/>
                <w:numId w:val="18"/>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lastRenderedPageBreak/>
              <w:t>10</w:t>
            </w:r>
          </w:p>
        </w:tc>
      </w:tr>
      <w:tr w:rsidR="00616F23" w:rsidRPr="00616F23" w14:paraId="2634BEF4" w14:textId="77777777" w:rsidTr="003F6147">
        <w:tc>
          <w:tcPr>
            <w:tcW w:w="8362" w:type="dxa"/>
            <w:tcBorders>
              <w:top w:val="single" w:sz="4" w:space="0" w:color="auto"/>
              <w:bottom w:val="single" w:sz="4" w:space="0" w:color="auto"/>
            </w:tcBorders>
          </w:tcPr>
          <w:p w14:paraId="4CC292F2" w14:textId="77777777" w:rsidR="00616F23" w:rsidRPr="00616F23" w:rsidRDefault="00616F23">
            <w:pPr>
              <w:numPr>
                <w:ilvl w:val="0"/>
                <w:numId w:val="40"/>
              </w:numPr>
              <w:spacing w:before="120"/>
              <w:jc w:val="both"/>
              <w:rPr>
                <w:rFonts w:cs="Times New Roman"/>
                <w:b/>
                <w:bCs/>
                <w:smallCaps/>
              </w:rPr>
            </w:pPr>
            <w:r w:rsidRPr="00616F23">
              <w:rPr>
                <w:b/>
              </w:rPr>
              <w:t>CEC Funds Spent in California</w:t>
            </w:r>
          </w:p>
          <w:p w14:paraId="5F8C2EF2" w14:textId="77777777"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CEC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w:t>
                  </w:r>
                  <w:proofErr w:type="gramStart"/>
                  <w:r w:rsidRPr="00616F23">
                    <w:rPr>
                      <w:sz w:val="18"/>
                      <w:szCs w:val="18"/>
                    </w:rPr>
                    <w:t>derived</w:t>
                  </w:r>
                  <w:proofErr w:type="gramEnd"/>
                  <w:r w:rsidRPr="00616F23">
                    <w:rPr>
                      <w:sz w:val="18"/>
                      <w:szCs w:val="18"/>
                    </w:rPr>
                    <w:t xml:space="preserve"> from budget Attachment )</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3F6147">
        <w:tc>
          <w:tcPr>
            <w:tcW w:w="8362" w:type="dxa"/>
            <w:tcBorders>
              <w:top w:val="single" w:sz="4" w:space="0" w:color="auto"/>
              <w:bottom w:val="nil"/>
            </w:tcBorders>
          </w:tcPr>
          <w:p w14:paraId="508E4FE3" w14:textId="77777777" w:rsidR="00616F23" w:rsidRPr="00616F23" w:rsidRDefault="00616F23">
            <w:pPr>
              <w:numPr>
                <w:ilvl w:val="0"/>
                <w:numId w:val="40"/>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00616F23">
        <w:trPr>
          <w:trHeight w:val="647"/>
        </w:trPr>
        <w:tc>
          <w:tcPr>
            <w:tcW w:w="8362" w:type="dxa"/>
            <w:tcBorders>
              <w:top w:val="nil"/>
              <w:bottom w:val="single" w:sz="4" w:space="0" w:color="auto"/>
            </w:tcBorders>
            <w:shd w:val="clear" w:color="auto" w:fill="D9D9D9"/>
          </w:tcPr>
          <w:p w14:paraId="713C5589" w14:textId="77777777" w:rsidR="00616F23" w:rsidRPr="00616F23" w:rsidRDefault="00616F23" w:rsidP="00616F23">
            <w:pPr>
              <w:spacing w:before="120" w:after="0"/>
              <w:jc w:val="both"/>
              <w:rPr>
                <w:b/>
              </w:rPr>
            </w:pPr>
            <w:r w:rsidRPr="00616F23">
              <w:rPr>
                <w:b/>
              </w:rPr>
              <w:t>Total Possible Points</w:t>
            </w:r>
          </w:p>
          <w:p w14:paraId="32AA563E" w14:textId="1F241D2B"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242286" w:rsidRPr="00616F23" w14:paraId="1794795D" w14:textId="77777777" w:rsidTr="00EB6ABE">
        <w:trPr>
          <w:trHeight w:val="647"/>
        </w:trPr>
        <w:tc>
          <w:tcPr>
            <w:tcW w:w="8362" w:type="dxa"/>
            <w:shd w:val="clear" w:color="auto" w:fill="auto"/>
          </w:tcPr>
          <w:p w14:paraId="3BDE7179" w14:textId="77777777" w:rsidR="00242286" w:rsidRPr="00616F23" w:rsidRDefault="00242286">
            <w:pPr>
              <w:keepNext/>
              <w:numPr>
                <w:ilvl w:val="0"/>
                <w:numId w:val="40"/>
              </w:numPr>
              <w:spacing w:before="120"/>
              <w:jc w:val="both"/>
              <w:rPr>
                <w:b/>
                <w:szCs w:val="22"/>
              </w:rPr>
            </w:pPr>
            <w:r w:rsidRPr="00616F23">
              <w:rPr>
                <w:b/>
                <w:szCs w:val="22"/>
              </w:rPr>
              <w:lastRenderedPageBreak/>
              <w:t>Benefits to Disadvantaged/Low-Income Communities and Localized Health Impacts</w:t>
            </w:r>
          </w:p>
        </w:tc>
        <w:tc>
          <w:tcPr>
            <w:tcW w:w="1342" w:type="dxa"/>
            <w:shd w:val="clear" w:color="auto" w:fill="auto"/>
          </w:tcPr>
          <w:p w14:paraId="5FB400ED" w14:textId="77777777" w:rsidR="00242286" w:rsidRPr="00616F23" w:rsidRDefault="00242286" w:rsidP="00EB6ABE">
            <w:pPr>
              <w:keepNext/>
              <w:spacing w:before="120" w:after="0"/>
              <w:rPr>
                <w:b/>
              </w:rPr>
            </w:pPr>
          </w:p>
        </w:tc>
      </w:tr>
      <w:tr w:rsidR="00242286" w:rsidRPr="00616F23" w14:paraId="4A822C06" w14:textId="77777777" w:rsidTr="00EB6ABE">
        <w:trPr>
          <w:trHeight w:val="4007"/>
        </w:trPr>
        <w:tc>
          <w:tcPr>
            <w:tcW w:w="8362" w:type="dxa"/>
            <w:shd w:val="clear" w:color="auto" w:fill="auto"/>
          </w:tcPr>
          <w:p w14:paraId="3600A287" w14:textId="77777777" w:rsidR="00242286" w:rsidRPr="00616F23" w:rsidRDefault="00242286" w:rsidP="00EB6ABE">
            <w:pPr>
              <w:spacing w:before="60"/>
              <w:ind w:left="790" w:hanging="450"/>
              <w:jc w:val="both"/>
              <w:rPr>
                <w:color w:val="000000"/>
                <w:szCs w:val="22"/>
              </w:rPr>
            </w:pPr>
            <w:r>
              <w:rPr>
                <w:color w:val="000000"/>
                <w:szCs w:val="22"/>
              </w:rPr>
              <w:t xml:space="preserve">8.1 </w:t>
            </w:r>
            <w:r w:rsidRPr="00616F23">
              <w:rPr>
                <w:color w:val="000000"/>
                <w:szCs w:val="22"/>
              </w:rPr>
              <w:t>Benefits to Disadvantaged/Low-Income Communities</w:t>
            </w:r>
          </w:p>
          <w:p w14:paraId="5167E24B" w14:textId="77777777" w:rsidR="00242286" w:rsidRPr="00616F23" w:rsidRDefault="00242286">
            <w:pPr>
              <w:numPr>
                <w:ilvl w:val="0"/>
                <w:numId w:val="41"/>
              </w:numPr>
              <w:spacing w:before="60"/>
              <w:jc w:val="both"/>
              <w:rPr>
                <w:color w:val="000000"/>
                <w:szCs w:val="22"/>
              </w:rPr>
            </w:pPr>
            <w:r w:rsidRPr="00616F23">
              <w:rPr>
                <w:color w:val="000000"/>
                <w:szCs w:val="22"/>
              </w:rPr>
              <w:t>Identifies and describes the energy and economic needs of the community based on project location, and what steps the applicant has taken to identify those needs.</w:t>
            </w:r>
          </w:p>
          <w:p w14:paraId="19613B81" w14:textId="77777777" w:rsidR="00242286" w:rsidRPr="00616F23" w:rsidRDefault="00242286">
            <w:pPr>
              <w:numPr>
                <w:ilvl w:val="0"/>
                <w:numId w:val="41"/>
              </w:numPr>
              <w:spacing w:before="60"/>
              <w:jc w:val="both"/>
              <w:rPr>
                <w:color w:val="000000"/>
                <w:szCs w:val="22"/>
              </w:rPr>
            </w:pPr>
            <w:r w:rsidRPr="00616F23">
              <w:rPr>
                <w:color w:val="000000"/>
                <w:szCs w:val="22"/>
              </w:rPr>
              <w:t>Identifies and describes how the project will increase access to clean energy or sustainability technologies for the local community.</w:t>
            </w:r>
            <w:r w:rsidRPr="00616F23" w:rsidDel="00DF4610">
              <w:rPr>
                <w:color w:val="000000"/>
                <w:szCs w:val="22"/>
              </w:rPr>
              <w:t xml:space="preserve"> </w:t>
            </w:r>
          </w:p>
          <w:p w14:paraId="423478B0" w14:textId="77777777" w:rsidR="00242286" w:rsidRPr="00616F23" w:rsidRDefault="00242286">
            <w:pPr>
              <w:numPr>
                <w:ilvl w:val="0"/>
                <w:numId w:val="41"/>
              </w:numPr>
              <w:spacing w:before="60"/>
              <w:jc w:val="both"/>
              <w:rPr>
                <w:color w:val="000000"/>
                <w:szCs w:val="22"/>
              </w:rPr>
            </w:pPr>
            <w:r w:rsidRPr="00616F23">
              <w:rPr>
                <w:color w:val="000000"/>
                <w:szCs w:val="22"/>
              </w:rPr>
              <w:t>Identifies and describes how the proposed project will improve opportunities for economic impact including customer bill savings, job creation, collaborating and contracting with micro-, local, and small-businesses, economic development, and expanding community investment.</w:t>
            </w:r>
          </w:p>
          <w:p w14:paraId="7206D3F2" w14:textId="77777777" w:rsidR="00242286" w:rsidRPr="00616F23" w:rsidRDefault="00242286">
            <w:pPr>
              <w:numPr>
                <w:ilvl w:val="0"/>
                <w:numId w:val="41"/>
              </w:numPr>
              <w:spacing w:before="60"/>
              <w:jc w:val="both"/>
              <w:rPr>
                <w:color w:val="000000"/>
                <w:szCs w:val="22"/>
              </w:rPr>
            </w:pPr>
            <w:r w:rsidRPr="00616F23">
              <w:rPr>
                <w:color w:val="000000"/>
                <w:szCs w:val="22"/>
              </w:rPr>
              <w:t>Identifies how the projects’ primary beneficiaries are residents of the identified disadvantaged/</w:t>
            </w:r>
            <w:proofErr w:type="gramStart"/>
            <w:r w:rsidRPr="00616F23">
              <w:rPr>
                <w:color w:val="000000"/>
                <w:szCs w:val="22"/>
              </w:rPr>
              <w:t>low income</w:t>
            </w:r>
            <w:proofErr w:type="gramEnd"/>
            <w:r w:rsidRPr="00616F23">
              <w:rPr>
                <w:color w:val="000000"/>
                <w:szCs w:val="22"/>
              </w:rPr>
              <w:t xml:space="preserve"> community(</w:t>
            </w:r>
            <w:proofErr w:type="spellStart"/>
            <w:r w:rsidRPr="00616F23">
              <w:rPr>
                <w:color w:val="000000"/>
                <w:szCs w:val="22"/>
              </w:rPr>
              <w:t>ies</w:t>
            </w:r>
            <w:proofErr w:type="spellEnd"/>
            <w:r w:rsidRPr="00616F23">
              <w:rPr>
                <w:color w:val="000000"/>
                <w:szCs w:val="22"/>
              </w:rPr>
              <w:t>) and describes how they will directly benefit from the project outcomes.</w:t>
            </w:r>
          </w:p>
        </w:tc>
        <w:tc>
          <w:tcPr>
            <w:tcW w:w="1342" w:type="dxa"/>
            <w:shd w:val="clear" w:color="auto" w:fill="auto"/>
          </w:tcPr>
          <w:p w14:paraId="0AFDED38" w14:textId="77777777" w:rsidR="00242286" w:rsidRPr="00616F23" w:rsidRDefault="00242286" w:rsidP="00EB6ABE">
            <w:pPr>
              <w:spacing w:before="60" w:after="0"/>
              <w:jc w:val="center"/>
              <w:rPr>
                <w:color w:val="000000"/>
                <w:szCs w:val="22"/>
              </w:rPr>
            </w:pPr>
            <w:r w:rsidRPr="00616F23">
              <w:rPr>
                <w:color w:val="000000"/>
                <w:szCs w:val="22"/>
              </w:rPr>
              <w:t>15</w:t>
            </w:r>
          </w:p>
        </w:tc>
      </w:tr>
      <w:tr w:rsidR="00242286" w:rsidRPr="00616F23" w14:paraId="716498EC" w14:textId="77777777" w:rsidTr="00EB6ABE">
        <w:trPr>
          <w:trHeight w:val="2312"/>
        </w:trPr>
        <w:tc>
          <w:tcPr>
            <w:tcW w:w="8362" w:type="dxa"/>
            <w:shd w:val="clear" w:color="auto" w:fill="auto"/>
          </w:tcPr>
          <w:p w14:paraId="7EDFC23C" w14:textId="77777777" w:rsidR="00242286" w:rsidRPr="00616F23" w:rsidRDefault="00242286">
            <w:pPr>
              <w:numPr>
                <w:ilvl w:val="1"/>
                <w:numId w:val="40"/>
              </w:numPr>
              <w:spacing w:before="60"/>
              <w:ind w:left="875" w:hanging="515"/>
              <w:jc w:val="both"/>
              <w:rPr>
                <w:color w:val="000000"/>
                <w:szCs w:val="22"/>
              </w:rPr>
            </w:pPr>
            <w:r w:rsidRPr="00616F23">
              <w:rPr>
                <w:color w:val="000000"/>
                <w:szCs w:val="22"/>
              </w:rPr>
              <w:t>Community Engagement Efforts</w:t>
            </w:r>
          </w:p>
          <w:p w14:paraId="692B72C1" w14:textId="77777777" w:rsidR="00242286" w:rsidRPr="00616F23" w:rsidRDefault="00242286">
            <w:pPr>
              <w:numPr>
                <w:ilvl w:val="0"/>
                <w:numId w:val="45"/>
              </w:numPr>
              <w:spacing w:before="60"/>
              <w:jc w:val="both"/>
              <w:rPr>
                <w:color w:val="000000"/>
                <w:szCs w:val="22"/>
              </w:rPr>
            </w:pPr>
            <w:r w:rsidRPr="00616F23">
              <w:rPr>
                <w:color w:val="000000"/>
                <w:szCs w:val="22"/>
              </w:rPr>
              <w:t>Identifies how community input was solicited and considered in the design of the project.</w:t>
            </w:r>
          </w:p>
          <w:p w14:paraId="42DE32CD" w14:textId="77777777" w:rsidR="00242286" w:rsidRPr="00616F23" w:rsidRDefault="00242286">
            <w:pPr>
              <w:numPr>
                <w:ilvl w:val="0"/>
                <w:numId w:val="45"/>
              </w:numPr>
              <w:spacing w:before="60"/>
              <w:jc w:val="both"/>
              <w:rPr>
                <w:color w:val="000000"/>
                <w:szCs w:val="22"/>
              </w:rPr>
            </w:pPr>
            <w:r w:rsidRPr="00616F23">
              <w:rPr>
                <w:color w:val="000000"/>
                <w:szCs w:val="22"/>
              </w:rPr>
              <w:t>Identifies and describes how the impacted community will be engaged in project implementation.</w:t>
            </w:r>
          </w:p>
          <w:p w14:paraId="614FB065" w14:textId="77777777" w:rsidR="00242286" w:rsidRDefault="00242286">
            <w:pPr>
              <w:numPr>
                <w:ilvl w:val="0"/>
                <w:numId w:val="45"/>
              </w:numPr>
              <w:spacing w:before="60"/>
              <w:jc w:val="both"/>
              <w:rPr>
                <w:color w:val="000000"/>
                <w:szCs w:val="22"/>
              </w:rPr>
            </w:pPr>
            <w:r w:rsidRPr="00407EB1">
              <w:rPr>
                <w:color w:val="000000"/>
                <w:szCs w:val="22"/>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p>
          <w:p w14:paraId="492F0F4C" w14:textId="77777777" w:rsidR="00242286" w:rsidRPr="00616F23" w:rsidRDefault="00242286">
            <w:pPr>
              <w:numPr>
                <w:ilvl w:val="0"/>
                <w:numId w:val="45"/>
              </w:numPr>
              <w:spacing w:before="60"/>
              <w:jc w:val="both"/>
              <w:rPr>
                <w:color w:val="000000"/>
                <w:szCs w:val="22"/>
              </w:rPr>
            </w:pPr>
            <w:r w:rsidRPr="00616F23">
              <w:rPr>
                <w:color w:val="000000"/>
                <w:szCs w:val="22"/>
              </w:rPr>
              <w:t>Identifies how the project, if successful, will build community capacity.</w:t>
            </w:r>
          </w:p>
        </w:tc>
        <w:tc>
          <w:tcPr>
            <w:tcW w:w="1342" w:type="dxa"/>
            <w:shd w:val="clear" w:color="auto" w:fill="auto"/>
          </w:tcPr>
          <w:p w14:paraId="2D6AB313" w14:textId="77777777" w:rsidR="00242286" w:rsidRPr="00616F23" w:rsidRDefault="00242286" w:rsidP="00EB6ABE">
            <w:pPr>
              <w:spacing w:before="60" w:after="0"/>
              <w:jc w:val="center"/>
              <w:rPr>
                <w:color w:val="000000"/>
                <w:szCs w:val="22"/>
              </w:rPr>
            </w:pPr>
            <w:r w:rsidRPr="00616F23">
              <w:rPr>
                <w:color w:val="000000"/>
                <w:szCs w:val="22"/>
              </w:rPr>
              <w:t>10</w:t>
            </w:r>
          </w:p>
        </w:tc>
      </w:tr>
      <w:tr w:rsidR="00242286" w:rsidRPr="00616F23" w14:paraId="67C8C825" w14:textId="77777777" w:rsidTr="00EB6ABE">
        <w:trPr>
          <w:trHeight w:val="647"/>
        </w:trPr>
        <w:tc>
          <w:tcPr>
            <w:tcW w:w="8362" w:type="dxa"/>
            <w:shd w:val="clear" w:color="auto" w:fill="auto"/>
          </w:tcPr>
          <w:p w14:paraId="3B4B7857" w14:textId="77777777" w:rsidR="00242286" w:rsidRPr="00616F23" w:rsidRDefault="00242286">
            <w:pPr>
              <w:numPr>
                <w:ilvl w:val="1"/>
                <w:numId w:val="40"/>
              </w:numPr>
              <w:spacing w:before="60"/>
              <w:ind w:left="875" w:hanging="515"/>
              <w:jc w:val="both"/>
              <w:rPr>
                <w:color w:val="000000"/>
                <w:szCs w:val="22"/>
              </w:rPr>
            </w:pPr>
            <w:r w:rsidRPr="00616F23">
              <w:rPr>
                <w:color w:val="000000"/>
                <w:szCs w:val="22"/>
              </w:rPr>
              <w:t>Localized Health Impacts</w:t>
            </w:r>
          </w:p>
          <w:p w14:paraId="59547CF1" w14:textId="77777777" w:rsidR="00242286" w:rsidRPr="00616F23" w:rsidRDefault="00242286">
            <w:pPr>
              <w:numPr>
                <w:ilvl w:val="0"/>
                <w:numId w:val="42"/>
              </w:numPr>
              <w:spacing w:before="60"/>
              <w:jc w:val="both"/>
              <w:rPr>
                <w:color w:val="000000"/>
                <w:szCs w:val="22"/>
              </w:rPr>
            </w:pPr>
            <w:r w:rsidRPr="00616F23">
              <w:rPr>
                <w:color w:val="000000"/>
                <w:szCs w:val="22"/>
              </w:rPr>
              <w:t>Summarizes the potential localized health benefits and impacts of the proposed project and provides reasonable analysis and assumptions</w:t>
            </w:r>
            <w:r>
              <w:rPr>
                <w:color w:val="000000"/>
                <w:szCs w:val="22"/>
              </w:rPr>
              <w:t xml:space="preserve"> </w:t>
            </w:r>
            <w:r>
              <w:rPr>
                <w:color w:val="000000" w:themeColor="text1"/>
                <w:szCs w:val="22"/>
              </w:rPr>
              <w:t>to support the findings</w:t>
            </w:r>
            <w:r w:rsidRPr="00616F23">
              <w:rPr>
                <w:color w:val="000000"/>
                <w:szCs w:val="22"/>
              </w:rPr>
              <w:t>.</w:t>
            </w:r>
          </w:p>
          <w:p w14:paraId="194A1381" w14:textId="77777777" w:rsidR="00242286" w:rsidRPr="00616F23" w:rsidRDefault="00242286">
            <w:pPr>
              <w:numPr>
                <w:ilvl w:val="0"/>
                <w:numId w:val="42"/>
              </w:numPr>
              <w:spacing w:before="60"/>
              <w:jc w:val="both"/>
              <w:rPr>
                <w:color w:val="000000"/>
                <w:szCs w:val="22"/>
              </w:rPr>
            </w:pPr>
            <w:r w:rsidRPr="00616F23">
              <w:rPr>
                <w:color w:val="000000"/>
                <w:szCs w:val="22"/>
              </w:rPr>
              <w:t>Identifies how the proposed project will reduce or not otherwise impact the community’s exposure to pollutants and the adverse environmental conditions caused by pollution and/or climate change. If projects have no impacts in this criterion, provide justification for why impacts are neutral.</w:t>
            </w:r>
          </w:p>
          <w:p w14:paraId="49DAE932" w14:textId="77777777" w:rsidR="00242286" w:rsidRPr="00616F23" w:rsidRDefault="00242286">
            <w:pPr>
              <w:numPr>
                <w:ilvl w:val="0"/>
                <w:numId w:val="42"/>
              </w:numPr>
              <w:spacing w:before="60"/>
              <w:jc w:val="both"/>
              <w:rPr>
                <w:color w:val="000000"/>
                <w:szCs w:val="22"/>
              </w:rPr>
            </w:pPr>
            <w:r w:rsidRPr="00616F23">
              <w:rPr>
                <w:color w:val="000000"/>
                <w:szCs w:val="22"/>
              </w:rPr>
              <w:t xml:space="preserve">Identifies health-related Energy Equity indicators and/or health-related factors in </w:t>
            </w:r>
            <w:proofErr w:type="spellStart"/>
            <w:r w:rsidRPr="00616F23">
              <w:rPr>
                <w:color w:val="000000"/>
                <w:szCs w:val="22"/>
              </w:rPr>
              <w:t>CalEnviroscreen</w:t>
            </w:r>
            <w:proofErr w:type="spellEnd"/>
            <w:r w:rsidRPr="00616F23">
              <w:rPr>
                <w:color w:val="000000"/>
                <w:szCs w:val="22"/>
              </w:rPr>
              <w:t xml:space="preserve"> </w:t>
            </w:r>
            <w:r>
              <w:rPr>
                <w:color w:val="000000"/>
                <w:szCs w:val="22"/>
              </w:rPr>
              <w:t>4</w:t>
            </w:r>
            <w:r w:rsidRPr="00616F23">
              <w:rPr>
                <w:color w:val="000000"/>
                <w:szCs w:val="22"/>
              </w:rPr>
              <w:t>.0</w:t>
            </w:r>
            <w:r w:rsidRPr="00616F23">
              <w:rPr>
                <w:rFonts w:cs="Times New Roman"/>
                <w:color w:val="000000"/>
                <w:szCs w:val="22"/>
                <w:vertAlign w:val="superscript"/>
              </w:rPr>
              <w:footnoteReference w:id="25"/>
            </w:r>
            <w:r w:rsidRPr="00616F23">
              <w:rPr>
                <w:color w:val="000000"/>
                <w:szCs w:val="22"/>
              </w:rPr>
              <w:t xml:space="preserve"> that most impact the community and </w:t>
            </w:r>
            <w:r w:rsidRPr="00616F23">
              <w:rPr>
                <w:color w:val="000000"/>
                <w:szCs w:val="22"/>
              </w:rPr>
              <w:lastRenderedPageBreak/>
              <w:t>describes how the project will reduce or not otherwise impact the indicators or factors.</w:t>
            </w:r>
          </w:p>
        </w:tc>
        <w:tc>
          <w:tcPr>
            <w:tcW w:w="1342" w:type="dxa"/>
            <w:shd w:val="clear" w:color="auto" w:fill="auto"/>
          </w:tcPr>
          <w:p w14:paraId="6E30F8E1" w14:textId="77777777" w:rsidR="00242286" w:rsidRPr="00616F23" w:rsidRDefault="00242286" w:rsidP="00EB6ABE">
            <w:pPr>
              <w:spacing w:before="60" w:after="0"/>
              <w:jc w:val="center"/>
              <w:rPr>
                <w:color w:val="000000"/>
                <w:szCs w:val="22"/>
              </w:rPr>
            </w:pPr>
            <w:r w:rsidRPr="00616F23">
              <w:rPr>
                <w:color w:val="000000"/>
                <w:szCs w:val="22"/>
              </w:rPr>
              <w:lastRenderedPageBreak/>
              <w:t>15</w:t>
            </w:r>
          </w:p>
        </w:tc>
      </w:tr>
      <w:tr w:rsidR="00242286" w:rsidRPr="00616F23" w14:paraId="0784DB48" w14:textId="77777777" w:rsidTr="00EB6ABE">
        <w:trPr>
          <w:trHeight w:val="647"/>
        </w:trPr>
        <w:tc>
          <w:tcPr>
            <w:tcW w:w="8362" w:type="dxa"/>
            <w:shd w:val="clear" w:color="auto" w:fill="auto"/>
          </w:tcPr>
          <w:p w14:paraId="1CB32FC0" w14:textId="77777777" w:rsidR="00242286" w:rsidRPr="00616F23" w:rsidRDefault="00242286">
            <w:pPr>
              <w:numPr>
                <w:ilvl w:val="1"/>
                <w:numId w:val="40"/>
              </w:numPr>
              <w:spacing w:before="60"/>
              <w:ind w:left="971" w:hanging="611"/>
              <w:jc w:val="both"/>
              <w:rPr>
                <w:color w:val="000000"/>
                <w:szCs w:val="22"/>
              </w:rPr>
            </w:pPr>
            <w:r w:rsidRPr="00616F23">
              <w:rPr>
                <w:color w:val="000000"/>
                <w:szCs w:val="22"/>
              </w:rPr>
              <w:t>Technology Replicability</w:t>
            </w:r>
          </w:p>
          <w:p w14:paraId="213B9957" w14:textId="77777777" w:rsidR="00242286" w:rsidRPr="00616F23" w:rsidRDefault="00242286">
            <w:pPr>
              <w:numPr>
                <w:ilvl w:val="0"/>
                <w:numId w:val="43"/>
              </w:numPr>
              <w:spacing w:before="60"/>
              <w:jc w:val="both"/>
              <w:rPr>
                <w:color w:val="000000"/>
                <w:szCs w:val="22"/>
              </w:rPr>
            </w:pPr>
            <w:r w:rsidRPr="00616F23">
              <w:rPr>
                <w:color w:val="000000"/>
                <w:szCs w:val="22"/>
              </w:rPr>
              <w:t>Identifies how the project, if successful, will lead to increased deployment of the technology or strategy in other disadvantaged or low-income communities.</w:t>
            </w:r>
          </w:p>
        </w:tc>
        <w:tc>
          <w:tcPr>
            <w:tcW w:w="1342" w:type="dxa"/>
            <w:shd w:val="clear" w:color="auto" w:fill="auto"/>
          </w:tcPr>
          <w:p w14:paraId="0676681D" w14:textId="77777777" w:rsidR="00242286" w:rsidRPr="00616F23" w:rsidRDefault="00242286" w:rsidP="00EB6ABE">
            <w:pPr>
              <w:spacing w:before="60" w:after="0"/>
              <w:jc w:val="center"/>
              <w:rPr>
                <w:color w:val="000000"/>
                <w:szCs w:val="22"/>
              </w:rPr>
            </w:pPr>
            <w:r w:rsidRPr="00616F23">
              <w:rPr>
                <w:color w:val="000000"/>
                <w:szCs w:val="22"/>
              </w:rPr>
              <w:t>5</w:t>
            </w:r>
          </w:p>
        </w:tc>
      </w:tr>
      <w:tr w:rsidR="00242286" w:rsidRPr="00616F23" w14:paraId="01E434F2" w14:textId="77777777" w:rsidTr="00EB6ABE">
        <w:trPr>
          <w:trHeight w:val="647"/>
        </w:trPr>
        <w:tc>
          <w:tcPr>
            <w:tcW w:w="8362" w:type="dxa"/>
            <w:shd w:val="clear" w:color="auto" w:fill="auto"/>
          </w:tcPr>
          <w:p w14:paraId="0EDD1C38" w14:textId="77777777" w:rsidR="00242286" w:rsidRPr="00616F23" w:rsidRDefault="00242286">
            <w:pPr>
              <w:numPr>
                <w:ilvl w:val="1"/>
                <w:numId w:val="40"/>
              </w:numPr>
              <w:spacing w:before="60"/>
              <w:ind w:left="971" w:hanging="611"/>
              <w:rPr>
                <w:color w:val="000000"/>
                <w:szCs w:val="22"/>
              </w:rPr>
            </w:pPr>
            <w:r w:rsidRPr="00616F23">
              <w:rPr>
                <w:color w:val="000000"/>
                <w:szCs w:val="22"/>
              </w:rPr>
              <w:t>Project Support Letters</w:t>
            </w:r>
          </w:p>
          <w:p w14:paraId="5390599F" w14:textId="77777777" w:rsidR="00242286" w:rsidRPr="00616F23" w:rsidRDefault="00242286">
            <w:pPr>
              <w:numPr>
                <w:ilvl w:val="0"/>
                <w:numId w:val="44"/>
              </w:numPr>
              <w:spacing w:before="60"/>
              <w:rPr>
                <w:color w:val="000000"/>
                <w:szCs w:val="22"/>
              </w:rPr>
            </w:pPr>
            <w:r w:rsidRPr="00943E11">
              <w:rPr>
                <w:color w:val="000000"/>
                <w:szCs w:val="22"/>
              </w:rPr>
              <w:t xml:space="preserve">Includes letters of support from technology partners, </w:t>
            </w:r>
            <w:proofErr w:type="gramStart"/>
            <w:r w:rsidRPr="00943E11">
              <w:rPr>
                <w:color w:val="000000"/>
                <w:szCs w:val="22"/>
              </w:rPr>
              <w:t>community based</w:t>
            </w:r>
            <w:proofErr w:type="gramEnd"/>
            <w:r w:rsidRPr="00943E11">
              <w:rPr>
                <w:color w:val="000000"/>
                <w:szCs w:val="22"/>
              </w:rPr>
              <w:t xml:space="preserve"> organizations, environmental justice organizations, or other partners that demonstrate their belief that the proposed project will lead to increased e</w:t>
            </w:r>
            <w:r>
              <w:rPr>
                <w:color w:val="000000"/>
                <w:szCs w:val="22"/>
              </w:rPr>
              <w:t>quity, and is both feasible</w:t>
            </w:r>
            <w:r w:rsidRPr="00943E11">
              <w:rPr>
                <w:color w:val="000000"/>
                <w:szCs w:val="22"/>
              </w:rPr>
              <w:t>,</w:t>
            </w:r>
            <w:r>
              <w:rPr>
                <w:color w:val="000000"/>
                <w:szCs w:val="22"/>
              </w:rPr>
              <w:t xml:space="preserve"> and commercially viable</w:t>
            </w:r>
            <w:r w:rsidRPr="00943E11">
              <w:rPr>
                <w:color w:val="000000"/>
                <w:szCs w:val="22"/>
              </w:rPr>
              <w:t xml:space="preserve"> in the identified low-income an</w:t>
            </w:r>
            <w:r>
              <w:rPr>
                <w:color w:val="000000"/>
                <w:szCs w:val="22"/>
              </w:rPr>
              <w:t>d/or disadvantaged community</w:t>
            </w:r>
            <w:r w:rsidRPr="00616F23">
              <w:rPr>
                <w:color w:val="000000"/>
                <w:szCs w:val="22"/>
              </w:rPr>
              <w:t>.</w:t>
            </w:r>
          </w:p>
        </w:tc>
        <w:tc>
          <w:tcPr>
            <w:tcW w:w="1342" w:type="dxa"/>
            <w:shd w:val="clear" w:color="auto" w:fill="auto"/>
          </w:tcPr>
          <w:p w14:paraId="63CB1B53" w14:textId="77777777" w:rsidR="00242286" w:rsidRPr="00616F23" w:rsidRDefault="00242286" w:rsidP="00EB6ABE">
            <w:pPr>
              <w:spacing w:before="60" w:after="0"/>
              <w:jc w:val="center"/>
              <w:rPr>
                <w:color w:val="000000"/>
                <w:szCs w:val="22"/>
              </w:rPr>
            </w:pPr>
            <w:r w:rsidRPr="00616F23">
              <w:rPr>
                <w:color w:val="000000"/>
                <w:szCs w:val="22"/>
              </w:rPr>
              <w:t>5</w:t>
            </w:r>
          </w:p>
        </w:tc>
      </w:tr>
      <w:tr w:rsidR="00242286" w:rsidRPr="00616F23" w14:paraId="0C272D01" w14:textId="77777777" w:rsidTr="00EB6ABE">
        <w:trPr>
          <w:trHeight w:val="647"/>
        </w:trPr>
        <w:tc>
          <w:tcPr>
            <w:tcW w:w="8362" w:type="dxa"/>
            <w:tcBorders>
              <w:bottom w:val="single" w:sz="4" w:space="0" w:color="auto"/>
            </w:tcBorders>
            <w:shd w:val="clear" w:color="auto" w:fill="D9D9D9"/>
          </w:tcPr>
          <w:p w14:paraId="2ACFC9B5" w14:textId="77777777" w:rsidR="00242286" w:rsidRPr="00616F23" w:rsidRDefault="00242286" w:rsidP="00EB6ABE">
            <w:pPr>
              <w:spacing w:before="60" w:after="0"/>
              <w:jc w:val="both"/>
              <w:rPr>
                <w:b/>
              </w:rPr>
            </w:pPr>
            <w:r w:rsidRPr="00616F23">
              <w:rPr>
                <w:b/>
              </w:rPr>
              <w:t xml:space="preserve">Total Possible Points for criteria </w:t>
            </w:r>
            <w:r>
              <w:rPr>
                <w:b/>
              </w:rPr>
              <w:t>8</w:t>
            </w:r>
          </w:p>
          <w:p w14:paraId="0079FB87" w14:textId="77777777" w:rsidR="00242286" w:rsidRPr="00616F23" w:rsidRDefault="00242286" w:rsidP="00EB6ABE">
            <w:pPr>
              <w:spacing w:before="60" w:after="60"/>
              <w:jc w:val="both"/>
              <w:rPr>
                <w:b/>
                <w:szCs w:val="22"/>
                <w:highlight w:val="lightGray"/>
              </w:rPr>
            </w:pPr>
            <w:r w:rsidRPr="00616F23">
              <w:rPr>
                <w:b/>
              </w:rPr>
              <w:t xml:space="preserve">(Minimum Passing Score for Criteria </w:t>
            </w:r>
            <w:r>
              <w:rPr>
                <w:b/>
              </w:rPr>
              <w:t>8</w:t>
            </w:r>
            <w:r w:rsidRPr="00616F23">
              <w:rPr>
                <w:b/>
              </w:rPr>
              <w:t xml:space="preserve"> is 70% or 35.00 points)</w:t>
            </w:r>
          </w:p>
        </w:tc>
        <w:tc>
          <w:tcPr>
            <w:tcW w:w="1342" w:type="dxa"/>
            <w:tcBorders>
              <w:bottom w:val="single" w:sz="4" w:space="0" w:color="auto"/>
            </w:tcBorders>
            <w:shd w:val="clear" w:color="auto" w:fill="D9D9D9"/>
            <w:vAlign w:val="center"/>
          </w:tcPr>
          <w:p w14:paraId="62B31B32" w14:textId="77777777" w:rsidR="00242286" w:rsidRPr="00616F23" w:rsidRDefault="00242286" w:rsidP="00EB6ABE">
            <w:pPr>
              <w:spacing w:after="0"/>
              <w:jc w:val="center"/>
              <w:rPr>
                <w:b/>
                <w:highlight w:val="lightGray"/>
              </w:rPr>
            </w:pPr>
            <w:r w:rsidRPr="00616F23">
              <w:rPr>
                <w:b/>
                <w:highlight w:val="lightGray"/>
              </w:rPr>
              <w:t>50</w:t>
            </w:r>
          </w:p>
        </w:tc>
      </w:tr>
      <w:tr w:rsidR="00242286" w:rsidRPr="00616F23" w14:paraId="4B2B201D" w14:textId="77777777" w:rsidTr="00EB6ABE">
        <w:trPr>
          <w:trHeight w:val="503"/>
        </w:trPr>
        <w:tc>
          <w:tcPr>
            <w:tcW w:w="8362" w:type="dxa"/>
            <w:tcBorders>
              <w:bottom w:val="single" w:sz="4" w:space="0" w:color="auto"/>
            </w:tcBorders>
            <w:shd w:val="clear" w:color="auto" w:fill="BFBFBF"/>
            <w:vAlign w:val="center"/>
          </w:tcPr>
          <w:p w14:paraId="55F62427" w14:textId="77777777" w:rsidR="00242286" w:rsidRPr="00616F23" w:rsidRDefault="00242286" w:rsidP="00EB6ABE">
            <w:pPr>
              <w:spacing w:after="0"/>
              <w:jc w:val="both"/>
              <w:rPr>
                <w:b/>
                <w:sz w:val="28"/>
                <w:u w:val="single"/>
              </w:rPr>
            </w:pPr>
            <w:r w:rsidRPr="00616F23">
              <w:rPr>
                <w:b/>
                <w:sz w:val="28"/>
                <w:u w:val="single"/>
              </w:rPr>
              <w:t>Total Possible Points</w:t>
            </w:r>
          </w:p>
        </w:tc>
        <w:tc>
          <w:tcPr>
            <w:tcW w:w="1342" w:type="dxa"/>
            <w:tcBorders>
              <w:bottom w:val="single" w:sz="4" w:space="0" w:color="auto"/>
            </w:tcBorders>
            <w:shd w:val="clear" w:color="auto" w:fill="BFBFBF"/>
            <w:vAlign w:val="center"/>
          </w:tcPr>
          <w:p w14:paraId="5ED5CD20" w14:textId="77777777" w:rsidR="00242286" w:rsidRPr="00616F23" w:rsidRDefault="00242286" w:rsidP="00EB6ABE">
            <w:pPr>
              <w:spacing w:after="0"/>
              <w:jc w:val="center"/>
              <w:rPr>
                <w:b/>
                <w:sz w:val="28"/>
                <w:u w:val="single"/>
              </w:rPr>
            </w:pPr>
            <w:r w:rsidRPr="00616F23">
              <w:rPr>
                <w:b/>
                <w:sz w:val="28"/>
                <w:u w:val="single"/>
              </w:rPr>
              <w:t>15</w:t>
            </w:r>
            <w:r>
              <w:rPr>
                <w:b/>
                <w:sz w:val="28"/>
                <w:u w:val="single"/>
              </w:rPr>
              <w:t>0</w:t>
            </w:r>
          </w:p>
        </w:tc>
      </w:tr>
      <w:tr w:rsidR="00616F23" w:rsidRPr="00616F23" w14:paraId="66F66E69" w14:textId="77777777" w:rsidTr="00616F23">
        <w:trPr>
          <w:trHeight w:val="683"/>
        </w:trPr>
        <w:tc>
          <w:tcPr>
            <w:tcW w:w="9704" w:type="dxa"/>
            <w:gridSpan w:val="2"/>
            <w:tcBorders>
              <w:top w:val="single" w:sz="4" w:space="0" w:color="auto"/>
            </w:tcBorders>
            <w:shd w:val="clear" w:color="auto" w:fill="D9D9D9"/>
            <w:vAlign w:val="center"/>
          </w:tcPr>
          <w:p w14:paraId="1849EC2E" w14:textId="787994CC"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Pr="00616F23">
              <w:rPr>
                <w:sz w:val="24"/>
                <w:szCs w:val="22"/>
              </w:rPr>
              <w:t>, 1-</w:t>
            </w:r>
            <w:r w:rsidR="007D44FE">
              <w:rPr>
                <w:sz w:val="24"/>
                <w:szCs w:val="22"/>
              </w:rPr>
              <w:t>7</w:t>
            </w:r>
            <w:r w:rsidRPr="00CB7958">
              <w:rPr>
                <w:sz w:val="24"/>
                <w:szCs w:val="22"/>
              </w:rPr>
              <w:t xml:space="preserve">, </w:t>
            </w:r>
            <w:r w:rsidR="00662F52" w:rsidRPr="00CB7958">
              <w:rPr>
                <w:sz w:val="24"/>
                <w:szCs w:val="22"/>
              </w:rPr>
              <w:t>and 1-8</w:t>
            </w:r>
            <w:r w:rsidRPr="00616F23">
              <w:rPr>
                <w:sz w:val="24"/>
                <w:szCs w:val="22"/>
              </w:rPr>
              <w:t>) to be eligible for the additional points.</w:t>
            </w:r>
          </w:p>
        </w:tc>
      </w:tr>
    </w:tbl>
    <w:p w14:paraId="16F699D9" w14:textId="68C1D58E"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3ACBDF61"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59887310"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5256EF6A" w:rsidR="00CE5562" w:rsidRPr="00CE5562" w:rsidRDefault="00CE5562">
            <w:pPr>
              <w:keepNext/>
              <w:numPr>
                <w:ilvl w:val="0"/>
                <w:numId w:val="40"/>
              </w:numPr>
              <w:spacing w:before="120"/>
              <w:jc w:val="both"/>
              <w:rPr>
                <w:b/>
                <w:szCs w:val="22"/>
              </w:rPr>
            </w:pPr>
            <w:r w:rsidRPr="00CE5562">
              <w:rPr>
                <w:b/>
                <w:szCs w:val="22"/>
              </w:rPr>
              <w:t xml:space="preserve">Match Funds </w:t>
            </w:r>
          </w:p>
          <w:p w14:paraId="2199D6F1" w14:textId="48799682" w:rsidR="00CE5562" w:rsidRPr="00CE5562" w:rsidRDefault="00CE5562">
            <w:pPr>
              <w:keepNext/>
              <w:numPr>
                <w:ilvl w:val="0"/>
                <w:numId w:val="59"/>
              </w:numPr>
              <w:spacing w:line="280" w:lineRule="atLeast"/>
              <w:ind w:left="1050"/>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4E3353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254C04DD"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302C8553"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3F0C257E"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3CD1A585"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651BE32C"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2A9E56E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524D14C6"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3DEDC1DB"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43D8D7C4"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04AB869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45F03E92"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28FC9BD5" w:rsidR="00CE5562" w:rsidRPr="00CE5562" w:rsidRDefault="00CE5562" w:rsidP="00CE5562">
                  <w:pPr>
                    <w:keepNext/>
                    <w:spacing w:after="60"/>
                    <w:ind w:left="58"/>
                    <w:jc w:val="center"/>
                    <w:rPr>
                      <w:szCs w:val="22"/>
                    </w:rPr>
                  </w:pPr>
                  <w:r w:rsidRPr="00CE5562">
                    <w:rPr>
                      <w:szCs w:val="22"/>
                    </w:rPr>
                    <w:t>1</w:t>
                  </w:r>
                </w:p>
              </w:tc>
            </w:tr>
          </w:tbl>
          <w:p w14:paraId="77228007" w14:textId="3E5C95E2"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650592BB"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576394BB" w:rsidR="00CE5562" w:rsidRPr="00CE5562" w:rsidRDefault="005F4D25">
            <w:pPr>
              <w:keepNext/>
              <w:numPr>
                <w:ilvl w:val="0"/>
                <w:numId w:val="59"/>
              </w:numPr>
              <w:spacing w:line="280" w:lineRule="atLeast"/>
              <w:ind w:left="1050"/>
            </w:pPr>
            <w:bookmarkStart w:id="220" w:name="_Hlk127959796"/>
            <w:r w:rsidRPr="005F4D25">
              <w:rPr>
                <w:b/>
                <w:bCs/>
                <w:u w:val="single"/>
              </w:rPr>
              <w:t xml:space="preserve">The remaining 5 points may be awarded to applications that </w:t>
            </w:r>
            <w:r w:rsidR="00D35CE3">
              <w:rPr>
                <w:b/>
                <w:bCs/>
                <w:u w:val="single"/>
              </w:rPr>
              <w:t xml:space="preserve">provide </w:t>
            </w:r>
            <w:r w:rsidRPr="005F4D25">
              <w:rPr>
                <w:b/>
                <w:bCs/>
                <w:u w:val="single"/>
              </w:rPr>
              <w:t>match up to 100 percent of requested CEC funds</w:t>
            </w:r>
            <w:r w:rsidRPr="005F4D25">
              <w:t xml:space="preserve"> </w:t>
            </w:r>
            <w:r>
              <w:t>[</w:t>
            </w:r>
            <w:r w:rsidR="00CE5562" w:rsidRPr="005F4D25">
              <w:rPr>
                <w:strike/>
              </w:rPr>
              <w:t xml:space="preserve">Additional points will be awarded to applications that exceed the minimum match requirements </w:t>
            </w:r>
            <w:r w:rsidR="007B3CCE" w:rsidRPr="005F4D25">
              <w:rPr>
                <w:strike/>
              </w:rPr>
              <w:t>based on the percentage amount above minimum</w:t>
            </w:r>
            <w:r>
              <w:t>]</w:t>
            </w:r>
            <w:r w:rsidR="007B3CCE">
              <w:t xml:space="preserve"> </w:t>
            </w:r>
            <w:r w:rsidR="00CE5562" w:rsidRPr="00CE5562">
              <w:t xml:space="preserve">using the </w:t>
            </w:r>
            <w:r w:rsidR="00E83E81">
              <w:t>[</w:t>
            </w:r>
            <w:r w:rsidR="00CE5562" w:rsidRPr="005A6706">
              <w:rPr>
                <w:strike/>
              </w:rPr>
              <w:t>Exceeds Minimum</w:t>
            </w:r>
            <w:r w:rsidR="00E83E81">
              <w:t>]</w:t>
            </w:r>
            <w:r w:rsidR="00CE5562" w:rsidRPr="00CE5562">
              <w:t xml:space="preserve"> Match Scoring table:</w:t>
            </w:r>
          </w:p>
          <w:bookmarkEnd w:id="220"/>
          <w:p w14:paraId="3EF6BF5B" w14:textId="005E860B" w:rsidR="00CE5562" w:rsidRPr="00CE5562" w:rsidRDefault="004D4AD2" w:rsidP="00CE5562">
            <w:pPr>
              <w:keepLines/>
              <w:spacing w:before="120"/>
              <w:jc w:val="center"/>
            </w:pPr>
            <w:r>
              <w:rPr>
                <w:b/>
                <w:sz w:val="28"/>
                <w:szCs w:val="22"/>
              </w:rPr>
              <w:t>[</w:t>
            </w:r>
            <w:r w:rsidR="00CE5562" w:rsidRPr="005A6706">
              <w:rPr>
                <w:b/>
                <w:strike/>
                <w:sz w:val="28"/>
                <w:szCs w:val="22"/>
              </w:rPr>
              <w:t>Exceeds Minimum</w:t>
            </w:r>
            <w:r>
              <w:rPr>
                <w:b/>
                <w:sz w:val="28"/>
                <w:szCs w:val="22"/>
              </w:rPr>
              <w:t>]</w:t>
            </w:r>
            <w:r w:rsidR="00CE5562" w:rsidRPr="00CE5562">
              <w:rPr>
                <w:b/>
                <w:sz w:val="28"/>
                <w:szCs w:val="22"/>
              </w:rPr>
              <w:t xml:space="preserve"> </w:t>
            </w:r>
            <w:r w:rsidR="00CE5562"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2D7D24AA" w:rsidR="00CE5562" w:rsidRPr="00CE5562" w:rsidRDefault="00CE5562" w:rsidP="00CE5562">
                  <w:pPr>
                    <w:spacing w:after="60" w:line="280" w:lineRule="atLeast"/>
                    <w:rPr>
                      <w:szCs w:val="22"/>
                    </w:rPr>
                  </w:pPr>
                  <w:r w:rsidRPr="00CE5562">
                    <w:rPr>
                      <w:szCs w:val="22"/>
                    </w:rPr>
                    <w:t xml:space="preserve">Percentage </w:t>
                  </w:r>
                  <w:r w:rsidR="00567C08" w:rsidRPr="00B75F9A">
                    <w:rPr>
                      <w:u w:val="single"/>
                    </w:rPr>
                    <w:t>of requested CEC fund</w:t>
                  </w:r>
                  <w:r w:rsidR="00567C08" w:rsidRPr="00F46A11">
                    <w:rPr>
                      <w:szCs w:val="22"/>
                    </w:rPr>
                    <w:t xml:space="preserve"> </w:t>
                  </w:r>
                  <w:r w:rsidR="00567C08" w:rsidRPr="00B75F9A">
                    <w:rPr>
                      <w:strike/>
                      <w:szCs w:val="22"/>
                    </w:rPr>
                    <w:t>above Minimum Match</w:t>
                  </w:r>
                  <w:r w:rsidR="00567C08" w:rsidRPr="00F46A11">
                    <w:rPr>
                      <w:szCs w:val="22"/>
                    </w:rPr>
                    <w:t xml:space="preserve"> </w:t>
                  </w:r>
                  <w:r w:rsidRPr="00CE5562">
                    <w:rPr>
                      <w:rFonts w:ascii="Calibri" w:eastAsia="Calibri" w:hAnsi="Calibri" w:cs="Times New Roman"/>
                      <w:szCs w:val="22"/>
                    </w:rPr>
                    <w:t>(cash and in-kind)</w:t>
                  </w:r>
                </w:p>
              </w:tc>
              <w:tc>
                <w:tcPr>
                  <w:tcW w:w="990" w:type="dxa"/>
                  <w:shd w:val="clear" w:color="auto" w:fill="BFBFBF"/>
                </w:tcPr>
                <w:p w14:paraId="7B6251E4" w14:textId="0F344404"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0718AA52"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443700CB"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061CA64A"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4914C41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118AABC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055A2128"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0411CD0D"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67C4DD85"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19D5EEE"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20</w:t>
                  </w:r>
                  <w:r w:rsidRPr="00CE5562">
                    <w:rPr>
                      <w:szCs w:val="22"/>
                    </w:rPr>
                    <w:t>%</w:t>
                  </w:r>
                </w:p>
              </w:tc>
              <w:tc>
                <w:tcPr>
                  <w:tcW w:w="990" w:type="dxa"/>
                  <w:tcBorders>
                    <w:bottom w:val="single" w:sz="4" w:space="0" w:color="auto"/>
                  </w:tcBorders>
                  <w:vAlign w:val="bottom"/>
                </w:tcPr>
                <w:p w14:paraId="20C34A32" w14:textId="06EB16CA" w:rsidR="00CE5562" w:rsidRPr="00CE5562" w:rsidRDefault="00CE5562" w:rsidP="00CE5562">
                  <w:pPr>
                    <w:spacing w:after="60"/>
                    <w:ind w:left="58"/>
                    <w:jc w:val="center"/>
                    <w:rPr>
                      <w:szCs w:val="22"/>
                    </w:rPr>
                  </w:pPr>
                  <w:r w:rsidRPr="00CE5562">
                    <w:rPr>
                      <w:szCs w:val="22"/>
                    </w:rPr>
                    <w:t>1</w:t>
                  </w:r>
                </w:p>
              </w:tc>
            </w:tr>
          </w:tbl>
          <w:p w14:paraId="118100AC" w14:textId="59B46911"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31D4F487" w:rsidR="00CE5562" w:rsidRPr="00CE5562" w:rsidRDefault="00CE5562" w:rsidP="00CE5562">
            <w:pPr>
              <w:spacing w:before="120" w:after="0"/>
              <w:jc w:val="center"/>
              <w:rPr>
                <w:b/>
                <w:szCs w:val="22"/>
              </w:rPr>
            </w:pPr>
            <w:r w:rsidRPr="00CE5562">
              <w:rPr>
                <w:b/>
                <w:szCs w:val="22"/>
              </w:rPr>
              <w:t>5</w:t>
            </w:r>
          </w:p>
        </w:tc>
      </w:tr>
    </w:tbl>
    <w:p w14:paraId="6393F6AE" w14:textId="7195C17F" w:rsidR="00CE5562" w:rsidRPr="00CE5562" w:rsidRDefault="00CE5562" w:rsidP="00CE5562">
      <w:pPr>
        <w:tabs>
          <w:tab w:val="left" w:pos="1530"/>
        </w:tabs>
        <w:jc w:val="both"/>
        <w:rPr>
          <w:b/>
          <w:szCs w:val="22"/>
        </w:rPr>
      </w:pPr>
    </w:p>
    <w:p w14:paraId="4012D57A" w14:textId="77777777" w:rsidR="00585ED6" w:rsidRDefault="00585ED6" w:rsidP="001B6C87">
      <w:pPr>
        <w:tabs>
          <w:tab w:val="left" w:pos="1530"/>
        </w:tabs>
        <w:jc w:val="both"/>
        <w:rPr>
          <w:b/>
          <w:caps/>
          <w:u w:val="single"/>
        </w:rPr>
      </w:pPr>
    </w:p>
    <w:sectPr w:rsidR="00585ED6" w:rsidSect="00E219A8">
      <w:headerReference w:type="default" r:id="rId17"/>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3532" w14:textId="77777777" w:rsidR="00C45F2F" w:rsidRDefault="00C45F2F">
      <w:r>
        <w:separator/>
      </w:r>
    </w:p>
  </w:endnote>
  <w:endnote w:type="continuationSeparator" w:id="0">
    <w:p w14:paraId="7F1917D7" w14:textId="77777777" w:rsidR="00C45F2F" w:rsidRDefault="00C45F2F">
      <w:r>
        <w:continuationSeparator/>
      </w:r>
    </w:p>
  </w:endnote>
  <w:endnote w:type="continuationNotice" w:id="1">
    <w:p w14:paraId="27E64DA8" w14:textId="77777777" w:rsidR="00C45F2F" w:rsidRDefault="00C45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5678456B" w:rsidR="00580534" w:rsidRDefault="008A05A6" w:rsidP="00C63037">
    <w:pPr>
      <w:tabs>
        <w:tab w:val="left" w:pos="0"/>
        <w:tab w:val="center" w:pos="4680"/>
        <w:tab w:val="right" w:pos="9360"/>
      </w:tabs>
      <w:spacing w:after="0"/>
      <w:rPr>
        <w:sz w:val="20"/>
        <w:szCs w:val="16"/>
      </w:rPr>
    </w:pPr>
    <w:r>
      <w:rPr>
        <w:sz w:val="20"/>
        <w:szCs w:val="16"/>
      </w:rPr>
      <w:t>[</w:t>
    </w:r>
    <w:r w:rsidR="00443307" w:rsidRPr="008A05A6">
      <w:rPr>
        <w:strike/>
        <w:sz w:val="20"/>
        <w:szCs w:val="16"/>
      </w:rPr>
      <w:t>January</w:t>
    </w:r>
    <w:r>
      <w:rPr>
        <w:sz w:val="20"/>
        <w:szCs w:val="16"/>
      </w:rPr>
      <w:t xml:space="preserve">] </w:t>
    </w:r>
    <w:r>
      <w:rPr>
        <w:b/>
        <w:bCs/>
        <w:sz w:val="20"/>
        <w:szCs w:val="16"/>
        <w:u w:val="single"/>
      </w:rPr>
      <w:t>March</w:t>
    </w:r>
    <w:r w:rsidR="00443307">
      <w:rPr>
        <w:sz w:val="20"/>
        <w:szCs w:val="16"/>
      </w:rPr>
      <w:t xml:space="preserve"> 2023</w:t>
    </w:r>
    <w:r w:rsidR="00580534" w:rsidRPr="00122853">
      <w:rPr>
        <w:sz w:val="20"/>
        <w:szCs w:val="16"/>
      </w:rPr>
      <w:tab/>
      <w:t xml:space="preserve">Page </w:t>
    </w:r>
    <w:r w:rsidR="00580534" w:rsidRPr="00122853">
      <w:rPr>
        <w:sz w:val="20"/>
        <w:szCs w:val="16"/>
      </w:rPr>
      <w:fldChar w:fldCharType="begin"/>
    </w:r>
    <w:r w:rsidR="00580534" w:rsidRPr="00122853">
      <w:rPr>
        <w:sz w:val="20"/>
        <w:szCs w:val="16"/>
      </w:rPr>
      <w:instrText xml:space="preserve"> PAGE   \* MERGEFORMAT </w:instrText>
    </w:r>
    <w:r w:rsidR="00580534" w:rsidRPr="00122853">
      <w:rPr>
        <w:sz w:val="20"/>
        <w:szCs w:val="16"/>
      </w:rPr>
      <w:fldChar w:fldCharType="separate"/>
    </w:r>
    <w:r w:rsidR="00E70882">
      <w:rPr>
        <w:noProof/>
        <w:sz w:val="20"/>
        <w:szCs w:val="16"/>
      </w:rPr>
      <w:t>5</w:t>
    </w:r>
    <w:r w:rsidR="00580534" w:rsidRPr="00122853">
      <w:rPr>
        <w:sz w:val="20"/>
        <w:szCs w:val="16"/>
      </w:rPr>
      <w:fldChar w:fldCharType="end"/>
    </w:r>
    <w:r w:rsidR="00580534" w:rsidRPr="00122853">
      <w:rPr>
        <w:sz w:val="20"/>
        <w:szCs w:val="16"/>
      </w:rPr>
      <w:tab/>
      <w:t>GFO-</w:t>
    </w:r>
    <w:r w:rsidR="009A72D5">
      <w:rPr>
        <w:sz w:val="20"/>
        <w:szCs w:val="16"/>
      </w:rPr>
      <w:t>22</w:t>
    </w:r>
    <w:r w:rsidR="00580534" w:rsidRPr="00122853">
      <w:rPr>
        <w:sz w:val="20"/>
        <w:szCs w:val="16"/>
      </w:rPr>
      <w:t>-</w:t>
    </w:r>
    <w:r w:rsidR="009A72D5">
      <w:rPr>
        <w:sz w:val="20"/>
        <w:szCs w:val="16"/>
      </w:rPr>
      <w:t>305</w:t>
    </w:r>
  </w:p>
  <w:p w14:paraId="260A5B11" w14:textId="33AFA201" w:rsidR="00C63037" w:rsidRPr="00122853" w:rsidRDefault="00C63037" w:rsidP="00C63037">
    <w:pPr>
      <w:tabs>
        <w:tab w:val="left" w:pos="0"/>
        <w:tab w:val="center" w:pos="4680"/>
        <w:tab w:val="right" w:pos="9360"/>
      </w:tabs>
      <w:spacing w:after="0"/>
      <w:jc w:val="right"/>
      <w:rPr>
        <w:sz w:val="20"/>
        <w:szCs w:val="16"/>
      </w:rPr>
    </w:pPr>
    <w:r w:rsidRPr="00C63037">
      <w:rPr>
        <w:sz w:val="20"/>
        <w:szCs w:val="16"/>
      </w:rPr>
      <w:t xml:space="preserve">Advanced </w:t>
    </w:r>
    <w:proofErr w:type="gramStart"/>
    <w:r w:rsidRPr="00C63037">
      <w:rPr>
        <w:sz w:val="20"/>
        <w:szCs w:val="16"/>
      </w:rPr>
      <w:t>Pre-Fabricated</w:t>
    </w:r>
    <w:proofErr w:type="gramEnd"/>
    <w:r w:rsidRPr="00C63037">
      <w:rPr>
        <w:sz w:val="20"/>
        <w:szCs w:val="16"/>
      </w:rPr>
      <w:t xml:space="preserve"> Zero Carbon Homes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4FC7" w14:textId="77777777" w:rsidR="00C45F2F" w:rsidRDefault="00C45F2F">
      <w:r>
        <w:separator/>
      </w:r>
    </w:p>
  </w:footnote>
  <w:footnote w:type="continuationSeparator" w:id="0">
    <w:p w14:paraId="2DE73A46" w14:textId="77777777" w:rsidR="00C45F2F" w:rsidRDefault="00C45F2F">
      <w:r>
        <w:continuationSeparator/>
      </w:r>
    </w:p>
  </w:footnote>
  <w:footnote w:type="continuationNotice" w:id="1">
    <w:p w14:paraId="6C7BF489" w14:textId="77777777" w:rsidR="00C45F2F" w:rsidRDefault="00C45F2F">
      <w:pPr>
        <w:spacing w:after="0"/>
      </w:pPr>
    </w:p>
  </w:footnote>
  <w:footnote w:id="2">
    <w:p w14:paraId="41F6864C" w14:textId="77777777" w:rsidR="00160100" w:rsidRDefault="00160100" w:rsidP="00160100">
      <w:pPr>
        <w:pStyle w:val="FootnoteText"/>
      </w:pPr>
      <w:r>
        <w:rPr>
          <w:rStyle w:val="FootnoteReference"/>
        </w:rPr>
        <w:footnoteRef/>
      </w:r>
      <w:r>
        <w:t xml:space="preserve"> U.S Department of Housing and Urban Development.  </w:t>
      </w:r>
      <w:r>
        <w:rPr>
          <w:rFonts w:cs="Times New Roman"/>
        </w:rPr>
        <w:t>https://www.hud.gov/program_offices/housing/rmra/mhs/factsheet</w:t>
      </w:r>
    </w:p>
  </w:footnote>
  <w:footnote w:id="3">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4">
    <w:p w14:paraId="66AE8602" w14:textId="77777777" w:rsidR="00E04A42" w:rsidRDefault="00E04A42"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5">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6">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7">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8">
    <w:p w14:paraId="7B3D487E" w14:textId="53EB5502" w:rsidR="00580534" w:rsidRDefault="00580534"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hyperlink r:id="rId1" w:history="1">
        <w:r w:rsidR="001757AB" w:rsidRPr="008E74D6">
          <w:rPr>
            <w:rStyle w:val="Hyperlink"/>
          </w:rPr>
          <w:t>http://docs.cpuc.ca.gov/PublishedDocs/Published/G000/M081/K773/81773445.PDF</w:t>
        </w:r>
      </w:hyperlink>
      <w:r w:rsidR="001757AB">
        <w:rPr>
          <w:rFonts w:cs="Times New Roman"/>
        </w:rPr>
        <w:t xml:space="preserve"> </w:t>
      </w:r>
      <w:r>
        <w:rPr>
          <w:color w:val="1F497D"/>
        </w:rPr>
        <w:t xml:space="preserve">. </w:t>
      </w:r>
      <w:r>
        <w:t xml:space="preserve"> </w:t>
      </w:r>
    </w:p>
  </w:footnote>
  <w:footnote w:id="9">
    <w:p w14:paraId="79131523" w14:textId="074D7F1B" w:rsidR="00580534" w:rsidRDefault="00580534"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hyperlink r:id="rId2" w:history="1">
        <w:r w:rsidR="00606869" w:rsidRPr="008E74D6">
          <w:rPr>
            <w:rStyle w:val="Hyperlink"/>
          </w:rPr>
          <w:t>http://docs.cpuc.ca.gov/PublishedDocs/Published/G000/M151/K183/151183650.PDF</w:t>
        </w:r>
      </w:hyperlink>
      <w:r w:rsidR="00606869">
        <w:rPr>
          <w:rFonts w:cs="Times New Roman"/>
        </w:rPr>
        <w:t xml:space="preserve"> </w:t>
      </w:r>
      <w:r>
        <w:t xml:space="preserve">.   </w:t>
      </w:r>
    </w:p>
  </w:footnote>
  <w:footnote w:id="10">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1">
    <w:p w14:paraId="6FD34BA3" w14:textId="77777777" w:rsidR="00580534" w:rsidRDefault="00580534" w:rsidP="00BA3BBD">
      <w:pPr>
        <w:pStyle w:val="FootnoteText"/>
      </w:pPr>
      <w:r>
        <w:rPr>
          <w:rStyle w:val="FootnoteReference"/>
        </w:rPr>
        <w:footnoteRef/>
      </w:r>
      <w:r>
        <w:t xml:space="preserve"> AB 758 (Statutes of 2009, chapter 470) </w:t>
      </w:r>
    </w:p>
  </w:footnote>
  <w:footnote w:id="12">
    <w:p w14:paraId="4656548C" w14:textId="77777777" w:rsidR="00580534" w:rsidRDefault="00580534" w:rsidP="00BA3BBD">
      <w:pPr>
        <w:pStyle w:val="FootnoteText"/>
      </w:pPr>
      <w:r>
        <w:rPr>
          <w:rStyle w:val="FootnoteReference"/>
        </w:rPr>
        <w:footnoteRef/>
      </w:r>
      <w:r>
        <w:t xml:space="preserve"> AB 2514 (Statutes of 2010, chapter 469)</w:t>
      </w:r>
    </w:p>
  </w:footnote>
  <w:footnote w:id="13">
    <w:p w14:paraId="204D9ED4" w14:textId="77777777" w:rsidR="00580534" w:rsidRDefault="00580534" w:rsidP="00BA3BBD">
      <w:pPr>
        <w:pStyle w:val="FootnoteText"/>
      </w:pPr>
      <w:r>
        <w:rPr>
          <w:rStyle w:val="FootnoteReference"/>
        </w:rPr>
        <w:footnoteRef/>
      </w:r>
      <w:r>
        <w:t xml:space="preserve"> SB 350 (Statutes of 2015, chapter 547</w:t>
      </w:r>
    </w:p>
  </w:footnote>
  <w:footnote w:id="14">
    <w:p w14:paraId="5E80FC5A" w14:textId="77777777" w:rsidR="002E6C17" w:rsidRPr="00FA5703" w:rsidRDefault="002E6C17" w:rsidP="002E6C17">
      <w:pPr>
        <w:pStyle w:val="FootnoteText"/>
      </w:pPr>
      <w:r w:rsidRPr="00FA5703">
        <w:rPr>
          <w:rStyle w:val="FootnoteReference"/>
        </w:rPr>
        <w:footnoteRef/>
      </w:r>
      <w:r w:rsidRPr="00FA5703">
        <w:t xml:space="preserve"> Advanced Envelope Systems for Factory Built Homes, Publication Number CEC-500-2019-007, California Energy Commission Publication Database.  </w:t>
      </w:r>
    </w:p>
  </w:footnote>
  <w:footnote w:id="15">
    <w:p w14:paraId="447CB72F" w14:textId="77777777" w:rsidR="009526D5" w:rsidRDefault="009526D5" w:rsidP="009526D5">
      <w:pPr>
        <w:pStyle w:val="FootnoteText"/>
      </w:pPr>
      <w:r w:rsidRPr="00FA5703">
        <w:rPr>
          <w:rStyle w:val="FootnoteReference"/>
        </w:rPr>
        <w:footnoteRef/>
      </w:r>
      <w:r w:rsidRPr="00FA5703">
        <w:t xml:space="preserve"> Agreement number PIR-12-028: Advanced Envelope Systems for Factory Built Homes.</w:t>
      </w:r>
    </w:p>
  </w:footnote>
  <w:footnote w:id="16">
    <w:p w14:paraId="39819D3F" w14:textId="77777777" w:rsidR="009526D5" w:rsidRPr="00FA5703" w:rsidRDefault="009526D5" w:rsidP="009526D5">
      <w:pPr>
        <w:pStyle w:val="FootnoteText"/>
      </w:pPr>
      <w:r w:rsidRPr="00FA5703">
        <w:rPr>
          <w:rStyle w:val="FootnoteReference"/>
        </w:rPr>
        <w:footnoteRef/>
      </w:r>
      <w:r w:rsidRPr="00FA5703">
        <w:t xml:space="preserve"> EPC-19-035: Advancing Energy Efficiency in Manufactured Homes Through High Performance Envelope; and EPC-19-043: Advanced Energy-efficient and Fire-resistive Envelope Systems Utilizing Vacuum Insulation for Manufactured Homes.  </w:t>
      </w:r>
    </w:p>
  </w:footnote>
  <w:footnote w:id="17">
    <w:p w14:paraId="4B786CD2" w14:textId="77777777" w:rsidR="004B67F2" w:rsidRDefault="004B67F2" w:rsidP="004B67F2">
      <w:pPr>
        <w:pStyle w:val="FootnoteText"/>
      </w:pPr>
      <w:r>
        <w:rPr>
          <w:rStyle w:val="FootnoteReference"/>
        </w:rPr>
        <w:footnoteRef/>
      </w:r>
      <w:r>
        <w:t xml:space="preserve"> </w:t>
      </w:r>
      <w:r w:rsidRPr="00BD0FE7">
        <w:t xml:space="preserve">Levinson, </w:t>
      </w:r>
      <w:r w:rsidRPr="00BD0FE7">
        <w:t>Ronnen, Haley Gilbert, Jiachen Zhang, George Ban-Weiss, Jan Kleissl, Matteo Pizzicotti, Weilong Zhang, Nathalie Dumas, Benjamin Kurtz, Yan Long, Negin Nazarian, Arash Mohegh, Yun Li, Xiaochen Tang, Sharon Chen, Marion Russell, Sébastien Houzé de l’Aulnoit, Paul Berdahl, Pablo Rosado, Jonathan Slack, Howdy Goudey, and Hugo Destaillats. 2019. Solar-Reflective “Cool” Walls: Benefits, Technologies, and Implementation. California Energy Commission. Publication Number: CEC-500-2019-040</w:t>
      </w:r>
    </w:p>
  </w:footnote>
  <w:footnote w:id="18">
    <w:p w14:paraId="6E362AA7" w14:textId="77777777" w:rsidR="002E6C17" w:rsidRPr="002E4249" w:rsidRDefault="002E6C17" w:rsidP="002E6C17">
      <w:pPr>
        <w:pStyle w:val="FootnoteText"/>
      </w:pPr>
      <w:r>
        <w:rPr>
          <w:rStyle w:val="FootnoteReference"/>
        </w:rPr>
        <w:footnoteRef/>
      </w:r>
      <w:r>
        <w:t xml:space="preserve"> </w:t>
      </w:r>
      <w:r w:rsidRPr="002E4249">
        <w:t xml:space="preserve">Gupta, </w:t>
      </w:r>
      <w:r w:rsidRPr="002E4249">
        <w:t>Smita, Jeremy Smith. Itron, Inc. 2019. Research Gap Analysis for Zero-net Energy Buildings. California Energy Commission. Publication Number: CEC-500-2019-031.</w:t>
      </w:r>
    </w:p>
  </w:footnote>
  <w:footnote w:id="19">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0">
    <w:p w14:paraId="206B7DF7" w14:textId="77777777" w:rsidR="00580534" w:rsidRDefault="00580534">
      <w:pPr>
        <w:pStyle w:val="FootnoteText"/>
      </w:pPr>
      <w:r>
        <w:rPr>
          <w:rStyle w:val="FootnoteReference"/>
        </w:rPr>
        <w:footnoteRef/>
      </w:r>
      <w:r>
        <w:t xml:space="preserve"> Public Resources Code § 25711.6.  </w:t>
      </w:r>
    </w:p>
  </w:footnote>
  <w:footnote w:id="21">
    <w:p w14:paraId="56CC364F" w14:textId="77777777" w:rsidR="00580534" w:rsidRDefault="00580534">
      <w:pPr>
        <w:pStyle w:val="FootnoteText"/>
      </w:pPr>
      <w:r>
        <w:rPr>
          <w:rStyle w:val="FootnoteReference"/>
        </w:rPr>
        <w:footnoteRef/>
      </w:r>
      <w:r>
        <w:t xml:space="preserve"> Public Resources Code § 25711.5. </w:t>
      </w:r>
    </w:p>
  </w:footnote>
  <w:footnote w:id="22">
    <w:p w14:paraId="734C5CC6" w14:textId="77777777" w:rsidR="00580534" w:rsidRDefault="00580534">
      <w:pPr>
        <w:pStyle w:val="FootnoteText"/>
      </w:pPr>
      <w:r>
        <w:rPr>
          <w:rStyle w:val="FootnoteReference"/>
        </w:rPr>
        <w:footnoteRef/>
      </w:r>
      <w:r>
        <w:t xml:space="preserve"> Public Resources Code § 25711.6.  </w:t>
      </w:r>
    </w:p>
  </w:footnote>
  <w:footnote w:id="23">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4">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 w:id="25">
    <w:p w14:paraId="507BCA0E" w14:textId="77777777" w:rsidR="00242286" w:rsidRDefault="00242286" w:rsidP="00242286">
      <w:pPr>
        <w:pStyle w:val="FootnoteText"/>
      </w:pPr>
      <w:r>
        <w:rPr>
          <w:rStyle w:val="FootnoteReference"/>
        </w:rPr>
        <w:footnoteRef/>
      </w:r>
      <w:r>
        <w:t xml:space="preserve"> </w:t>
      </w:r>
      <w:r w:rsidRPr="00616F23">
        <w:rPr>
          <w:rFonts w:cs="Times New Roman"/>
        </w:rPr>
        <w:t>https://oehha.ca.gov/calenviroscreen/report/calenviroscreen-</w:t>
      </w:r>
      <w:r>
        <w:rPr>
          <w:rFonts w:cs="Times New Roman"/>
        </w:rPr>
        <w:t>4</w:t>
      </w:r>
      <w:r w:rsidRPr="00616F23">
        <w:rPr>
          <w:rFonts w:cs="Times New Roman"/>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6110E"/>
    <w:multiLevelType w:val="hybridMultilevel"/>
    <w:tmpl w:val="F9A859B8"/>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C50505"/>
    <w:multiLevelType w:val="hybridMultilevel"/>
    <w:tmpl w:val="88BE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C44E5"/>
    <w:multiLevelType w:val="hybridMultilevel"/>
    <w:tmpl w:val="ABBE02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BDE4B31"/>
    <w:multiLevelType w:val="hybridMultilevel"/>
    <w:tmpl w:val="D436AC34"/>
    <w:lvl w:ilvl="0" w:tplc="FFFFFFFF">
      <w:start w:val="1"/>
      <w:numFmt w:val="decimal"/>
      <w:lvlText w:val="%1."/>
      <w:lvlJc w:val="left"/>
      <w:pPr>
        <w:ind w:left="1080" w:hanging="360"/>
      </w:pPr>
      <w:rPr>
        <w:b w:val="0"/>
        <w:bCs w:val="0"/>
        <w:strike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6862A79"/>
    <w:multiLevelType w:val="hybridMultilevel"/>
    <w:tmpl w:val="D436AC34"/>
    <w:lvl w:ilvl="0" w:tplc="C84486FE">
      <w:start w:val="1"/>
      <w:numFmt w:val="decimal"/>
      <w:lvlText w:val="%1."/>
      <w:lvlJc w:val="left"/>
      <w:pPr>
        <w:ind w:left="1080" w:hanging="360"/>
      </w:pPr>
      <w:rPr>
        <w:b w:val="0"/>
        <w:bCs w:val="0"/>
        <w: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4499A"/>
    <w:multiLevelType w:val="hybridMultilevel"/>
    <w:tmpl w:val="49302DB4"/>
    <w:lvl w:ilvl="0" w:tplc="A6048A9E">
      <w:start w:val="1"/>
      <w:numFmt w:val="decimal"/>
      <w:lvlText w:val="%1)"/>
      <w:lvlJc w:val="left"/>
      <w:pPr>
        <w:ind w:left="1620" w:hanging="360"/>
      </w:pPr>
      <w:rPr>
        <w:rFonts w:ascii="Arial" w:eastAsia="Times New Roman" w:hAnsi="Arial" w:cs="Arial"/>
        <w:b w:val="0"/>
        <w:bCs w:val="0"/>
        <w:u w:val="none"/>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4"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0"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3" w15:restartNumberingAfterBreak="0">
    <w:nsid w:val="4696296A"/>
    <w:multiLevelType w:val="hybridMultilevel"/>
    <w:tmpl w:val="1D48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6D34C2"/>
    <w:multiLevelType w:val="hybridMultilevel"/>
    <w:tmpl w:val="73B202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37501C2"/>
    <w:multiLevelType w:val="hybridMultilevel"/>
    <w:tmpl w:val="0F02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D06712"/>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7"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8"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4"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AE1E3E"/>
    <w:multiLevelType w:val="hybridMultilevel"/>
    <w:tmpl w:val="ED58FC62"/>
    <w:lvl w:ilvl="0" w:tplc="DA188AE6">
      <w:start w:val="1"/>
      <w:numFmt w:val="decimal"/>
      <w:pStyle w:val="HeadingNew1"/>
      <w:lvlText w:val="%1."/>
      <w:lvlJc w:val="left"/>
      <w:pPr>
        <w:ind w:left="360" w:hanging="360"/>
      </w:pPr>
      <w:rPr>
        <w:rFonts w:hint="default"/>
        <w:b/>
        <w:bCs w:val="0"/>
        <w:color w:val="auto"/>
        <w:u w:val="single"/>
      </w:rPr>
    </w:lvl>
    <w:lvl w:ilvl="1" w:tplc="CA40A276">
      <w:start w:val="1"/>
      <w:numFmt w:val="lowerLetter"/>
      <w:lvlText w:val="%2."/>
      <w:lvlJc w:val="left"/>
      <w:pPr>
        <w:ind w:left="810" w:hanging="360"/>
      </w:pPr>
      <w:rPr>
        <w:b/>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6"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0"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649243">
    <w:abstractNumId w:val="3"/>
  </w:num>
  <w:num w:numId="2" w16cid:durableId="483132453">
    <w:abstractNumId w:val="2"/>
  </w:num>
  <w:num w:numId="3" w16cid:durableId="985545651">
    <w:abstractNumId w:val="53"/>
  </w:num>
  <w:num w:numId="4" w16cid:durableId="1851724326">
    <w:abstractNumId w:val="48"/>
  </w:num>
  <w:num w:numId="5" w16cid:durableId="250236904">
    <w:abstractNumId w:val="26"/>
  </w:num>
  <w:num w:numId="6" w16cid:durableId="232737712">
    <w:abstractNumId w:val="27"/>
  </w:num>
  <w:num w:numId="7" w16cid:durableId="1909612373">
    <w:abstractNumId w:val="60"/>
  </w:num>
  <w:num w:numId="8" w16cid:durableId="1191451151">
    <w:abstractNumId w:val="8"/>
  </w:num>
  <w:num w:numId="9" w16cid:durableId="1513643927">
    <w:abstractNumId w:val="21"/>
  </w:num>
  <w:num w:numId="10" w16cid:durableId="696128226">
    <w:abstractNumId w:val="44"/>
  </w:num>
  <w:num w:numId="11" w16cid:durableId="1316884150">
    <w:abstractNumId w:val="7"/>
  </w:num>
  <w:num w:numId="12" w16cid:durableId="1083988491">
    <w:abstractNumId w:val="22"/>
  </w:num>
  <w:num w:numId="13" w16cid:durableId="1876652184">
    <w:abstractNumId w:val="61"/>
  </w:num>
  <w:num w:numId="14" w16cid:durableId="1649821319">
    <w:abstractNumId w:val="41"/>
  </w:num>
  <w:num w:numId="15" w16cid:durableId="555776824">
    <w:abstractNumId w:val="37"/>
  </w:num>
  <w:num w:numId="16" w16cid:durableId="1093088391">
    <w:abstractNumId w:val="54"/>
  </w:num>
  <w:num w:numId="17" w16cid:durableId="676270288">
    <w:abstractNumId w:val="62"/>
  </w:num>
  <w:num w:numId="18" w16cid:durableId="2024359706">
    <w:abstractNumId w:val="63"/>
  </w:num>
  <w:num w:numId="19" w16cid:durableId="167915577">
    <w:abstractNumId w:val="58"/>
  </w:num>
  <w:num w:numId="20" w16cid:durableId="2006738120">
    <w:abstractNumId w:val="50"/>
  </w:num>
  <w:num w:numId="21" w16cid:durableId="1912887936">
    <w:abstractNumId w:val="64"/>
  </w:num>
  <w:num w:numId="22" w16cid:durableId="420419525">
    <w:abstractNumId w:val="35"/>
  </w:num>
  <w:num w:numId="23" w16cid:durableId="1032725303">
    <w:abstractNumId w:val="42"/>
  </w:num>
  <w:num w:numId="24" w16cid:durableId="1039237030">
    <w:abstractNumId w:val="39"/>
  </w:num>
  <w:num w:numId="25" w16cid:durableId="1179202506">
    <w:abstractNumId w:val="55"/>
  </w:num>
  <w:num w:numId="26" w16cid:durableId="1019552523">
    <w:abstractNumId w:val="57"/>
  </w:num>
  <w:num w:numId="27" w16cid:durableId="1120492607">
    <w:abstractNumId w:val="10"/>
  </w:num>
  <w:num w:numId="28" w16cid:durableId="20302552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1260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31531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2197113">
    <w:abstractNumId w:val="20"/>
  </w:num>
  <w:num w:numId="32" w16cid:durableId="576675245">
    <w:abstractNumId w:val="14"/>
  </w:num>
  <w:num w:numId="33" w16cid:durableId="1755398665">
    <w:abstractNumId w:val="6"/>
  </w:num>
  <w:num w:numId="34" w16cid:durableId="1185486155">
    <w:abstractNumId w:val="36"/>
  </w:num>
  <w:num w:numId="35" w16cid:durableId="707532447">
    <w:abstractNumId w:val="52"/>
  </w:num>
  <w:num w:numId="36" w16cid:durableId="2043705661">
    <w:abstractNumId w:val="25"/>
  </w:num>
  <w:num w:numId="37" w16cid:durableId="1061559538">
    <w:abstractNumId w:val="1"/>
  </w:num>
  <w:num w:numId="38" w16cid:durableId="2088067253">
    <w:abstractNumId w:val="51"/>
  </w:num>
  <w:num w:numId="39" w16cid:durableId="1659918796">
    <w:abstractNumId w:val="15"/>
  </w:num>
  <w:num w:numId="40" w16cid:durableId="1364360486">
    <w:abstractNumId w:val="24"/>
  </w:num>
  <w:num w:numId="41" w16cid:durableId="1836140241">
    <w:abstractNumId w:val="47"/>
  </w:num>
  <w:num w:numId="42" w16cid:durableId="818965161">
    <w:abstractNumId w:val="29"/>
  </w:num>
  <w:num w:numId="43" w16cid:durableId="1631856298">
    <w:abstractNumId w:val="32"/>
  </w:num>
  <w:num w:numId="44" w16cid:durableId="356397834">
    <w:abstractNumId w:val="34"/>
  </w:num>
  <w:num w:numId="45" w16cid:durableId="160967396">
    <w:abstractNumId w:val="46"/>
  </w:num>
  <w:num w:numId="46" w16cid:durableId="1686128239">
    <w:abstractNumId w:val="0"/>
  </w:num>
  <w:num w:numId="47" w16cid:durableId="1113285779">
    <w:abstractNumId w:val="40"/>
  </w:num>
  <w:num w:numId="48" w16cid:durableId="928467876">
    <w:abstractNumId w:val="13"/>
  </w:num>
  <w:num w:numId="49" w16cid:durableId="1147697708">
    <w:abstractNumId w:val="23"/>
  </w:num>
  <w:num w:numId="50" w16cid:durableId="1806123936">
    <w:abstractNumId w:val="28"/>
  </w:num>
  <w:num w:numId="51" w16cid:durableId="1168709457">
    <w:abstractNumId w:val="43"/>
  </w:num>
  <w:num w:numId="52" w16cid:durableId="1460687333">
    <w:abstractNumId w:val="11"/>
  </w:num>
  <w:num w:numId="53" w16cid:durableId="916670973">
    <w:abstractNumId w:val="38"/>
  </w:num>
  <w:num w:numId="54" w16cid:durableId="430512237">
    <w:abstractNumId w:val="56"/>
  </w:num>
  <w:num w:numId="55" w16cid:durableId="456067722">
    <w:abstractNumId w:val="31"/>
  </w:num>
  <w:num w:numId="56" w16cid:durableId="2104916103">
    <w:abstractNumId w:val="30"/>
  </w:num>
  <w:num w:numId="57" w16cid:durableId="822622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75936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0177728">
    <w:abstractNumId w:val="49"/>
  </w:num>
  <w:num w:numId="60" w16cid:durableId="16621560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266815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87526507">
    <w:abstractNumId w:val="9"/>
  </w:num>
  <w:num w:numId="63" w16cid:durableId="593636080">
    <w:abstractNumId w:val="19"/>
  </w:num>
  <w:num w:numId="64" w16cid:durableId="266736869">
    <w:abstractNumId w:val="33"/>
  </w:num>
  <w:num w:numId="65" w16cid:durableId="1173061019">
    <w:abstractNumId w:val="45"/>
  </w:num>
  <w:num w:numId="66" w16cid:durableId="1705398496">
    <w:abstractNumId w:val="5"/>
  </w:num>
  <w:num w:numId="67" w16cid:durableId="2073120172">
    <w:abstractNumId w:val="16"/>
  </w:num>
  <w:num w:numId="68" w16cid:durableId="772944506">
    <w:abstractNumId w:val="4"/>
  </w:num>
  <w:num w:numId="69" w16cid:durableId="460274077">
    <w:abstractNumId w:val="55"/>
    <w:lvlOverride w:ilvl="0">
      <w:startOverride w:val="1"/>
    </w:lvlOverride>
  </w:num>
  <w:num w:numId="70" w16cid:durableId="1415862954">
    <w:abstractNumId w:val="18"/>
  </w:num>
  <w:num w:numId="71" w16cid:durableId="2111461118">
    <w:abstractNumId w:val="12"/>
  </w:num>
  <w:num w:numId="72" w16cid:durableId="1349601771">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5"/>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qwUAnEcUTCwAAAA="/>
  </w:docVars>
  <w:rsids>
    <w:rsidRoot w:val="00EE10B1"/>
    <w:rsid w:val="00000355"/>
    <w:rsid w:val="00000458"/>
    <w:rsid w:val="0000052E"/>
    <w:rsid w:val="0000076C"/>
    <w:rsid w:val="00000A55"/>
    <w:rsid w:val="00000C0F"/>
    <w:rsid w:val="0000103E"/>
    <w:rsid w:val="00001424"/>
    <w:rsid w:val="0000149C"/>
    <w:rsid w:val="0000172D"/>
    <w:rsid w:val="0000172F"/>
    <w:rsid w:val="0000175F"/>
    <w:rsid w:val="000018AD"/>
    <w:rsid w:val="00002793"/>
    <w:rsid w:val="00002CC4"/>
    <w:rsid w:val="00002F4C"/>
    <w:rsid w:val="000034DB"/>
    <w:rsid w:val="00003543"/>
    <w:rsid w:val="00003593"/>
    <w:rsid w:val="00003B2D"/>
    <w:rsid w:val="00003BC0"/>
    <w:rsid w:val="00003F42"/>
    <w:rsid w:val="000047D8"/>
    <w:rsid w:val="00004DF2"/>
    <w:rsid w:val="00004FFA"/>
    <w:rsid w:val="00005A4A"/>
    <w:rsid w:val="00005A8F"/>
    <w:rsid w:val="00005D53"/>
    <w:rsid w:val="00005D8B"/>
    <w:rsid w:val="00005E7A"/>
    <w:rsid w:val="0000604D"/>
    <w:rsid w:val="00006161"/>
    <w:rsid w:val="000062D2"/>
    <w:rsid w:val="000064C4"/>
    <w:rsid w:val="000066A8"/>
    <w:rsid w:val="0000689C"/>
    <w:rsid w:val="00006C62"/>
    <w:rsid w:val="00007402"/>
    <w:rsid w:val="0000779E"/>
    <w:rsid w:val="00007BF2"/>
    <w:rsid w:val="00007CE1"/>
    <w:rsid w:val="00007D1F"/>
    <w:rsid w:val="00007FF3"/>
    <w:rsid w:val="00010127"/>
    <w:rsid w:val="00010A17"/>
    <w:rsid w:val="00010A82"/>
    <w:rsid w:val="000114B3"/>
    <w:rsid w:val="00011E59"/>
    <w:rsid w:val="00011FF1"/>
    <w:rsid w:val="000124A3"/>
    <w:rsid w:val="00012510"/>
    <w:rsid w:val="0001353A"/>
    <w:rsid w:val="00013878"/>
    <w:rsid w:val="000138B2"/>
    <w:rsid w:val="00013CF0"/>
    <w:rsid w:val="0001460E"/>
    <w:rsid w:val="00014C9C"/>
    <w:rsid w:val="00014E00"/>
    <w:rsid w:val="00015220"/>
    <w:rsid w:val="00015877"/>
    <w:rsid w:val="00015C88"/>
    <w:rsid w:val="00015CEA"/>
    <w:rsid w:val="000160AE"/>
    <w:rsid w:val="00016303"/>
    <w:rsid w:val="00016FC9"/>
    <w:rsid w:val="00017560"/>
    <w:rsid w:val="00017EB7"/>
    <w:rsid w:val="00020361"/>
    <w:rsid w:val="00020529"/>
    <w:rsid w:val="00020B8B"/>
    <w:rsid w:val="000212BB"/>
    <w:rsid w:val="00022296"/>
    <w:rsid w:val="0002270D"/>
    <w:rsid w:val="00022914"/>
    <w:rsid w:val="000229B2"/>
    <w:rsid w:val="00022D65"/>
    <w:rsid w:val="00022FB9"/>
    <w:rsid w:val="0002309F"/>
    <w:rsid w:val="0002354C"/>
    <w:rsid w:val="000237F6"/>
    <w:rsid w:val="00023867"/>
    <w:rsid w:val="000239C8"/>
    <w:rsid w:val="000239EE"/>
    <w:rsid w:val="00023BBE"/>
    <w:rsid w:val="00024194"/>
    <w:rsid w:val="000241C8"/>
    <w:rsid w:val="00024416"/>
    <w:rsid w:val="00025A53"/>
    <w:rsid w:val="00025A8A"/>
    <w:rsid w:val="00025CE4"/>
    <w:rsid w:val="00025DD0"/>
    <w:rsid w:val="000264F9"/>
    <w:rsid w:val="00026B28"/>
    <w:rsid w:val="00026C92"/>
    <w:rsid w:val="00026CA4"/>
    <w:rsid w:val="00026D9E"/>
    <w:rsid w:val="000274C3"/>
    <w:rsid w:val="0002752A"/>
    <w:rsid w:val="000276B1"/>
    <w:rsid w:val="00027774"/>
    <w:rsid w:val="000277C2"/>
    <w:rsid w:val="000305F5"/>
    <w:rsid w:val="00030B75"/>
    <w:rsid w:val="00030E77"/>
    <w:rsid w:val="00031059"/>
    <w:rsid w:val="000311E1"/>
    <w:rsid w:val="00031430"/>
    <w:rsid w:val="00031460"/>
    <w:rsid w:val="0003180D"/>
    <w:rsid w:val="00032125"/>
    <w:rsid w:val="00032477"/>
    <w:rsid w:val="0003286E"/>
    <w:rsid w:val="000328EF"/>
    <w:rsid w:val="00032904"/>
    <w:rsid w:val="00032CE6"/>
    <w:rsid w:val="00032F16"/>
    <w:rsid w:val="00032F46"/>
    <w:rsid w:val="0003304E"/>
    <w:rsid w:val="00033504"/>
    <w:rsid w:val="00033751"/>
    <w:rsid w:val="000338A1"/>
    <w:rsid w:val="0003496A"/>
    <w:rsid w:val="00034CE3"/>
    <w:rsid w:val="000351CB"/>
    <w:rsid w:val="000354B4"/>
    <w:rsid w:val="00035774"/>
    <w:rsid w:val="0003596D"/>
    <w:rsid w:val="00035BF1"/>
    <w:rsid w:val="00035F37"/>
    <w:rsid w:val="0003609F"/>
    <w:rsid w:val="00036604"/>
    <w:rsid w:val="00036791"/>
    <w:rsid w:val="00037EF7"/>
    <w:rsid w:val="00040579"/>
    <w:rsid w:val="0004075F"/>
    <w:rsid w:val="00040A20"/>
    <w:rsid w:val="00040B75"/>
    <w:rsid w:val="00040D6D"/>
    <w:rsid w:val="00040DAA"/>
    <w:rsid w:val="00040E61"/>
    <w:rsid w:val="000414A3"/>
    <w:rsid w:val="000419FF"/>
    <w:rsid w:val="0004261D"/>
    <w:rsid w:val="0004267B"/>
    <w:rsid w:val="000426A8"/>
    <w:rsid w:val="0004276E"/>
    <w:rsid w:val="00042DCB"/>
    <w:rsid w:val="0004356A"/>
    <w:rsid w:val="000438E8"/>
    <w:rsid w:val="00043A2F"/>
    <w:rsid w:val="00043BE8"/>
    <w:rsid w:val="000444B3"/>
    <w:rsid w:val="0004472D"/>
    <w:rsid w:val="000447F1"/>
    <w:rsid w:val="00044959"/>
    <w:rsid w:val="00044DF2"/>
    <w:rsid w:val="0004506B"/>
    <w:rsid w:val="0004587B"/>
    <w:rsid w:val="000458D4"/>
    <w:rsid w:val="00045ED8"/>
    <w:rsid w:val="00045F58"/>
    <w:rsid w:val="0004617A"/>
    <w:rsid w:val="000465A1"/>
    <w:rsid w:val="00046D36"/>
    <w:rsid w:val="00047424"/>
    <w:rsid w:val="00047717"/>
    <w:rsid w:val="00047761"/>
    <w:rsid w:val="00047E93"/>
    <w:rsid w:val="0005017E"/>
    <w:rsid w:val="00050507"/>
    <w:rsid w:val="00050A62"/>
    <w:rsid w:val="00050BDA"/>
    <w:rsid w:val="00050BFA"/>
    <w:rsid w:val="00050CC8"/>
    <w:rsid w:val="00050EB6"/>
    <w:rsid w:val="00050F5A"/>
    <w:rsid w:val="00051017"/>
    <w:rsid w:val="000514BF"/>
    <w:rsid w:val="000518CF"/>
    <w:rsid w:val="0005192A"/>
    <w:rsid w:val="00051C75"/>
    <w:rsid w:val="00051D64"/>
    <w:rsid w:val="00051FD5"/>
    <w:rsid w:val="0005211E"/>
    <w:rsid w:val="00052194"/>
    <w:rsid w:val="000524C8"/>
    <w:rsid w:val="000526C3"/>
    <w:rsid w:val="00052827"/>
    <w:rsid w:val="000528E0"/>
    <w:rsid w:val="00052B4F"/>
    <w:rsid w:val="00052D8D"/>
    <w:rsid w:val="000530A1"/>
    <w:rsid w:val="00053A99"/>
    <w:rsid w:val="00053BEC"/>
    <w:rsid w:val="00054166"/>
    <w:rsid w:val="000541B6"/>
    <w:rsid w:val="000543E2"/>
    <w:rsid w:val="00054F51"/>
    <w:rsid w:val="00055531"/>
    <w:rsid w:val="00055903"/>
    <w:rsid w:val="0005629A"/>
    <w:rsid w:val="0005684F"/>
    <w:rsid w:val="00056864"/>
    <w:rsid w:val="0005688E"/>
    <w:rsid w:val="00056D6A"/>
    <w:rsid w:val="0005732D"/>
    <w:rsid w:val="00057527"/>
    <w:rsid w:val="000576AE"/>
    <w:rsid w:val="00057768"/>
    <w:rsid w:val="00057859"/>
    <w:rsid w:val="0006069C"/>
    <w:rsid w:val="00060914"/>
    <w:rsid w:val="00060D67"/>
    <w:rsid w:val="00060E2C"/>
    <w:rsid w:val="000615A2"/>
    <w:rsid w:val="00062F70"/>
    <w:rsid w:val="00063170"/>
    <w:rsid w:val="00063223"/>
    <w:rsid w:val="00063593"/>
    <w:rsid w:val="00063EB6"/>
    <w:rsid w:val="00063F67"/>
    <w:rsid w:val="00064449"/>
    <w:rsid w:val="00064472"/>
    <w:rsid w:val="00064663"/>
    <w:rsid w:val="00064BE6"/>
    <w:rsid w:val="00065492"/>
    <w:rsid w:val="00065A2B"/>
    <w:rsid w:val="00066195"/>
    <w:rsid w:val="000662C7"/>
    <w:rsid w:val="00066514"/>
    <w:rsid w:val="00066798"/>
    <w:rsid w:val="00066DCB"/>
    <w:rsid w:val="00067336"/>
    <w:rsid w:val="0006769B"/>
    <w:rsid w:val="0006773D"/>
    <w:rsid w:val="00067753"/>
    <w:rsid w:val="00067D5F"/>
    <w:rsid w:val="00067F5D"/>
    <w:rsid w:val="000702F9"/>
    <w:rsid w:val="000704C9"/>
    <w:rsid w:val="000706AA"/>
    <w:rsid w:val="0007074B"/>
    <w:rsid w:val="00070A7E"/>
    <w:rsid w:val="00070D19"/>
    <w:rsid w:val="00070D30"/>
    <w:rsid w:val="00070DE3"/>
    <w:rsid w:val="00070EEF"/>
    <w:rsid w:val="000711BF"/>
    <w:rsid w:val="0007135C"/>
    <w:rsid w:val="000722C6"/>
    <w:rsid w:val="000724E4"/>
    <w:rsid w:val="00072901"/>
    <w:rsid w:val="00072A96"/>
    <w:rsid w:val="00072B68"/>
    <w:rsid w:val="00072BAB"/>
    <w:rsid w:val="00072D4D"/>
    <w:rsid w:val="00072E15"/>
    <w:rsid w:val="0007304A"/>
    <w:rsid w:val="00073114"/>
    <w:rsid w:val="00073754"/>
    <w:rsid w:val="0007396E"/>
    <w:rsid w:val="00073ABA"/>
    <w:rsid w:val="00074BBF"/>
    <w:rsid w:val="00074BE1"/>
    <w:rsid w:val="000752AD"/>
    <w:rsid w:val="00075A45"/>
    <w:rsid w:val="00075ABA"/>
    <w:rsid w:val="00075AFE"/>
    <w:rsid w:val="00075D2B"/>
    <w:rsid w:val="0007647A"/>
    <w:rsid w:val="0007654F"/>
    <w:rsid w:val="00076A0E"/>
    <w:rsid w:val="00076BD7"/>
    <w:rsid w:val="00077074"/>
    <w:rsid w:val="000772E5"/>
    <w:rsid w:val="000775A0"/>
    <w:rsid w:val="000801E0"/>
    <w:rsid w:val="000802B8"/>
    <w:rsid w:val="000807CF"/>
    <w:rsid w:val="00080CE4"/>
    <w:rsid w:val="0008166D"/>
    <w:rsid w:val="00081680"/>
    <w:rsid w:val="00081F87"/>
    <w:rsid w:val="00081FD0"/>
    <w:rsid w:val="00082155"/>
    <w:rsid w:val="00082374"/>
    <w:rsid w:val="000823E5"/>
    <w:rsid w:val="000828F4"/>
    <w:rsid w:val="00082A96"/>
    <w:rsid w:val="00082E4C"/>
    <w:rsid w:val="00082E73"/>
    <w:rsid w:val="0008323D"/>
    <w:rsid w:val="00083382"/>
    <w:rsid w:val="00083D0F"/>
    <w:rsid w:val="00084094"/>
    <w:rsid w:val="00084500"/>
    <w:rsid w:val="000846B3"/>
    <w:rsid w:val="000849A1"/>
    <w:rsid w:val="00084BDE"/>
    <w:rsid w:val="00085248"/>
    <w:rsid w:val="00085407"/>
    <w:rsid w:val="00086DFB"/>
    <w:rsid w:val="00086E98"/>
    <w:rsid w:val="000873DE"/>
    <w:rsid w:val="0008749B"/>
    <w:rsid w:val="0008754A"/>
    <w:rsid w:val="00087E0C"/>
    <w:rsid w:val="00087E47"/>
    <w:rsid w:val="000902B3"/>
    <w:rsid w:val="0009047A"/>
    <w:rsid w:val="000904AA"/>
    <w:rsid w:val="00090B5B"/>
    <w:rsid w:val="00090B69"/>
    <w:rsid w:val="00090CA1"/>
    <w:rsid w:val="00090EE4"/>
    <w:rsid w:val="00091A74"/>
    <w:rsid w:val="00091E33"/>
    <w:rsid w:val="00091E59"/>
    <w:rsid w:val="00091E83"/>
    <w:rsid w:val="00091EE3"/>
    <w:rsid w:val="00091FF9"/>
    <w:rsid w:val="000921BB"/>
    <w:rsid w:val="000921CD"/>
    <w:rsid w:val="00092648"/>
    <w:rsid w:val="000926C5"/>
    <w:rsid w:val="00092863"/>
    <w:rsid w:val="00092950"/>
    <w:rsid w:val="000929BA"/>
    <w:rsid w:val="00092A64"/>
    <w:rsid w:val="0009345D"/>
    <w:rsid w:val="00093B45"/>
    <w:rsid w:val="00093D90"/>
    <w:rsid w:val="00094C40"/>
    <w:rsid w:val="00095093"/>
    <w:rsid w:val="00095153"/>
    <w:rsid w:val="0009592E"/>
    <w:rsid w:val="00095B32"/>
    <w:rsid w:val="00095BF3"/>
    <w:rsid w:val="00096570"/>
    <w:rsid w:val="0009657D"/>
    <w:rsid w:val="000965C0"/>
    <w:rsid w:val="0009680D"/>
    <w:rsid w:val="00096D4C"/>
    <w:rsid w:val="00097264"/>
    <w:rsid w:val="0009773F"/>
    <w:rsid w:val="00097883"/>
    <w:rsid w:val="00097BDE"/>
    <w:rsid w:val="00097BE8"/>
    <w:rsid w:val="000A01E6"/>
    <w:rsid w:val="000A0945"/>
    <w:rsid w:val="000A1035"/>
    <w:rsid w:val="000A1AB8"/>
    <w:rsid w:val="000A22F2"/>
    <w:rsid w:val="000A246B"/>
    <w:rsid w:val="000A2A14"/>
    <w:rsid w:val="000A2D2A"/>
    <w:rsid w:val="000A32E6"/>
    <w:rsid w:val="000A348D"/>
    <w:rsid w:val="000A3CF8"/>
    <w:rsid w:val="000A4000"/>
    <w:rsid w:val="000A4E50"/>
    <w:rsid w:val="000A56FA"/>
    <w:rsid w:val="000A5E5D"/>
    <w:rsid w:val="000A65F2"/>
    <w:rsid w:val="000A666D"/>
    <w:rsid w:val="000A6F06"/>
    <w:rsid w:val="000A7C94"/>
    <w:rsid w:val="000B053E"/>
    <w:rsid w:val="000B0697"/>
    <w:rsid w:val="000B07EA"/>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2FD"/>
    <w:rsid w:val="000B54A8"/>
    <w:rsid w:val="000B5E0C"/>
    <w:rsid w:val="000B5E14"/>
    <w:rsid w:val="000B5E9E"/>
    <w:rsid w:val="000B6066"/>
    <w:rsid w:val="000B648E"/>
    <w:rsid w:val="000B6E64"/>
    <w:rsid w:val="000B7ADC"/>
    <w:rsid w:val="000B7B3F"/>
    <w:rsid w:val="000B7CC5"/>
    <w:rsid w:val="000C0561"/>
    <w:rsid w:val="000C0BBB"/>
    <w:rsid w:val="000C0CF1"/>
    <w:rsid w:val="000C0D7B"/>
    <w:rsid w:val="000C0F67"/>
    <w:rsid w:val="000C1814"/>
    <w:rsid w:val="000C1D17"/>
    <w:rsid w:val="000C1F79"/>
    <w:rsid w:val="000C20A6"/>
    <w:rsid w:val="000C23EF"/>
    <w:rsid w:val="000C33E2"/>
    <w:rsid w:val="000C451E"/>
    <w:rsid w:val="000C46E7"/>
    <w:rsid w:val="000C4729"/>
    <w:rsid w:val="000C4A30"/>
    <w:rsid w:val="000C4B31"/>
    <w:rsid w:val="000C4D8C"/>
    <w:rsid w:val="000C4E32"/>
    <w:rsid w:val="000C505A"/>
    <w:rsid w:val="000C5DC3"/>
    <w:rsid w:val="000C5FCE"/>
    <w:rsid w:val="000C65F8"/>
    <w:rsid w:val="000C7157"/>
    <w:rsid w:val="000C72F7"/>
    <w:rsid w:val="000C750C"/>
    <w:rsid w:val="000C754E"/>
    <w:rsid w:val="000C7728"/>
    <w:rsid w:val="000C78EB"/>
    <w:rsid w:val="000C7CA0"/>
    <w:rsid w:val="000C7F64"/>
    <w:rsid w:val="000D00C7"/>
    <w:rsid w:val="000D02C5"/>
    <w:rsid w:val="000D0490"/>
    <w:rsid w:val="000D095C"/>
    <w:rsid w:val="000D1040"/>
    <w:rsid w:val="000D14E1"/>
    <w:rsid w:val="000D14F3"/>
    <w:rsid w:val="000D1583"/>
    <w:rsid w:val="000D15E6"/>
    <w:rsid w:val="000D1AA3"/>
    <w:rsid w:val="000D1C50"/>
    <w:rsid w:val="000D1DFF"/>
    <w:rsid w:val="000D1F86"/>
    <w:rsid w:val="000D20CC"/>
    <w:rsid w:val="000D22CA"/>
    <w:rsid w:val="000D2A8D"/>
    <w:rsid w:val="000D2ACD"/>
    <w:rsid w:val="000D35C1"/>
    <w:rsid w:val="000D37D2"/>
    <w:rsid w:val="000D3F0D"/>
    <w:rsid w:val="000D3F3D"/>
    <w:rsid w:val="000D4096"/>
    <w:rsid w:val="000D4558"/>
    <w:rsid w:val="000D4B4A"/>
    <w:rsid w:val="000D52D2"/>
    <w:rsid w:val="000D58DA"/>
    <w:rsid w:val="000D66CE"/>
    <w:rsid w:val="000D6E95"/>
    <w:rsid w:val="000D6FFE"/>
    <w:rsid w:val="000D707E"/>
    <w:rsid w:val="000D7304"/>
    <w:rsid w:val="000D7610"/>
    <w:rsid w:val="000D7992"/>
    <w:rsid w:val="000D7A30"/>
    <w:rsid w:val="000D7B7E"/>
    <w:rsid w:val="000D7C3E"/>
    <w:rsid w:val="000D7D21"/>
    <w:rsid w:val="000D7DD9"/>
    <w:rsid w:val="000D7FB3"/>
    <w:rsid w:val="000E0096"/>
    <w:rsid w:val="000E0176"/>
    <w:rsid w:val="000E049A"/>
    <w:rsid w:val="000E0808"/>
    <w:rsid w:val="000E1149"/>
    <w:rsid w:val="000E1290"/>
    <w:rsid w:val="000E1A24"/>
    <w:rsid w:val="000E1C88"/>
    <w:rsid w:val="000E1F77"/>
    <w:rsid w:val="000E2471"/>
    <w:rsid w:val="000E2AAC"/>
    <w:rsid w:val="000E2BBC"/>
    <w:rsid w:val="000E30C0"/>
    <w:rsid w:val="000E3253"/>
    <w:rsid w:val="000E331F"/>
    <w:rsid w:val="000E33A6"/>
    <w:rsid w:val="000E3895"/>
    <w:rsid w:val="000E3B9C"/>
    <w:rsid w:val="000E3DBD"/>
    <w:rsid w:val="000E3FE0"/>
    <w:rsid w:val="000E494D"/>
    <w:rsid w:val="000E4CB3"/>
    <w:rsid w:val="000E4D49"/>
    <w:rsid w:val="000E4DF0"/>
    <w:rsid w:val="000E5180"/>
    <w:rsid w:val="000E533F"/>
    <w:rsid w:val="000E5593"/>
    <w:rsid w:val="000E5EFB"/>
    <w:rsid w:val="000E6A7E"/>
    <w:rsid w:val="000E6B0D"/>
    <w:rsid w:val="000E6E9B"/>
    <w:rsid w:val="000E6EE4"/>
    <w:rsid w:val="000E71F8"/>
    <w:rsid w:val="000E799C"/>
    <w:rsid w:val="000E7EB6"/>
    <w:rsid w:val="000F02A9"/>
    <w:rsid w:val="000F03D8"/>
    <w:rsid w:val="000F04CC"/>
    <w:rsid w:val="000F08A2"/>
    <w:rsid w:val="000F0A52"/>
    <w:rsid w:val="000F0C7E"/>
    <w:rsid w:val="000F0F1F"/>
    <w:rsid w:val="000F1029"/>
    <w:rsid w:val="000F1AF5"/>
    <w:rsid w:val="000F1B9B"/>
    <w:rsid w:val="000F2054"/>
    <w:rsid w:val="000F22E6"/>
    <w:rsid w:val="000F24AE"/>
    <w:rsid w:val="000F28CC"/>
    <w:rsid w:val="000F2CD4"/>
    <w:rsid w:val="000F2D53"/>
    <w:rsid w:val="000F2E9A"/>
    <w:rsid w:val="000F2F2A"/>
    <w:rsid w:val="000F397B"/>
    <w:rsid w:val="000F44BF"/>
    <w:rsid w:val="000F46AB"/>
    <w:rsid w:val="000F4806"/>
    <w:rsid w:val="000F487C"/>
    <w:rsid w:val="000F4ED8"/>
    <w:rsid w:val="000F4EE3"/>
    <w:rsid w:val="000F565B"/>
    <w:rsid w:val="000F5AC6"/>
    <w:rsid w:val="000F5BC9"/>
    <w:rsid w:val="000F6030"/>
    <w:rsid w:val="000F6AD3"/>
    <w:rsid w:val="000F6FBD"/>
    <w:rsid w:val="00100234"/>
    <w:rsid w:val="00100266"/>
    <w:rsid w:val="00100629"/>
    <w:rsid w:val="001008BD"/>
    <w:rsid w:val="00100E12"/>
    <w:rsid w:val="00101BCB"/>
    <w:rsid w:val="0010206F"/>
    <w:rsid w:val="001024B9"/>
    <w:rsid w:val="00103627"/>
    <w:rsid w:val="00103807"/>
    <w:rsid w:val="0010382A"/>
    <w:rsid w:val="00103C86"/>
    <w:rsid w:val="00103D29"/>
    <w:rsid w:val="00103EA3"/>
    <w:rsid w:val="00103EB3"/>
    <w:rsid w:val="00103F35"/>
    <w:rsid w:val="00104041"/>
    <w:rsid w:val="001042FC"/>
    <w:rsid w:val="00104487"/>
    <w:rsid w:val="001044F1"/>
    <w:rsid w:val="00105013"/>
    <w:rsid w:val="0010504E"/>
    <w:rsid w:val="001053CC"/>
    <w:rsid w:val="001055CC"/>
    <w:rsid w:val="00105694"/>
    <w:rsid w:val="001056B7"/>
    <w:rsid w:val="00105B4F"/>
    <w:rsid w:val="001063B7"/>
    <w:rsid w:val="00106783"/>
    <w:rsid w:val="00106FA8"/>
    <w:rsid w:val="001072C7"/>
    <w:rsid w:val="00107A55"/>
    <w:rsid w:val="00107BAE"/>
    <w:rsid w:val="00107EC3"/>
    <w:rsid w:val="00107F4A"/>
    <w:rsid w:val="0011019C"/>
    <w:rsid w:val="0011060C"/>
    <w:rsid w:val="0011085E"/>
    <w:rsid w:val="00110FEC"/>
    <w:rsid w:val="001110CA"/>
    <w:rsid w:val="001112C7"/>
    <w:rsid w:val="00111433"/>
    <w:rsid w:val="00111487"/>
    <w:rsid w:val="001114BC"/>
    <w:rsid w:val="00111A41"/>
    <w:rsid w:val="00111C51"/>
    <w:rsid w:val="00111D30"/>
    <w:rsid w:val="00111E04"/>
    <w:rsid w:val="00111F20"/>
    <w:rsid w:val="00114668"/>
    <w:rsid w:val="00114967"/>
    <w:rsid w:val="00114F11"/>
    <w:rsid w:val="0011579C"/>
    <w:rsid w:val="00115D93"/>
    <w:rsid w:val="0011611B"/>
    <w:rsid w:val="0011628C"/>
    <w:rsid w:val="00116574"/>
    <w:rsid w:val="00116778"/>
    <w:rsid w:val="00116B62"/>
    <w:rsid w:val="00116D36"/>
    <w:rsid w:val="00116F87"/>
    <w:rsid w:val="00117059"/>
    <w:rsid w:val="00117380"/>
    <w:rsid w:val="001201FA"/>
    <w:rsid w:val="001202A1"/>
    <w:rsid w:val="00120ABA"/>
    <w:rsid w:val="00120D43"/>
    <w:rsid w:val="0012143D"/>
    <w:rsid w:val="00121ADB"/>
    <w:rsid w:val="0012247F"/>
    <w:rsid w:val="00122853"/>
    <w:rsid w:val="0012344E"/>
    <w:rsid w:val="001235A7"/>
    <w:rsid w:val="00123BE0"/>
    <w:rsid w:val="00123E78"/>
    <w:rsid w:val="0012415A"/>
    <w:rsid w:val="00124C62"/>
    <w:rsid w:val="00124CDF"/>
    <w:rsid w:val="00124DC6"/>
    <w:rsid w:val="00124EFA"/>
    <w:rsid w:val="001250DA"/>
    <w:rsid w:val="00125125"/>
    <w:rsid w:val="001256E9"/>
    <w:rsid w:val="001257BD"/>
    <w:rsid w:val="001258B9"/>
    <w:rsid w:val="001259BE"/>
    <w:rsid w:val="00125A09"/>
    <w:rsid w:val="00125BB4"/>
    <w:rsid w:val="00125D60"/>
    <w:rsid w:val="00125E7A"/>
    <w:rsid w:val="00126BB8"/>
    <w:rsid w:val="00127CBB"/>
    <w:rsid w:val="0013002D"/>
    <w:rsid w:val="00130529"/>
    <w:rsid w:val="0013053A"/>
    <w:rsid w:val="00130C13"/>
    <w:rsid w:val="00131A8D"/>
    <w:rsid w:val="00131CA0"/>
    <w:rsid w:val="00131EC7"/>
    <w:rsid w:val="001323FE"/>
    <w:rsid w:val="001324F7"/>
    <w:rsid w:val="0013286C"/>
    <w:rsid w:val="00132EDF"/>
    <w:rsid w:val="001331AC"/>
    <w:rsid w:val="0013362C"/>
    <w:rsid w:val="001338D7"/>
    <w:rsid w:val="00133942"/>
    <w:rsid w:val="00133F11"/>
    <w:rsid w:val="001340FE"/>
    <w:rsid w:val="001343E9"/>
    <w:rsid w:val="0013467F"/>
    <w:rsid w:val="0013484A"/>
    <w:rsid w:val="00134A0C"/>
    <w:rsid w:val="00134D98"/>
    <w:rsid w:val="001356C3"/>
    <w:rsid w:val="001357F0"/>
    <w:rsid w:val="00135920"/>
    <w:rsid w:val="00135E3D"/>
    <w:rsid w:val="00135E84"/>
    <w:rsid w:val="001361DC"/>
    <w:rsid w:val="001362A2"/>
    <w:rsid w:val="00136372"/>
    <w:rsid w:val="00136B38"/>
    <w:rsid w:val="00136CB9"/>
    <w:rsid w:val="0013710A"/>
    <w:rsid w:val="001372CC"/>
    <w:rsid w:val="00137921"/>
    <w:rsid w:val="001379B6"/>
    <w:rsid w:val="00137D9C"/>
    <w:rsid w:val="00140436"/>
    <w:rsid w:val="0014049F"/>
    <w:rsid w:val="001405CF"/>
    <w:rsid w:val="001406B8"/>
    <w:rsid w:val="001410C6"/>
    <w:rsid w:val="00141390"/>
    <w:rsid w:val="001422C0"/>
    <w:rsid w:val="001425E5"/>
    <w:rsid w:val="00142AAE"/>
    <w:rsid w:val="00142B20"/>
    <w:rsid w:val="00142C15"/>
    <w:rsid w:val="00142D75"/>
    <w:rsid w:val="001430B6"/>
    <w:rsid w:val="00143187"/>
    <w:rsid w:val="0014329F"/>
    <w:rsid w:val="001432CF"/>
    <w:rsid w:val="00143963"/>
    <w:rsid w:val="0014502C"/>
    <w:rsid w:val="001450A2"/>
    <w:rsid w:val="001454A3"/>
    <w:rsid w:val="00145750"/>
    <w:rsid w:val="00145B70"/>
    <w:rsid w:val="001465AA"/>
    <w:rsid w:val="00146CFB"/>
    <w:rsid w:val="0014740C"/>
    <w:rsid w:val="00147459"/>
    <w:rsid w:val="001474ED"/>
    <w:rsid w:val="00147D4E"/>
    <w:rsid w:val="001503EF"/>
    <w:rsid w:val="001504B9"/>
    <w:rsid w:val="001504E5"/>
    <w:rsid w:val="00150602"/>
    <w:rsid w:val="001507C8"/>
    <w:rsid w:val="001511EC"/>
    <w:rsid w:val="001514CE"/>
    <w:rsid w:val="0015191F"/>
    <w:rsid w:val="00151ACC"/>
    <w:rsid w:val="00151E9B"/>
    <w:rsid w:val="0015264A"/>
    <w:rsid w:val="001530DA"/>
    <w:rsid w:val="001531DE"/>
    <w:rsid w:val="00153335"/>
    <w:rsid w:val="001536DE"/>
    <w:rsid w:val="00153BAE"/>
    <w:rsid w:val="00154867"/>
    <w:rsid w:val="00154959"/>
    <w:rsid w:val="00154B1A"/>
    <w:rsid w:val="00154F83"/>
    <w:rsid w:val="00155693"/>
    <w:rsid w:val="00155A5E"/>
    <w:rsid w:val="00155C46"/>
    <w:rsid w:val="00156267"/>
    <w:rsid w:val="00156733"/>
    <w:rsid w:val="001567D9"/>
    <w:rsid w:val="00156D58"/>
    <w:rsid w:val="001571C9"/>
    <w:rsid w:val="001575E8"/>
    <w:rsid w:val="00157618"/>
    <w:rsid w:val="00157E14"/>
    <w:rsid w:val="00160100"/>
    <w:rsid w:val="00160C07"/>
    <w:rsid w:val="00160C24"/>
    <w:rsid w:val="0016125B"/>
    <w:rsid w:val="0016127D"/>
    <w:rsid w:val="00161B10"/>
    <w:rsid w:val="00162002"/>
    <w:rsid w:val="00162357"/>
    <w:rsid w:val="00162503"/>
    <w:rsid w:val="00162D3F"/>
    <w:rsid w:val="001631BC"/>
    <w:rsid w:val="00163495"/>
    <w:rsid w:val="00163BD0"/>
    <w:rsid w:val="00163CEB"/>
    <w:rsid w:val="00164D10"/>
    <w:rsid w:val="00164F58"/>
    <w:rsid w:val="00165EEA"/>
    <w:rsid w:val="001664B9"/>
    <w:rsid w:val="0016675D"/>
    <w:rsid w:val="00166A8B"/>
    <w:rsid w:val="00166A96"/>
    <w:rsid w:val="00166EF6"/>
    <w:rsid w:val="0016739E"/>
    <w:rsid w:val="00167A68"/>
    <w:rsid w:val="00167E0B"/>
    <w:rsid w:val="00170C5B"/>
    <w:rsid w:val="00170D9A"/>
    <w:rsid w:val="00170DAC"/>
    <w:rsid w:val="00171052"/>
    <w:rsid w:val="0017116F"/>
    <w:rsid w:val="001711A6"/>
    <w:rsid w:val="00171296"/>
    <w:rsid w:val="00171383"/>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900"/>
    <w:rsid w:val="001743F9"/>
    <w:rsid w:val="0017460D"/>
    <w:rsid w:val="00174DB4"/>
    <w:rsid w:val="0017549A"/>
    <w:rsid w:val="00175604"/>
    <w:rsid w:val="001757AB"/>
    <w:rsid w:val="0017584F"/>
    <w:rsid w:val="00175A77"/>
    <w:rsid w:val="00175B7F"/>
    <w:rsid w:val="0017631F"/>
    <w:rsid w:val="00176827"/>
    <w:rsid w:val="00176ACE"/>
    <w:rsid w:val="00176B8A"/>
    <w:rsid w:val="00176B8C"/>
    <w:rsid w:val="001771EB"/>
    <w:rsid w:val="001775A4"/>
    <w:rsid w:val="001777D3"/>
    <w:rsid w:val="00177895"/>
    <w:rsid w:val="00177CA4"/>
    <w:rsid w:val="00180200"/>
    <w:rsid w:val="001808A2"/>
    <w:rsid w:val="00180D57"/>
    <w:rsid w:val="00181467"/>
    <w:rsid w:val="00181BC5"/>
    <w:rsid w:val="00181DBA"/>
    <w:rsid w:val="00181EB6"/>
    <w:rsid w:val="0018230F"/>
    <w:rsid w:val="0018242F"/>
    <w:rsid w:val="0018253C"/>
    <w:rsid w:val="0018292A"/>
    <w:rsid w:val="00182FEF"/>
    <w:rsid w:val="0018329F"/>
    <w:rsid w:val="00183370"/>
    <w:rsid w:val="0018348F"/>
    <w:rsid w:val="00183942"/>
    <w:rsid w:val="00183AC1"/>
    <w:rsid w:val="00183D20"/>
    <w:rsid w:val="00184386"/>
    <w:rsid w:val="001845CB"/>
    <w:rsid w:val="0018567B"/>
    <w:rsid w:val="00186108"/>
    <w:rsid w:val="001861EA"/>
    <w:rsid w:val="00186264"/>
    <w:rsid w:val="00186322"/>
    <w:rsid w:val="00186837"/>
    <w:rsid w:val="00186AC7"/>
    <w:rsid w:val="00186E80"/>
    <w:rsid w:val="001871F2"/>
    <w:rsid w:val="0018727C"/>
    <w:rsid w:val="0018741F"/>
    <w:rsid w:val="001878F5"/>
    <w:rsid w:val="00187CC9"/>
    <w:rsid w:val="00187D1E"/>
    <w:rsid w:val="00190088"/>
    <w:rsid w:val="00190271"/>
    <w:rsid w:val="001905F1"/>
    <w:rsid w:val="0019071E"/>
    <w:rsid w:val="00190809"/>
    <w:rsid w:val="001908BB"/>
    <w:rsid w:val="0019090F"/>
    <w:rsid w:val="001913A6"/>
    <w:rsid w:val="0019200E"/>
    <w:rsid w:val="0019239B"/>
    <w:rsid w:val="001931A0"/>
    <w:rsid w:val="00193F48"/>
    <w:rsid w:val="001940FC"/>
    <w:rsid w:val="0019444B"/>
    <w:rsid w:val="00194E6F"/>
    <w:rsid w:val="0019510E"/>
    <w:rsid w:val="001952E2"/>
    <w:rsid w:val="00195889"/>
    <w:rsid w:val="00195DAD"/>
    <w:rsid w:val="00196188"/>
    <w:rsid w:val="00196608"/>
    <w:rsid w:val="00196A31"/>
    <w:rsid w:val="00196D4E"/>
    <w:rsid w:val="00197044"/>
    <w:rsid w:val="001970B9"/>
    <w:rsid w:val="001973A5"/>
    <w:rsid w:val="00197522"/>
    <w:rsid w:val="0019760D"/>
    <w:rsid w:val="001976FA"/>
    <w:rsid w:val="001977F4"/>
    <w:rsid w:val="00197A4B"/>
    <w:rsid w:val="00197CFE"/>
    <w:rsid w:val="00197D80"/>
    <w:rsid w:val="001A0375"/>
    <w:rsid w:val="001A050C"/>
    <w:rsid w:val="001A0D64"/>
    <w:rsid w:val="001A0FBA"/>
    <w:rsid w:val="001A10FF"/>
    <w:rsid w:val="001A1159"/>
    <w:rsid w:val="001A1C2D"/>
    <w:rsid w:val="001A1E3E"/>
    <w:rsid w:val="001A1FA3"/>
    <w:rsid w:val="001A2B3B"/>
    <w:rsid w:val="001A2D60"/>
    <w:rsid w:val="001A3288"/>
    <w:rsid w:val="001A3ECA"/>
    <w:rsid w:val="001A4B58"/>
    <w:rsid w:val="001A4DDE"/>
    <w:rsid w:val="001A4FA6"/>
    <w:rsid w:val="001A56FD"/>
    <w:rsid w:val="001A57C8"/>
    <w:rsid w:val="001A57D1"/>
    <w:rsid w:val="001A5BA5"/>
    <w:rsid w:val="001A645F"/>
    <w:rsid w:val="001A68BC"/>
    <w:rsid w:val="001A6984"/>
    <w:rsid w:val="001A6AB5"/>
    <w:rsid w:val="001A6C88"/>
    <w:rsid w:val="001A74AA"/>
    <w:rsid w:val="001A756E"/>
    <w:rsid w:val="001A77C8"/>
    <w:rsid w:val="001A77DE"/>
    <w:rsid w:val="001A7B35"/>
    <w:rsid w:val="001A7E4C"/>
    <w:rsid w:val="001B1C17"/>
    <w:rsid w:val="001B2544"/>
    <w:rsid w:val="001B277D"/>
    <w:rsid w:val="001B2C66"/>
    <w:rsid w:val="001B309A"/>
    <w:rsid w:val="001B32AE"/>
    <w:rsid w:val="001B40E4"/>
    <w:rsid w:val="001B47C6"/>
    <w:rsid w:val="001B4ADF"/>
    <w:rsid w:val="001B4E0B"/>
    <w:rsid w:val="001B540A"/>
    <w:rsid w:val="001B558A"/>
    <w:rsid w:val="001B55AA"/>
    <w:rsid w:val="001B572E"/>
    <w:rsid w:val="001B597E"/>
    <w:rsid w:val="001B5CE7"/>
    <w:rsid w:val="001B603B"/>
    <w:rsid w:val="001B66EF"/>
    <w:rsid w:val="001B6C6C"/>
    <w:rsid w:val="001B6C87"/>
    <w:rsid w:val="001B6ED4"/>
    <w:rsid w:val="001B7001"/>
    <w:rsid w:val="001B72B2"/>
    <w:rsid w:val="001B7929"/>
    <w:rsid w:val="001B7C7D"/>
    <w:rsid w:val="001B7D69"/>
    <w:rsid w:val="001C04E3"/>
    <w:rsid w:val="001C051E"/>
    <w:rsid w:val="001C073B"/>
    <w:rsid w:val="001C1007"/>
    <w:rsid w:val="001C177F"/>
    <w:rsid w:val="001C1B5C"/>
    <w:rsid w:val="001C1C6A"/>
    <w:rsid w:val="001C1E6D"/>
    <w:rsid w:val="001C2525"/>
    <w:rsid w:val="001C2A68"/>
    <w:rsid w:val="001C2D56"/>
    <w:rsid w:val="001C3119"/>
    <w:rsid w:val="001C3589"/>
    <w:rsid w:val="001C398B"/>
    <w:rsid w:val="001C3A45"/>
    <w:rsid w:val="001C3D7A"/>
    <w:rsid w:val="001C4405"/>
    <w:rsid w:val="001C54FF"/>
    <w:rsid w:val="001C55CF"/>
    <w:rsid w:val="001C587C"/>
    <w:rsid w:val="001C5CD1"/>
    <w:rsid w:val="001C600C"/>
    <w:rsid w:val="001C6DEA"/>
    <w:rsid w:val="001C754D"/>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699"/>
    <w:rsid w:val="001D27BA"/>
    <w:rsid w:val="001D2A4B"/>
    <w:rsid w:val="001D2C4B"/>
    <w:rsid w:val="001D2D1A"/>
    <w:rsid w:val="001D3021"/>
    <w:rsid w:val="001D33E2"/>
    <w:rsid w:val="001D3567"/>
    <w:rsid w:val="001D44A7"/>
    <w:rsid w:val="001D45A9"/>
    <w:rsid w:val="001D4697"/>
    <w:rsid w:val="001D46BB"/>
    <w:rsid w:val="001D4AE2"/>
    <w:rsid w:val="001D4B5A"/>
    <w:rsid w:val="001D4C3A"/>
    <w:rsid w:val="001D57CC"/>
    <w:rsid w:val="001D5981"/>
    <w:rsid w:val="001D5C20"/>
    <w:rsid w:val="001D5D2F"/>
    <w:rsid w:val="001D5F65"/>
    <w:rsid w:val="001D63C7"/>
    <w:rsid w:val="001D68BB"/>
    <w:rsid w:val="001D6C10"/>
    <w:rsid w:val="001D6C2A"/>
    <w:rsid w:val="001D6D08"/>
    <w:rsid w:val="001D740D"/>
    <w:rsid w:val="001D77BF"/>
    <w:rsid w:val="001E0053"/>
    <w:rsid w:val="001E00FC"/>
    <w:rsid w:val="001E11F3"/>
    <w:rsid w:val="001E1665"/>
    <w:rsid w:val="001E185B"/>
    <w:rsid w:val="001E1EFA"/>
    <w:rsid w:val="001E21A6"/>
    <w:rsid w:val="001E22EC"/>
    <w:rsid w:val="001E2694"/>
    <w:rsid w:val="001E2729"/>
    <w:rsid w:val="001E2E20"/>
    <w:rsid w:val="001E3008"/>
    <w:rsid w:val="001E369D"/>
    <w:rsid w:val="001E3708"/>
    <w:rsid w:val="001E40CB"/>
    <w:rsid w:val="001E40FD"/>
    <w:rsid w:val="001E43D3"/>
    <w:rsid w:val="001E479F"/>
    <w:rsid w:val="001E527A"/>
    <w:rsid w:val="001E5579"/>
    <w:rsid w:val="001E57EF"/>
    <w:rsid w:val="001E5D7E"/>
    <w:rsid w:val="001E5E9F"/>
    <w:rsid w:val="001E68E7"/>
    <w:rsid w:val="001E6BF2"/>
    <w:rsid w:val="001E707B"/>
    <w:rsid w:val="001E7283"/>
    <w:rsid w:val="001E7495"/>
    <w:rsid w:val="001E7E6F"/>
    <w:rsid w:val="001F0147"/>
    <w:rsid w:val="001F01FF"/>
    <w:rsid w:val="001F04A0"/>
    <w:rsid w:val="001F0624"/>
    <w:rsid w:val="001F0A1C"/>
    <w:rsid w:val="001F0F08"/>
    <w:rsid w:val="001F0F8A"/>
    <w:rsid w:val="001F1289"/>
    <w:rsid w:val="001F12BF"/>
    <w:rsid w:val="001F186A"/>
    <w:rsid w:val="001F1882"/>
    <w:rsid w:val="001F1D1B"/>
    <w:rsid w:val="001F258A"/>
    <w:rsid w:val="001F2889"/>
    <w:rsid w:val="001F2CD8"/>
    <w:rsid w:val="001F2ED3"/>
    <w:rsid w:val="001F3D48"/>
    <w:rsid w:val="001F3F89"/>
    <w:rsid w:val="001F4160"/>
    <w:rsid w:val="001F4443"/>
    <w:rsid w:val="001F4939"/>
    <w:rsid w:val="001F4A89"/>
    <w:rsid w:val="001F4BB4"/>
    <w:rsid w:val="001F515E"/>
    <w:rsid w:val="001F51BC"/>
    <w:rsid w:val="001F561F"/>
    <w:rsid w:val="001F574E"/>
    <w:rsid w:val="001F61E5"/>
    <w:rsid w:val="001F629E"/>
    <w:rsid w:val="001F6589"/>
    <w:rsid w:val="001F6958"/>
    <w:rsid w:val="001F696A"/>
    <w:rsid w:val="001F6DB9"/>
    <w:rsid w:val="001F702D"/>
    <w:rsid w:val="001F7343"/>
    <w:rsid w:val="001F750D"/>
    <w:rsid w:val="001F78A2"/>
    <w:rsid w:val="001F78FD"/>
    <w:rsid w:val="002003FC"/>
    <w:rsid w:val="00200E56"/>
    <w:rsid w:val="00201A7A"/>
    <w:rsid w:val="00201C9E"/>
    <w:rsid w:val="002023AC"/>
    <w:rsid w:val="0020251F"/>
    <w:rsid w:val="002027F7"/>
    <w:rsid w:val="00203645"/>
    <w:rsid w:val="00203822"/>
    <w:rsid w:val="00203CE8"/>
    <w:rsid w:val="00203DAC"/>
    <w:rsid w:val="00203EC9"/>
    <w:rsid w:val="00204AD6"/>
    <w:rsid w:val="002056C2"/>
    <w:rsid w:val="0020690A"/>
    <w:rsid w:val="00206F0B"/>
    <w:rsid w:val="00207941"/>
    <w:rsid w:val="00207AB1"/>
    <w:rsid w:val="00207C8A"/>
    <w:rsid w:val="0021031C"/>
    <w:rsid w:val="0021077C"/>
    <w:rsid w:val="00210AF5"/>
    <w:rsid w:val="00210BAF"/>
    <w:rsid w:val="00210CDC"/>
    <w:rsid w:val="00210EA1"/>
    <w:rsid w:val="0021113E"/>
    <w:rsid w:val="00211321"/>
    <w:rsid w:val="00211EF1"/>
    <w:rsid w:val="00212015"/>
    <w:rsid w:val="00212505"/>
    <w:rsid w:val="0021251F"/>
    <w:rsid w:val="00212599"/>
    <w:rsid w:val="002125C4"/>
    <w:rsid w:val="0021261D"/>
    <w:rsid w:val="002127B4"/>
    <w:rsid w:val="0021344D"/>
    <w:rsid w:val="00213484"/>
    <w:rsid w:val="0021379E"/>
    <w:rsid w:val="00213C07"/>
    <w:rsid w:val="00213DF1"/>
    <w:rsid w:val="002141FD"/>
    <w:rsid w:val="0021468C"/>
    <w:rsid w:val="00214691"/>
    <w:rsid w:val="00214701"/>
    <w:rsid w:val="00214707"/>
    <w:rsid w:val="00214A2E"/>
    <w:rsid w:val="00214FD2"/>
    <w:rsid w:val="002156BE"/>
    <w:rsid w:val="00215EE6"/>
    <w:rsid w:val="00216F0F"/>
    <w:rsid w:val="00216F5F"/>
    <w:rsid w:val="0021799B"/>
    <w:rsid w:val="00217A81"/>
    <w:rsid w:val="00217ADA"/>
    <w:rsid w:val="00217EF8"/>
    <w:rsid w:val="00220017"/>
    <w:rsid w:val="00220748"/>
    <w:rsid w:val="002209B2"/>
    <w:rsid w:val="002209B3"/>
    <w:rsid w:val="0022108C"/>
    <w:rsid w:val="0022112B"/>
    <w:rsid w:val="00222093"/>
    <w:rsid w:val="00222475"/>
    <w:rsid w:val="002226A7"/>
    <w:rsid w:val="002227B7"/>
    <w:rsid w:val="00222849"/>
    <w:rsid w:val="002229F6"/>
    <w:rsid w:val="00222CA8"/>
    <w:rsid w:val="00222DFC"/>
    <w:rsid w:val="00222EDD"/>
    <w:rsid w:val="00223024"/>
    <w:rsid w:val="002237A2"/>
    <w:rsid w:val="0022409B"/>
    <w:rsid w:val="00224350"/>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063E"/>
    <w:rsid w:val="00230A4B"/>
    <w:rsid w:val="00230A58"/>
    <w:rsid w:val="00231568"/>
    <w:rsid w:val="002318C1"/>
    <w:rsid w:val="00232BED"/>
    <w:rsid w:val="00232C01"/>
    <w:rsid w:val="002331B7"/>
    <w:rsid w:val="00233218"/>
    <w:rsid w:val="002334C2"/>
    <w:rsid w:val="00233619"/>
    <w:rsid w:val="00233A04"/>
    <w:rsid w:val="00233B85"/>
    <w:rsid w:val="00233C2B"/>
    <w:rsid w:val="00233D80"/>
    <w:rsid w:val="0023443B"/>
    <w:rsid w:val="0023460C"/>
    <w:rsid w:val="002346EE"/>
    <w:rsid w:val="00234E66"/>
    <w:rsid w:val="0023518D"/>
    <w:rsid w:val="00235409"/>
    <w:rsid w:val="002356B8"/>
    <w:rsid w:val="0023597F"/>
    <w:rsid w:val="00235A96"/>
    <w:rsid w:val="002367BF"/>
    <w:rsid w:val="00236965"/>
    <w:rsid w:val="00237261"/>
    <w:rsid w:val="002377F9"/>
    <w:rsid w:val="00237B50"/>
    <w:rsid w:val="00237DAF"/>
    <w:rsid w:val="00240032"/>
    <w:rsid w:val="002403B6"/>
    <w:rsid w:val="002407F1"/>
    <w:rsid w:val="0024080B"/>
    <w:rsid w:val="00240A99"/>
    <w:rsid w:val="00240CC5"/>
    <w:rsid w:val="00241988"/>
    <w:rsid w:val="00241BC4"/>
    <w:rsid w:val="00241C05"/>
    <w:rsid w:val="00241F3D"/>
    <w:rsid w:val="00242058"/>
    <w:rsid w:val="00242182"/>
    <w:rsid w:val="0024224F"/>
    <w:rsid w:val="00242286"/>
    <w:rsid w:val="00242366"/>
    <w:rsid w:val="00242439"/>
    <w:rsid w:val="002426E8"/>
    <w:rsid w:val="002427B2"/>
    <w:rsid w:val="00242C36"/>
    <w:rsid w:val="00242D12"/>
    <w:rsid w:val="00242E8C"/>
    <w:rsid w:val="00242F03"/>
    <w:rsid w:val="0024360A"/>
    <w:rsid w:val="00243E04"/>
    <w:rsid w:val="0024445E"/>
    <w:rsid w:val="0024456D"/>
    <w:rsid w:val="00245207"/>
    <w:rsid w:val="0024536D"/>
    <w:rsid w:val="0024546A"/>
    <w:rsid w:val="00246320"/>
    <w:rsid w:val="00246429"/>
    <w:rsid w:val="002466DD"/>
    <w:rsid w:val="0024678C"/>
    <w:rsid w:val="002467BE"/>
    <w:rsid w:val="00246E30"/>
    <w:rsid w:val="00246F11"/>
    <w:rsid w:val="0024770C"/>
    <w:rsid w:val="00247B22"/>
    <w:rsid w:val="00247D75"/>
    <w:rsid w:val="00247EF7"/>
    <w:rsid w:val="00247F05"/>
    <w:rsid w:val="002501BA"/>
    <w:rsid w:val="00250A37"/>
    <w:rsid w:val="00250EC8"/>
    <w:rsid w:val="00250EED"/>
    <w:rsid w:val="00251283"/>
    <w:rsid w:val="00251A22"/>
    <w:rsid w:val="00251D27"/>
    <w:rsid w:val="00251E03"/>
    <w:rsid w:val="0025242E"/>
    <w:rsid w:val="0025290A"/>
    <w:rsid w:val="00252E04"/>
    <w:rsid w:val="00253139"/>
    <w:rsid w:val="00253148"/>
    <w:rsid w:val="0025333D"/>
    <w:rsid w:val="00253401"/>
    <w:rsid w:val="0025358C"/>
    <w:rsid w:val="0025372A"/>
    <w:rsid w:val="00253850"/>
    <w:rsid w:val="00253D9E"/>
    <w:rsid w:val="00254B6C"/>
    <w:rsid w:val="00255423"/>
    <w:rsid w:val="00255739"/>
    <w:rsid w:val="0025598A"/>
    <w:rsid w:val="00255D9B"/>
    <w:rsid w:val="00255DAA"/>
    <w:rsid w:val="00255DE7"/>
    <w:rsid w:val="00255FCE"/>
    <w:rsid w:val="0025630A"/>
    <w:rsid w:val="002563F5"/>
    <w:rsid w:val="00256481"/>
    <w:rsid w:val="0025664C"/>
    <w:rsid w:val="0025667C"/>
    <w:rsid w:val="00256F6D"/>
    <w:rsid w:val="0025720C"/>
    <w:rsid w:val="00257218"/>
    <w:rsid w:val="00257D55"/>
    <w:rsid w:val="00257E68"/>
    <w:rsid w:val="00257F0A"/>
    <w:rsid w:val="0026009C"/>
    <w:rsid w:val="00260266"/>
    <w:rsid w:val="002605C2"/>
    <w:rsid w:val="00260636"/>
    <w:rsid w:val="0026078A"/>
    <w:rsid w:val="00260970"/>
    <w:rsid w:val="00260B1E"/>
    <w:rsid w:val="00260C43"/>
    <w:rsid w:val="00260EC5"/>
    <w:rsid w:val="00260FBE"/>
    <w:rsid w:val="00261097"/>
    <w:rsid w:val="00261A2A"/>
    <w:rsid w:val="00261BFC"/>
    <w:rsid w:val="00262215"/>
    <w:rsid w:val="002629C3"/>
    <w:rsid w:val="00262BED"/>
    <w:rsid w:val="00262C9C"/>
    <w:rsid w:val="00262F5B"/>
    <w:rsid w:val="002638DF"/>
    <w:rsid w:val="00263ABF"/>
    <w:rsid w:val="00263D95"/>
    <w:rsid w:val="00263F83"/>
    <w:rsid w:val="00264002"/>
    <w:rsid w:val="00264050"/>
    <w:rsid w:val="00264367"/>
    <w:rsid w:val="0026441B"/>
    <w:rsid w:val="00264511"/>
    <w:rsid w:val="00264D7F"/>
    <w:rsid w:val="00264F06"/>
    <w:rsid w:val="002666B0"/>
    <w:rsid w:val="00266BB5"/>
    <w:rsid w:val="00266C31"/>
    <w:rsid w:val="00266DA5"/>
    <w:rsid w:val="00266FAF"/>
    <w:rsid w:val="00267198"/>
    <w:rsid w:val="0026721F"/>
    <w:rsid w:val="002674BE"/>
    <w:rsid w:val="00267544"/>
    <w:rsid w:val="002676F3"/>
    <w:rsid w:val="00267DAB"/>
    <w:rsid w:val="00270675"/>
    <w:rsid w:val="002708EB"/>
    <w:rsid w:val="002709FA"/>
    <w:rsid w:val="00270E7C"/>
    <w:rsid w:val="00270F38"/>
    <w:rsid w:val="002710C2"/>
    <w:rsid w:val="002711ED"/>
    <w:rsid w:val="0027122A"/>
    <w:rsid w:val="00271306"/>
    <w:rsid w:val="00271467"/>
    <w:rsid w:val="00271699"/>
    <w:rsid w:val="00271C16"/>
    <w:rsid w:val="00271C59"/>
    <w:rsid w:val="00271EE8"/>
    <w:rsid w:val="00272844"/>
    <w:rsid w:val="002729A4"/>
    <w:rsid w:val="00272C33"/>
    <w:rsid w:val="00272D1D"/>
    <w:rsid w:val="00273CF6"/>
    <w:rsid w:val="00273FCB"/>
    <w:rsid w:val="002740B2"/>
    <w:rsid w:val="0027420A"/>
    <w:rsid w:val="00274313"/>
    <w:rsid w:val="0027480E"/>
    <w:rsid w:val="00274B52"/>
    <w:rsid w:val="00274CE7"/>
    <w:rsid w:val="00274FBD"/>
    <w:rsid w:val="0027506B"/>
    <w:rsid w:val="0027532B"/>
    <w:rsid w:val="00275477"/>
    <w:rsid w:val="002757DB"/>
    <w:rsid w:val="00275C43"/>
    <w:rsid w:val="002760E8"/>
    <w:rsid w:val="00276673"/>
    <w:rsid w:val="002766A6"/>
    <w:rsid w:val="00276A9A"/>
    <w:rsid w:val="00276BA9"/>
    <w:rsid w:val="00276DD0"/>
    <w:rsid w:val="00276E53"/>
    <w:rsid w:val="00276E93"/>
    <w:rsid w:val="002773E6"/>
    <w:rsid w:val="002774C5"/>
    <w:rsid w:val="002779B7"/>
    <w:rsid w:val="002779BD"/>
    <w:rsid w:val="002804CD"/>
    <w:rsid w:val="0028096F"/>
    <w:rsid w:val="00280BEF"/>
    <w:rsid w:val="00280C3E"/>
    <w:rsid w:val="0028152B"/>
    <w:rsid w:val="002815A1"/>
    <w:rsid w:val="0028163D"/>
    <w:rsid w:val="0028164B"/>
    <w:rsid w:val="002818E0"/>
    <w:rsid w:val="00281B9D"/>
    <w:rsid w:val="00282011"/>
    <w:rsid w:val="00282012"/>
    <w:rsid w:val="002825B1"/>
    <w:rsid w:val="00283569"/>
    <w:rsid w:val="00283985"/>
    <w:rsid w:val="00283C2C"/>
    <w:rsid w:val="00283FC7"/>
    <w:rsid w:val="00284377"/>
    <w:rsid w:val="002847AA"/>
    <w:rsid w:val="00285364"/>
    <w:rsid w:val="00285CED"/>
    <w:rsid w:val="00285DC9"/>
    <w:rsid w:val="00285E47"/>
    <w:rsid w:val="00285EE9"/>
    <w:rsid w:val="00286350"/>
    <w:rsid w:val="002865AE"/>
    <w:rsid w:val="0028718A"/>
    <w:rsid w:val="002874F6"/>
    <w:rsid w:val="002875C0"/>
    <w:rsid w:val="002876FE"/>
    <w:rsid w:val="00287C73"/>
    <w:rsid w:val="00287F47"/>
    <w:rsid w:val="002901BF"/>
    <w:rsid w:val="002905C2"/>
    <w:rsid w:val="00290CDD"/>
    <w:rsid w:val="00291379"/>
    <w:rsid w:val="00291503"/>
    <w:rsid w:val="002916C3"/>
    <w:rsid w:val="00291EF1"/>
    <w:rsid w:val="00291F8E"/>
    <w:rsid w:val="00291FA6"/>
    <w:rsid w:val="00292848"/>
    <w:rsid w:val="00292C07"/>
    <w:rsid w:val="00292D9E"/>
    <w:rsid w:val="0029371D"/>
    <w:rsid w:val="0029378D"/>
    <w:rsid w:val="002937B8"/>
    <w:rsid w:val="00293AE1"/>
    <w:rsid w:val="00293E6C"/>
    <w:rsid w:val="00294541"/>
    <w:rsid w:val="00294880"/>
    <w:rsid w:val="002948E9"/>
    <w:rsid w:val="00294E96"/>
    <w:rsid w:val="0029521B"/>
    <w:rsid w:val="0029532D"/>
    <w:rsid w:val="002953A8"/>
    <w:rsid w:val="00295A6A"/>
    <w:rsid w:val="002960A6"/>
    <w:rsid w:val="002967F9"/>
    <w:rsid w:val="00296B66"/>
    <w:rsid w:val="002971EE"/>
    <w:rsid w:val="0029796E"/>
    <w:rsid w:val="00297DE2"/>
    <w:rsid w:val="00297F90"/>
    <w:rsid w:val="002A0405"/>
    <w:rsid w:val="002A0448"/>
    <w:rsid w:val="002A142F"/>
    <w:rsid w:val="002A1431"/>
    <w:rsid w:val="002A1761"/>
    <w:rsid w:val="002A2781"/>
    <w:rsid w:val="002A28BB"/>
    <w:rsid w:val="002A2DB6"/>
    <w:rsid w:val="002A36D6"/>
    <w:rsid w:val="002A3D79"/>
    <w:rsid w:val="002A3EFA"/>
    <w:rsid w:val="002A40E1"/>
    <w:rsid w:val="002A49BD"/>
    <w:rsid w:val="002A49CE"/>
    <w:rsid w:val="002A50FB"/>
    <w:rsid w:val="002A5369"/>
    <w:rsid w:val="002A53A7"/>
    <w:rsid w:val="002A53E1"/>
    <w:rsid w:val="002A5638"/>
    <w:rsid w:val="002A5897"/>
    <w:rsid w:val="002A5AC9"/>
    <w:rsid w:val="002A5F06"/>
    <w:rsid w:val="002A6082"/>
    <w:rsid w:val="002A657C"/>
    <w:rsid w:val="002A6655"/>
    <w:rsid w:val="002A687D"/>
    <w:rsid w:val="002A68F9"/>
    <w:rsid w:val="002A6AB6"/>
    <w:rsid w:val="002A6E19"/>
    <w:rsid w:val="002A6F49"/>
    <w:rsid w:val="002A6F6A"/>
    <w:rsid w:val="002A75BD"/>
    <w:rsid w:val="002A7931"/>
    <w:rsid w:val="002A7B89"/>
    <w:rsid w:val="002A7B8E"/>
    <w:rsid w:val="002A7D25"/>
    <w:rsid w:val="002B0112"/>
    <w:rsid w:val="002B0517"/>
    <w:rsid w:val="002B057A"/>
    <w:rsid w:val="002B0588"/>
    <w:rsid w:val="002B061B"/>
    <w:rsid w:val="002B0706"/>
    <w:rsid w:val="002B0952"/>
    <w:rsid w:val="002B0DEE"/>
    <w:rsid w:val="002B0FC8"/>
    <w:rsid w:val="002B14DD"/>
    <w:rsid w:val="002B20CA"/>
    <w:rsid w:val="002B3154"/>
    <w:rsid w:val="002B3519"/>
    <w:rsid w:val="002B39AA"/>
    <w:rsid w:val="002B3FDF"/>
    <w:rsid w:val="002B417F"/>
    <w:rsid w:val="002B41A0"/>
    <w:rsid w:val="002B42DB"/>
    <w:rsid w:val="002B4431"/>
    <w:rsid w:val="002B4A10"/>
    <w:rsid w:val="002B4F02"/>
    <w:rsid w:val="002B5269"/>
    <w:rsid w:val="002B5424"/>
    <w:rsid w:val="002B57DD"/>
    <w:rsid w:val="002B5808"/>
    <w:rsid w:val="002B5D80"/>
    <w:rsid w:val="002B632F"/>
    <w:rsid w:val="002B635A"/>
    <w:rsid w:val="002B67B2"/>
    <w:rsid w:val="002B7046"/>
    <w:rsid w:val="002B76A3"/>
    <w:rsid w:val="002B77EA"/>
    <w:rsid w:val="002B78D7"/>
    <w:rsid w:val="002C002A"/>
    <w:rsid w:val="002C002D"/>
    <w:rsid w:val="002C011E"/>
    <w:rsid w:val="002C021D"/>
    <w:rsid w:val="002C04C4"/>
    <w:rsid w:val="002C074C"/>
    <w:rsid w:val="002C09B2"/>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5AE"/>
    <w:rsid w:val="002C5FDA"/>
    <w:rsid w:val="002C6011"/>
    <w:rsid w:val="002C60FB"/>
    <w:rsid w:val="002C61A0"/>
    <w:rsid w:val="002C6268"/>
    <w:rsid w:val="002C646A"/>
    <w:rsid w:val="002C663D"/>
    <w:rsid w:val="002C6856"/>
    <w:rsid w:val="002C6B86"/>
    <w:rsid w:val="002C6F52"/>
    <w:rsid w:val="002C780D"/>
    <w:rsid w:val="002C7B63"/>
    <w:rsid w:val="002D00E6"/>
    <w:rsid w:val="002D00F4"/>
    <w:rsid w:val="002D0A64"/>
    <w:rsid w:val="002D0BCE"/>
    <w:rsid w:val="002D0C7B"/>
    <w:rsid w:val="002D0E78"/>
    <w:rsid w:val="002D13A8"/>
    <w:rsid w:val="002D15B3"/>
    <w:rsid w:val="002D1B6F"/>
    <w:rsid w:val="002D1CE4"/>
    <w:rsid w:val="002D1DF5"/>
    <w:rsid w:val="002D1E22"/>
    <w:rsid w:val="002D1E9C"/>
    <w:rsid w:val="002D21B0"/>
    <w:rsid w:val="002D2B77"/>
    <w:rsid w:val="002D3179"/>
    <w:rsid w:val="002D346F"/>
    <w:rsid w:val="002D36A2"/>
    <w:rsid w:val="002D3DAB"/>
    <w:rsid w:val="002D4469"/>
    <w:rsid w:val="002D5211"/>
    <w:rsid w:val="002D5281"/>
    <w:rsid w:val="002D52E8"/>
    <w:rsid w:val="002D5394"/>
    <w:rsid w:val="002D5453"/>
    <w:rsid w:val="002D548B"/>
    <w:rsid w:val="002D588F"/>
    <w:rsid w:val="002D5F08"/>
    <w:rsid w:val="002D6282"/>
    <w:rsid w:val="002D65B5"/>
    <w:rsid w:val="002D721D"/>
    <w:rsid w:val="002D7388"/>
    <w:rsid w:val="002D73B5"/>
    <w:rsid w:val="002D7839"/>
    <w:rsid w:val="002D7F79"/>
    <w:rsid w:val="002E014D"/>
    <w:rsid w:val="002E02C1"/>
    <w:rsid w:val="002E0302"/>
    <w:rsid w:val="002E068E"/>
    <w:rsid w:val="002E0E55"/>
    <w:rsid w:val="002E0FEE"/>
    <w:rsid w:val="002E16BB"/>
    <w:rsid w:val="002E1763"/>
    <w:rsid w:val="002E1B42"/>
    <w:rsid w:val="002E1DAD"/>
    <w:rsid w:val="002E1EBF"/>
    <w:rsid w:val="002E2464"/>
    <w:rsid w:val="002E29D4"/>
    <w:rsid w:val="002E30E0"/>
    <w:rsid w:val="002E358C"/>
    <w:rsid w:val="002E3DE6"/>
    <w:rsid w:val="002E403E"/>
    <w:rsid w:val="002E4A43"/>
    <w:rsid w:val="002E4CDC"/>
    <w:rsid w:val="002E4F05"/>
    <w:rsid w:val="002E53E7"/>
    <w:rsid w:val="002E572A"/>
    <w:rsid w:val="002E65A3"/>
    <w:rsid w:val="002E65B5"/>
    <w:rsid w:val="002E6712"/>
    <w:rsid w:val="002E697B"/>
    <w:rsid w:val="002E6A73"/>
    <w:rsid w:val="002E6A7F"/>
    <w:rsid w:val="002E6C17"/>
    <w:rsid w:val="002E7476"/>
    <w:rsid w:val="002E7C5C"/>
    <w:rsid w:val="002E7D30"/>
    <w:rsid w:val="002F008D"/>
    <w:rsid w:val="002F015D"/>
    <w:rsid w:val="002F01FD"/>
    <w:rsid w:val="002F0271"/>
    <w:rsid w:val="002F0834"/>
    <w:rsid w:val="002F0EBD"/>
    <w:rsid w:val="002F0FB3"/>
    <w:rsid w:val="002F106F"/>
    <w:rsid w:val="002F1104"/>
    <w:rsid w:val="002F14ED"/>
    <w:rsid w:val="002F19E5"/>
    <w:rsid w:val="002F1FF7"/>
    <w:rsid w:val="002F2411"/>
    <w:rsid w:val="002F291B"/>
    <w:rsid w:val="002F3053"/>
    <w:rsid w:val="002F31A9"/>
    <w:rsid w:val="002F32AF"/>
    <w:rsid w:val="002F33A5"/>
    <w:rsid w:val="002F3623"/>
    <w:rsid w:val="002F44A6"/>
    <w:rsid w:val="002F50B3"/>
    <w:rsid w:val="002F530F"/>
    <w:rsid w:val="002F5373"/>
    <w:rsid w:val="002F5423"/>
    <w:rsid w:val="002F54DE"/>
    <w:rsid w:val="002F56C3"/>
    <w:rsid w:val="002F582F"/>
    <w:rsid w:val="002F5B18"/>
    <w:rsid w:val="002F5E65"/>
    <w:rsid w:val="002F60A0"/>
    <w:rsid w:val="002F64C4"/>
    <w:rsid w:val="002F6582"/>
    <w:rsid w:val="002F65C4"/>
    <w:rsid w:val="002F68ED"/>
    <w:rsid w:val="002F78EF"/>
    <w:rsid w:val="002F7992"/>
    <w:rsid w:val="002F7A6C"/>
    <w:rsid w:val="002F7CA8"/>
    <w:rsid w:val="0030019B"/>
    <w:rsid w:val="003004A6"/>
    <w:rsid w:val="003005EB"/>
    <w:rsid w:val="00300802"/>
    <w:rsid w:val="00300856"/>
    <w:rsid w:val="00300B16"/>
    <w:rsid w:val="00300C54"/>
    <w:rsid w:val="00301678"/>
    <w:rsid w:val="00301682"/>
    <w:rsid w:val="00301778"/>
    <w:rsid w:val="00301A14"/>
    <w:rsid w:val="00302099"/>
    <w:rsid w:val="00302275"/>
    <w:rsid w:val="00302296"/>
    <w:rsid w:val="003024AC"/>
    <w:rsid w:val="0030277E"/>
    <w:rsid w:val="003027D2"/>
    <w:rsid w:val="00302A05"/>
    <w:rsid w:val="00302EE3"/>
    <w:rsid w:val="003034A6"/>
    <w:rsid w:val="003035F3"/>
    <w:rsid w:val="003036CF"/>
    <w:rsid w:val="003038BD"/>
    <w:rsid w:val="00303AE4"/>
    <w:rsid w:val="0030403C"/>
    <w:rsid w:val="00304486"/>
    <w:rsid w:val="003044EE"/>
    <w:rsid w:val="003047EB"/>
    <w:rsid w:val="00304C30"/>
    <w:rsid w:val="00304FF7"/>
    <w:rsid w:val="00305197"/>
    <w:rsid w:val="0030582E"/>
    <w:rsid w:val="00305A1C"/>
    <w:rsid w:val="003064BF"/>
    <w:rsid w:val="00306DBF"/>
    <w:rsid w:val="00306FDB"/>
    <w:rsid w:val="00307526"/>
    <w:rsid w:val="003075AA"/>
    <w:rsid w:val="00307654"/>
    <w:rsid w:val="00307C8D"/>
    <w:rsid w:val="00310170"/>
    <w:rsid w:val="00310341"/>
    <w:rsid w:val="00310A2C"/>
    <w:rsid w:val="003110A4"/>
    <w:rsid w:val="0031161C"/>
    <w:rsid w:val="00311E88"/>
    <w:rsid w:val="00312520"/>
    <w:rsid w:val="00312552"/>
    <w:rsid w:val="00312A26"/>
    <w:rsid w:val="00312DAD"/>
    <w:rsid w:val="00312ED6"/>
    <w:rsid w:val="0031309F"/>
    <w:rsid w:val="0031367B"/>
    <w:rsid w:val="00313945"/>
    <w:rsid w:val="00313B40"/>
    <w:rsid w:val="00313D72"/>
    <w:rsid w:val="00313F99"/>
    <w:rsid w:val="00314638"/>
    <w:rsid w:val="0031489E"/>
    <w:rsid w:val="00314A40"/>
    <w:rsid w:val="00315571"/>
    <w:rsid w:val="00315821"/>
    <w:rsid w:val="00315969"/>
    <w:rsid w:val="003159C0"/>
    <w:rsid w:val="00315A2F"/>
    <w:rsid w:val="00315B6D"/>
    <w:rsid w:val="00315BBB"/>
    <w:rsid w:val="00315BDB"/>
    <w:rsid w:val="00315D02"/>
    <w:rsid w:val="00316019"/>
    <w:rsid w:val="00316409"/>
    <w:rsid w:val="0031643B"/>
    <w:rsid w:val="0031675E"/>
    <w:rsid w:val="00316CD0"/>
    <w:rsid w:val="00316CD6"/>
    <w:rsid w:val="00316DD2"/>
    <w:rsid w:val="00317FC5"/>
    <w:rsid w:val="00317FDB"/>
    <w:rsid w:val="00320528"/>
    <w:rsid w:val="0032096B"/>
    <w:rsid w:val="003219EB"/>
    <w:rsid w:val="00322E5D"/>
    <w:rsid w:val="00322EAC"/>
    <w:rsid w:val="00322EBE"/>
    <w:rsid w:val="00322F59"/>
    <w:rsid w:val="0032300D"/>
    <w:rsid w:val="00323014"/>
    <w:rsid w:val="00323317"/>
    <w:rsid w:val="00323DE8"/>
    <w:rsid w:val="003240C2"/>
    <w:rsid w:val="0032493E"/>
    <w:rsid w:val="00324AA1"/>
    <w:rsid w:val="00324D33"/>
    <w:rsid w:val="00324D8D"/>
    <w:rsid w:val="0032507C"/>
    <w:rsid w:val="0032513A"/>
    <w:rsid w:val="003251D3"/>
    <w:rsid w:val="00325520"/>
    <w:rsid w:val="003258CA"/>
    <w:rsid w:val="00325BB0"/>
    <w:rsid w:val="00325C9B"/>
    <w:rsid w:val="00325F96"/>
    <w:rsid w:val="0032659D"/>
    <w:rsid w:val="00326741"/>
    <w:rsid w:val="00326889"/>
    <w:rsid w:val="00326AB6"/>
    <w:rsid w:val="00326BB8"/>
    <w:rsid w:val="00326EC6"/>
    <w:rsid w:val="0032736F"/>
    <w:rsid w:val="00327659"/>
    <w:rsid w:val="0032782B"/>
    <w:rsid w:val="00327871"/>
    <w:rsid w:val="00327C05"/>
    <w:rsid w:val="00327E8B"/>
    <w:rsid w:val="00330145"/>
    <w:rsid w:val="0033018A"/>
    <w:rsid w:val="003308A2"/>
    <w:rsid w:val="00331A0D"/>
    <w:rsid w:val="00331B4B"/>
    <w:rsid w:val="00331F7F"/>
    <w:rsid w:val="003323CC"/>
    <w:rsid w:val="003327D0"/>
    <w:rsid w:val="003329CB"/>
    <w:rsid w:val="00332FAB"/>
    <w:rsid w:val="00333369"/>
    <w:rsid w:val="00333859"/>
    <w:rsid w:val="00333938"/>
    <w:rsid w:val="0033437E"/>
    <w:rsid w:val="00334A54"/>
    <w:rsid w:val="00334AD6"/>
    <w:rsid w:val="00334B03"/>
    <w:rsid w:val="00334B2C"/>
    <w:rsid w:val="00334CBE"/>
    <w:rsid w:val="00334D7E"/>
    <w:rsid w:val="0033500C"/>
    <w:rsid w:val="0033547C"/>
    <w:rsid w:val="003355DD"/>
    <w:rsid w:val="00335B0F"/>
    <w:rsid w:val="0033640A"/>
    <w:rsid w:val="0033642C"/>
    <w:rsid w:val="003367FE"/>
    <w:rsid w:val="00336A61"/>
    <w:rsid w:val="00336C58"/>
    <w:rsid w:val="00336D85"/>
    <w:rsid w:val="003373E4"/>
    <w:rsid w:val="00340519"/>
    <w:rsid w:val="00340824"/>
    <w:rsid w:val="00340BEC"/>
    <w:rsid w:val="00340D32"/>
    <w:rsid w:val="003413A6"/>
    <w:rsid w:val="003416B7"/>
    <w:rsid w:val="003417AD"/>
    <w:rsid w:val="00341961"/>
    <w:rsid w:val="003421CD"/>
    <w:rsid w:val="003422F0"/>
    <w:rsid w:val="0034260F"/>
    <w:rsid w:val="0034297F"/>
    <w:rsid w:val="00343795"/>
    <w:rsid w:val="00343973"/>
    <w:rsid w:val="00343A6C"/>
    <w:rsid w:val="00343D45"/>
    <w:rsid w:val="003440AC"/>
    <w:rsid w:val="0034451C"/>
    <w:rsid w:val="0034491B"/>
    <w:rsid w:val="00344986"/>
    <w:rsid w:val="00344C79"/>
    <w:rsid w:val="00344FF1"/>
    <w:rsid w:val="003452F8"/>
    <w:rsid w:val="00345569"/>
    <w:rsid w:val="00345849"/>
    <w:rsid w:val="00345A01"/>
    <w:rsid w:val="00345E61"/>
    <w:rsid w:val="00345E69"/>
    <w:rsid w:val="003460E0"/>
    <w:rsid w:val="0034614B"/>
    <w:rsid w:val="003463FC"/>
    <w:rsid w:val="003467D3"/>
    <w:rsid w:val="0034690D"/>
    <w:rsid w:val="00346AD4"/>
    <w:rsid w:val="00347279"/>
    <w:rsid w:val="003477BE"/>
    <w:rsid w:val="00347D2E"/>
    <w:rsid w:val="00347DE9"/>
    <w:rsid w:val="00350ADD"/>
    <w:rsid w:val="003510D2"/>
    <w:rsid w:val="003515F0"/>
    <w:rsid w:val="00351A29"/>
    <w:rsid w:val="00351C11"/>
    <w:rsid w:val="00351C3E"/>
    <w:rsid w:val="00351DA0"/>
    <w:rsid w:val="00351EB8"/>
    <w:rsid w:val="00352100"/>
    <w:rsid w:val="00352578"/>
    <w:rsid w:val="003527E0"/>
    <w:rsid w:val="00352A91"/>
    <w:rsid w:val="00352E68"/>
    <w:rsid w:val="0035316A"/>
    <w:rsid w:val="00353303"/>
    <w:rsid w:val="00353579"/>
    <w:rsid w:val="0035362D"/>
    <w:rsid w:val="0035386E"/>
    <w:rsid w:val="0035406F"/>
    <w:rsid w:val="00354160"/>
    <w:rsid w:val="0035448E"/>
    <w:rsid w:val="00354722"/>
    <w:rsid w:val="00354B5A"/>
    <w:rsid w:val="00354E3A"/>
    <w:rsid w:val="003557A3"/>
    <w:rsid w:val="00355C67"/>
    <w:rsid w:val="00355CAF"/>
    <w:rsid w:val="00355CFE"/>
    <w:rsid w:val="00356EF6"/>
    <w:rsid w:val="0035724F"/>
    <w:rsid w:val="003572BE"/>
    <w:rsid w:val="003577F7"/>
    <w:rsid w:val="00357990"/>
    <w:rsid w:val="00357C93"/>
    <w:rsid w:val="003603E8"/>
    <w:rsid w:val="00360517"/>
    <w:rsid w:val="00360572"/>
    <w:rsid w:val="00360F2C"/>
    <w:rsid w:val="00360F57"/>
    <w:rsid w:val="00360FA4"/>
    <w:rsid w:val="0036192D"/>
    <w:rsid w:val="00361DA1"/>
    <w:rsid w:val="003621DB"/>
    <w:rsid w:val="00362C08"/>
    <w:rsid w:val="003634AC"/>
    <w:rsid w:val="0036389C"/>
    <w:rsid w:val="00363AC1"/>
    <w:rsid w:val="00363B96"/>
    <w:rsid w:val="0036409F"/>
    <w:rsid w:val="0036433A"/>
    <w:rsid w:val="003648D3"/>
    <w:rsid w:val="00364D5A"/>
    <w:rsid w:val="00364DCE"/>
    <w:rsid w:val="003653DE"/>
    <w:rsid w:val="00365DFC"/>
    <w:rsid w:val="00365E06"/>
    <w:rsid w:val="00365EAD"/>
    <w:rsid w:val="00365FAE"/>
    <w:rsid w:val="00366251"/>
    <w:rsid w:val="00366284"/>
    <w:rsid w:val="003664FD"/>
    <w:rsid w:val="003666DB"/>
    <w:rsid w:val="00366791"/>
    <w:rsid w:val="003667EF"/>
    <w:rsid w:val="00366989"/>
    <w:rsid w:val="00366E0D"/>
    <w:rsid w:val="003676D2"/>
    <w:rsid w:val="003677B9"/>
    <w:rsid w:val="003679AF"/>
    <w:rsid w:val="00370573"/>
    <w:rsid w:val="0037093A"/>
    <w:rsid w:val="003716E5"/>
    <w:rsid w:val="003720BA"/>
    <w:rsid w:val="003721A4"/>
    <w:rsid w:val="00372F02"/>
    <w:rsid w:val="003732FF"/>
    <w:rsid w:val="00373410"/>
    <w:rsid w:val="003735D4"/>
    <w:rsid w:val="00373AC9"/>
    <w:rsid w:val="00373B73"/>
    <w:rsid w:val="00373D03"/>
    <w:rsid w:val="00373F5B"/>
    <w:rsid w:val="00374035"/>
    <w:rsid w:val="0037409E"/>
    <w:rsid w:val="003742CC"/>
    <w:rsid w:val="00374314"/>
    <w:rsid w:val="00374C6F"/>
    <w:rsid w:val="00374DE3"/>
    <w:rsid w:val="00374E0B"/>
    <w:rsid w:val="00374EA0"/>
    <w:rsid w:val="00374EA8"/>
    <w:rsid w:val="003752BE"/>
    <w:rsid w:val="0037555C"/>
    <w:rsid w:val="0037556A"/>
    <w:rsid w:val="00375D7B"/>
    <w:rsid w:val="00376AA9"/>
    <w:rsid w:val="00377308"/>
    <w:rsid w:val="0037765A"/>
    <w:rsid w:val="003777C4"/>
    <w:rsid w:val="00377A57"/>
    <w:rsid w:val="00377C8B"/>
    <w:rsid w:val="00377D6E"/>
    <w:rsid w:val="0038009F"/>
    <w:rsid w:val="003800DE"/>
    <w:rsid w:val="003802E0"/>
    <w:rsid w:val="00380F2D"/>
    <w:rsid w:val="00381A45"/>
    <w:rsid w:val="00381D96"/>
    <w:rsid w:val="00381E3B"/>
    <w:rsid w:val="003820FC"/>
    <w:rsid w:val="00382ED5"/>
    <w:rsid w:val="00382F39"/>
    <w:rsid w:val="00382F78"/>
    <w:rsid w:val="0038326A"/>
    <w:rsid w:val="003832F7"/>
    <w:rsid w:val="00383E1F"/>
    <w:rsid w:val="0038482D"/>
    <w:rsid w:val="00384E3D"/>
    <w:rsid w:val="00384E5F"/>
    <w:rsid w:val="00384E84"/>
    <w:rsid w:val="003857FD"/>
    <w:rsid w:val="00385F44"/>
    <w:rsid w:val="0038608B"/>
    <w:rsid w:val="0038708A"/>
    <w:rsid w:val="003871FA"/>
    <w:rsid w:val="003871FB"/>
    <w:rsid w:val="00387402"/>
    <w:rsid w:val="0038784D"/>
    <w:rsid w:val="00387A14"/>
    <w:rsid w:val="00387A16"/>
    <w:rsid w:val="00387A90"/>
    <w:rsid w:val="00387A9B"/>
    <w:rsid w:val="00387ADB"/>
    <w:rsid w:val="00387EA7"/>
    <w:rsid w:val="0039059E"/>
    <w:rsid w:val="0039068C"/>
    <w:rsid w:val="00390BBC"/>
    <w:rsid w:val="003913EE"/>
    <w:rsid w:val="0039152F"/>
    <w:rsid w:val="00391A1A"/>
    <w:rsid w:val="00392077"/>
    <w:rsid w:val="003924A1"/>
    <w:rsid w:val="003925C6"/>
    <w:rsid w:val="00392745"/>
    <w:rsid w:val="003927D1"/>
    <w:rsid w:val="003929BE"/>
    <w:rsid w:val="00392E82"/>
    <w:rsid w:val="0039341B"/>
    <w:rsid w:val="00393461"/>
    <w:rsid w:val="003935EF"/>
    <w:rsid w:val="00393A74"/>
    <w:rsid w:val="00393B70"/>
    <w:rsid w:val="00393BC5"/>
    <w:rsid w:val="00394191"/>
    <w:rsid w:val="003945FF"/>
    <w:rsid w:val="003948B8"/>
    <w:rsid w:val="00394A62"/>
    <w:rsid w:val="003957BA"/>
    <w:rsid w:val="00396152"/>
    <w:rsid w:val="003962C1"/>
    <w:rsid w:val="0039638D"/>
    <w:rsid w:val="003965C2"/>
    <w:rsid w:val="00396626"/>
    <w:rsid w:val="00396901"/>
    <w:rsid w:val="00396931"/>
    <w:rsid w:val="003969CE"/>
    <w:rsid w:val="00396EF1"/>
    <w:rsid w:val="0039773F"/>
    <w:rsid w:val="00397827"/>
    <w:rsid w:val="00397A70"/>
    <w:rsid w:val="00397AFB"/>
    <w:rsid w:val="00397B14"/>
    <w:rsid w:val="003A0061"/>
    <w:rsid w:val="003A0233"/>
    <w:rsid w:val="003A02EB"/>
    <w:rsid w:val="003A07F9"/>
    <w:rsid w:val="003A0A6F"/>
    <w:rsid w:val="003A12B3"/>
    <w:rsid w:val="003A181D"/>
    <w:rsid w:val="003A2108"/>
    <w:rsid w:val="003A29AE"/>
    <w:rsid w:val="003A2A80"/>
    <w:rsid w:val="003A2DD7"/>
    <w:rsid w:val="003A2DE1"/>
    <w:rsid w:val="003A2FBF"/>
    <w:rsid w:val="003A2FCD"/>
    <w:rsid w:val="003A30E3"/>
    <w:rsid w:val="003A3221"/>
    <w:rsid w:val="003A358E"/>
    <w:rsid w:val="003A3B27"/>
    <w:rsid w:val="003A40D6"/>
    <w:rsid w:val="003A4333"/>
    <w:rsid w:val="003A4967"/>
    <w:rsid w:val="003A4AD4"/>
    <w:rsid w:val="003A4DC6"/>
    <w:rsid w:val="003A4E24"/>
    <w:rsid w:val="003A50FA"/>
    <w:rsid w:val="003A58C1"/>
    <w:rsid w:val="003A5B3B"/>
    <w:rsid w:val="003A637F"/>
    <w:rsid w:val="003A64F9"/>
    <w:rsid w:val="003A678D"/>
    <w:rsid w:val="003A6BBF"/>
    <w:rsid w:val="003A73C8"/>
    <w:rsid w:val="003A779F"/>
    <w:rsid w:val="003A78C1"/>
    <w:rsid w:val="003A7D49"/>
    <w:rsid w:val="003A7E98"/>
    <w:rsid w:val="003B000F"/>
    <w:rsid w:val="003B02CA"/>
    <w:rsid w:val="003B08F3"/>
    <w:rsid w:val="003B09A2"/>
    <w:rsid w:val="003B0F0E"/>
    <w:rsid w:val="003B0FCE"/>
    <w:rsid w:val="003B1249"/>
    <w:rsid w:val="003B1646"/>
    <w:rsid w:val="003B1DB0"/>
    <w:rsid w:val="003B1FEF"/>
    <w:rsid w:val="003B24B0"/>
    <w:rsid w:val="003B256F"/>
    <w:rsid w:val="003B265A"/>
    <w:rsid w:val="003B2BF3"/>
    <w:rsid w:val="003B2DBE"/>
    <w:rsid w:val="003B2E2B"/>
    <w:rsid w:val="003B2E75"/>
    <w:rsid w:val="003B2EC6"/>
    <w:rsid w:val="003B331A"/>
    <w:rsid w:val="003B3376"/>
    <w:rsid w:val="003B341D"/>
    <w:rsid w:val="003B36E5"/>
    <w:rsid w:val="003B36F7"/>
    <w:rsid w:val="003B3E3B"/>
    <w:rsid w:val="003B50E3"/>
    <w:rsid w:val="003B527B"/>
    <w:rsid w:val="003B52A6"/>
    <w:rsid w:val="003B58A6"/>
    <w:rsid w:val="003B5B95"/>
    <w:rsid w:val="003B5FFC"/>
    <w:rsid w:val="003B61BA"/>
    <w:rsid w:val="003B6823"/>
    <w:rsid w:val="003B6A3D"/>
    <w:rsid w:val="003B6A4F"/>
    <w:rsid w:val="003B72CB"/>
    <w:rsid w:val="003B7447"/>
    <w:rsid w:val="003B744C"/>
    <w:rsid w:val="003B7DEF"/>
    <w:rsid w:val="003C00AF"/>
    <w:rsid w:val="003C0C2D"/>
    <w:rsid w:val="003C0DFF"/>
    <w:rsid w:val="003C111A"/>
    <w:rsid w:val="003C1212"/>
    <w:rsid w:val="003C1369"/>
    <w:rsid w:val="003C13E1"/>
    <w:rsid w:val="003C1835"/>
    <w:rsid w:val="003C19D7"/>
    <w:rsid w:val="003C1B9A"/>
    <w:rsid w:val="003C1DC3"/>
    <w:rsid w:val="003C1E70"/>
    <w:rsid w:val="003C1E74"/>
    <w:rsid w:val="003C227B"/>
    <w:rsid w:val="003C2325"/>
    <w:rsid w:val="003C23F4"/>
    <w:rsid w:val="003C283F"/>
    <w:rsid w:val="003C2C7C"/>
    <w:rsid w:val="003C2E93"/>
    <w:rsid w:val="003C328F"/>
    <w:rsid w:val="003C46EB"/>
    <w:rsid w:val="003C48E2"/>
    <w:rsid w:val="003C4B2E"/>
    <w:rsid w:val="003C4B83"/>
    <w:rsid w:val="003C52F0"/>
    <w:rsid w:val="003C5A9C"/>
    <w:rsid w:val="003C5E55"/>
    <w:rsid w:val="003C6349"/>
    <w:rsid w:val="003C6364"/>
    <w:rsid w:val="003C6585"/>
    <w:rsid w:val="003C6B0E"/>
    <w:rsid w:val="003C6C9A"/>
    <w:rsid w:val="003C6FF3"/>
    <w:rsid w:val="003C71A6"/>
    <w:rsid w:val="003C726C"/>
    <w:rsid w:val="003C72D8"/>
    <w:rsid w:val="003C730D"/>
    <w:rsid w:val="003C78A0"/>
    <w:rsid w:val="003C7B3C"/>
    <w:rsid w:val="003D0090"/>
    <w:rsid w:val="003D0575"/>
    <w:rsid w:val="003D1490"/>
    <w:rsid w:val="003D14D9"/>
    <w:rsid w:val="003D1DA4"/>
    <w:rsid w:val="003D214C"/>
    <w:rsid w:val="003D2209"/>
    <w:rsid w:val="003D22CE"/>
    <w:rsid w:val="003D2350"/>
    <w:rsid w:val="003D2418"/>
    <w:rsid w:val="003D25A1"/>
    <w:rsid w:val="003D2652"/>
    <w:rsid w:val="003D2A76"/>
    <w:rsid w:val="003D2ACC"/>
    <w:rsid w:val="003D2ADC"/>
    <w:rsid w:val="003D2FD6"/>
    <w:rsid w:val="003D3556"/>
    <w:rsid w:val="003D37F8"/>
    <w:rsid w:val="003D38B0"/>
    <w:rsid w:val="003D3F82"/>
    <w:rsid w:val="003D40E5"/>
    <w:rsid w:val="003D417E"/>
    <w:rsid w:val="003D42FB"/>
    <w:rsid w:val="003D4357"/>
    <w:rsid w:val="003D43E7"/>
    <w:rsid w:val="003D43FF"/>
    <w:rsid w:val="003D49DA"/>
    <w:rsid w:val="003D4B43"/>
    <w:rsid w:val="003D4E06"/>
    <w:rsid w:val="003D5563"/>
    <w:rsid w:val="003D579E"/>
    <w:rsid w:val="003D5D41"/>
    <w:rsid w:val="003D6319"/>
    <w:rsid w:val="003D71B9"/>
    <w:rsid w:val="003D73D4"/>
    <w:rsid w:val="003D7D6F"/>
    <w:rsid w:val="003E0125"/>
    <w:rsid w:val="003E04F2"/>
    <w:rsid w:val="003E0C50"/>
    <w:rsid w:val="003E0CDA"/>
    <w:rsid w:val="003E0DC0"/>
    <w:rsid w:val="003E12BD"/>
    <w:rsid w:val="003E1379"/>
    <w:rsid w:val="003E1870"/>
    <w:rsid w:val="003E18EB"/>
    <w:rsid w:val="003E20D8"/>
    <w:rsid w:val="003E22AD"/>
    <w:rsid w:val="003E286E"/>
    <w:rsid w:val="003E2DDA"/>
    <w:rsid w:val="003E2FA7"/>
    <w:rsid w:val="003E311C"/>
    <w:rsid w:val="003E32C6"/>
    <w:rsid w:val="003E33AF"/>
    <w:rsid w:val="003E3420"/>
    <w:rsid w:val="003E35B7"/>
    <w:rsid w:val="003E35C1"/>
    <w:rsid w:val="003E362C"/>
    <w:rsid w:val="003E3896"/>
    <w:rsid w:val="003E3ADC"/>
    <w:rsid w:val="003E3D8C"/>
    <w:rsid w:val="003E3E06"/>
    <w:rsid w:val="003E43CB"/>
    <w:rsid w:val="003E44B6"/>
    <w:rsid w:val="003E4AF2"/>
    <w:rsid w:val="003E4F6D"/>
    <w:rsid w:val="003E4F80"/>
    <w:rsid w:val="003E50CF"/>
    <w:rsid w:val="003E52B2"/>
    <w:rsid w:val="003E5C0F"/>
    <w:rsid w:val="003E5C62"/>
    <w:rsid w:val="003E5E72"/>
    <w:rsid w:val="003E6297"/>
    <w:rsid w:val="003E64BB"/>
    <w:rsid w:val="003E66C0"/>
    <w:rsid w:val="003E68BB"/>
    <w:rsid w:val="003E6D28"/>
    <w:rsid w:val="003E721D"/>
    <w:rsid w:val="003E7D5A"/>
    <w:rsid w:val="003E7DC7"/>
    <w:rsid w:val="003E7FD1"/>
    <w:rsid w:val="003F00F4"/>
    <w:rsid w:val="003F012D"/>
    <w:rsid w:val="003F08BA"/>
    <w:rsid w:val="003F08D1"/>
    <w:rsid w:val="003F0C1D"/>
    <w:rsid w:val="003F0FCD"/>
    <w:rsid w:val="003F10FF"/>
    <w:rsid w:val="003F1162"/>
    <w:rsid w:val="003F11D9"/>
    <w:rsid w:val="003F133E"/>
    <w:rsid w:val="003F13A3"/>
    <w:rsid w:val="003F22E6"/>
    <w:rsid w:val="003F23E6"/>
    <w:rsid w:val="003F26F1"/>
    <w:rsid w:val="003F36E1"/>
    <w:rsid w:val="003F3AC7"/>
    <w:rsid w:val="003F3C38"/>
    <w:rsid w:val="003F40E5"/>
    <w:rsid w:val="003F4529"/>
    <w:rsid w:val="003F45AB"/>
    <w:rsid w:val="003F4DF8"/>
    <w:rsid w:val="003F51B1"/>
    <w:rsid w:val="003F568D"/>
    <w:rsid w:val="003F5B02"/>
    <w:rsid w:val="003F607B"/>
    <w:rsid w:val="003F6147"/>
    <w:rsid w:val="003F657D"/>
    <w:rsid w:val="003F65AA"/>
    <w:rsid w:val="003F66B1"/>
    <w:rsid w:val="003F6C60"/>
    <w:rsid w:val="003F6F73"/>
    <w:rsid w:val="003F7152"/>
    <w:rsid w:val="003F7465"/>
    <w:rsid w:val="003F7482"/>
    <w:rsid w:val="003F7667"/>
    <w:rsid w:val="00400238"/>
    <w:rsid w:val="00400698"/>
    <w:rsid w:val="00400953"/>
    <w:rsid w:val="00400AA0"/>
    <w:rsid w:val="00401079"/>
    <w:rsid w:val="0040115B"/>
    <w:rsid w:val="00401DFF"/>
    <w:rsid w:val="004026EF"/>
    <w:rsid w:val="0040286E"/>
    <w:rsid w:val="00402E98"/>
    <w:rsid w:val="004032A0"/>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6BFF"/>
    <w:rsid w:val="00407A4A"/>
    <w:rsid w:val="00407C49"/>
    <w:rsid w:val="00407CF7"/>
    <w:rsid w:val="00407D32"/>
    <w:rsid w:val="00407EB1"/>
    <w:rsid w:val="00407F46"/>
    <w:rsid w:val="004100D0"/>
    <w:rsid w:val="004101B7"/>
    <w:rsid w:val="0041081C"/>
    <w:rsid w:val="00410C9E"/>
    <w:rsid w:val="00411500"/>
    <w:rsid w:val="00411B4A"/>
    <w:rsid w:val="00411CEF"/>
    <w:rsid w:val="0041232D"/>
    <w:rsid w:val="00412DD5"/>
    <w:rsid w:val="004134B4"/>
    <w:rsid w:val="0041444A"/>
    <w:rsid w:val="00414664"/>
    <w:rsid w:val="00414A5C"/>
    <w:rsid w:val="00414B51"/>
    <w:rsid w:val="00414DC3"/>
    <w:rsid w:val="00415115"/>
    <w:rsid w:val="004156DA"/>
    <w:rsid w:val="004167EF"/>
    <w:rsid w:val="00416E5D"/>
    <w:rsid w:val="00416E9E"/>
    <w:rsid w:val="00416F2B"/>
    <w:rsid w:val="00417223"/>
    <w:rsid w:val="0041776A"/>
    <w:rsid w:val="00417ACE"/>
    <w:rsid w:val="00417B6A"/>
    <w:rsid w:val="00417BD8"/>
    <w:rsid w:val="0042006F"/>
    <w:rsid w:val="004200E3"/>
    <w:rsid w:val="0042061F"/>
    <w:rsid w:val="00420BFA"/>
    <w:rsid w:val="004210C3"/>
    <w:rsid w:val="00421229"/>
    <w:rsid w:val="00421C81"/>
    <w:rsid w:val="00421C99"/>
    <w:rsid w:val="00421DEB"/>
    <w:rsid w:val="00421F4A"/>
    <w:rsid w:val="004222F7"/>
    <w:rsid w:val="004225C6"/>
    <w:rsid w:val="00422C2A"/>
    <w:rsid w:val="004230C2"/>
    <w:rsid w:val="004232C3"/>
    <w:rsid w:val="00423780"/>
    <w:rsid w:val="00423842"/>
    <w:rsid w:val="00423975"/>
    <w:rsid w:val="0042468D"/>
    <w:rsid w:val="004249C7"/>
    <w:rsid w:val="00424A56"/>
    <w:rsid w:val="00424A73"/>
    <w:rsid w:val="0042594E"/>
    <w:rsid w:val="00425AB4"/>
    <w:rsid w:val="00425B32"/>
    <w:rsid w:val="004262ED"/>
    <w:rsid w:val="004264CC"/>
    <w:rsid w:val="004269AB"/>
    <w:rsid w:val="00426A4F"/>
    <w:rsid w:val="00426C1E"/>
    <w:rsid w:val="00426C35"/>
    <w:rsid w:val="00426D73"/>
    <w:rsid w:val="00426EFE"/>
    <w:rsid w:val="00427106"/>
    <w:rsid w:val="00427417"/>
    <w:rsid w:val="00427593"/>
    <w:rsid w:val="004305A7"/>
    <w:rsid w:val="00430D6E"/>
    <w:rsid w:val="004311E6"/>
    <w:rsid w:val="00431268"/>
    <w:rsid w:val="0043139D"/>
    <w:rsid w:val="00431427"/>
    <w:rsid w:val="0043154F"/>
    <w:rsid w:val="004317F0"/>
    <w:rsid w:val="00431B9F"/>
    <w:rsid w:val="00431C7A"/>
    <w:rsid w:val="00431D49"/>
    <w:rsid w:val="0043204D"/>
    <w:rsid w:val="004325E2"/>
    <w:rsid w:val="0043262C"/>
    <w:rsid w:val="00432F71"/>
    <w:rsid w:val="0043393F"/>
    <w:rsid w:val="00433E0C"/>
    <w:rsid w:val="00434289"/>
    <w:rsid w:val="0043460E"/>
    <w:rsid w:val="0043461F"/>
    <w:rsid w:val="00434899"/>
    <w:rsid w:val="00434921"/>
    <w:rsid w:val="00434926"/>
    <w:rsid w:val="00434E3E"/>
    <w:rsid w:val="004358F7"/>
    <w:rsid w:val="00435AEE"/>
    <w:rsid w:val="00435BFF"/>
    <w:rsid w:val="00435C8C"/>
    <w:rsid w:val="00436C32"/>
    <w:rsid w:val="004372A5"/>
    <w:rsid w:val="00437564"/>
    <w:rsid w:val="00437686"/>
    <w:rsid w:val="0044009D"/>
    <w:rsid w:val="0044036A"/>
    <w:rsid w:val="0044047F"/>
    <w:rsid w:val="0044058E"/>
    <w:rsid w:val="00440AA5"/>
    <w:rsid w:val="00440CCA"/>
    <w:rsid w:val="0044145F"/>
    <w:rsid w:val="00442059"/>
    <w:rsid w:val="004420CA"/>
    <w:rsid w:val="00442BF1"/>
    <w:rsid w:val="00442C68"/>
    <w:rsid w:val="00442E03"/>
    <w:rsid w:val="004430AF"/>
    <w:rsid w:val="004430FA"/>
    <w:rsid w:val="00443307"/>
    <w:rsid w:val="00443957"/>
    <w:rsid w:val="00443A17"/>
    <w:rsid w:val="00443C54"/>
    <w:rsid w:val="004441DD"/>
    <w:rsid w:val="004446BF"/>
    <w:rsid w:val="00444799"/>
    <w:rsid w:val="004449CC"/>
    <w:rsid w:val="00445031"/>
    <w:rsid w:val="00445211"/>
    <w:rsid w:val="004452BE"/>
    <w:rsid w:val="00445569"/>
    <w:rsid w:val="004456DE"/>
    <w:rsid w:val="0044589A"/>
    <w:rsid w:val="004461DB"/>
    <w:rsid w:val="004470F6"/>
    <w:rsid w:val="00447454"/>
    <w:rsid w:val="00447837"/>
    <w:rsid w:val="00447FF1"/>
    <w:rsid w:val="00450157"/>
    <w:rsid w:val="00450796"/>
    <w:rsid w:val="004507F6"/>
    <w:rsid w:val="00450ED3"/>
    <w:rsid w:val="00450FD8"/>
    <w:rsid w:val="0045111A"/>
    <w:rsid w:val="00451D25"/>
    <w:rsid w:val="00451F58"/>
    <w:rsid w:val="004520E4"/>
    <w:rsid w:val="00452590"/>
    <w:rsid w:val="0045263A"/>
    <w:rsid w:val="0045266D"/>
    <w:rsid w:val="00452AAC"/>
    <w:rsid w:val="00452E19"/>
    <w:rsid w:val="00452F5D"/>
    <w:rsid w:val="0045335D"/>
    <w:rsid w:val="00453D37"/>
    <w:rsid w:val="00453F01"/>
    <w:rsid w:val="00454128"/>
    <w:rsid w:val="0045487B"/>
    <w:rsid w:val="004554EF"/>
    <w:rsid w:val="00455888"/>
    <w:rsid w:val="004559BD"/>
    <w:rsid w:val="004559F6"/>
    <w:rsid w:val="00455A01"/>
    <w:rsid w:val="00455A47"/>
    <w:rsid w:val="00455EC9"/>
    <w:rsid w:val="004563F1"/>
    <w:rsid w:val="00456829"/>
    <w:rsid w:val="00456EAA"/>
    <w:rsid w:val="004570E9"/>
    <w:rsid w:val="00457608"/>
    <w:rsid w:val="00457AE6"/>
    <w:rsid w:val="004604E6"/>
    <w:rsid w:val="004605E6"/>
    <w:rsid w:val="004609AA"/>
    <w:rsid w:val="00461107"/>
    <w:rsid w:val="004611F6"/>
    <w:rsid w:val="00461AF6"/>
    <w:rsid w:val="00461BE0"/>
    <w:rsid w:val="00461CE9"/>
    <w:rsid w:val="00461F15"/>
    <w:rsid w:val="00462062"/>
    <w:rsid w:val="004624A3"/>
    <w:rsid w:val="004624D0"/>
    <w:rsid w:val="00462912"/>
    <w:rsid w:val="00462A82"/>
    <w:rsid w:val="00462D34"/>
    <w:rsid w:val="00463001"/>
    <w:rsid w:val="0046362A"/>
    <w:rsid w:val="004639EF"/>
    <w:rsid w:val="00463A8E"/>
    <w:rsid w:val="00463B01"/>
    <w:rsid w:val="00463DD7"/>
    <w:rsid w:val="00463E0B"/>
    <w:rsid w:val="00465254"/>
    <w:rsid w:val="00465258"/>
    <w:rsid w:val="00465773"/>
    <w:rsid w:val="00465C78"/>
    <w:rsid w:val="004661CE"/>
    <w:rsid w:val="00466F75"/>
    <w:rsid w:val="004670BF"/>
    <w:rsid w:val="00467B48"/>
    <w:rsid w:val="00467D87"/>
    <w:rsid w:val="00470121"/>
    <w:rsid w:val="00470137"/>
    <w:rsid w:val="00470593"/>
    <w:rsid w:val="004705D4"/>
    <w:rsid w:val="004706A4"/>
    <w:rsid w:val="00470ED4"/>
    <w:rsid w:val="004713AA"/>
    <w:rsid w:val="00471E10"/>
    <w:rsid w:val="00472263"/>
    <w:rsid w:val="0047253A"/>
    <w:rsid w:val="004729EA"/>
    <w:rsid w:val="00472AEA"/>
    <w:rsid w:val="00472D3B"/>
    <w:rsid w:val="00472E7A"/>
    <w:rsid w:val="00472EFF"/>
    <w:rsid w:val="00473212"/>
    <w:rsid w:val="004732BD"/>
    <w:rsid w:val="00473445"/>
    <w:rsid w:val="00473700"/>
    <w:rsid w:val="00473929"/>
    <w:rsid w:val="00473935"/>
    <w:rsid w:val="00473EB2"/>
    <w:rsid w:val="00473ED4"/>
    <w:rsid w:val="0047486E"/>
    <w:rsid w:val="004748C1"/>
    <w:rsid w:val="00474D23"/>
    <w:rsid w:val="00474F2D"/>
    <w:rsid w:val="004750CC"/>
    <w:rsid w:val="004754C7"/>
    <w:rsid w:val="0047559B"/>
    <w:rsid w:val="00475892"/>
    <w:rsid w:val="00475AC9"/>
    <w:rsid w:val="00475BD6"/>
    <w:rsid w:val="00475C43"/>
    <w:rsid w:val="00475D31"/>
    <w:rsid w:val="00475F0E"/>
    <w:rsid w:val="0047617B"/>
    <w:rsid w:val="0047685D"/>
    <w:rsid w:val="00476D0D"/>
    <w:rsid w:val="00477229"/>
    <w:rsid w:val="00477397"/>
    <w:rsid w:val="00477539"/>
    <w:rsid w:val="00477748"/>
    <w:rsid w:val="0047790A"/>
    <w:rsid w:val="004779A4"/>
    <w:rsid w:val="00477C46"/>
    <w:rsid w:val="0048072F"/>
    <w:rsid w:val="00481432"/>
    <w:rsid w:val="00481D6F"/>
    <w:rsid w:val="00481F35"/>
    <w:rsid w:val="00482116"/>
    <w:rsid w:val="004831E0"/>
    <w:rsid w:val="00483C37"/>
    <w:rsid w:val="0048471D"/>
    <w:rsid w:val="0048497C"/>
    <w:rsid w:val="004849ED"/>
    <w:rsid w:val="00484E40"/>
    <w:rsid w:val="00484E7A"/>
    <w:rsid w:val="004853EA"/>
    <w:rsid w:val="00485687"/>
    <w:rsid w:val="0048578E"/>
    <w:rsid w:val="00485A36"/>
    <w:rsid w:val="00485DEE"/>
    <w:rsid w:val="0048661B"/>
    <w:rsid w:val="00486926"/>
    <w:rsid w:val="00487508"/>
    <w:rsid w:val="00487BFA"/>
    <w:rsid w:val="004905BF"/>
    <w:rsid w:val="0049105E"/>
    <w:rsid w:val="00491107"/>
    <w:rsid w:val="00491B16"/>
    <w:rsid w:val="00491FF8"/>
    <w:rsid w:val="004925D4"/>
    <w:rsid w:val="004928ED"/>
    <w:rsid w:val="004928FB"/>
    <w:rsid w:val="00493386"/>
    <w:rsid w:val="00493585"/>
    <w:rsid w:val="004936BA"/>
    <w:rsid w:val="00493984"/>
    <w:rsid w:val="00493ACB"/>
    <w:rsid w:val="00493BC1"/>
    <w:rsid w:val="0049477A"/>
    <w:rsid w:val="00494B83"/>
    <w:rsid w:val="00494EAB"/>
    <w:rsid w:val="00495022"/>
    <w:rsid w:val="004950BC"/>
    <w:rsid w:val="004953B4"/>
    <w:rsid w:val="00495FC2"/>
    <w:rsid w:val="00495FF9"/>
    <w:rsid w:val="004960E4"/>
    <w:rsid w:val="0049610E"/>
    <w:rsid w:val="00496333"/>
    <w:rsid w:val="004963F3"/>
    <w:rsid w:val="004966DD"/>
    <w:rsid w:val="00497323"/>
    <w:rsid w:val="0049735A"/>
    <w:rsid w:val="0049776E"/>
    <w:rsid w:val="00497857"/>
    <w:rsid w:val="00497A89"/>
    <w:rsid w:val="00497A9F"/>
    <w:rsid w:val="00497AF0"/>
    <w:rsid w:val="00497C01"/>
    <w:rsid w:val="00497D65"/>
    <w:rsid w:val="00497EF2"/>
    <w:rsid w:val="004A131C"/>
    <w:rsid w:val="004A14AD"/>
    <w:rsid w:val="004A17D2"/>
    <w:rsid w:val="004A1ADF"/>
    <w:rsid w:val="004A1C47"/>
    <w:rsid w:val="004A251C"/>
    <w:rsid w:val="004A2740"/>
    <w:rsid w:val="004A27C1"/>
    <w:rsid w:val="004A281A"/>
    <w:rsid w:val="004A2983"/>
    <w:rsid w:val="004A329C"/>
    <w:rsid w:val="004A33A4"/>
    <w:rsid w:val="004A390E"/>
    <w:rsid w:val="004A43C8"/>
    <w:rsid w:val="004A4807"/>
    <w:rsid w:val="004A484D"/>
    <w:rsid w:val="004A48C6"/>
    <w:rsid w:val="004A5125"/>
    <w:rsid w:val="004A532B"/>
    <w:rsid w:val="004A5475"/>
    <w:rsid w:val="004A58EB"/>
    <w:rsid w:val="004A5CE5"/>
    <w:rsid w:val="004A5F40"/>
    <w:rsid w:val="004A5F57"/>
    <w:rsid w:val="004A64F5"/>
    <w:rsid w:val="004A6670"/>
    <w:rsid w:val="004A6F15"/>
    <w:rsid w:val="004A7132"/>
    <w:rsid w:val="004A7190"/>
    <w:rsid w:val="004A7BA1"/>
    <w:rsid w:val="004B027B"/>
    <w:rsid w:val="004B06B8"/>
    <w:rsid w:val="004B0A7D"/>
    <w:rsid w:val="004B1445"/>
    <w:rsid w:val="004B160A"/>
    <w:rsid w:val="004B1645"/>
    <w:rsid w:val="004B1A22"/>
    <w:rsid w:val="004B1A7C"/>
    <w:rsid w:val="004B1C9D"/>
    <w:rsid w:val="004B1F6C"/>
    <w:rsid w:val="004B2204"/>
    <w:rsid w:val="004B221F"/>
    <w:rsid w:val="004B240B"/>
    <w:rsid w:val="004B24DB"/>
    <w:rsid w:val="004B2870"/>
    <w:rsid w:val="004B2FDF"/>
    <w:rsid w:val="004B3014"/>
    <w:rsid w:val="004B33A0"/>
    <w:rsid w:val="004B34FE"/>
    <w:rsid w:val="004B37AB"/>
    <w:rsid w:val="004B38A2"/>
    <w:rsid w:val="004B3BA7"/>
    <w:rsid w:val="004B3BF4"/>
    <w:rsid w:val="004B4105"/>
    <w:rsid w:val="004B4903"/>
    <w:rsid w:val="004B495F"/>
    <w:rsid w:val="004B4990"/>
    <w:rsid w:val="004B4D2A"/>
    <w:rsid w:val="004B4D9C"/>
    <w:rsid w:val="004B524E"/>
    <w:rsid w:val="004B53DC"/>
    <w:rsid w:val="004B5D27"/>
    <w:rsid w:val="004B646D"/>
    <w:rsid w:val="004B6507"/>
    <w:rsid w:val="004B6714"/>
    <w:rsid w:val="004B67F2"/>
    <w:rsid w:val="004B6BDB"/>
    <w:rsid w:val="004B6C78"/>
    <w:rsid w:val="004B6C8F"/>
    <w:rsid w:val="004B70D9"/>
    <w:rsid w:val="004B787C"/>
    <w:rsid w:val="004B7D31"/>
    <w:rsid w:val="004B7D75"/>
    <w:rsid w:val="004C01D7"/>
    <w:rsid w:val="004C06FD"/>
    <w:rsid w:val="004C0819"/>
    <w:rsid w:val="004C0B6E"/>
    <w:rsid w:val="004C0CD0"/>
    <w:rsid w:val="004C0CF0"/>
    <w:rsid w:val="004C0DC7"/>
    <w:rsid w:val="004C1C9B"/>
    <w:rsid w:val="004C1E0B"/>
    <w:rsid w:val="004C214D"/>
    <w:rsid w:val="004C2389"/>
    <w:rsid w:val="004C24C8"/>
    <w:rsid w:val="004C294D"/>
    <w:rsid w:val="004C2B45"/>
    <w:rsid w:val="004C2F69"/>
    <w:rsid w:val="004C2F89"/>
    <w:rsid w:val="004C42DF"/>
    <w:rsid w:val="004C44AF"/>
    <w:rsid w:val="004C46B5"/>
    <w:rsid w:val="004C4701"/>
    <w:rsid w:val="004C4836"/>
    <w:rsid w:val="004C4915"/>
    <w:rsid w:val="004C4B7B"/>
    <w:rsid w:val="004C4F8E"/>
    <w:rsid w:val="004C55C5"/>
    <w:rsid w:val="004C588A"/>
    <w:rsid w:val="004C5C13"/>
    <w:rsid w:val="004C5ED4"/>
    <w:rsid w:val="004C5F24"/>
    <w:rsid w:val="004C63A8"/>
    <w:rsid w:val="004C668B"/>
    <w:rsid w:val="004C6774"/>
    <w:rsid w:val="004C7587"/>
    <w:rsid w:val="004C762E"/>
    <w:rsid w:val="004C7777"/>
    <w:rsid w:val="004C7AB4"/>
    <w:rsid w:val="004C7E30"/>
    <w:rsid w:val="004D0273"/>
    <w:rsid w:val="004D07AC"/>
    <w:rsid w:val="004D085D"/>
    <w:rsid w:val="004D0A67"/>
    <w:rsid w:val="004D0F5D"/>
    <w:rsid w:val="004D117F"/>
    <w:rsid w:val="004D1A98"/>
    <w:rsid w:val="004D1CFF"/>
    <w:rsid w:val="004D2090"/>
    <w:rsid w:val="004D22FB"/>
    <w:rsid w:val="004D2388"/>
    <w:rsid w:val="004D2701"/>
    <w:rsid w:val="004D287A"/>
    <w:rsid w:val="004D2B79"/>
    <w:rsid w:val="004D32FA"/>
    <w:rsid w:val="004D336F"/>
    <w:rsid w:val="004D354D"/>
    <w:rsid w:val="004D35E3"/>
    <w:rsid w:val="004D38E1"/>
    <w:rsid w:val="004D3908"/>
    <w:rsid w:val="004D3DB5"/>
    <w:rsid w:val="004D46C1"/>
    <w:rsid w:val="004D496F"/>
    <w:rsid w:val="004D4AD2"/>
    <w:rsid w:val="004D51F6"/>
    <w:rsid w:val="004D5492"/>
    <w:rsid w:val="004D5D2B"/>
    <w:rsid w:val="004D6C67"/>
    <w:rsid w:val="004D6FD1"/>
    <w:rsid w:val="004D7156"/>
    <w:rsid w:val="004D7AF1"/>
    <w:rsid w:val="004D7DE7"/>
    <w:rsid w:val="004E00A0"/>
    <w:rsid w:val="004E01D8"/>
    <w:rsid w:val="004E0526"/>
    <w:rsid w:val="004E057E"/>
    <w:rsid w:val="004E06B4"/>
    <w:rsid w:val="004E06C5"/>
    <w:rsid w:val="004E0997"/>
    <w:rsid w:val="004E0E11"/>
    <w:rsid w:val="004E16CD"/>
    <w:rsid w:val="004E1AD8"/>
    <w:rsid w:val="004E219E"/>
    <w:rsid w:val="004E2341"/>
    <w:rsid w:val="004E2442"/>
    <w:rsid w:val="004E2541"/>
    <w:rsid w:val="004E27D8"/>
    <w:rsid w:val="004E3108"/>
    <w:rsid w:val="004E339D"/>
    <w:rsid w:val="004E3A3E"/>
    <w:rsid w:val="004E3B36"/>
    <w:rsid w:val="004E42D6"/>
    <w:rsid w:val="004E498C"/>
    <w:rsid w:val="004E4992"/>
    <w:rsid w:val="004E4D1B"/>
    <w:rsid w:val="004E5083"/>
    <w:rsid w:val="004E514D"/>
    <w:rsid w:val="004E51B4"/>
    <w:rsid w:val="004E5267"/>
    <w:rsid w:val="004E54F4"/>
    <w:rsid w:val="004E58A4"/>
    <w:rsid w:val="004E5A03"/>
    <w:rsid w:val="004E5F0C"/>
    <w:rsid w:val="004E5F3E"/>
    <w:rsid w:val="004E6032"/>
    <w:rsid w:val="004E6418"/>
    <w:rsid w:val="004E664E"/>
    <w:rsid w:val="004E6B9D"/>
    <w:rsid w:val="004E6C18"/>
    <w:rsid w:val="004E70A8"/>
    <w:rsid w:val="004E7150"/>
    <w:rsid w:val="004E7434"/>
    <w:rsid w:val="004E7DA8"/>
    <w:rsid w:val="004F0572"/>
    <w:rsid w:val="004F10DF"/>
    <w:rsid w:val="004F11A0"/>
    <w:rsid w:val="004F1AA8"/>
    <w:rsid w:val="004F1C8E"/>
    <w:rsid w:val="004F1D14"/>
    <w:rsid w:val="004F24BD"/>
    <w:rsid w:val="004F3248"/>
    <w:rsid w:val="004F3D0A"/>
    <w:rsid w:val="004F4494"/>
    <w:rsid w:val="004F44F4"/>
    <w:rsid w:val="004F4641"/>
    <w:rsid w:val="004F47AB"/>
    <w:rsid w:val="004F492E"/>
    <w:rsid w:val="004F4B7D"/>
    <w:rsid w:val="004F51E8"/>
    <w:rsid w:val="004F579C"/>
    <w:rsid w:val="004F5D22"/>
    <w:rsid w:val="004F5F63"/>
    <w:rsid w:val="004F5FC1"/>
    <w:rsid w:val="004F633B"/>
    <w:rsid w:val="004F652D"/>
    <w:rsid w:val="004F6692"/>
    <w:rsid w:val="004F6831"/>
    <w:rsid w:val="004F6D8E"/>
    <w:rsid w:val="004F6E29"/>
    <w:rsid w:val="004F764C"/>
    <w:rsid w:val="004F7907"/>
    <w:rsid w:val="00500832"/>
    <w:rsid w:val="00501221"/>
    <w:rsid w:val="00501C74"/>
    <w:rsid w:val="00501E1E"/>
    <w:rsid w:val="00501F4D"/>
    <w:rsid w:val="00502895"/>
    <w:rsid w:val="005028D9"/>
    <w:rsid w:val="00502B9E"/>
    <w:rsid w:val="00502F6F"/>
    <w:rsid w:val="005030A4"/>
    <w:rsid w:val="005030E9"/>
    <w:rsid w:val="00503D10"/>
    <w:rsid w:val="00503F96"/>
    <w:rsid w:val="00504605"/>
    <w:rsid w:val="00504645"/>
    <w:rsid w:val="0050478F"/>
    <w:rsid w:val="005047F5"/>
    <w:rsid w:val="00504948"/>
    <w:rsid w:val="00504A8E"/>
    <w:rsid w:val="00504D8F"/>
    <w:rsid w:val="005050BD"/>
    <w:rsid w:val="005050E9"/>
    <w:rsid w:val="00505370"/>
    <w:rsid w:val="00505541"/>
    <w:rsid w:val="00505742"/>
    <w:rsid w:val="00505B89"/>
    <w:rsid w:val="00505E89"/>
    <w:rsid w:val="00505F4C"/>
    <w:rsid w:val="00505FBD"/>
    <w:rsid w:val="00506107"/>
    <w:rsid w:val="00506807"/>
    <w:rsid w:val="005069C5"/>
    <w:rsid w:val="00506B7A"/>
    <w:rsid w:val="005071FA"/>
    <w:rsid w:val="00507584"/>
    <w:rsid w:val="00507995"/>
    <w:rsid w:val="00507A18"/>
    <w:rsid w:val="00510283"/>
    <w:rsid w:val="005104ED"/>
    <w:rsid w:val="005105C1"/>
    <w:rsid w:val="005108F4"/>
    <w:rsid w:val="00510A6B"/>
    <w:rsid w:val="005110D8"/>
    <w:rsid w:val="005112C3"/>
    <w:rsid w:val="005117CA"/>
    <w:rsid w:val="00511EA4"/>
    <w:rsid w:val="00511F81"/>
    <w:rsid w:val="005128D4"/>
    <w:rsid w:val="00512DAD"/>
    <w:rsid w:val="00512FA6"/>
    <w:rsid w:val="00513B67"/>
    <w:rsid w:val="00513CD1"/>
    <w:rsid w:val="00513DA2"/>
    <w:rsid w:val="00513E1B"/>
    <w:rsid w:val="005141E1"/>
    <w:rsid w:val="005149DC"/>
    <w:rsid w:val="00514A0C"/>
    <w:rsid w:val="00514C5C"/>
    <w:rsid w:val="00515853"/>
    <w:rsid w:val="00515E0A"/>
    <w:rsid w:val="00515F66"/>
    <w:rsid w:val="005161B8"/>
    <w:rsid w:val="0051625A"/>
    <w:rsid w:val="0051635F"/>
    <w:rsid w:val="0051648D"/>
    <w:rsid w:val="0051660F"/>
    <w:rsid w:val="005166FE"/>
    <w:rsid w:val="00516C97"/>
    <w:rsid w:val="00516CDE"/>
    <w:rsid w:val="00516E22"/>
    <w:rsid w:val="005171C0"/>
    <w:rsid w:val="0051731C"/>
    <w:rsid w:val="0051736A"/>
    <w:rsid w:val="00517780"/>
    <w:rsid w:val="005178BD"/>
    <w:rsid w:val="005179D5"/>
    <w:rsid w:val="00520068"/>
    <w:rsid w:val="00520710"/>
    <w:rsid w:val="00520753"/>
    <w:rsid w:val="00520A53"/>
    <w:rsid w:val="005210E6"/>
    <w:rsid w:val="005216A3"/>
    <w:rsid w:val="00521DBA"/>
    <w:rsid w:val="005222CA"/>
    <w:rsid w:val="00522658"/>
    <w:rsid w:val="00522685"/>
    <w:rsid w:val="00522966"/>
    <w:rsid w:val="005231C6"/>
    <w:rsid w:val="005233F0"/>
    <w:rsid w:val="005234A0"/>
    <w:rsid w:val="005236FB"/>
    <w:rsid w:val="0052497F"/>
    <w:rsid w:val="00525121"/>
    <w:rsid w:val="0052555B"/>
    <w:rsid w:val="005265E2"/>
    <w:rsid w:val="00526612"/>
    <w:rsid w:val="005268BC"/>
    <w:rsid w:val="00526CB8"/>
    <w:rsid w:val="00526DFF"/>
    <w:rsid w:val="00526EA2"/>
    <w:rsid w:val="00526FE5"/>
    <w:rsid w:val="00527015"/>
    <w:rsid w:val="00527202"/>
    <w:rsid w:val="0052769C"/>
    <w:rsid w:val="00527F7C"/>
    <w:rsid w:val="0053074A"/>
    <w:rsid w:val="00530815"/>
    <w:rsid w:val="00531013"/>
    <w:rsid w:val="005313D2"/>
    <w:rsid w:val="005314C5"/>
    <w:rsid w:val="005318AD"/>
    <w:rsid w:val="00531FB7"/>
    <w:rsid w:val="00532027"/>
    <w:rsid w:val="0053234F"/>
    <w:rsid w:val="005323D7"/>
    <w:rsid w:val="005328D6"/>
    <w:rsid w:val="005332F2"/>
    <w:rsid w:val="00533652"/>
    <w:rsid w:val="00533B89"/>
    <w:rsid w:val="00534111"/>
    <w:rsid w:val="0053466B"/>
    <w:rsid w:val="005348BE"/>
    <w:rsid w:val="0053493A"/>
    <w:rsid w:val="005349B0"/>
    <w:rsid w:val="0053514E"/>
    <w:rsid w:val="005355B2"/>
    <w:rsid w:val="0053560B"/>
    <w:rsid w:val="005358C5"/>
    <w:rsid w:val="005362D1"/>
    <w:rsid w:val="00537182"/>
    <w:rsid w:val="005371C3"/>
    <w:rsid w:val="005378AE"/>
    <w:rsid w:val="0053792E"/>
    <w:rsid w:val="00537C2F"/>
    <w:rsid w:val="00537D22"/>
    <w:rsid w:val="00540090"/>
    <w:rsid w:val="00540131"/>
    <w:rsid w:val="00540919"/>
    <w:rsid w:val="00540D87"/>
    <w:rsid w:val="00541595"/>
    <w:rsid w:val="0054164D"/>
    <w:rsid w:val="005417A3"/>
    <w:rsid w:val="005418B0"/>
    <w:rsid w:val="00541AE1"/>
    <w:rsid w:val="00541B38"/>
    <w:rsid w:val="00542822"/>
    <w:rsid w:val="0054285E"/>
    <w:rsid w:val="00542A51"/>
    <w:rsid w:val="00542B04"/>
    <w:rsid w:val="00542B77"/>
    <w:rsid w:val="00543032"/>
    <w:rsid w:val="005432A7"/>
    <w:rsid w:val="00543A5B"/>
    <w:rsid w:val="00543E9D"/>
    <w:rsid w:val="005443A5"/>
    <w:rsid w:val="0054447A"/>
    <w:rsid w:val="00544764"/>
    <w:rsid w:val="00544F1E"/>
    <w:rsid w:val="005451B9"/>
    <w:rsid w:val="00545411"/>
    <w:rsid w:val="005457FA"/>
    <w:rsid w:val="00545857"/>
    <w:rsid w:val="00545872"/>
    <w:rsid w:val="00545992"/>
    <w:rsid w:val="00546099"/>
    <w:rsid w:val="00546BD4"/>
    <w:rsid w:val="00546E4C"/>
    <w:rsid w:val="005470A1"/>
    <w:rsid w:val="005471F7"/>
    <w:rsid w:val="00547906"/>
    <w:rsid w:val="00547B69"/>
    <w:rsid w:val="00550272"/>
    <w:rsid w:val="00550383"/>
    <w:rsid w:val="005506F0"/>
    <w:rsid w:val="00550F3C"/>
    <w:rsid w:val="00551344"/>
    <w:rsid w:val="005514E6"/>
    <w:rsid w:val="00551CC3"/>
    <w:rsid w:val="00551E4B"/>
    <w:rsid w:val="005522EA"/>
    <w:rsid w:val="0055242D"/>
    <w:rsid w:val="00552C6C"/>
    <w:rsid w:val="0055327C"/>
    <w:rsid w:val="005534D3"/>
    <w:rsid w:val="00554129"/>
    <w:rsid w:val="005546C2"/>
    <w:rsid w:val="00554953"/>
    <w:rsid w:val="00554BC5"/>
    <w:rsid w:val="00555193"/>
    <w:rsid w:val="005551B3"/>
    <w:rsid w:val="00555A0E"/>
    <w:rsid w:val="00555BC1"/>
    <w:rsid w:val="00555C4C"/>
    <w:rsid w:val="005564A4"/>
    <w:rsid w:val="00556585"/>
    <w:rsid w:val="00556AF9"/>
    <w:rsid w:val="00556D17"/>
    <w:rsid w:val="00556D28"/>
    <w:rsid w:val="00557589"/>
    <w:rsid w:val="005575CF"/>
    <w:rsid w:val="005576D3"/>
    <w:rsid w:val="005577CA"/>
    <w:rsid w:val="00557B47"/>
    <w:rsid w:val="005600F8"/>
    <w:rsid w:val="0056014C"/>
    <w:rsid w:val="00560199"/>
    <w:rsid w:val="00560202"/>
    <w:rsid w:val="00560281"/>
    <w:rsid w:val="005602AA"/>
    <w:rsid w:val="005603A5"/>
    <w:rsid w:val="00560425"/>
    <w:rsid w:val="0056104A"/>
    <w:rsid w:val="005611F6"/>
    <w:rsid w:val="005615BD"/>
    <w:rsid w:val="00561985"/>
    <w:rsid w:val="00561D76"/>
    <w:rsid w:val="0056238D"/>
    <w:rsid w:val="00562554"/>
    <w:rsid w:val="00562B9B"/>
    <w:rsid w:val="005631C0"/>
    <w:rsid w:val="00563343"/>
    <w:rsid w:val="00563C4C"/>
    <w:rsid w:val="005642F8"/>
    <w:rsid w:val="00564821"/>
    <w:rsid w:val="00564896"/>
    <w:rsid w:val="00564AFD"/>
    <w:rsid w:val="00565248"/>
    <w:rsid w:val="00565806"/>
    <w:rsid w:val="00565A00"/>
    <w:rsid w:val="00565BA9"/>
    <w:rsid w:val="00565C65"/>
    <w:rsid w:val="00565EEB"/>
    <w:rsid w:val="005668F6"/>
    <w:rsid w:val="00566944"/>
    <w:rsid w:val="005670A5"/>
    <w:rsid w:val="005678E9"/>
    <w:rsid w:val="00567BBE"/>
    <w:rsid w:val="00567C08"/>
    <w:rsid w:val="00567C13"/>
    <w:rsid w:val="00567D52"/>
    <w:rsid w:val="00567F17"/>
    <w:rsid w:val="0057001D"/>
    <w:rsid w:val="0057043B"/>
    <w:rsid w:val="00570722"/>
    <w:rsid w:val="00570947"/>
    <w:rsid w:val="00571196"/>
    <w:rsid w:val="00571494"/>
    <w:rsid w:val="0057169A"/>
    <w:rsid w:val="00571944"/>
    <w:rsid w:val="00571986"/>
    <w:rsid w:val="005724E8"/>
    <w:rsid w:val="0057285B"/>
    <w:rsid w:val="00572C76"/>
    <w:rsid w:val="0057321D"/>
    <w:rsid w:val="00573665"/>
    <w:rsid w:val="00573721"/>
    <w:rsid w:val="00573DC8"/>
    <w:rsid w:val="005741F4"/>
    <w:rsid w:val="00574985"/>
    <w:rsid w:val="00574EFA"/>
    <w:rsid w:val="00575925"/>
    <w:rsid w:val="005759F6"/>
    <w:rsid w:val="00575AE8"/>
    <w:rsid w:val="00575DE8"/>
    <w:rsid w:val="00576D03"/>
    <w:rsid w:val="00576F8C"/>
    <w:rsid w:val="00577102"/>
    <w:rsid w:val="00577994"/>
    <w:rsid w:val="005779DD"/>
    <w:rsid w:val="00577B53"/>
    <w:rsid w:val="0058018F"/>
    <w:rsid w:val="00580534"/>
    <w:rsid w:val="0058068E"/>
    <w:rsid w:val="0058186C"/>
    <w:rsid w:val="005818FD"/>
    <w:rsid w:val="00581B5D"/>
    <w:rsid w:val="00581C79"/>
    <w:rsid w:val="005820E5"/>
    <w:rsid w:val="005821DE"/>
    <w:rsid w:val="0058232D"/>
    <w:rsid w:val="00582F4E"/>
    <w:rsid w:val="00583630"/>
    <w:rsid w:val="00583A0F"/>
    <w:rsid w:val="00583A49"/>
    <w:rsid w:val="00583CCB"/>
    <w:rsid w:val="005840C5"/>
    <w:rsid w:val="005841E5"/>
    <w:rsid w:val="005841F2"/>
    <w:rsid w:val="00584775"/>
    <w:rsid w:val="00585313"/>
    <w:rsid w:val="00585471"/>
    <w:rsid w:val="00585618"/>
    <w:rsid w:val="00585ED6"/>
    <w:rsid w:val="00585F5A"/>
    <w:rsid w:val="005860CD"/>
    <w:rsid w:val="00586105"/>
    <w:rsid w:val="00586295"/>
    <w:rsid w:val="00586826"/>
    <w:rsid w:val="005868B0"/>
    <w:rsid w:val="0058699C"/>
    <w:rsid w:val="005875D2"/>
    <w:rsid w:val="00590010"/>
    <w:rsid w:val="00590093"/>
    <w:rsid w:val="0059011C"/>
    <w:rsid w:val="00590A09"/>
    <w:rsid w:val="00590E48"/>
    <w:rsid w:val="00590E61"/>
    <w:rsid w:val="00591110"/>
    <w:rsid w:val="00591502"/>
    <w:rsid w:val="005922B5"/>
    <w:rsid w:val="005925EB"/>
    <w:rsid w:val="00592E22"/>
    <w:rsid w:val="00593267"/>
    <w:rsid w:val="00593B93"/>
    <w:rsid w:val="00593E32"/>
    <w:rsid w:val="00593F15"/>
    <w:rsid w:val="00594408"/>
    <w:rsid w:val="005946FD"/>
    <w:rsid w:val="00594800"/>
    <w:rsid w:val="00594AD6"/>
    <w:rsid w:val="00594F94"/>
    <w:rsid w:val="005953CA"/>
    <w:rsid w:val="005953F8"/>
    <w:rsid w:val="0059572F"/>
    <w:rsid w:val="00595969"/>
    <w:rsid w:val="00595B05"/>
    <w:rsid w:val="00595F7D"/>
    <w:rsid w:val="00596283"/>
    <w:rsid w:val="0059636A"/>
    <w:rsid w:val="005963E2"/>
    <w:rsid w:val="005966A5"/>
    <w:rsid w:val="00596B20"/>
    <w:rsid w:val="00596F4F"/>
    <w:rsid w:val="00597731"/>
    <w:rsid w:val="00597E26"/>
    <w:rsid w:val="00597F3C"/>
    <w:rsid w:val="00597FB1"/>
    <w:rsid w:val="005A09EC"/>
    <w:rsid w:val="005A0E49"/>
    <w:rsid w:val="005A136E"/>
    <w:rsid w:val="005A13C8"/>
    <w:rsid w:val="005A1B5F"/>
    <w:rsid w:val="005A1CC8"/>
    <w:rsid w:val="005A212F"/>
    <w:rsid w:val="005A2267"/>
    <w:rsid w:val="005A279A"/>
    <w:rsid w:val="005A2D3C"/>
    <w:rsid w:val="005A2D9A"/>
    <w:rsid w:val="005A2DF5"/>
    <w:rsid w:val="005A3136"/>
    <w:rsid w:val="005A3B62"/>
    <w:rsid w:val="005A3ED8"/>
    <w:rsid w:val="005A409F"/>
    <w:rsid w:val="005A4231"/>
    <w:rsid w:val="005A4869"/>
    <w:rsid w:val="005A49F3"/>
    <w:rsid w:val="005A4B8E"/>
    <w:rsid w:val="005A4E59"/>
    <w:rsid w:val="005A5B4F"/>
    <w:rsid w:val="005A5C0A"/>
    <w:rsid w:val="005A5C19"/>
    <w:rsid w:val="005A6119"/>
    <w:rsid w:val="005A617E"/>
    <w:rsid w:val="005A6240"/>
    <w:rsid w:val="005A6622"/>
    <w:rsid w:val="005A6706"/>
    <w:rsid w:val="005A6CBE"/>
    <w:rsid w:val="005A6DEC"/>
    <w:rsid w:val="005A74CC"/>
    <w:rsid w:val="005A7637"/>
    <w:rsid w:val="005A7C58"/>
    <w:rsid w:val="005A7DF9"/>
    <w:rsid w:val="005A7EA3"/>
    <w:rsid w:val="005B0511"/>
    <w:rsid w:val="005B073B"/>
    <w:rsid w:val="005B0DF1"/>
    <w:rsid w:val="005B0EBB"/>
    <w:rsid w:val="005B0F1C"/>
    <w:rsid w:val="005B0F77"/>
    <w:rsid w:val="005B1148"/>
    <w:rsid w:val="005B1348"/>
    <w:rsid w:val="005B163B"/>
    <w:rsid w:val="005B1825"/>
    <w:rsid w:val="005B182E"/>
    <w:rsid w:val="005B19A0"/>
    <w:rsid w:val="005B1A2D"/>
    <w:rsid w:val="005B1B6F"/>
    <w:rsid w:val="005B1D50"/>
    <w:rsid w:val="005B1E4C"/>
    <w:rsid w:val="005B25FD"/>
    <w:rsid w:val="005B2AA6"/>
    <w:rsid w:val="005B2E1A"/>
    <w:rsid w:val="005B2E25"/>
    <w:rsid w:val="005B36D1"/>
    <w:rsid w:val="005B376C"/>
    <w:rsid w:val="005B392D"/>
    <w:rsid w:val="005B3BF0"/>
    <w:rsid w:val="005B3EB2"/>
    <w:rsid w:val="005B40B0"/>
    <w:rsid w:val="005B43B2"/>
    <w:rsid w:val="005B4C6B"/>
    <w:rsid w:val="005B5B0E"/>
    <w:rsid w:val="005B69B7"/>
    <w:rsid w:val="005B6D65"/>
    <w:rsid w:val="005B70A3"/>
    <w:rsid w:val="005B7124"/>
    <w:rsid w:val="005B7374"/>
    <w:rsid w:val="005B739E"/>
    <w:rsid w:val="005B73DC"/>
    <w:rsid w:val="005B7716"/>
    <w:rsid w:val="005B7719"/>
    <w:rsid w:val="005B77E7"/>
    <w:rsid w:val="005C0039"/>
    <w:rsid w:val="005C03F3"/>
    <w:rsid w:val="005C09ED"/>
    <w:rsid w:val="005C0A17"/>
    <w:rsid w:val="005C0F99"/>
    <w:rsid w:val="005C17C1"/>
    <w:rsid w:val="005C1CDA"/>
    <w:rsid w:val="005C1DEC"/>
    <w:rsid w:val="005C2183"/>
    <w:rsid w:val="005C32D9"/>
    <w:rsid w:val="005C339A"/>
    <w:rsid w:val="005C3520"/>
    <w:rsid w:val="005C35DB"/>
    <w:rsid w:val="005C3B17"/>
    <w:rsid w:val="005C3D4F"/>
    <w:rsid w:val="005C4A09"/>
    <w:rsid w:val="005C4BB8"/>
    <w:rsid w:val="005C4DD5"/>
    <w:rsid w:val="005C5116"/>
    <w:rsid w:val="005C5243"/>
    <w:rsid w:val="005C551E"/>
    <w:rsid w:val="005C55A7"/>
    <w:rsid w:val="005C57D4"/>
    <w:rsid w:val="005C591A"/>
    <w:rsid w:val="005C5DFC"/>
    <w:rsid w:val="005C63CF"/>
    <w:rsid w:val="005C69DD"/>
    <w:rsid w:val="005C6A35"/>
    <w:rsid w:val="005C6A46"/>
    <w:rsid w:val="005C7013"/>
    <w:rsid w:val="005C75DA"/>
    <w:rsid w:val="005C762E"/>
    <w:rsid w:val="005C7D49"/>
    <w:rsid w:val="005D01D1"/>
    <w:rsid w:val="005D0B0F"/>
    <w:rsid w:val="005D1052"/>
    <w:rsid w:val="005D15D4"/>
    <w:rsid w:val="005D1BD5"/>
    <w:rsid w:val="005D235E"/>
    <w:rsid w:val="005D240D"/>
    <w:rsid w:val="005D2665"/>
    <w:rsid w:val="005D2C0E"/>
    <w:rsid w:val="005D2E67"/>
    <w:rsid w:val="005D30A3"/>
    <w:rsid w:val="005D30BD"/>
    <w:rsid w:val="005D386F"/>
    <w:rsid w:val="005D3F8A"/>
    <w:rsid w:val="005D4017"/>
    <w:rsid w:val="005D40BC"/>
    <w:rsid w:val="005D416D"/>
    <w:rsid w:val="005D42F3"/>
    <w:rsid w:val="005D4B24"/>
    <w:rsid w:val="005D4C2E"/>
    <w:rsid w:val="005D4F6F"/>
    <w:rsid w:val="005D59C5"/>
    <w:rsid w:val="005D5F9D"/>
    <w:rsid w:val="005D60D8"/>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A07"/>
    <w:rsid w:val="005E1EF8"/>
    <w:rsid w:val="005E2281"/>
    <w:rsid w:val="005E257A"/>
    <w:rsid w:val="005E2622"/>
    <w:rsid w:val="005E2D32"/>
    <w:rsid w:val="005E2EB5"/>
    <w:rsid w:val="005E3004"/>
    <w:rsid w:val="005E3203"/>
    <w:rsid w:val="005E355E"/>
    <w:rsid w:val="005E38BE"/>
    <w:rsid w:val="005E3A2B"/>
    <w:rsid w:val="005E3A40"/>
    <w:rsid w:val="005E3B90"/>
    <w:rsid w:val="005E3E98"/>
    <w:rsid w:val="005E42EA"/>
    <w:rsid w:val="005E45B5"/>
    <w:rsid w:val="005E4692"/>
    <w:rsid w:val="005E4860"/>
    <w:rsid w:val="005E4878"/>
    <w:rsid w:val="005E4A99"/>
    <w:rsid w:val="005E4BE1"/>
    <w:rsid w:val="005E52CD"/>
    <w:rsid w:val="005E5474"/>
    <w:rsid w:val="005E614C"/>
    <w:rsid w:val="005E61C8"/>
    <w:rsid w:val="005E627C"/>
    <w:rsid w:val="005E6394"/>
    <w:rsid w:val="005E6C94"/>
    <w:rsid w:val="005E6CC9"/>
    <w:rsid w:val="005E70DB"/>
    <w:rsid w:val="005E725C"/>
    <w:rsid w:val="005E7464"/>
    <w:rsid w:val="005E76CE"/>
    <w:rsid w:val="005E79B2"/>
    <w:rsid w:val="005E7D8C"/>
    <w:rsid w:val="005E7DE2"/>
    <w:rsid w:val="005E7E05"/>
    <w:rsid w:val="005F0037"/>
    <w:rsid w:val="005F05CD"/>
    <w:rsid w:val="005F05DC"/>
    <w:rsid w:val="005F05FC"/>
    <w:rsid w:val="005F0C5C"/>
    <w:rsid w:val="005F0C5F"/>
    <w:rsid w:val="005F101E"/>
    <w:rsid w:val="005F1208"/>
    <w:rsid w:val="005F1477"/>
    <w:rsid w:val="005F1525"/>
    <w:rsid w:val="005F15DD"/>
    <w:rsid w:val="005F1A6B"/>
    <w:rsid w:val="005F1ED8"/>
    <w:rsid w:val="005F20F5"/>
    <w:rsid w:val="005F2142"/>
    <w:rsid w:val="005F245E"/>
    <w:rsid w:val="005F2500"/>
    <w:rsid w:val="005F25AC"/>
    <w:rsid w:val="005F2D14"/>
    <w:rsid w:val="005F2FF9"/>
    <w:rsid w:val="005F374A"/>
    <w:rsid w:val="005F3A2D"/>
    <w:rsid w:val="005F3BEE"/>
    <w:rsid w:val="005F415E"/>
    <w:rsid w:val="005F41EE"/>
    <w:rsid w:val="005F4471"/>
    <w:rsid w:val="005F461D"/>
    <w:rsid w:val="005F4AC6"/>
    <w:rsid w:val="005F4D25"/>
    <w:rsid w:val="005F4FF3"/>
    <w:rsid w:val="005F511E"/>
    <w:rsid w:val="005F53F5"/>
    <w:rsid w:val="005F5615"/>
    <w:rsid w:val="005F59BE"/>
    <w:rsid w:val="005F5F3A"/>
    <w:rsid w:val="005F6117"/>
    <w:rsid w:val="005F6B2B"/>
    <w:rsid w:val="005F6BCF"/>
    <w:rsid w:val="005F7055"/>
    <w:rsid w:val="005F72A5"/>
    <w:rsid w:val="005F74F1"/>
    <w:rsid w:val="005F76F7"/>
    <w:rsid w:val="005F781A"/>
    <w:rsid w:val="005F7BEA"/>
    <w:rsid w:val="005F7BF7"/>
    <w:rsid w:val="005F7F03"/>
    <w:rsid w:val="006007E9"/>
    <w:rsid w:val="00600D61"/>
    <w:rsid w:val="00600DCF"/>
    <w:rsid w:val="00600EA8"/>
    <w:rsid w:val="0060107B"/>
    <w:rsid w:val="0060137E"/>
    <w:rsid w:val="00601AAC"/>
    <w:rsid w:val="00601B54"/>
    <w:rsid w:val="00602264"/>
    <w:rsid w:val="00602273"/>
    <w:rsid w:val="0060280B"/>
    <w:rsid w:val="006029A1"/>
    <w:rsid w:val="00602A08"/>
    <w:rsid w:val="00602B79"/>
    <w:rsid w:val="006035A8"/>
    <w:rsid w:val="0060369C"/>
    <w:rsid w:val="006038B5"/>
    <w:rsid w:val="0060415B"/>
    <w:rsid w:val="00604683"/>
    <w:rsid w:val="0060490D"/>
    <w:rsid w:val="00604D73"/>
    <w:rsid w:val="00604F9D"/>
    <w:rsid w:val="006052C4"/>
    <w:rsid w:val="006059B7"/>
    <w:rsid w:val="00605ACD"/>
    <w:rsid w:val="00605C4F"/>
    <w:rsid w:val="00605F05"/>
    <w:rsid w:val="00605F49"/>
    <w:rsid w:val="00606271"/>
    <w:rsid w:val="006063AF"/>
    <w:rsid w:val="006065CC"/>
    <w:rsid w:val="00606869"/>
    <w:rsid w:val="00606A59"/>
    <w:rsid w:val="00606E95"/>
    <w:rsid w:val="00606F60"/>
    <w:rsid w:val="006074F4"/>
    <w:rsid w:val="00607671"/>
    <w:rsid w:val="006102B2"/>
    <w:rsid w:val="00610508"/>
    <w:rsid w:val="00610542"/>
    <w:rsid w:val="00610783"/>
    <w:rsid w:val="00610BEE"/>
    <w:rsid w:val="006116A3"/>
    <w:rsid w:val="00611A16"/>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693"/>
    <w:rsid w:val="00615704"/>
    <w:rsid w:val="00615F92"/>
    <w:rsid w:val="0061612B"/>
    <w:rsid w:val="00616534"/>
    <w:rsid w:val="00616EC5"/>
    <w:rsid w:val="00616F23"/>
    <w:rsid w:val="006171C8"/>
    <w:rsid w:val="006172D6"/>
    <w:rsid w:val="0061733D"/>
    <w:rsid w:val="00617582"/>
    <w:rsid w:val="0061779B"/>
    <w:rsid w:val="006179BA"/>
    <w:rsid w:val="00620065"/>
    <w:rsid w:val="0062049B"/>
    <w:rsid w:val="00620F66"/>
    <w:rsid w:val="00621465"/>
    <w:rsid w:val="00621583"/>
    <w:rsid w:val="00621844"/>
    <w:rsid w:val="006218DE"/>
    <w:rsid w:val="00621A59"/>
    <w:rsid w:val="00621C6D"/>
    <w:rsid w:val="00622376"/>
    <w:rsid w:val="00622B5A"/>
    <w:rsid w:val="00622C09"/>
    <w:rsid w:val="00622CF2"/>
    <w:rsid w:val="00622E90"/>
    <w:rsid w:val="00623078"/>
    <w:rsid w:val="006231C5"/>
    <w:rsid w:val="00623873"/>
    <w:rsid w:val="00623A00"/>
    <w:rsid w:val="00624855"/>
    <w:rsid w:val="00624B3C"/>
    <w:rsid w:val="00624F21"/>
    <w:rsid w:val="006250B4"/>
    <w:rsid w:val="0062512A"/>
    <w:rsid w:val="00625255"/>
    <w:rsid w:val="00625809"/>
    <w:rsid w:val="00625DCD"/>
    <w:rsid w:val="00626C63"/>
    <w:rsid w:val="0062750D"/>
    <w:rsid w:val="006276D2"/>
    <w:rsid w:val="00627ABA"/>
    <w:rsid w:val="00630110"/>
    <w:rsid w:val="0063049B"/>
    <w:rsid w:val="00630577"/>
    <w:rsid w:val="00630981"/>
    <w:rsid w:val="0063184E"/>
    <w:rsid w:val="00631AF1"/>
    <w:rsid w:val="00632389"/>
    <w:rsid w:val="006325AD"/>
    <w:rsid w:val="006327C5"/>
    <w:rsid w:val="00632D51"/>
    <w:rsid w:val="00632DD9"/>
    <w:rsid w:val="0063378F"/>
    <w:rsid w:val="00633857"/>
    <w:rsid w:val="00633997"/>
    <w:rsid w:val="006339B5"/>
    <w:rsid w:val="00633A5F"/>
    <w:rsid w:val="00633F9D"/>
    <w:rsid w:val="006340D5"/>
    <w:rsid w:val="00634695"/>
    <w:rsid w:val="00634CDD"/>
    <w:rsid w:val="00635469"/>
    <w:rsid w:val="00635A6C"/>
    <w:rsid w:val="00635D62"/>
    <w:rsid w:val="00635D9B"/>
    <w:rsid w:val="00636897"/>
    <w:rsid w:val="006368D7"/>
    <w:rsid w:val="00636A17"/>
    <w:rsid w:val="00636A3D"/>
    <w:rsid w:val="00636A7B"/>
    <w:rsid w:val="006372BC"/>
    <w:rsid w:val="006375B8"/>
    <w:rsid w:val="0063781E"/>
    <w:rsid w:val="0063786D"/>
    <w:rsid w:val="00637E3D"/>
    <w:rsid w:val="00637FC7"/>
    <w:rsid w:val="006406F6"/>
    <w:rsid w:val="00640CA1"/>
    <w:rsid w:val="0064141B"/>
    <w:rsid w:val="006421B5"/>
    <w:rsid w:val="00642539"/>
    <w:rsid w:val="0064254F"/>
    <w:rsid w:val="006425DF"/>
    <w:rsid w:val="00642777"/>
    <w:rsid w:val="006428D6"/>
    <w:rsid w:val="00642993"/>
    <w:rsid w:val="00643493"/>
    <w:rsid w:val="00643E17"/>
    <w:rsid w:val="0064452D"/>
    <w:rsid w:val="006445E9"/>
    <w:rsid w:val="0064466F"/>
    <w:rsid w:val="00644B6C"/>
    <w:rsid w:val="00645174"/>
    <w:rsid w:val="006453E7"/>
    <w:rsid w:val="0064553B"/>
    <w:rsid w:val="0064596C"/>
    <w:rsid w:val="006459D0"/>
    <w:rsid w:val="00645D76"/>
    <w:rsid w:val="00646520"/>
    <w:rsid w:val="006465F7"/>
    <w:rsid w:val="0064725A"/>
    <w:rsid w:val="00647E0E"/>
    <w:rsid w:val="0065187F"/>
    <w:rsid w:val="00651893"/>
    <w:rsid w:val="006519B9"/>
    <w:rsid w:val="00651B00"/>
    <w:rsid w:val="00652089"/>
    <w:rsid w:val="006520B8"/>
    <w:rsid w:val="006520E3"/>
    <w:rsid w:val="00652A81"/>
    <w:rsid w:val="00652B21"/>
    <w:rsid w:val="00653336"/>
    <w:rsid w:val="006533C6"/>
    <w:rsid w:val="0065359E"/>
    <w:rsid w:val="006539B7"/>
    <w:rsid w:val="006540A2"/>
    <w:rsid w:val="00654678"/>
    <w:rsid w:val="0065470C"/>
    <w:rsid w:val="00654893"/>
    <w:rsid w:val="00654BBD"/>
    <w:rsid w:val="00654EFB"/>
    <w:rsid w:val="00655245"/>
    <w:rsid w:val="0065529E"/>
    <w:rsid w:val="006557C4"/>
    <w:rsid w:val="006558A6"/>
    <w:rsid w:val="0065594C"/>
    <w:rsid w:val="00655DE5"/>
    <w:rsid w:val="00655F3A"/>
    <w:rsid w:val="0065630D"/>
    <w:rsid w:val="00656511"/>
    <w:rsid w:val="0065687D"/>
    <w:rsid w:val="0065699E"/>
    <w:rsid w:val="00656A01"/>
    <w:rsid w:val="00656AEE"/>
    <w:rsid w:val="00656DB6"/>
    <w:rsid w:val="00657185"/>
    <w:rsid w:val="0065742F"/>
    <w:rsid w:val="00657BD6"/>
    <w:rsid w:val="00657C20"/>
    <w:rsid w:val="00657D1E"/>
    <w:rsid w:val="00657DB6"/>
    <w:rsid w:val="00660334"/>
    <w:rsid w:val="00660416"/>
    <w:rsid w:val="00660F37"/>
    <w:rsid w:val="0066133B"/>
    <w:rsid w:val="00661C38"/>
    <w:rsid w:val="006621BD"/>
    <w:rsid w:val="00662C1D"/>
    <w:rsid w:val="00662DEC"/>
    <w:rsid w:val="00662E5D"/>
    <w:rsid w:val="00662F52"/>
    <w:rsid w:val="006638D9"/>
    <w:rsid w:val="00664313"/>
    <w:rsid w:val="0066439C"/>
    <w:rsid w:val="006643EF"/>
    <w:rsid w:val="00664676"/>
    <w:rsid w:val="006647D9"/>
    <w:rsid w:val="0066481F"/>
    <w:rsid w:val="00664C11"/>
    <w:rsid w:val="006652A2"/>
    <w:rsid w:val="00665E75"/>
    <w:rsid w:val="00666155"/>
    <w:rsid w:val="00666504"/>
    <w:rsid w:val="00666697"/>
    <w:rsid w:val="006667C4"/>
    <w:rsid w:val="00666856"/>
    <w:rsid w:val="0066689A"/>
    <w:rsid w:val="00667007"/>
    <w:rsid w:val="006673A6"/>
    <w:rsid w:val="00667405"/>
    <w:rsid w:val="006674AA"/>
    <w:rsid w:val="00667B06"/>
    <w:rsid w:val="00667F5E"/>
    <w:rsid w:val="00670985"/>
    <w:rsid w:val="006714AE"/>
    <w:rsid w:val="0067163B"/>
    <w:rsid w:val="00671EA4"/>
    <w:rsid w:val="006720A6"/>
    <w:rsid w:val="00672166"/>
    <w:rsid w:val="00672C08"/>
    <w:rsid w:val="00672E70"/>
    <w:rsid w:val="00672EE0"/>
    <w:rsid w:val="0067375F"/>
    <w:rsid w:val="00673763"/>
    <w:rsid w:val="006737BC"/>
    <w:rsid w:val="00673F3C"/>
    <w:rsid w:val="00674155"/>
    <w:rsid w:val="00674393"/>
    <w:rsid w:val="00674A04"/>
    <w:rsid w:val="00674A1A"/>
    <w:rsid w:val="00674E60"/>
    <w:rsid w:val="0067542B"/>
    <w:rsid w:val="006754AB"/>
    <w:rsid w:val="006755DF"/>
    <w:rsid w:val="0067561C"/>
    <w:rsid w:val="006758C2"/>
    <w:rsid w:val="006758FA"/>
    <w:rsid w:val="00675910"/>
    <w:rsid w:val="006760A1"/>
    <w:rsid w:val="006760F9"/>
    <w:rsid w:val="006766D2"/>
    <w:rsid w:val="00676C18"/>
    <w:rsid w:val="00676C19"/>
    <w:rsid w:val="00676C3B"/>
    <w:rsid w:val="0067719D"/>
    <w:rsid w:val="00677F36"/>
    <w:rsid w:val="006800FE"/>
    <w:rsid w:val="00680379"/>
    <w:rsid w:val="0068052A"/>
    <w:rsid w:val="00680B88"/>
    <w:rsid w:val="00680BB5"/>
    <w:rsid w:val="00680C87"/>
    <w:rsid w:val="00680DBA"/>
    <w:rsid w:val="00680EE9"/>
    <w:rsid w:val="00681166"/>
    <w:rsid w:val="00681203"/>
    <w:rsid w:val="00681984"/>
    <w:rsid w:val="00681BAC"/>
    <w:rsid w:val="00682ACE"/>
    <w:rsid w:val="00682F96"/>
    <w:rsid w:val="006833C5"/>
    <w:rsid w:val="00683480"/>
    <w:rsid w:val="006836ED"/>
    <w:rsid w:val="00683707"/>
    <w:rsid w:val="00683C05"/>
    <w:rsid w:val="0068415B"/>
    <w:rsid w:val="006849D3"/>
    <w:rsid w:val="00684BC6"/>
    <w:rsid w:val="0068566F"/>
    <w:rsid w:val="006859D7"/>
    <w:rsid w:val="00686D5C"/>
    <w:rsid w:val="0068716A"/>
    <w:rsid w:val="006872A9"/>
    <w:rsid w:val="006872EB"/>
    <w:rsid w:val="00687697"/>
    <w:rsid w:val="00687703"/>
    <w:rsid w:val="0068F780"/>
    <w:rsid w:val="0069017B"/>
    <w:rsid w:val="006904B5"/>
    <w:rsid w:val="00690FC8"/>
    <w:rsid w:val="006910D3"/>
    <w:rsid w:val="006911F0"/>
    <w:rsid w:val="006916EA"/>
    <w:rsid w:val="0069196B"/>
    <w:rsid w:val="00692309"/>
    <w:rsid w:val="006929CE"/>
    <w:rsid w:val="006942FF"/>
    <w:rsid w:val="00694345"/>
    <w:rsid w:val="00694926"/>
    <w:rsid w:val="00694DDB"/>
    <w:rsid w:val="00695269"/>
    <w:rsid w:val="00695440"/>
    <w:rsid w:val="006955C8"/>
    <w:rsid w:val="00695D18"/>
    <w:rsid w:val="006965AE"/>
    <w:rsid w:val="00696BD0"/>
    <w:rsid w:val="00696D1D"/>
    <w:rsid w:val="006972D5"/>
    <w:rsid w:val="00697302"/>
    <w:rsid w:val="006973E2"/>
    <w:rsid w:val="006974BC"/>
    <w:rsid w:val="0069766C"/>
    <w:rsid w:val="0069792C"/>
    <w:rsid w:val="006A0142"/>
    <w:rsid w:val="006A05DF"/>
    <w:rsid w:val="006A08CC"/>
    <w:rsid w:val="006A0B0B"/>
    <w:rsid w:val="006A0D23"/>
    <w:rsid w:val="006A0F59"/>
    <w:rsid w:val="006A1529"/>
    <w:rsid w:val="006A184A"/>
    <w:rsid w:val="006A18E7"/>
    <w:rsid w:val="006A1FC8"/>
    <w:rsid w:val="006A2023"/>
    <w:rsid w:val="006A2483"/>
    <w:rsid w:val="006A25CB"/>
    <w:rsid w:val="006A2A47"/>
    <w:rsid w:val="006A2AEC"/>
    <w:rsid w:val="006A2B28"/>
    <w:rsid w:val="006A2D8D"/>
    <w:rsid w:val="006A39FB"/>
    <w:rsid w:val="006A3B82"/>
    <w:rsid w:val="006A3C4D"/>
    <w:rsid w:val="006A4410"/>
    <w:rsid w:val="006A4A8F"/>
    <w:rsid w:val="006A4C6D"/>
    <w:rsid w:val="006A4DF0"/>
    <w:rsid w:val="006A5502"/>
    <w:rsid w:val="006A56E8"/>
    <w:rsid w:val="006A5D71"/>
    <w:rsid w:val="006A606A"/>
    <w:rsid w:val="006A60E0"/>
    <w:rsid w:val="006A6492"/>
    <w:rsid w:val="006A67F5"/>
    <w:rsid w:val="006A68EA"/>
    <w:rsid w:val="006A6961"/>
    <w:rsid w:val="006A6B72"/>
    <w:rsid w:val="006A703A"/>
    <w:rsid w:val="006A70B9"/>
    <w:rsid w:val="006A7128"/>
    <w:rsid w:val="006A712F"/>
    <w:rsid w:val="006B007A"/>
    <w:rsid w:val="006B018E"/>
    <w:rsid w:val="006B01DF"/>
    <w:rsid w:val="006B04DB"/>
    <w:rsid w:val="006B159E"/>
    <w:rsid w:val="006B16A7"/>
    <w:rsid w:val="006B1E02"/>
    <w:rsid w:val="006B21A0"/>
    <w:rsid w:val="006B2296"/>
    <w:rsid w:val="006B285A"/>
    <w:rsid w:val="006B2932"/>
    <w:rsid w:val="006B29B6"/>
    <w:rsid w:val="006B2A5B"/>
    <w:rsid w:val="006B38D6"/>
    <w:rsid w:val="006B439D"/>
    <w:rsid w:val="006B4FC2"/>
    <w:rsid w:val="006B50FD"/>
    <w:rsid w:val="006B520A"/>
    <w:rsid w:val="006B5376"/>
    <w:rsid w:val="006B5461"/>
    <w:rsid w:val="006B54A4"/>
    <w:rsid w:val="006B553E"/>
    <w:rsid w:val="006B556A"/>
    <w:rsid w:val="006B5F9A"/>
    <w:rsid w:val="006B6772"/>
    <w:rsid w:val="006B67F9"/>
    <w:rsid w:val="006B690B"/>
    <w:rsid w:val="006B6C68"/>
    <w:rsid w:val="006B7286"/>
    <w:rsid w:val="006B7447"/>
    <w:rsid w:val="006B7453"/>
    <w:rsid w:val="006B74F2"/>
    <w:rsid w:val="006B7941"/>
    <w:rsid w:val="006C0579"/>
    <w:rsid w:val="006C06D5"/>
    <w:rsid w:val="006C0909"/>
    <w:rsid w:val="006C090A"/>
    <w:rsid w:val="006C0DF1"/>
    <w:rsid w:val="006C14F1"/>
    <w:rsid w:val="006C167F"/>
    <w:rsid w:val="006C1E0B"/>
    <w:rsid w:val="006C2207"/>
    <w:rsid w:val="006C22A4"/>
    <w:rsid w:val="006C315B"/>
    <w:rsid w:val="006C31CD"/>
    <w:rsid w:val="006C31FD"/>
    <w:rsid w:val="006C329F"/>
    <w:rsid w:val="006C36F7"/>
    <w:rsid w:val="006C3E78"/>
    <w:rsid w:val="006C410E"/>
    <w:rsid w:val="006C45E7"/>
    <w:rsid w:val="006C4EDF"/>
    <w:rsid w:val="006C5126"/>
    <w:rsid w:val="006C5251"/>
    <w:rsid w:val="006C547D"/>
    <w:rsid w:val="006C5891"/>
    <w:rsid w:val="006C6004"/>
    <w:rsid w:val="006C6191"/>
    <w:rsid w:val="006C630A"/>
    <w:rsid w:val="006C6533"/>
    <w:rsid w:val="006C6792"/>
    <w:rsid w:val="006C6858"/>
    <w:rsid w:val="006C69F9"/>
    <w:rsid w:val="006C7203"/>
    <w:rsid w:val="006C72A7"/>
    <w:rsid w:val="006C7517"/>
    <w:rsid w:val="006C7B41"/>
    <w:rsid w:val="006C7E21"/>
    <w:rsid w:val="006D08A4"/>
    <w:rsid w:val="006D0FE4"/>
    <w:rsid w:val="006D160E"/>
    <w:rsid w:val="006D1A00"/>
    <w:rsid w:val="006D1F3B"/>
    <w:rsid w:val="006D1F99"/>
    <w:rsid w:val="006D2C19"/>
    <w:rsid w:val="006D2DD1"/>
    <w:rsid w:val="006D3787"/>
    <w:rsid w:val="006D37CA"/>
    <w:rsid w:val="006D39B8"/>
    <w:rsid w:val="006D3FFA"/>
    <w:rsid w:val="006D551D"/>
    <w:rsid w:val="006D5AF5"/>
    <w:rsid w:val="006D5C2F"/>
    <w:rsid w:val="006D5C5E"/>
    <w:rsid w:val="006D5DBE"/>
    <w:rsid w:val="006D5DD2"/>
    <w:rsid w:val="006D5EB4"/>
    <w:rsid w:val="006D6345"/>
    <w:rsid w:val="006D63BA"/>
    <w:rsid w:val="006D6A7B"/>
    <w:rsid w:val="006D6B03"/>
    <w:rsid w:val="006D6BE5"/>
    <w:rsid w:val="006D704D"/>
    <w:rsid w:val="006D7C1B"/>
    <w:rsid w:val="006D7DAD"/>
    <w:rsid w:val="006D7E22"/>
    <w:rsid w:val="006E042A"/>
    <w:rsid w:val="006E1005"/>
    <w:rsid w:val="006E1736"/>
    <w:rsid w:val="006E1E33"/>
    <w:rsid w:val="006E26CC"/>
    <w:rsid w:val="006E2841"/>
    <w:rsid w:val="006E2A88"/>
    <w:rsid w:val="006E3A05"/>
    <w:rsid w:val="006E3A29"/>
    <w:rsid w:val="006E3F27"/>
    <w:rsid w:val="006E3F85"/>
    <w:rsid w:val="006E421F"/>
    <w:rsid w:val="006E526C"/>
    <w:rsid w:val="006E5358"/>
    <w:rsid w:val="006E5686"/>
    <w:rsid w:val="006E5946"/>
    <w:rsid w:val="006E597D"/>
    <w:rsid w:val="006E59C9"/>
    <w:rsid w:val="006E59EF"/>
    <w:rsid w:val="006E6019"/>
    <w:rsid w:val="006E62EC"/>
    <w:rsid w:val="006E6327"/>
    <w:rsid w:val="006E6949"/>
    <w:rsid w:val="006E69FA"/>
    <w:rsid w:val="006E7946"/>
    <w:rsid w:val="006E7C0B"/>
    <w:rsid w:val="006E7C81"/>
    <w:rsid w:val="006F00BA"/>
    <w:rsid w:val="006F048A"/>
    <w:rsid w:val="006F0666"/>
    <w:rsid w:val="006F0853"/>
    <w:rsid w:val="006F096E"/>
    <w:rsid w:val="006F0D1B"/>
    <w:rsid w:val="006F17AD"/>
    <w:rsid w:val="006F1915"/>
    <w:rsid w:val="006F1A8C"/>
    <w:rsid w:val="006F1F58"/>
    <w:rsid w:val="006F2832"/>
    <w:rsid w:val="006F30A3"/>
    <w:rsid w:val="006F34CF"/>
    <w:rsid w:val="006F35ED"/>
    <w:rsid w:val="006F3646"/>
    <w:rsid w:val="006F3897"/>
    <w:rsid w:val="006F38DF"/>
    <w:rsid w:val="006F39CA"/>
    <w:rsid w:val="006F4463"/>
    <w:rsid w:val="006F4854"/>
    <w:rsid w:val="006F4CFC"/>
    <w:rsid w:val="006F4EE1"/>
    <w:rsid w:val="006F5BC3"/>
    <w:rsid w:val="006F5CC0"/>
    <w:rsid w:val="006F6046"/>
    <w:rsid w:val="006F6443"/>
    <w:rsid w:val="006F6897"/>
    <w:rsid w:val="006F6920"/>
    <w:rsid w:val="006F6AD4"/>
    <w:rsid w:val="006F6CB8"/>
    <w:rsid w:val="006F6EC3"/>
    <w:rsid w:val="006F70E8"/>
    <w:rsid w:val="00700215"/>
    <w:rsid w:val="00700A35"/>
    <w:rsid w:val="007011DF"/>
    <w:rsid w:val="00701645"/>
    <w:rsid w:val="00701999"/>
    <w:rsid w:val="00701A5C"/>
    <w:rsid w:val="00701C1B"/>
    <w:rsid w:val="00701C85"/>
    <w:rsid w:val="00702A77"/>
    <w:rsid w:val="00702CE9"/>
    <w:rsid w:val="00702E2A"/>
    <w:rsid w:val="00703222"/>
    <w:rsid w:val="007032F9"/>
    <w:rsid w:val="007033BA"/>
    <w:rsid w:val="00703459"/>
    <w:rsid w:val="00704413"/>
    <w:rsid w:val="0070464D"/>
    <w:rsid w:val="00704B70"/>
    <w:rsid w:val="00705033"/>
    <w:rsid w:val="00705703"/>
    <w:rsid w:val="00705840"/>
    <w:rsid w:val="007058BF"/>
    <w:rsid w:val="00705A7F"/>
    <w:rsid w:val="00705D02"/>
    <w:rsid w:val="00705E82"/>
    <w:rsid w:val="00705EC8"/>
    <w:rsid w:val="007065BB"/>
    <w:rsid w:val="007066AA"/>
    <w:rsid w:val="0070672A"/>
    <w:rsid w:val="00706C8A"/>
    <w:rsid w:val="00706CA2"/>
    <w:rsid w:val="007074AB"/>
    <w:rsid w:val="0070770D"/>
    <w:rsid w:val="007079BC"/>
    <w:rsid w:val="007079CC"/>
    <w:rsid w:val="00710036"/>
    <w:rsid w:val="0071009B"/>
    <w:rsid w:val="007102C1"/>
    <w:rsid w:val="00710983"/>
    <w:rsid w:val="00710DE5"/>
    <w:rsid w:val="007114A4"/>
    <w:rsid w:val="00711871"/>
    <w:rsid w:val="0071219A"/>
    <w:rsid w:val="0071220B"/>
    <w:rsid w:val="007122ED"/>
    <w:rsid w:val="007126C1"/>
    <w:rsid w:val="00712C64"/>
    <w:rsid w:val="00712C93"/>
    <w:rsid w:val="007130DD"/>
    <w:rsid w:val="00713198"/>
    <w:rsid w:val="00713512"/>
    <w:rsid w:val="00714034"/>
    <w:rsid w:val="00714136"/>
    <w:rsid w:val="007143AA"/>
    <w:rsid w:val="007144FA"/>
    <w:rsid w:val="00715148"/>
    <w:rsid w:val="0071554C"/>
    <w:rsid w:val="007159B4"/>
    <w:rsid w:val="00715BF4"/>
    <w:rsid w:val="00715EDF"/>
    <w:rsid w:val="0071643C"/>
    <w:rsid w:val="00716517"/>
    <w:rsid w:val="00716543"/>
    <w:rsid w:val="00716647"/>
    <w:rsid w:val="0071682E"/>
    <w:rsid w:val="00716BDD"/>
    <w:rsid w:val="00716CA3"/>
    <w:rsid w:val="00717165"/>
    <w:rsid w:val="00717EA1"/>
    <w:rsid w:val="00717F3E"/>
    <w:rsid w:val="007200ED"/>
    <w:rsid w:val="007205D6"/>
    <w:rsid w:val="007206C5"/>
    <w:rsid w:val="007206D0"/>
    <w:rsid w:val="00720D68"/>
    <w:rsid w:val="00721377"/>
    <w:rsid w:val="00721483"/>
    <w:rsid w:val="00721504"/>
    <w:rsid w:val="007215D7"/>
    <w:rsid w:val="007218D0"/>
    <w:rsid w:val="00721B17"/>
    <w:rsid w:val="007220A6"/>
    <w:rsid w:val="00722172"/>
    <w:rsid w:val="00723532"/>
    <w:rsid w:val="00723E7C"/>
    <w:rsid w:val="007241CF"/>
    <w:rsid w:val="007244F0"/>
    <w:rsid w:val="00724629"/>
    <w:rsid w:val="007246C9"/>
    <w:rsid w:val="007248A1"/>
    <w:rsid w:val="0072493D"/>
    <w:rsid w:val="00724DC8"/>
    <w:rsid w:val="00724DCE"/>
    <w:rsid w:val="00725885"/>
    <w:rsid w:val="00725B2F"/>
    <w:rsid w:val="0072600A"/>
    <w:rsid w:val="007265A4"/>
    <w:rsid w:val="00726BBA"/>
    <w:rsid w:val="00726D74"/>
    <w:rsid w:val="00726F32"/>
    <w:rsid w:val="00726F42"/>
    <w:rsid w:val="00726F6E"/>
    <w:rsid w:val="007274E4"/>
    <w:rsid w:val="0072782F"/>
    <w:rsid w:val="00727B27"/>
    <w:rsid w:val="00727E59"/>
    <w:rsid w:val="00730A2C"/>
    <w:rsid w:val="00730C29"/>
    <w:rsid w:val="00730D38"/>
    <w:rsid w:val="00730D4B"/>
    <w:rsid w:val="00730DC7"/>
    <w:rsid w:val="00730F14"/>
    <w:rsid w:val="007312BD"/>
    <w:rsid w:val="00731881"/>
    <w:rsid w:val="007318BC"/>
    <w:rsid w:val="00731978"/>
    <w:rsid w:val="007323DD"/>
    <w:rsid w:val="00732657"/>
    <w:rsid w:val="00733375"/>
    <w:rsid w:val="007333F0"/>
    <w:rsid w:val="00733829"/>
    <w:rsid w:val="00733A66"/>
    <w:rsid w:val="00733F02"/>
    <w:rsid w:val="0073414B"/>
    <w:rsid w:val="007344EA"/>
    <w:rsid w:val="00734517"/>
    <w:rsid w:val="00734C0C"/>
    <w:rsid w:val="00734FC1"/>
    <w:rsid w:val="007355C7"/>
    <w:rsid w:val="00735C25"/>
    <w:rsid w:val="00735E97"/>
    <w:rsid w:val="00735F30"/>
    <w:rsid w:val="00736178"/>
    <w:rsid w:val="00736332"/>
    <w:rsid w:val="0073662A"/>
    <w:rsid w:val="007367E0"/>
    <w:rsid w:val="007369C2"/>
    <w:rsid w:val="00736A26"/>
    <w:rsid w:val="00736A5C"/>
    <w:rsid w:val="00736D1A"/>
    <w:rsid w:val="007370FB"/>
    <w:rsid w:val="00737110"/>
    <w:rsid w:val="007371A8"/>
    <w:rsid w:val="00737B62"/>
    <w:rsid w:val="00737D2E"/>
    <w:rsid w:val="00740879"/>
    <w:rsid w:val="007419F2"/>
    <w:rsid w:val="00741B60"/>
    <w:rsid w:val="00742350"/>
    <w:rsid w:val="0074290F"/>
    <w:rsid w:val="00742AE4"/>
    <w:rsid w:val="00742B11"/>
    <w:rsid w:val="00742BEB"/>
    <w:rsid w:val="00742F34"/>
    <w:rsid w:val="00743BBD"/>
    <w:rsid w:val="00743F0A"/>
    <w:rsid w:val="0074416A"/>
    <w:rsid w:val="0074476B"/>
    <w:rsid w:val="00744835"/>
    <w:rsid w:val="00744A38"/>
    <w:rsid w:val="00744A6E"/>
    <w:rsid w:val="007454E5"/>
    <w:rsid w:val="007457F2"/>
    <w:rsid w:val="0074624E"/>
    <w:rsid w:val="007467F4"/>
    <w:rsid w:val="007468B2"/>
    <w:rsid w:val="00746A42"/>
    <w:rsid w:val="00746B63"/>
    <w:rsid w:val="00746EB4"/>
    <w:rsid w:val="00747884"/>
    <w:rsid w:val="00747CEA"/>
    <w:rsid w:val="0075033A"/>
    <w:rsid w:val="00750EAF"/>
    <w:rsid w:val="0075163D"/>
    <w:rsid w:val="00751CCC"/>
    <w:rsid w:val="0075281F"/>
    <w:rsid w:val="00752846"/>
    <w:rsid w:val="007528B1"/>
    <w:rsid w:val="00752F9F"/>
    <w:rsid w:val="00753051"/>
    <w:rsid w:val="007532C2"/>
    <w:rsid w:val="00753448"/>
    <w:rsid w:val="007535B9"/>
    <w:rsid w:val="0075360F"/>
    <w:rsid w:val="007538DD"/>
    <w:rsid w:val="00753A3F"/>
    <w:rsid w:val="00753C62"/>
    <w:rsid w:val="00754543"/>
    <w:rsid w:val="00754630"/>
    <w:rsid w:val="00754707"/>
    <w:rsid w:val="00754D5C"/>
    <w:rsid w:val="00754EE2"/>
    <w:rsid w:val="00754FD9"/>
    <w:rsid w:val="00755248"/>
    <w:rsid w:val="00755392"/>
    <w:rsid w:val="007556B2"/>
    <w:rsid w:val="0075582D"/>
    <w:rsid w:val="0075592E"/>
    <w:rsid w:val="00755C8F"/>
    <w:rsid w:val="00755E1F"/>
    <w:rsid w:val="0075613F"/>
    <w:rsid w:val="0075622E"/>
    <w:rsid w:val="0075644B"/>
    <w:rsid w:val="00756976"/>
    <w:rsid w:val="00756BAC"/>
    <w:rsid w:val="007572F3"/>
    <w:rsid w:val="007576F9"/>
    <w:rsid w:val="0075794F"/>
    <w:rsid w:val="00757996"/>
    <w:rsid w:val="00757B9E"/>
    <w:rsid w:val="007606B3"/>
    <w:rsid w:val="007614B1"/>
    <w:rsid w:val="00761542"/>
    <w:rsid w:val="007618C3"/>
    <w:rsid w:val="00762030"/>
    <w:rsid w:val="007621CF"/>
    <w:rsid w:val="00762465"/>
    <w:rsid w:val="007627F1"/>
    <w:rsid w:val="007628DA"/>
    <w:rsid w:val="00762937"/>
    <w:rsid w:val="00763094"/>
    <w:rsid w:val="00763102"/>
    <w:rsid w:val="00763B49"/>
    <w:rsid w:val="00763BD8"/>
    <w:rsid w:val="00763D8B"/>
    <w:rsid w:val="00764231"/>
    <w:rsid w:val="00764925"/>
    <w:rsid w:val="00764BBE"/>
    <w:rsid w:val="00764C03"/>
    <w:rsid w:val="00764DFD"/>
    <w:rsid w:val="0076528E"/>
    <w:rsid w:val="00765568"/>
    <w:rsid w:val="00765604"/>
    <w:rsid w:val="00765689"/>
    <w:rsid w:val="00765AAF"/>
    <w:rsid w:val="00765B2C"/>
    <w:rsid w:val="00765CAA"/>
    <w:rsid w:val="0076621B"/>
    <w:rsid w:val="00767322"/>
    <w:rsid w:val="0076781F"/>
    <w:rsid w:val="00767B19"/>
    <w:rsid w:val="00767BD5"/>
    <w:rsid w:val="00770079"/>
    <w:rsid w:val="00770537"/>
    <w:rsid w:val="00770797"/>
    <w:rsid w:val="00770AAF"/>
    <w:rsid w:val="00771276"/>
    <w:rsid w:val="007713E7"/>
    <w:rsid w:val="0077143C"/>
    <w:rsid w:val="00771780"/>
    <w:rsid w:val="0077205A"/>
    <w:rsid w:val="007720F9"/>
    <w:rsid w:val="007732E9"/>
    <w:rsid w:val="007735E1"/>
    <w:rsid w:val="00773893"/>
    <w:rsid w:val="00773D78"/>
    <w:rsid w:val="00773DFD"/>
    <w:rsid w:val="0077414D"/>
    <w:rsid w:val="0077453D"/>
    <w:rsid w:val="00774ECD"/>
    <w:rsid w:val="00775283"/>
    <w:rsid w:val="00775C1B"/>
    <w:rsid w:val="00775C54"/>
    <w:rsid w:val="007760B5"/>
    <w:rsid w:val="00776B8D"/>
    <w:rsid w:val="00776C87"/>
    <w:rsid w:val="00776E3A"/>
    <w:rsid w:val="00777347"/>
    <w:rsid w:val="00777395"/>
    <w:rsid w:val="00777599"/>
    <w:rsid w:val="00777845"/>
    <w:rsid w:val="00777C52"/>
    <w:rsid w:val="007801B7"/>
    <w:rsid w:val="0078047D"/>
    <w:rsid w:val="00780524"/>
    <w:rsid w:val="00780B83"/>
    <w:rsid w:val="007811BD"/>
    <w:rsid w:val="0078125E"/>
    <w:rsid w:val="00781BDB"/>
    <w:rsid w:val="0078204F"/>
    <w:rsid w:val="007821A2"/>
    <w:rsid w:val="00782364"/>
    <w:rsid w:val="007831CB"/>
    <w:rsid w:val="0078322E"/>
    <w:rsid w:val="007838D0"/>
    <w:rsid w:val="00783A4E"/>
    <w:rsid w:val="0078402B"/>
    <w:rsid w:val="00784653"/>
    <w:rsid w:val="007847CE"/>
    <w:rsid w:val="00784A66"/>
    <w:rsid w:val="00784AB5"/>
    <w:rsid w:val="00784BDA"/>
    <w:rsid w:val="0078514B"/>
    <w:rsid w:val="00785226"/>
    <w:rsid w:val="00785B3B"/>
    <w:rsid w:val="00785BD1"/>
    <w:rsid w:val="00786118"/>
    <w:rsid w:val="00786797"/>
    <w:rsid w:val="0078716C"/>
    <w:rsid w:val="007872D7"/>
    <w:rsid w:val="007874E4"/>
    <w:rsid w:val="00787875"/>
    <w:rsid w:val="00787E88"/>
    <w:rsid w:val="007907CC"/>
    <w:rsid w:val="0079098D"/>
    <w:rsid w:val="00790A2E"/>
    <w:rsid w:val="00791268"/>
    <w:rsid w:val="00791468"/>
    <w:rsid w:val="0079177B"/>
    <w:rsid w:val="00791EC5"/>
    <w:rsid w:val="00791FF2"/>
    <w:rsid w:val="00792137"/>
    <w:rsid w:val="00792174"/>
    <w:rsid w:val="00792356"/>
    <w:rsid w:val="00792378"/>
    <w:rsid w:val="00793AD7"/>
    <w:rsid w:val="00793D8E"/>
    <w:rsid w:val="00793EFB"/>
    <w:rsid w:val="00793FD7"/>
    <w:rsid w:val="007941FE"/>
    <w:rsid w:val="00794431"/>
    <w:rsid w:val="00794573"/>
    <w:rsid w:val="00794798"/>
    <w:rsid w:val="00794933"/>
    <w:rsid w:val="00794A07"/>
    <w:rsid w:val="00794D25"/>
    <w:rsid w:val="007951B3"/>
    <w:rsid w:val="007957B5"/>
    <w:rsid w:val="0079581E"/>
    <w:rsid w:val="0079588F"/>
    <w:rsid w:val="00795960"/>
    <w:rsid w:val="00795C9B"/>
    <w:rsid w:val="00796471"/>
    <w:rsid w:val="0079652D"/>
    <w:rsid w:val="0079657B"/>
    <w:rsid w:val="00796894"/>
    <w:rsid w:val="00796ACA"/>
    <w:rsid w:val="0079721C"/>
    <w:rsid w:val="00797459"/>
    <w:rsid w:val="0079754B"/>
    <w:rsid w:val="0079776A"/>
    <w:rsid w:val="00797827"/>
    <w:rsid w:val="00797A3A"/>
    <w:rsid w:val="00797CA8"/>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4F82"/>
    <w:rsid w:val="007A5053"/>
    <w:rsid w:val="007A5101"/>
    <w:rsid w:val="007A5178"/>
    <w:rsid w:val="007A52E7"/>
    <w:rsid w:val="007A530E"/>
    <w:rsid w:val="007A54B9"/>
    <w:rsid w:val="007A5833"/>
    <w:rsid w:val="007A5A7F"/>
    <w:rsid w:val="007A5FFA"/>
    <w:rsid w:val="007A608D"/>
    <w:rsid w:val="007A6117"/>
    <w:rsid w:val="007A6243"/>
    <w:rsid w:val="007A6269"/>
    <w:rsid w:val="007A6458"/>
    <w:rsid w:val="007A6669"/>
    <w:rsid w:val="007A6E60"/>
    <w:rsid w:val="007A77DA"/>
    <w:rsid w:val="007A7F31"/>
    <w:rsid w:val="007A7FAA"/>
    <w:rsid w:val="007B0374"/>
    <w:rsid w:val="007B054A"/>
    <w:rsid w:val="007B0CFB"/>
    <w:rsid w:val="007B0E10"/>
    <w:rsid w:val="007B1453"/>
    <w:rsid w:val="007B1475"/>
    <w:rsid w:val="007B19FD"/>
    <w:rsid w:val="007B1CE5"/>
    <w:rsid w:val="007B253D"/>
    <w:rsid w:val="007B2577"/>
    <w:rsid w:val="007B34E8"/>
    <w:rsid w:val="007B3B02"/>
    <w:rsid w:val="007B3CCE"/>
    <w:rsid w:val="007B3F4C"/>
    <w:rsid w:val="007B3F78"/>
    <w:rsid w:val="007B417E"/>
    <w:rsid w:val="007B4411"/>
    <w:rsid w:val="007B4B4A"/>
    <w:rsid w:val="007B4CCB"/>
    <w:rsid w:val="007B4E43"/>
    <w:rsid w:val="007B4F8A"/>
    <w:rsid w:val="007B53E0"/>
    <w:rsid w:val="007B57FD"/>
    <w:rsid w:val="007B5882"/>
    <w:rsid w:val="007B5A96"/>
    <w:rsid w:val="007B5C4D"/>
    <w:rsid w:val="007B5CEB"/>
    <w:rsid w:val="007B668C"/>
    <w:rsid w:val="007B6B67"/>
    <w:rsid w:val="007B6E4F"/>
    <w:rsid w:val="007B6F4A"/>
    <w:rsid w:val="007B7565"/>
    <w:rsid w:val="007B760E"/>
    <w:rsid w:val="007B76BC"/>
    <w:rsid w:val="007B76CA"/>
    <w:rsid w:val="007C0276"/>
    <w:rsid w:val="007C027B"/>
    <w:rsid w:val="007C02AB"/>
    <w:rsid w:val="007C079B"/>
    <w:rsid w:val="007C083B"/>
    <w:rsid w:val="007C086C"/>
    <w:rsid w:val="007C0894"/>
    <w:rsid w:val="007C097A"/>
    <w:rsid w:val="007C0B84"/>
    <w:rsid w:val="007C0E6C"/>
    <w:rsid w:val="007C10B6"/>
    <w:rsid w:val="007C10F1"/>
    <w:rsid w:val="007C11B1"/>
    <w:rsid w:val="007C138B"/>
    <w:rsid w:val="007C14A3"/>
    <w:rsid w:val="007C1E4F"/>
    <w:rsid w:val="007C2016"/>
    <w:rsid w:val="007C2185"/>
    <w:rsid w:val="007C27D3"/>
    <w:rsid w:val="007C2B38"/>
    <w:rsid w:val="007C3D07"/>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0CF"/>
    <w:rsid w:val="007D0153"/>
    <w:rsid w:val="007D02F7"/>
    <w:rsid w:val="007D051F"/>
    <w:rsid w:val="007D11FD"/>
    <w:rsid w:val="007D15F8"/>
    <w:rsid w:val="007D2361"/>
    <w:rsid w:val="007D2543"/>
    <w:rsid w:val="007D2882"/>
    <w:rsid w:val="007D2A7F"/>
    <w:rsid w:val="007D2D42"/>
    <w:rsid w:val="007D310C"/>
    <w:rsid w:val="007D32D5"/>
    <w:rsid w:val="007D389A"/>
    <w:rsid w:val="007D38FB"/>
    <w:rsid w:val="007D3A02"/>
    <w:rsid w:val="007D3F39"/>
    <w:rsid w:val="007D42E3"/>
    <w:rsid w:val="007D44FE"/>
    <w:rsid w:val="007D492B"/>
    <w:rsid w:val="007D4E3F"/>
    <w:rsid w:val="007D52EB"/>
    <w:rsid w:val="007D54FB"/>
    <w:rsid w:val="007D59B0"/>
    <w:rsid w:val="007D61DF"/>
    <w:rsid w:val="007D62DC"/>
    <w:rsid w:val="007D709A"/>
    <w:rsid w:val="007D72CC"/>
    <w:rsid w:val="007D740F"/>
    <w:rsid w:val="007D7A86"/>
    <w:rsid w:val="007D7B46"/>
    <w:rsid w:val="007D7E75"/>
    <w:rsid w:val="007E02A5"/>
    <w:rsid w:val="007E0369"/>
    <w:rsid w:val="007E04FC"/>
    <w:rsid w:val="007E05B1"/>
    <w:rsid w:val="007E0A9D"/>
    <w:rsid w:val="007E0ADC"/>
    <w:rsid w:val="007E1216"/>
    <w:rsid w:val="007E123F"/>
    <w:rsid w:val="007E22AE"/>
    <w:rsid w:val="007E29FA"/>
    <w:rsid w:val="007E2A56"/>
    <w:rsid w:val="007E2B07"/>
    <w:rsid w:val="007E2FDD"/>
    <w:rsid w:val="007E3AA3"/>
    <w:rsid w:val="007E40F4"/>
    <w:rsid w:val="007E41D6"/>
    <w:rsid w:val="007E4551"/>
    <w:rsid w:val="007E517E"/>
    <w:rsid w:val="007E5346"/>
    <w:rsid w:val="007E568D"/>
    <w:rsid w:val="007E61A6"/>
    <w:rsid w:val="007E628F"/>
    <w:rsid w:val="007E6756"/>
    <w:rsid w:val="007E7606"/>
    <w:rsid w:val="007E7741"/>
    <w:rsid w:val="007E7A77"/>
    <w:rsid w:val="007E7D5B"/>
    <w:rsid w:val="007E7F4F"/>
    <w:rsid w:val="007F001D"/>
    <w:rsid w:val="007F0570"/>
    <w:rsid w:val="007F0690"/>
    <w:rsid w:val="007F0793"/>
    <w:rsid w:val="007F0AAB"/>
    <w:rsid w:val="007F0B38"/>
    <w:rsid w:val="007F0DC9"/>
    <w:rsid w:val="007F0E41"/>
    <w:rsid w:val="007F1475"/>
    <w:rsid w:val="007F176C"/>
    <w:rsid w:val="007F1B6C"/>
    <w:rsid w:val="007F1BBE"/>
    <w:rsid w:val="007F1D3B"/>
    <w:rsid w:val="007F2991"/>
    <w:rsid w:val="007F3203"/>
    <w:rsid w:val="007F3D56"/>
    <w:rsid w:val="007F4484"/>
    <w:rsid w:val="007F46F0"/>
    <w:rsid w:val="007F4BCB"/>
    <w:rsid w:val="007F4D04"/>
    <w:rsid w:val="007F4FE7"/>
    <w:rsid w:val="007F50FE"/>
    <w:rsid w:val="007F574B"/>
    <w:rsid w:val="007F5B2A"/>
    <w:rsid w:val="007F5B86"/>
    <w:rsid w:val="007F5C63"/>
    <w:rsid w:val="007F5FF1"/>
    <w:rsid w:val="007F652F"/>
    <w:rsid w:val="007F667B"/>
    <w:rsid w:val="007F695D"/>
    <w:rsid w:val="007F6B35"/>
    <w:rsid w:val="007F6C1A"/>
    <w:rsid w:val="007F6E2D"/>
    <w:rsid w:val="007F6F02"/>
    <w:rsid w:val="007F7271"/>
    <w:rsid w:val="007F74C9"/>
    <w:rsid w:val="007F7A7D"/>
    <w:rsid w:val="007F7C85"/>
    <w:rsid w:val="0080052B"/>
    <w:rsid w:val="00800879"/>
    <w:rsid w:val="008011C0"/>
    <w:rsid w:val="008012BE"/>
    <w:rsid w:val="00801DD8"/>
    <w:rsid w:val="00801E90"/>
    <w:rsid w:val="00801FA9"/>
    <w:rsid w:val="00802494"/>
    <w:rsid w:val="0080280B"/>
    <w:rsid w:val="00802AC0"/>
    <w:rsid w:val="00802B16"/>
    <w:rsid w:val="00802B1B"/>
    <w:rsid w:val="008030D4"/>
    <w:rsid w:val="00803B10"/>
    <w:rsid w:val="00804326"/>
    <w:rsid w:val="0080467C"/>
    <w:rsid w:val="008048AA"/>
    <w:rsid w:val="00805A24"/>
    <w:rsid w:val="00805B1B"/>
    <w:rsid w:val="00806163"/>
    <w:rsid w:val="00806327"/>
    <w:rsid w:val="008064C5"/>
    <w:rsid w:val="00806C16"/>
    <w:rsid w:val="00806DA5"/>
    <w:rsid w:val="00807176"/>
    <w:rsid w:val="008071DB"/>
    <w:rsid w:val="0080751E"/>
    <w:rsid w:val="00807889"/>
    <w:rsid w:val="008100A7"/>
    <w:rsid w:val="0081043E"/>
    <w:rsid w:val="00810C3C"/>
    <w:rsid w:val="00810CE7"/>
    <w:rsid w:val="00811409"/>
    <w:rsid w:val="008116ED"/>
    <w:rsid w:val="00811A1D"/>
    <w:rsid w:val="00812389"/>
    <w:rsid w:val="00812E9F"/>
    <w:rsid w:val="00812F51"/>
    <w:rsid w:val="008134A6"/>
    <w:rsid w:val="00813BED"/>
    <w:rsid w:val="00813E7B"/>
    <w:rsid w:val="0081409B"/>
    <w:rsid w:val="008145C8"/>
    <w:rsid w:val="0081471E"/>
    <w:rsid w:val="00814874"/>
    <w:rsid w:val="008149C0"/>
    <w:rsid w:val="00814BDE"/>
    <w:rsid w:val="00814E9F"/>
    <w:rsid w:val="008153B5"/>
    <w:rsid w:val="00815759"/>
    <w:rsid w:val="00815BB1"/>
    <w:rsid w:val="00815BC9"/>
    <w:rsid w:val="00815D3F"/>
    <w:rsid w:val="00816249"/>
    <w:rsid w:val="008168BB"/>
    <w:rsid w:val="0081691B"/>
    <w:rsid w:val="008171B8"/>
    <w:rsid w:val="008177D8"/>
    <w:rsid w:val="00817F79"/>
    <w:rsid w:val="0082032B"/>
    <w:rsid w:val="0082054E"/>
    <w:rsid w:val="00820ACA"/>
    <w:rsid w:val="00820BAA"/>
    <w:rsid w:val="00820E0E"/>
    <w:rsid w:val="008210F4"/>
    <w:rsid w:val="00821195"/>
    <w:rsid w:val="008213E7"/>
    <w:rsid w:val="0082151A"/>
    <w:rsid w:val="00821902"/>
    <w:rsid w:val="00821B1E"/>
    <w:rsid w:val="00821FD2"/>
    <w:rsid w:val="008220B7"/>
    <w:rsid w:val="00822146"/>
    <w:rsid w:val="00822231"/>
    <w:rsid w:val="00822618"/>
    <w:rsid w:val="00822833"/>
    <w:rsid w:val="0082285A"/>
    <w:rsid w:val="00822D74"/>
    <w:rsid w:val="008232CF"/>
    <w:rsid w:val="00823813"/>
    <w:rsid w:val="0082384E"/>
    <w:rsid w:val="008239CA"/>
    <w:rsid w:val="00823A18"/>
    <w:rsid w:val="00823B72"/>
    <w:rsid w:val="00823BE2"/>
    <w:rsid w:val="00823C86"/>
    <w:rsid w:val="00823F24"/>
    <w:rsid w:val="00823F27"/>
    <w:rsid w:val="0082435A"/>
    <w:rsid w:val="00824C75"/>
    <w:rsid w:val="00824E16"/>
    <w:rsid w:val="00825030"/>
    <w:rsid w:val="008250E6"/>
    <w:rsid w:val="00825DB8"/>
    <w:rsid w:val="00826003"/>
    <w:rsid w:val="008260BB"/>
    <w:rsid w:val="0082620B"/>
    <w:rsid w:val="00826792"/>
    <w:rsid w:val="00826B3F"/>
    <w:rsid w:val="008274A1"/>
    <w:rsid w:val="00827915"/>
    <w:rsid w:val="00827CFD"/>
    <w:rsid w:val="00827E70"/>
    <w:rsid w:val="0083040B"/>
    <w:rsid w:val="00830964"/>
    <w:rsid w:val="00830C2E"/>
    <w:rsid w:val="00830CEB"/>
    <w:rsid w:val="008315BF"/>
    <w:rsid w:val="008315D4"/>
    <w:rsid w:val="0083177B"/>
    <w:rsid w:val="00831BAF"/>
    <w:rsid w:val="00831EA0"/>
    <w:rsid w:val="0083211E"/>
    <w:rsid w:val="0083227B"/>
    <w:rsid w:val="008325E8"/>
    <w:rsid w:val="0083295B"/>
    <w:rsid w:val="00832B7D"/>
    <w:rsid w:val="00832CD8"/>
    <w:rsid w:val="00832CF9"/>
    <w:rsid w:val="00832D4F"/>
    <w:rsid w:val="00832E5A"/>
    <w:rsid w:val="00832F48"/>
    <w:rsid w:val="0083305D"/>
    <w:rsid w:val="0083389C"/>
    <w:rsid w:val="008346CE"/>
    <w:rsid w:val="00834862"/>
    <w:rsid w:val="00834902"/>
    <w:rsid w:val="00834A78"/>
    <w:rsid w:val="00834E6B"/>
    <w:rsid w:val="008351D4"/>
    <w:rsid w:val="00835846"/>
    <w:rsid w:val="008358D4"/>
    <w:rsid w:val="00835A10"/>
    <w:rsid w:val="00835A19"/>
    <w:rsid w:val="00835B8D"/>
    <w:rsid w:val="0083690A"/>
    <w:rsid w:val="00836C74"/>
    <w:rsid w:val="008372AB"/>
    <w:rsid w:val="00837326"/>
    <w:rsid w:val="00837750"/>
    <w:rsid w:val="00837F7A"/>
    <w:rsid w:val="008407F6"/>
    <w:rsid w:val="008408BA"/>
    <w:rsid w:val="0084091E"/>
    <w:rsid w:val="0084094A"/>
    <w:rsid w:val="00840D3C"/>
    <w:rsid w:val="00840DBF"/>
    <w:rsid w:val="0084248F"/>
    <w:rsid w:val="00842663"/>
    <w:rsid w:val="00842800"/>
    <w:rsid w:val="00842AC5"/>
    <w:rsid w:val="00842E84"/>
    <w:rsid w:val="0084366A"/>
    <w:rsid w:val="0084475B"/>
    <w:rsid w:val="00844B53"/>
    <w:rsid w:val="0084557B"/>
    <w:rsid w:val="008464B0"/>
    <w:rsid w:val="0084659E"/>
    <w:rsid w:val="008466AF"/>
    <w:rsid w:val="00846A3A"/>
    <w:rsid w:val="00846BE4"/>
    <w:rsid w:val="00846D02"/>
    <w:rsid w:val="0084752E"/>
    <w:rsid w:val="008475A6"/>
    <w:rsid w:val="0084766A"/>
    <w:rsid w:val="0084779B"/>
    <w:rsid w:val="008479D3"/>
    <w:rsid w:val="00847EA3"/>
    <w:rsid w:val="00850149"/>
    <w:rsid w:val="0085018B"/>
    <w:rsid w:val="00850291"/>
    <w:rsid w:val="008503C0"/>
    <w:rsid w:val="00850464"/>
    <w:rsid w:val="00850C87"/>
    <w:rsid w:val="0085138F"/>
    <w:rsid w:val="00851B3B"/>
    <w:rsid w:val="00852686"/>
    <w:rsid w:val="008526FA"/>
    <w:rsid w:val="00852D80"/>
    <w:rsid w:val="00852E59"/>
    <w:rsid w:val="00853846"/>
    <w:rsid w:val="00853E24"/>
    <w:rsid w:val="00854071"/>
    <w:rsid w:val="008543EE"/>
    <w:rsid w:val="0085531F"/>
    <w:rsid w:val="0085551E"/>
    <w:rsid w:val="00855805"/>
    <w:rsid w:val="008559B5"/>
    <w:rsid w:val="00855C68"/>
    <w:rsid w:val="00855ECA"/>
    <w:rsid w:val="00856094"/>
    <w:rsid w:val="008560AA"/>
    <w:rsid w:val="008561A1"/>
    <w:rsid w:val="008564B8"/>
    <w:rsid w:val="00856871"/>
    <w:rsid w:val="00856908"/>
    <w:rsid w:val="008575B5"/>
    <w:rsid w:val="00860462"/>
    <w:rsid w:val="008605C7"/>
    <w:rsid w:val="00860A4C"/>
    <w:rsid w:val="00860A4E"/>
    <w:rsid w:val="00860B77"/>
    <w:rsid w:val="00860E4D"/>
    <w:rsid w:val="00860ED2"/>
    <w:rsid w:val="0086137E"/>
    <w:rsid w:val="008614AD"/>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B1E"/>
    <w:rsid w:val="00864D91"/>
    <w:rsid w:val="00864E00"/>
    <w:rsid w:val="008653C0"/>
    <w:rsid w:val="008655E2"/>
    <w:rsid w:val="0086560B"/>
    <w:rsid w:val="008661EC"/>
    <w:rsid w:val="00866389"/>
    <w:rsid w:val="0086669D"/>
    <w:rsid w:val="00866BB5"/>
    <w:rsid w:val="00867450"/>
    <w:rsid w:val="00867861"/>
    <w:rsid w:val="00867A94"/>
    <w:rsid w:val="00867B84"/>
    <w:rsid w:val="00867BCF"/>
    <w:rsid w:val="00867CD9"/>
    <w:rsid w:val="0087062D"/>
    <w:rsid w:val="008708E8"/>
    <w:rsid w:val="00870998"/>
    <w:rsid w:val="00870AB4"/>
    <w:rsid w:val="00870AFB"/>
    <w:rsid w:val="008714F9"/>
    <w:rsid w:val="008715F0"/>
    <w:rsid w:val="0087181F"/>
    <w:rsid w:val="00871963"/>
    <w:rsid w:val="00871C2F"/>
    <w:rsid w:val="00871E7C"/>
    <w:rsid w:val="008728AB"/>
    <w:rsid w:val="008728C5"/>
    <w:rsid w:val="00872A8D"/>
    <w:rsid w:val="00872A98"/>
    <w:rsid w:val="00873078"/>
    <w:rsid w:val="00873246"/>
    <w:rsid w:val="0087351E"/>
    <w:rsid w:val="00873C90"/>
    <w:rsid w:val="00873CE9"/>
    <w:rsid w:val="00873EFE"/>
    <w:rsid w:val="0087416D"/>
    <w:rsid w:val="00874364"/>
    <w:rsid w:val="00874A5E"/>
    <w:rsid w:val="00874CA8"/>
    <w:rsid w:val="00874EB1"/>
    <w:rsid w:val="00874F5C"/>
    <w:rsid w:val="00874FA2"/>
    <w:rsid w:val="008750B8"/>
    <w:rsid w:val="00875690"/>
    <w:rsid w:val="00875985"/>
    <w:rsid w:val="00875D52"/>
    <w:rsid w:val="00876005"/>
    <w:rsid w:val="00876312"/>
    <w:rsid w:val="0087646A"/>
    <w:rsid w:val="00876780"/>
    <w:rsid w:val="00877724"/>
    <w:rsid w:val="00877828"/>
    <w:rsid w:val="00877F7F"/>
    <w:rsid w:val="00877F92"/>
    <w:rsid w:val="00880598"/>
    <w:rsid w:val="008805A0"/>
    <w:rsid w:val="00880AC2"/>
    <w:rsid w:val="00880EEC"/>
    <w:rsid w:val="008810DD"/>
    <w:rsid w:val="008816CE"/>
    <w:rsid w:val="008816FB"/>
    <w:rsid w:val="00881E44"/>
    <w:rsid w:val="00881E9A"/>
    <w:rsid w:val="008822AF"/>
    <w:rsid w:val="00882316"/>
    <w:rsid w:val="00882417"/>
    <w:rsid w:val="008826C3"/>
    <w:rsid w:val="00882854"/>
    <w:rsid w:val="00882925"/>
    <w:rsid w:val="00882FB9"/>
    <w:rsid w:val="0088313C"/>
    <w:rsid w:val="00883578"/>
    <w:rsid w:val="00883895"/>
    <w:rsid w:val="00883CE1"/>
    <w:rsid w:val="0088412A"/>
    <w:rsid w:val="008847A2"/>
    <w:rsid w:val="00884D37"/>
    <w:rsid w:val="00885170"/>
    <w:rsid w:val="0088526F"/>
    <w:rsid w:val="00885666"/>
    <w:rsid w:val="0088606B"/>
    <w:rsid w:val="008861FD"/>
    <w:rsid w:val="008864A2"/>
    <w:rsid w:val="0088692F"/>
    <w:rsid w:val="00886A0D"/>
    <w:rsid w:val="008870D5"/>
    <w:rsid w:val="00887317"/>
    <w:rsid w:val="00887889"/>
    <w:rsid w:val="00887E26"/>
    <w:rsid w:val="00890569"/>
    <w:rsid w:val="00890D19"/>
    <w:rsid w:val="008918D5"/>
    <w:rsid w:val="00891CAD"/>
    <w:rsid w:val="00891E93"/>
    <w:rsid w:val="00891FAB"/>
    <w:rsid w:val="00892162"/>
    <w:rsid w:val="008921EB"/>
    <w:rsid w:val="008927E9"/>
    <w:rsid w:val="00892AA3"/>
    <w:rsid w:val="00892F0B"/>
    <w:rsid w:val="008937E7"/>
    <w:rsid w:val="00894115"/>
    <w:rsid w:val="008941C5"/>
    <w:rsid w:val="0089461C"/>
    <w:rsid w:val="00894729"/>
    <w:rsid w:val="008948E6"/>
    <w:rsid w:val="00894D0C"/>
    <w:rsid w:val="00894FFE"/>
    <w:rsid w:val="008951AA"/>
    <w:rsid w:val="00895492"/>
    <w:rsid w:val="0089579A"/>
    <w:rsid w:val="00895E16"/>
    <w:rsid w:val="00896485"/>
    <w:rsid w:val="00896921"/>
    <w:rsid w:val="00896B04"/>
    <w:rsid w:val="00896CC0"/>
    <w:rsid w:val="00896DA5"/>
    <w:rsid w:val="00897291"/>
    <w:rsid w:val="008978AF"/>
    <w:rsid w:val="008978C0"/>
    <w:rsid w:val="008979CE"/>
    <w:rsid w:val="00897B88"/>
    <w:rsid w:val="00897CBB"/>
    <w:rsid w:val="00897E30"/>
    <w:rsid w:val="008A0055"/>
    <w:rsid w:val="008A00E8"/>
    <w:rsid w:val="008A045B"/>
    <w:rsid w:val="008A05A6"/>
    <w:rsid w:val="008A0F9B"/>
    <w:rsid w:val="008A10BF"/>
    <w:rsid w:val="008A1102"/>
    <w:rsid w:val="008A12D1"/>
    <w:rsid w:val="008A13C2"/>
    <w:rsid w:val="008A13F9"/>
    <w:rsid w:val="008A166A"/>
    <w:rsid w:val="008A176C"/>
    <w:rsid w:val="008A17F8"/>
    <w:rsid w:val="008A1A9D"/>
    <w:rsid w:val="008A2312"/>
    <w:rsid w:val="008A2AB9"/>
    <w:rsid w:val="008A2AF6"/>
    <w:rsid w:val="008A329C"/>
    <w:rsid w:val="008A3433"/>
    <w:rsid w:val="008A362F"/>
    <w:rsid w:val="008A3C30"/>
    <w:rsid w:val="008A4124"/>
    <w:rsid w:val="008A4770"/>
    <w:rsid w:val="008A4DA0"/>
    <w:rsid w:val="008A4EDC"/>
    <w:rsid w:val="008A5333"/>
    <w:rsid w:val="008A539F"/>
    <w:rsid w:val="008A57E9"/>
    <w:rsid w:val="008A5944"/>
    <w:rsid w:val="008A61BD"/>
    <w:rsid w:val="008A674C"/>
    <w:rsid w:val="008A7648"/>
    <w:rsid w:val="008A7803"/>
    <w:rsid w:val="008B0289"/>
    <w:rsid w:val="008B1440"/>
    <w:rsid w:val="008B1592"/>
    <w:rsid w:val="008B15A1"/>
    <w:rsid w:val="008B1602"/>
    <w:rsid w:val="008B17A9"/>
    <w:rsid w:val="008B1A61"/>
    <w:rsid w:val="008B1CA9"/>
    <w:rsid w:val="008B1D1A"/>
    <w:rsid w:val="008B22BA"/>
    <w:rsid w:val="008B2503"/>
    <w:rsid w:val="008B2505"/>
    <w:rsid w:val="008B2592"/>
    <w:rsid w:val="008B264C"/>
    <w:rsid w:val="008B27CF"/>
    <w:rsid w:val="008B2922"/>
    <w:rsid w:val="008B2C4C"/>
    <w:rsid w:val="008B366F"/>
    <w:rsid w:val="008B3681"/>
    <w:rsid w:val="008B3896"/>
    <w:rsid w:val="008B3D88"/>
    <w:rsid w:val="008B456E"/>
    <w:rsid w:val="008B46C1"/>
    <w:rsid w:val="008B48B6"/>
    <w:rsid w:val="008B48F4"/>
    <w:rsid w:val="008B4C18"/>
    <w:rsid w:val="008B4E97"/>
    <w:rsid w:val="008B5331"/>
    <w:rsid w:val="008B5B91"/>
    <w:rsid w:val="008B60E0"/>
    <w:rsid w:val="008B615C"/>
    <w:rsid w:val="008B61BB"/>
    <w:rsid w:val="008B64EF"/>
    <w:rsid w:val="008B675D"/>
    <w:rsid w:val="008B6829"/>
    <w:rsid w:val="008B6B9D"/>
    <w:rsid w:val="008B73B6"/>
    <w:rsid w:val="008B74EF"/>
    <w:rsid w:val="008B7A15"/>
    <w:rsid w:val="008C021F"/>
    <w:rsid w:val="008C0A71"/>
    <w:rsid w:val="008C0C78"/>
    <w:rsid w:val="008C0F2E"/>
    <w:rsid w:val="008C14DB"/>
    <w:rsid w:val="008C1952"/>
    <w:rsid w:val="008C2578"/>
    <w:rsid w:val="008C268A"/>
    <w:rsid w:val="008C2D60"/>
    <w:rsid w:val="008C3348"/>
    <w:rsid w:val="008C3771"/>
    <w:rsid w:val="008C3D13"/>
    <w:rsid w:val="008C4AD9"/>
    <w:rsid w:val="008C4B34"/>
    <w:rsid w:val="008C5188"/>
    <w:rsid w:val="008C559E"/>
    <w:rsid w:val="008C5670"/>
    <w:rsid w:val="008C57CD"/>
    <w:rsid w:val="008C5CD2"/>
    <w:rsid w:val="008C617C"/>
    <w:rsid w:val="008C6C7D"/>
    <w:rsid w:val="008C6E70"/>
    <w:rsid w:val="008C7618"/>
    <w:rsid w:val="008C7727"/>
    <w:rsid w:val="008C7742"/>
    <w:rsid w:val="008C7B96"/>
    <w:rsid w:val="008D0661"/>
    <w:rsid w:val="008D06F9"/>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B83"/>
    <w:rsid w:val="008D4CBE"/>
    <w:rsid w:val="008D5131"/>
    <w:rsid w:val="008D53FA"/>
    <w:rsid w:val="008D53FE"/>
    <w:rsid w:val="008D59BD"/>
    <w:rsid w:val="008D5A2B"/>
    <w:rsid w:val="008D5E7C"/>
    <w:rsid w:val="008D60A8"/>
    <w:rsid w:val="008D66EA"/>
    <w:rsid w:val="008D6D71"/>
    <w:rsid w:val="008D6DF8"/>
    <w:rsid w:val="008D6EBB"/>
    <w:rsid w:val="008D725B"/>
    <w:rsid w:val="008D786D"/>
    <w:rsid w:val="008D7CE5"/>
    <w:rsid w:val="008D7F6D"/>
    <w:rsid w:val="008E05E1"/>
    <w:rsid w:val="008E06BA"/>
    <w:rsid w:val="008E0B1B"/>
    <w:rsid w:val="008E11BB"/>
    <w:rsid w:val="008E19ED"/>
    <w:rsid w:val="008E1A61"/>
    <w:rsid w:val="008E2295"/>
    <w:rsid w:val="008E2C0F"/>
    <w:rsid w:val="008E32D7"/>
    <w:rsid w:val="008E3385"/>
    <w:rsid w:val="008E338D"/>
    <w:rsid w:val="008E3608"/>
    <w:rsid w:val="008E38AF"/>
    <w:rsid w:val="008E3EA3"/>
    <w:rsid w:val="008E4D7A"/>
    <w:rsid w:val="008E4FA3"/>
    <w:rsid w:val="008E558C"/>
    <w:rsid w:val="008E5D63"/>
    <w:rsid w:val="008E6152"/>
    <w:rsid w:val="008E615B"/>
    <w:rsid w:val="008E7180"/>
    <w:rsid w:val="008E7250"/>
    <w:rsid w:val="008E73D1"/>
    <w:rsid w:val="008E73F4"/>
    <w:rsid w:val="008E741D"/>
    <w:rsid w:val="008E7753"/>
    <w:rsid w:val="008F0929"/>
    <w:rsid w:val="008F0F5B"/>
    <w:rsid w:val="008F1369"/>
    <w:rsid w:val="008F1571"/>
    <w:rsid w:val="008F2115"/>
    <w:rsid w:val="008F24D7"/>
    <w:rsid w:val="008F2622"/>
    <w:rsid w:val="008F2EBC"/>
    <w:rsid w:val="008F3078"/>
    <w:rsid w:val="008F32ED"/>
    <w:rsid w:val="008F33AD"/>
    <w:rsid w:val="008F3F50"/>
    <w:rsid w:val="008F43BD"/>
    <w:rsid w:val="008F4828"/>
    <w:rsid w:val="008F4A0E"/>
    <w:rsid w:val="008F4EAD"/>
    <w:rsid w:val="008F511C"/>
    <w:rsid w:val="008F52CF"/>
    <w:rsid w:val="008F5376"/>
    <w:rsid w:val="008F559B"/>
    <w:rsid w:val="008F5DB5"/>
    <w:rsid w:val="008F5DEF"/>
    <w:rsid w:val="008F5EC3"/>
    <w:rsid w:val="008F5F5A"/>
    <w:rsid w:val="008F6D57"/>
    <w:rsid w:val="008F6D85"/>
    <w:rsid w:val="008F6E63"/>
    <w:rsid w:val="008F7151"/>
    <w:rsid w:val="008F72F0"/>
    <w:rsid w:val="008F7913"/>
    <w:rsid w:val="008F7B7F"/>
    <w:rsid w:val="008F7C7B"/>
    <w:rsid w:val="008F7E9F"/>
    <w:rsid w:val="008F7EC4"/>
    <w:rsid w:val="00900292"/>
    <w:rsid w:val="0090063B"/>
    <w:rsid w:val="00900663"/>
    <w:rsid w:val="00900CDC"/>
    <w:rsid w:val="00900E18"/>
    <w:rsid w:val="009013BF"/>
    <w:rsid w:val="00901414"/>
    <w:rsid w:val="009017DF"/>
    <w:rsid w:val="00901A59"/>
    <w:rsid w:val="00901BBF"/>
    <w:rsid w:val="00901CD4"/>
    <w:rsid w:val="00901E61"/>
    <w:rsid w:val="00901FAD"/>
    <w:rsid w:val="00902535"/>
    <w:rsid w:val="0090258A"/>
    <w:rsid w:val="009027C5"/>
    <w:rsid w:val="00902A78"/>
    <w:rsid w:val="00902B8F"/>
    <w:rsid w:val="009037AC"/>
    <w:rsid w:val="009037D1"/>
    <w:rsid w:val="00903E77"/>
    <w:rsid w:val="0090428B"/>
    <w:rsid w:val="009048C4"/>
    <w:rsid w:val="009059ED"/>
    <w:rsid w:val="00905A38"/>
    <w:rsid w:val="00905C5F"/>
    <w:rsid w:val="00905D29"/>
    <w:rsid w:val="009064EE"/>
    <w:rsid w:val="00906DAF"/>
    <w:rsid w:val="00906EFD"/>
    <w:rsid w:val="0090710B"/>
    <w:rsid w:val="0090718B"/>
    <w:rsid w:val="009073AA"/>
    <w:rsid w:val="009074AC"/>
    <w:rsid w:val="009076CD"/>
    <w:rsid w:val="00907D61"/>
    <w:rsid w:val="00907E7C"/>
    <w:rsid w:val="00907F17"/>
    <w:rsid w:val="00910449"/>
    <w:rsid w:val="009106C2"/>
    <w:rsid w:val="0091072E"/>
    <w:rsid w:val="00910A0F"/>
    <w:rsid w:val="00910F65"/>
    <w:rsid w:val="00911278"/>
    <w:rsid w:val="0091129F"/>
    <w:rsid w:val="009117CC"/>
    <w:rsid w:val="009119B9"/>
    <w:rsid w:val="00911DCF"/>
    <w:rsid w:val="00911F77"/>
    <w:rsid w:val="009125F2"/>
    <w:rsid w:val="00912770"/>
    <w:rsid w:val="009129D6"/>
    <w:rsid w:val="00912CE7"/>
    <w:rsid w:val="00912D2F"/>
    <w:rsid w:val="00912E47"/>
    <w:rsid w:val="0091308D"/>
    <w:rsid w:val="009130D3"/>
    <w:rsid w:val="00913796"/>
    <w:rsid w:val="009137AA"/>
    <w:rsid w:val="00914663"/>
    <w:rsid w:val="009146F0"/>
    <w:rsid w:val="00914B45"/>
    <w:rsid w:val="009154F4"/>
    <w:rsid w:val="009156DD"/>
    <w:rsid w:val="00915A76"/>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0F2E"/>
    <w:rsid w:val="0092103C"/>
    <w:rsid w:val="0092140D"/>
    <w:rsid w:val="00921ADC"/>
    <w:rsid w:val="009221D6"/>
    <w:rsid w:val="00922B62"/>
    <w:rsid w:val="00922D16"/>
    <w:rsid w:val="00922E4F"/>
    <w:rsid w:val="0092321D"/>
    <w:rsid w:val="00923A29"/>
    <w:rsid w:val="00923B20"/>
    <w:rsid w:val="00924146"/>
    <w:rsid w:val="00924290"/>
    <w:rsid w:val="009246E1"/>
    <w:rsid w:val="0092486A"/>
    <w:rsid w:val="00924B94"/>
    <w:rsid w:val="00924FB4"/>
    <w:rsid w:val="00925131"/>
    <w:rsid w:val="00925C6A"/>
    <w:rsid w:val="00925F8F"/>
    <w:rsid w:val="009262B0"/>
    <w:rsid w:val="009262FF"/>
    <w:rsid w:val="009267BB"/>
    <w:rsid w:val="00930A3B"/>
    <w:rsid w:val="00930B90"/>
    <w:rsid w:val="00930EDF"/>
    <w:rsid w:val="00930FF1"/>
    <w:rsid w:val="00931073"/>
    <w:rsid w:val="009311DA"/>
    <w:rsid w:val="0093138D"/>
    <w:rsid w:val="00931522"/>
    <w:rsid w:val="00931FE3"/>
    <w:rsid w:val="00932110"/>
    <w:rsid w:val="00932401"/>
    <w:rsid w:val="00932780"/>
    <w:rsid w:val="00932913"/>
    <w:rsid w:val="009329D4"/>
    <w:rsid w:val="00932DAC"/>
    <w:rsid w:val="009336D9"/>
    <w:rsid w:val="00933766"/>
    <w:rsid w:val="00933A37"/>
    <w:rsid w:val="00933C13"/>
    <w:rsid w:val="00933D00"/>
    <w:rsid w:val="0093474F"/>
    <w:rsid w:val="00935337"/>
    <w:rsid w:val="00935469"/>
    <w:rsid w:val="0093577D"/>
    <w:rsid w:val="00935AD4"/>
    <w:rsid w:val="00935C40"/>
    <w:rsid w:val="00935E5B"/>
    <w:rsid w:val="00936197"/>
    <w:rsid w:val="0093651E"/>
    <w:rsid w:val="00936A97"/>
    <w:rsid w:val="00936B8E"/>
    <w:rsid w:val="00936E17"/>
    <w:rsid w:val="00936E92"/>
    <w:rsid w:val="009370C1"/>
    <w:rsid w:val="009371C5"/>
    <w:rsid w:val="00940291"/>
    <w:rsid w:val="00940E23"/>
    <w:rsid w:val="00941033"/>
    <w:rsid w:val="00941216"/>
    <w:rsid w:val="009412B8"/>
    <w:rsid w:val="00941365"/>
    <w:rsid w:val="009422A9"/>
    <w:rsid w:val="009427BB"/>
    <w:rsid w:val="009429B8"/>
    <w:rsid w:val="00943014"/>
    <w:rsid w:val="009430CD"/>
    <w:rsid w:val="00943468"/>
    <w:rsid w:val="00943DB7"/>
    <w:rsid w:val="00943E11"/>
    <w:rsid w:val="0094406C"/>
    <w:rsid w:val="009441CE"/>
    <w:rsid w:val="009441FD"/>
    <w:rsid w:val="00944355"/>
    <w:rsid w:val="0094436C"/>
    <w:rsid w:val="0094449F"/>
    <w:rsid w:val="00944D81"/>
    <w:rsid w:val="00945237"/>
    <w:rsid w:val="00945302"/>
    <w:rsid w:val="0094578B"/>
    <w:rsid w:val="009459E5"/>
    <w:rsid w:val="00945BB6"/>
    <w:rsid w:val="00945C68"/>
    <w:rsid w:val="00945D94"/>
    <w:rsid w:val="0094615F"/>
    <w:rsid w:val="00946252"/>
    <w:rsid w:val="00946415"/>
    <w:rsid w:val="00946A52"/>
    <w:rsid w:val="00946F0C"/>
    <w:rsid w:val="0094716F"/>
    <w:rsid w:val="0094742D"/>
    <w:rsid w:val="0094777E"/>
    <w:rsid w:val="009478EF"/>
    <w:rsid w:val="00947DE1"/>
    <w:rsid w:val="00947E5D"/>
    <w:rsid w:val="00947EA3"/>
    <w:rsid w:val="0095029F"/>
    <w:rsid w:val="00950EBD"/>
    <w:rsid w:val="00950F2B"/>
    <w:rsid w:val="00951531"/>
    <w:rsid w:val="009515B4"/>
    <w:rsid w:val="00951DC3"/>
    <w:rsid w:val="00951F95"/>
    <w:rsid w:val="009522D3"/>
    <w:rsid w:val="0095246C"/>
    <w:rsid w:val="00952671"/>
    <w:rsid w:val="009526D5"/>
    <w:rsid w:val="009529AA"/>
    <w:rsid w:val="00952F25"/>
    <w:rsid w:val="00952F9D"/>
    <w:rsid w:val="00952FB3"/>
    <w:rsid w:val="0095330D"/>
    <w:rsid w:val="00953331"/>
    <w:rsid w:val="009534F9"/>
    <w:rsid w:val="00953B1E"/>
    <w:rsid w:val="00953CA0"/>
    <w:rsid w:val="0095448E"/>
    <w:rsid w:val="009546C7"/>
    <w:rsid w:val="0095497F"/>
    <w:rsid w:val="00954E5A"/>
    <w:rsid w:val="00955244"/>
    <w:rsid w:val="0095525F"/>
    <w:rsid w:val="00955741"/>
    <w:rsid w:val="00955845"/>
    <w:rsid w:val="00955BE3"/>
    <w:rsid w:val="00955C90"/>
    <w:rsid w:val="00955F3A"/>
    <w:rsid w:val="009563FF"/>
    <w:rsid w:val="00956477"/>
    <w:rsid w:val="0095713B"/>
    <w:rsid w:val="009577AE"/>
    <w:rsid w:val="00957922"/>
    <w:rsid w:val="00957A64"/>
    <w:rsid w:val="00957AD5"/>
    <w:rsid w:val="00960D30"/>
    <w:rsid w:val="0096156B"/>
    <w:rsid w:val="009617DC"/>
    <w:rsid w:val="00961991"/>
    <w:rsid w:val="00962E15"/>
    <w:rsid w:val="0096393E"/>
    <w:rsid w:val="00963A05"/>
    <w:rsid w:val="009647E9"/>
    <w:rsid w:val="009648B7"/>
    <w:rsid w:val="00964AC2"/>
    <w:rsid w:val="00965037"/>
    <w:rsid w:val="0096573A"/>
    <w:rsid w:val="00966377"/>
    <w:rsid w:val="009664EC"/>
    <w:rsid w:val="00966A8E"/>
    <w:rsid w:val="00966E8F"/>
    <w:rsid w:val="00967270"/>
    <w:rsid w:val="00967668"/>
    <w:rsid w:val="00967689"/>
    <w:rsid w:val="00967708"/>
    <w:rsid w:val="00967A9E"/>
    <w:rsid w:val="00967DA0"/>
    <w:rsid w:val="0097030C"/>
    <w:rsid w:val="0097049D"/>
    <w:rsid w:val="00970522"/>
    <w:rsid w:val="00970719"/>
    <w:rsid w:val="0097079C"/>
    <w:rsid w:val="0097079F"/>
    <w:rsid w:val="00970D67"/>
    <w:rsid w:val="00970EB5"/>
    <w:rsid w:val="00971581"/>
    <w:rsid w:val="009719B6"/>
    <w:rsid w:val="00971BD4"/>
    <w:rsid w:val="00972297"/>
    <w:rsid w:val="0097245F"/>
    <w:rsid w:val="00972506"/>
    <w:rsid w:val="0097252B"/>
    <w:rsid w:val="00972AC0"/>
    <w:rsid w:val="00972EE0"/>
    <w:rsid w:val="00972EE6"/>
    <w:rsid w:val="00972F16"/>
    <w:rsid w:val="00973007"/>
    <w:rsid w:val="00973116"/>
    <w:rsid w:val="00973337"/>
    <w:rsid w:val="0097347E"/>
    <w:rsid w:val="009736E3"/>
    <w:rsid w:val="00973711"/>
    <w:rsid w:val="0097381B"/>
    <w:rsid w:val="00973D4F"/>
    <w:rsid w:val="00973E17"/>
    <w:rsid w:val="00974500"/>
    <w:rsid w:val="0097461A"/>
    <w:rsid w:val="00974949"/>
    <w:rsid w:val="00974CF0"/>
    <w:rsid w:val="00974E41"/>
    <w:rsid w:val="009752B6"/>
    <w:rsid w:val="009760C7"/>
    <w:rsid w:val="00976648"/>
    <w:rsid w:val="00976915"/>
    <w:rsid w:val="00976C5C"/>
    <w:rsid w:val="009772AC"/>
    <w:rsid w:val="00977E60"/>
    <w:rsid w:val="00977EDB"/>
    <w:rsid w:val="0098011B"/>
    <w:rsid w:val="00980323"/>
    <w:rsid w:val="009804C1"/>
    <w:rsid w:val="0098068D"/>
    <w:rsid w:val="0098098C"/>
    <w:rsid w:val="0098099D"/>
    <w:rsid w:val="009810C0"/>
    <w:rsid w:val="009812A8"/>
    <w:rsid w:val="0098137C"/>
    <w:rsid w:val="00981DE1"/>
    <w:rsid w:val="00981F69"/>
    <w:rsid w:val="0098270D"/>
    <w:rsid w:val="00982A00"/>
    <w:rsid w:val="00983626"/>
    <w:rsid w:val="0098368D"/>
    <w:rsid w:val="00983A4F"/>
    <w:rsid w:val="00983A85"/>
    <w:rsid w:val="0098403F"/>
    <w:rsid w:val="0098409D"/>
    <w:rsid w:val="009844BD"/>
    <w:rsid w:val="0098488A"/>
    <w:rsid w:val="00985832"/>
    <w:rsid w:val="00986140"/>
    <w:rsid w:val="0098634A"/>
    <w:rsid w:val="0098644E"/>
    <w:rsid w:val="00986580"/>
    <w:rsid w:val="00986A0A"/>
    <w:rsid w:val="00986AD0"/>
    <w:rsid w:val="00986D93"/>
    <w:rsid w:val="00987174"/>
    <w:rsid w:val="00987604"/>
    <w:rsid w:val="0098783C"/>
    <w:rsid w:val="00987D6E"/>
    <w:rsid w:val="009902B1"/>
    <w:rsid w:val="00990604"/>
    <w:rsid w:val="009906E0"/>
    <w:rsid w:val="00990A01"/>
    <w:rsid w:val="00991085"/>
    <w:rsid w:val="00991308"/>
    <w:rsid w:val="009919C2"/>
    <w:rsid w:val="00992450"/>
    <w:rsid w:val="00992CE8"/>
    <w:rsid w:val="00992DDC"/>
    <w:rsid w:val="00992EBB"/>
    <w:rsid w:val="00993A95"/>
    <w:rsid w:val="00993B63"/>
    <w:rsid w:val="00994138"/>
    <w:rsid w:val="00994544"/>
    <w:rsid w:val="009945C8"/>
    <w:rsid w:val="0099494B"/>
    <w:rsid w:val="0099537A"/>
    <w:rsid w:val="0099568B"/>
    <w:rsid w:val="009956DC"/>
    <w:rsid w:val="00995779"/>
    <w:rsid w:val="00995D5A"/>
    <w:rsid w:val="00995EEF"/>
    <w:rsid w:val="00996157"/>
    <w:rsid w:val="0099616D"/>
    <w:rsid w:val="009961CB"/>
    <w:rsid w:val="009968E9"/>
    <w:rsid w:val="009971E1"/>
    <w:rsid w:val="0099753F"/>
    <w:rsid w:val="0099789A"/>
    <w:rsid w:val="009978FE"/>
    <w:rsid w:val="00997D13"/>
    <w:rsid w:val="009A00CE"/>
    <w:rsid w:val="009A03B3"/>
    <w:rsid w:val="009A07CF"/>
    <w:rsid w:val="009A0AE8"/>
    <w:rsid w:val="009A1429"/>
    <w:rsid w:val="009A16D3"/>
    <w:rsid w:val="009A1722"/>
    <w:rsid w:val="009A1737"/>
    <w:rsid w:val="009A1813"/>
    <w:rsid w:val="009A19FB"/>
    <w:rsid w:val="009A23B2"/>
    <w:rsid w:val="009A2582"/>
    <w:rsid w:val="009A292F"/>
    <w:rsid w:val="009A37D1"/>
    <w:rsid w:val="009A37E8"/>
    <w:rsid w:val="009A3F69"/>
    <w:rsid w:val="009A4651"/>
    <w:rsid w:val="009A4C64"/>
    <w:rsid w:val="009A5009"/>
    <w:rsid w:val="009A5AA9"/>
    <w:rsid w:val="009A5C50"/>
    <w:rsid w:val="009A5D02"/>
    <w:rsid w:val="009A63B2"/>
    <w:rsid w:val="009A6990"/>
    <w:rsid w:val="009A69EB"/>
    <w:rsid w:val="009A6B1B"/>
    <w:rsid w:val="009A6BFD"/>
    <w:rsid w:val="009A6F9A"/>
    <w:rsid w:val="009A71F2"/>
    <w:rsid w:val="009A72D5"/>
    <w:rsid w:val="009A7510"/>
    <w:rsid w:val="009A7AB3"/>
    <w:rsid w:val="009A7E67"/>
    <w:rsid w:val="009A7F86"/>
    <w:rsid w:val="009B06D0"/>
    <w:rsid w:val="009B09AB"/>
    <w:rsid w:val="009B0A6F"/>
    <w:rsid w:val="009B0FDC"/>
    <w:rsid w:val="009B13FF"/>
    <w:rsid w:val="009B17BE"/>
    <w:rsid w:val="009B1836"/>
    <w:rsid w:val="009B22E6"/>
    <w:rsid w:val="009B286F"/>
    <w:rsid w:val="009B319A"/>
    <w:rsid w:val="009B32F3"/>
    <w:rsid w:val="009B3544"/>
    <w:rsid w:val="009B35DD"/>
    <w:rsid w:val="009B39FC"/>
    <w:rsid w:val="009B3CC3"/>
    <w:rsid w:val="009B4279"/>
    <w:rsid w:val="009B4B1E"/>
    <w:rsid w:val="009B4F65"/>
    <w:rsid w:val="009B567E"/>
    <w:rsid w:val="009B5B91"/>
    <w:rsid w:val="009B5E11"/>
    <w:rsid w:val="009B5F5A"/>
    <w:rsid w:val="009B6534"/>
    <w:rsid w:val="009B6574"/>
    <w:rsid w:val="009B675D"/>
    <w:rsid w:val="009B68C8"/>
    <w:rsid w:val="009B6FB6"/>
    <w:rsid w:val="009B7329"/>
    <w:rsid w:val="009B7508"/>
    <w:rsid w:val="009B7B14"/>
    <w:rsid w:val="009B7B4B"/>
    <w:rsid w:val="009B7F13"/>
    <w:rsid w:val="009C046A"/>
    <w:rsid w:val="009C0C7A"/>
    <w:rsid w:val="009C18F4"/>
    <w:rsid w:val="009C19FC"/>
    <w:rsid w:val="009C1F84"/>
    <w:rsid w:val="009C2176"/>
    <w:rsid w:val="009C235D"/>
    <w:rsid w:val="009C2E99"/>
    <w:rsid w:val="009C3597"/>
    <w:rsid w:val="009C36C1"/>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CF6"/>
    <w:rsid w:val="009C6EF9"/>
    <w:rsid w:val="009C73D0"/>
    <w:rsid w:val="009C7989"/>
    <w:rsid w:val="009C7B32"/>
    <w:rsid w:val="009D0D09"/>
    <w:rsid w:val="009D0EB0"/>
    <w:rsid w:val="009D0ED8"/>
    <w:rsid w:val="009D111B"/>
    <w:rsid w:val="009D12B7"/>
    <w:rsid w:val="009D14E0"/>
    <w:rsid w:val="009D1509"/>
    <w:rsid w:val="009D1641"/>
    <w:rsid w:val="009D1F77"/>
    <w:rsid w:val="009D295E"/>
    <w:rsid w:val="009D2A4F"/>
    <w:rsid w:val="009D2B0D"/>
    <w:rsid w:val="009D3237"/>
    <w:rsid w:val="009D41E5"/>
    <w:rsid w:val="009D43A6"/>
    <w:rsid w:val="009D4497"/>
    <w:rsid w:val="009D4576"/>
    <w:rsid w:val="009D4ED0"/>
    <w:rsid w:val="009D4F37"/>
    <w:rsid w:val="009D4F95"/>
    <w:rsid w:val="009D512D"/>
    <w:rsid w:val="009D5385"/>
    <w:rsid w:val="009D53EF"/>
    <w:rsid w:val="009D54C4"/>
    <w:rsid w:val="009D5AF6"/>
    <w:rsid w:val="009D5BF3"/>
    <w:rsid w:val="009D5FE5"/>
    <w:rsid w:val="009D64B0"/>
    <w:rsid w:val="009D6A7E"/>
    <w:rsid w:val="009D6B58"/>
    <w:rsid w:val="009D70E0"/>
    <w:rsid w:val="009D7713"/>
    <w:rsid w:val="009D7B31"/>
    <w:rsid w:val="009D7D6B"/>
    <w:rsid w:val="009E0191"/>
    <w:rsid w:val="009E0298"/>
    <w:rsid w:val="009E02FB"/>
    <w:rsid w:val="009E034B"/>
    <w:rsid w:val="009E058F"/>
    <w:rsid w:val="009E07CA"/>
    <w:rsid w:val="009E0A2E"/>
    <w:rsid w:val="009E0A3D"/>
    <w:rsid w:val="009E0E9E"/>
    <w:rsid w:val="009E165B"/>
    <w:rsid w:val="009E1944"/>
    <w:rsid w:val="009E1B40"/>
    <w:rsid w:val="009E1B75"/>
    <w:rsid w:val="009E25D0"/>
    <w:rsid w:val="009E2816"/>
    <w:rsid w:val="009E287C"/>
    <w:rsid w:val="009E2AC0"/>
    <w:rsid w:val="009E2D43"/>
    <w:rsid w:val="009E3003"/>
    <w:rsid w:val="009E31B3"/>
    <w:rsid w:val="009E3684"/>
    <w:rsid w:val="009E3868"/>
    <w:rsid w:val="009E3FC6"/>
    <w:rsid w:val="009E41C3"/>
    <w:rsid w:val="009E5300"/>
    <w:rsid w:val="009E5620"/>
    <w:rsid w:val="009E5A65"/>
    <w:rsid w:val="009E5CC3"/>
    <w:rsid w:val="009E5D5C"/>
    <w:rsid w:val="009E5EAB"/>
    <w:rsid w:val="009E693B"/>
    <w:rsid w:val="009E69D0"/>
    <w:rsid w:val="009E6D0B"/>
    <w:rsid w:val="009E772A"/>
    <w:rsid w:val="009E77F5"/>
    <w:rsid w:val="009E79D5"/>
    <w:rsid w:val="009E79ED"/>
    <w:rsid w:val="009F06CF"/>
    <w:rsid w:val="009F075A"/>
    <w:rsid w:val="009F09C1"/>
    <w:rsid w:val="009F09C2"/>
    <w:rsid w:val="009F1017"/>
    <w:rsid w:val="009F1068"/>
    <w:rsid w:val="009F10A8"/>
    <w:rsid w:val="009F17CD"/>
    <w:rsid w:val="009F17F9"/>
    <w:rsid w:val="009F1936"/>
    <w:rsid w:val="009F223C"/>
    <w:rsid w:val="009F22B2"/>
    <w:rsid w:val="009F22F4"/>
    <w:rsid w:val="009F2A6D"/>
    <w:rsid w:val="009F2AC5"/>
    <w:rsid w:val="009F2E49"/>
    <w:rsid w:val="009F2ECA"/>
    <w:rsid w:val="009F3435"/>
    <w:rsid w:val="009F3946"/>
    <w:rsid w:val="009F3A36"/>
    <w:rsid w:val="009F3CE7"/>
    <w:rsid w:val="009F42B4"/>
    <w:rsid w:val="009F43DB"/>
    <w:rsid w:val="009F46C7"/>
    <w:rsid w:val="009F4CA1"/>
    <w:rsid w:val="009F4FA8"/>
    <w:rsid w:val="009F55FD"/>
    <w:rsid w:val="009F60A9"/>
    <w:rsid w:val="009F6BC1"/>
    <w:rsid w:val="009F702B"/>
    <w:rsid w:val="009F719C"/>
    <w:rsid w:val="009F72F0"/>
    <w:rsid w:val="009F7934"/>
    <w:rsid w:val="009F7D7C"/>
    <w:rsid w:val="00A0054C"/>
    <w:rsid w:val="00A0057D"/>
    <w:rsid w:val="00A00EC9"/>
    <w:rsid w:val="00A0160E"/>
    <w:rsid w:val="00A019B9"/>
    <w:rsid w:val="00A01A0B"/>
    <w:rsid w:val="00A01DFB"/>
    <w:rsid w:val="00A01E7D"/>
    <w:rsid w:val="00A01F5B"/>
    <w:rsid w:val="00A02071"/>
    <w:rsid w:val="00A025B2"/>
    <w:rsid w:val="00A026D3"/>
    <w:rsid w:val="00A0279D"/>
    <w:rsid w:val="00A0287E"/>
    <w:rsid w:val="00A02C2F"/>
    <w:rsid w:val="00A02F6C"/>
    <w:rsid w:val="00A02FA7"/>
    <w:rsid w:val="00A02FC4"/>
    <w:rsid w:val="00A0327F"/>
    <w:rsid w:val="00A032C2"/>
    <w:rsid w:val="00A03314"/>
    <w:rsid w:val="00A04033"/>
    <w:rsid w:val="00A04040"/>
    <w:rsid w:val="00A048C8"/>
    <w:rsid w:val="00A0502F"/>
    <w:rsid w:val="00A05070"/>
    <w:rsid w:val="00A055EF"/>
    <w:rsid w:val="00A064B2"/>
    <w:rsid w:val="00A06513"/>
    <w:rsid w:val="00A074A4"/>
    <w:rsid w:val="00A07526"/>
    <w:rsid w:val="00A07678"/>
    <w:rsid w:val="00A077F0"/>
    <w:rsid w:val="00A07FC6"/>
    <w:rsid w:val="00A1013B"/>
    <w:rsid w:val="00A1030B"/>
    <w:rsid w:val="00A10337"/>
    <w:rsid w:val="00A104AE"/>
    <w:rsid w:val="00A105DD"/>
    <w:rsid w:val="00A10CB4"/>
    <w:rsid w:val="00A1133A"/>
    <w:rsid w:val="00A11517"/>
    <w:rsid w:val="00A115BA"/>
    <w:rsid w:val="00A11850"/>
    <w:rsid w:val="00A118AE"/>
    <w:rsid w:val="00A11DF4"/>
    <w:rsid w:val="00A120F5"/>
    <w:rsid w:val="00A128B4"/>
    <w:rsid w:val="00A12CB4"/>
    <w:rsid w:val="00A12D34"/>
    <w:rsid w:val="00A12F55"/>
    <w:rsid w:val="00A12F6A"/>
    <w:rsid w:val="00A136B7"/>
    <w:rsid w:val="00A13C79"/>
    <w:rsid w:val="00A145A5"/>
    <w:rsid w:val="00A1468B"/>
    <w:rsid w:val="00A14C92"/>
    <w:rsid w:val="00A152AF"/>
    <w:rsid w:val="00A1547E"/>
    <w:rsid w:val="00A158F0"/>
    <w:rsid w:val="00A15A7C"/>
    <w:rsid w:val="00A15BE2"/>
    <w:rsid w:val="00A16413"/>
    <w:rsid w:val="00A16684"/>
    <w:rsid w:val="00A16831"/>
    <w:rsid w:val="00A16CE4"/>
    <w:rsid w:val="00A175D3"/>
    <w:rsid w:val="00A17867"/>
    <w:rsid w:val="00A17C46"/>
    <w:rsid w:val="00A20309"/>
    <w:rsid w:val="00A20BE1"/>
    <w:rsid w:val="00A20C9A"/>
    <w:rsid w:val="00A21992"/>
    <w:rsid w:val="00A21C2F"/>
    <w:rsid w:val="00A21C58"/>
    <w:rsid w:val="00A21D47"/>
    <w:rsid w:val="00A2262B"/>
    <w:rsid w:val="00A2264B"/>
    <w:rsid w:val="00A22C4F"/>
    <w:rsid w:val="00A231E3"/>
    <w:rsid w:val="00A23486"/>
    <w:rsid w:val="00A23876"/>
    <w:rsid w:val="00A239AD"/>
    <w:rsid w:val="00A2424A"/>
    <w:rsid w:val="00A244B1"/>
    <w:rsid w:val="00A247DA"/>
    <w:rsid w:val="00A254B6"/>
    <w:rsid w:val="00A30171"/>
    <w:rsid w:val="00A301BB"/>
    <w:rsid w:val="00A30616"/>
    <w:rsid w:val="00A3091A"/>
    <w:rsid w:val="00A30A48"/>
    <w:rsid w:val="00A30EC8"/>
    <w:rsid w:val="00A3107A"/>
    <w:rsid w:val="00A3189E"/>
    <w:rsid w:val="00A318A5"/>
    <w:rsid w:val="00A31BD8"/>
    <w:rsid w:val="00A32461"/>
    <w:rsid w:val="00A330B7"/>
    <w:rsid w:val="00A33C0C"/>
    <w:rsid w:val="00A33E32"/>
    <w:rsid w:val="00A34502"/>
    <w:rsid w:val="00A34619"/>
    <w:rsid w:val="00A34AF7"/>
    <w:rsid w:val="00A34FE0"/>
    <w:rsid w:val="00A34FFF"/>
    <w:rsid w:val="00A35053"/>
    <w:rsid w:val="00A359E5"/>
    <w:rsid w:val="00A35A87"/>
    <w:rsid w:val="00A35AB7"/>
    <w:rsid w:val="00A35E18"/>
    <w:rsid w:val="00A363C2"/>
    <w:rsid w:val="00A365EC"/>
    <w:rsid w:val="00A365FB"/>
    <w:rsid w:val="00A3675F"/>
    <w:rsid w:val="00A36878"/>
    <w:rsid w:val="00A36A68"/>
    <w:rsid w:val="00A36BCB"/>
    <w:rsid w:val="00A37839"/>
    <w:rsid w:val="00A37FAB"/>
    <w:rsid w:val="00A407D6"/>
    <w:rsid w:val="00A408E7"/>
    <w:rsid w:val="00A40E01"/>
    <w:rsid w:val="00A40FB2"/>
    <w:rsid w:val="00A41607"/>
    <w:rsid w:val="00A4179F"/>
    <w:rsid w:val="00A41ACF"/>
    <w:rsid w:val="00A41F80"/>
    <w:rsid w:val="00A42028"/>
    <w:rsid w:val="00A42990"/>
    <w:rsid w:val="00A42B18"/>
    <w:rsid w:val="00A4304E"/>
    <w:rsid w:val="00A4304F"/>
    <w:rsid w:val="00A437FE"/>
    <w:rsid w:val="00A43B64"/>
    <w:rsid w:val="00A44426"/>
    <w:rsid w:val="00A4489D"/>
    <w:rsid w:val="00A448F9"/>
    <w:rsid w:val="00A45270"/>
    <w:rsid w:val="00A454FC"/>
    <w:rsid w:val="00A45718"/>
    <w:rsid w:val="00A46405"/>
    <w:rsid w:val="00A46C6D"/>
    <w:rsid w:val="00A46EE0"/>
    <w:rsid w:val="00A46EF0"/>
    <w:rsid w:val="00A470E2"/>
    <w:rsid w:val="00A5003B"/>
    <w:rsid w:val="00A500C9"/>
    <w:rsid w:val="00A50122"/>
    <w:rsid w:val="00A5044D"/>
    <w:rsid w:val="00A504D2"/>
    <w:rsid w:val="00A504EE"/>
    <w:rsid w:val="00A50676"/>
    <w:rsid w:val="00A508C5"/>
    <w:rsid w:val="00A50B17"/>
    <w:rsid w:val="00A50DEA"/>
    <w:rsid w:val="00A50F97"/>
    <w:rsid w:val="00A511B4"/>
    <w:rsid w:val="00A51482"/>
    <w:rsid w:val="00A51621"/>
    <w:rsid w:val="00A51775"/>
    <w:rsid w:val="00A51BC6"/>
    <w:rsid w:val="00A527B4"/>
    <w:rsid w:val="00A52851"/>
    <w:rsid w:val="00A52B3C"/>
    <w:rsid w:val="00A52C34"/>
    <w:rsid w:val="00A52ED0"/>
    <w:rsid w:val="00A53077"/>
    <w:rsid w:val="00A533CB"/>
    <w:rsid w:val="00A535A6"/>
    <w:rsid w:val="00A53823"/>
    <w:rsid w:val="00A53A8B"/>
    <w:rsid w:val="00A53AD0"/>
    <w:rsid w:val="00A53D28"/>
    <w:rsid w:val="00A54CC5"/>
    <w:rsid w:val="00A54EA0"/>
    <w:rsid w:val="00A55179"/>
    <w:rsid w:val="00A55C43"/>
    <w:rsid w:val="00A55D53"/>
    <w:rsid w:val="00A55F45"/>
    <w:rsid w:val="00A56AEE"/>
    <w:rsid w:val="00A56B96"/>
    <w:rsid w:val="00A56C0C"/>
    <w:rsid w:val="00A56C12"/>
    <w:rsid w:val="00A57071"/>
    <w:rsid w:val="00A57755"/>
    <w:rsid w:val="00A579D1"/>
    <w:rsid w:val="00A57FF1"/>
    <w:rsid w:val="00A603AF"/>
    <w:rsid w:val="00A6046C"/>
    <w:rsid w:val="00A60540"/>
    <w:rsid w:val="00A614D3"/>
    <w:rsid w:val="00A61F82"/>
    <w:rsid w:val="00A6230B"/>
    <w:rsid w:val="00A6257B"/>
    <w:rsid w:val="00A62673"/>
    <w:rsid w:val="00A62CC7"/>
    <w:rsid w:val="00A62D53"/>
    <w:rsid w:val="00A633CE"/>
    <w:rsid w:val="00A63493"/>
    <w:rsid w:val="00A6452E"/>
    <w:rsid w:val="00A64DDB"/>
    <w:rsid w:val="00A64EC6"/>
    <w:rsid w:val="00A6512A"/>
    <w:rsid w:val="00A65246"/>
    <w:rsid w:val="00A6529F"/>
    <w:rsid w:val="00A6539E"/>
    <w:rsid w:val="00A6553D"/>
    <w:rsid w:val="00A656BB"/>
    <w:rsid w:val="00A65744"/>
    <w:rsid w:val="00A657E8"/>
    <w:rsid w:val="00A6666B"/>
    <w:rsid w:val="00A66C21"/>
    <w:rsid w:val="00A66CAD"/>
    <w:rsid w:val="00A676DE"/>
    <w:rsid w:val="00A677DA"/>
    <w:rsid w:val="00A67816"/>
    <w:rsid w:val="00A67B49"/>
    <w:rsid w:val="00A701BE"/>
    <w:rsid w:val="00A72179"/>
    <w:rsid w:val="00A72369"/>
    <w:rsid w:val="00A724C1"/>
    <w:rsid w:val="00A7260F"/>
    <w:rsid w:val="00A726F7"/>
    <w:rsid w:val="00A72CE2"/>
    <w:rsid w:val="00A730BB"/>
    <w:rsid w:val="00A7386E"/>
    <w:rsid w:val="00A73BE0"/>
    <w:rsid w:val="00A741AA"/>
    <w:rsid w:val="00A74B2C"/>
    <w:rsid w:val="00A74CBF"/>
    <w:rsid w:val="00A74D0E"/>
    <w:rsid w:val="00A74E8F"/>
    <w:rsid w:val="00A757D8"/>
    <w:rsid w:val="00A75D1A"/>
    <w:rsid w:val="00A7607C"/>
    <w:rsid w:val="00A769C8"/>
    <w:rsid w:val="00A76B0E"/>
    <w:rsid w:val="00A76F65"/>
    <w:rsid w:val="00A77BFD"/>
    <w:rsid w:val="00A77C81"/>
    <w:rsid w:val="00A8002E"/>
    <w:rsid w:val="00A8009F"/>
    <w:rsid w:val="00A8039F"/>
    <w:rsid w:val="00A80680"/>
    <w:rsid w:val="00A80987"/>
    <w:rsid w:val="00A80B75"/>
    <w:rsid w:val="00A80BCD"/>
    <w:rsid w:val="00A80C4F"/>
    <w:rsid w:val="00A80D67"/>
    <w:rsid w:val="00A81087"/>
    <w:rsid w:val="00A810C8"/>
    <w:rsid w:val="00A8171C"/>
    <w:rsid w:val="00A822B2"/>
    <w:rsid w:val="00A82353"/>
    <w:rsid w:val="00A8242C"/>
    <w:rsid w:val="00A8248C"/>
    <w:rsid w:val="00A829C1"/>
    <w:rsid w:val="00A82F22"/>
    <w:rsid w:val="00A82F3E"/>
    <w:rsid w:val="00A831DA"/>
    <w:rsid w:val="00A83460"/>
    <w:rsid w:val="00A838CD"/>
    <w:rsid w:val="00A83A60"/>
    <w:rsid w:val="00A83D4D"/>
    <w:rsid w:val="00A8400D"/>
    <w:rsid w:val="00A84802"/>
    <w:rsid w:val="00A84811"/>
    <w:rsid w:val="00A849CA"/>
    <w:rsid w:val="00A84AF7"/>
    <w:rsid w:val="00A85405"/>
    <w:rsid w:val="00A8604B"/>
    <w:rsid w:val="00A8616C"/>
    <w:rsid w:val="00A861F7"/>
    <w:rsid w:val="00A86451"/>
    <w:rsid w:val="00A86CF5"/>
    <w:rsid w:val="00A87739"/>
    <w:rsid w:val="00A87940"/>
    <w:rsid w:val="00A87F9E"/>
    <w:rsid w:val="00A9019C"/>
    <w:rsid w:val="00A90362"/>
    <w:rsid w:val="00A90C41"/>
    <w:rsid w:val="00A90FE5"/>
    <w:rsid w:val="00A912A4"/>
    <w:rsid w:val="00A914A8"/>
    <w:rsid w:val="00A91667"/>
    <w:rsid w:val="00A91A9B"/>
    <w:rsid w:val="00A91E5B"/>
    <w:rsid w:val="00A92F73"/>
    <w:rsid w:val="00A9303A"/>
    <w:rsid w:val="00A934BD"/>
    <w:rsid w:val="00A93852"/>
    <w:rsid w:val="00A940C0"/>
    <w:rsid w:val="00A94578"/>
    <w:rsid w:val="00A94C9F"/>
    <w:rsid w:val="00A95085"/>
    <w:rsid w:val="00A959EE"/>
    <w:rsid w:val="00A95D22"/>
    <w:rsid w:val="00A9618F"/>
    <w:rsid w:val="00A96222"/>
    <w:rsid w:val="00A96AC8"/>
    <w:rsid w:val="00A96ADC"/>
    <w:rsid w:val="00A96F2C"/>
    <w:rsid w:val="00A97308"/>
    <w:rsid w:val="00A975A9"/>
    <w:rsid w:val="00A97CA7"/>
    <w:rsid w:val="00A97FB6"/>
    <w:rsid w:val="00AA062A"/>
    <w:rsid w:val="00AA0A5E"/>
    <w:rsid w:val="00AA0BA2"/>
    <w:rsid w:val="00AA0BD2"/>
    <w:rsid w:val="00AA0C9D"/>
    <w:rsid w:val="00AA0F73"/>
    <w:rsid w:val="00AA0F80"/>
    <w:rsid w:val="00AA116A"/>
    <w:rsid w:val="00AA1478"/>
    <w:rsid w:val="00AA14BB"/>
    <w:rsid w:val="00AA157F"/>
    <w:rsid w:val="00AA1998"/>
    <w:rsid w:val="00AA2255"/>
    <w:rsid w:val="00AA22E1"/>
    <w:rsid w:val="00AA28BC"/>
    <w:rsid w:val="00AA2BFD"/>
    <w:rsid w:val="00AA2DE9"/>
    <w:rsid w:val="00AA3337"/>
    <w:rsid w:val="00AA3B4A"/>
    <w:rsid w:val="00AA48F7"/>
    <w:rsid w:val="00AA6097"/>
    <w:rsid w:val="00AA657A"/>
    <w:rsid w:val="00AA68F3"/>
    <w:rsid w:val="00AA6929"/>
    <w:rsid w:val="00AA6DAC"/>
    <w:rsid w:val="00AA6FD9"/>
    <w:rsid w:val="00AA7035"/>
    <w:rsid w:val="00AA737D"/>
    <w:rsid w:val="00AA7A17"/>
    <w:rsid w:val="00AA7B3B"/>
    <w:rsid w:val="00AA7EF8"/>
    <w:rsid w:val="00AB00B3"/>
    <w:rsid w:val="00AB028A"/>
    <w:rsid w:val="00AB0363"/>
    <w:rsid w:val="00AB05BE"/>
    <w:rsid w:val="00AB0FB9"/>
    <w:rsid w:val="00AB13EB"/>
    <w:rsid w:val="00AB17E1"/>
    <w:rsid w:val="00AB1A60"/>
    <w:rsid w:val="00AB1BA7"/>
    <w:rsid w:val="00AB2A8C"/>
    <w:rsid w:val="00AB2AFE"/>
    <w:rsid w:val="00AB2E6C"/>
    <w:rsid w:val="00AB30AB"/>
    <w:rsid w:val="00AB351E"/>
    <w:rsid w:val="00AB356A"/>
    <w:rsid w:val="00AB3786"/>
    <w:rsid w:val="00AB40AD"/>
    <w:rsid w:val="00AB4A92"/>
    <w:rsid w:val="00AB4B0D"/>
    <w:rsid w:val="00AB56EF"/>
    <w:rsid w:val="00AB582D"/>
    <w:rsid w:val="00AB5E4B"/>
    <w:rsid w:val="00AB5F74"/>
    <w:rsid w:val="00AB603D"/>
    <w:rsid w:val="00AB628C"/>
    <w:rsid w:val="00AB6523"/>
    <w:rsid w:val="00AB673A"/>
    <w:rsid w:val="00AB691E"/>
    <w:rsid w:val="00AB6BC8"/>
    <w:rsid w:val="00AB6E50"/>
    <w:rsid w:val="00AB7D2D"/>
    <w:rsid w:val="00AC0AFC"/>
    <w:rsid w:val="00AC1151"/>
    <w:rsid w:val="00AC13F2"/>
    <w:rsid w:val="00AC14F5"/>
    <w:rsid w:val="00AC15EB"/>
    <w:rsid w:val="00AC1635"/>
    <w:rsid w:val="00AC1705"/>
    <w:rsid w:val="00AC17B4"/>
    <w:rsid w:val="00AC1869"/>
    <w:rsid w:val="00AC18C4"/>
    <w:rsid w:val="00AC19C1"/>
    <w:rsid w:val="00AC26A3"/>
    <w:rsid w:val="00AC3140"/>
    <w:rsid w:val="00AC314B"/>
    <w:rsid w:val="00AC31A9"/>
    <w:rsid w:val="00AC31AC"/>
    <w:rsid w:val="00AC327F"/>
    <w:rsid w:val="00AC34E5"/>
    <w:rsid w:val="00AC35E9"/>
    <w:rsid w:val="00AC3896"/>
    <w:rsid w:val="00AC3F9D"/>
    <w:rsid w:val="00AC42BA"/>
    <w:rsid w:val="00AC4804"/>
    <w:rsid w:val="00AC4DAE"/>
    <w:rsid w:val="00AC50F6"/>
    <w:rsid w:val="00AC5BB4"/>
    <w:rsid w:val="00AC6022"/>
    <w:rsid w:val="00AC616A"/>
    <w:rsid w:val="00AC6199"/>
    <w:rsid w:val="00AC6285"/>
    <w:rsid w:val="00AC6459"/>
    <w:rsid w:val="00AC6771"/>
    <w:rsid w:val="00AC6DFB"/>
    <w:rsid w:val="00AC7539"/>
    <w:rsid w:val="00AC7BBA"/>
    <w:rsid w:val="00AD035C"/>
    <w:rsid w:val="00AD0BB2"/>
    <w:rsid w:val="00AD0D0E"/>
    <w:rsid w:val="00AD10A1"/>
    <w:rsid w:val="00AD123E"/>
    <w:rsid w:val="00AD15B4"/>
    <w:rsid w:val="00AD1C41"/>
    <w:rsid w:val="00AD1CE0"/>
    <w:rsid w:val="00AD1DC2"/>
    <w:rsid w:val="00AD1E10"/>
    <w:rsid w:val="00AD21E1"/>
    <w:rsid w:val="00AD28A6"/>
    <w:rsid w:val="00AD2D4A"/>
    <w:rsid w:val="00AD2E76"/>
    <w:rsid w:val="00AD31A7"/>
    <w:rsid w:val="00AD3814"/>
    <w:rsid w:val="00AD3852"/>
    <w:rsid w:val="00AD3D60"/>
    <w:rsid w:val="00AD3E97"/>
    <w:rsid w:val="00AD3F5A"/>
    <w:rsid w:val="00AD43F9"/>
    <w:rsid w:val="00AD4540"/>
    <w:rsid w:val="00AD4C6D"/>
    <w:rsid w:val="00AD4D51"/>
    <w:rsid w:val="00AD4D6B"/>
    <w:rsid w:val="00AD5398"/>
    <w:rsid w:val="00AD5520"/>
    <w:rsid w:val="00AD5816"/>
    <w:rsid w:val="00AD591E"/>
    <w:rsid w:val="00AD5AC6"/>
    <w:rsid w:val="00AD5C69"/>
    <w:rsid w:val="00AD5E4A"/>
    <w:rsid w:val="00AD658D"/>
    <w:rsid w:val="00AD6931"/>
    <w:rsid w:val="00AD693C"/>
    <w:rsid w:val="00AD6A54"/>
    <w:rsid w:val="00AD7085"/>
    <w:rsid w:val="00AD7240"/>
    <w:rsid w:val="00AD7505"/>
    <w:rsid w:val="00AD7BD9"/>
    <w:rsid w:val="00AD7EDA"/>
    <w:rsid w:val="00AD7EDC"/>
    <w:rsid w:val="00AE0EA2"/>
    <w:rsid w:val="00AE1140"/>
    <w:rsid w:val="00AE1210"/>
    <w:rsid w:val="00AE13A8"/>
    <w:rsid w:val="00AE144F"/>
    <w:rsid w:val="00AE16F4"/>
    <w:rsid w:val="00AE21B6"/>
    <w:rsid w:val="00AE2A10"/>
    <w:rsid w:val="00AE2EEC"/>
    <w:rsid w:val="00AE2EF1"/>
    <w:rsid w:val="00AE2F71"/>
    <w:rsid w:val="00AE349B"/>
    <w:rsid w:val="00AE34A7"/>
    <w:rsid w:val="00AE3763"/>
    <w:rsid w:val="00AE3837"/>
    <w:rsid w:val="00AE3973"/>
    <w:rsid w:val="00AE3C0C"/>
    <w:rsid w:val="00AE481E"/>
    <w:rsid w:val="00AE482C"/>
    <w:rsid w:val="00AE487D"/>
    <w:rsid w:val="00AE4E3A"/>
    <w:rsid w:val="00AE4ECF"/>
    <w:rsid w:val="00AE5259"/>
    <w:rsid w:val="00AE5FE3"/>
    <w:rsid w:val="00AE6116"/>
    <w:rsid w:val="00AE78D8"/>
    <w:rsid w:val="00AE7AD7"/>
    <w:rsid w:val="00AF01C2"/>
    <w:rsid w:val="00AF0B8B"/>
    <w:rsid w:val="00AF0C34"/>
    <w:rsid w:val="00AF10D8"/>
    <w:rsid w:val="00AF10DA"/>
    <w:rsid w:val="00AF1171"/>
    <w:rsid w:val="00AF13E2"/>
    <w:rsid w:val="00AF19B1"/>
    <w:rsid w:val="00AF1CA9"/>
    <w:rsid w:val="00AF1FC1"/>
    <w:rsid w:val="00AF24E4"/>
    <w:rsid w:val="00AF258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38D"/>
    <w:rsid w:val="00AF7677"/>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33B9"/>
    <w:rsid w:val="00B0429D"/>
    <w:rsid w:val="00B044EF"/>
    <w:rsid w:val="00B047AD"/>
    <w:rsid w:val="00B04A32"/>
    <w:rsid w:val="00B06231"/>
    <w:rsid w:val="00B06583"/>
    <w:rsid w:val="00B066B3"/>
    <w:rsid w:val="00B0677C"/>
    <w:rsid w:val="00B06936"/>
    <w:rsid w:val="00B06C19"/>
    <w:rsid w:val="00B06DB5"/>
    <w:rsid w:val="00B06F5B"/>
    <w:rsid w:val="00B071A5"/>
    <w:rsid w:val="00B0751A"/>
    <w:rsid w:val="00B07557"/>
    <w:rsid w:val="00B07622"/>
    <w:rsid w:val="00B0769D"/>
    <w:rsid w:val="00B079E7"/>
    <w:rsid w:val="00B07A29"/>
    <w:rsid w:val="00B07A6D"/>
    <w:rsid w:val="00B10011"/>
    <w:rsid w:val="00B108DF"/>
    <w:rsid w:val="00B10BF6"/>
    <w:rsid w:val="00B10FC8"/>
    <w:rsid w:val="00B112A3"/>
    <w:rsid w:val="00B11A1F"/>
    <w:rsid w:val="00B11DB1"/>
    <w:rsid w:val="00B11F85"/>
    <w:rsid w:val="00B1208C"/>
    <w:rsid w:val="00B120F0"/>
    <w:rsid w:val="00B125DE"/>
    <w:rsid w:val="00B12779"/>
    <w:rsid w:val="00B12A5D"/>
    <w:rsid w:val="00B12D25"/>
    <w:rsid w:val="00B12E7B"/>
    <w:rsid w:val="00B13391"/>
    <w:rsid w:val="00B13397"/>
    <w:rsid w:val="00B13BC2"/>
    <w:rsid w:val="00B1414C"/>
    <w:rsid w:val="00B1450B"/>
    <w:rsid w:val="00B149DE"/>
    <w:rsid w:val="00B14C32"/>
    <w:rsid w:val="00B152AA"/>
    <w:rsid w:val="00B15529"/>
    <w:rsid w:val="00B160CE"/>
    <w:rsid w:val="00B1656A"/>
    <w:rsid w:val="00B1686C"/>
    <w:rsid w:val="00B17332"/>
    <w:rsid w:val="00B17868"/>
    <w:rsid w:val="00B17879"/>
    <w:rsid w:val="00B17B30"/>
    <w:rsid w:val="00B17BFF"/>
    <w:rsid w:val="00B207BE"/>
    <w:rsid w:val="00B20919"/>
    <w:rsid w:val="00B20E2C"/>
    <w:rsid w:val="00B20F07"/>
    <w:rsid w:val="00B21BBB"/>
    <w:rsid w:val="00B22361"/>
    <w:rsid w:val="00B22A9A"/>
    <w:rsid w:val="00B22D32"/>
    <w:rsid w:val="00B22E5E"/>
    <w:rsid w:val="00B231A4"/>
    <w:rsid w:val="00B23701"/>
    <w:rsid w:val="00B238B6"/>
    <w:rsid w:val="00B23992"/>
    <w:rsid w:val="00B239E4"/>
    <w:rsid w:val="00B23C23"/>
    <w:rsid w:val="00B23D4D"/>
    <w:rsid w:val="00B243C5"/>
    <w:rsid w:val="00B24689"/>
    <w:rsid w:val="00B24A7B"/>
    <w:rsid w:val="00B24CFC"/>
    <w:rsid w:val="00B24EF5"/>
    <w:rsid w:val="00B25280"/>
    <w:rsid w:val="00B25373"/>
    <w:rsid w:val="00B25D90"/>
    <w:rsid w:val="00B26012"/>
    <w:rsid w:val="00B2692C"/>
    <w:rsid w:val="00B26A5B"/>
    <w:rsid w:val="00B26D4D"/>
    <w:rsid w:val="00B272C3"/>
    <w:rsid w:val="00B27435"/>
    <w:rsid w:val="00B27542"/>
    <w:rsid w:val="00B275DF"/>
    <w:rsid w:val="00B2773B"/>
    <w:rsid w:val="00B27927"/>
    <w:rsid w:val="00B27F49"/>
    <w:rsid w:val="00B30618"/>
    <w:rsid w:val="00B306CC"/>
    <w:rsid w:val="00B30C0C"/>
    <w:rsid w:val="00B30C7D"/>
    <w:rsid w:val="00B30F28"/>
    <w:rsid w:val="00B314C0"/>
    <w:rsid w:val="00B31596"/>
    <w:rsid w:val="00B31916"/>
    <w:rsid w:val="00B31CE6"/>
    <w:rsid w:val="00B31DC0"/>
    <w:rsid w:val="00B31DCD"/>
    <w:rsid w:val="00B31E1B"/>
    <w:rsid w:val="00B31EF0"/>
    <w:rsid w:val="00B3219C"/>
    <w:rsid w:val="00B32815"/>
    <w:rsid w:val="00B3287F"/>
    <w:rsid w:val="00B32CD2"/>
    <w:rsid w:val="00B32EFA"/>
    <w:rsid w:val="00B32F2D"/>
    <w:rsid w:val="00B331B0"/>
    <w:rsid w:val="00B332F3"/>
    <w:rsid w:val="00B334DC"/>
    <w:rsid w:val="00B33552"/>
    <w:rsid w:val="00B3359D"/>
    <w:rsid w:val="00B33815"/>
    <w:rsid w:val="00B33B9F"/>
    <w:rsid w:val="00B33E1F"/>
    <w:rsid w:val="00B33E45"/>
    <w:rsid w:val="00B33F6C"/>
    <w:rsid w:val="00B340E5"/>
    <w:rsid w:val="00B34452"/>
    <w:rsid w:val="00B34CCD"/>
    <w:rsid w:val="00B3560A"/>
    <w:rsid w:val="00B35B12"/>
    <w:rsid w:val="00B35B78"/>
    <w:rsid w:val="00B35C99"/>
    <w:rsid w:val="00B35DC7"/>
    <w:rsid w:val="00B3610D"/>
    <w:rsid w:val="00B362AB"/>
    <w:rsid w:val="00B365DE"/>
    <w:rsid w:val="00B367F2"/>
    <w:rsid w:val="00B36893"/>
    <w:rsid w:val="00B36A4C"/>
    <w:rsid w:val="00B36E66"/>
    <w:rsid w:val="00B36E68"/>
    <w:rsid w:val="00B37ABF"/>
    <w:rsid w:val="00B37C32"/>
    <w:rsid w:val="00B401BD"/>
    <w:rsid w:val="00B4041F"/>
    <w:rsid w:val="00B40FBD"/>
    <w:rsid w:val="00B4106D"/>
    <w:rsid w:val="00B41658"/>
    <w:rsid w:val="00B4242F"/>
    <w:rsid w:val="00B42BA7"/>
    <w:rsid w:val="00B42DA3"/>
    <w:rsid w:val="00B42FCD"/>
    <w:rsid w:val="00B432F1"/>
    <w:rsid w:val="00B43A1E"/>
    <w:rsid w:val="00B43C24"/>
    <w:rsid w:val="00B4408A"/>
    <w:rsid w:val="00B44223"/>
    <w:rsid w:val="00B442C0"/>
    <w:rsid w:val="00B44301"/>
    <w:rsid w:val="00B44323"/>
    <w:rsid w:val="00B449E1"/>
    <w:rsid w:val="00B44C78"/>
    <w:rsid w:val="00B45766"/>
    <w:rsid w:val="00B45A7C"/>
    <w:rsid w:val="00B45D12"/>
    <w:rsid w:val="00B45FCE"/>
    <w:rsid w:val="00B464D7"/>
    <w:rsid w:val="00B46517"/>
    <w:rsid w:val="00B46F2F"/>
    <w:rsid w:val="00B476B5"/>
    <w:rsid w:val="00B478B9"/>
    <w:rsid w:val="00B47D10"/>
    <w:rsid w:val="00B505C1"/>
    <w:rsid w:val="00B50680"/>
    <w:rsid w:val="00B507CD"/>
    <w:rsid w:val="00B509FC"/>
    <w:rsid w:val="00B50D35"/>
    <w:rsid w:val="00B51047"/>
    <w:rsid w:val="00B512E5"/>
    <w:rsid w:val="00B513CA"/>
    <w:rsid w:val="00B51BA6"/>
    <w:rsid w:val="00B51FC2"/>
    <w:rsid w:val="00B523BC"/>
    <w:rsid w:val="00B524D1"/>
    <w:rsid w:val="00B52730"/>
    <w:rsid w:val="00B52C63"/>
    <w:rsid w:val="00B52DBB"/>
    <w:rsid w:val="00B52EF9"/>
    <w:rsid w:val="00B52F55"/>
    <w:rsid w:val="00B5368C"/>
    <w:rsid w:val="00B536AB"/>
    <w:rsid w:val="00B53937"/>
    <w:rsid w:val="00B53A39"/>
    <w:rsid w:val="00B53D3A"/>
    <w:rsid w:val="00B54165"/>
    <w:rsid w:val="00B54206"/>
    <w:rsid w:val="00B54673"/>
    <w:rsid w:val="00B54C46"/>
    <w:rsid w:val="00B55390"/>
    <w:rsid w:val="00B55568"/>
    <w:rsid w:val="00B555BF"/>
    <w:rsid w:val="00B5570E"/>
    <w:rsid w:val="00B55AB3"/>
    <w:rsid w:val="00B55C6C"/>
    <w:rsid w:val="00B56002"/>
    <w:rsid w:val="00B56A0F"/>
    <w:rsid w:val="00B56BBB"/>
    <w:rsid w:val="00B57114"/>
    <w:rsid w:val="00B57584"/>
    <w:rsid w:val="00B575BE"/>
    <w:rsid w:val="00B577A8"/>
    <w:rsid w:val="00B57887"/>
    <w:rsid w:val="00B5797B"/>
    <w:rsid w:val="00B57AA0"/>
    <w:rsid w:val="00B600AB"/>
    <w:rsid w:val="00B6057C"/>
    <w:rsid w:val="00B6089E"/>
    <w:rsid w:val="00B60BA6"/>
    <w:rsid w:val="00B614C8"/>
    <w:rsid w:val="00B617B5"/>
    <w:rsid w:val="00B61FA9"/>
    <w:rsid w:val="00B6206E"/>
    <w:rsid w:val="00B62C19"/>
    <w:rsid w:val="00B6314C"/>
    <w:rsid w:val="00B63630"/>
    <w:rsid w:val="00B63917"/>
    <w:rsid w:val="00B6433B"/>
    <w:rsid w:val="00B645A4"/>
    <w:rsid w:val="00B6473A"/>
    <w:rsid w:val="00B64BCD"/>
    <w:rsid w:val="00B64DED"/>
    <w:rsid w:val="00B6520F"/>
    <w:rsid w:val="00B669D4"/>
    <w:rsid w:val="00B67038"/>
    <w:rsid w:val="00B675E6"/>
    <w:rsid w:val="00B67796"/>
    <w:rsid w:val="00B7006E"/>
    <w:rsid w:val="00B70081"/>
    <w:rsid w:val="00B700DD"/>
    <w:rsid w:val="00B70155"/>
    <w:rsid w:val="00B70183"/>
    <w:rsid w:val="00B703F3"/>
    <w:rsid w:val="00B70669"/>
    <w:rsid w:val="00B707F4"/>
    <w:rsid w:val="00B70CCF"/>
    <w:rsid w:val="00B71686"/>
    <w:rsid w:val="00B718ED"/>
    <w:rsid w:val="00B71B49"/>
    <w:rsid w:val="00B71DA6"/>
    <w:rsid w:val="00B71DE1"/>
    <w:rsid w:val="00B71F53"/>
    <w:rsid w:val="00B71F65"/>
    <w:rsid w:val="00B7201F"/>
    <w:rsid w:val="00B7228D"/>
    <w:rsid w:val="00B723E0"/>
    <w:rsid w:val="00B7242B"/>
    <w:rsid w:val="00B7277F"/>
    <w:rsid w:val="00B727C4"/>
    <w:rsid w:val="00B72ACE"/>
    <w:rsid w:val="00B72C8B"/>
    <w:rsid w:val="00B72CD2"/>
    <w:rsid w:val="00B72D64"/>
    <w:rsid w:val="00B73744"/>
    <w:rsid w:val="00B73C89"/>
    <w:rsid w:val="00B74582"/>
    <w:rsid w:val="00B74ABA"/>
    <w:rsid w:val="00B74C7E"/>
    <w:rsid w:val="00B74E1E"/>
    <w:rsid w:val="00B7521A"/>
    <w:rsid w:val="00B75371"/>
    <w:rsid w:val="00B75573"/>
    <w:rsid w:val="00B75C9F"/>
    <w:rsid w:val="00B76975"/>
    <w:rsid w:val="00B769EC"/>
    <w:rsid w:val="00B76AD4"/>
    <w:rsid w:val="00B76E24"/>
    <w:rsid w:val="00B771A1"/>
    <w:rsid w:val="00B772FB"/>
    <w:rsid w:val="00B773D3"/>
    <w:rsid w:val="00B77C4B"/>
    <w:rsid w:val="00B80309"/>
    <w:rsid w:val="00B8036E"/>
    <w:rsid w:val="00B80630"/>
    <w:rsid w:val="00B80B9B"/>
    <w:rsid w:val="00B812A5"/>
    <w:rsid w:val="00B813A2"/>
    <w:rsid w:val="00B819DB"/>
    <w:rsid w:val="00B81C8B"/>
    <w:rsid w:val="00B82004"/>
    <w:rsid w:val="00B82191"/>
    <w:rsid w:val="00B821CE"/>
    <w:rsid w:val="00B82287"/>
    <w:rsid w:val="00B8241D"/>
    <w:rsid w:val="00B827A4"/>
    <w:rsid w:val="00B82DD3"/>
    <w:rsid w:val="00B831C3"/>
    <w:rsid w:val="00B83250"/>
    <w:rsid w:val="00B8327C"/>
    <w:rsid w:val="00B83435"/>
    <w:rsid w:val="00B83A0D"/>
    <w:rsid w:val="00B83F18"/>
    <w:rsid w:val="00B84628"/>
    <w:rsid w:val="00B84A64"/>
    <w:rsid w:val="00B84D00"/>
    <w:rsid w:val="00B851DC"/>
    <w:rsid w:val="00B8570C"/>
    <w:rsid w:val="00B85D61"/>
    <w:rsid w:val="00B8610E"/>
    <w:rsid w:val="00B86290"/>
    <w:rsid w:val="00B865B8"/>
    <w:rsid w:val="00B8675C"/>
    <w:rsid w:val="00B86E79"/>
    <w:rsid w:val="00B86F22"/>
    <w:rsid w:val="00B86F63"/>
    <w:rsid w:val="00B8723F"/>
    <w:rsid w:val="00B876B3"/>
    <w:rsid w:val="00B90118"/>
    <w:rsid w:val="00B90255"/>
    <w:rsid w:val="00B90772"/>
    <w:rsid w:val="00B907D1"/>
    <w:rsid w:val="00B90E32"/>
    <w:rsid w:val="00B90E3E"/>
    <w:rsid w:val="00B91029"/>
    <w:rsid w:val="00B9178E"/>
    <w:rsid w:val="00B91D61"/>
    <w:rsid w:val="00B91EEC"/>
    <w:rsid w:val="00B9210D"/>
    <w:rsid w:val="00B92377"/>
    <w:rsid w:val="00B92B3B"/>
    <w:rsid w:val="00B930C8"/>
    <w:rsid w:val="00B938AD"/>
    <w:rsid w:val="00B94136"/>
    <w:rsid w:val="00B942E5"/>
    <w:rsid w:val="00B94637"/>
    <w:rsid w:val="00B949C2"/>
    <w:rsid w:val="00B94C7C"/>
    <w:rsid w:val="00B94F9E"/>
    <w:rsid w:val="00B952F7"/>
    <w:rsid w:val="00B9549B"/>
    <w:rsid w:val="00B95E21"/>
    <w:rsid w:val="00B962FD"/>
    <w:rsid w:val="00B9661B"/>
    <w:rsid w:val="00B967A8"/>
    <w:rsid w:val="00B96F70"/>
    <w:rsid w:val="00B975CD"/>
    <w:rsid w:val="00B977C4"/>
    <w:rsid w:val="00B97865"/>
    <w:rsid w:val="00B97AA6"/>
    <w:rsid w:val="00B97DBF"/>
    <w:rsid w:val="00B97EDF"/>
    <w:rsid w:val="00BA0596"/>
    <w:rsid w:val="00BA072A"/>
    <w:rsid w:val="00BA09E3"/>
    <w:rsid w:val="00BA0D3B"/>
    <w:rsid w:val="00BA0DA9"/>
    <w:rsid w:val="00BA0DAF"/>
    <w:rsid w:val="00BA142F"/>
    <w:rsid w:val="00BA16FE"/>
    <w:rsid w:val="00BA1861"/>
    <w:rsid w:val="00BA1E05"/>
    <w:rsid w:val="00BA1E9B"/>
    <w:rsid w:val="00BA1EC6"/>
    <w:rsid w:val="00BA25C8"/>
    <w:rsid w:val="00BA2681"/>
    <w:rsid w:val="00BA2A38"/>
    <w:rsid w:val="00BA2CD3"/>
    <w:rsid w:val="00BA2E05"/>
    <w:rsid w:val="00BA3B16"/>
    <w:rsid w:val="00BA3BBD"/>
    <w:rsid w:val="00BA4692"/>
    <w:rsid w:val="00BA47C8"/>
    <w:rsid w:val="00BA4936"/>
    <w:rsid w:val="00BA4BF9"/>
    <w:rsid w:val="00BA5065"/>
    <w:rsid w:val="00BA50B9"/>
    <w:rsid w:val="00BA50EB"/>
    <w:rsid w:val="00BA584C"/>
    <w:rsid w:val="00BA61D2"/>
    <w:rsid w:val="00BA62D7"/>
    <w:rsid w:val="00BA63D9"/>
    <w:rsid w:val="00BA6D06"/>
    <w:rsid w:val="00BA7684"/>
    <w:rsid w:val="00BA7776"/>
    <w:rsid w:val="00BA77AD"/>
    <w:rsid w:val="00BA77DF"/>
    <w:rsid w:val="00BA7A1D"/>
    <w:rsid w:val="00BA7C19"/>
    <w:rsid w:val="00BA7C7F"/>
    <w:rsid w:val="00BB03B6"/>
    <w:rsid w:val="00BB03BC"/>
    <w:rsid w:val="00BB0A0C"/>
    <w:rsid w:val="00BB0CE6"/>
    <w:rsid w:val="00BB113D"/>
    <w:rsid w:val="00BB12EF"/>
    <w:rsid w:val="00BB130E"/>
    <w:rsid w:val="00BB1854"/>
    <w:rsid w:val="00BB18AC"/>
    <w:rsid w:val="00BB2028"/>
    <w:rsid w:val="00BB2154"/>
    <w:rsid w:val="00BB2AD1"/>
    <w:rsid w:val="00BB2E67"/>
    <w:rsid w:val="00BB396E"/>
    <w:rsid w:val="00BB3DD6"/>
    <w:rsid w:val="00BB4833"/>
    <w:rsid w:val="00BB483F"/>
    <w:rsid w:val="00BB4A9C"/>
    <w:rsid w:val="00BB4ABD"/>
    <w:rsid w:val="00BB4F28"/>
    <w:rsid w:val="00BB5023"/>
    <w:rsid w:val="00BB57D0"/>
    <w:rsid w:val="00BB5EA2"/>
    <w:rsid w:val="00BB61DB"/>
    <w:rsid w:val="00BB6663"/>
    <w:rsid w:val="00BB6E63"/>
    <w:rsid w:val="00BB71A3"/>
    <w:rsid w:val="00BB73C6"/>
    <w:rsid w:val="00BB776A"/>
    <w:rsid w:val="00BB7AFF"/>
    <w:rsid w:val="00BB7B2E"/>
    <w:rsid w:val="00BB7F2D"/>
    <w:rsid w:val="00BC0676"/>
    <w:rsid w:val="00BC09F1"/>
    <w:rsid w:val="00BC0A05"/>
    <w:rsid w:val="00BC0D68"/>
    <w:rsid w:val="00BC0F1F"/>
    <w:rsid w:val="00BC141E"/>
    <w:rsid w:val="00BC1D04"/>
    <w:rsid w:val="00BC2239"/>
    <w:rsid w:val="00BC24EB"/>
    <w:rsid w:val="00BC2519"/>
    <w:rsid w:val="00BC2833"/>
    <w:rsid w:val="00BC28D0"/>
    <w:rsid w:val="00BC2B7D"/>
    <w:rsid w:val="00BC2D7B"/>
    <w:rsid w:val="00BC3715"/>
    <w:rsid w:val="00BC3AE1"/>
    <w:rsid w:val="00BC4152"/>
    <w:rsid w:val="00BC417C"/>
    <w:rsid w:val="00BC4B77"/>
    <w:rsid w:val="00BC536E"/>
    <w:rsid w:val="00BC5713"/>
    <w:rsid w:val="00BC585E"/>
    <w:rsid w:val="00BC5885"/>
    <w:rsid w:val="00BC5FE5"/>
    <w:rsid w:val="00BC65A8"/>
    <w:rsid w:val="00BC677F"/>
    <w:rsid w:val="00BC7594"/>
    <w:rsid w:val="00BC75BB"/>
    <w:rsid w:val="00BD0070"/>
    <w:rsid w:val="00BD0615"/>
    <w:rsid w:val="00BD06F3"/>
    <w:rsid w:val="00BD0752"/>
    <w:rsid w:val="00BD089C"/>
    <w:rsid w:val="00BD08DA"/>
    <w:rsid w:val="00BD08FD"/>
    <w:rsid w:val="00BD0A9A"/>
    <w:rsid w:val="00BD0EC0"/>
    <w:rsid w:val="00BD1497"/>
    <w:rsid w:val="00BD153A"/>
    <w:rsid w:val="00BD15E7"/>
    <w:rsid w:val="00BD1A0A"/>
    <w:rsid w:val="00BD1C2D"/>
    <w:rsid w:val="00BD1CD2"/>
    <w:rsid w:val="00BD1E6A"/>
    <w:rsid w:val="00BD1EB7"/>
    <w:rsid w:val="00BD207C"/>
    <w:rsid w:val="00BD2AE9"/>
    <w:rsid w:val="00BD2D47"/>
    <w:rsid w:val="00BD36C9"/>
    <w:rsid w:val="00BD3B5D"/>
    <w:rsid w:val="00BD3BB9"/>
    <w:rsid w:val="00BD3E38"/>
    <w:rsid w:val="00BD40ED"/>
    <w:rsid w:val="00BD4132"/>
    <w:rsid w:val="00BD41AC"/>
    <w:rsid w:val="00BD4343"/>
    <w:rsid w:val="00BD45EF"/>
    <w:rsid w:val="00BD4A11"/>
    <w:rsid w:val="00BD4F40"/>
    <w:rsid w:val="00BD4F5D"/>
    <w:rsid w:val="00BD5217"/>
    <w:rsid w:val="00BD5414"/>
    <w:rsid w:val="00BD58CD"/>
    <w:rsid w:val="00BD5A09"/>
    <w:rsid w:val="00BD5F4D"/>
    <w:rsid w:val="00BD6C79"/>
    <w:rsid w:val="00BD6E2E"/>
    <w:rsid w:val="00BD7094"/>
    <w:rsid w:val="00BD71E7"/>
    <w:rsid w:val="00BD720F"/>
    <w:rsid w:val="00BD7700"/>
    <w:rsid w:val="00BD78A1"/>
    <w:rsid w:val="00BD7B27"/>
    <w:rsid w:val="00BD7BB2"/>
    <w:rsid w:val="00BD7BC1"/>
    <w:rsid w:val="00BD7C34"/>
    <w:rsid w:val="00BD7C62"/>
    <w:rsid w:val="00BD7D9B"/>
    <w:rsid w:val="00BD7DA9"/>
    <w:rsid w:val="00BD7FBD"/>
    <w:rsid w:val="00BE0078"/>
    <w:rsid w:val="00BE022E"/>
    <w:rsid w:val="00BE07A4"/>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487A"/>
    <w:rsid w:val="00BE48B9"/>
    <w:rsid w:val="00BE491F"/>
    <w:rsid w:val="00BE56F6"/>
    <w:rsid w:val="00BE59C3"/>
    <w:rsid w:val="00BE5D3B"/>
    <w:rsid w:val="00BE6380"/>
    <w:rsid w:val="00BE6466"/>
    <w:rsid w:val="00BE64A5"/>
    <w:rsid w:val="00BE6AB6"/>
    <w:rsid w:val="00BE6BE4"/>
    <w:rsid w:val="00BE6D8B"/>
    <w:rsid w:val="00BE6F60"/>
    <w:rsid w:val="00BE6FC3"/>
    <w:rsid w:val="00BE724A"/>
    <w:rsid w:val="00BE7646"/>
    <w:rsid w:val="00BE7818"/>
    <w:rsid w:val="00BE7EA3"/>
    <w:rsid w:val="00BF017D"/>
    <w:rsid w:val="00BF0492"/>
    <w:rsid w:val="00BF0622"/>
    <w:rsid w:val="00BF064A"/>
    <w:rsid w:val="00BF115E"/>
    <w:rsid w:val="00BF284F"/>
    <w:rsid w:val="00BF2D53"/>
    <w:rsid w:val="00BF2EA6"/>
    <w:rsid w:val="00BF3448"/>
    <w:rsid w:val="00BF3465"/>
    <w:rsid w:val="00BF38DB"/>
    <w:rsid w:val="00BF4012"/>
    <w:rsid w:val="00BF4015"/>
    <w:rsid w:val="00BF42FA"/>
    <w:rsid w:val="00BF4385"/>
    <w:rsid w:val="00BF4683"/>
    <w:rsid w:val="00BF4849"/>
    <w:rsid w:val="00BF48B5"/>
    <w:rsid w:val="00BF49E8"/>
    <w:rsid w:val="00BF4AD5"/>
    <w:rsid w:val="00BF4E04"/>
    <w:rsid w:val="00BF51B5"/>
    <w:rsid w:val="00BF548B"/>
    <w:rsid w:val="00BF550E"/>
    <w:rsid w:val="00BF56C7"/>
    <w:rsid w:val="00BF5736"/>
    <w:rsid w:val="00BF5A47"/>
    <w:rsid w:val="00BF5DB8"/>
    <w:rsid w:val="00BF5E81"/>
    <w:rsid w:val="00BF61B7"/>
    <w:rsid w:val="00BF66BD"/>
    <w:rsid w:val="00BF6868"/>
    <w:rsid w:val="00BF6A2A"/>
    <w:rsid w:val="00BF6B39"/>
    <w:rsid w:val="00BF6C04"/>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D30"/>
    <w:rsid w:val="00C041D0"/>
    <w:rsid w:val="00C04717"/>
    <w:rsid w:val="00C048A7"/>
    <w:rsid w:val="00C04BAA"/>
    <w:rsid w:val="00C0501B"/>
    <w:rsid w:val="00C05093"/>
    <w:rsid w:val="00C05460"/>
    <w:rsid w:val="00C0642D"/>
    <w:rsid w:val="00C06628"/>
    <w:rsid w:val="00C067FC"/>
    <w:rsid w:val="00C06ED4"/>
    <w:rsid w:val="00C06EEE"/>
    <w:rsid w:val="00C0700A"/>
    <w:rsid w:val="00C07686"/>
    <w:rsid w:val="00C07BC1"/>
    <w:rsid w:val="00C07F85"/>
    <w:rsid w:val="00C1039F"/>
    <w:rsid w:val="00C108E9"/>
    <w:rsid w:val="00C10BBA"/>
    <w:rsid w:val="00C10E6E"/>
    <w:rsid w:val="00C10FFE"/>
    <w:rsid w:val="00C11BE9"/>
    <w:rsid w:val="00C11D51"/>
    <w:rsid w:val="00C120FC"/>
    <w:rsid w:val="00C128E1"/>
    <w:rsid w:val="00C12993"/>
    <w:rsid w:val="00C12A99"/>
    <w:rsid w:val="00C13066"/>
    <w:rsid w:val="00C13888"/>
    <w:rsid w:val="00C13A7B"/>
    <w:rsid w:val="00C13C6D"/>
    <w:rsid w:val="00C1445C"/>
    <w:rsid w:val="00C14B58"/>
    <w:rsid w:val="00C14FB2"/>
    <w:rsid w:val="00C1503E"/>
    <w:rsid w:val="00C159DE"/>
    <w:rsid w:val="00C15AD2"/>
    <w:rsid w:val="00C15E98"/>
    <w:rsid w:val="00C170C6"/>
    <w:rsid w:val="00C17483"/>
    <w:rsid w:val="00C1765B"/>
    <w:rsid w:val="00C17EB0"/>
    <w:rsid w:val="00C17FF6"/>
    <w:rsid w:val="00C2020F"/>
    <w:rsid w:val="00C20301"/>
    <w:rsid w:val="00C2057A"/>
    <w:rsid w:val="00C20936"/>
    <w:rsid w:val="00C20C90"/>
    <w:rsid w:val="00C215DA"/>
    <w:rsid w:val="00C2179A"/>
    <w:rsid w:val="00C2187B"/>
    <w:rsid w:val="00C21CAF"/>
    <w:rsid w:val="00C21D62"/>
    <w:rsid w:val="00C21E4F"/>
    <w:rsid w:val="00C2239B"/>
    <w:rsid w:val="00C22F7E"/>
    <w:rsid w:val="00C23167"/>
    <w:rsid w:val="00C234EB"/>
    <w:rsid w:val="00C23507"/>
    <w:rsid w:val="00C24218"/>
    <w:rsid w:val="00C243AD"/>
    <w:rsid w:val="00C24522"/>
    <w:rsid w:val="00C2479C"/>
    <w:rsid w:val="00C247E2"/>
    <w:rsid w:val="00C24A3E"/>
    <w:rsid w:val="00C24EAE"/>
    <w:rsid w:val="00C24F9A"/>
    <w:rsid w:val="00C24FB7"/>
    <w:rsid w:val="00C253F5"/>
    <w:rsid w:val="00C25787"/>
    <w:rsid w:val="00C258E4"/>
    <w:rsid w:val="00C26294"/>
    <w:rsid w:val="00C262DD"/>
    <w:rsid w:val="00C264F4"/>
    <w:rsid w:val="00C26E59"/>
    <w:rsid w:val="00C27152"/>
    <w:rsid w:val="00C2738D"/>
    <w:rsid w:val="00C27827"/>
    <w:rsid w:val="00C279BC"/>
    <w:rsid w:val="00C27CA7"/>
    <w:rsid w:val="00C27DA5"/>
    <w:rsid w:val="00C27E78"/>
    <w:rsid w:val="00C302DB"/>
    <w:rsid w:val="00C30447"/>
    <w:rsid w:val="00C308B6"/>
    <w:rsid w:val="00C30EAE"/>
    <w:rsid w:val="00C31853"/>
    <w:rsid w:val="00C31BD3"/>
    <w:rsid w:val="00C31C1D"/>
    <w:rsid w:val="00C31EDA"/>
    <w:rsid w:val="00C3225D"/>
    <w:rsid w:val="00C325B6"/>
    <w:rsid w:val="00C326AC"/>
    <w:rsid w:val="00C32861"/>
    <w:rsid w:val="00C32E89"/>
    <w:rsid w:val="00C330B7"/>
    <w:rsid w:val="00C33255"/>
    <w:rsid w:val="00C337E8"/>
    <w:rsid w:val="00C337F6"/>
    <w:rsid w:val="00C33F29"/>
    <w:rsid w:val="00C34354"/>
    <w:rsid w:val="00C346C7"/>
    <w:rsid w:val="00C347FA"/>
    <w:rsid w:val="00C34859"/>
    <w:rsid w:val="00C349F6"/>
    <w:rsid w:val="00C34F18"/>
    <w:rsid w:val="00C3543F"/>
    <w:rsid w:val="00C360FF"/>
    <w:rsid w:val="00C362F0"/>
    <w:rsid w:val="00C369C4"/>
    <w:rsid w:val="00C36BFE"/>
    <w:rsid w:val="00C36CC4"/>
    <w:rsid w:val="00C36CCE"/>
    <w:rsid w:val="00C36F55"/>
    <w:rsid w:val="00C37111"/>
    <w:rsid w:val="00C37273"/>
    <w:rsid w:val="00C373AE"/>
    <w:rsid w:val="00C37683"/>
    <w:rsid w:val="00C37750"/>
    <w:rsid w:val="00C37765"/>
    <w:rsid w:val="00C402EC"/>
    <w:rsid w:val="00C40352"/>
    <w:rsid w:val="00C40406"/>
    <w:rsid w:val="00C40576"/>
    <w:rsid w:val="00C408FB"/>
    <w:rsid w:val="00C40A25"/>
    <w:rsid w:val="00C40BFC"/>
    <w:rsid w:val="00C41342"/>
    <w:rsid w:val="00C4186A"/>
    <w:rsid w:val="00C418C1"/>
    <w:rsid w:val="00C42CE4"/>
    <w:rsid w:val="00C42E2C"/>
    <w:rsid w:val="00C434B4"/>
    <w:rsid w:val="00C43887"/>
    <w:rsid w:val="00C43D05"/>
    <w:rsid w:val="00C43F0B"/>
    <w:rsid w:val="00C4439D"/>
    <w:rsid w:val="00C44C5A"/>
    <w:rsid w:val="00C450A3"/>
    <w:rsid w:val="00C459B2"/>
    <w:rsid w:val="00C45AA7"/>
    <w:rsid w:val="00C45B22"/>
    <w:rsid w:val="00C45F2F"/>
    <w:rsid w:val="00C462CF"/>
    <w:rsid w:val="00C46497"/>
    <w:rsid w:val="00C46B80"/>
    <w:rsid w:val="00C47749"/>
    <w:rsid w:val="00C47AA9"/>
    <w:rsid w:val="00C47F3C"/>
    <w:rsid w:val="00C508DC"/>
    <w:rsid w:val="00C50C41"/>
    <w:rsid w:val="00C511EE"/>
    <w:rsid w:val="00C5133B"/>
    <w:rsid w:val="00C514BB"/>
    <w:rsid w:val="00C517A0"/>
    <w:rsid w:val="00C518E2"/>
    <w:rsid w:val="00C51A05"/>
    <w:rsid w:val="00C51CCB"/>
    <w:rsid w:val="00C527FA"/>
    <w:rsid w:val="00C5320C"/>
    <w:rsid w:val="00C535F7"/>
    <w:rsid w:val="00C53835"/>
    <w:rsid w:val="00C53E15"/>
    <w:rsid w:val="00C5459C"/>
    <w:rsid w:val="00C546A0"/>
    <w:rsid w:val="00C54F13"/>
    <w:rsid w:val="00C55BAB"/>
    <w:rsid w:val="00C56473"/>
    <w:rsid w:val="00C5652E"/>
    <w:rsid w:val="00C570FB"/>
    <w:rsid w:val="00C57DAE"/>
    <w:rsid w:val="00C6007B"/>
    <w:rsid w:val="00C60553"/>
    <w:rsid w:val="00C6070E"/>
    <w:rsid w:val="00C60A9F"/>
    <w:rsid w:val="00C60ADB"/>
    <w:rsid w:val="00C60B9C"/>
    <w:rsid w:val="00C60BC7"/>
    <w:rsid w:val="00C611DE"/>
    <w:rsid w:val="00C61794"/>
    <w:rsid w:val="00C61888"/>
    <w:rsid w:val="00C61EFE"/>
    <w:rsid w:val="00C62053"/>
    <w:rsid w:val="00C62568"/>
    <w:rsid w:val="00C62EFF"/>
    <w:rsid w:val="00C63037"/>
    <w:rsid w:val="00C6316A"/>
    <w:rsid w:val="00C632A9"/>
    <w:rsid w:val="00C63879"/>
    <w:rsid w:val="00C639F0"/>
    <w:rsid w:val="00C64206"/>
    <w:rsid w:val="00C649FB"/>
    <w:rsid w:val="00C64B81"/>
    <w:rsid w:val="00C64E5A"/>
    <w:rsid w:val="00C64E75"/>
    <w:rsid w:val="00C64FDD"/>
    <w:rsid w:val="00C6551F"/>
    <w:rsid w:val="00C65533"/>
    <w:rsid w:val="00C65810"/>
    <w:rsid w:val="00C65C34"/>
    <w:rsid w:val="00C65C43"/>
    <w:rsid w:val="00C66147"/>
    <w:rsid w:val="00C661B9"/>
    <w:rsid w:val="00C665A3"/>
    <w:rsid w:val="00C66815"/>
    <w:rsid w:val="00C66894"/>
    <w:rsid w:val="00C66D34"/>
    <w:rsid w:val="00C67865"/>
    <w:rsid w:val="00C700B2"/>
    <w:rsid w:val="00C705BA"/>
    <w:rsid w:val="00C70BCB"/>
    <w:rsid w:val="00C7140F"/>
    <w:rsid w:val="00C71BF4"/>
    <w:rsid w:val="00C71F25"/>
    <w:rsid w:val="00C71F6F"/>
    <w:rsid w:val="00C7211D"/>
    <w:rsid w:val="00C72294"/>
    <w:rsid w:val="00C724EA"/>
    <w:rsid w:val="00C726AF"/>
    <w:rsid w:val="00C7288D"/>
    <w:rsid w:val="00C728AC"/>
    <w:rsid w:val="00C728B1"/>
    <w:rsid w:val="00C73061"/>
    <w:rsid w:val="00C7313D"/>
    <w:rsid w:val="00C73316"/>
    <w:rsid w:val="00C73792"/>
    <w:rsid w:val="00C739DF"/>
    <w:rsid w:val="00C73A26"/>
    <w:rsid w:val="00C73B8D"/>
    <w:rsid w:val="00C73D8E"/>
    <w:rsid w:val="00C73F8E"/>
    <w:rsid w:val="00C7431B"/>
    <w:rsid w:val="00C751A5"/>
    <w:rsid w:val="00C751B9"/>
    <w:rsid w:val="00C75B4A"/>
    <w:rsid w:val="00C75C25"/>
    <w:rsid w:val="00C75CBA"/>
    <w:rsid w:val="00C766EE"/>
    <w:rsid w:val="00C767F4"/>
    <w:rsid w:val="00C76833"/>
    <w:rsid w:val="00C76B4C"/>
    <w:rsid w:val="00C773E5"/>
    <w:rsid w:val="00C77438"/>
    <w:rsid w:val="00C778AF"/>
    <w:rsid w:val="00C77A2B"/>
    <w:rsid w:val="00C77C6D"/>
    <w:rsid w:val="00C77F13"/>
    <w:rsid w:val="00C804A6"/>
    <w:rsid w:val="00C805A9"/>
    <w:rsid w:val="00C80DE7"/>
    <w:rsid w:val="00C81385"/>
    <w:rsid w:val="00C81D7C"/>
    <w:rsid w:val="00C81EBC"/>
    <w:rsid w:val="00C82703"/>
    <w:rsid w:val="00C82956"/>
    <w:rsid w:val="00C82993"/>
    <w:rsid w:val="00C82B30"/>
    <w:rsid w:val="00C82C0F"/>
    <w:rsid w:val="00C831C4"/>
    <w:rsid w:val="00C834A4"/>
    <w:rsid w:val="00C837D5"/>
    <w:rsid w:val="00C838F6"/>
    <w:rsid w:val="00C83F3F"/>
    <w:rsid w:val="00C8470C"/>
    <w:rsid w:val="00C84CD9"/>
    <w:rsid w:val="00C84DD9"/>
    <w:rsid w:val="00C851A4"/>
    <w:rsid w:val="00C856E2"/>
    <w:rsid w:val="00C857B2"/>
    <w:rsid w:val="00C85934"/>
    <w:rsid w:val="00C85F37"/>
    <w:rsid w:val="00C868B0"/>
    <w:rsid w:val="00C86CB5"/>
    <w:rsid w:val="00C86D99"/>
    <w:rsid w:val="00C86DE6"/>
    <w:rsid w:val="00C870AF"/>
    <w:rsid w:val="00C871E4"/>
    <w:rsid w:val="00C8769B"/>
    <w:rsid w:val="00C8778D"/>
    <w:rsid w:val="00C87917"/>
    <w:rsid w:val="00C87D65"/>
    <w:rsid w:val="00C903C9"/>
    <w:rsid w:val="00C90747"/>
    <w:rsid w:val="00C90838"/>
    <w:rsid w:val="00C90BE1"/>
    <w:rsid w:val="00C90D0E"/>
    <w:rsid w:val="00C90F19"/>
    <w:rsid w:val="00C912C1"/>
    <w:rsid w:val="00C91EF4"/>
    <w:rsid w:val="00C920F3"/>
    <w:rsid w:val="00C92622"/>
    <w:rsid w:val="00C92CA8"/>
    <w:rsid w:val="00C92FF6"/>
    <w:rsid w:val="00C93485"/>
    <w:rsid w:val="00C934D9"/>
    <w:rsid w:val="00C93A31"/>
    <w:rsid w:val="00C93FE8"/>
    <w:rsid w:val="00C94417"/>
    <w:rsid w:val="00C9483B"/>
    <w:rsid w:val="00C9486F"/>
    <w:rsid w:val="00C94D43"/>
    <w:rsid w:val="00C94DB7"/>
    <w:rsid w:val="00C95A9C"/>
    <w:rsid w:val="00C95ECC"/>
    <w:rsid w:val="00C96061"/>
    <w:rsid w:val="00C964D7"/>
    <w:rsid w:val="00C964DD"/>
    <w:rsid w:val="00C96501"/>
    <w:rsid w:val="00C965C2"/>
    <w:rsid w:val="00C96907"/>
    <w:rsid w:val="00C96EF6"/>
    <w:rsid w:val="00C970BB"/>
    <w:rsid w:val="00C97195"/>
    <w:rsid w:val="00C97F20"/>
    <w:rsid w:val="00CA0343"/>
    <w:rsid w:val="00CA06FF"/>
    <w:rsid w:val="00CA079F"/>
    <w:rsid w:val="00CA0A10"/>
    <w:rsid w:val="00CA1036"/>
    <w:rsid w:val="00CA152E"/>
    <w:rsid w:val="00CA18FF"/>
    <w:rsid w:val="00CA1DE5"/>
    <w:rsid w:val="00CA1E2E"/>
    <w:rsid w:val="00CA2012"/>
    <w:rsid w:val="00CA236A"/>
    <w:rsid w:val="00CA23DD"/>
    <w:rsid w:val="00CA2491"/>
    <w:rsid w:val="00CA2ABF"/>
    <w:rsid w:val="00CA41DA"/>
    <w:rsid w:val="00CA4334"/>
    <w:rsid w:val="00CA4E84"/>
    <w:rsid w:val="00CA54D9"/>
    <w:rsid w:val="00CA5819"/>
    <w:rsid w:val="00CA58C3"/>
    <w:rsid w:val="00CA5FAA"/>
    <w:rsid w:val="00CA6F33"/>
    <w:rsid w:val="00CA713C"/>
    <w:rsid w:val="00CA7666"/>
    <w:rsid w:val="00CA7B49"/>
    <w:rsid w:val="00CA7C5C"/>
    <w:rsid w:val="00CA7C6B"/>
    <w:rsid w:val="00CB0AC8"/>
    <w:rsid w:val="00CB0C0B"/>
    <w:rsid w:val="00CB0EF0"/>
    <w:rsid w:val="00CB0F78"/>
    <w:rsid w:val="00CB17F2"/>
    <w:rsid w:val="00CB1F7A"/>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9F2"/>
    <w:rsid w:val="00CB5F2D"/>
    <w:rsid w:val="00CB6125"/>
    <w:rsid w:val="00CB705C"/>
    <w:rsid w:val="00CB7502"/>
    <w:rsid w:val="00CB7958"/>
    <w:rsid w:val="00CC066D"/>
    <w:rsid w:val="00CC095D"/>
    <w:rsid w:val="00CC0F03"/>
    <w:rsid w:val="00CC1385"/>
    <w:rsid w:val="00CC1917"/>
    <w:rsid w:val="00CC1BA8"/>
    <w:rsid w:val="00CC1BC4"/>
    <w:rsid w:val="00CC1CA2"/>
    <w:rsid w:val="00CC1F70"/>
    <w:rsid w:val="00CC2009"/>
    <w:rsid w:val="00CC20E4"/>
    <w:rsid w:val="00CC280C"/>
    <w:rsid w:val="00CC2ABC"/>
    <w:rsid w:val="00CC2EC8"/>
    <w:rsid w:val="00CC38CE"/>
    <w:rsid w:val="00CC3B58"/>
    <w:rsid w:val="00CC3B87"/>
    <w:rsid w:val="00CC40CE"/>
    <w:rsid w:val="00CC473F"/>
    <w:rsid w:val="00CC4751"/>
    <w:rsid w:val="00CC485E"/>
    <w:rsid w:val="00CC49CE"/>
    <w:rsid w:val="00CC4D6A"/>
    <w:rsid w:val="00CC5033"/>
    <w:rsid w:val="00CC5234"/>
    <w:rsid w:val="00CC559A"/>
    <w:rsid w:val="00CC60FE"/>
    <w:rsid w:val="00CC61AC"/>
    <w:rsid w:val="00CC654A"/>
    <w:rsid w:val="00CC6D98"/>
    <w:rsid w:val="00CC6DFC"/>
    <w:rsid w:val="00CC6F27"/>
    <w:rsid w:val="00CC70F5"/>
    <w:rsid w:val="00CC710A"/>
    <w:rsid w:val="00CC73CA"/>
    <w:rsid w:val="00CC746C"/>
    <w:rsid w:val="00CC7506"/>
    <w:rsid w:val="00CD03D8"/>
    <w:rsid w:val="00CD040C"/>
    <w:rsid w:val="00CD044F"/>
    <w:rsid w:val="00CD04D3"/>
    <w:rsid w:val="00CD1036"/>
    <w:rsid w:val="00CD1074"/>
    <w:rsid w:val="00CD1098"/>
    <w:rsid w:val="00CD1AE6"/>
    <w:rsid w:val="00CD1DAF"/>
    <w:rsid w:val="00CD253B"/>
    <w:rsid w:val="00CD26E8"/>
    <w:rsid w:val="00CD3158"/>
    <w:rsid w:val="00CD389F"/>
    <w:rsid w:val="00CD3E66"/>
    <w:rsid w:val="00CD4060"/>
    <w:rsid w:val="00CD4647"/>
    <w:rsid w:val="00CD4B7D"/>
    <w:rsid w:val="00CD4FA5"/>
    <w:rsid w:val="00CD5882"/>
    <w:rsid w:val="00CD5BAA"/>
    <w:rsid w:val="00CD5F28"/>
    <w:rsid w:val="00CD6A9F"/>
    <w:rsid w:val="00CD7499"/>
    <w:rsid w:val="00CD77C7"/>
    <w:rsid w:val="00CD7C53"/>
    <w:rsid w:val="00CD7DDD"/>
    <w:rsid w:val="00CD7EDE"/>
    <w:rsid w:val="00CE02D0"/>
    <w:rsid w:val="00CE0351"/>
    <w:rsid w:val="00CE0646"/>
    <w:rsid w:val="00CE07AF"/>
    <w:rsid w:val="00CE0DA8"/>
    <w:rsid w:val="00CE0DD4"/>
    <w:rsid w:val="00CE1088"/>
    <w:rsid w:val="00CE1544"/>
    <w:rsid w:val="00CE1857"/>
    <w:rsid w:val="00CE1D19"/>
    <w:rsid w:val="00CE2474"/>
    <w:rsid w:val="00CE3194"/>
    <w:rsid w:val="00CE3AB5"/>
    <w:rsid w:val="00CE3E28"/>
    <w:rsid w:val="00CE4200"/>
    <w:rsid w:val="00CE4B12"/>
    <w:rsid w:val="00CE4B86"/>
    <w:rsid w:val="00CE4ECF"/>
    <w:rsid w:val="00CE5028"/>
    <w:rsid w:val="00CE5182"/>
    <w:rsid w:val="00CE5562"/>
    <w:rsid w:val="00CE55DB"/>
    <w:rsid w:val="00CE5B7F"/>
    <w:rsid w:val="00CE6606"/>
    <w:rsid w:val="00CE661E"/>
    <w:rsid w:val="00CE68D9"/>
    <w:rsid w:val="00CE6906"/>
    <w:rsid w:val="00CE71D2"/>
    <w:rsid w:val="00CE73EF"/>
    <w:rsid w:val="00CE7628"/>
    <w:rsid w:val="00CE7724"/>
    <w:rsid w:val="00CE7E34"/>
    <w:rsid w:val="00CF02E8"/>
    <w:rsid w:val="00CF0ED0"/>
    <w:rsid w:val="00CF19E2"/>
    <w:rsid w:val="00CF1A8C"/>
    <w:rsid w:val="00CF1E2A"/>
    <w:rsid w:val="00CF2428"/>
    <w:rsid w:val="00CF255E"/>
    <w:rsid w:val="00CF2972"/>
    <w:rsid w:val="00CF30D4"/>
    <w:rsid w:val="00CF3470"/>
    <w:rsid w:val="00CF3E24"/>
    <w:rsid w:val="00CF4761"/>
    <w:rsid w:val="00CF4FB8"/>
    <w:rsid w:val="00CF526C"/>
    <w:rsid w:val="00CF5F04"/>
    <w:rsid w:val="00CF60B7"/>
    <w:rsid w:val="00CF684E"/>
    <w:rsid w:val="00CF6DED"/>
    <w:rsid w:val="00CF73AD"/>
    <w:rsid w:val="00CF73FE"/>
    <w:rsid w:val="00CF742C"/>
    <w:rsid w:val="00CF75C6"/>
    <w:rsid w:val="00CF776F"/>
    <w:rsid w:val="00CF79B0"/>
    <w:rsid w:val="00CF7CAA"/>
    <w:rsid w:val="00CF7CF6"/>
    <w:rsid w:val="00D005C2"/>
    <w:rsid w:val="00D008D6"/>
    <w:rsid w:val="00D00A5E"/>
    <w:rsid w:val="00D00BD3"/>
    <w:rsid w:val="00D01205"/>
    <w:rsid w:val="00D012C4"/>
    <w:rsid w:val="00D013E1"/>
    <w:rsid w:val="00D0149B"/>
    <w:rsid w:val="00D016C3"/>
    <w:rsid w:val="00D01833"/>
    <w:rsid w:val="00D022E9"/>
    <w:rsid w:val="00D02767"/>
    <w:rsid w:val="00D02AC5"/>
    <w:rsid w:val="00D030E9"/>
    <w:rsid w:val="00D0330D"/>
    <w:rsid w:val="00D03824"/>
    <w:rsid w:val="00D03871"/>
    <w:rsid w:val="00D03A53"/>
    <w:rsid w:val="00D03E74"/>
    <w:rsid w:val="00D03F6A"/>
    <w:rsid w:val="00D04151"/>
    <w:rsid w:val="00D0422E"/>
    <w:rsid w:val="00D043C7"/>
    <w:rsid w:val="00D045DD"/>
    <w:rsid w:val="00D05330"/>
    <w:rsid w:val="00D0539B"/>
    <w:rsid w:val="00D055DE"/>
    <w:rsid w:val="00D0582D"/>
    <w:rsid w:val="00D0588E"/>
    <w:rsid w:val="00D05A2E"/>
    <w:rsid w:val="00D05EED"/>
    <w:rsid w:val="00D06484"/>
    <w:rsid w:val="00D06554"/>
    <w:rsid w:val="00D06E3E"/>
    <w:rsid w:val="00D07845"/>
    <w:rsid w:val="00D07A98"/>
    <w:rsid w:val="00D07E13"/>
    <w:rsid w:val="00D07E68"/>
    <w:rsid w:val="00D1041A"/>
    <w:rsid w:val="00D105EE"/>
    <w:rsid w:val="00D109FB"/>
    <w:rsid w:val="00D10F62"/>
    <w:rsid w:val="00D1104A"/>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18"/>
    <w:rsid w:val="00D14982"/>
    <w:rsid w:val="00D14D92"/>
    <w:rsid w:val="00D14F32"/>
    <w:rsid w:val="00D15116"/>
    <w:rsid w:val="00D15135"/>
    <w:rsid w:val="00D157D1"/>
    <w:rsid w:val="00D162F1"/>
    <w:rsid w:val="00D16ABA"/>
    <w:rsid w:val="00D16B74"/>
    <w:rsid w:val="00D170C5"/>
    <w:rsid w:val="00D170F2"/>
    <w:rsid w:val="00D173DE"/>
    <w:rsid w:val="00D1758B"/>
    <w:rsid w:val="00D17C1B"/>
    <w:rsid w:val="00D17EBA"/>
    <w:rsid w:val="00D17F51"/>
    <w:rsid w:val="00D2042F"/>
    <w:rsid w:val="00D205CD"/>
    <w:rsid w:val="00D205DF"/>
    <w:rsid w:val="00D20F46"/>
    <w:rsid w:val="00D21560"/>
    <w:rsid w:val="00D21FEE"/>
    <w:rsid w:val="00D22680"/>
    <w:rsid w:val="00D2283B"/>
    <w:rsid w:val="00D22F7F"/>
    <w:rsid w:val="00D23107"/>
    <w:rsid w:val="00D23400"/>
    <w:rsid w:val="00D23A25"/>
    <w:rsid w:val="00D23A58"/>
    <w:rsid w:val="00D23CBC"/>
    <w:rsid w:val="00D23CD3"/>
    <w:rsid w:val="00D23EA0"/>
    <w:rsid w:val="00D23FBE"/>
    <w:rsid w:val="00D24265"/>
    <w:rsid w:val="00D244BA"/>
    <w:rsid w:val="00D24880"/>
    <w:rsid w:val="00D24AAB"/>
    <w:rsid w:val="00D25278"/>
    <w:rsid w:val="00D25499"/>
    <w:rsid w:val="00D255B5"/>
    <w:rsid w:val="00D256DF"/>
    <w:rsid w:val="00D26448"/>
    <w:rsid w:val="00D26A8A"/>
    <w:rsid w:val="00D27A0B"/>
    <w:rsid w:val="00D27B36"/>
    <w:rsid w:val="00D30869"/>
    <w:rsid w:val="00D30DE3"/>
    <w:rsid w:val="00D318B8"/>
    <w:rsid w:val="00D323DE"/>
    <w:rsid w:val="00D328D4"/>
    <w:rsid w:val="00D329FE"/>
    <w:rsid w:val="00D32D58"/>
    <w:rsid w:val="00D33422"/>
    <w:rsid w:val="00D336AA"/>
    <w:rsid w:val="00D336B0"/>
    <w:rsid w:val="00D33A35"/>
    <w:rsid w:val="00D33E1C"/>
    <w:rsid w:val="00D3441F"/>
    <w:rsid w:val="00D34575"/>
    <w:rsid w:val="00D35546"/>
    <w:rsid w:val="00D3586B"/>
    <w:rsid w:val="00D358D5"/>
    <w:rsid w:val="00D3598C"/>
    <w:rsid w:val="00D35C41"/>
    <w:rsid w:val="00D35CE3"/>
    <w:rsid w:val="00D36209"/>
    <w:rsid w:val="00D365D7"/>
    <w:rsid w:val="00D36C4D"/>
    <w:rsid w:val="00D36D65"/>
    <w:rsid w:val="00D37657"/>
    <w:rsid w:val="00D379A9"/>
    <w:rsid w:val="00D379C6"/>
    <w:rsid w:val="00D37E82"/>
    <w:rsid w:val="00D37F36"/>
    <w:rsid w:val="00D408E4"/>
    <w:rsid w:val="00D40CE5"/>
    <w:rsid w:val="00D41004"/>
    <w:rsid w:val="00D417A5"/>
    <w:rsid w:val="00D418C2"/>
    <w:rsid w:val="00D41A34"/>
    <w:rsid w:val="00D41E27"/>
    <w:rsid w:val="00D42DBC"/>
    <w:rsid w:val="00D42F46"/>
    <w:rsid w:val="00D43C96"/>
    <w:rsid w:val="00D43F3C"/>
    <w:rsid w:val="00D442CC"/>
    <w:rsid w:val="00D447C4"/>
    <w:rsid w:val="00D44F47"/>
    <w:rsid w:val="00D44FC9"/>
    <w:rsid w:val="00D4511C"/>
    <w:rsid w:val="00D4511D"/>
    <w:rsid w:val="00D45339"/>
    <w:rsid w:val="00D45BBA"/>
    <w:rsid w:val="00D45E02"/>
    <w:rsid w:val="00D45E0D"/>
    <w:rsid w:val="00D45F48"/>
    <w:rsid w:val="00D462AF"/>
    <w:rsid w:val="00D462F7"/>
    <w:rsid w:val="00D46549"/>
    <w:rsid w:val="00D466BF"/>
    <w:rsid w:val="00D46A5B"/>
    <w:rsid w:val="00D46E51"/>
    <w:rsid w:val="00D47170"/>
    <w:rsid w:val="00D47479"/>
    <w:rsid w:val="00D47506"/>
    <w:rsid w:val="00D4758D"/>
    <w:rsid w:val="00D50008"/>
    <w:rsid w:val="00D50946"/>
    <w:rsid w:val="00D50E49"/>
    <w:rsid w:val="00D512E7"/>
    <w:rsid w:val="00D5132B"/>
    <w:rsid w:val="00D513FA"/>
    <w:rsid w:val="00D51641"/>
    <w:rsid w:val="00D52654"/>
    <w:rsid w:val="00D52ECE"/>
    <w:rsid w:val="00D52F10"/>
    <w:rsid w:val="00D53B51"/>
    <w:rsid w:val="00D53BCA"/>
    <w:rsid w:val="00D53D5D"/>
    <w:rsid w:val="00D545D4"/>
    <w:rsid w:val="00D54675"/>
    <w:rsid w:val="00D552F8"/>
    <w:rsid w:val="00D5569E"/>
    <w:rsid w:val="00D5583F"/>
    <w:rsid w:val="00D55D2D"/>
    <w:rsid w:val="00D55D67"/>
    <w:rsid w:val="00D55FD7"/>
    <w:rsid w:val="00D56B7D"/>
    <w:rsid w:val="00D5709A"/>
    <w:rsid w:val="00D5773A"/>
    <w:rsid w:val="00D603D8"/>
    <w:rsid w:val="00D61727"/>
    <w:rsid w:val="00D61776"/>
    <w:rsid w:val="00D61E33"/>
    <w:rsid w:val="00D61F7C"/>
    <w:rsid w:val="00D622DC"/>
    <w:rsid w:val="00D625A3"/>
    <w:rsid w:val="00D62709"/>
    <w:rsid w:val="00D62972"/>
    <w:rsid w:val="00D62BB9"/>
    <w:rsid w:val="00D62C85"/>
    <w:rsid w:val="00D62FA4"/>
    <w:rsid w:val="00D63431"/>
    <w:rsid w:val="00D63643"/>
    <w:rsid w:val="00D63A9F"/>
    <w:rsid w:val="00D63B99"/>
    <w:rsid w:val="00D63D72"/>
    <w:rsid w:val="00D64A64"/>
    <w:rsid w:val="00D64AB5"/>
    <w:rsid w:val="00D64FE5"/>
    <w:rsid w:val="00D650E9"/>
    <w:rsid w:val="00D655B3"/>
    <w:rsid w:val="00D66154"/>
    <w:rsid w:val="00D66462"/>
    <w:rsid w:val="00D66903"/>
    <w:rsid w:val="00D66B4E"/>
    <w:rsid w:val="00D67334"/>
    <w:rsid w:val="00D67517"/>
    <w:rsid w:val="00D67715"/>
    <w:rsid w:val="00D67E6A"/>
    <w:rsid w:val="00D7029D"/>
    <w:rsid w:val="00D70627"/>
    <w:rsid w:val="00D70D9B"/>
    <w:rsid w:val="00D71186"/>
    <w:rsid w:val="00D717F5"/>
    <w:rsid w:val="00D71A1F"/>
    <w:rsid w:val="00D72496"/>
    <w:rsid w:val="00D7263D"/>
    <w:rsid w:val="00D7272C"/>
    <w:rsid w:val="00D72842"/>
    <w:rsid w:val="00D72B6D"/>
    <w:rsid w:val="00D72C4A"/>
    <w:rsid w:val="00D72DD2"/>
    <w:rsid w:val="00D72DF9"/>
    <w:rsid w:val="00D72EB1"/>
    <w:rsid w:val="00D73580"/>
    <w:rsid w:val="00D73788"/>
    <w:rsid w:val="00D73C28"/>
    <w:rsid w:val="00D74232"/>
    <w:rsid w:val="00D744B5"/>
    <w:rsid w:val="00D74B09"/>
    <w:rsid w:val="00D74E10"/>
    <w:rsid w:val="00D74FD3"/>
    <w:rsid w:val="00D75460"/>
    <w:rsid w:val="00D757BE"/>
    <w:rsid w:val="00D75AB5"/>
    <w:rsid w:val="00D75DCA"/>
    <w:rsid w:val="00D75E61"/>
    <w:rsid w:val="00D760C7"/>
    <w:rsid w:val="00D761CA"/>
    <w:rsid w:val="00D761CD"/>
    <w:rsid w:val="00D7635D"/>
    <w:rsid w:val="00D763AC"/>
    <w:rsid w:val="00D765A2"/>
    <w:rsid w:val="00D76BFC"/>
    <w:rsid w:val="00D76DD8"/>
    <w:rsid w:val="00D77025"/>
    <w:rsid w:val="00D7748A"/>
    <w:rsid w:val="00D7751C"/>
    <w:rsid w:val="00D776FC"/>
    <w:rsid w:val="00D779C3"/>
    <w:rsid w:val="00D77CD1"/>
    <w:rsid w:val="00D80013"/>
    <w:rsid w:val="00D80420"/>
    <w:rsid w:val="00D8053E"/>
    <w:rsid w:val="00D80B48"/>
    <w:rsid w:val="00D81134"/>
    <w:rsid w:val="00D813D7"/>
    <w:rsid w:val="00D815D6"/>
    <w:rsid w:val="00D816EE"/>
    <w:rsid w:val="00D81F79"/>
    <w:rsid w:val="00D82313"/>
    <w:rsid w:val="00D823CE"/>
    <w:rsid w:val="00D82630"/>
    <w:rsid w:val="00D83371"/>
    <w:rsid w:val="00D83A57"/>
    <w:rsid w:val="00D8450D"/>
    <w:rsid w:val="00D85152"/>
    <w:rsid w:val="00D85A08"/>
    <w:rsid w:val="00D85C6A"/>
    <w:rsid w:val="00D85FE8"/>
    <w:rsid w:val="00D860C8"/>
    <w:rsid w:val="00D86405"/>
    <w:rsid w:val="00D864DD"/>
    <w:rsid w:val="00D868ED"/>
    <w:rsid w:val="00D869F2"/>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7A"/>
    <w:rsid w:val="00D914A7"/>
    <w:rsid w:val="00D919C8"/>
    <w:rsid w:val="00D919F1"/>
    <w:rsid w:val="00D91A1C"/>
    <w:rsid w:val="00D91A79"/>
    <w:rsid w:val="00D91B95"/>
    <w:rsid w:val="00D91D06"/>
    <w:rsid w:val="00D9270E"/>
    <w:rsid w:val="00D92F9F"/>
    <w:rsid w:val="00D93036"/>
    <w:rsid w:val="00D9396B"/>
    <w:rsid w:val="00D93A5F"/>
    <w:rsid w:val="00D93EEA"/>
    <w:rsid w:val="00D945B2"/>
    <w:rsid w:val="00D94EBE"/>
    <w:rsid w:val="00D94FEE"/>
    <w:rsid w:val="00D95106"/>
    <w:rsid w:val="00D954FE"/>
    <w:rsid w:val="00D95B8C"/>
    <w:rsid w:val="00D95F2A"/>
    <w:rsid w:val="00D96043"/>
    <w:rsid w:val="00D96590"/>
    <w:rsid w:val="00D96B93"/>
    <w:rsid w:val="00D96E85"/>
    <w:rsid w:val="00D96F5B"/>
    <w:rsid w:val="00D9718E"/>
    <w:rsid w:val="00D9721A"/>
    <w:rsid w:val="00D97444"/>
    <w:rsid w:val="00D974B8"/>
    <w:rsid w:val="00D977A1"/>
    <w:rsid w:val="00D97AAE"/>
    <w:rsid w:val="00D97D5C"/>
    <w:rsid w:val="00DA015F"/>
    <w:rsid w:val="00DA06A8"/>
    <w:rsid w:val="00DA0C85"/>
    <w:rsid w:val="00DA0FEA"/>
    <w:rsid w:val="00DA111A"/>
    <w:rsid w:val="00DA16D2"/>
    <w:rsid w:val="00DA18B3"/>
    <w:rsid w:val="00DA1D22"/>
    <w:rsid w:val="00DA1E5B"/>
    <w:rsid w:val="00DA208A"/>
    <w:rsid w:val="00DA20CA"/>
    <w:rsid w:val="00DA220B"/>
    <w:rsid w:val="00DA2788"/>
    <w:rsid w:val="00DA2C4B"/>
    <w:rsid w:val="00DA2E17"/>
    <w:rsid w:val="00DA31FF"/>
    <w:rsid w:val="00DA380A"/>
    <w:rsid w:val="00DA3A62"/>
    <w:rsid w:val="00DA3A86"/>
    <w:rsid w:val="00DA3F54"/>
    <w:rsid w:val="00DA4653"/>
    <w:rsid w:val="00DA4A8E"/>
    <w:rsid w:val="00DA4B8A"/>
    <w:rsid w:val="00DA4C16"/>
    <w:rsid w:val="00DA4D36"/>
    <w:rsid w:val="00DA4D5B"/>
    <w:rsid w:val="00DA5002"/>
    <w:rsid w:val="00DA54D5"/>
    <w:rsid w:val="00DA5BBD"/>
    <w:rsid w:val="00DA6241"/>
    <w:rsid w:val="00DA635D"/>
    <w:rsid w:val="00DA655A"/>
    <w:rsid w:val="00DA6A03"/>
    <w:rsid w:val="00DA6F0E"/>
    <w:rsid w:val="00DA70B4"/>
    <w:rsid w:val="00DA71C5"/>
    <w:rsid w:val="00DA79F1"/>
    <w:rsid w:val="00DA7EDE"/>
    <w:rsid w:val="00DA7F68"/>
    <w:rsid w:val="00DB01C3"/>
    <w:rsid w:val="00DB01D7"/>
    <w:rsid w:val="00DB07B5"/>
    <w:rsid w:val="00DB1581"/>
    <w:rsid w:val="00DB189C"/>
    <w:rsid w:val="00DB1AAF"/>
    <w:rsid w:val="00DB2469"/>
    <w:rsid w:val="00DB2744"/>
    <w:rsid w:val="00DB2934"/>
    <w:rsid w:val="00DB3288"/>
    <w:rsid w:val="00DB328B"/>
    <w:rsid w:val="00DB35EC"/>
    <w:rsid w:val="00DB36B9"/>
    <w:rsid w:val="00DB3B66"/>
    <w:rsid w:val="00DB40A1"/>
    <w:rsid w:val="00DB4205"/>
    <w:rsid w:val="00DB54E2"/>
    <w:rsid w:val="00DB5B54"/>
    <w:rsid w:val="00DB5C88"/>
    <w:rsid w:val="00DB6144"/>
    <w:rsid w:val="00DB63DB"/>
    <w:rsid w:val="00DB6674"/>
    <w:rsid w:val="00DB667E"/>
    <w:rsid w:val="00DB6794"/>
    <w:rsid w:val="00DB6DB4"/>
    <w:rsid w:val="00DB6ECE"/>
    <w:rsid w:val="00DB723D"/>
    <w:rsid w:val="00DB7292"/>
    <w:rsid w:val="00DB741F"/>
    <w:rsid w:val="00DC015B"/>
    <w:rsid w:val="00DC0187"/>
    <w:rsid w:val="00DC03FD"/>
    <w:rsid w:val="00DC0552"/>
    <w:rsid w:val="00DC0D9A"/>
    <w:rsid w:val="00DC171F"/>
    <w:rsid w:val="00DC1C99"/>
    <w:rsid w:val="00DC1CF3"/>
    <w:rsid w:val="00DC1DE8"/>
    <w:rsid w:val="00DC2AC1"/>
    <w:rsid w:val="00DC3400"/>
    <w:rsid w:val="00DC3A64"/>
    <w:rsid w:val="00DC4680"/>
    <w:rsid w:val="00DC47EE"/>
    <w:rsid w:val="00DC4AAC"/>
    <w:rsid w:val="00DC54F4"/>
    <w:rsid w:val="00DC579E"/>
    <w:rsid w:val="00DC59B7"/>
    <w:rsid w:val="00DC646F"/>
    <w:rsid w:val="00DC6484"/>
    <w:rsid w:val="00DC6FD4"/>
    <w:rsid w:val="00DC7623"/>
    <w:rsid w:val="00DC76FA"/>
    <w:rsid w:val="00DD0247"/>
    <w:rsid w:val="00DD04C4"/>
    <w:rsid w:val="00DD0759"/>
    <w:rsid w:val="00DD0973"/>
    <w:rsid w:val="00DD0A97"/>
    <w:rsid w:val="00DD0DD4"/>
    <w:rsid w:val="00DD1869"/>
    <w:rsid w:val="00DD1AB5"/>
    <w:rsid w:val="00DD1B54"/>
    <w:rsid w:val="00DD1DC7"/>
    <w:rsid w:val="00DD1E46"/>
    <w:rsid w:val="00DD1EC6"/>
    <w:rsid w:val="00DD1EF3"/>
    <w:rsid w:val="00DD212A"/>
    <w:rsid w:val="00DD220D"/>
    <w:rsid w:val="00DD22A5"/>
    <w:rsid w:val="00DD23EC"/>
    <w:rsid w:val="00DD250B"/>
    <w:rsid w:val="00DD2635"/>
    <w:rsid w:val="00DD2656"/>
    <w:rsid w:val="00DD26D2"/>
    <w:rsid w:val="00DD273E"/>
    <w:rsid w:val="00DD2A37"/>
    <w:rsid w:val="00DD2A65"/>
    <w:rsid w:val="00DD2BA9"/>
    <w:rsid w:val="00DD2E7D"/>
    <w:rsid w:val="00DD32CB"/>
    <w:rsid w:val="00DD335C"/>
    <w:rsid w:val="00DD33F2"/>
    <w:rsid w:val="00DD34DF"/>
    <w:rsid w:val="00DD3574"/>
    <w:rsid w:val="00DD3E64"/>
    <w:rsid w:val="00DD4DD4"/>
    <w:rsid w:val="00DD524B"/>
    <w:rsid w:val="00DD53E9"/>
    <w:rsid w:val="00DD62BA"/>
    <w:rsid w:val="00DD62E9"/>
    <w:rsid w:val="00DD64D3"/>
    <w:rsid w:val="00DD6604"/>
    <w:rsid w:val="00DD677B"/>
    <w:rsid w:val="00DD67D7"/>
    <w:rsid w:val="00DD6B02"/>
    <w:rsid w:val="00DD7245"/>
    <w:rsid w:val="00DD7456"/>
    <w:rsid w:val="00DD7A84"/>
    <w:rsid w:val="00DD7D2B"/>
    <w:rsid w:val="00DE0009"/>
    <w:rsid w:val="00DE090D"/>
    <w:rsid w:val="00DE0EC7"/>
    <w:rsid w:val="00DE0FF7"/>
    <w:rsid w:val="00DE151B"/>
    <w:rsid w:val="00DE151E"/>
    <w:rsid w:val="00DE1955"/>
    <w:rsid w:val="00DE1CBD"/>
    <w:rsid w:val="00DE2516"/>
    <w:rsid w:val="00DE261A"/>
    <w:rsid w:val="00DE2858"/>
    <w:rsid w:val="00DE2F4E"/>
    <w:rsid w:val="00DE41D1"/>
    <w:rsid w:val="00DE45D8"/>
    <w:rsid w:val="00DE45E9"/>
    <w:rsid w:val="00DE53E1"/>
    <w:rsid w:val="00DE56C2"/>
    <w:rsid w:val="00DE57D1"/>
    <w:rsid w:val="00DE6142"/>
    <w:rsid w:val="00DE614E"/>
    <w:rsid w:val="00DE61D6"/>
    <w:rsid w:val="00DE6462"/>
    <w:rsid w:val="00DE69F4"/>
    <w:rsid w:val="00DE6E06"/>
    <w:rsid w:val="00DE6ED8"/>
    <w:rsid w:val="00DE705D"/>
    <w:rsid w:val="00DE7090"/>
    <w:rsid w:val="00DE7099"/>
    <w:rsid w:val="00DE7A4D"/>
    <w:rsid w:val="00DE7E0B"/>
    <w:rsid w:val="00DF014E"/>
    <w:rsid w:val="00DF0969"/>
    <w:rsid w:val="00DF0D4A"/>
    <w:rsid w:val="00DF1616"/>
    <w:rsid w:val="00DF168B"/>
    <w:rsid w:val="00DF17D9"/>
    <w:rsid w:val="00DF1E61"/>
    <w:rsid w:val="00DF2040"/>
    <w:rsid w:val="00DF20D4"/>
    <w:rsid w:val="00DF25EF"/>
    <w:rsid w:val="00DF27A8"/>
    <w:rsid w:val="00DF2A48"/>
    <w:rsid w:val="00DF2DE7"/>
    <w:rsid w:val="00DF2F66"/>
    <w:rsid w:val="00DF3271"/>
    <w:rsid w:val="00DF34CF"/>
    <w:rsid w:val="00DF34D1"/>
    <w:rsid w:val="00DF37AE"/>
    <w:rsid w:val="00DF3ACC"/>
    <w:rsid w:val="00DF3ADA"/>
    <w:rsid w:val="00DF44E4"/>
    <w:rsid w:val="00DF4AF1"/>
    <w:rsid w:val="00DF520D"/>
    <w:rsid w:val="00DF52B0"/>
    <w:rsid w:val="00DF56A9"/>
    <w:rsid w:val="00DF67E5"/>
    <w:rsid w:val="00DF69E9"/>
    <w:rsid w:val="00DF71C9"/>
    <w:rsid w:val="00DF74D1"/>
    <w:rsid w:val="00DF7B94"/>
    <w:rsid w:val="00E00A21"/>
    <w:rsid w:val="00E00B79"/>
    <w:rsid w:val="00E00BAE"/>
    <w:rsid w:val="00E00D89"/>
    <w:rsid w:val="00E01BEB"/>
    <w:rsid w:val="00E01D3E"/>
    <w:rsid w:val="00E01EF0"/>
    <w:rsid w:val="00E022BB"/>
    <w:rsid w:val="00E026DB"/>
    <w:rsid w:val="00E02AAC"/>
    <w:rsid w:val="00E0335C"/>
    <w:rsid w:val="00E035CC"/>
    <w:rsid w:val="00E039E4"/>
    <w:rsid w:val="00E03A64"/>
    <w:rsid w:val="00E03C4A"/>
    <w:rsid w:val="00E03F6C"/>
    <w:rsid w:val="00E045BD"/>
    <w:rsid w:val="00E047F0"/>
    <w:rsid w:val="00E04A42"/>
    <w:rsid w:val="00E05312"/>
    <w:rsid w:val="00E05330"/>
    <w:rsid w:val="00E055A4"/>
    <w:rsid w:val="00E06650"/>
    <w:rsid w:val="00E06917"/>
    <w:rsid w:val="00E06B8B"/>
    <w:rsid w:val="00E06FC2"/>
    <w:rsid w:val="00E07043"/>
    <w:rsid w:val="00E0720C"/>
    <w:rsid w:val="00E07BE2"/>
    <w:rsid w:val="00E105A8"/>
    <w:rsid w:val="00E106BA"/>
    <w:rsid w:val="00E10785"/>
    <w:rsid w:val="00E10A98"/>
    <w:rsid w:val="00E10B74"/>
    <w:rsid w:val="00E11703"/>
    <w:rsid w:val="00E11793"/>
    <w:rsid w:val="00E119B4"/>
    <w:rsid w:val="00E11B32"/>
    <w:rsid w:val="00E11D1E"/>
    <w:rsid w:val="00E11EAB"/>
    <w:rsid w:val="00E11EBB"/>
    <w:rsid w:val="00E12272"/>
    <w:rsid w:val="00E12284"/>
    <w:rsid w:val="00E1248D"/>
    <w:rsid w:val="00E12706"/>
    <w:rsid w:val="00E12923"/>
    <w:rsid w:val="00E12FB5"/>
    <w:rsid w:val="00E131A1"/>
    <w:rsid w:val="00E13674"/>
    <w:rsid w:val="00E13E5A"/>
    <w:rsid w:val="00E145EB"/>
    <w:rsid w:val="00E14C47"/>
    <w:rsid w:val="00E1524F"/>
    <w:rsid w:val="00E15902"/>
    <w:rsid w:val="00E15AC9"/>
    <w:rsid w:val="00E15DDC"/>
    <w:rsid w:val="00E164BD"/>
    <w:rsid w:val="00E16AEE"/>
    <w:rsid w:val="00E16D5F"/>
    <w:rsid w:val="00E17239"/>
    <w:rsid w:val="00E17329"/>
    <w:rsid w:val="00E17703"/>
    <w:rsid w:val="00E178BE"/>
    <w:rsid w:val="00E17962"/>
    <w:rsid w:val="00E17D7B"/>
    <w:rsid w:val="00E17DC0"/>
    <w:rsid w:val="00E17EB4"/>
    <w:rsid w:val="00E17FA3"/>
    <w:rsid w:val="00E20830"/>
    <w:rsid w:val="00E20B33"/>
    <w:rsid w:val="00E2121F"/>
    <w:rsid w:val="00E212C2"/>
    <w:rsid w:val="00E2135D"/>
    <w:rsid w:val="00E217C0"/>
    <w:rsid w:val="00E219A8"/>
    <w:rsid w:val="00E21A06"/>
    <w:rsid w:val="00E21B0F"/>
    <w:rsid w:val="00E21B77"/>
    <w:rsid w:val="00E21C03"/>
    <w:rsid w:val="00E21E37"/>
    <w:rsid w:val="00E224CC"/>
    <w:rsid w:val="00E228C4"/>
    <w:rsid w:val="00E22B13"/>
    <w:rsid w:val="00E22DE1"/>
    <w:rsid w:val="00E231EC"/>
    <w:rsid w:val="00E2333F"/>
    <w:rsid w:val="00E234C0"/>
    <w:rsid w:val="00E2379A"/>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E11"/>
    <w:rsid w:val="00E33436"/>
    <w:rsid w:val="00E337D2"/>
    <w:rsid w:val="00E33966"/>
    <w:rsid w:val="00E339AA"/>
    <w:rsid w:val="00E33E66"/>
    <w:rsid w:val="00E34A44"/>
    <w:rsid w:val="00E34C8C"/>
    <w:rsid w:val="00E34D8D"/>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25C"/>
    <w:rsid w:val="00E437C7"/>
    <w:rsid w:val="00E437CD"/>
    <w:rsid w:val="00E43B19"/>
    <w:rsid w:val="00E43CA5"/>
    <w:rsid w:val="00E43D73"/>
    <w:rsid w:val="00E43F3A"/>
    <w:rsid w:val="00E44238"/>
    <w:rsid w:val="00E443B8"/>
    <w:rsid w:val="00E44486"/>
    <w:rsid w:val="00E4453A"/>
    <w:rsid w:val="00E448E8"/>
    <w:rsid w:val="00E44C29"/>
    <w:rsid w:val="00E44F9F"/>
    <w:rsid w:val="00E4575F"/>
    <w:rsid w:val="00E45A28"/>
    <w:rsid w:val="00E45BD1"/>
    <w:rsid w:val="00E45C66"/>
    <w:rsid w:val="00E45CA7"/>
    <w:rsid w:val="00E45D8E"/>
    <w:rsid w:val="00E45E63"/>
    <w:rsid w:val="00E45FB4"/>
    <w:rsid w:val="00E45FCD"/>
    <w:rsid w:val="00E45FE8"/>
    <w:rsid w:val="00E462DC"/>
    <w:rsid w:val="00E4649D"/>
    <w:rsid w:val="00E46AF8"/>
    <w:rsid w:val="00E46BDF"/>
    <w:rsid w:val="00E46D20"/>
    <w:rsid w:val="00E46FB1"/>
    <w:rsid w:val="00E4750F"/>
    <w:rsid w:val="00E47A09"/>
    <w:rsid w:val="00E47C73"/>
    <w:rsid w:val="00E47D1D"/>
    <w:rsid w:val="00E47D52"/>
    <w:rsid w:val="00E47EF6"/>
    <w:rsid w:val="00E50074"/>
    <w:rsid w:val="00E506A8"/>
    <w:rsid w:val="00E5071A"/>
    <w:rsid w:val="00E50ED3"/>
    <w:rsid w:val="00E51346"/>
    <w:rsid w:val="00E51723"/>
    <w:rsid w:val="00E51970"/>
    <w:rsid w:val="00E51A50"/>
    <w:rsid w:val="00E51F35"/>
    <w:rsid w:val="00E5213E"/>
    <w:rsid w:val="00E52B08"/>
    <w:rsid w:val="00E5312A"/>
    <w:rsid w:val="00E53426"/>
    <w:rsid w:val="00E53704"/>
    <w:rsid w:val="00E53C9C"/>
    <w:rsid w:val="00E5496D"/>
    <w:rsid w:val="00E54B6B"/>
    <w:rsid w:val="00E54C45"/>
    <w:rsid w:val="00E5539D"/>
    <w:rsid w:val="00E55B44"/>
    <w:rsid w:val="00E55ECC"/>
    <w:rsid w:val="00E5647B"/>
    <w:rsid w:val="00E566E4"/>
    <w:rsid w:val="00E56B44"/>
    <w:rsid w:val="00E56C07"/>
    <w:rsid w:val="00E56CB5"/>
    <w:rsid w:val="00E56D78"/>
    <w:rsid w:val="00E5770D"/>
    <w:rsid w:val="00E57795"/>
    <w:rsid w:val="00E6005E"/>
    <w:rsid w:val="00E602D2"/>
    <w:rsid w:val="00E60D4D"/>
    <w:rsid w:val="00E60DF5"/>
    <w:rsid w:val="00E61005"/>
    <w:rsid w:val="00E610F8"/>
    <w:rsid w:val="00E613D4"/>
    <w:rsid w:val="00E6195A"/>
    <w:rsid w:val="00E62A27"/>
    <w:rsid w:val="00E62A41"/>
    <w:rsid w:val="00E62EC8"/>
    <w:rsid w:val="00E632DA"/>
    <w:rsid w:val="00E633F1"/>
    <w:rsid w:val="00E6340D"/>
    <w:rsid w:val="00E63927"/>
    <w:rsid w:val="00E63A8B"/>
    <w:rsid w:val="00E642FC"/>
    <w:rsid w:val="00E64314"/>
    <w:rsid w:val="00E64420"/>
    <w:rsid w:val="00E6443D"/>
    <w:rsid w:val="00E64674"/>
    <w:rsid w:val="00E647C3"/>
    <w:rsid w:val="00E650F6"/>
    <w:rsid w:val="00E6565C"/>
    <w:rsid w:val="00E6598D"/>
    <w:rsid w:val="00E65D0C"/>
    <w:rsid w:val="00E65E74"/>
    <w:rsid w:val="00E65E98"/>
    <w:rsid w:val="00E6625C"/>
    <w:rsid w:val="00E662B7"/>
    <w:rsid w:val="00E66413"/>
    <w:rsid w:val="00E6672B"/>
    <w:rsid w:val="00E66828"/>
    <w:rsid w:val="00E66926"/>
    <w:rsid w:val="00E669A2"/>
    <w:rsid w:val="00E66BCE"/>
    <w:rsid w:val="00E671D5"/>
    <w:rsid w:val="00E677E5"/>
    <w:rsid w:val="00E6799F"/>
    <w:rsid w:val="00E67E91"/>
    <w:rsid w:val="00E702A5"/>
    <w:rsid w:val="00E70329"/>
    <w:rsid w:val="00E70372"/>
    <w:rsid w:val="00E7066C"/>
    <w:rsid w:val="00E70882"/>
    <w:rsid w:val="00E70A75"/>
    <w:rsid w:val="00E71674"/>
    <w:rsid w:val="00E719CB"/>
    <w:rsid w:val="00E71A75"/>
    <w:rsid w:val="00E71C94"/>
    <w:rsid w:val="00E71D19"/>
    <w:rsid w:val="00E7228B"/>
    <w:rsid w:val="00E72C61"/>
    <w:rsid w:val="00E73DF0"/>
    <w:rsid w:val="00E7418E"/>
    <w:rsid w:val="00E742FA"/>
    <w:rsid w:val="00E7432A"/>
    <w:rsid w:val="00E745A2"/>
    <w:rsid w:val="00E747FA"/>
    <w:rsid w:val="00E74B5A"/>
    <w:rsid w:val="00E74C31"/>
    <w:rsid w:val="00E75242"/>
    <w:rsid w:val="00E75313"/>
    <w:rsid w:val="00E75F62"/>
    <w:rsid w:val="00E763C7"/>
    <w:rsid w:val="00E76D9A"/>
    <w:rsid w:val="00E76E1C"/>
    <w:rsid w:val="00E77050"/>
    <w:rsid w:val="00E77249"/>
    <w:rsid w:val="00E77625"/>
    <w:rsid w:val="00E7779C"/>
    <w:rsid w:val="00E7790A"/>
    <w:rsid w:val="00E8050F"/>
    <w:rsid w:val="00E8065B"/>
    <w:rsid w:val="00E81542"/>
    <w:rsid w:val="00E8170E"/>
    <w:rsid w:val="00E81E01"/>
    <w:rsid w:val="00E82281"/>
    <w:rsid w:val="00E8228C"/>
    <w:rsid w:val="00E82ABF"/>
    <w:rsid w:val="00E82C10"/>
    <w:rsid w:val="00E8300C"/>
    <w:rsid w:val="00E8310F"/>
    <w:rsid w:val="00E8379E"/>
    <w:rsid w:val="00E83BF0"/>
    <w:rsid w:val="00E83D5A"/>
    <w:rsid w:val="00E83E81"/>
    <w:rsid w:val="00E84058"/>
    <w:rsid w:val="00E8425E"/>
    <w:rsid w:val="00E843E2"/>
    <w:rsid w:val="00E844CE"/>
    <w:rsid w:val="00E8464B"/>
    <w:rsid w:val="00E846CC"/>
    <w:rsid w:val="00E851A4"/>
    <w:rsid w:val="00E8523F"/>
    <w:rsid w:val="00E85304"/>
    <w:rsid w:val="00E854E1"/>
    <w:rsid w:val="00E855CE"/>
    <w:rsid w:val="00E85A04"/>
    <w:rsid w:val="00E85B0F"/>
    <w:rsid w:val="00E8617A"/>
    <w:rsid w:val="00E86C27"/>
    <w:rsid w:val="00E86DB3"/>
    <w:rsid w:val="00E872FC"/>
    <w:rsid w:val="00E87C5D"/>
    <w:rsid w:val="00E90654"/>
    <w:rsid w:val="00E90B93"/>
    <w:rsid w:val="00E90D24"/>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106"/>
    <w:rsid w:val="00E95362"/>
    <w:rsid w:val="00E954F9"/>
    <w:rsid w:val="00E954FF"/>
    <w:rsid w:val="00E95673"/>
    <w:rsid w:val="00E956B5"/>
    <w:rsid w:val="00E96092"/>
    <w:rsid w:val="00E964AD"/>
    <w:rsid w:val="00E96789"/>
    <w:rsid w:val="00E9682D"/>
    <w:rsid w:val="00E9682E"/>
    <w:rsid w:val="00E96914"/>
    <w:rsid w:val="00E97698"/>
    <w:rsid w:val="00EA00CC"/>
    <w:rsid w:val="00EA0242"/>
    <w:rsid w:val="00EA03C9"/>
    <w:rsid w:val="00EA08DB"/>
    <w:rsid w:val="00EA08F8"/>
    <w:rsid w:val="00EA0B4E"/>
    <w:rsid w:val="00EA0DCF"/>
    <w:rsid w:val="00EA0E4D"/>
    <w:rsid w:val="00EA1ED5"/>
    <w:rsid w:val="00EA362A"/>
    <w:rsid w:val="00EA3804"/>
    <w:rsid w:val="00EA3838"/>
    <w:rsid w:val="00EA3CAF"/>
    <w:rsid w:val="00EA3DD6"/>
    <w:rsid w:val="00EA3EB2"/>
    <w:rsid w:val="00EA4181"/>
    <w:rsid w:val="00EA4758"/>
    <w:rsid w:val="00EA496D"/>
    <w:rsid w:val="00EA4C9F"/>
    <w:rsid w:val="00EA4D12"/>
    <w:rsid w:val="00EA4DD4"/>
    <w:rsid w:val="00EA4F5D"/>
    <w:rsid w:val="00EA4F93"/>
    <w:rsid w:val="00EA539F"/>
    <w:rsid w:val="00EA542B"/>
    <w:rsid w:val="00EA63B1"/>
    <w:rsid w:val="00EA6542"/>
    <w:rsid w:val="00EA6BFB"/>
    <w:rsid w:val="00EA6C04"/>
    <w:rsid w:val="00EA6EAC"/>
    <w:rsid w:val="00EA7601"/>
    <w:rsid w:val="00EA764D"/>
    <w:rsid w:val="00EA787F"/>
    <w:rsid w:val="00EA7AC2"/>
    <w:rsid w:val="00EB0550"/>
    <w:rsid w:val="00EB0970"/>
    <w:rsid w:val="00EB0CE6"/>
    <w:rsid w:val="00EB10A3"/>
    <w:rsid w:val="00EB1E63"/>
    <w:rsid w:val="00EB200C"/>
    <w:rsid w:val="00EB2658"/>
    <w:rsid w:val="00EB2BEF"/>
    <w:rsid w:val="00EB2DF3"/>
    <w:rsid w:val="00EB2F0E"/>
    <w:rsid w:val="00EB3E59"/>
    <w:rsid w:val="00EB49AF"/>
    <w:rsid w:val="00EB4A0E"/>
    <w:rsid w:val="00EB4A28"/>
    <w:rsid w:val="00EB4A95"/>
    <w:rsid w:val="00EB4CFC"/>
    <w:rsid w:val="00EB4FBE"/>
    <w:rsid w:val="00EB5033"/>
    <w:rsid w:val="00EB52AA"/>
    <w:rsid w:val="00EB53AC"/>
    <w:rsid w:val="00EB5510"/>
    <w:rsid w:val="00EB5A96"/>
    <w:rsid w:val="00EB620E"/>
    <w:rsid w:val="00EB6715"/>
    <w:rsid w:val="00EB69FC"/>
    <w:rsid w:val="00EB6ABE"/>
    <w:rsid w:val="00EB6B55"/>
    <w:rsid w:val="00EB6B95"/>
    <w:rsid w:val="00EB6EFD"/>
    <w:rsid w:val="00EB738F"/>
    <w:rsid w:val="00EB74A0"/>
    <w:rsid w:val="00EB775D"/>
    <w:rsid w:val="00EB7F21"/>
    <w:rsid w:val="00EC02DC"/>
    <w:rsid w:val="00EC0398"/>
    <w:rsid w:val="00EC06C2"/>
    <w:rsid w:val="00EC09D4"/>
    <w:rsid w:val="00EC0BD9"/>
    <w:rsid w:val="00EC0BE3"/>
    <w:rsid w:val="00EC0BF9"/>
    <w:rsid w:val="00EC18A7"/>
    <w:rsid w:val="00EC2034"/>
    <w:rsid w:val="00EC2063"/>
    <w:rsid w:val="00EC213B"/>
    <w:rsid w:val="00EC21AF"/>
    <w:rsid w:val="00EC21DE"/>
    <w:rsid w:val="00EC23CA"/>
    <w:rsid w:val="00EC27CE"/>
    <w:rsid w:val="00EC2814"/>
    <w:rsid w:val="00EC2BA9"/>
    <w:rsid w:val="00EC2E79"/>
    <w:rsid w:val="00EC2F7D"/>
    <w:rsid w:val="00EC352B"/>
    <w:rsid w:val="00EC3560"/>
    <w:rsid w:val="00EC40B9"/>
    <w:rsid w:val="00EC436A"/>
    <w:rsid w:val="00EC4609"/>
    <w:rsid w:val="00EC469F"/>
    <w:rsid w:val="00EC4986"/>
    <w:rsid w:val="00EC4B23"/>
    <w:rsid w:val="00EC4EA2"/>
    <w:rsid w:val="00EC4FC8"/>
    <w:rsid w:val="00EC57F6"/>
    <w:rsid w:val="00EC665C"/>
    <w:rsid w:val="00EC66C0"/>
    <w:rsid w:val="00EC70A6"/>
    <w:rsid w:val="00EC715A"/>
    <w:rsid w:val="00EC769A"/>
    <w:rsid w:val="00EC78C8"/>
    <w:rsid w:val="00EC7A1E"/>
    <w:rsid w:val="00EC7C92"/>
    <w:rsid w:val="00ED1289"/>
    <w:rsid w:val="00ED16A7"/>
    <w:rsid w:val="00ED17E5"/>
    <w:rsid w:val="00ED1A0E"/>
    <w:rsid w:val="00ED1C16"/>
    <w:rsid w:val="00ED233F"/>
    <w:rsid w:val="00ED2491"/>
    <w:rsid w:val="00ED2894"/>
    <w:rsid w:val="00ED2A9D"/>
    <w:rsid w:val="00ED33C5"/>
    <w:rsid w:val="00ED38E6"/>
    <w:rsid w:val="00ED3971"/>
    <w:rsid w:val="00ED3AB7"/>
    <w:rsid w:val="00ED41BE"/>
    <w:rsid w:val="00ED500F"/>
    <w:rsid w:val="00ED5160"/>
    <w:rsid w:val="00ED5203"/>
    <w:rsid w:val="00ED5475"/>
    <w:rsid w:val="00ED55D9"/>
    <w:rsid w:val="00ED584A"/>
    <w:rsid w:val="00ED5A22"/>
    <w:rsid w:val="00ED5BE5"/>
    <w:rsid w:val="00ED6EC0"/>
    <w:rsid w:val="00ED6F5F"/>
    <w:rsid w:val="00ED7592"/>
    <w:rsid w:val="00ED76A2"/>
    <w:rsid w:val="00ED7B3C"/>
    <w:rsid w:val="00EE05CB"/>
    <w:rsid w:val="00EE06A7"/>
    <w:rsid w:val="00EE10B1"/>
    <w:rsid w:val="00EE125C"/>
    <w:rsid w:val="00EE1A02"/>
    <w:rsid w:val="00EE1DDA"/>
    <w:rsid w:val="00EE1F6E"/>
    <w:rsid w:val="00EE2262"/>
    <w:rsid w:val="00EE24D3"/>
    <w:rsid w:val="00EE2C0C"/>
    <w:rsid w:val="00EE33FD"/>
    <w:rsid w:val="00EE3573"/>
    <w:rsid w:val="00EE3C60"/>
    <w:rsid w:val="00EE3E2D"/>
    <w:rsid w:val="00EE3FAB"/>
    <w:rsid w:val="00EE4939"/>
    <w:rsid w:val="00EE4C6B"/>
    <w:rsid w:val="00EE51C9"/>
    <w:rsid w:val="00EE5C86"/>
    <w:rsid w:val="00EE5D39"/>
    <w:rsid w:val="00EE6BF5"/>
    <w:rsid w:val="00EE6CDA"/>
    <w:rsid w:val="00EE7069"/>
    <w:rsid w:val="00EE715B"/>
    <w:rsid w:val="00EE722A"/>
    <w:rsid w:val="00EE77E2"/>
    <w:rsid w:val="00EE7AF1"/>
    <w:rsid w:val="00EE7B80"/>
    <w:rsid w:val="00EF07C1"/>
    <w:rsid w:val="00EF08B6"/>
    <w:rsid w:val="00EF107D"/>
    <w:rsid w:val="00EF12BA"/>
    <w:rsid w:val="00EF20D8"/>
    <w:rsid w:val="00EF26E8"/>
    <w:rsid w:val="00EF29B6"/>
    <w:rsid w:val="00EF2DF0"/>
    <w:rsid w:val="00EF312E"/>
    <w:rsid w:val="00EF3162"/>
    <w:rsid w:val="00EF31D4"/>
    <w:rsid w:val="00EF35DE"/>
    <w:rsid w:val="00EF3B73"/>
    <w:rsid w:val="00EF3F4A"/>
    <w:rsid w:val="00EF3F96"/>
    <w:rsid w:val="00EF4189"/>
    <w:rsid w:val="00EF44EC"/>
    <w:rsid w:val="00EF457F"/>
    <w:rsid w:val="00EF4752"/>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64A"/>
    <w:rsid w:val="00EF77E1"/>
    <w:rsid w:val="00F00B82"/>
    <w:rsid w:val="00F00DB1"/>
    <w:rsid w:val="00F01049"/>
    <w:rsid w:val="00F01137"/>
    <w:rsid w:val="00F0117E"/>
    <w:rsid w:val="00F011A6"/>
    <w:rsid w:val="00F014B4"/>
    <w:rsid w:val="00F017BD"/>
    <w:rsid w:val="00F017D7"/>
    <w:rsid w:val="00F01814"/>
    <w:rsid w:val="00F01C38"/>
    <w:rsid w:val="00F01C8D"/>
    <w:rsid w:val="00F021AD"/>
    <w:rsid w:val="00F0226E"/>
    <w:rsid w:val="00F02CDE"/>
    <w:rsid w:val="00F02E42"/>
    <w:rsid w:val="00F02E93"/>
    <w:rsid w:val="00F03208"/>
    <w:rsid w:val="00F032F6"/>
    <w:rsid w:val="00F0336C"/>
    <w:rsid w:val="00F03A93"/>
    <w:rsid w:val="00F04035"/>
    <w:rsid w:val="00F04329"/>
    <w:rsid w:val="00F0449A"/>
    <w:rsid w:val="00F04624"/>
    <w:rsid w:val="00F047F0"/>
    <w:rsid w:val="00F05246"/>
    <w:rsid w:val="00F05391"/>
    <w:rsid w:val="00F05774"/>
    <w:rsid w:val="00F05AF2"/>
    <w:rsid w:val="00F05FCC"/>
    <w:rsid w:val="00F062F6"/>
    <w:rsid w:val="00F06E12"/>
    <w:rsid w:val="00F06E95"/>
    <w:rsid w:val="00F07206"/>
    <w:rsid w:val="00F07305"/>
    <w:rsid w:val="00F07ABE"/>
    <w:rsid w:val="00F07AFE"/>
    <w:rsid w:val="00F1019F"/>
    <w:rsid w:val="00F1037F"/>
    <w:rsid w:val="00F10840"/>
    <w:rsid w:val="00F108DB"/>
    <w:rsid w:val="00F111C9"/>
    <w:rsid w:val="00F116C5"/>
    <w:rsid w:val="00F11E0E"/>
    <w:rsid w:val="00F11FFC"/>
    <w:rsid w:val="00F12F5C"/>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007"/>
    <w:rsid w:val="00F17E63"/>
    <w:rsid w:val="00F20301"/>
    <w:rsid w:val="00F204AB"/>
    <w:rsid w:val="00F20712"/>
    <w:rsid w:val="00F208F8"/>
    <w:rsid w:val="00F209CD"/>
    <w:rsid w:val="00F2130A"/>
    <w:rsid w:val="00F21432"/>
    <w:rsid w:val="00F2150B"/>
    <w:rsid w:val="00F22650"/>
    <w:rsid w:val="00F23AE4"/>
    <w:rsid w:val="00F23B77"/>
    <w:rsid w:val="00F23ECA"/>
    <w:rsid w:val="00F23FDD"/>
    <w:rsid w:val="00F24079"/>
    <w:rsid w:val="00F24939"/>
    <w:rsid w:val="00F252EF"/>
    <w:rsid w:val="00F25960"/>
    <w:rsid w:val="00F25BF9"/>
    <w:rsid w:val="00F2610C"/>
    <w:rsid w:val="00F26494"/>
    <w:rsid w:val="00F268AB"/>
    <w:rsid w:val="00F26D94"/>
    <w:rsid w:val="00F272CC"/>
    <w:rsid w:val="00F27381"/>
    <w:rsid w:val="00F27563"/>
    <w:rsid w:val="00F277C5"/>
    <w:rsid w:val="00F2792E"/>
    <w:rsid w:val="00F279FE"/>
    <w:rsid w:val="00F27AA3"/>
    <w:rsid w:val="00F27FD6"/>
    <w:rsid w:val="00F300E0"/>
    <w:rsid w:val="00F3014B"/>
    <w:rsid w:val="00F30B94"/>
    <w:rsid w:val="00F31237"/>
    <w:rsid w:val="00F31336"/>
    <w:rsid w:val="00F31442"/>
    <w:rsid w:val="00F3175D"/>
    <w:rsid w:val="00F3193E"/>
    <w:rsid w:val="00F31A35"/>
    <w:rsid w:val="00F31BB3"/>
    <w:rsid w:val="00F31BF4"/>
    <w:rsid w:val="00F32AA4"/>
    <w:rsid w:val="00F32E2C"/>
    <w:rsid w:val="00F33052"/>
    <w:rsid w:val="00F33363"/>
    <w:rsid w:val="00F33370"/>
    <w:rsid w:val="00F3354E"/>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D7B"/>
    <w:rsid w:val="00F40011"/>
    <w:rsid w:val="00F40177"/>
    <w:rsid w:val="00F40B25"/>
    <w:rsid w:val="00F40BF2"/>
    <w:rsid w:val="00F42C95"/>
    <w:rsid w:val="00F42EFB"/>
    <w:rsid w:val="00F42F57"/>
    <w:rsid w:val="00F4388E"/>
    <w:rsid w:val="00F44037"/>
    <w:rsid w:val="00F4409D"/>
    <w:rsid w:val="00F446D8"/>
    <w:rsid w:val="00F447F2"/>
    <w:rsid w:val="00F44B57"/>
    <w:rsid w:val="00F45E75"/>
    <w:rsid w:val="00F46299"/>
    <w:rsid w:val="00F46C84"/>
    <w:rsid w:val="00F475E9"/>
    <w:rsid w:val="00F47785"/>
    <w:rsid w:val="00F4797C"/>
    <w:rsid w:val="00F47BB6"/>
    <w:rsid w:val="00F47E48"/>
    <w:rsid w:val="00F5026F"/>
    <w:rsid w:val="00F50621"/>
    <w:rsid w:val="00F5166F"/>
    <w:rsid w:val="00F51C32"/>
    <w:rsid w:val="00F51CC6"/>
    <w:rsid w:val="00F51E18"/>
    <w:rsid w:val="00F523F0"/>
    <w:rsid w:val="00F52521"/>
    <w:rsid w:val="00F52663"/>
    <w:rsid w:val="00F52956"/>
    <w:rsid w:val="00F529B8"/>
    <w:rsid w:val="00F5307B"/>
    <w:rsid w:val="00F54500"/>
    <w:rsid w:val="00F549B2"/>
    <w:rsid w:val="00F54D3F"/>
    <w:rsid w:val="00F54E58"/>
    <w:rsid w:val="00F558AC"/>
    <w:rsid w:val="00F5590B"/>
    <w:rsid w:val="00F55B93"/>
    <w:rsid w:val="00F55BEA"/>
    <w:rsid w:val="00F56181"/>
    <w:rsid w:val="00F5711C"/>
    <w:rsid w:val="00F572F5"/>
    <w:rsid w:val="00F573C3"/>
    <w:rsid w:val="00F578D0"/>
    <w:rsid w:val="00F578D6"/>
    <w:rsid w:val="00F57E6E"/>
    <w:rsid w:val="00F600DC"/>
    <w:rsid w:val="00F606D0"/>
    <w:rsid w:val="00F60948"/>
    <w:rsid w:val="00F60B47"/>
    <w:rsid w:val="00F61174"/>
    <w:rsid w:val="00F615BA"/>
    <w:rsid w:val="00F61754"/>
    <w:rsid w:val="00F61995"/>
    <w:rsid w:val="00F61C1B"/>
    <w:rsid w:val="00F61C30"/>
    <w:rsid w:val="00F61FE4"/>
    <w:rsid w:val="00F62471"/>
    <w:rsid w:val="00F62752"/>
    <w:rsid w:val="00F62B5A"/>
    <w:rsid w:val="00F6341B"/>
    <w:rsid w:val="00F636EE"/>
    <w:rsid w:val="00F637E6"/>
    <w:rsid w:val="00F638F1"/>
    <w:rsid w:val="00F64207"/>
    <w:rsid w:val="00F64377"/>
    <w:rsid w:val="00F64BDF"/>
    <w:rsid w:val="00F654A6"/>
    <w:rsid w:val="00F6563F"/>
    <w:rsid w:val="00F6594F"/>
    <w:rsid w:val="00F65AE3"/>
    <w:rsid w:val="00F65B27"/>
    <w:rsid w:val="00F6600E"/>
    <w:rsid w:val="00F6737B"/>
    <w:rsid w:val="00F6738C"/>
    <w:rsid w:val="00F673D5"/>
    <w:rsid w:val="00F675A1"/>
    <w:rsid w:val="00F676DD"/>
    <w:rsid w:val="00F67CE3"/>
    <w:rsid w:val="00F67EB8"/>
    <w:rsid w:val="00F7029A"/>
    <w:rsid w:val="00F709F9"/>
    <w:rsid w:val="00F70D15"/>
    <w:rsid w:val="00F70FB2"/>
    <w:rsid w:val="00F71668"/>
    <w:rsid w:val="00F71C8B"/>
    <w:rsid w:val="00F71EFD"/>
    <w:rsid w:val="00F71F7B"/>
    <w:rsid w:val="00F72CFC"/>
    <w:rsid w:val="00F730FA"/>
    <w:rsid w:val="00F7358A"/>
    <w:rsid w:val="00F73614"/>
    <w:rsid w:val="00F73748"/>
    <w:rsid w:val="00F7374B"/>
    <w:rsid w:val="00F73B4C"/>
    <w:rsid w:val="00F73CAF"/>
    <w:rsid w:val="00F74566"/>
    <w:rsid w:val="00F748FB"/>
    <w:rsid w:val="00F74939"/>
    <w:rsid w:val="00F74CD9"/>
    <w:rsid w:val="00F751B9"/>
    <w:rsid w:val="00F75884"/>
    <w:rsid w:val="00F7598D"/>
    <w:rsid w:val="00F75B96"/>
    <w:rsid w:val="00F75D4D"/>
    <w:rsid w:val="00F75EF8"/>
    <w:rsid w:val="00F765B1"/>
    <w:rsid w:val="00F7691C"/>
    <w:rsid w:val="00F76D4A"/>
    <w:rsid w:val="00F76E3C"/>
    <w:rsid w:val="00F77290"/>
    <w:rsid w:val="00F77548"/>
    <w:rsid w:val="00F77566"/>
    <w:rsid w:val="00F801F8"/>
    <w:rsid w:val="00F8127D"/>
    <w:rsid w:val="00F81468"/>
    <w:rsid w:val="00F814FA"/>
    <w:rsid w:val="00F818C9"/>
    <w:rsid w:val="00F8196D"/>
    <w:rsid w:val="00F81A7C"/>
    <w:rsid w:val="00F81C04"/>
    <w:rsid w:val="00F81FC8"/>
    <w:rsid w:val="00F82430"/>
    <w:rsid w:val="00F82439"/>
    <w:rsid w:val="00F82872"/>
    <w:rsid w:val="00F82F3D"/>
    <w:rsid w:val="00F82F7D"/>
    <w:rsid w:val="00F830BA"/>
    <w:rsid w:val="00F836FE"/>
    <w:rsid w:val="00F8393D"/>
    <w:rsid w:val="00F83BC4"/>
    <w:rsid w:val="00F83DA8"/>
    <w:rsid w:val="00F84326"/>
    <w:rsid w:val="00F84574"/>
    <w:rsid w:val="00F84ECF"/>
    <w:rsid w:val="00F854E2"/>
    <w:rsid w:val="00F854FD"/>
    <w:rsid w:val="00F85647"/>
    <w:rsid w:val="00F85BC6"/>
    <w:rsid w:val="00F85FFE"/>
    <w:rsid w:val="00F8607B"/>
    <w:rsid w:val="00F86408"/>
    <w:rsid w:val="00F86B79"/>
    <w:rsid w:val="00F87417"/>
    <w:rsid w:val="00F87740"/>
    <w:rsid w:val="00F87C31"/>
    <w:rsid w:val="00F87F0C"/>
    <w:rsid w:val="00F90011"/>
    <w:rsid w:val="00F9013A"/>
    <w:rsid w:val="00F903D3"/>
    <w:rsid w:val="00F907BC"/>
    <w:rsid w:val="00F909E4"/>
    <w:rsid w:val="00F90FCF"/>
    <w:rsid w:val="00F91068"/>
    <w:rsid w:val="00F9121D"/>
    <w:rsid w:val="00F91481"/>
    <w:rsid w:val="00F915AC"/>
    <w:rsid w:val="00F91618"/>
    <w:rsid w:val="00F91CFD"/>
    <w:rsid w:val="00F92722"/>
    <w:rsid w:val="00F929FA"/>
    <w:rsid w:val="00F92A6C"/>
    <w:rsid w:val="00F92CDD"/>
    <w:rsid w:val="00F93D17"/>
    <w:rsid w:val="00F93D41"/>
    <w:rsid w:val="00F93DD0"/>
    <w:rsid w:val="00F94F96"/>
    <w:rsid w:val="00F95346"/>
    <w:rsid w:val="00F95356"/>
    <w:rsid w:val="00F95529"/>
    <w:rsid w:val="00F957CE"/>
    <w:rsid w:val="00F9586E"/>
    <w:rsid w:val="00F95874"/>
    <w:rsid w:val="00F95C48"/>
    <w:rsid w:val="00F95C55"/>
    <w:rsid w:val="00F95EC8"/>
    <w:rsid w:val="00F96D4A"/>
    <w:rsid w:val="00F97725"/>
    <w:rsid w:val="00FA0318"/>
    <w:rsid w:val="00FA06D7"/>
    <w:rsid w:val="00FA08AD"/>
    <w:rsid w:val="00FA0B7B"/>
    <w:rsid w:val="00FA0CC1"/>
    <w:rsid w:val="00FA0F32"/>
    <w:rsid w:val="00FA0F44"/>
    <w:rsid w:val="00FA1080"/>
    <w:rsid w:val="00FA1734"/>
    <w:rsid w:val="00FA17A4"/>
    <w:rsid w:val="00FA1A7D"/>
    <w:rsid w:val="00FA1A8E"/>
    <w:rsid w:val="00FA2064"/>
    <w:rsid w:val="00FA2FF5"/>
    <w:rsid w:val="00FA33AC"/>
    <w:rsid w:val="00FA34C6"/>
    <w:rsid w:val="00FA352A"/>
    <w:rsid w:val="00FA367C"/>
    <w:rsid w:val="00FA36D9"/>
    <w:rsid w:val="00FA3831"/>
    <w:rsid w:val="00FA409E"/>
    <w:rsid w:val="00FA4244"/>
    <w:rsid w:val="00FA4CE4"/>
    <w:rsid w:val="00FA548B"/>
    <w:rsid w:val="00FA5784"/>
    <w:rsid w:val="00FA603A"/>
    <w:rsid w:val="00FA619E"/>
    <w:rsid w:val="00FA658A"/>
    <w:rsid w:val="00FA66F3"/>
    <w:rsid w:val="00FA6B8F"/>
    <w:rsid w:val="00FA732E"/>
    <w:rsid w:val="00FA79F5"/>
    <w:rsid w:val="00FA7B41"/>
    <w:rsid w:val="00FA7D54"/>
    <w:rsid w:val="00FB0515"/>
    <w:rsid w:val="00FB072E"/>
    <w:rsid w:val="00FB07E5"/>
    <w:rsid w:val="00FB1616"/>
    <w:rsid w:val="00FB1891"/>
    <w:rsid w:val="00FB1A76"/>
    <w:rsid w:val="00FB1B91"/>
    <w:rsid w:val="00FB209E"/>
    <w:rsid w:val="00FB22DF"/>
    <w:rsid w:val="00FB2AA1"/>
    <w:rsid w:val="00FB3DF7"/>
    <w:rsid w:val="00FB3F69"/>
    <w:rsid w:val="00FB4477"/>
    <w:rsid w:val="00FB4944"/>
    <w:rsid w:val="00FB531F"/>
    <w:rsid w:val="00FB57A1"/>
    <w:rsid w:val="00FB5A02"/>
    <w:rsid w:val="00FB5B93"/>
    <w:rsid w:val="00FB5CB3"/>
    <w:rsid w:val="00FB5F13"/>
    <w:rsid w:val="00FB67A5"/>
    <w:rsid w:val="00FB6BF7"/>
    <w:rsid w:val="00FB7AA1"/>
    <w:rsid w:val="00FB7DFE"/>
    <w:rsid w:val="00FB7E38"/>
    <w:rsid w:val="00FC019F"/>
    <w:rsid w:val="00FC0686"/>
    <w:rsid w:val="00FC0CFF"/>
    <w:rsid w:val="00FC0D90"/>
    <w:rsid w:val="00FC1580"/>
    <w:rsid w:val="00FC1B74"/>
    <w:rsid w:val="00FC1E34"/>
    <w:rsid w:val="00FC2149"/>
    <w:rsid w:val="00FC25EA"/>
    <w:rsid w:val="00FC2601"/>
    <w:rsid w:val="00FC2FB6"/>
    <w:rsid w:val="00FC3487"/>
    <w:rsid w:val="00FC3827"/>
    <w:rsid w:val="00FC390E"/>
    <w:rsid w:val="00FC4345"/>
    <w:rsid w:val="00FC4B32"/>
    <w:rsid w:val="00FC4D5C"/>
    <w:rsid w:val="00FC599A"/>
    <w:rsid w:val="00FC6304"/>
    <w:rsid w:val="00FC6947"/>
    <w:rsid w:val="00FC6DD7"/>
    <w:rsid w:val="00FC777C"/>
    <w:rsid w:val="00FC793B"/>
    <w:rsid w:val="00FC7F62"/>
    <w:rsid w:val="00FD0C7F"/>
    <w:rsid w:val="00FD0CBF"/>
    <w:rsid w:val="00FD0EC5"/>
    <w:rsid w:val="00FD0FD9"/>
    <w:rsid w:val="00FD154F"/>
    <w:rsid w:val="00FD17CE"/>
    <w:rsid w:val="00FD1901"/>
    <w:rsid w:val="00FD1A95"/>
    <w:rsid w:val="00FD1B15"/>
    <w:rsid w:val="00FD23F2"/>
    <w:rsid w:val="00FD274A"/>
    <w:rsid w:val="00FD2964"/>
    <w:rsid w:val="00FD2D3F"/>
    <w:rsid w:val="00FD2E23"/>
    <w:rsid w:val="00FD3197"/>
    <w:rsid w:val="00FD32E9"/>
    <w:rsid w:val="00FD3604"/>
    <w:rsid w:val="00FD3850"/>
    <w:rsid w:val="00FD3E98"/>
    <w:rsid w:val="00FD4083"/>
    <w:rsid w:val="00FD42D2"/>
    <w:rsid w:val="00FD4389"/>
    <w:rsid w:val="00FD43D1"/>
    <w:rsid w:val="00FD45C8"/>
    <w:rsid w:val="00FD46C4"/>
    <w:rsid w:val="00FD4725"/>
    <w:rsid w:val="00FD4B4C"/>
    <w:rsid w:val="00FD4D94"/>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2CF"/>
    <w:rsid w:val="00FD776A"/>
    <w:rsid w:val="00FD77C0"/>
    <w:rsid w:val="00FD7B31"/>
    <w:rsid w:val="00FE048E"/>
    <w:rsid w:val="00FE04AC"/>
    <w:rsid w:val="00FE07AE"/>
    <w:rsid w:val="00FE07DE"/>
    <w:rsid w:val="00FE0ADC"/>
    <w:rsid w:val="00FE146F"/>
    <w:rsid w:val="00FE1869"/>
    <w:rsid w:val="00FE1B13"/>
    <w:rsid w:val="00FE1E5E"/>
    <w:rsid w:val="00FE1E61"/>
    <w:rsid w:val="00FE1E74"/>
    <w:rsid w:val="00FE22A1"/>
    <w:rsid w:val="00FE22E5"/>
    <w:rsid w:val="00FE23E2"/>
    <w:rsid w:val="00FE25E0"/>
    <w:rsid w:val="00FE2AE1"/>
    <w:rsid w:val="00FE327D"/>
    <w:rsid w:val="00FE3534"/>
    <w:rsid w:val="00FE401F"/>
    <w:rsid w:val="00FE4115"/>
    <w:rsid w:val="00FE42B8"/>
    <w:rsid w:val="00FE4480"/>
    <w:rsid w:val="00FE4E1A"/>
    <w:rsid w:val="00FE505A"/>
    <w:rsid w:val="00FE5361"/>
    <w:rsid w:val="00FE5DA9"/>
    <w:rsid w:val="00FE5EC6"/>
    <w:rsid w:val="00FE6518"/>
    <w:rsid w:val="00FE6546"/>
    <w:rsid w:val="00FE6632"/>
    <w:rsid w:val="00FE7B0D"/>
    <w:rsid w:val="00FE7B1E"/>
    <w:rsid w:val="00FE7E80"/>
    <w:rsid w:val="00FE7F97"/>
    <w:rsid w:val="00FF0637"/>
    <w:rsid w:val="00FF2475"/>
    <w:rsid w:val="00FF2664"/>
    <w:rsid w:val="00FF298F"/>
    <w:rsid w:val="00FF2B0C"/>
    <w:rsid w:val="00FF2E0A"/>
    <w:rsid w:val="00FF306C"/>
    <w:rsid w:val="00FF3170"/>
    <w:rsid w:val="00FF3477"/>
    <w:rsid w:val="00FF34D3"/>
    <w:rsid w:val="00FF368B"/>
    <w:rsid w:val="00FF3802"/>
    <w:rsid w:val="00FF3B81"/>
    <w:rsid w:val="00FF3C79"/>
    <w:rsid w:val="00FF3CED"/>
    <w:rsid w:val="00FF3CFB"/>
    <w:rsid w:val="00FF4137"/>
    <w:rsid w:val="00FF425A"/>
    <w:rsid w:val="00FF4A2A"/>
    <w:rsid w:val="00FF4ED2"/>
    <w:rsid w:val="00FF4F66"/>
    <w:rsid w:val="00FF5958"/>
    <w:rsid w:val="00FF60F0"/>
    <w:rsid w:val="00FF6514"/>
    <w:rsid w:val="00FF71A1"/>
    <w:rsid w:val="00FF72F6"/>
    <w:rsid w:val="00FF759F"/>
    <w:rsid w:val="00FF76C5"/>
    <w:rsid w:val="00FF7E72"/>
    <w:rsid w:val="042C65AF"/>
    <w:rsid w:val="04FF4D8B"/>
    <w:rsid w:val="0576594B"/>
    <w:rsid w:val="0681F58F"/>
    <w:rsid w:val="07D9F399"/>
    <w:rsid w:val="098107A3"/>
    <w:rsid w:val="0CF13713"/>
    <w:rsid w:val="0EFD8406"/>
    <w:rsid w:val="0F82A724"/>
    <w:rsid w:val="0FAC2008"/>
    <w:rsid w:val="119F0F77"/>
    <w:rsid w:val="11BD9439"/>
    <w:rsid w:val="120E5236"/>
    <w:rsid w:val="1268D42D"/>
    <w:rsid w:val="12F27EC9"/>
    <w:rsid w:val="1653B9E2"/>
    <w:rsid w:val="181A5007"/>
    <w:rsid w:val="194AC2D3"/>
    <w:rsid w:val="1978D05A"/>
    <w:rsid w:val="1AD085A4"/>
    <w:rsid w:val="1AD26945"/>
    <w:rsid w:val="1C048822"/>
    <w:rsid w:val="1D0F4863"/>
    <w:rsid w:val="1E8CA562"/>
    <w:rsid w:val="1F852C92"/>
    <w:rsid w:val="2046E925"/>
    <w:rsid w:val="250131EB"/>
    <w:rsid w:val="25C1D03E"/>
    <w:rsid w:val="26937285"/>
    <w:rsid w:val="26DF3A1B"/>
    <w:rsid w:val="28A2766F"/>
    <w:rsid w:val="2ACFC18F"/>
    <w:rsid w:val="2BB96F9F"/>
    <w:rsid w:val="2E10AA22"/>
    <w:rsid w:val="2EE8FF09"/>
    <w:rsid w:val="30055C55"/>
    <w:rsid w:val="338B9142"/>
    <w:rsid w:val="338EF737"/>
    <w:rsid w:val="34545AE7"/>
    <w:rsid w:val="364B726E"/>
    <w:rsid w:val="373D3A25"/>
    <w:rsid w:val="383F33B6"/>
    <w:rsid w:val="390F768A"/>
    <w:rsid w:val="3B6D6484"/>
    <w:rsid w:val="3CAB6510"/>
    <w:rsid w:val="3DB16464"/>
    <w:rsid w:val="3DC9EF85"/>
    <w:rsid w:val="3E2C1A1C"/>
    <w:rsid w:val="3F03658C"/>
    <w:rsid w:val="3F123702"/>
    <w:rsid w:val="3FB1FAEE"/>
    <w:rsid w:val="43795C5E"/>
    <w:rsid w:val="450794E2"/>
    <w:rsid w:val="45A4C06D"/>
    <w:rsid w:val="45F7C29F"/>
    <w:rsid w:val="469E6E07"/>
    <w:rsid w:val="46C5D9CB"/>
    <w:rsid w:val="46DC6BE2"/>
    <w:rsid w:val="4810B55E"/>
    <w:rsid w:val="49BA09BA"/>
    <w:rsid w:val="4B66A4A3"/>
    <w:rsid w:val="4C202BBD"/>
    <w:rsid w:val="4C45C3F5"/>
    <w:rsid w:val="4C7EED69"/>
    <w:rsid w:val="4D7AC828"/>
    <w:rsid w:val="4E5D167C"/>
    <w:rsid w:val="4E5F0D55"/>
    <w:rsid w:val="4E8EA92E"/>
    <w:rsid w:val="500B1216"/>
    <w:rsid w:val="507D58C6"/>
    <w:rsid w:val="50B604EA"/>
    <w:rsid w:val="52856BD2"/>
    <w:rsid w:val="56691C8E"/>
    <w:rsid w:val="56EA03C3"/>
    <w:rsid w:val="578BB997"/>
    <w:rsid w:val="58ABD453"/>
    <w:rsid w:val="58B30400"/>
    <w:rsid w:val="5973E410"/>
    <w:rsid w:val="59A72CC2"/>
    <w:rsid w:val="5E6FF1A3"/>
    <w:rsid w:val="5E902F5D"/>
    <w:rsid w:val="5ED493BF"/>
    <w:rsid w:val="60A26667"/>
    <w:rsid w:val="62104E02"/>
    <w:rsid w:val="6285D282"/>
    <w:rsid w:val="62FE926C"/>
    <w:rsid w:val="633B82D4"/>
    <w:rsid w:val="643BEC0D"/>
    <w:rsid w:val="66294955"/>
    <w:rsid w:val="682853B0"/>
    <w:rsid w:val="691949F4"/>
    <w:rsid w:val="699217CD"/>
    <w:rsid w:val="6B7F2588"/>
    <w:rsid w:val="6D11442C"/>
    <w:rsid w:val="6E71FAB6"/>
    <w:rsid w:val="6ED6B112"/>
    <w:rsid w:val="6F2290D2"/>
    <w:rsid w:val="6F59A015"/>
    <w:rsid w:val="6F95D38B"/>
    <w:rsid w:val="6F9F9A42"/>
    <w:rsid w:val="6FC49BEB"/>
    <w:rsid w:val="70BDC60B"/>
    <w:rsid w:val="71C1E241"/>
    <w:rsid w:val="72192A6E"/>
    <w:rsid w:val="721BCCCA"/>
    <w:rsid w:val="75843FB7"/>
    <w:rsid w:val="7599884C"/>
    <w:rsid w:val="75A98AEA"/>
    <w:rsid w:val="762011E7"/>
    <w:rsid w:val="79154C6B"/>
    <w:rsid w:val="7E42250C"/>
    <w:rsid w:val="7FD03190"/>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9BF7DA5-9C71-49A2-B6D9-0783EF89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5"/>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UnresolvedMention">
    <w:name w:val="Unresolved Mention"/>
    <w:basedOn w:val="DefaultParagraphFont"/>
    <w:uiPriority w:val="99"/>
    <w:unhideWhenUsed/>
    <w:rsid w:val="00F86B79"/>
    <w:rPr>
      <w:color w:val="605E5C"/>
      <w:shd w:val="clear" w:color="auto" w:fill="E1DFDD"/>
    </w:rPr>
  </w:style>
  <w:style w:type="character" w:styleId="Mention">
    <w:name w:val="Mention"/>
    <w:basedOn w:val="DefaultParagraphFont"/>
    <w:uiPriority w:val="99"/>
    <w:unhideWhenUsed/>
    <w:rsid w:val="00BA16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4656">
      <w:bodyDiv w:val="1"/>
      <w:marLeft w:val="0"/>
      <w:marRight w:val="0"/>
      <w:marTop w:val="0"/>
      <w:marBottom w:val="0"/>
      <w:divBdr>
        <w:top w:val="none" w:sz="0" w:space="0" w:color="auto"/>
        <w:left w:val="none" w:sz="0" w:space="0" w:color="auto"/>
        <w:bottom w:val="none" w:sz="0" w:space="0" w:color="auto"/>
        <w:right w:val="none" w:sz="0" w:space="0" w:color="auto"/>
      </w:divBdr>
    </w:div>
    <w:div w:id="169031453">
      <w:bodyDiv w:val="1"/>
      <w:marLeft w:val="0"/>
      <w:marRight w:val="0"/>
      <w:marTop w:val="0"/>
      <w:marBottom w:val="0"/>
      <w:divBdr>
        <w:top w:val="none" w:sz="0" w:space="0" w:color="auto"/>
        <w:left w:val="none" w:sz="0" w:space="0" w:color="auto"/>
        <w:bottom w:val="none" w:sz="0" w:space="0" w:color="auto"/>
        <w:right w:val="none" w:sz="0" w:space="0" w:color="auto"/>
      </w:divBdr>
    </w:div>
    <w:div w:id="171989152">
      <w:bodyDiv w:val="1"/>
      <w:marLeft w:val="0"/>
      <w:marRight w:val="0"/>
      <w:marTop w:val="0"/>
      <w:marBottom w:val="0"/>
      <w:divBdr>
        <w:top w:val="none" w:sz="0" w:space="0" w:color="auto"/>
        <w:left w:val="none" w:sz="0" w:space="0" w:color="auto"/>
        <w:bottom w:val="none" w:sz="0" w:space="0" w:color="auto"/>
        <w:right w:val="none" w:sz="0" w:space="0" w:color="auto"/>
      </w:divBdr>
    </w:div>
    <w:div w:id="314460016">
      <w:bodyDiv w:val="1"/>
      <w:marLeft w:val="0"/>
      <w:marRight w:val="0"/>
      <w:marTop w:val="0"/>
      <w:marBottom w:val="0"/>
      <w:divBdr>
        <w:top w:val="none" w:sz="0" w:space="0" w:color="auto"/>
        <w:left w:val="none" w:sz="0" w:space="0" w:color="auto"/>
        <w:bottom w:val="none" w:sz="0" w:space="0" w:color="auto"/>
        <w:right w:val="none" w:sz="0" w:space="0" w:color="auto"/>
      </w:divBdr>
    </w:div>
    <w:div w:id="328100804">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151943770">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zoom.us/jo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cpuc.ca.gov/PublishedDocs/Published/G000/M151/K183/151183650.PDF" TargetMode="External"/><Relationship Id="rId1" Type="http://schemas.openxmlformats.org/officeDocument/2006/relationships/hyperlink" Target="http://docs.cpuc.ca.gov/PublishedDocs/Published/G000/M081/K773/8177344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3" ma:contentTypeDescription="Create a new document." ma:contentTypeScope="" ma:versionID="f0c815800f7e70117822f37a484f2311">
  <xsd:schema xmlns:xsd="http://www.w3.org/2001/XMLSchema" xmlns:xs="http://www.w3.org/2001/XMLSchema" xmlns:p="http://schemas.microsoft.com/office/2006/metadata/properties" xmlns:ns2="5067c814-4b34-462c-a21d-c185ff6548d2" targetNamespace="http://schemas.microsoft.com/office/2006/metadata/properties" ma:root="true" ma:fieldsID="10ae3b69f805c5a62af4cbdf49269afb" ns2:_="">
    <xsd:import namespace="5067c814-4b34-462c-a21d-c185ff6548d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C2C147F7-4B23-4C2E-836D-658ECAAC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21</TotalTime>
  <Pages>48</Pages>
  <Words>16680</Words>
  <Characters>95076</Characters>
  <Application>Microsoft Office Word</Application>
  <DocSecurity>0</DocSecurity>
  <Lines>792</Lines>
  <Paragraphs>223</Paragraphs>
  <ScaleCrop>false</ScaleCrop>
  <Company>Hewlett-Packard Company</Company>
  <LinksUpToDate>false</LinksUpToDate>
  <CharactersWithSpaces>111533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00_GFO-22-305_Solicitation_Manual_ada</dc:title>
  <dc:subject/>
  <dc:creator>Gould, Angela@Energy</dc:creator>
  <cp:keywords/>
  <dc:description/>
  <cp:lastModifiedBy>Worster, Brad@Energy</cp:lastModifiedBy>
  <cp:revision>25</cp:revision>
  <cp:lastPrinted>2020-10-23T20:23:00Z</cp:lastPrinted>
  <dcterms:created xsi:type="dcterms:W3CDTF">2023-03-01T22:23:00Z</dcterms:created>
  <dcterms:modified xsi:type="dcterms:W3CDTF">2023-03-02T21:33:00Z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TaxKeyword">
    <vt:lpwstr/>
  </property>
  <property fmtid="{D5CDD505-2E9C-101B-9397-08002B2CF9AE}" pid="11" name="MediaServiceImageTags">
    <vt:lpwstr/>
  </property>
  <property fmtid="{D5CDD505-2E9C-101B-9397-08002B2CF9AE}" pid="12" name="GrammarlyDocumentId">
    <vt:lpwstr>bcdaa80b7cdcea491720d019d5ab8536357663aab08d5aa0c04cdc318bd2c362</vt:lpwstr>
  </property>
</Properties>
</file>