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043FA7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14:paraId="429A3690" w14:textId="77777777" w:rsidR="00D5462E" w:rsidRPr="00043FA7" w:rsidRDefault="00D5462E" w:rsidP="32C97416">
      <w:pPr>
        <w:spacing w:line="259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043FA7">
        <w:rPr>
          <w:rFonts w:ascii="Tahoma" w:hAnsi="Tahoma" w:cs="Tahoma"/>
          <w:b/>
          <w:bCs/>
          <w:color w:val="000000" w:themeColor="text1"/>
        </w:rPr>
        <w:t>Advancing Designs for Floating Offshore Wind Mooring Lines and Anchors</w:t>
      </w:r>
    </w:p>
    <w:p w14:paraId="41A2C52A" w14:textId="439EEA95" w:rsidR="48184E37" w:rsidRPr="00043FA7" w:rsidRDefault="48184E37" w:rsidP="32C97416">
      <w:pPr>
        <w:spacing w:line="259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043FA7">
        <w:rPr>
          <w:rFonts w:ascii="Tahoma" w:hAnsi="Tahoma" w:cs="Tahoma"/>
          <w:b/>
          <w:bCs/>
          <w:color w:val="000000" w:themeColor="text1"/>
        </w:rPr>
        <w:t>GFO-22-40</w:t>
      </w:r>
      <w:r w:rsidR="000701D4" w:rsidRPr="00043FA7">
        <w:rPr>
          <w:rFonts w:ascii="Tahoma" w:hAnsi="Tahoma" w:cs="Tahoma"/>
          <w:b/>
          <w:bCs/>
          <w:color w:val="000000" w:themeColor="text1"/>
        </w:rPr>
        <w:t>2</w:t>
      </w:r>
    </w:p>
    <w:p w14:paraId="60A44041" w14:textId="5EA1BE75" w:rsidR="2FE7C1B6" w:rsidRPr="00043FA7" w:rsidRDefault="000701D4" w:rsidP="1A0BA834">
      <w:pPr>
        <w:pStyle w:val="Default"/>
        <w:spacing w:line="259" w:lineRule="auto"/>
        <w:jc w:val="center"/>
        <w:rPr>
          <w:b/>
          <w:bCs/>
          <w:color w:val="000000" w:themeColor="text1"/>
        </w:rPr>
      </w:pPr>
      <w:r w:rsidRPr="48EEB861">
        <w:rPr>
          <w:rFonts w:ascii="Tahoma" w:hAnsi="Tahoma" w:cs="Tahoma"/>
          <w:b/>
          <w:bCs/>
          <w:color w:val="000000" w:themeColor="text1"/>
        </w:rPr>
        <w:t xml:space="preserve">March </w:t>
      </w:r>
      <w:r w:rsidR="00CB0B9E">
        <w:rPr>
          <w:rFonts w:ascii="Tahoma" w:hAnsi="Tahoma" w:cs="Tahoma"/>
          <w:b/>
          <w:bCs/>
          <w:color w:val="000000" w:themeColor="text1"/>
        </w:rPr>
        <w:t>3</w:t>
      </w:r>
      <w:r w:rsidR="005A43DF" w:rsidRPr="48EEB861">
        <w:rPr>
          <w:rFonts w:ascii="Tahoma" w:hAnsi="Tahoma" w:cs="Tahoma"/>
          <w:b/>
          <w:bCs/>
          <w:color w:val="000000" w:themeColor="text1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05A705E4" w14:textId="43A6F3A7" w:rsidR="00537618" w:rsidRPr="00043FA7" w:rsidRDefault="2AD4461E" w:rsidP="1A0BA834">
      <w:pPr>
        <w:spacing w:line="259" w:lineRule="auto"/>
        <w:rPr>
          <w:rFonts w:ascii="Tahoma" w:hAnsi="Tahoma" w:cs="Tahoma"/>
          <w:color w:val="000000" w:themeColor="text1"/>
        </w:rPr>
      </w:pPr>
      <w:r w:rsidRPr="4A57A72D">
        <w:rPr>
          <w:rFonts w:ascii="Tahoma" w:hAnsi="Tahoma" w:cs="Tahoma"/>
          <w:color w:val="000000" w:themeColor="text1"/>
        </w:rPr>
        <w:t xml:space="preserve">On </w:t>
      </w:r>
      <w:r w:rsidR="7027EDDF" w:rsidRPr="4A57A72D">
        <w:rPr>
          <w:rFonts w:ascii="Tahoma" w:hAnsi="Tahoma" w:cs="Tahoma"/>
          <w:color w:val="000000" w:themeColor="text1"/>
        </w:rPr>
        <w:t>September 7</w:t>
      </w:r>
      <w:r w:rsidR="224478A2" w:rsidRPr="4A57A72D">
        <w:rPr>
          <w:rFonts w:ascii="Tahoma" w:hAnsi="Tahoma" w:cs="Tahoma"/>
          <w:color w:val="000000" w:themeColor="text1"/>
        </w:rPr>
        <w:t>, 2022</w:t>
      </w:r>
      <w:r w:rsidRPr="4A57A72D">
        <w:rPr>
          <w:rFonts w:ascii="Tahoma" w:hAnsi="Tahoma" w:cs="Tahoma"/>
          <w:color w:val="000000" w:themeColor="text1"/>
        </w:rPr>
        <w:t xml:space="preserve">, the California Energy Commission (CEC) released a competitive solicitation to </w:t>
      </w:r>
      <w:r w:rsidR="5998AFEF" w:rsidRPr="4A57A72D">
        <w:rPr>
          <w:rFonts w:ascii="Tahoma" w:hAnsi="Tahoma" w:cs="Tahoma"/>
          <w:color w:val="000000" w:themeColor="text1"/>
        </w:rPr>
        <w:t>fund projects that</w:t>
      </w:r>
      <w:r w:rsidR="5C438036" w:rsidRPr="4A57A72D">
        <w:rPr>
          <w:rFonts w:ascii="Tahoma" w:hAnsi="Tahoma" w:cs="Tahoma"/>
          <w:color w:val="000000" w:themeColor="text1"/>
        </w:rPr>
        <w:t xml:space="preserve"> advance the designs of </w:t>
      </w:r>
      <w:r w:rsidR="65E38EB4" w:rsidRPr="4A57A72D">
        <w:rPr>
          <w:rFonts w:ascii="Tahoma" w:hAnsi="Tahoma" w:cs="Tahoma"/>
          <w:color w:val="000000" w:themeColor="text1"/>
        </w:rPr>
        <w:t>floating offshore wind</w:t>
      </w:r>
      <w:r w:rsidR="5C438036" w:rsidRPr="4A57A72D">
        <w:rPr>
          <w:rFonts w:ascii="Tahoma" w:hAnsi="Tahoma" w:cs="Tahoma"/>
          <w:color w:val="000000" w:themeColor="text1"/>
        </w:rPr>
        <w:t xml:space="preserve"> mooring lines</w:t>
      </w:r>
      <w:r w:rsidR="00832E8B" w:rsidRPr="4A57A72D">
        <w:rPr>
          <w:rFonts w:ascii="Tahoma" w:hAnsi="Tahoma" w:cs="Tahoma"/>
          <w:color w:val="000000" w:themeColor="text1"/>
        </w:rPr>
        <w:t xml:space="preserve"> and</w:t>
      </w:r>
      <w:r w:rsidR="5C438036" w:rsidRPr="4A57A72D">
        <w:rPr>
          <w:rFonts w:ascii="Tahoma" w:hAnsi="Tahoma" w:cs="Tahoma"/>
          <w:color w:val="000000" w:themeColor="text1"/>
        </w:rPr>
        <w:t xml:space="preserve"> anchors to withstand the environmental conditions of California’s Wind Energy Areas and optimize costs by developing efficient designs</w:t>
      </w:r>
      <w:r w:rsidRPr="4A57A72D">
        <w:rPr>
          <w:rFonts w:ascii="Tahoma" w:hAnsi="Tahoma" w:cs="Tahoma"/>
          <w:color w:val="000000" w:themeColor="text1"/>
        </w:rPr>
        <w:t>. Up to $</w:t>
      </w:r>
      <w:r w:rsidR="467D31CF" w:rsidRPr="4A57A72D">
        <w:rPr>
          <w:rFonts w:ascii="Tahoma" w:hAnsi="Tahoma" w:cs="Tahoma"/>
          <w:color w:val="000000" w:themeColor="text1"/>
        </w:rPr>
        <w:t>7,700,000</w:t>
      </w:r>
      <w:r w:rsidR="00872757" w:rsidRPr="4A57A72D">
        <w:rPr>
          <w:rFonts w:ascii="Tahoma" w:hAnsi="Tahoma" w:cs="Tahoma"/>
          <w:color w:val="000000" w:themeColor="text1"/>
        </w:rPr>
        <w:t xml:space="preserve"> </w:t>
      </w:r>
      <w:r w:rsidR="00537618" w:rsidRPr="4A57A72D">
        <w:rPr>
          <w:rFonts w:ascii="Tahoma" w:hAnsi="Tahoma" w:cs="Tahoma"/>
          <w:color w:val="000000" w:themeColor="text1"/>
        </w:rPr>
        <w:t>in Electric Program Investment Charge funding is available to fund applications</w:t>
      </w:r>
      <w:r w:rsidR="4B485AA4" w:rsidRPr="4A57A72D">
        <w:rPr>
          <w:rFonts w:ascii="Tahoma" w:hAnsi="Tahoma" w:cs="Tahoma"/>
          <w:color w:val="000000" w:themeColor="text1"/>
        </w:rPr>
        <w:t>.</w:t>
      </w:r>
      <w:r w:rsidR="1801917E" w:rsidRPr="4A57A72D">
        <w:rPr>
          <w:rFonts w:ascii="Tahoma" w:hAnsi="Tahoma" w:cs="Tahoma"/>
          <w:color w:val="000000" w:themeColor="text1"/>
        </w:rPr>
        <w:t xml:space="preserve"> </w:t>
      </w:r>
    </w:p>
    <w:p w14:paraId="1B4309E8" w14:textId="77777777" w:rsidR="00537618" w:rsidRPr="00043FA7" w:rsidRDefault="00537618" w:rsidP="00537618">
      <w:pPr>
        <w:ind w:left="720"/>
        <w:rPr>
          <w:rFonts w:ascii="Tahoma" w:hAnsi="Tahoma" w:cs="Tahoma"/>
          <w:color w:val="000000" w:themeColor="text1"/>
        </w:rPr>
      </w:pPr>
    </w:p>
    <w:p w14:paraId="75DFD10F" w14:textId="03775C3F" w:rsidR="00537618" w:rsidRPr="00043FA7" w:rsidRDefault="00537618" w:rsidP="00537618">
      <w:pPr>
        <w:rPr>
          <w:rFonts w:ascii="Tahoma" w:hAnsi="Tahoma" w:cs="Tahoma"/>
          <w:color w:val="000000" w:themeColor="text1"/>
        </w:rPr>
      </w:pPr>
      <w:r w:rsidRPr="00043FA7">
        <w:rPr>
          <w:rFonts w:ascii="Tahoma" w:hAnsi="Tahoma" w:cs="Tahoma"/>
          <w:color w:val="000000" w:themeColor="text1"/>
        </w:rPr>
        <w:t xml:space="preserve">The CEC received </w:t>
      </w:r>
      <w:r w:rsidR="000701D4" w:rsidRPr="00043FA7">
        <w:rPr>
          <w:rFonts w:ascii="Tahoma" w:hAnsi="Tahoma" w:cs="Tahoma"/>
          <w:color w:val="000000" w:themeColor="text1"/>
        </w:rPr>
        <w:t>fifteen</w:t>
      </w:r>
      <w:r w:rsidR="7CE5A14A" w:rsidRPr="00043FA7">
        <w:rPr>
          <w:rFonts w:ascii="Tahoma" w:hAnsi="Tahoma" w:cs="Tahoma"/>
          <w:color w:val="000000" w:themeColor="text1"/>
        </w:rPr>
        <w:t xml:space="preserve"> </w:t>
      </w:r>
      <w:r w:rsidRPr="00043FA7">
        <w:rPr>
          <w:rFonts w:ascii="Tahoma" w:hAnsi="Tahoma" w:cs="Tahoma"/>
          <w:color w:val="000000" w:themeColor="text1"/>
        </w:rPr>
        <w:t xml:space="preserve">proposals by the due date, </w:t>
      </w:r>
      <w:r w:rsidR="000701D4" w:rsidRPr="00043FA7">
        <w:rPr>
          <w:rFonts w:ascii="Tahoma" w:hAnsi="Tahoma" w:cs="Tahoma"/>
          <w:color w:val="000000" w:themeColor="text1"/>
        </w:rPr>
        <w:t>December 13</w:t>
      </w:r>
      <w:r w:rsidR="71D46E85" w:rsidRPr="00043FA7">
        <w:rPr>
          <w:rFonts w:ascii="Tahoma" w:hAnsi="Tahoma" w:cs="Tahoma"/>
          <w:color w:val="000000" w:themeColor="text1"/>
        </w:rPr>
        <w:t>, 2022</w:t>
      </w:r>
      <w:r w:rsidRPr="00043FA7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0701D4" w:rsidRPr="00043FA7">
        <w:rPr>
          <w:rFonts w:ascii="Tahoma" w:hAnsi="Tahoma" w:cs="Tahoma"/>
          <w:color w:val="000000" w:themeColor="text1"/>
        </w:rPr>
        <w:t>Fifteen</w:t>
      </w:r>
      <w:r w:rsidR="155C20A6" w:rsidRPr="00043FA7">
        <w:rPr>
          <w:rFonts w:ascii="Tahoma" w:hAnsi="Tahoma" w:cs="Tahoma"/>
          <w:color w:val="000000" w:themeColor="text1"/>
        </w:rPr>
        <w:t xml:space="preserve"> </w:t>
      </w:r>
      <w:r w:rsidRPr="00043FA7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043FA7" w:rsidRDefault="00537618" w:rsidP="00537618">
      <w:pPr>
        <w:rPr>
          <w:rFonts w:ascii="Tahoma" w:hAnsi="Tahoma" w:cs="Tahoma"/>
          <w:color w:val="000000" w:themeColor="text1"/>
        </w:rPr>
      </w:pPr>
    </w:p>
    <w:p w14:paraId="1524633B" w14:textId="1CBA5FF7" w:rsidR="79EB438A" w:rsidRPr="00043FA7" w:rsidRDefault="79EB438A" w:rsidP="2095F9C9">
      <w:pPr>
        <w:rPr>
          <w:rFonts w:ascii="Arial" w:eastAsia="Arial" w:hAnsi="Arial" w:cs="Arial"/>
          <w:color w:val="000000" w:themeColor="text1"/>
        </w:rPr>
      </w:pPr>
      <w:r w:rsidRPr="4A57A72D">
        <w:rPr>
          <w:rFonts w:ascii="Arial" w:eastAsia="Arial" w:hAnsi="Arial" w:cs="Arial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$11,869,231. The purpose of the adjustment is to reflect additional funds that have been made available to this solicitation. This </w:t>
      </w:r>
      <w:r w:rsidR="00F2525D" w:rsidRPr="4A57A72D">
        <w:rPr>
          <w:rFonts w:ascii="Arial" w:eastAsia="Arial" w:hAnsi="Arial" w:cs="Arial"/>
          <w:color w:val="000000" w:themeColor="text1"/>
        </w:rPr>
        <w:t>adjustment accounts for</w:t>
      </w:r>
      <w:r w:rsidRPr="4A57A72D">
        <w:rPr>
          <w:rFonts w:ascii="Arial" w:eastAsia="Arial" w:hAnsi="Arial" w:cs="Arial"/>
          <w:color w:val="000000" w:themeColor="text1"/>
        </w:rPr>
        <w:t xml:space="preserve"> an additional $4,169,231</w:t>
      </w:r>
      <w:r w:rsidR="00F2525D" w:rsidRPr="4A57A72D">
        <w:rPr>
          <w:rFonts w:ascii="Arial" w:eastAsia="Arial" w:hAnsi="Arial" w:cs="Arial"/>
          <w:color w:val="000000" w:themeColor="text1"/>
        </w:rPr>
        <w:t xml:space="preserve"> in funds</w:t>
      </w:r>
      <w:r w:rsidRPr="4A57A72D">
        <w:rPr>
          <w:rFonts w:ascii="Arial" w:eastAsia="Arial" w:hAnsi="Arial" w:cs="Arial"/>
          <w:color w:val="000000" w:themeColor="text1"/>
        </w:rPr>
        <w:t xml:space="preserve"> from </w:t>
      </w:r>
      <w:r w:rsidR="3A8A5292" w:rsidRPr="4A57A72D">
        <w:rPr>
          <w:rFonts w:ascii="Arial" w:eastAsia="Arial" w:hAnsi="Arial" w:cs="Arial"/>
          <w:color w:val="000000" w:themeColor="text1"/>
        </w:rPr>
        <w:t xml:space="preserve">the </w:t>
      </w:r>
      <w:r w:rsidRPr="4A57A72D">
        <w:rPr>
          <w:rFonts w:ascii="Arial" w:eastAsia="Arial" w:hAnsi="Arial" w:cs="Arial"/>
          <w:color w:val="000000" w:themeColor="text1"/>
        </w:rPr>
        <w:t xml:space="preserve">Electric Program Investment Charge </w:t>
      </w:r>
      <w:r w:rsidR="11AA8081" w:rsidRPr="4A57A72D">
        <w:rPr>
          <w:rFonts w:ascii="Arial" w:eastAsia="Arial" w:hAnsi="Arial" w:cs="Arial"/>
          <w:color w:val="000000" w:themeColor="text1"/>
        </w:rPr>
        <w:t>2021-2025 Investment</w:t>
      </w:r>
      <w:r w:rsidRPr="4A57A72D">
        <w:rPr>
          <w:rFonts w:ascii="Arial" w:eastAsia="Arial" w:hAnsi="Arial" w:cs="Arial"/>
          <w:color w:val="000000" w:themeColor="text1"/>
        </w:rPr>
        <w:t xml:space="preserve"> Plan.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0BB83015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2C97416">
        <w:rPr>
          <w:rFonts w:ascii="Tahoma" w:hAnsi="Tahoma" w:cs="Tahoma"/>
          <w:color w:val="000000" w:themeColor="text1"/>
        </w:rPr>
        <w:t>This notice and awardees for GFO-</w:t>
      </w:r>
      <w:r w:rsidR="19A1B9A6" w:rsidRPr="32C97416">
        <w:rPr>
          <w:rFonts w:ascii="Tahoma" w:hAnsi="Tahoma" w:cs="Tahoma"/>
          <w:color w:val="000000" w:themeColor="text1"/>
        </w:rPr>
        <w:t>22</w:t>
      </w:r>
      <w:r w:rsidRPr="32C97416">
        <w:rPr>
          <w:rFonts w:ascii="Tahoma" w:hAnsi="Tahoma" w:cs="Tahoma"/>
          <w:color w:val="000000" w:themeColor="text1"/>
        </w:rPr>
        <w:t>-</w:t>
      </w:r>
      <w:r w:rsidR="629CEC0D" w:rsidRPr="32C97416">
        <w:rPr>
          <w:rFonts w:ascii="Tahoma" w:hAnsi="Tahoma" w:cs="Tahoma"/>
          <w:color w:val="000000" w:themeColor="text1"/>
        </w:rPr>
        <w:t>40</w:t>
      </w:r>
      <w:r w:rsidR="000701D4">
        <w:rPr>
          <w:rFonts w:ascii="Tahoma" w:hAnsi="Tahoma" w:cs="Tahoma"/>
          <w:color w:val="000000" w:themeColor="text1"/>
        </w:rPr>
        <w:t>2</w:t>
      </w:r>
      <w:r w:rsidRPr="32C97416">
        <w:rPr>
          <w:rFonts w:ascii="Tahoma" w:hAnsi="Tahoma" w:cs="Tahoma"/>
          <w:color w:val="000000" w:themeColor="text1"/>
        </w:rPr>
        <w:t xml:space="preserve"> are posted on the </w:t>
      </w:r>
      <w:r w:rsidRPr="32C97416">
        <w:rPr>
          <w:rFonts w:ascii="Tahoma" w:hAnsi="Tahoma" w:cs="Tahoma"/>
        </w:rPr>
        <w:t>CEC’s website</w:t>
      </w:r>
      <w:r w:rsidRPr="32C97416">
        <w:rPr>
          <w:rFonts w:ascii="Tahoma" w:hAnsi="Tahoma" w:cs="Tahoma"/>
          <w:color w:val="000000" w:themeColor="text1"/>
        </w:rPr>
        <w:t xml:space="preserve"> at </w:t>
      </w:r>
      <w:hyperlink r:id="rId11">
        <w:r w:rsidRPr="32C97416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32C97416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893693D" w:rsidR="00537618" w:rsidRPr="00043FA7" w:rsidRDefault="5A3FB7CE" w:rsidP="00537618">
      <w:pPr>
        <w:jc w:val="center"/>
        <w:rPr>
          <w:rFonts w:ascii="Tahoma" w:hAnsi="Tahoma" w:cs="Tahoma"/>
          <w:color w:val="000000" w:themeColor="text1"/>
        </w:rPr>
      </w:pPr>
      <w:r w:rsidRPr="00043FA7">
        <w:rPr>
          <w:rFonts w:ascii="Tahoma" w:hAnsi="Tahoma" w:cs="Tahoma"/>
          <w:color w:val="000000" w:themeColor="text1"/>
        </w:rPr>
        <w:t>Phil Dyer</w:t>
      </w:r>
      <w:r w:rsidR="00537618" w:rsidRPr="00043FA7">
        <w:rPr>
          <w:rFonts w:ascii="Tahoma" w:hAnsi="Tahoma" w:cs="Tahoma"/>
          <w:color w:val="000000" w:themeColor="text1"/>
        </w:rPr>
        <w:t>, Commission Agreement Officer</w:t>
      </w:r>
    </w:p>
    <w:p w14:paraId="19E0513B" w14:textId="678E57CD" w:rsidR="03B94BE4" w:rsidRPr="00043FA7" w:rsidRDefault="03B94BE4" w:rsidP="32C97416">
      <w:pPr>
        <w:jc w:val="center"/>
        <w:rPr>
          <w:rFonts w:ascii="Tahoma" w:hAnsi="Tahoma" w:cs="Tahoma"/>
          <w:color w:val="000000" w:themeColor="text1"/>
        </w:rPr>
      </w:pPr>
      <w:r w:rsidRPr="00043FA7">
        <w:rPr>
          <w:rFonts w:ascii="Tahoma" w:hAnsi="Tahoma" w:cs="Tahoma"/>
          <w:color w:val="000000" w:themeColor="text1"/>
        </w:rPr>
        <w:t>916-891-8474</w:t>
      </w:r>
    </w:p>
    <w:p w14:paraId="1AF7BB1B" w14:textId="100C1ACC" w:rsidR="00537618" w:rsidRPr="00043FA7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00043FA7">
        <w:rPr>
          <w:rFonts w:ascii="Tahoma" w:hAnsi="Tahoma" w:cs="Tahoma"/>
          <w:color w:val="000000" w:themeColor="text1"/>
        </w:rPr>
        <w:t xml:space="preserve">Email: </w:t>
      </w:r>
      <w:r w:rsidR="0746CD26" w:rsidRPr="00043FA7">
        <w:rPr>
          <w:rFonts w:ascii="Tahoma" w:hAnsi="Tahoma" w:cs="Tahoma"/>
          <w:color w:val="000000" w:themeColor="text1"/>
        </w:rPr>
        <w:t>Phil.Dyer@energy.ca.gov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DE38" w14:textId="77777777" w:rsidR="00466DCA" w:rsidRDefault="00466DCA" w:rsidP="00F86D2B">
      <w:r>
        <w:separator/>
      </w:r>
    </w:p>
  </w:endnote>
  <w:endnote w:type="continuationSeparator" w:id="0">
    <w:p w14:paraId="52EAEEFE" w14:textId="77777777" w:rsidR="00466DCA" w:rsidRDefault="00466DCA" w:rsidP="00F86D2B">
      <w:r>
        <w:continuationSeparator/>
      </w:r>
    </w:p>
  </w:endnote>
  <w:endnote w:type="continuationNotice" w:id="1">
    <w:p w14:paraId="29320D50" w14:textId="77777777" w:rsidR="00466DCA" w:rsidRDefault="00466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67F5" w14:textId="77777777" w:rsidR="00466DCA" w:rsidRDefault="00466DCA" w:rsidP="00F86D2B">
      <w:r>
        <w:separator/>
      </w:r>
    </w:p>
  </w:footnote>
  <w:footnote w:type="continuationSeparator" w:id="0">
    <w:p w14:paraId="6E88803F" w14:textId="77777777" w:rsidR="00466DCA" w:rsidRDefault="00466DCA" w:rsidP="00F86D2B">
      <w:r>
        <w:continuationSeparator/>
      </w:r>
    </w:p>
  </w:footnote>
  <w:footnote w:type="continuationNotice" w:id="1">
    <w:p w14:paraId="53BE72BA" w14:textId="77777777" w:rsidR="00466DCA" w:rsidRDefault="00466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687F"/>
    <w:multiLevelType w:val="hybridMultilevel"/>
    <w:tmpl w:val="4502F226"/>
    <w:lvl w:ilvl="0" w:tplc="33F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E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0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0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99955">
    <w:abstractNumId w:val="2"/>
  </w:num>
  <w:num w:numId="2" w16cid:durableId="2099209147">
    <w:abstractNumId w:val="0"/>
  </w:num>
  <w:num w:numId="3" w16cid:durableId="184721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3FA7"/>
    <w:rsid w:val="000557AC"/>
    <w:rsid w:val="00056D44"/>
    <w:rsid w:val="000701D4"/>
    <w:rsid w:val="0007530E"/>
    <w:rsid w:val="0014731B"/>
    <w:rsid w:val="0015222A"/>
    <w:rsid w:val="0016245A"/>
    <w:rsid w:val="001B4C5C"/>
    <w:rsid w:val="001F62F3"/>
    <w:rsid w:val="00274066"/>
    <w:rsid w:val="002A5F7A"/>
    <w:rsid w:val="002D11A5"/>
    <w:rsid w:val="00300FB1"/>
    <w:rsid w:val="00354A2A"/>
    <w:rsid w:val="003C0793"/>
    <w:rsid w:val="003C1BC5"/>
    <w:rsid w:val="003E0D2D"/>
    <w:rsid w:val="00415DE9"/>
    <w:rsid w:val="00430859"/>
    <w:rsid w:val="00437D5F"/>
    <w:rsid w:val="00443CD5"/>
    <w:rsid w:val="004504D5"/>
    <w:rsid w:val="00466DCA"/>
    <w:rsid w:val="004A1AAA"/>
    <w:rsid w:val="004A4C18"/>
    <w:rsid w:val="004D128F"/>
    <w:rsid w:val="00515B40"/>
    <w:rsid w:val="00524EA9"/>
    <w:rsid w:val="00527817"/>
    <w:rsid w:val="00537618"/>
    <w:rsid w:val="005568CA"/>
    <w:rsid w:val="00560FFC"/>
    <w:rsid w:val="00577D95"/>
    <w:rsid w:val="005A43DF"/>
    <w:rsid w:val="005E6FA2"/>
    <w:rsid w:val="005F1E98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20CB4"/>
    <w:rsid w:val="00832E8B"/>
    <w:rsid w:val="00846985"/>
    <w:rsid w:val="0086012E"/>
    <w:rsid w:val="00872757"/>
    <w:rsid w:val="00891290"/>
    <w:rsid w:val="008B42CD"/>
    <w:rsid w:val="008D280B"/>
    <w:rsid w:val="008E0C99"/>
    <w:rsid w:val="008E1433"/>
    <w:rsid w:val="008E3926"/>
    <w:rsid w:val="008E7852"/>
    <w:rsid w:val="00910710"/>
    <w:rsid w:val="009407F5"/>
    <w:rsid w:val="00942AAF"/>
    <w:rsid w:val="009B4DBC"/>
    <w:rsid w:val="009B4EBF"/>
    <w:rsid w:val="009E6C35"/>
    <w:rsid w:val="009E754B"/>
    <w:rsid w:val="009F77C6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B0B9E"/>
    <w:rsid w:val="00CD2BBD"/>
    <w:rsid w:val="00D32C3D"/>
    <w:rsid w:val="00D431C2"/>
    <w:rsid w:val="00D43B83"/>
    <w:rsid w:val="00D5462E"/>
    <w:rsid w:val="00E00EA6"/>
    <w:rsid w:val="00E210F6"/>
    <w:rsid w:val="00E4523E"/>
    <w:rsid w:val="00E85E0F"/>
    <w:rsid w:val="00E86AFF"/>
    <w:rsid w:val="00E95AA9"/>
    <w:rsid w:val="00EA7BDE"/>
    <w:rsid w:val="00ED18F1"/>
    <w:rsid w:val="00ED5E43"/>
    <w:rsid w:val="00F10DFF"/>
    <w:rsid w:val="00F2525D"/>
    <w:rsid w:val="00F32B38"/>
    <w:rsid w:val="00F86D2B"/>
    <w:rsid w:val="00F90F6B"/>
    <w:rsid w:val="00F947AC"/>
    <w:rsid w:val="00F95D8D"/>
    <w:rsid w:val="00F967DF"/>
    <w:rsid w:val="036112DC"/>
    <w:rsid w:val="03B94BE4"/>
    <w:rsid w:val="0640299D"/>
    <w:rsid w:val="07157A9D"/>
    <w:rsid w:val="0746CD26"/>
    <w:rsid w:val="0CDE3617"/>
    <w:rsid w:val="11AA8081"/>
    <w:rsid w:val="155C20A6"/>
    <w:rsid w:val="1801917E"/>
    <w:rsid w:val="19A1B9A6"/>
    <w:rsid w:val="1A0BA834"/>
    <w:rsid w:val="1C6D8A71"/>
    <w:rsid w:val="1DD10137"/>
    <w:rsid w:val="1DF343EA"/>
    <w:rsid w:val="1ED20D8A"/>
    <w:rsid w:val="1EEB291E"/>
    <w:rsid w:val="2095F9C9"/>
    <w:rsid w:val="224478A2"/>
    <w:rsid w:val="226CA884"/>
    <w:rsid w:val="2AD4461E"/>
    <w:rsid w:val="2C047B02"/>
    <w:rsid w:val="2DA0E539"/>
    <w:rsid w:val="2E4023E6"/>
    <w:rsid w:val="2FE7C1B6"/>
    <w:rsid w:val="32C97416"/>
    <w:rsid w:val="357F5EB3"/>
    <w:rsid w:val="3A8A5292"/>
    <w:rsid w:val="44CE2430"/>
    <w:rsid w:val="467D31CF"/>
    <w:rsid w:val="4743F74A"/>
    <w:rsid w:val="48184E37"/>
    <w:rsid w:val="48EEB861"/>
    <w:rsid w:val="4A57A72D"/>
    <w:rsid w:val="4B485AA4"/>
    <w:rsid w:val="4CB5B17A"/>
    <w:rsid w:val="4D67E8E1"/>
    <w:rsid w:val="4E265C25"/>
    <w:rsid w:val="4F733AA6"/>
    <w:rsid w:val="5150EFF5"/>
    <w:rsid w:val="58D66A1A"/>
    <w:rsid w:val="596F2F66"/>
    <w:rsid w:val="5998AFEF"/>
    <w:rsid w:val="5A3FB7CE"/>
    <w:rsid w:val="5AB040FE"/>
    <w:rsid w:val="5AC51242"/>
    <w:rsid w:val="5BC87C75"/>
    <w:rsid w:val="5C438036"/>
    <w:rsid w:val="5C445EF9"/>
    <w:rsid w:val="5CD5999B"/>
    <w:rsid w:val="5E83C2C2"/>
    <w:rsid w:val="5F58FAD0"/>
    <w:rsid w:val="629CEC0D"/>
    <w:rsid w:val="6460D7FF"/>
    <w:rsid w:val="64A4E1C1"/>
    <w:rsid w:val="64EDD558"/>
    <w:rsid w:val="65E38EB4"/>
    <w:rsid w:val="69CF47D6"/>
    <w:rsid w:val="6C53730E"/>
    <w:rsid w:val="7027EDDF"/>
    <w:rsid w:val="704AD2F8"/>
    <w:rsid w:val="7178722C"/>
    <w:rsid w:val="71CC3083"/>
    <w:rsid w:val="71D46E85"/>
    <w:rsid w:val="7235D750"/>
    <w:rsid w:val="794B3F0A"/>
    <w:rsid w:val="79EB438A"/>
    <w:rsid w:val="7A4EA93D"/>
    <w:rsid w:val="7CE5A14A"/>
    <w:rsid w:val="7D344BFF"/>
    <w:rsid w:val="7D4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208BC9F-6F1F-4AFD-9428-5FB46A0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B4D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B4DB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8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85685f2-c2e1-4352-89aa-3faca8eaba52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32066CA-4804-4ECD-BEDC-75D2F900B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1871</Characters>
  <Application>Microsoft Office Word</Application>
  <DocSecurity>0</DocSecurity>
  <Lines>170</Lines>
  <Paragraphs>93</Paragraphs>
  <ScaleCrop>false</ScaleCrop>
  <Company>Wobschall Design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32</cp:revision>
  <cp:lastPrinted>2019-04-08T16:38:00Z</cp:lastPrinted>
  <dcterms:created xsi:type="dcterms:W3CDTF">2022-04-04T22:44:00Z</dcterms:created>
  <dcterms:modified xsi:type="dcterms:W3CDTF">2023-03-03T19:04:00Z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