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B8C" w14:textId="40D45E69" w:rsidR="004D5EEA" w:rsidRPr="007E2767" w:rsidRDefault="004D5EEA" w:rsidP="004D5EEA">
      <w:pPr>
        <w:jc w:val="center"/>
        <w:rPr>
          <w:rFonts w:ascii="Arial" w:hAnsi="Arial" w:cs="Arial"/>
          <w:b/>
          <w:bCs/>
        </w:rPr>
      </w:pPr>
      <w:r>
        <w:rPr>
          <w:rFonts w:ascii="Arial" w:hAnsi="Arial" w:cs="Arial"/>
          <w:b/>
          <w:bCs/>
        </w:rPr>
        <w:t>RFP-22-80</w:t>
      </w:r>
      <w:r w:rsidR="006561E7">
        <w:rPr>
          <w:rFonts w:ascii="Arial" w:hAnsi="Arial" w:cs="Arial"/>
          <w:b/>
          <w:bCs/>
        </w:rPr>
        <w:t>5</w:t>
      </w:r>
    </w:p>
    <w:p w14:paraId="15F7E6E3" w14:textId="1EEF35C7" w:rsidR="004D5EEA" w:rsidRPr="007E2767" w:rsidRDefault="00C165D7" w:rsidP="004D5EEA">
      <w:pPr>
        <w:jc w:val="center"/>
        <w:rPr>
          <w:rFonts w:ascii="Arial" w:hAnsi="Arial" w:cs="Arial"/>
          <w:b/>
          <w:bCs/>
        </w:rPr>
      </w:pPr>
      <w:r w:rsidRPr="00C165D7">
        <w:rPr>
          <w:rFonts w:ascii="Arial" w:hAnsi="Arial" w:cs="Arial"/>
          <w:b/>
          <w:bCs/>
        </w:rPr>
        <w:t>SB 100 Technical Support</w:t>
      </w:r>
    </w:p>
    <w:p w14:paraId="626161D0" w14:textId="77777777" w:rsidR="004D5EEA" w:rsidRPr="007E2767" w:rsidRDefault="004D5EEA" w:rsidP="004D5EEA">
      <w:pPr>
        <w:jc w:val="center"/>
        <w:rPr>
          <w:rFonts w:ascii="Arial" w:hAnsi="Arial" w:cs="Arial"/>
          <w:b/>
          <w:bCs/>
        </w:rPr>
      </w:pPr>
    </w:p>
    <w:p w14:paraId="4CF2501D" w14:textId="77777777" w:rsidR="004D5EEA" w:rsidRPr="007E2767" w:rsidRDefault="004D5EEA" w:rsidP="004D5EEA">
      <w:pPr>
        <w:jc w:val="center"/>
        <w:rPr>
          <w:rFonts w:ascii="Arial" w:hAnsi="Arial" w:cs="Arial"/>
          <w:b/>
          <w:bCs/>
        </w:rPr>
      </w:pPr>
      <w:r w:rsidRPr="007E2767">
        <w:rPr>
          <w:rFonts w:ascii="Arial" w:hAnsi="Arial" w:cs="Arial"/>
          <w:b/>
          <w:bCs/>
        </w:rPr>
        <w:t>Addendum 1</w:t>
      </w:r>
    </w:p>
    <w:p w14:paraId="06F8436D" w14:textId="248D4DA1" w:rsidR="004D5EEA" w:rsidRPr="007E2767" w:rsidRDefault="008D4344" w:rsidP="004D5EEA">
      <w:pPr>
        <w:jc w:val="center"/>
        <w:rPr>
          <w:rFonts w:ascii="Arial" w:hAnsi="Arial" w:cs="Arial"/>
          <w:b/>
          <w:bCs/>
        </w:rPr>
      </w:pPr>
      <w:r>
        <w:rPr>
          <w:rFonts w:ascii="Arial" w:hAnsi="Arial" w:cs="Arial"/>
          <w:b/>
          <w:bCs/>
        </w:rPr>
        <w:t>March</w:t>
      </w:r>
      <w:r w:rsidR="004D5EEA">
        <w:rPr>
          <w:rFonts w:ascii="Arial" w:hAnsi="Arial" w:cs="Arial"/>
          <w:b/>
          <w:bCs/>
        </w:rPr>
        <w:t xml:space="preserve"> 1</w:t>
      </w:r>
      <w:r w:rsidR="007C1A90">
        <w:rPr>
          <w:rFonts w:ascii="Arial" w:hAnsi="Arial" w:cs="Arial"/>
          <w:b/>
          <w:bCs/>
        </w:rPr>
        <w:t>5</w:t>
      </w:r>
      <w:r w:rsidR="004D5EEA" w:rsidRPr="007E2767">
        <w:rPr>
          <w:rFonts w:ascii="Arial" w:hAnsi="Arial" w:cs="Arial"/>
          <w:b/>
          <w:bCs/>
        </w:rPr>
        <w:t>, 202</w:t>
      </w:r>
      <w:r>
        <w:rPr>
          <w:rFonts w:ascii="Arial" w:hAnsi="Arial" w:cs="Arial"/>
          <w:b/>
          <w:bCs/>
        </w:rPr>
        <w:t>3</w:t>
      </w:r>
    </w:p>
    <w:p w14:paraId="7D3F6CBC" w14:textId="77777777" w:rsidR="004D5EEA" w:rsidRPr="007E2767" w:rsidRDefault="004D5EEA" w:rsidP="004D5EEA">
      <w:pPr>
        <w:jc w:val="center"/>
        <w:rPr>
          <w:rFonts w:ascii="Arial" w:hAnsi="Arial" w:cs="Arial"/>
          <w:b/>
          <w:bCs/>
        </w:rPr>
      </w:pPr>
    </w:p>
    <w:p w14:paraId="053B54B9" w14:textId="77777777" w:rsidR="004D5EEA" w:rsidRPr="007E2767" w:rsidRDefault="004D5EEA" w:rsidP="004D5EEA">
      <w:pPr>
        <w:rPr>
          <w:rFonts w:ascii="Arial" w:hAnsi="Arial" w:cs="Arial"/>
        </w:rPr>
      </w:pPr>
      <w:r w:rsidRPr="007E2767">
        <w:rPr>
          <w:rFonts w:ascii="Arial" w:eastAsia="Arial" w:hAnsi="Arial" w:cs="Arial"/>
          <w:b/>
          <w:bCs/>
          <w:u w:val="single"/>
        </w:rPr>
        <w:t xml:space="preserve">Note: Added language appears in bold underline, and deleted language appears in </w:t>
      </w:r>
      <w:r w:rsidRPr="007E2767">
        <w:rPr>
          <w:rFonts w:ascii="Arial" w:eastAsia="Arial" w:hAnsi="Arial" w:cs="Arial"/>
          <w:b/>
          <w:bCs/>
          <w:strike/>
          <w:u w:val="single"/>
        </w:rPr>
        <w:t>strikethrough</w:t>
      </w:r>
      <w:r w:rsidRPr="007E2767">
        <w:rPr>
          <w:rFonts w:ascii="Arial" w:eastAsia="Arial" w:hAnsi="Arial" w:cs="Arial"/>
          <w:b/>
          <w:bCs/>
          <w:u w:val="single"/>
        </w:rPr>
        <w:t xml:space="preserve"> and within square brackets.</w:t>
      </w:r>
    </w:p>
    <w:p w14:paraId="502DEA63" w14:textId="77777777" w:rsidR="004D5EEA" w:rsidRPr="007E2767" w:rsidRDefault="004D5EEA" w:rsidP="004D5EEA">
      <w:pPr>
        <w:pStyle w:val="Default"/>
        <w:ind w:right="-720"/>
      </w:pPr>
    </w:p>
    <w:p w14:paraId="0C85C61D" w14:textId="77777777" w:rsidR="004D5EEA" w:rsidRPr="007E2767" w:rsidRDefault="004D5EEA" w:rsidP="004D5EEA">
      <w:pPr>
        <w:pStyle w:val="Default"/>
        <w:ind w:right="-720"/>
      </w:pPr>
    </w:p>
    <w:p w14:paraId="030DFA77" w14:textId="3B886913" w:rsidR="004D5EEA" w:rsidRDefault="004D5EEA" w:rsidP="004D5EEA">
      <w:pPr>
        <w:pStyle w:val="Default"/>
        <w:ind w:right="-720"/>
      </w:pPr>
      <w:r w:rsidRPr="007E2767">
        <w:t xml:space="preserve">The purpose of this addendum is to make the following revisions to the </w:t>
      </w:r>
      <w:r>
        <w:t>Application</w:t>
      </w:r>
      <w:r w:rsidRPr="007E2767">
        <w:t xml:space="preserve"> Manual</w:t>
      </w:r>
      <w:r w:rsidR="008608EA">
        <w:t xml:space="preserve"> and to Attachment </w:t>
      </w:r>
      <w:r w:rsidR="00E249ED">
        <w:t>8</w:t>
      </w:r>
      <w:r w:rsidR="00387234">
        <w:t xml:space="preserve">, Exhibit D. </w:t>
      </w:r>
    </w:p>
    <w:p w14:paraId="3FF05DCB" w14:textId="77777777" w:rsidR="00B2610A" w:rsidRDefault="00B2610A" w:rsidP="004D5EEA">
      <w:pPr>
        <w:pStyle w:val="Default"/>
        <w:ind w:right="-720"/>
      </w:pPr>
    </w:p>
    <w:p w14:paraId="7639B34D" w14:textId="0EB57A26" w:rsidR="00E43A8C" w:rsidRDefault="00B2610A" w:rsidP="00792994">
      <w:pPr>
        <w:pStyle w:val="Default"/>
        <w:numPr>
          <w:ilvl w:val="0"/>
          <w:numId w:val="6"/>
        </w:numPr>
        <w:spacing w:after="100" w:afterAutospacing="1"/>
        <w:ind w:right="-720"/>
      </w:pPr>
      <w:r>
        <w:t>Page 2 of the Application Manual,</w:t>
      </w:r>
      <w:r w:rsidR="00BC366C">
        <w:t xml:space="preserve"> Available </w:t>
      </w:r>
      <w:r>
        <w:t>Fundi</w:t>
      </w:r>
      <w:r w:rsidR="00F34944">
        <w:t>ng</w:t>
      </w:r>
      <w:r w:rsidR="00BC366C">
        <w:t xml:space="preserve"> </w:t>
      </w:r>
      <w:r w:rsidR="00895D1A">
        <w:t>and</w:t>
      </w:r>
      <w:r w:rsidR="00BC366C">
        <w:t xml:space="preserve"> How Award is De</w:t>
      </w:r>
      <w:r w:rsidR="00E43A8C">
        <w:t>termined</w:t>
      </w:r>
      <w:r w:rsidR="00F34944">
        <w:t>:</w:t>
      </w:r>
    </w:p>
    <w:p w14:paraId="0A20BA02" w14:textId="00C03D7A" w:rsidR="00E57B54" w:rsidRDefault="006F745C" w:rsidP="00895D1A">
      <w:pPr>
        <w:pStyle w:val="Default"/>
        <w:ind w:left="720" w:right="-720"/>
      </w:pPr>
      <w:r w:rsidRPr="006F745C">
        <w:rPr>
          <w:b/>
          <w:bCs/>
          <w:sz w:val="22"/>
          <w:szCs w:val="22"/>
          <w:u w:val="single"/>
        </w:rPr>
        <w:t>The Energy Commission currently only has $500,000 of the potential $1,500,000, maximum possible funding for the resulting Agreement. Therefore, upon execution of the resulting Agreement, the successful applicant will only has authority to spend up to $500,000. In the future, the Energy Commission may allocate none, some, or the entire remaining contingent amount up to a maximum total Agreement amount of $1,500,000. The successful applicant shall only be authorized to spend more than the existing $500,000 upon written authorization of the Commission Agreement Officer and only up to the amount so authorized.  Applicants should submit applications for the full $1,500,000.</w:t>
      </w:r>
    </w:p>
    <w:p w14:paraId="7B1D215E" w14:textId="77777777" w:rsidR="00B2610A" w:rsidRDefault="00B2610A" w:rsidP="004D5EEA">
      <w:pPr>
        <w:pStyle w:val="Default"/>
        <w:ind w:right="-720"/>
      </w:pPr>
    </w:p>
    <w:p w14:paraId="0FF5F64F" w14:textId="69F6E3D4" w:rsidR="004F3BE0" w:rsidRDefault="004F3BE0" w:rsidP="004D5EEA">
      <w:pPr>
        <w:pStyle w:val="Default"/>
        <w:ind w:right="-720"/>
      </w:pPr>
    </w:p>
    <w:p w14:paraId="3F8F1F85" w14:textId="6BCEB96F" w:rsidR="004F3BE0" w:rsidRDefault="004F3BE0" w:rsidP="00895D1A">
      <w:pPr>
        <w:pStyle w:val="Default"/>
        <w:numPr>
          <w:ilvl w:val="0"/>
          <w:numId w:val="6"/>
        </w:numPr>
        <w:ind w:right="-720"/>
      </w:pPr>
      <w:r>
        <w:t xml:space="preserve">Page </w:t>
      </w:r>
      <w:r w:rsidR="00904B39">
        <w:t>10</w:t>
      </w:r>
      <w:r>
        <w:t xml:space="preserve"> of the A</w:t>
      </w:r>
      <w:r w:rsidR="00BF7A18">
        <w:t>pplication Manual</w:t>
      </w:r>
      <w:r w:rsidR="002548C9">
        <w:t>,</w:t>
      </w:r>
      <w:r w:rsidR="009C262C">
        <w:t xml:space="preserve"> Proposal Format, Requir</w:t>
      </w:r>
      <w:r w:rsidR="002C1A5A">
        <w:t>ed Documents, and Delivery</w:t>
      </w:r>
      <w:r w:rsidR="00F85303">
        <w:t>:</w:t>
      </w:r>
    </w:p>
    <w:p w14:paraId="7A84C0C1" w14:textId="77777777" w:rsidR="00F5445D" w:rsidRDefault="00F5445D" w:rsidP="00F5445D">
      <w:pPr>
        <w:pStyle w:val="Default"/>
        <w:ind w:right="-720"/>
      </w:pPr>
    </w:p>
    <w:p w14:paraId="539A98A5" w14:textId="2231D1B2" w:rsidR="00616B12" w:rsidRPr="00451DA5" w:rsidRDefault="00F5445D" w:rsidP="00895D1A">
      <w:pPr>
        <w:keepLines/>
        <w:ind w:firstLine="720"/>
        <w:rPr>
          <w:rFonts w:ascii="Arial" w:hAnsi="Arial" w:cs="Arial"/>
          <w:b/>
          <w:bCs/>
          <w:u w:val="single"/>
        </w:rPr>
      </w:pPr>
      <w:r>
        <w:rPr>
          <w:rFonts w:ascii="Arial" w:hAnsi="Arial" w:cs="Arial"/>
          <w:b/>
          <w:bCs/>
          <w:u w:val="single"/>
        </w:rPr>
        <w:t>T</w:t>
      </w:r>
      <w:r w:rsidR="00616B12" w:rsidRPr="00451DA5">
        <w:rPr>
          <w:rFonts w:ascii="Arial" w:hAnsi="Arial" w:cs="Arial"/>
          <w:b/>
          <w:bCs/>
          <w:u w:val="single"/>
        </w:rPr>
        <w:t>he cost proposal should be no more than 3 pages.</w:t>
      </w:r>
    </w:p>
    <w:p w14:paraId="25D11807" w14:textId="77777777" w:rsidR="002C1897" w:rsidRPr="007E2767" w:rsidRDefault="002C1897" w:rsidP="00BF7A18">
      <w:pPr>
        <w:pStyle w:val="Default"/>
        <w:ind w:right="-720"/>
      </w:pPr>
    </w:p>
    <w:p w14:paraId="4A4E55FC" w14:textId="77777777" w:rsidR="004D5EEA" w:rsidRPr="007E2767" w:rsidRDefault="004D5EEA" w:rsidP="004D5EEA">
      <w:pPr>
        <w:pStyle w:val="Default"/>
        <w:ind w:right="-720"/>
      </w:pPr>
    </w:p>
    <w:p w14:paraId="3A458B94" w14:textId="2655BD4D" w:rsidR="004D5EEA" w:rsidRDefault="004D5EEA" w:rsidP="00895D1A">
      <w:pPr>
        <w:pStyle w:val="Default"/>
        <w:numPr>
          <w:ilvl w:val="0"/>
          <w:numId w:val="6"/>
        </w:numPr>
        <w:ind w:right="-720"/>
      </w:pPr>
      <w:r w:rsidRPr="007E2767">
        <w:t xml:space="preserve">Page </w:t>
      </w:r>
      <w:r w:rsidR="0079506D">
        <w:t>11</w:t>
      </w:r>
      <w:r w:rsidRPr="007E2767">
        <w:t xml:space="preserve"> of the </w:t>
      </w:r>
      <w:r>
        <w:t>Application</w:t>
      </w:r>
      <w:r w:rsidRPr="007E2767">
        <w:t xml:space="preserve"> Manual, </w:t>
      </w:r>
      <w:r w:rsidR="00593022">
        <w:t>Section 3</w:t>
      </w:r>
      <w:r w:rsidR="00BE4790">
        <w:t xml:space="preserve">, </w:t>
      </w:r>
      <w:r w:rsidR="00276921">
        <w:t>Cost Proposal</w:t>
      </w:r>
      <w:r w:rsidRPr="007E2767">
        <w:t>:</w:t>
      </w:r>
    </w:p>
    <w:p w14:paraId="7D55373A" w14:textId="77777777" w:rsidR="00DE738D" w:rsidRDefault="00DE738D" w:rsidP="00DE738D">
      <w:pPr>
        <w:pStyle w:val="Default"/>
        <w:ind w:right="-720"/>
      </w:pPr>
    </w:p>
    <w:p w14:paraId="01D38D02" w14:textId="6E39B066" w:rsidR="00DE738D" w:rsidRDefault="00DE738D" w:rsidP="00895D1A">
      <w:pPr>
        <w:pStyle w:val="Default"/>
        <w:ind w:left="720" w:right="-720"/>
        <w:rPr>
          <w:b/>
          <w:bCs/>
          <w:u w:val="single"/>
        </w:rPr>
      </w:pPr>
      <w:r w:rsidRPr="009C53B4">
        <w:rPr>
          <w:b/>
          <w:bCs/>
          <w:u w:val="single"/>
        </w:rPr>
        <w:t>Cost Justification</w:t>
      </w:r>
    </w:p>
    <w:p w14:paraId="03599EBC" w14:textId="77777777" w:rsidR="009C53B4" w:rsidRDefault="009C53B4" w:rsidP="00895D1A">
      <w:pPr>
        <w:pStyle w:val="Default"/>
        <w:ind w:left="720" w:right="-720"/>
        <w:rPr>
          <w:b/>
          <w:bCs/>
          <w:u w:val="single"/>
        </w:rPr>
      </w:pPr>
    </w:p>
    <w:p w14:paraId="7BD77C23" w14:textId="12AFD8CC" w:rsidR="009C53B4" w:rsidRDefault="009C53B4" w:rsidP="00895D1A">
      <w:pPr>
        <w:pStyle w:val="Default"/>
        <w:spacing w:after="100" w:afterAutospacing="1"/>
        <w:ind w:left="720" w:right="-720"/>
        <w:rPr>
          <w:b/>
          <w:bCs/>
          <w:u w:val="single"/>
        </w:rPr>
      </w:pPr>
      <w:r w:rsidRPr="009C53B4">
        <w:rPr>
          <w:b/>
          <w:bCs/>
          <w:u w:val="single"/>
        </w:rPr>
        <w:t>Total page count for the Technical Proposal is 10 pages. Information included in forms or in appendices described by the text do not contribute to the page count.</w:t>
      </w:r>
    </w:p>
    <w:p w14:paraId="03613272" w14:textId="56B12F1A" w:rsidR="007C0786" w:rsidRPr="0048469A" w:rsidRDefault="007C0786" w:rsidP="00895D1A">
      <w:pPr>
        <w:pStyle w:val="Default"/>
        <w:numPr>
          <w:ilvl w:val="0"/>
          <w:numId w:val="6"/>
        </w:numPr>
        <w:spacing w:after="100" w:afterAutospacing="1"/>
        <w:ind w:right="-720"/>
        <w:rPr>
          <w:color w:val="auto"/>
        </w:rPr>
      </w:pPr>
      <w:r w:rsidRPr="0048469A">
        <w:rPr>
          <w:color w:val="auto"/>
        </w:rPr>
        <w:t>Page 1</w:t>
      </w:r>
      <w:r w:rsidR="00DB1055" w:rsidRPr="0048469A">
        <w:rPr>
          <w:color w:val="auto"/>
        </w:rPr>
        <w:t>2</w:t>
      </w:r>
      <w:r w:rsidRPr="0048469A">
        <w:rPr>
          <w:color w:val="auto"/>
        </w:rPr>
        <w:t xml:space="preserve"> of the Application Manual, Cost Proposal:</w:t>
      </w:r>
    </w:p>
    <w:p w14:paraId="3B47A796" w14:textId="40C89BE7" w:rsidR="000E0D63" w:rsidRPr="000E0D63" w:rsidRDefault="000E0D63" w:rsidP="00895D1A">
      <w:pPr>
        <w:pStyle w:val="Default"/>
        <w:ind w:left="720" w:right="-720"/>
        <w:rPr>
          <w:b/>
          <w:bCs/>
          <w:color w:val="auto"/>
          <w:u w:val="single"/>
        </w:rPr>
      </w:pPr>
      <w:r w:rsidRPr="000E0D63">
        <w:rPr>
          <w:b/>
          <w:bCs/>
          <w:color w:val="auto"/>
          <w:u w:val="single"/>
        </w:rPr>
        <w:lastRenderedPageBreak/>
        <w:t>A.  Cost Justification (3 pages)</w:t>
      </w:r>
    </w:p>
    <w:p w14:paraId="1D489708" w14:textId="46F50673" w:rsidR="000E0D63" w:rsidRDefault="000E0D63" w:rsidP="00895D1A">
      <w:pPr>
        <w:pStyle w:val="Default"/>
        <w:ind w:left="720" w:right="-720"/>
        <w:rPr>
          <w:b/>
          <w:bCs/>
          <w:color w:val="auto"/>
          <w:u w:val="single"/>
        </w:rPr>
      </w:pPr>
      <w:r w:rsidRPr="000E0D63">
        <w:rPr>
          <w:b/>
          <w:bCs/>
          <w:color w:val="auto"/>
          <w:u w:val="single"/>
        </w:rPr>
        <w:t>Describe all proposed expenditures and personnel costs identified in its bid for the Prime and Team Members. Describe how the costs are appropriate on the expertise, experience, and resources of the project team and the expected work under the contract.</w:t>
      </w:r>
    </w:p>
    <w:p w14:paraId="144DDF9C" w14:textId="77777777" w:rsidR="00C42CA9" w:rsidRDefault="00C42CA9" w:rsidP="0048469A">
      <w:pPr>
        <w:pStyle w:val="Default"/>
        <w:ind w:left="360" w:right="-720"/>
        <w:rPr>
          <w:b/>
          <w:bCs/>
          <w:color w:val="auto"/>
          <w:u w:val="single"/>
        </w:rPr>
      </w:pPr>
    </w:p>
    <w:p w14:paraId="23822C3E" w14:textId="406A5069" w:rsidR="00C42CA9" w:rsidRDefault="006B7818" w:rsidP="00895D1A">
      <w:pPr>
        <w:pStyle w:val="Default"/>
        <w:numPr>
          <w:ilvl w:val="0"/>
          <w:numId w:val="6"/>
        </w:numPr>
        <w:spacing w:after="100" w:afterAutospacing="1"/>
        <w:ind w:right="-720"/>
        <w:rPr>
          <w:color w:val="auto"/>
        </w:rPr>
      </w:pPr>
      <w:r>
        <w:rPr>
          <w:color w:val="auto"/>
        </w:rPr>
        <w:t>Page 16</w:t>
      </w:r>
      <w:r w:rsidR="006C11E0">
        <w:rPr>
          <w:color w:val="auto"/>
        </w:rPr>
        <w:t xml:space="preserve"> of the Application Manual, Evaluation Criteria:</w:t>
      </w:r>
    </w:p>
    <w:p w14:paraId="727DCEC0" w14:textId="3717AC91" w:rsidR="006C11E0" w:rsidRDefault="00F71C55" w:rsidP="00895D1A">
      <w:pPr>
        <w:pStyle w:val="Default"/>
        <w:spacing w:after="100" w:afterAutospacing="1"/>
        <w:ind w:left="720" w:right="-720"/>
        <w:rPr>
          <w:b/>
          <w:bCs/>
          <w:color w:val="auto"/>
          <w:u w:val="single"/>
        </w:rPr>
      </w:pPr>
      <w:r w:rsidRPr="00F71C55">
        <w:rPr>
          <w:b/>
          <w:bCs/>
          <w:color w:val="auto"/>
          <w:u w:val="single"/>
        </w:rPr>
        <w:t>g)</w:t>
      </w:r>
      <w:r w:rsidR="00895D1A">
        <w:rPr>
          <w:b/>
          <w:bCs/>
          <w:color w:val="auto"/>
          <w:u w:val="single"/>
        </w:rPr>
        <w:t xml:space="preserve"> </w:t>
      </w:r>
      <w:r w:rsidRPr="00F71C55">
        <w:rPr>
          <w:b/>
          <w:bCs/>
          <w:color w:val="auto"/>
          <w:u w:val="single"/>
        </w:rPr>
        <w:t>The CEC places preference on:</w:t>
      </w:r>
    </w:p>
    <w:p w14:paraId="0F0DB7EE" w14:textId="24469726" w:rsidR="00BE5C21" w:rsidRDefault="00BE5C21" w:rsidP="00895D1A">
      <w:pPr>
        <w:pStyle w:val="Default"/>
        <w:spacing w:after="100" w:afterAutospacing="1"/>
        <w:ind w:left="720" w:right="-720"/>
        <w:rPr>
          <w:color w:val="auto"/>
        </w:rPr>
      </w:pPr>
      <w:r w:rsidRPr="00BE5C21">
        <w:rPr>
          <w:color w:val="auto"/>
        </w:rPr>
        <w:t>a.</w:t>
      </w:r>
      <w:r w:rsidR="00895D1A">
        <w:rPr>
          <w:color w:val="auto"/>
        </w:rPr>
        <w:t xml:space="preserve"> </w:t>
      </w:r>
      <w:r w:rsidRPr="00BE5C21">
        <w:rPr>
          <w:color w:val="auto"/>
        </w:rPr>
        <w:t xml:space="preserve">Experience with and working knowledge of PLEXOS software, published by Energy Exemplar, or providing support for organizations using PLEXOS </w:t>
      </w:r>
      <w:r w:rsidRPr="00BE5C21">
        <w:rPr>
          <w:strike/>
          <w:color w:val="auto"/>
        </w:rPr>
        <w:t>[is preferred]</w:t>
      </w:r>
      <w:r w:rsidRPr="00BE5C21">
        <w:rPr>
          <w:color w:val="auto"/>
        </w:rPr>
        <w:t>.</w:t>
      </w:r>
    </w:p>
    <w:p w14:paraId="5DB2E4D4" w14:textId="724666CD" w:rsidR="00287FE6" w:rsidRPr="00287FE6" w:rsidRDefault="00287FE6" w:rsidP="00895D1A">
      <w:pPr>
        <w:pStyle w:val="Default"/>
        <w:spacing w:after="100" w:afterAutospacing="1"/>
        <w:ind w:left="720" w:right="-720"/>
        <w:rPr>
          <w:b/>
          <w:bCs/>
          <w:color w:val="auto"/>
          <w:u w:val="single"/>
        </w:rPr>
      </w:pPr>
      <w:r w:rsidRPr="00287FE6">
        <w:rPr>
          <w:b/>
          <w:bCs/>
          <w:color w:val="auto"/>
          <w:u w:val="single"/>
        </w:rPr>
        <w:t>b.</w:t>
      </w:r>
      <w:r w:rsidR="00895D1A">
        <w:rPr>
          <w:b/>
          <w:bCs/>
          <w:color w:val="auto"/>
          <w:u w:val="single"/>
        </w:rPr>
        <w:t xml:space="preserve"> </w:t>
      </w:r>
      <w:r w:rsidRPr="00287FE6">
        <w:rPr>
          <w:b/>
          <w:bCs/>
          <w:color w:val="auto"/>
          <w:u w:val="single"/>
        </w:rPr>
        <w:t xml:space="preserve">Inputs, assumptions, and methods that can be made available to the public to the maximum extent feasible. </w:t>
      </w:r>
    </w:p>
    <w:p w14:paraId="35FAB9D8" w14:textId="439C3037" w:rsidR="00287FE6" w:rsidRDefault="00287FE6" w:rsidP="00895D1A">
      <w:pPr>
        <w:pStyle w:val="Default"/>
        <w:spacing w:after="100" w:afterAutospacing="1"/>
        <w:ind w:left="720" w:right="-720"/>
        <w:rPr>
          <w:b/>
          <w:bCs/>
          <w:color w:val="auto"/>
          <w:u w:val="single"/>
        </w:rPr>
      </w:pPr>
      <w:r w:rsidRPr="00287FE6">
        <w:rPr>
          <w:b/>
          <w:bCs/>
          <w:color w:val="auto"/>
          <w:u w:val="single"/>
        </w:rPr>
        <w:t>c.</w:t>
      </w:r>
      <w:r w:rsidR="00895D1A">
        <w:rPr>
          <w:b/>
          <w:bCs/>
          <w:color w:val="auto"/>
          <w:u w:val="single"/>
        </w:rPr>
        <w:t xml:space="preserve"> </w:t>
      </w:r>
      <w:r w:rsidRPr="00287FE6">
        <w:rPr>
          <w:b/>
          <w:bCs/>
          <w:color w:val="auto"/>
          <w:u w:val="single"/>
        </w:rPr>
        <w:t>Software tools that have the option for ongoing technical support beyond the contract term.</w:t>
      </w:r>
    </w:p>
    <w:p w14:paraId="5BCA4722" w14:textId="77777777" w:rsidR="00490619" w:rsidRPr="00490619" w:rsidRDefault="00490619" w:rsidP="00490619">
      <w:pPr>
        <w:pStyle w:val="Default"/>
        <w:numPr>
          <w:ilvl w:val="0"/>
          <w:numId w:val="6"/>
        </w:numPr>
        <w:spacing w:after="100" w:afterAutospacing="1"/>
        <w:ind w:right="-720"/>
        <w:rPr>
          <w:color w:val="auto"/>
        </w:rPr>
      </w:pPr>
      <w:r w:rsidRPr="00490619">
        <w:rPr>
          <w:color w:val="auto"/>
        </w:rPr>
        <w:t>Page 17 of the Application Manual, Evaluation Criteria: </w:t>
      </w:r>
    </w:p>
    <w:p w14:paraId="7A17B8D7" w14:textId="77777777" w:rsidR="00490619" w:rsidRPr="00490619" w:rsidRDefault="00490619" w:rsidP="00490619">
      <w:pPr>
        <w:spacing w:after="100" w:afterAutospacing="1"/>
        <w:ind w:left="360" w:firstLine="360"/>
        <w:rPr>
          <w:rFonts w:ascii="Arial" w:eastAsia="Calibri" w:hAnsi="Arial" w:cs="Arial"/>
          <w:b/>
          <w:bCs/>
        </w:rPr>
      </w:pPr>
      <w:r w:rsidRPr="00490619">
        <w:rPr>
          <w:rFonts w:ascii="Arial" w:eastAsia="Calibri" w:hAnsi="Arial" w:cs="Arial"/>
          <w:b/>
          <w:bCs/>
        </w:rPr>
        <w:t>5. Client References </w:t>
      </w:r>
    </w:p>
    <w:p w14:paraId="3BE18DD0" w14:textId="7B7B77BF" w:rsidR="00490619" w:rsidRPr="00490619" w:rsidRDefault="00490619" w:rsidP="00490619">
      <w:pPr>
        <w:pStyle w:val="Default"/>
        <w:spacing w:after="100" w:afterAutospacing="1"/>
        <w:ind w:left="720" w:right="-720"/>
        <w:rPr>
          <w:color w:val="auto"/>
        </w:rPr>
      </w:pPr>
      <w:r w:rsidRPr="00490619">
        <w:rPr>
          <w:color w:val="auto"/>
        </w:rPr>
        <w:t xml:space="preserve">Each Bidder shall complete Client Reference Forms for current (within the past three years) references. Three client references are required for the Contractor </w:t>
      </w:r>
      <w:r w:rsidRPr="00FB7BAE">
        <w:rPr>
          <w:b/>
          <w:bCs/>
          <w:color w:val="auto"/>
        </w:rPr>
        <w:t>and three</w:t>
      </w:r>
      <w:r w:rsidRPr="00490619">
        <w:rPr>
          <w:color w:val="auto"/>
        </w:rPr>
        <w:t xml:space="preserve"> [</w:t>
      </w:r>
      <w:r w:rsidRPr="00FB7BAE">
        <w:rPr>
          <w:strike/>
          <w:color w:val="auto"/>
        </w:rPr>
        <w:t>, and no references are required</w:t>
      </w:r>
      <w:r w:rsidRPr="00490619">
        <w:rPr>
          <w:color w:val="auto"/>
        </w:rPr>
        <w:t xml:space="preserve">] </w:t>
      </w:r>
      <w:r w:rsidR="00FB7BAE">
        <w:rPr>
          <w:b/>
          <w:bCs/>
          <w:color w:val="auto"/>
          <w:u w:val="single"/>
        </w:rPr>
        <w:t xml:space="preserve">each </w:t>
      </w:r>
      <w:r w:rsidRPr="00490619">
        <w:rPr>
          <w:color w:val="auto"/>
        </w:rPr>
        <w:t>Subcontractor[</w:t>
      </w:r>
      <w:r w:rsidRPr="00FB7BAE">
        <w:rPr>
          <w:strike/>
          <w:color w:val="auto"/>
        </w:rPr>
        <w:t>s</w:t>
      </w:r>
      <w:r w:rsidRPr="00490619">
        <w:rPr>
          <w:color w:val="auto"/>
        </w:rPr>
        <w:t>]. References will be checked and scored accordingly.</w:t>
      </w:r>
    </w:p>
    <w:p w14:paraId="25170930" w14:textId="11D99193" w:rsidR="0093041A" w:rsidRPr="0048469A" w:rsidRDefault="0093041A" w:rsidP="00895D1A">
      <w:pPr>
        <w:pStyle w:val="Default"/>
        <w:numPr>
          <w:ilvl w:val="0"/>
          <w:numId w:val="6"/>
        </w:numPr>
        <w:spacing w:after="100" w:afterAutospacing="1"/>
        <w:ind w:right="-720"/>
        <w:rPr>
          <w:color w:val="auto"/>
        </w:rPr>
      </w:pPr>
      <w:r w:rsidRPr="0048469A">
        <w:rPr>
          <w:color w:val="auto"/>
        </w:rPr>
        <w:t>Page 1</w:t>
      </w:r>
      <w:r>
        <w:rPr>
          <w:color w:val="auto"/>
        </w:rPr>
        <w:t>7</w:t>
      </w:r>
      <w:r w:rsidRPr="0048469A">
        <w:rPr>
          <w:color w:val="auto"/>
        </w:rPr>
        <w:t xml:space="preserve"> of the Application Manual, </w:t>
      </w:r>
      <w:r>
        <w:rPr>
          <w:color w:val="auto"/>
        </w:rPr>
        <w:t>Evaluation Criteria</w:t>
      </w:r>
      <w:r w:rsidRPr="0048469A">
        <w:rPr>
          <w:color w:val="auto"/>
        </w:rPr>
        <w:t>:</w:t>
      </w:r>
    </w:p>
    <w:p w14:paraId="156C5830" w14:textId="77777777" w:rsidR="00C16296" w:rsidRPr="00076F59" w:rsidRDefault="00C16296" w:rsidP="00895D1A">
      <w:pPr>
        <w:spacing w:after="100" w:afterAutospacing="1"/>
        <w:ind w:left="360" w:firstLine="360"/>
        <w:rPr>
          <w:rFonts w:ascii="Arial" w:eastAsia="Calibri" w:hAnsi="Arial" w:cs="Arial"/>
          <w:b/>
          <w:bCs/>
          <w:strike/>
        </w:rPr>
      </w:pPr>
      <w:r w:rsidRPr="00076F59">
        <w:rPr>
          <w:rFonts w:ascii="Arial" w:eastAsia="Calibri" w:hAnsi="Arial" w:cs="Arial"/>
          <w:b/>
          <w:bCs/>
        </w:rPr>
        <w:t>COST CRITERIA</w:t>
      </w:r>
      <w:r w:rsidRPr="00076F59">
        <w:rPr>
          <w:rFonts w:ascii="Arial" w:eastAsia="Calibri" w:hAnsi="Arial" w:cs="Arial"/>
          <w:b/>
          <w:bCs/>
        </w:rPr>
        <w:tab/>
      </w:r>
      <w:r w:rsidRPr="00076F59">
        <w:rPr>
          <w:rFonts w:ascii="Arial" w:eastAsia="Calibri" w:hAnsi="Arial" w:cs="Arial"/>
          <w:b/>
          <w:bCs/>
          <w:strike/>
        </w:rPr>
        <w:t>[30]</w:t>
      </w:r>
    </w:p>
    <w:p w14:paraId="44DD5B3C" w14:textId="43740D66" w:rsidR="00EF562E" w:rsidRPr="00EF562E" w:rsidRDefault="00EF562E" w:rsidP="00895D1A">
      <w:pPr>
        <w:spacing w:after="100" w:afterAutospacing="1"/>
        <w:ind w:left="720"/>
        <w:rPr>
          <w:rFonts w:ascii="Arial" w:eastAsia="Calibri" w:hAnsi="Arial" w:cs="Arial"/>
        </w:rPr>
      </w:pPr>
      <w:r w:rsidRPr="00EF562E">
        <w:rPr>
          <w:rFonts w:ascii="Arial" w:eastAsia="Calibri" w:hAnsi="Arial" w:cs="Arial"/>
        </w:rPr>
        <w:t>Total Expected Labor Costs (Cost Points).  The Score for this criteria will be derived from the mathematical cost formula set forth below under Cost Criteria.</w:t>
      </w:r>
      <w:r w:rsidRPr="00EF562E">
        <w:rPr>
          <w:rFonts w:ascii="Arial" w:eastAsia="Calibri" w:hAnsi="Arial" w:cs="Arial"/>
        </w:rPr>
        <w:tab/>
      </w:r>
      <w:r w:rsidRPr="003E62F2">
        <w:rPr>
          <w:rFonts w:ascii="Arial" w:eastAsia="Calibri" w:hAnsi="Arial" w:cs="Arial"/>
          <w:b/>
          <w:bCs/>
          <w:u w:val="single"/>
        </w:rPr>
        <w:t>15</w:t>
      </w:r>
    </w:p>
    <w:p w14:paraId="4966AF13" w14:textId="67B66794" w:rsidR="007E40C5" w:rsidRPr="00D0354F" w:rsidRDefault="00EF562E" w:rsidP="00895D1A">
      <w:pPr>
        <w:spacing w:after="100" w:afterAutospacing="1"/>
        <w:ind w:left="720"/>
        <w:rPr>
          <w:rFonts w:ascii="Arial" w:eastAsia="Calibri" w:hAnsi="Arial" w:cs="Arial"/>
          <w:b/>
          <w:bCs/>
          <w:u w:val="single"/>
        </w:rPr>
      </w:pPr>
      <w:r w:rsidRPr="00DC2490">
        <w:rPr>
          <w:rFonts w:ascii="Arial" w:eastAsia="Calibri" w:hAnsi="Arial" w:cs="Arial"/>
          <w:b/>
          <w:bCs/>
          <w:u w:val="single"/>
        </w:rPr>
        <w:t>Cost Justification (Cost Points).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w:t>
      </w:r>
      <w:r w:rsidRPr="00D0354F">
        <w:rPr>
          <w:rFonts w:ascii="Arial" w:eastAsia="Calibri" w:hAnsi="Arial" w:cs="Arial"/>
          <w:b/>
          <w:bCs/>
        </w:rPr>
        <w:tab/>
      </w:r>
      <w:r w:rsidRPr="00D0354F">
        <w:rPr>
          <w:rFonts w:ascii="Arial" w:eastAsia="Calibri" w:hAnsi="Arial" w:cs="Arial"/>
          <w:b/>
          <w:bCs/>
          <w:u w:val="single"/>
        </w:rPr>
        <w:t>15</w:t>
      </w:r>
    </w:p>
    <w:p w14:paraId="175175EC" w14:textId="0CE95942" w:rsidR="002960EE" w:rsidRPr="0048469A" w:rsidRDefault="002960EE" w:rsidP="00895D1A">
      <w:pPr>
        <w:pStyle w:val="Default"/>
        <w:numPr>
          <w:ilvl w:val="0"/>
          <w:numId w:val="6"/>
        </w:numPr>
        <w:spacing w:after="100" w:afterAutospacing="1"/>
        <w:ind w:right="-720"/>
        <w:rPr>
          <w:color w:val="auto"/>
        </w:rPr>
      </w:pPr>
      <w:r w:rsidRPr="0048469A">
        <w:rPr>
          <w:color w:val="auto"/>
        </w:rPr>
        <w:lastRenderedPageBreak/>
        <w:t>Page 1</w:t>
      </w:r>
      <w:r w:rsidR="0044559B">
        <w:rPr>
          <w:color w:val="auto"/>
        </w:rPr>
        <w:t>8</w:t>
      </w:r>
      <w:r w:rsidRPr="0048469A">
        <w:rPr>
          <w:color w:val="auto"/>
        </w:rPr>
        <w:t xml:space="preserve"> of the Application Manual, </w:t>
      </w:r>
      <w:r w:rsidR="0044559B">
        <w:rPr>
          <w:color w:val="auto"/>
        </w:rPr>
        <w:t>Cost</w:t>
      </w:r>
      <w:r>
        <w:rPr>
          <w:color w:val="auto"/>
        </w:rPr>
        <w:t xml:space="preserve"> Criteria</w:t>
      </w:r>
      <w:r w:rsidRPr="0048469A">
        <w:rPr>
          <w:color w:val="auto"/>
        </w:rPr>
        <w:t>:</w:t>
      </w:r>
    </w:p>
    <w:p w14:paraId="52624C75" w14:textId="70447E69" w:rsidR="00076F59" w:rsidRDefault="00A81292" w:rsidP="00895D1A">
      <w:pPr>
        <w:pStyle w:val="ListParagraph"/>
        <w:spacing w:after="100" w:afterAutospacing="1"/>
        <w:rPr>
          <w:rFonts w:ascii="Arial" w:eastAsia="Calibri" w:hAnsi="Arial" w:cs="Arial"/>
        </w:rPr>
      </w:pPr>
      <w:r w:rsidRPr="00A81292">
        <w:rPr>
          <w:rFonts w:ascii="Arial" w:eastAsia="Calibri" w:hAnsi="Arial" w:cs="Arial"/>
        </w:rPr>
        <w:t>Total Expected Labor Costs (</w:t>
      </w:r>
      <w:r w:rsidRPr="00A81292">
        <w:rPr>
          <w:rFonts w:ascii="Arial" w:eastAsia="Calibri" w:hAnsi="Arial" w:cs="Arial"/>
          <w:b/>
          <w:bCs/>
          <w:u w:val="single"/>
        </w:rPr>
        <w:t>15</w:t>
      </w:r>
      <w:r w:rsidRPr="00A81292">
        <w:rPr>
          <w:rFonts w:ascii="Arial" w:eastAsia="Calibri" w:hAnsi="Arial" w:cs="Arial"/>
          <w:strike/>
        </w:rPr>
        <w:t>[30]/</w:t>
      </w:r>
      <w:r w:rsidRPr="00A81292">
        <w:rPr>
          <w:rFonts w:ascii="Arial" w:eastAsia="Calibri" w:hAnsi="Arial" w:cs="Arial"/>
        </w:rPr>
        <w:t>30 Cost Points).</w:t>
      </w:r>
    </w:p>
    <w:p w14:paraId="131780C8" w14:textId="77777777" w:rsidR="002256F3" w:rsidRPr="002256F3" w:rsidRDefault="002256F3" w:rsidP="00895D1A">
      <w:pPr>
        <w:pStyle w:val="ListParagraph"/>
        <w:spacing w:after="100" w:afterAutospacing="1"/>
        <w:rPr>
          <w:rFonts w:ascii="Arial" w:eastAsia="Calibri" w:hAnsi="Arial" w:cs="Arial"/>
        </w:rPr>
      </w:pPr>
      <w:r w:rsidRPr="002256F3">
        <w:rPr>
          <w:rFonts w:ascii="Arial" w:eastAsia="Calibri" w:hAnsi="Arial" w:cs="Arial"/>
        </w:rPr>
        <w:t xml:space="preserve">Proposal A: 100% possible points = </w:t>
      </w:r>
      <w:r w:rsidRPr="00A516EC">
        <w:rPr>
          <w:rFonts w:ascii="Arial" w:eastAsia="Calibri" w:hAnsi="Arial" w:cs="Arial"/>
          <w:b/>
          <w:bCs/>
          <w:u w:val="single"/>
        </w:rPr>
        <w:t>15</w:t>
      </w:r>
      <w:r w:rsidRPr="00A516EC">
        <w:rPr>
          <w:rFonts w:ascii="Arial" w:eastAsia="Calibri" w:hAnsi="Arial" w:cs="Arial"/>
          <w:strike/>
        </w:rPr>
        <w:t>[30</w:t>
      </w:r>
      <w:r w:rsidRPr="002256F3">
        <w:rPr>
          <w:rFonts w:ascii="Arial" w:eastAsia="Calibri" w:hAnsi="Arial" w:cs="Arial"/>
        </w:rPr>
        <w:t>] points</w:t>
      </w:r>
    </w:p>
    <w:p w14:paraId="07B43F78" w14:textId="77777777" w:rsidR="002256F3" w:rsidRPr="002256F3" w:rsidRDefault="002256F3" w:rsidP="00895D1A">
      <w:pPr>
        <w:pStyle w:val="ListParagraph"/>
        <w:spacing w:after="100" w:afterAutospacing="1"/>
        <w:rPr>
          <w:rFonts w:ascii="Arial" w:eastAsia="Calibri" w:hAnsi="Arial" w:cs="Arial"/>
        </w:rPr>
      </w:pPr>
      <w:r w:rsidRPr="002256F3">
        <w:rPr>
          <w:rFonts w:ascii="Arial" w:eastAsia="Calibri" w:hAnsi="Arial" w:cs="Arial"/>
        </w:rPr>
        <w:t xml:space="preserve">Proposal B: 94.57% possible points = </w:t>
      </w:r>
      <w:r w:rsidRPr="00A516EC">
        <w:rPr>
          <w:rFonts w:ascii="Arial" w:eastAsia="Calibri" w:hAnsi="Arial" w:cs="Arial"/>
          <w:b/>
          <w:bCs/>
          <w:u w:val="single"/>
        </w:rPr>
        <w:t>14.185</w:t>
      </w:r>
      <w:r w:rsidRPr="00A516EC">
        <w:rPr>
          <w:rFonts w:ascii="Arial" w:eastAsia="Calibri" w:hAnsi="Arial" w:cs="Arial"/>
          <w:strike/>
        </w:rPr>
        <w:t>[28.37]</w:t>
      </w:r>
      <w:r w:rsidRPr="002256F3">
        <w:rPr>
          <w:rFonts w:ascii="Arial" w:eastAsia="Calibri" w:hAnsi="Arial" w:cs="Arial"/>
        </w:rPr>
        <w:t xml:space="preserve"> points</w:t>
      </w:r>
    </w:p>
    <w:p w14:paraId="5792E18D" w14:textId="02DBE2ED" w:rsidR="003E7442" w:rsidRDefault="002256F3" w:rsidP="00EC0080">
      <w:pPr>
        <w:pStyle w:val="ListParagraph"/>
        <w:spacing w:after="100" w:afterAutospacing="1"/>
        <w:rPr>
          <w:rFonts w:ascii="Arial" w:eastAsia="Calibri" w:hAnsi="Arial" w:cs="Arial"/>
        </w:rPr>
      </w:pPr>
      <w:r w:rsidRPr="002256F3">
        <w:rPr>
          <w:rFonts w:ascii="Arial" w:eastAsia="Calibri" w:hAnsi="Arial" w:cs="Arial"/>
        </w:rPr>
        <w:t xml:space="preserve">Proposal C: 97.82% possible points = </w:t>
      </w:r>
      <w:r w:rsidRPr="00A516EC">
        <w:rPr>
          <w:rFonts w:ascii="Arial" w:eastAsia="Calibri" w:hAnsi="Arial" w:cs="Arial"/>
          <w:b/>
          <w:bCs/>
          <w:u w:val="single"/>
        </w:rPr>
        <w:t>14.675</w:t>
      </w:r>
      <w:r w:rsidRPr="002256F3">
        <w:rPr>
          <w:rFonts w:ascii="Arial" w:eastAsia="Calibri" w:hAnsi="Arial" w:cs="Arial"/>
        </w:rPr>
        <w:t>[</w:t>
      </w:r>
      <w:r w:rsidRPr="00A516EC">
        <w:rPr>
          <w:rFonts w:ascii="Arial" w:eastAsia="Calibri" w:hAnsi="Arial" w:cs="Arial"/>
          <w:strike/>
        </w:rPr>
        <w:t>29.35</w:t>
      </w:r>
      <w:r w:rsidRPr="002256F3">
        <w:rPr>
          <w:rFonts w:ascii="Arial" w:eastAsia="Calibri" w:hAnsi="Arial" w:cs="Arial"/>
        </w:rPr>
        <w:t>] points </w:t>
      </w:r>
    </w:p>
    <w:p w14:paraId="57FB92CE" w14:textId="77777777" w:rsidR="00EC0080" w:rsidRDefault="00EC0080" w:rsidP="00EC0080">
      <w:pPr>
        <w:pStyle w:val="ListParagraph"/>
        <w:spacing w:after="100" w:afterAutospacing="1"/>
        <w:rPr>
          <w:rFonts w:ascii="Arial" w:eastAsia="Calibri" w:hAnsi="Arial" w:cs="Arial"/>
        </w:rPr>
      </w:pPr>
    </w:p>
    <w:p w14:paraId="56EDE800" w14:textId="10247C91" w:rsidR="0073656E" w:rsidRDefault="0073656E" w:rsidP="00EC0080">
      <w:pPr>
        <w:pStyle w:val="ListParagraph"/>
        <w:numPr>
          <w:ilvl w:val="0"/>
          <w:numId w:val="6"/>
        </w:numPr>
        <w:spacing w:after="100" w:afterAutospacing="1"/>
        <w:rPr>
          <w:rFonts w:ascii="Arial" w:eastAsia="Calibri" w:hAnsi="Arial" w:cs="Arial"/>
        </w:rPr>
      </w:pPr>
      <w:r>
        <w:rPr>
          <w:rFonts w:ascii="Arial" w:eastAsia="Calibri" w:hAnsi="Arial" w:cs="Arial"/>
        </w:rPr>
        <w:t>Page 30 of the Application Manual, Executive Order N-6-22 – Russia Sanctions:</w:t>
      </w:r>
    </w:p>
    <w:p w14:paraId="4DFB4AA3" w14:textId="77777777" w:rsidR="0073656E" w:rsidRPr="0073656E" w:rsidRDefault="0073656E" w:rsidP="0073656E">
      <w:pPr>
        <w:spacing w:after="100" w:afterAutospacing="1"/>
        <w:ind w:left="720"/>
        <w:rPr>
          <w:rFonts w:ascii="Arial" w:eastAsia="Calibri" w:hAnsi="Arial" w:cs="Arial"/>
          <w:b/>
          <w:bCs/>
          <w:u w:val="single"/>
        </w:rPr>
      </w:pPr>
      <w:r w:rsidRPr="0073656E">
        <w:rPr>
          <w:rFonts w:ascii="Arial" w:eastAsia="Calibri" w:hAnsi="Arial" w:cs="Arial"/>
          <w:b/>
          <w:bCs/>
          <w:u w:val="single"/>
        </w:rPr>
        <w:t xml:space="preserve">Executive Order N-6-22 – Russia Sanctions </w:t>
      </w:r>
    </w:p>
    <w:p w14:paraId="3C6B3CE9" w14:textId="77777777" w:rsidR="0073656E" w:rsidRPr="0073656E" w:rsidRDefault="0073656E" w:rsidP="0073656E">
      <w:pPr>
        <w:spacing w:after="100" w:afterAutospacing="1"/>
        <w:ind w:left="720"/>
        <w:rPr>
          <w:rFonts w:ascii="Arial" w:eastAsia="Calibri" w:hAnsi="Arial" w:cs="Arial"/>
          <w:b/>
          <w:bCs/>
          <w:u w:val="single"/>
        </w:rPr>
      </w:pPr>
      <w:r w:rsidRPr="0073656E">
        <w:rPr>
          <w:rFonts w:ascii="Arial" w:eastAsia="Calibri" w:hAnsi="Arial" w:cs="Arial"/>
          <w:b/>
          <w:bCs/>
          <w:u w:val="single"/>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3800D1FB" w14:textId="41F5CFF0" w:rsidR="00EC0080" w:rsidRDefault="00EC0080" w:rsidP="00EC0080">
      <w:pPr>
        <w:pStyle w:val="ListParagraph"/>
        <w:numPr>
          <w:ilvl w:val="0"/>
          <w:numId w:val="6"/>
        </w:numPr>
        <w:spacing w:after="100" w:afterAutospacing="1"/>
        <w:rPr>
          <w:rFonts w:ascii="Arial" w:eastAsia="Calibri" w:hAnsi="Arial" w:cs="Arial"/>
        </w:rPr>
      </w:pPr>
      <w:r>
        <w:rPr>
          <w:rFonts w:ascii="Arial" w:eastAsia="Calibri" w:hAnsi="Arial" w:cs="Arial"/>
        </w:rPr>
        <w:t xml:space="preserve">Attachment 8, Exhibit </w:t>
      </w:r>
      <w:r w:rsidR="00087CC8">
        <w:rPr>
          <w:rFonts w:ascii="Arial" w:eastAsia="Calibri" w:hAnsi="Arial" w:cs="Arial"/>
        </w:rPr>
        <w:t xml:space="preserve">D </w:t>
      </w:r>
      <w:r w:rsidR="00411536">
        <w:rPr>
          <w:rFonts w:ascii="Arial" w:eastAsia="Calibri" w:hAnsi="Arial" w:cs="Arial"/>
        </w:rPr>
        <w:t xml:space="preserve">(page </w:t>
      </w:r>
      <w:r w:rsidR="00973871">
        <w:rPr>
          <w:rFonts w:ascii="Arial" w:eastAsia="Calibri" w:hAnsi="Arial" w:cs="Arial"/>
        </w:rPr>
        <w:t>1</w:t>
      </w:r>
      <w:r w:rsidR="00411536">
        <w:rPr>
          <w:rFonts w:ascii="Arial" w:eastAsia="Calibri" w:hAnsi="Arial" w:cs="Arial"/>
        </w:rPr>
        <w:t>3)</w:t>
      </w:r>
      <w:r w:rsidR="00FC034E">
        <w:rPr>
          <w:rFonts w:ascii="Arial" w:eastAsia="Calibri" w:hAnsi="Arial" w:cs="Arial"/>
        </w:rPr>
        <w:t xml:space="preserve"> Contingent funding</w:t>
      </w:r>
      <w:r w:rsidR="00411536">
        <w:rPr>
          <w:rFonts w:ascii="Arial" w:eastAsia="Calibri" w:hAnsi="Arial" w:cs="Arial"/>
        </w:rPr>
        <w:t xml:space="preserve">: </w:t>
      </w:r>
    </w:p>
    <w:p w14:paraId="218A5C37" w14:textId="77777777" w:rsidR="00FC034E" w:rsidRDefault="00411536" w:rsidP="00087CC8">
      <w:pPr>
        <w:spacing w:after="100" w:afterAutospacing="1"/>
        <w:rPr>
          <w:rFonts w:ascii="Arial" w:eastAsia="Calibri" w:hAnsi="Arial" w:cs="Arial"/>
          <w:b/>
          <w:bCs/>
          <w:u w:val="single"/>
        </w:rPr>
      </w:pPr>
      <w:r w:rsidRPr="00411536">
        <w:rPr>
          <w:rFonts w:ascii="Arial" w:eastAsia="Calibri" w:hAnsi="Arial" w:cs="Arial"/>
          <w:b/>
          <w:bCs/>
          <w:u w:val="single"/>
        </w:rPr>
        <w:t xml:space="preserve">24. CONTINGENT FUNDING </w:t>
      </w:r>
    </w:p>
    <w:p w14:paraId="0D4B087A" w14:textId="724022F7" w:rsidR="00087CC8" w:rsidRPr="00411536" w:rsidRDefault="00411536" w:rsidP="00087CC8">
      <w:pPr>
        <w:spacing w:after="100" w:afterAutospacing="1"/>
        <w:rPr>
          <w:rFonts w:ascii="Arial" w:eastAsia="Calibri" w:hAnsi="Arial" w:cs="Arial"/>
          <w:u w:val="single"/>
        </w:rPr>
      </w:pPr>
      <w:r w:rsidRPr="00411536">
        <w:rPr>
          <w:rFonts w:ascii="Arial" w:eastAsia="Calibri" w:hAnsi="Arial" w:cs="Arial"/>
          <w:b/>
          <w:bCs/>
          <w:u w:val="single"/>
        </w:rPr>
        <w:t>Recipient understands that the Energy Commission currently only has $500,000 of the potential $1,500,000, maximum possible funding for this Agreement. Therefore, upon execution of this Agreement, Recipient only has authority to spend up to $500,000. In the future, the Energy Commission may allocate none, some, or the entire remaining contingent amount up to a maximum total Agreement amount of $1,500,000. Recipient shall only be authorized to spend more than the existing $500,000 upon written authorization of the Commission Agreement Officer and only up to the amount so authorized.</w:t>
      </w:r>
    </w:p>
    <w:p w14:paraId="7CBED81D" w14:textId="2B3D6911" w:rsidR="00087CC8" w:rsidRPr="00087CC8" w:rsidRDefault="00087CC8" w:rsidP="00087CC8">
      <w:pPr>
        <w:spacing w:after="100" w:afterAutospacing="1"/>
        <w:rPr>
          <w:rFonts w:ascii="Arial" w:eastAsia="Calibri" w:hAnsi="Arial" w:cs="Arial"/>
        </w:rPr>
      </w:pPr>
    </w:p>
    <w:sectPr w:rsidR="00087CC8" w:rsidRPr="00087CC8"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ACFF" w14:textId="77777777" w:rsidR="00D440B0" w:rsidRDefault="00D440B0" w:rsidP="00F86D2B">
      <w:r>
        <w:separator/>
      </w:r>
    </w:p>
  </w:endnote>
  <w:endnote w:type="continuationSeparator" w:id="0">
    <w:p w14:paraId="4D3A218F" w14:textId="77777777" w:rsidR="00D440B0" w:rsidRDefault="00D440B0" w:rsidP="00F86D2B">
      <w:r>
        <w:continuationSeparator/>
      </w:r>
    </w:p>
  </w:endnote>
  <w:endnote w:type="continuationNotice" w:id="1">
    <w:p w14:paraId="3940CA05" w14:textId="77777777" w:rsidR="00D440B0" w:rsidRDefault="00D44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292A" w14:textId="77777777" w:rsidR="00D440B0" w:rsidRDefault="00D440B0" w:rsidP="00F86D2B">
      <w:r>
        <w:separator/>
      </w:r>
    </w:p>
  </w:footnote>
  <w:footnote w:type="continuationSeparator" w:id="0">
    <w:p w14:paraId="6B124FC7" w14:textId="77777777" w:rsidR="00D440B0" w:rsidRDefault="00D440B0" w:rsidP="00F86D2B">
      <w:r>
        <w:continuationSeparator/>
      </w:r>
    </w:p>
  </w:footnote>
  <w:footnote w:type="continuationNotice" w:id="1">
    <w:p w14:paraId="58C72AC0" w14:textId="77777777" w:rsidR="00D440B0" w:rsidRDefault="00D44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D17DD"/>
    <w:multiLevelType w:val="hybridMultilevel"/>
    <w:tmpl w:val="38FA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32374"/>
    <w:multiLevelType w:val="multilevel"/>
    <w:tmpl w:val="BFA49544"/>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35E83796"/>
    <w:multiLevelType w:val="hybridMultilevel"/>
    <w:tmpl w:val="903232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160F20"/>
    <w:multiLevelType w:val="hybridMultilevel"/>
    <w:tmpl w:val="9394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535814">
    <w:abstractNumId w:val="0"/>
  </w:num>
  <w:num w:numId="2" w16cid:durableId="240221889">
    <w:abstractNumId w:val="3"/>
  </w:num>
  <w:num w:numId="3" w16cid:durableId="1298728233">
    <w:abstractNumId w:val="6"/>
  </w:num>
  <w:num w:numId="4" w16cid:durableId="2045249771">
    <w:abstractNumId w:val="5"/>
  </w:num>
  <w:num w:numId="5" w16cid:durableId="2145659703">
    <w:abstractNumId w:val="1"/>
  </w:num>
  <w:num w:numId="6" w16cid:durableId="165873692">
    <w:abstractNumId w:val="4"/>
  </w:num>
  <w:num w:numId="7" w16cid:durableId="24846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3B9D"/>
    <w:rsid w:val="00076F59"/>
    <w:rsid w:val="00087CC8"/>
    <w:rsid w:val="0009064B"/>
    <w:rsid w:val="000A6CE7"/>
    <w:rsid w:val="000E0D63"/>
    <w:rsid w:val="000E31D6"/>
    <w:rsid w:val="00100C42"/>
    <w:rsid w:val="00103353"/>
    <w:rsid w:val="0011585B"/>
    <w:rsid w:val="0014043C"/>
    <w:rsid w:val="0014731B"/>
    <w:rsid w:val="001A30F4"/>
    <w:rsid w:val="001E0639"/>
    <w:rsid w:val="001F62F3"/>
    <w:rsid w:val="00203587"/>
    <w:rsid w:val="002148D1"/>
    <w:rsid w:val="002256F3"/>
    <w:rsid w:val="00235167"/>
    <w:rsid w:val="002548C9"/>
    <w:rsid w:val="002747CF"/>
    <w:rsid w:val="00276921"/>
    <w:rsid w:val="00287FE6"/>
    <w:rsid w:val="002960EE"/>
    <w:rsid w:val="002A5F7A"/>
    <w:rsid w:val="002C1897"/>
    <w:rsid w:val="002C1A5A"/>
    <w:rsid w:val="002D11A5"/>
    <w:rsid w:val="002D5157"/>
    <w:rsid w:val="00300FB1"/>
    <w:rsid w:val="00306C82"/>
    <w:rsid w:val="00334197"/>
    <w:rsid w:val="003635DC"/>
    <w:rsid w:val="00363FD0"/>
    <w:rsid w:val="003655BD"/>
    <w:rsid w:val="00366DC5"/>
    <w:rsid w:val="00387234"/>
    <w:rsid w:val="003A0C4A"/>
    <w:rsid w:val="003A20AF"/>
    <w:rsid w:val="003E0AD6"/>
    <w:rsid w:val="003E0D2D"/>
    <w:rsid w:val="003E404F"/>
    <w:rsid w:val="003E62F2"/>
    <w:rsid w:val="003E7442"/>
    <w:rsid w:val="00410AC7"/>
    <w:rsid w:val="00410FAF"/>
    <w:rsid w:val="00411536"/>
    <w:rsid w:val="00415DE9"/>
    <w:rsid w:val="00430859"/>
    <w:rsid w:val="004379A5"/>
    <w:rsid w:val="00437D5F"/>
    <w:rsid w:val="0044559B"/>
    <w:rsid w:val="004504D5"/>
    <w:rsid w:val="00451DA5"/>
    <w:rsid w:val="0048469A"/>
    <w:rsid w:val="00490619"/>
    <w:rsid w:val="00493781"/>
    <w:rsid w:val="004A1AAA"/>
    <w:rsid w:val="004A4C18"/>
    <w:rsid w:val="004D128F"/>
    <w:rsid w:val="004D5EEA"/>
    <w:rsid w:val="004F3BE0"/>
    <w:rsid w:val="005071EE"/>
    <w:rsid w:val="005100D5"/>
    <w:rsid w:val="00524EA9"/>
    <w:rsid w:val="00525C52"/>
    <w:rsid w:val="00525E2C"/>
    <w:rsid w:val="00527817"/>
    <w:rsid w:val="00537FE7"/>
    <w:rsid w:val="005568CA"/>
    <w:rsid w:val="00566D9C"/>
    <w:rsid w:val="00577D95"/>
    <w:rsid w:val="00585CEC"/>
    <w:rsid w:val="00593022"/>
    <w:rsid w:val="0059609D"/>
    <w:rsid w:val="005B207C"/>
    <w:rsid w:val="005E6FA2"/>
    <w:rsid w:val="00616AE7"/>
    <w:rsid w:val="00616B12"/>
    <w:rsid w:val="006511D6"/>
    <w:rsid w:val="00654BE4"/>
    <w:rsid w:val="006561E7"/>
    <w:rsid w:val="00681D81"/>
    <w:rsid w:val="00684371"/>
    <w:rsid w:val="00693454"/>
    <w:rsid w:val="006A57AF"/>
    <w:rsid w:val="006B13F0"/>
    <w:rsid w:val="006B7818"/>
    <w:rsid w:val="006C11E0"/>
    <w:rsid w:val="006D3827"/>
    <w:rsid w:val="006E146A"/>
    <w:rsid w:val="006F745C"/>
    <w:rsid w:val="007122B4"/>
    <w:rsid w:val="007134AE"/>
    <w:rsid w:val="007211FC"/>
    <w:rsid w:val="0073656E"/>
    <w:rsid w:val="00751C0F"/>
    <w:rsid w:val="00761F8B"/>
    <w:rsid w:val="0077265A"/>
    <w:rsid w:val="00777798"/>
    <w:rsid w:val="0078154A"/>
    <w:rsid w:val="00783717"/>
    <w:rsid w:val="0079150F"/>
    <w:rsid w:val="00792994"/>
    <w:rsid w:val="0079506D"/>
    <w:rsid w:val="007C0786"/>
    <w:rsid w:val="007C1A90"/>
    <w:rsid w:val="007C6051"/>
    <w:rsid w:val="007D545A"/>
    <w:rsid w:val="007E40C5"/>
    <w:rsid w:val="0081533B"/>
    <w:rsid w:val="00846985"/>
    <w:rsid w:val="008608EA"/>
    <w:rsid w:val="00874988"/>
    <w:rsid w:val="00891290"/>
    <w:rsid w:val="00891410"/>
    <w:rsid w:val="00895D1A"/>
    <w:rsid w:val="008C587E"/>
    <w:rsid w:val="008C593A"/>
    <w:rsid w:val="008D4344"/>
    <w:rsid w:val="008E1433"/>
    <w:rsid w:val="008E3926"/>
    <w:rsid w:val="008E7852"/>
    <w:rsid w:val="008F7BB2"/>
    <w:rsid w:val="00904B39"/>
    <w:rsid w:val="00910710"/>
    <w:rsid w:val="0091761C"/>
    <w:rsid w:val="00925075"/>
    <w:rsid w:val="0093041A"/>
    <w:rsid w:val="009407F5"/>
    <w:rsid w:val="00950AF4"/>
    <w:rsid w:val="00952235"/>
    <w:rsid w:val="0096692E"/>
    <w:rsid w:val="00973871"/>
    <w:rsid w:val="00983BC4"/>
    <w:rsid w:val="009C262C"/>
    <w:rsid w:val="009C53B4"/>
    <w:rsid w:val="009E6C35"/>
    <w:rsid w:val="009E754B"/>
    <w:rsid w:val="00A15FA8"/>
    <w:rsid w:val="00A17202"/>
    <w:rsid w:val="00A2143B"/>
    <w:rsid w:val="00A3384C"/>
    <w:rsid w:val="00A36CF5"/>
    <w:rsid w:val="00A516EC"/>
    <w:rsid w:val="00A73089"/>
    <w:rsid w:val="00A81292"/>
    <w:rsid w:val="00A90DC6"/>
    <w:rsid w:val="00AD21FC"/>
    <w:rsid w:val="00AD5870"/>
    <w:rsid w:val="00AE05B9"/>
    <w:rsid w:val="00B03AD3"/>
    <w:rsid w:val="00B2610A"/>
    <w:rsid w:val="00B70DD7"/>
    <w:rsid w:val="00B80E72"/>
    <w:rsid w:val="00B84D31"/>
    <w:rsid w:val="00B906E9"/>
    <w:rsid w:val="00BA1317"/>
    <w:rsid w:val="00BA3F4C"/>
    <w:rsid w:val="00BB5DCD"/>
    <w:rsid w:val="00BC366C"/>
    <w:rsid w:val="00BE4790"/>
    <w:rsid w:val="00BE5C21"/>
    <w:rsid w:val="00BF7A18"/>
    <w:rsid w:val="00C01C97"/>
    <w:rsid w:val="00C03527"/>
    <w:rsid w:val="00C079D4"/>
    <w:rsid w:val="00C16296"/>
    <w:rsid w:val="00C165D7"/>
    <w:rsid w:val="00C2336E"/>
    <w:rsid w:val="00C42CA9"/>
    <w:rsid w:val="00C67037"/>
    <w:rsid w:val="00C744B2"/>
    <w:rsid w:val="00C96BDD"/>
    <w:rsid w:val="00CA6B2B"/>
    <w:rsid w:val="00CD09FB"/>
    <w:rsid w:val="00D0354F"/>
    <w:rsid w:val="00D32C3D"/>
    <w:rsid w:val="00D33013"/>
    <w:rsid w:val="00D431C2"/>
    <w:rsid w:val="00D43B83"/>
    <w:rsid w:val="00D440B0"/>
    <w:rsid w:val="00DA4635"/>
    <w:rsid w:val="00DA6ACB"/>
    <w:rsid w:val="00DB1055"/>
    <w:rsid w:val="00DC2490"/>
    <w:rsid w:val="00DE738D"/>
    <w:rsid w:val="00E210F6"/>
    <w:rsid w:val="00E24289"/>
    <w:rsid w:val="00E249ED"/>
    <w:rsid w:val="00E43A8C"/>
    <w:rsid w:val="00E57B54"/>
    <w:rsid w:val="00E62715"/>
    <w:rsid w:val="00E95AA9"/>
    <w:rsid w:val="00EA7BDE"/>
    <w:rsid w:val="00EC0080"/>
    <w:rsid w:val="00ED18F1"/>
    <w:rsid w:val="00EE6145"/>
    <w:rsid w:val="00EF562E"/>
    <w:rsid w:val="00F10DFF"/>
    <w:rsid w:val="00F21D37"/>
    <w:rsid w:val="00F220FC"/>
    <w:rsid w:val="00F224E3"/>
    <w:rsid w:val="00F22AD4"/>
    <w:rsid w:val="00F34944"/>
    <w:rsid w:val="00F5445D"/>
    <w:rsid w:val="00F71C55"/>
    <w:rsid w:val="00F85303"/>
    <w:rsid w:val="00F86D2B"/>
    <w:rsid w:val="00F90F6B"/>
    <w:rsid w:val="00F947AC"/>
    <w:rsid w:val="00F95D8D"/>
    <w:rsid w:val="00F967DF"/>
    <w:rsid w:val="00FB7BAE"/>
    <w:rsid w:val="00FC034E"/>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73656E"/>
    <w:pPr>
      <w:keepNext/>
      <w:keepLines/>
      <w:spacing w:before="60" w:after="60"/>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4D5EEA"/>
    <w:pPr>
      <w:ind w:left="720"/>
      <w:contextualSpacing/>
    </w:pPr>
  </w:style>
  <w:style w:type="character" w:styleId="CommentReference">
    <w:name w:val="annotation reference"/>
    <w:semiHidden/>
    <w:rsid w:val="006F745C"/>
    <w:rPr>
      <w:sz w:val="16"/>
    </w:rPr>
  </w:style>
  <w:style w:type="paragraph" w:styleId="CommentText">
    <w:name w:val="annotation text"/>
    <w:basedOn w:val="Normal"/>
    <w:link w:val="CommentTextChar"/>
    <w:semiHidden/>
    <w:rsid w:val="006F745C"/>
    <w:rPr>
      <w:rFonts w:ascii="Arial" w:eastAsia="Times New Roman" w:hAnsi="Arial" w:cs="Arial"/>
      <w:sz w:val="20"/>
      <w:szCs w:val="20"/>
    </w:rPr>
  </w:style>
  <w:style w:type="character" w:customStyle="1" w:styleId="CommentTextChar">
    <w:name w:val="Comment Text Char"/>
    <w:basedOn w:val="DefaultParagraphFont"/>
    <w:link w:val="CommentText"/>
    <w:semiHidden/>
    <w:rsid w:val="006F745C"/>
    <w:rPr>
      <w:rFonts w:ascii="Arial" w:eastAsia="Times New Roman" w:hAnsi="Arial" w:cs="Arial"/>
      <w:sz w:val="20"/>
      <w:szCs w:val="20"/>
    </w:rPr>
  </w:style>
  <w:style w:type="character" w:customStyle="1" w:styleId="Heading3Char">
    <w:name w:val="Heading 3 Char"/>
    <w:aliases w:val="Section Char"/>
    <w:basedOn w:val="DefaultParagraphFont"/>
    <w:link w:val="Heading3"/>
    <w:rsid w:val="0073656E"/>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1071661459">
      <w:bodyDiv w:val="1"/>
      <w:marLeft w:val="0"/>
      <w:marRight w:val="0"/>
      <w:marTop w:val="0"/>
      <w:marBottom w:val="0"/>
      <w:divBdr>
        <w:top w:val="none" w:sz="0" w:space="0" w:color="auto"/>
        <w:left w:val="none" w:sz="0" w:space="0" w:color="auto"/>
        <w:bottom w:val="none" w:sz="0" w:space="0" w:color="auto"/>
        <w:right w:val="none" w:sz="0" w:space="0" w:color="auto"/>
      </w:divBdr>
      <w:divsChild>
        <w:div w:id="575557187">
          <w:marLeft w:val="0"/>
          <w:marRight w:val="0"/>
          <w:marTop w:val="0"/>
          <w:marBottom w:val="0"/>
          <w:divBdr>
            <w:top w:val="none" w:sz="0" w:space="0" w:color="auto"/>
            <w:left w:val="none" w:sz="0" w:space="0" w:color="auto"/>
            <w:bottom w:val="none" w:sz="0" w:space="0" w:color="auto"/>
            <w:right w:val="none" w:sz="0" w:space="0" w:color="auto"/>
          </w:divBdr>
        </w:div>
        <w:div w:id="312878842">
          <w:marLeft w:val="0"/>
          <w:marRight w:val="0"/>
          <w:marTop w:val="0"/>
          <w:marBottom w:val="0"/>
          <w:divBdr>
            <w:top w:val="none" w:sz="0" w:space="0" w:color="auto"/>
            <w:left w:val="none" w:sz="0" w:space="0" w:color="auto"/>
            <w:bottom w:val="none" w:sz="0" w:space="0" w:color="auto"/>
            <w:right w:val="none" w:sz="0" w:space="0" w:color="auto"/>
          </w:divBdr>
        </w:div>
        <w:div w:id="1463038044">
          <w:marLeft w:val="0"/>
          <w:marRight w:val="0"/>
          <w:marTop w:val="0"/>
          <w:marBottom w:val="0"/>
          <w:divBdr>
            <w:top w:val="none" w:sz="0" w:space="0" w:color="auto"/>
            <w:left w:val="none" w:sz="0" w:space="0" w:color="auto"/>
            <w:bottom w:val="none" w:sz="0" w:space="0" w:color="auto"/>
            <w:right w:val="none" w:sz="0" w:space="0" w:color="auto"/>
          </w:divBdr>
        </w:div>
      </w:divsChild>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_x0067_sp8 xmlns="785685f2-c2e1-4352-89aa-3faca8eaba52">
      <UserInfo>
        <DisplayName/>
        <AccountId xsi:nil="true"/>
        <AccountType/>
      </UserInfo>
    </_x0067_sp8>
    <MapTitle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6dec7027aac35e799daf62b6b0eda6e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715afd67595b48c3eb4d1cdfbee214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7_sp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ap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7_sp8" ma:index="12" nillable="true" ma:displayName="Person or Group" ma:list="UserInfo" ma:internalName="_x0067_sp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apTitle" ma:index="23" nillable="true" ma:displayName="Map Title" ma:description="The title of the map(s)" ma:format="Dropdown" ma:internalName="Map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7982f68-cc81-44ab-bf34-84c0dc62ea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C8B6CBE5-C60E-414C-B641-AC08FBD30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Cary, Eilene@Energy</cp:lastModifiedBy>
  <cp:revision>4</cp:revision>
  <cp:lastPrinted>2019-04-08T16:38:00Z</cp:lastPrinted>
  <dcterms:created xsi:type="dcterms:W3CDTF">2023-03-15T20:53:00Z</dcterms:created>
  <dcterms:modified xsi:type="dcterms:W3CDTF">2023-03-15T22:09:00Z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8b4589783cc7415c398e679b95fa533aea0397fe85de83f0691ca8719ec76f27</vt:lpwstr>
  </property>
</Properties>
</file>