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5A8B" w:rsidP="6DA6BCD4" w:rsidRDefault="00105A8B" w14:paraId="5C81CF10" w14:textId="6121A3F0">
      <w:pPr>
        <w:spacing w:after="0" w:line="240" w:lineRule="auto"/>
        <w:jc w:val="center"/>
        <w:rPr>
          <w:b/>
          <w:bCs/>
          <w:sz w:val="24"/>
          <w:szCs w:val="24"/>
          <w:highlight w:val="yellow"/>
        </w:rPr>
      </w:pPr>
      <w:r w:rsidRPr="6A3021ED">
        <w:rPr>
          <w:b/>
          <w:bCs/>
          <w:sz w:val="24"/>
          <w:szCs w:val="24"/>
        </w:rPr>
        <w:t xml:space="preserve">Attachment </w:t>
      </w:r>
      <w:r w:rsidRPr="6A3021ED" w:rsidR="1625D32C">
        <w:rPr>
          <w:b/>
          <w:bCs/>
          <w:sz w:val="24"/>
          <w:szCs w:val="24"/>
        </w:rPr>
        <w:t>9</w:t>
      </w:r>
      <w:r w:rsidRPr="6A3021ED" w:rsidR="58082E90">
        <w:rPr>
          <w:b/>
          <w:bCs/>
          <w:sz w:val="24"/>
          <w:szCs w:val="24"/>
        </w:rPr>
        <w:t>b</w:t>
      </w:r>
    </w:p>
    <w:p w:rsidR="00CE12B6" w:rsidP="007A04E7" w:rsidRDefault="00242532" w14:paraId="42FB1FDF" w14:textId="746B895E">
      <w:pPr>
        <w:spacing w:after="0" w:line="240" w:lineRule="auto"/>
        <w:jc w:val="center"/>
        <w:rPr>
          <w:rFonts w:cstheme="minorHAnsi"/>
          <w:sz w:val="24"/>
          <w:szCs w:val="24"/>
          <w:u w:val="single"/>
        </w:rPr>
      </w:pPr>
      <w:r w:rsidRPr="007A04E7">
        <w:rPr>
          <w:rFonts w:cstheme="minorHAnsi"/>
          <w:sz w:val="24"/>
          <w:szCs w:val="24"/>
          <w:u w:val="single"/>
        </w:rPr>
        <w:t>Special Terms &amp; Conditions</w:t>
      </w:r>
    </w:p>
    <w:p w:rsidRPr="007A04E7" w:rsidR="007A04E7" w:rsidP="007A04E7" w:rsidRDefault="007A04E7" w14:paraId="04E29AA7" w14:textId="77777777">
      <w:pPr>
        <w:spacing w:after="0" w:line="240" w:lineRule="auto"/>
        <w:jc w:val="center"/>
        <w:rPr>
          <w:rFonts w:cstheme="minorHAnsi"/>
          <w:sz w:val="24"/>
          <w:szCs w:val="24"/>
        </w:rPr>
      </w:pPr>
    </w:p>
    <w:p w:rsidRPr="007A04E7" w:rsidR="007A04E7" w:rsidP="007A04E7" w:rsidRDefault="00753E3A" w14:paraId="0403E129" w14:textId="73FA477E">
      <w:pPr>
        <w:pStyle w:val="paragraph"/>
        <w:numPr>
          <w:ilvl w:val="0"/>
          <w:numId w:val="1"/>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rPr>
        <w:t xml:space="preserve">Phase 1 </w:t>
      </w:r>
      <w:r w:rsidR="00C27521">
        <w:rPr>
          <w:rStyle w:val="normaltextrun"/>
          <w:rFonts w:asciiTheme="minorHAnsi" w:hAnsiTheme="minorHAnsi" w:cstheme="minorHAnsi"/>
          <w:b/>
          <w:bCs/>
        </w:rPr>
        <w:t xml:space="preserve">Award Amount. </w:t>
      </w:r>
      <w:r w:rsidRPr="007A04E7" w:rsidR="007A04E7">
        <w:rPr>
          <w:rStyle w:val="normaltextrun"/>
          <w:rFonts w:asciiTheme="minorHAnsi" w:hAnsiTheme="minorHAnsi" w:cstheme="minorHAnsi"/>
        </w:rPr>
        <w:t xml:space="preserve">This </w:t>
      </w:r>
      <w:r w:rsidR="009F384B">
        <w:rPr>
          <w:rStyle w:val="normaltextrun"/>
          <w:rFonts w:asciiTheme="minorHAnsi" w:hAnsiTheme="minorHAnsi" w:cstheme="minorHAnsi"/>
        </w:rPr>
        <w:t xml:space="preserve">grant </w:t>
      </w:r>
      <w:r w:rsidRPr="007A04E7" w:rsidR="007A04E7">
        <w:rPr>
          <w:rStyle w:val="normaltextrun"/>
          <w:rFonts w:asciiTheme="minorHAnsi" w:hAnsiTheme="minorHAnsi" w:cstheme="minorHAnsi"/>
        </w:rPr>
        <w:t>agreement is for [INSERT PHASE 1 DOLLAR AMOUNT].</w:t>
      </w:r>
    </w:p>
    <w:p w:rsidRPr="007A04E7" w:rsidR="007A04E7" w:rsidP="007A04E7" w:rsidRDefault="007A04E7" w14:paraId="5AA33735" w14:textId="77777777">
      <w:pPr>
        <w:pStyle w:val="paragraph"/>
        <w:spacing w:before="0" w:beforeAutospacing="0" w:after="0" w:afterAutospacing="0"/>
        <w:ind w:left="1080"/>
        <w:textAlignment w:val="baseline"/>
        <w:rPr>
          <w:rStyle w:val="normaltextrun"/>
          <w:rFonts w:asciiTheme="minorHAnsi" w:hAnsiTheme="minorHAnsi" w:cstheme="minorHAnsi"/>
        </w:rPr>
      </w:pPr>
    </w:p>
    <w:p w:rsidRPr="009153D1" w:rsidR="007A04E7" w:rsidP="6DA6BCD4" w:rsidRDefault="00753E3A" w14:paraId="67C8698B" w14:textId="5EE6CEAE">
      <w:pPr>
        <w:pStyle w:val="paragraph"/>
        <w:numPr>
          <w:ilvl w:val="0"/>
          <w:numId w:val="1"/>
        </w:numPr>
        <w:spacing w:before="0" w:beforeAutospacing="0" w:after="0" w:afterAutospacing="0"/>
        <w:textAlignment w:val="baseline"/>
        <w:rPr>
          <w:rStyle w:val="normaltextrun"/>
          <w:rFonts w:asciiTheme="minorHAnsi" w:hAnsiTheme="minorHAnsi" w:cstheme="minorBidi"/>
        </w:rPr>
      </w:pPr>
      <w:r w:rsidRPr="6DA6BCD4">
        <w:rPr>
          <w:rStyle w:val="normaltextrun"/>
          <w:rFonts w:asciiTheme="minorHAnsi" w:hAnsiTheme="minorHAnsi" w:cstheme="minorBidi"/>
          <w:b/>
          <w:bCs/>
        </w:rPr>
        <w:t xml:space="preserve">Phase 2 </w:t>
      </w:r>
      <w:r w:rsidRPr="6DA6BCD4" w:rsidR="00C27521">
        <w:rPr>
          <w:rStyle w:val="normaltextrun"/>
          <w:rFonts w:asciiTheme="minorHAnsi" w:hAnsiTheme="minorHAnsi" w:cstheme="minorBidi"/>
          <w:b/>
          <w:bCs/>
        </w:rPr>
        <w:t xml:space="preserve">Potential Additional Funds. </w:t>
      </w:r>
      <w:r w:rsidRPr="6DA6BCD4" w:rsidR="007A04E7">
        <w:rPr>
          <w:rStyle w:val="normaltextrun"/>
          <w:rFonts w:asciiTheme="minorHAnsi" w:hAnsiTheme="minorHAnsi" w:cstheme="minorBidi"/>
        </w:rPr>
        <w:t>Additional funding up to [INSERT PHASE 2 DOLLAR AMOUNT</w:t>
      </w:r>
      <w:r w:rsidRPr="6DA6BCD4" w:rsidR="00746C78">
        <w:rPr>
          <w:rStyle w:val="normaltextrun"/>
          <w:rFonts w:asciiTheme="minorHAnsi" w:hAnsiTheme="minorHAnsi" w:cstheme="minorBidi"/>
        </w:rPr>
        <w:t>; IF NO PHASE 2 PROPOSED, DO NOT USE THESE SPECIAL TERMS</w:t>
      </w:r>
      <w:r w:rsidRPr="6DA6BCD4" w:rsidR="007A04E7">
        <w:rPr>
          <w:rStyle w:val="normaltextrun"/>
          <w:rFonts w:asciiTheme="minorHAnsi" w:hAnsiTheme="minorHAnsi" w:cstheme="minorBidi"/>
        </w:rPr>
        <w:t>] may be available to the Recipient, contingent</w:t>
      </w:r>
      <w:r w:rsidRPr="6DA6BCD4" w:rsidR="00B83D97">
        <w:rPr>
          <w:rStyle w:val="normaltextrun"/>
          <w:rFonts w:asciiTheme="minorHAnsi" w:hAnsiTheme="minorHAnsi" w:cstheme="minorBidi"/>
        </w:rPr>
        <w:t xml:space="preserve"> on both</w:t>
      </w:r>
      <w:r w:rsidRPr="6DA6BCD4" w:rsidR="007A04E7">
        <w:rPr>
          <w:rStyle w:val="normaltextrun"/>
          <w:rFonts w:asciiTheme="minorHAnsi" w:hAnsiTheme="minorHAnsi" w:cstheme="minorBidi"/>
        </w:rPr>
        <w:t xml:space="preserve"> availability of funds and achieving </w:t>
      </w:r>
      <w:r w:rsidRPr="6DA6BCD4" w:rsidR="00121022">
        <w:rPr>
          <w:rStyle w:val="normaltextrun"/>
          <w:rFonts w:asciiTheme="minorHAnsi" w:hAnsiTheme="minorHAnsi" w:cstheme="minorBidi"/>
        </w:rPr>
        <w:t>P</w:t>
      </w:r>
      <w:r w:rsidRPr="6DA6BCD4" w:rsidR="007A04E7">
        <w:rPr>
          <w:rStyle w:val="normaltextrun"/>
          <w:rFonts w:asciiTheme="minorHAnsi" w:hAnsiTheme="minorHAnsi" w:cstheme="minorBidi"/>
        </w:rPr>
        <w:t xml:space="preserve">erformance </w:t>
      </w:r>
      <w:r w:rsidRPr="6DA6BCD4" w:rsidR="00121022">
        <w:rPr>
          <w:rStyle w:val="normaltextrun"/>
          <w:rFonts w:asciiTheme="minorHAnsi" w:hAnsiTheme="minorHAnsi" w:cstheme="minorBidi"/>
        </w:rPr>
        <w:t>M</w:t>
      </w:r>
      <w:r w:rsidRPr="6DA6BCD4" w:rsidR="007A04E7">
        <w:rPr>
          <w:rStyle w:val="normaltextrun"/>
          <w:rFonts w:asciiTheme="minorHAnsi" w:hAnsiTheme="minorHAnsi" w:cstheme="minorBidi"/>
        </w:rPr>
        <w:t xml:space="preserve">etrics. CEC, in its sole and absolute discretion, will determine if the </w:t>
      </w:r>
      <w:r w:rsidRPr="6DA6BCD4" w:rsidR="007B1DB9">
        <w:rPr>
          <w:rStyle w:val="normaltextrun"/>
          <w:rFonts w:asciiTheme="minorHAnsi" w:hAnsiTheme="minorHAnsi" w:cstheme="minorBidi"/>
        </w:rPr>
        <w:t>P</w:t>
      </w:r>
      <w:r w:rsidRPr="6DA6BCD4" w:rsidR="007A04E7">
        <w:rPr>
          <w:rStyle w:val="normaltextrun"/>
          <w:rFonts w:asciiTheme="minorHAnsi" w:hAnsiTheme="minorHAnsi" w:cstheme="minorBidi"/>
        </w:rPr>
        <w:t xml:space="preserve">erformance </w:t>
      </w:r>
      <w:r w:rsidRPr="6DA6BCD4" w:rsidR="007B1DB9">
        <w:rPr>
          <w:rStyle w:val="normaltextrun"/>
          <w:rFonts w:asciiTheme="minorHAnsi" w:hAnsiTheme="minorHAnsi" w:cstheme="minorBidi"/>
        </w:rPr>
        <w:t>M</w:t>
      </w:r>
      <w:r w:rsidRPr="6DA6BCD4" w:rsidR="007A04E7">
        <w:rPr>
          <w:rStyle w:val="normaltextrun"/>
          <w:rFonts w:asciiTheme="minorHAnsi" w:hAnsiTheme="minorHAnsi" w:cstheme="minorBidi"/>
        </w:rPr>
        <w:t xml:space="preserve">etrics have been achieved. </w:t>
      </w:r>
    </w:p>
    <w:p w:rsidRPr="009153D1" w:rsidR="00980F0D" w:rsidP="00980F0D" w:rsidRDefault="00980F0D" w14:paraId="45CF69D7" w14:textId="77777777">
      <w:pPr>
        <w:pStyle w:val="ListParagraph"/>
        <w:rPr>
          <w:rStyle w:val="normaltextrun"/>
          <w:rFonts w:cstheme="minorHAnsi"/>
        </w:rPr>
      </w:pPr>
    </w:p>
    <w:p w:rsidRPr="000F510D" w:rsidR="00980F0D" w:rsidP="00012008" w:rsidRDefault="00C27521" w14:paraId="687AB06E" w14:textId="210638E2">
      <w:pPr>
        <w:pStyle w:val="paragraph"/>
        <w:numPr>
          <w:ilvl w:val="0"/>
          <w:numId w:val="1"/>
        </w:numPr>
        <w:spacing w:before="0" w:beforeAutospacing="0" w:after="0" w:afterAutospacing="0"/>
        <w:textAlignment w:val="baseline"/>
        <w:rPr>
          <w:rStyle w:val="normaltextrun"/>
          <w:rFonts w:asciiTheme="minorHAnsi" w:hAnsiTheme="minorHAnsi" w:cstheme="minorHAnsi"/>
        </w:rPr>
      </w:pPr>
      <w:r w:rsidRPr="009153D1">
        <w:rPr>
          <w:rStyle w:val="normaltextrun"/>
          <w:rFonts w:asciiTheme="minorHAnsi" w:hAnsiTheme="minorHAnsi" w:cstheme="minorHAnsi"/>
          <w:b/>
          <w:bCs/>
        </w:rPr>
        <w:t>P</w:t>
      </w:r>
      <w:r w:rsidRPr="009153D1" w:rsidR="009153D1">
        <w:rPr>
          <w:rStyle w:val="normaltextrun"/>
          <w:rFonts w:asciiTheme="minorHAnsi" w:hAnsiTheme="minorHAnsi" w:cstheme="minorHAnsi"/>
          <w:b/>
          <w:bCs/>
        </w:rPr>
        <w:t xml:space="preserve">erformance Metrics. </w:t>
      </w:r>
      <w:r w:rsidRPr="009153D1">
        <w:rPr>
          <w:rStyle w:val="normaltextrun"/>
          <w:rFonts w:asciiTheme="minorHAnsi" w:hAnsiTheme="minorHAnsi" w:cstheme="minorHAnsi"/>
        </w:rPr>
        <w:t xml:space="preserve">If data reporting from </w:t>
      </w:r>
      <w:r w:rsidR="0062154A">
        <w:rPr>
          <w:rStyle w:val="normaltextrun"/>
          <w:rFonts w:asciiTheme="minorHAnsi" w:hAnsiTheme="minorHAnsi" w:cstheme="minorHAnsi"/>
        </w:rPr>
        <w:t>the Recipient’s</w:t>
      </w:r>
      <w:r w:rsidRPr="009153D1">
        <w:rPr>
          <w:rStyle w:val="normaltextrun"/>
          <w:rFonts w:asciiTheme="minorHAnsi" w:hAnsiTheme="minorHAnsi" w:cstheme="minorHAnsi"/>
        </w:rPr>
        <w:t xml:space="preserve"> customer deployments </w:t>
      </w:r>
      <w:r w:rsidR="00457635">
        <w:rPr>
          <w:rStyle w:val="normaltextrun"/>
          <w:rFonts w:asciiTheme="minorHAnsi" w:hAnsiTheme="minorHAnsi" w:cstheme="minorHAnsi"/>
        </w:rPr>
        <w:t>made with the origina</w:t>
      </w:r>
      <w:r w:rsidR="0091439B">
        <w:rPr>
          <w:rStyle w:val="normaltextrun"/>
          <w:rFonts w:asciiTheme="minorHAnsi" w:hAnsiTheme="minorHAnsi" w:cstheme="minorHAnsi"/>
        </w:rPr>
        <w:t>l</w:t>
      </w:r>
      <w:r w:rsidR="00753E3A">
        <w:rPr>
          <w:rStyle w:val="normaltextrun"/>
          <w:rFonts w:asciiTheme="minorHAnsi" w:hAnsiTheme="minorHAnsi" w:cstheme="minorHAnsi"/>
        </w:rPr>
        <w:t xml:space="preserve"> Phase 1</w:t>
      </w:r>
      <w:r w:rsidR="00457635">
        <w:rPr>
          <w:rStyle w:val="normaltextrun"/>
          <w:rFonts w:asciiTheme="minorHAnsi" w:hAnsiTheme="minorHAnsi" w:cstheme="minorHAnsi"/>
        </w:rPr>
        <w:t xml:space="preserve"> Award Amount </w:t>
      </w:r>
      <w:r w:rsidRPr="009153D1">
        <w:rPr>
          <w:rStyle w:val="normaltextrun"/>
          <w:rFonts w:asciiTheme="minorHAnsi" w:hAnsiTheme="minorHAnsi" w:cstheme="minorHAnsi"/>
        </w:rPr>
        <w:t xml:space="preserve">meets all four </w:t>
      </w:r>
      <w:r w:rsidR="00EF1F58">
        <w:rPr>
          <w:rStyle w:val="normaltextrun"/>
          <w:rFonts w:asciiTheme="minorHAnsi" w:hAnsiTheme="minorHAnsi" w:cstheme="minorHAnsi"/>
        </w:rPr>
        <w:t>P</w:t>
      </w:r>
      <w:r w:rsidRPr="009153D1">
        <w:rPr>
          <w:rStyle w:val="normaltextrun"/>
          <w:rFonts w:asciiTheme="minorHAnsi" w:hAnsiTheme="minorHAnsi" w:cstheme="minorHAnsi"/>
        </w:rPr>
        <w:t xml:space="preserve">erformance </w:t>
      </w:r>
      <w:r w:rsidR="00EF1F58">
        <w:rPr>
          <w:rStyle w:val="normaltextrun"/>
          <w:rFonts w:asciiTheme="minorHAnsi" w:hAnsiTheme="minorHAnsi" w:cstheme="minorHAnsi"/>
        </w:rPr>
        <w:t>Metrics</w:t>
      </w:r>
      <w:r w:rsidRPr="009153D1">
        <w:rPr>
          <w:rStyle w:val="normaltextrun"/>
          <w:rFonts w:asciiTheme="minorHAnsi" w:hAnsiTheme="minorHAnsi" w:cstheme="minorHAnsi"/>
        </w:rPr>
        <w:t xml:space="preserve"> below, as </w:t>
      </w:r>
      <w:r w:rsidRPr="000F510D">
        <w:rPr>
          <w:rStyle w:val="normaltextrun"/>
          <w:rFonts w:asciiTheme="minorHAnsi" w:hAnsiTheme="minorHAnsi" w:cstheme="minorHAnsi"/>
        </w:rPr>
        <w:t>determined by the CEC</w:t>
      </w:r>
      <w:r w:rsidRPr="000F510D" w:rsidR="00457635">
        <w:rPr>
          <w:rStyle w:val="normaltextrun"/>
          <w:rFonts w:asciiTheme="minorHAnsi" w:hAnsiTheme="minorHAnsi" w:cstheme="minorHAnsi"/>
        </w:rPr>
        <w:t xml:space="preserve"> in its sole and absolute discretion</w:t>
      </w:r>
      <w:r w:rsidRPr="000F510D">
        <w:rPr>
          <w:rStyle w:val="normaltextrun"/>
          <w:rFonts w:asciiTheme="minorHAnsi" w:hAnsiTheme="minorHAnsi" w:cstheme="minorHAnsi"/>
        </w:rPr>
        <w:t xml:space="preserve">, then the project </w:t>
      </w:r>
      <w:r w:rsidRPr="000F510D" w:rsidR="00F90D3B">
        <w:rPr>
          <w:rStyle w:val="normaltextrun"/>
          <w:rFonts w:asciiTheme="minorHAnsi" w:hAnsiTheme="minorHAnsi" w:cstheme="minorHAnsi"/>
        </w:rPr>
        <w:t>may be</w:t>
      </w:r>
      <w:r w:rsidRPr="000F510D">
        <w:rPr>
          <w:rStyle w:val="normaltextrun"/>
          <w:rFonts w:asciiTheme="minorHAnsi" w:hAnsiTheme="minorHAnsi" w:cstheme="minorHAnsi"/>
        </w:rPr>
        <w:t xml:space="preserve"> eligible </w:t>
      </w:r>
      <w:r w:rsidRPr="000F510D" w:rsidR="00F90D3B">
        <w:rPr>
          <w:rStyle w:val="normaltextrun"/>
          <w:rFonts w:asciiTheme="minorHAnsi" w:hAnsiTheme="minorHAnsi" w:cstheme="minorHAnsi"/>
        </w:rPr>
        <w:t xml:space="preserve">for the </w:t>
      </w:r>
      <w:r w:rsidR="00EF1F58">
        <w:rPr>
          <w:rStyle w:val="normaltextrun"/>
          <w:rFonts w:asciiTheme="minorHAnsi" w:hAnsiTheme="minorHAnsi" w:cstheme="minorHAnsi"/>
        </w:rPr>
        <w:t xml:space="preserve">Phase 2 </w:t>
      </w:r>
      <w:r w:rsidRPr="000F510D" w:rsidR="00F90D3B">
        <w:rPr>
          <w:rStyle w:val="normaltextrun"/>
          <w:rFonts w:asciiTheme="minorHAnsi" w:hAnsiTheme="minorHAnsi" w:cstheme="minorHAnsi"/>
        </w:rPr>
        <w:t>Potential Additional Funds</w:t>
      </w:r>
      <w:r w:rsidRPr="000F510D">
        <w:rPr>
          <w:rStyle w:val="normaltextrun"/>
          <w:rFonts w:asciiTheme="minorHAnsi" w:hAnsiTheme="minorHAnsi" w:cstheme="minorHAnsi"/>
        </w:rPr>
        <w:t xml:space="preserve">. Projects not meeting all four </w:t>
      </w:r>
      <w:r w:rsidR="00AF2B18">
        <w:rPr>
          <w:rStyle w:val="normaltextrun"/>
          <w:rFonts w:asciiTheme="minorHAnsi" w:hAnsiTheme="minorHAnsi" w:cstheme="minorHAnsi"/>
        </w:rPr>
        <w:t>metrics</w:t>
      </w:r>
      <w:r w:rsidRPr="000F510D">
        <w:rPr>
          <w:rStyle w:val="normaltextrun"/>
          <w:rFonts w:asciiTheme="minorHAnsi" w:hAnsiTheme="minorHAnsi" w:cstheme="minorHAnsi"/>
        </w:rPr>
        <w:t xml:space="preserve"> below are not eligible for </w:t>
      </w:r>
      <w:r w:rsidRPr="000F510D" w:rsidR="00B24847">
        <w:rPr>
          <w:rStyle w:val="normaltextrun"/>
          <w:rFonts w:asciiTheme="minorHAnsi" w:hAnsiTheme="minorHAnsi" w:cstheme="minorHAnsi"/>
        </w:rPr>
        <w:t>the</w:t>
      </w:r>
      <w:r w:rsidR="00927460">
        <w:rPr>
          <w:rStyle w:val="normaltextrun"/>
          <w:rFonts w:asciiTheme="minorHAnsi" w:hAnsiTheme="minorHAnsi" w:cstheme="minorHAnsi"/>
        </w:rPr>
        <w:t xml:space="preserve"> Phase 2</w:t>
      </w:r>
      <w:r w:rsidRPr="000F510D" w:rsidR="00B24847">
        <w:rPr>
          <w:rStyle w:val="normaltextrun"/>
          <w:rFonts w:asciiTheme="minorHAnsi" w:hAnsiTheme="minorHAnsi" w:cstheme="minorHAnsi"/>
        </w:rPr>
        <w:t xml:space="preserve"> Potential Additional Funds</w:t>
      </w:r>
      <w:r w:rsidRPr="000F510D">
        <w:rPr>
          <w:rStyle w:val="normaltextrun"/>
          <w:rFonts w:asciiTheme="minorHAnsi" w:hAnsiTheme="minorHAnsi" w:cstheme="minorHAnsi"/>
        </w:rPr>
        <w:t>.</w:t>
      </w:r>
      <w:r w:rsidR="00927460">
        <w:rPr>
          <w:rStyle w:val="normaltextrun"/>
          <w:rFonts w:asciiTheme="minorHAnsi" w:hAnsiTheme="minorHAnsi" w:cstheme="minorHAnsi"/>
        </w:rPr>
        <w:t xml:space="preserve"> Recipients who did not originally apply for Phase 2 funding are not eligible for Phase 2 Potential Additional Funds.</w:t>
      </w:r>
    </w:p>
    <w:p w:rsidRPr="000F510D" w:rsidR="00F169E5" w:rsidP="00F169E5" w:rsidRDefault="00F169E5" w14:paraId="56B14F06" w14:textId="77777777">
      <w:pPr>
        <w:pStyle w:val="ListParagraph"/>
        <w:rPr>
          <w:rStyle w:val="normaltextrun"/>
          <w:rFonts w:cstheme="minorHAnsi"/>
          <w:sz w:val="24"/>
          <w:szCs w:val="24"/>
        </w:rPr>
      </w:pPr>
    </w:p>
    <w:p w:rsidR="00FF51D4" w:rsidP="00F138F4" w:rsidRDefault="00F169E5" w14:paraId="186D60CA" w14:textId="7ED26151">
      <w:pPr>
        <w:pStyle w:val="paragraph"/>
        <w:numPr>
          <w:ilvl w:val="1"/>
          <w:numId w:val="1"/>
        </w:numPr>
        <w:spacing w:before="0" w:beforeAutospacing="0" w:after="0" w:afterAutospacing="0"/>
        <w:textAlignment w:val="baseline"/>
        <w:rPr>
          <w:rFonts w:asciiTheme="minorHAnsi" w:hAnsiTheme="minorHAnsi" w:cstheme="minorHAnsi"/>
        </w:rPr>
      </w:pPr>
      <w:r w:rsidRPr="000F510D">
        <w:rPr>
          <w:rFonts w:asciiTheme="minorHAnsi" w:hAnsiTheme="minorHAnsi" w:cstheme="minorHAnsi"/>
        </w:rPr>
        <w:t>Recipient</w:t>
      </w:r>
      <w:r w:rsidRPr="00A278BC">
        <w:rPr>
          <w:rFonts w:asciiTheme="minorHAnsi" w:hAnsiTheme="minorHAnsi" w:cstheme="minorHAnsi"/>
        </w:rPr>
        <w:t xml:space="preserve"> has completed at least 7 months of data collection and reporting for at least 75 percent of the originally planned Phase 1 deployments with customers on dynamic rates.  </w:t>
      </w:r>
    </w:p>
    <w:p w:rsidRPr="000F510D" w:rsidR="00487A51" w:rsidP="0092209C" w:rsidRDefault="00487A51" w14:paraId="67EC681E" w14:textId="77777777">
      <w:pPr>
        <w:pStyle w:val="paragraph"/>
        <w:spacing w:before="0" w:beforeAutospacing="0" w:after="0" w:afterAutospacing="0"/>
        <w:ind w:left="1800"/>
        <w:textAlignment w:val="baseline"/>
        <w:rPr>
          <w:rFonts w:asciiTheme="minorHAnsi" w:hAnsiTheme="minorHAnsi" w:cstheme="minorHAnsi"/>
        </w:rPr>
      </w:pPr>
    </w:p>
    <w:p w:rsidRPr="000F510D" w:rsidR="00FF51D4" w:rsidP="00FF51D4" w:rsidRDefault="00FF51D4" w14:paraId="186805A9" w14:textId="3726E6A5">
      <w:pPr>
        <w:pStyle w:val="paragraph"/>
        <w:numPr>
          <w:ilvl w:val="1"/>
          <w:numId w:val="1"/>
        </w:numPr>
        <w:spacing w:before="0" w:beforeAutospacing="0" w:after="0" w:afterAutospacing="0"/>
        <w:textAlignment w:val="baseline"/>
        <w:rPr>
          <w:rFonts w:asciiTheme="minorHAnsi" w:hAnsiTheme="minorHAnsi" w:cstheme="minorHAnsi"/>
        </w:rPr>
      </w:pPr>
      <w:r w:rsidRPr="000F510D">
        <w:rPr>
          <w:rFonts w:asciiTheme="minorHAnsi" w:hAnsiTheme="minorHAnsi" w:cstheme="minorHAnsi"/>
        </w:rPr>
        <w:t>Phase 1 data reporting indicates one (or more) of the following:  </w:t>
      </w:r>
    </w:p>
    <w:p w:rsidR="00FF51D4" w:rsidP="6DA6BCD4" w:rsidRDefault="00FF51D4" w14:paraId="0EC64D34" w14:textId="5E509536">
      <w:pPr>
        <w:pStyle w:val="ListParagraph"/>
        <w:numPr>
          <w:ilvl w:val="0"/>
          <w:numId w:val="5"/>
        </w:numPr>
        <w:shd w:val="clear" w:color="auto" w:fill="FFFFFF" w:themeFill="background1"/>
        <w:spacing w:before="100" w:beforeAutospacing="1" w:after="100" w:afterAutospacing="1" w:line="240" w:lineRule="auto"/>
        <w:textAlignment w:val="baseline"/>
        <w:rPr>
          <w:rFonts w:eastAsia="Times New Roman"/>
          <w:sz w:val="24"/>
          <w:szCs w:val="24"/>
        </w:rPr>
      </w:pPr>
      <w:r w:rsidRPr="6DA6BCD4">
        <w:rPr>
          <w:rFonts w:eastAsia="Times New Roman"/>
          <w:sz w:val="24"/>
          <w:szCs w:val="24"/>
        </w:rPr>
        <w:t xml:space="preserve">Dynamic rate bill savings: For at least 6 of the most recent 7 months, at least 75 percent of the installed customers on dynamic rates are reporting lower average electricity prices ($/kWh) </w:t>
      </w:r>
      <w:r w:rsidRPr="6DA6BCD4" w:rsidR="007B1DB9">
        <w:rPr>
          <w:rFonts w:eastAsia="Times New Roman"/>
          <w:sz w:val="24"/>
          <w:szCs w:val="24"/>
        </w:rPr>
        <w:t xml:space="preserve">for their charging </w:t>
      </w:r>
      <w:r w:rsidRPr="6DA6BCD4">
        <w:rPr>
          <w:rFonts w:eastAsia="Times New Roman"/>
          <w:sz w:val="24"/>
          <w:szCs w:val="24"/>
        </w:rPr>
        <w:t>on their dynamic rate than they would be reporting under the otherwise applicable (non-dynamic) default rate</w:t>
      </w:r>
      <w:r w:rsidR="008C55BC">
        <w:rPr>
          <w:rFonts w:eastAsia="Times New Roman"/>
          <w:sz w:val="24"/>
          <w:szCs w:val="24"/>
        </w:rPr>
        <w:t>.</w:t>
      </w:r>
      <w:r w:rsidRPr="6DA6BCD4">
        <w:rPr>
          <w:rFonts w:eastAsia="Times New Roman"/>
          <w:sz w:val="24"/>
          <w:szCs w:val="24"/>
        </w:rPr>
        <w:t> </w:t>
      </w:r>
    </w:p>
    <w:p w:rsidRPr="000F510D" w:rsidR="00487A51" w:rsidP="0092209C" w:rsidRDefault="00487A51" w14:paraId="122856F4" w14:textId="77777777">
      <w:pPr>
        <w:pStyle w:val="ListParagraph"/>
        <w:shd w:val="clear" w:color="auto" w:fill="FFFFFF" w:themeFill="background1"/>
        <w:spacing w:before="100" w:beforeAutospacing="1" w:after="100" w:afterAutospacing="1" w:line="240" w:lineRule="auto"/>
        <w:ind w:left="2160"/>
        <w:textAlignment w:val="baseline"/>
        <w:rPr>
          <w:rFonts w:eastAsia="Times New Roman"/>
          <w:sz w:val="24"/>
          <w:szCs w:val="24"/>
        </w:rPr>
      </w:pPr>
    </w:p>
    <w:p w:rsidR="00487A51" w:rsidP="00487A51" w:rsidRDefault="007B1DB9" w14:paraId="7C48CFA2" w14:textId="77777777">
      <w:pPr>
        <w:pStyle w:val="ListParagraph"/>
        <w:numPr>
          <w:ilvl w:val="0"/>
          <w:numId w:val="5"/>
        </w:numPr>
        <w:shd w:val="clear" w:color="auto" w:fill="FFFFFF" w:themeFill="background1"/>
        <w:spacing w:before="100" w:beforeAutospacing="1" w:after="100" w:afterAutospacing="1" w:line="240" w:lineRule="auto"/>
        <w:textAlignment w:val="baseline"/>
        <w:rPr>
          <w:rFonts w:eastAsia="Times New Roman"/>
          <w:sz w:val="24"/>
          <w:szCs w:val="24"/>
        </w:rPr>
      </w:pPr>
      <w:r w:rsidRPr="6DA6BCD4">
        <w:rPr>
          <w:rFonts w:eastAsia="Times New Roman"/>
          <w:sz w:val="24"/>
          <w:szCs w:val="24"/>
        </w:rPr>
        <w:t>Off peak integration</w:t>
      </w:r>
      <w:r w:rsidRPr="6DA6BCD4" w:rsidR="00FF51D4">
        <w:rPr>
          <w:rFonts w:eastAsia="Times New Roman"/>
          <w:sz w:val="24"/>
          <w:szCs w:val="24"/>
        </w:rPr>
        <w:t xml:space="preserve">: For at least 75 percent of the installed customers on dynamic rates, less than 5 percent of charging energy is consumed between </w:t>
      </w:r>
      <w:r w:rsidRPr="6DA6BCD4">
        <w:rPr>
          <w:rFonts w:eastAsia="Times New Roman"/>
          <w:sz w:val="24"/>
          <w:szCs w:val="24"/>
        </w:rPr>
        <w:t>4</w:t>
      </w:r>
      <w:r w:rsidRPr="6DA6BCD4" w:rsidR="006E3126">
        <w:rPr>
          <w:rFonts w:eastAsia="Times New Roman"/>
          <w:sz w:val="24"/>
          <w:szCs w:val="24"/>
        </w:rPr>
        <w:t xml:space="preserve"> p.m. </w:t>
      </w:r>
      <w:r w:rsidRPr="6DA6BCD4" w:rsidR="00555A9B">
        <w:rPr>
          <w:rFonts w:eastAsia="Times New Roman"/>
          <w:sz w:val="24"/>
          <w:szCs w:val="24"/>
        </w:rPr>
        <w:t xml:space="preserve">to </w:t>
      </w:r>
      <w:r w:rsidRPr="6DA6BCD4">
        <w:rPr>
          <w:rFonts w:eastAsia="Times New Roman"/>
          <w:sz w:val="24"/>
          <w:szCs w:val="24"/>
        </w:rPr>
        <w:t>9 p.m.</w:t>
      </w:r>
      <w:r w:rsidRPr="6DA6BCD4" w:rsidR="00FF51D4">
        <w:rPr>
          <w:rFonts w:eastAsia="Times New Roman"/>
          <w:sz w:val="24"/>
          <w:szCs w:val="24"/>
        </w:rPr>
        <w:t xml:space="preserve"> and at least </w:t>
      </w:r>
      <w:r w:rsidRPr="6DA6BCD4">
        <w:rPr>
          <w:rFonts w:eastAsia="Times New Roman"/>
          <w:sz w:val="24"/>
          <w:szCs w:val="24"/>
        </w:rPr>
        <w:t>20</w:t>
      </w:r>
      <w:r w:rsidRPr="6DA6BCD4" w:rsidR="00FF51D4">
        <w:rPr>
          <w:rFonts w:eastAsia="Times New Roman"/>
          <w:sz w:val="24"/>
          <w:szCs w:val="24"/>
        </w:rPr>
        <w:t xml:space="preserve"> percent of charging energy is consumed between </w:t>
      </w:r>
      <w:r w:rsidRPr="6DA6BCD4">
        <w:rPr>
          <w:rFonts w:eastAsia="Times New Roman"/>
          <w:sz w:val="24"/>
          <w:szCs w:val="24"/>
        </w:rPr>
        <w:t>7 a.m.</w:t>
      </w:r>
      <w:r w:rsidRPr="6DA6BCD4" w:rsidR="00555A9B">
        <w:rPr>
          <w:rFonts w:eastAsia="Times New Roman"/>
          <w:sz w:val="24"/>
          <w:szCs w:val="24"/>
        </w:rPr>
        <w:t xml:space="preserve"> to </w:t>
      </w:r>
      <w:r w:rsidRPr="6DA6BCD4">
        <w:rPr>
          <w:rFonts w:eastAsia="Times New Roman"/>
          <w:sz w:val="24"/>
          <w:szCs w:val="24"/>
        </w:rPr>
        <w:t xml:space="preserve">3 p.m. </w:t>
      </w:r>
      <w:r w:rsidRPr="6DA6BCD4" w:rsidR="00FF51D4">
        <w:rPr>
          <w:rFonts w:eastAsia="Times New Roman"/>
          <w:sz w:val="24"/>
          <w:szCs w:val="24"/>
        </w:rPr>
        <w:t>for at least 6 of the most recent 7 months (this</w:t>
      </w:r>
      <w:r w:rsidRPr="6DA6BCD4" w:rsidR="00555A9B">
        <w:rPr>
          <w:rFonts w:eastAsia="Times New Roman"/>
          <w:sz w:val="24"/>
          <w:szCs w:val="24"/>
        </w:rPr>
        <w:t xml:space="preserve"> latter</w:t>
      </w:r>
      <w:r w:rsidRPr="6DA6BCD4" w:rsidR="00FF51D4">
        <w:rPr>
          <w:rFonts w:eastAsia="Times New Roman"/>
          <w:sz w:val="24"/>
          <w:szCs w:val="24"/>
        </w:rPr>
        <w:t xml:space="preserve"> window is expanded to </w:t>
      </w:r>
      <w:r w:rsidRPr="6DA6BCD4">
        <w:rPr>
          <w:rFonts w:eastAsia="Times New Roman"/>
          <w:sz w:val="24"/>
          <w:szCs w:val="24"/>
        </w:rPr>
        <w:t>3 a.m.</w:t>
      </w:r>
      <w:r w:rsidRPr="6DA6BCD4" w:rsidR="004C26CF">
        <w:rPr>
          <w:rFonts w:eastAsia="Times New Roman"/>
          <w:sz w:val="24"/>
          <w:szCs w:val="24"/>
        </w:rPr>
        <w:t xml:space="preserve"> to </w:t>
      </w:r>
      <w:r w:rsidRPr="6DA6BCD4">
        <w:rPr>
          <w:rFonts w:eastAsia="Times New Roman"/>
          <w:sz w:val="24"/>
          <w:szCs w:val="24"/>
        </w:rPr>
        <w:t xml:space="preserve">3 p.m. </w:t>
      </w:r>
      <w:r w:rsidRPr="6DA6BCD4" w:rsidR="00FF51D4">
        <w:rPr>
          <w:rFonts w:eastAsia="Times New Roman"/>
          <w:sz w:val="24"/>
          <w:szCs w:val="24"/>
        </w:rPr>
        <w:t>for June-</w:t>
      </w:r>
      <w:r w:rsidRPr="6DA6BCD4" w:rsidR="004C26CF">
        <w:rPr>
          <w:rFonts w:eastAsia="Times New Roman"/>
          <w:sz w:val="24"/>
          <w:szCs w:val="24"/>
        </w:rPr>
        <w:t xml:space="preserve"> through </w:t>
      </w:r>
      <w:r w:rsidRPr="6DA6BCD4">
        <w:rPr>
          <w:rFonts w:eastAsia="Times New Roman"/>
          <w:sz w:val="24"/>
          <w:szCs w:val="24"/>
        </w:rPr>
        <w:t>October</w:t>
      </w:r>
      <w:r w:rsidRPr="6DA6BCD4" w:rsidR="00FF51D4">
        <w:rPr>
          <w:rFonts w:eastAsia="Times New Roman"/>
          <w:sz w:val="24"/>
          <w:szCs w:val="24"/>
        </w:rPr>
        <w:t>)</w:t>
      </w:r>
      <w:r w:rsidR="0047033F">
        <w:rPr>
          <w:rFonts w:eastAsia="Times New Roman"/>
          <w:sz w:val="24"/>
          <w:szCs w:val="24"/>
        </w:rPr>
        <w:t xml:space="preserve">. </w:t>
      </w:r>
    </w:p>
    <w:p w:rsidRPr="0092209C" w:rsidR="00487A51" w:rsidP="421F86C7" w:rsidRDefault="00487A51" w14:paraId="1052866C" w14:textId="77777777" w14:noSpellErr="1">
      <w:pPr>
        <w:pStyle w:val="ListParagraph"/>
        <w:jc w:val="center"/>
        <w:rPr>
          <w:rFonts w:eastAsia="Times New Roman"/>
          <w:sz w:val="24"/>
          <w:szCs w:val="24"/>
        </w:rPr>
      </w:pPr>
    </w:p>
    <w:p w:rsidRPr="0042764B" w:rsidR="00487A51" w:rsidP="00C37E5A" w:rsidRDefault="00C37E5A" w14:paraId="7AB52708" w14:textId="2274E8E1">
      <w:pPr>
        <w:pStyle w:val="ListParagraph"/>
        <w:shd w:val="clear" w:color="auto" w:fill="FFFFFF" w:themeFill="background1"/>
        <w:spacing w:after="0" w:line="240" w:lineRule="auto"/>
        <w:ind w:left="2160"/>
        <w:textAlignment w:val="baseline"/>
        <w:rPr>
          <w:rFonts w:eastAsia="Times New Roman"/>
          <w:b w:val="1"/>
          <w:bCs w:val="1"/>
          <w:sz w:val="24"/>
          <w:szCs w:val="24"/>
          <w:u w:val="single"/>
        </w:rPr>
      </w:pPr>
      <w:r w:rsidRPr="059DCC06" w:rsidR="00C37E5A">
        <w:rPr>
          <w:rFonts w:eastAsia="Times New Roman"/>
          <w:b w:val="1"/>
          <w:bCs w:val="1"/>
          <w:sz w:val="24"/>
          <w:szCs w:val="24"/>
          <w:u w:val="single"/>
        </w:rPr>
        <w:t>D</w:t>
      </w:r>
      <w:r w:rsidRPr="059DCC06" w:rsidR="0047033F">
        <w:rPr>
          <w:rFonts w:eastAsia="Times New Roman"/>
          <w:b w:val="1"/>
          <w:bCs w:val="1"/>
          <w:sz w:val="24"/>
          <w:szCs w:val="24"/>
          <w:u w:val="single"/>
        </w:rPr>
        <w:t>eployments integrated with</w:t>
      </w:r>
      <w:r w:rsidRPr="059DCC06" w:rsidR="008726F3">
        <w:rPr>
          <w:rFonts w:eastAsia="Times New Roman"/>
          <w:b w:val="1"/>
          <w:bCs w:val="1"/>
          <w:sz w:val="24"/>
          <w:szCs w:val="24"/>
          <w:u w:val="single"/>
        </w:rPr>
        <w:t xml:space="preserve"> onsite renewable generation</w:t>
      </w:r>
      <w:r w:rsidRPr="059DCC06" w:rsidR="009A0B47">
        <w:rPr>
          <w:rFonts w:eastAsia="Times New Roman"/>
          <w:b w:val="1"/>
          <w:bCs w:val="1"/>
          <w:sz w:val="24"/>
          <w:szCs w:val="24"/>
          <w:u w:val="single"/>
        </w:rPr>
        <w:t xml:space="preserve"> </w:t>
      </w:r>
      <w:r w:rsidRPr="059DCC06" w:rsidR="00C37E5A">
        <w:rPr>
          <w:rFonts w:eastAsia="Times New Roman"/>
          <w:b w:val="1"/>
          <w:bCs w:val="1"/>
          <w:sz w:val="24"/>
          <w:szCs w:val="24"/>
          <w:u w:val="single"/>
        </w:rPr>
        <w:t>may</w:t>
      </w:r>
      <w:r w:rsidRPr="059DCC06" w:rsidR="009A0B47">
        <w:rPr>
          <w:rFonts w:eastAsia="Times New Roman"/>
          <w:b w:val="1"/>
          <w:bCs w:val="1"/>
          <w:sz w:val="24"/>
          <w:szCs w:val="24"/>
          <w:u w:val="single"/>
        </w:rPr>
        <w:t xml:space="preserve"> exclude any charging energy supplied entirely by onsite renewable generation</w:t>
      </w:r>
      <w:r w:rsidRPr="059DCC06" w:rsidR="00387C5C">
        <w:rPr>
          <w:rFonts w:eastAsia="Times New Roman"/>
          <w:b w:val="1"/>
          <w:bCs w:val="1"/>
          <w:sz w:val="24"/>
          <w:szCs w:val="24"/>
          <w:u w:val="single"/>
        </w:rPr>
        <w:t xml:space="preserve"> </w:t>
      </w:r>
      <w:r w:rsidRPr="059DCC06" w:rsidR="009A0B47">
        <w:rPr>
          <w:rFonts w:eastAsia="Times New Roman"/>
          <w:b w:val="1"/>
          <w:bCs w:val="1"/>
          <w:sz w:val="24"/>
          <w:szCs w:val="24"/>
          <w:u w:val="single"/>
        </w:rPr>
        <w:t>from the hour of consumption requirements specified in section 3.II.b</w:t>
      </w:r>
      <w:r w:rsidRPr="059DCC06" w:rsidR="00C37E5A">
        <w:rPr>
          <w:rFonts w:eastAsia="Times New Roman"/>
          <w:b w:val="1"/>
          <w:bCs w:val="1"/>
          <w:sz w:val="24"/>
          <w:szCs w:val="24"/>
          <w:u w:val="single"/>
        </w:rPr>
        <w:t xml:space="preserve"> above</w:t>
      </w:r>
      <w:r w:rsidRPr="059DCC06" w:rsidR="009A0B47">
        <w:rPr>
          <w:rFonts w:eastAsia="Times New Roman"/>
          <w:b w:val="1"/>
          <w:bCs w:val="1"/>
          <w:sz w:val="24"/>
          <w:szCs w:val="24"/>
          <w:u w:val="single"/>
        </w:rPr>
        <w:t>.</w:t>
      </w:r>
      <w:r w:rsidRPr="059DCC06" w:rsidR="00C37E5A">
        <w:rPr>
          <w:rFonts w:eastAsia="Times New Roman"/>
          <w:b w:val="1"/>
          <w:bCs w:val="1"/>
          <w:sz w:val="24"/>
          <w:szCs w:val="24"/>
          <w:u w:val="single"/>
        </w:rPr>
        <w:t xml:space="preserve"> It is incumbent on the </w:t>
      </w:r>
      <w:r w:rsidRPr="059DCC06" w:rsidR="0042764B">
        <w:rPr>
          <w:rFonts w:eastAsia="Times New Roman"/>
          <w:b w:val="1"/>
          <w:bCs w:val="1"/>
          <w:sz w:val="24"/>
          <w:szCs w:val="24"/>
          <w:u w:val="single"/>
        </w:rPr>
        <w:t>grant r</w:t>
      </w:r>
      <w:r w:rsidRPr="059DCC06" w:rsidR="00C37E5A">
        <w:rPr>
          <w:rFonts w:eastAsia="Times New Roman"/>
          <w:b w:val="1"/>
          <w:bCs w:val="1"/>
          <w:sz w:val="24"/>
          <w:szCs w:val="24"/>
          <w:u w:val="single"/>
        </w:rPr>
        <w:t xml:space="preserve">ecipient to provide evidence </w:t>
      </w:r>
      <w:r w:rsidRPr="059DCC06" w:rsidR="00C37E5A">
        <w:rPr>
          <w:rFonts w:eastAsia="Times New Roman"/>
          <w:b w:val="1"/>
          <w:bCs w:val="1"/>
          <w:sz w:val="24"/>
          <w:szCs w:val="24"/>
          <w:u w:val="single"/>
        </w:rPr>
        <w:t xml:space="preserve">indicating that charging energy is supplied entirely by onsite renewable generation (e.g., photos, site wiring diagrams, inverter data, site controller data, and/or sub-hourly charging data). The </w:t>
      </w:r>
      <w:r w:rsidRPr="059DCC06" w:rsidR="005D4D41">
        <w:rPr>
          <w:rFonts w:eastAsia="Times New Roman"/>
          <w:b w:val="1"/>
          <w:bCs w:val="1"/>
          <w:sz w:val="24"/>
          <w:szCs w:val="24"/>
          <w:u w:val="single"/>
        </w:rPr>
        <w:t>CAM</w:t>
      </w:r>
      <w:r w:rsidRPr="059DCC06" w:rsidR="00C37E5A">
        <w:rPr>
          <w:rFonts w:eastAsia="Times New Roman"/>
          <w:b w:val="1"/>
          <w:bCs w:val="1"/>
          <w:sz w:val="24"/>
          <w:szCs w:val="24"/>
          <w:u w:val="single"/>
        </w:rPr>
        <w:t xml:space="preserve">, in their sole discretion, will determine </w:t>
      </w:r>
      <w:r w:rsidRPr="059DCC06" w:rsidR="005D4D41">
        <w:rPr>
          <w:rFonts w:eastAsia="Times New Roman"/>
          <w:b w:val="1"/>
          <w:bCs w:val="1"/>
          <w:sz w:val="24"/>
          <w:szCs w:val="24"/>
          <w:u w:val="single"/>
        </w:rPr>
        <w:t xml:space="preserve">whether </w:t>
      </w:r>
      <w:r w:rsidRPr="059DCC06" w:rsidR="00985744">
        <w:rPr>
          <w:rFonts w:eastAsia="Times New Roman"/>
          <w:b w:val="1"/>
          <w:bCs w:val="1"/>
          <w:sz w:val="24"/>
          <w:szCs w:val="24"/>
          <w:u w:val="single"/>
        </w:rPr>
        <w:t>charging energy is supplied entirely by onsite renewable generation</w:t>
      </w:r>
      <w:r w:rsidRPr="059DCC06" w:rsidR="00C37E5A">
        <w:rPr>
          <w:rFonts w:eastAsia="Times New Roman"/>
          <w:b w:val="1"/>
          <w:bCs w:val="1"/>
          <w:sz w:val="24"/>
          <w:szCs w:val="24"/>
          <w:u w:val="single"/>
        </w:rPr>
        <w:t xml:space="preserve"> such that that energy may be excluded from the hour of consumption requirement</w:t>
      </w:r>
      <w:r w:rsidRPr="059DCC06" w:rsidR="00A670C6">
        <w:rPr>
          <w:rFonts w:eastAsia="Times New Roman"/>
          <w:b w:val="1"/>
          <w:bCs w:val="1"/>
          <w:sz w:val="24"/>
          <w:szCs w:val="24"/>
          <w:u w:val="single"/>
        </w:rPr>
        <w:t>s</w:t>
      </w:r>
      <w:r w:rsidRPr="059DCC06" w:rsidR="00C37E5A">
        <w:rPr>
          <w:rFonts w:eastAsia="Times New Roman"/>
          <w:b w:val="1"/>
          <w:bCs w:val="1"/>
          <w:sz w:val="24"/>
          <w:szCs w:val="24"/>
          <w:u w:val="single"/>
        </w:rPr>
        <w:t>.</w:t>
      </w:r>
      <w:r w:rsidRPr="059DCC06" w:rsidR="00985744">
        <w:rPr>
          <w:rFonts w:eastAsia="Times New Roman"/>
          <w:b w:val="1"/>
          <w:bCs w:val="1"/>
          <w:sz w:val="24"/>
          <w:szCs w:val="24"/>
          <w:u w:val="single"/>
        </w:rPr>
        <w:t xml:space="preserve"> </w:t>
      </w:r>
    </w:p>
    <w:p w:rsidRPr="0092209C" w:rsidR="00487A51" w:rsidP="0092209C" w:rsidRDefault="00487A51" w14:paraId="5C93038F" w14:textId="77777777">
      <w:pPr>
        <w:pStyle w:val="ListParagraph"/>
        <w:shd w:val="clear" w:color="auto" w:fill="FFFFFF" w:themeFill="background1"/>
        <w:spacing w:after="0" w:line="240" w:lineRule="auto"/>
        <w:ind w:left="2160"/>
        <w:textAlignment w:val="baseline"/>
        <w:rPr>
          <w:rFonts w:eastAsia="Times New Roman"/>
          <w:sz w:val="24"/>
          <w:szCs w:val="24"/>
        </w:rPr>
      </w:pPr>
    </w:p>
    <w:p w:rsidR="00056CB3" w:rsidP="6DA6BCD4" w:rsidRDefault="00F138F4" w14:paraId="21D3D6D9" w14:textId="64DEB5B8">
      <w:pPr>
        <w:pStyle w:val="paragraph"/>
        <w:numPr>
          <w:ilvl w:val="0"/>
          <w:numId w:val="5"/>
        </w:numPr>
        <w:spacing w:before="0" w:beforeAutospacing="0" w:after="0" w:afterAutospacing="0"/>
        <w:textAlignment w:val="baseline"/>
        <w:rPr>
          <w:rFonts w:asciiTheme="minorHAnsi" w:hAnsiTheme="minorHAnsi" w:cstheme="minorBidi"/>
        </w:rPr>
      </w:pPr>
      <w:r w:rsidRPr="6DA6BCD4">
        <w:rPr>
          <w:rFonts w:asciiTheme="minorHAnsi" w:hAnsiTheme="minorHAnsi" w:cstheme="minorBidi"/>
        </w:rPr>
        <w:t>Bidirectional charging:</w:t>
      </w:r>
      <w:r w:rsidRPr="6DA6BCD4">
        <w:rPr>
          <w:rFonts w:asciiTheme="minorHAnsi" w:hAnsiTheme="minorHAnsi" w:cstheme="minorBidi"/>
          <w:b/>
          <w:bCs/>
        </w:rPr>
        <w:t xml:space="preserve"> </w:t>
      </w:r>
      <w:r w:rsidRPr="6DA6BCD4">
        <w:rPr>
          <w:rFonts w:asciiTheme="minorHAnsi" w:hAnsiTheme="minorHAnsi" w:cstheme="minorBidi"/>
        </w:rPr>
        <w:t>Applicant has completed at least 7 months of data collection and reporting for at least 75 percent of the originally planned bidirectional charging customer deployments. For at least 75</w:t>
      </w:r>
      <w:r w:rsidRPr="6DA6BCD4" w:rsidR="000D6DF9">
        <w:rPr>
          <w:rFonts w:asciiTheme="minorHAnsi" w:hAnsiTheme="minorHAnsi" w:cstheme="minorBidi"/>
        </w:rPr>
        <w:t xml:space="preserve"> percent</w:t>
      </w:r>
      <w:r w:rsidRPr="6DA6BCD4">
        <w:rPr>
          <w:rFonts w:asciiTheme="minorHAnsi" w:hAnsiTheme="minorHAnsi" w:cstheme="minorBidi"/>
        </w:rPr>
        <w:t xml:space="preserve"> of these deployments, the customer has exported power from the vehicle (islanded or grid-interactive load reductions) on at least 10 separate instances for at least 30 minutes per instance. At least 4 of these instances must have occurred in response to a grid emergency event signal (these include Emergency Load Reduction Program events, Demand Side Grid Support Program events, CAISO Energy Emergency Alerts, critical peak pricing events if the customer’s rate uses critical peak pricing, and any hour when the customer’s electricity rate exceeds $1/kWh). </w:t>
      </w:r>
    </w:p>
    <w:p w:rsidRPr="000F510D" w:rsidR="00FF51D4" w:rsidP="00056CB3" w:rsidRDefault="00F138F4" w14:paraId="0BBEF244" w14:textId="60651B44">
      <w:pPr>
        <w:pStyle w:val="paragraph"/>
        <w:spacing w:before="0" w:beforeAutospacing="0" w:after="0" w:afterAutospacing="0"/>
        <w:ind w:left="2160"/>
        <w:textAlignment w:val="baseline"/>
        <w:rPr>
          <w:rFonts w:asciiTheme="minorHAnsi" w:hAnsiTheme="minorHAnsi" w:cstheme="minorHAnsi"/>
        </w:rPr>
      </w:pPr>
      <w:r w:rsidRPr="00A278BC">
        <w:rPr>
          <w:rFonts w:asciiTheme="minorHAnsi" w:hAnsiTheme="minorHAnsi" w:cstheme="minorHAnsi"/>
        </w:rPr>
        <w:t> </w:t>
      </w:r>
    </w:p>
    <w:p w:rsidRPr="000F510D" w:rsidR="0091439B" w:rsidP="6DA6BCD4" w:rsidRDefault="00F138F4" w14:paraId="03CC5553" w14:textId="1DAE7FA5">
      <w:pPr>
        <w:pStyle w:val="paragraph"/>
        <w:numPr>
          <w:ilvl w:val="1"/>
          <w:numId w:val="1"/>
        </w:numPr>
        <w:spacing w:before="0" w:beforeAutospacing="0" w:after="0" w:afterAutospacing="0"/>
        <w:textAlignment w:val="baseline"/>
        <w:rPr>
          <w:rFonts w:asciiTheme="minorHAnsi" w:hAnsiTheme="minorHAnsi" w:cstheme="minorBidi"/>
        </w:rPr>
      </w:pPr>
      <w:r w:rsidRPr="6DA6BCD4">
        <w:rPr>
          <w:rFonts w:asciiTheme="minorHAnsi" w:hAnsiTheme="minorHAnsi" w:cstheme="minorBidi"/>
        </w:rPr>
        <w:t>Match funding is being spent at a pace commensurate with reimbursable funding. </w:t>
      </w:r>
    </w:p>
    <w:p w:rsidRPr="000F510D" w:rsidR="0091439B" w:rsidP="0091439B" w:rsidRDefault="0091439B" w14:paraId="7109F640" w14:textId="2638ECD6">
      <w:pPr>
        <w:pStyle w:val="paragraph"/>
        <w:spacing w:before="0" w:beforeAutospacing="0" w:after="0" w:afterAutospacing="0"/>
        <w:textAlignment w:val="baseline"/>
        <w:rPr>
          <w:rFonts w:asciiTheme="minorHAnsi" w:hAnsiTheme="minorHAnsi" w:cstheme="minorHAnsi"/>
        </w:rPr>
      </w:pPr>
    </w:p>
    <w:p w:rsidRPr="000F510D" w:rsidR="0091439B" w:rsidP="6DA6BCD4" w:rsidRDefault="00F138F4" w14:paraId="70E2A3AF" w14:textId="1B442B4F">
      <w:pPr>
        <w:pStyle w:val="paragraph"/>
        <w:numPr>
          <w:ilvl w:val="1"/>
          <w:numId w:val="1"/>
        </w:numPr>
        <w:spacing w:before="0" w:beforeAutospacing="0" w:after="0" w:afterAutospacing="0"/>
        <w:textAlignment w:val="baseline"/>
        <w:rPr>
          <w:rFonts w:asciiTheme="minorHAnsi" w:hAnsiTheme="minorHAnsi" w:cstheme="minorBidi"/>
        </w:rPr>
      </w:pPr>
      <w:r w:rsidRPr="6DA6BCD4">
        <w:rPr>
          <w:rFonts w:asciiTheme="minorHAnsi" w:hAnsiTheme="minorHAnsi" w:cstheme="minorBidi"/>
        </w:rPr>
        <w:t>As determined by the CAM, there are no project concerns including but not limited to lack of responsiveness from the</w:t>
      </w:r>
      <w:r w:rsidRPr="6DA6BCD4" w:rsidR="003712B8">
        <w:rPr>
          <w:rFonts w:asciiTheme="minorHAnsi" w:hAnsiTheme="minorHAnsi" w:cstheme="minorBidi"/>
        </w:rPr>
        <w:t xml:space="preserve"> </w:t>
      </w:r>
      <w:r w:rsidRPr="6DA6BCD4" w:rsidR="009D4B60">
        <w:rPr>
          <w:rFonts w:asciiTheme="minorHAnsi" w:hAnsiTheme="minorHAnsi" w:cstheme="minorBidi"/>
        </w:rPr>
        <w:t>R</w:t>
      </w:r>
      <w:r w:rsidRPr="6DA6BCD4" w:rsidR="003712B8">
        <w:rPr>
          <w:rFonts w:asciiTheme="minorHAnsi" w:hAnsiTheme="minorHAnsi" w:cstheme="minorBidi"/>
        </w:rPr>
        <w:t>ecipient and</w:t>
      </w:r>
      <w:r w:rsidRPr="6DA6BCD4" w:rsidR="00A01A3F">
        <w:rPr>
          <w:rFonts w:asciiTheme="minorHAnsi" w:hAnsiTheme="minorHAnsi" w:cstheme="minorBidi"/>
        </w:rPr>
        <w:t>/or</w:t>
      </w:r>
      <w:r w:rsidRPr="6DA6BCD4" w:rsidR="003712B8">
        <w:rPr>
          <w:rFonts w:asciiTheme="minorHAnsi" w:hAnsiTheme="minorHAnsi" w:cstheme="minorBidi"/>
        </w:rPr>
        <w:t xml:space="preserve"> </w:t>
      </w:r>
      <w:r w:rsidRPr="6DA6BCD4">
        <w:rPr>
          <w:rFonts w:asciiTheme="minorHAnsi" w:hAnsiTheme="minorHAnsi" w:cstheme="minorBidi"/>
        </w:rPr>
        <w:t xml:space="preserve">project team, </w:t>
      </w:r>
      <w:r w:rsidRPr="6DA6BCD4" w:rsidR="00523083">
        <w:rPr>
          <w:rFonts w:asciiTheme="minorHAnsi" w:hAnsiTheme="minorHAnsi" w:cstheme="minorBidi"/>
        </w:rPr>
        <w:t xml:space="preserve">reductions to the scope of work, inability to complete the scope of work within the </w:t>
      </w:r>
      <w:r w:rsidRPr="6DA6BCD4" w:rsidR="00BF68BA">
        <w:rPr>
          <w:rFonts w:asciiTheme="minorHAnsi" w:hAnsiTheme="minorHAnsi" w:cstheme="minorBidi"/>
        </w:rPr>
        <w:t>agreement</w:t>
      </w:r>
      <w:r w:rsidRPr="6DA6BCD4" w:rsidR="00523083">
        <w:rPr>
          <w:rFonts w:asciiTheme="minorHAnsi" w:hAnsiTheme="minorHAnsi" w:cstheme="minorBidi"/>
        </w:rPr>
        <w:t xml:space="preserve"> term, and inconsistent or incorrect data reporting. </w:t>
      </w:r>
    </w:p>
    <w:p w:rsidRPr="000F510D" w:rsidR="0091439B" w:rsidP="0091439B" w:rsidRDefault="0091439B" w14:paraId="58609FB2" w14:textId="0DDB5EB6">
      <w:pPr>
        <w:pStyle w:val="paragraph"/>
        <w:spacing w:before="0" w:beforeAutospacing="0" w:after="0" w:afterAutospacing="0"/>
        <w:textAlignment w:val="baseline"/>
        <w:rPr>
          <w:rFonts w:asciiTheme="minorHAnsi" w:hAnsiTheme="minorHAnsi" w:cstheme="minorHAnsi"/>
        </w:rPr>
      </w:pPr>
    </w:p>
    <w:p w:rsidR="00514E15" w:rsidP="00F138F4" w:rsidRDefault="00F138F4" w14:paraId="56C0ED38" w14:textId="210AA00D">
      <w:pPr>
        <w:pStyle w:val="ListParagraph"/>
        <w:numPr>
          <w:ilvl w:val="0"/>
          <w:numId w:val="1"/>
        </w:numPr>
        <w:spacing w:after="0" w:line="240" w:lineRule="auto"/>
        <w:rPr>
          <w:rStyle w:val="normaltextrun"/>
          <w:rFonts w:cstheme="minorHAnsi"/>
          <w:sz w:val="24"/>
          <w:szCs w:val="24"/>
        </w:rPr>
      </w:pPr>
      <w:r w:rsidRPr="000F510D">
        <w:rPr>
          <w:rStyle w:val="normaltextrun"/>
          <w:rFonts w:cstheme="minorHAnsi"/>
          <w:b/>
          <w:bCs/>
          <w:sz w:val="24"/>
          <w:szCs w:val="24"/>
        </w:rPr>
        <w:t xml:space="preserve">Recipient </w:t>
      </w:r>
      <w:r w:rsidR="000F510D">
        <w:rPr>
          <w:rStyle w:val="normaltextrun"/>
          <w:rFonts w:cstheme="minorHAnsi"/>
          <w:b/>
          <w:bCs/>
          <w:sz w:val="24"/>
          <w:szCs w:val="24"/>
        </w:rPr>
        <w:t>m</w:t>
      </w:r>
      <w:r w:rsidRPr="000F510D">
        <w:rPr>
          <w:rStyle w:val="normaltextrun"/>
          <w:rFonts w:cstheme="minorHAnsi"/>
          <w:b/>
          <w:bCs/>
          <w:sz w:val="24"/>
          <w:szCs w:val="24"/>
        </w:rPr>
        <w:t xml:space="preserve">ust </w:t>
      </w:r>
      <w:r w:rsidR="000F510D">
        <w:rPr>
          <w:rStyle w:val="normaltextrun"/>
          <w:rFonts w:cstheme="minorHAnsi"/>
          <w:b/>
          <w:bCs/>
          <w:sz w:val="24"/>
          <w:szCs w:val="24"/>
        </w:rPr>
        <w:t>n</w:t>
      </w:r>
      <w:r w:rsidRPr="000F510D">
        <w:rPr>
          <w:rStyle w:val="normaltextrun"/>
          <w:rFonts w:cstheme="minorHAnsi"/>
          <w:b/>
          <w:bCs/>
          <w:sz w:val="24"/>
          <w:szCs w:val="24"/>
        </w:rPr>
        <w:t>otify Co</w:t>
      </w:r>
      <w:r w:rsidRPr="000F510D" w:rsidR="000F510D">
        <w:rPr>
          <w:rStyle w:val="normaltextrun"/>
          <w:rFonts w:cstheme="minorHAnsi"/>
          <w:b/>
          <w:bCs/>
          <w:sz w:val="24"/>
          <w:szCs w:val="24"/>
        </w:rPr>
        <w:t xml:space="preserve">mmission Agreement Manager </w:t>
      </w:r>
      <w:r w:rsidR="000F510D">
        <w:rPr>
          <w:rStyle w:val="normaltextrun"/>
          <w:rFonts w:cstheme="minorHAnsi"/>
          <w:b/>
          <w:bCs/>
          <w:sz w:val="24"/>
          <w:szCs w:val="24"/>
        </w:rPr>
        <w:t>when it believes</w:t>
      </w:r>
      <w:r w:rsidRPr="000F510D" w:rsidR="000F510D">
        <w:rPr>
          <w:rStyle w:val="normaltextrun"/>
          <w:rFonts w:cstheme="minorHAnsi"/>
          <w:b/>
          <w:bCs/>
          <w:sz w:val="24"/>
          <w:szCs w:val="24"/>
        </w:rPr>
        <w:t xml:space="preserve"> </w:t>
      </w:r>
      <w:r w:rsidR="000F510D">
        <w:rPr>
          <w:rStyle w:val="normaltextrun"/>
          <w:rFonts w:cstheme="minorHAnsi"/>
          <w:b/>
          <w:bCs/>
          <w:sz w:val="24"/>
          <w:szCs w:val="24"/>
        </w:rPr>
        <w:t>it has a</w:t>
      </w:r>
      <w:r w:rsidRPr="000F510D" w:rsidR="000F510D">
        <w:rPr>
          <w:rStyle w:val="normaltextrun"/>
          <w:rFonts w:cstheme="minorHAnsi"/>
          <w:b/>
          <w:bCs/>
          <w:sz w:val="24"/>
          <w:szCs w:val="24"/>
        </w:rPr>
        <w:t xml:space="preserve">chieved Performance Metrics. </w:t>
      </w:r>
      <w:r w:rsidRPr="000F510D" w:rsidR="00514E15">
        <w:rPr>
          <w:rStyle w:val="normaltextrun"/>
          <w:rFonts w:cstheme="minorHAnsi"/>
          <w:sz w:val="24"/>
          <w:szCs w:val="24"/>
        </w:rPr>
        <w:t xml:space="preserve">If the Recipient believes their project has achieved the Performance Metrics, it is incumbent on the Recipient to </w:t>
      </w:r>
      <w:r w:rsidRPr="000F510D" w:rsidR="00F169E5">
        <w:rPr>
          <w:rStyle w:val="normaltextrun"/>
          <w:rFonts w:cstheme="minorHAnsi"/>
          <w:sz w:val="24"/>
          <w:szCs w:val="24"/>
        </w:rPr>
        <w:t>notify the Commission Agreement Manager (CAM) of that achievement.</w:t>
      </w:r>
      <w:r w:rsidRPr="000F510D" w:rsidR="00514E15">
        <w:rPr>
          <w:rStyle w:val="normaltextrun"/>
          <w:rFonts w:cstheme="minorHAnsi"/>
          <w:sz w:val="24"/>
          <w:szCs w:val="24"/>
        </w:rPr>
        <w:t xml:space="preserve"> The CAM will review appropriate documentation and data reporting to confirm the project’s Phase 2 eligibility. The CAM will separately confirm that CEC funding is available. If the CAM confirms both that the project is eligible for Phase 2 and that funding is available, the </w:t>
      </w:r>
      <w:r w:rsidRPr="000F510D" w:rsidR="00F169E5">
        <w:rPr>
          <w:rStyle w:val="normaltextrun"/>
          <w:rFonts w:cstheme="minorHAnsi"/>
          <w:sz w:val="24"/>
          <w:szCs w:val="24"/>
        </w:rPr>
        <w:t>Recipient must work with the CAM</w:t>
      </w:r>
      <w:r w:rsidRPr="000F510D" w:rsidR="00514E15">
        <w:rPr>
          <w:rStyle w:val="normaltextrun"/>
          <w:rFonts w:cstheme="minorHAnsi"/>
          <w:sz w:val="24"/>
          <w:szCs w:val="24"/>
        </w:rPr>
        <w:t xml:space="preserve"> to amend the project budget to incorporate expenses for </w:t>
      </w:r>
      <w:r w:rsidRPr="000F510D" w:rsidR="00F169E5">
        <w:rPr>
          <w:rStyle w:val="normaltextrun"/>
          <w:rFonts w:cstheme="minorHAnsi"/>
          <w:sz w:val="24"/>
          <w:szCs w:val="24"/>
        </w:rPr>
        <w:t>activities to be funded by the Potential Additional Funds</w:t>
      </w:r>
      <w:r w:rsidRPr="000F510D" w:rsidR="00514E15">
        <w:rPr>
          <w:rStyle w:val="normaltextrun"/>
          <w:rFonts w:cstheme="minorHAnsi"/>
          <w:sz w:val="24"/>
          <w:szCs w:val="24"/>
        </w:rPr>
        <w:t>.</w:t>
      </w:r>
    </w:p>
    <w:p w:rsidR="00551CCC" w:rsidP="00551CCC" w:rsidRDefault="00551CCC" w14:paraId="2FAAD2DD" w14:textId="752E25A0">
      <w:pPr>
        <w:spacing w:after="0" w:line="240" w:lineRule="auto"/>
        <w:rPr>
          <w:rFonts w:cstheme="minorHAnsi"/>
          <w:sz w:val="24"/>
          <w:szCs w:val="24"/>
        </w:rPr>
      </w:pPr>
    </w:p>
    <w:p w:rsidRPr="00551CCC" w:rsidR="00551CCC" w:rsidP="00551CCC" w:rsidRDefault="00551CCC" w14:paraId="127D7918" w14:textId="3407B153">
      <w:pPr>
        <w:pStyle w:val="ListParagraph"/>
        <w:numPr>
          <w:ilvl w:val="0"/>
          <w:numId w:val="1"/>
        </w:numPr>
        <w:spacing w:after="0" w:line="240" w:lineRule="auto"/>
        <w:rPr>
          <w:rFonts w:cstheme="minorHAnsi"/>
          <w:sz w:val="24"/>
          <w:szCs w:val="24"/>
        </w:rPr>
      </w:pPr>
      <w:r>
        <w:rPr>
          <w:rFonts w:cstheme="minorHAnsi"/>
          <w:b/>
          <w:bCs/>
          <w:sz w:val="24"/>
          <w:szCs w:val="24"/>
        </w:rPr>
        <w:t xml:space="preserve">Phase 2 Potential Additional Funds’ availability is contingent on CEC’s budget availability. </w:t>
      </w:r>
      <w:r>
        <w:rPr>
          <w:rFonts w:cstheme="minorHAnsi"/>
          <w:sz w:val="24"/>
          <w:szCs w:val="24"/>
        </w:rPr>
        <w:t xml:space="preserve">In issuing the solicitation for this Agreement, CEC is not certain that funds, including those for Phase 2 for any applicant, will be available to it. Availability of funds awarded by CEC are contingent upon fiscal appropriations by the State Legislature. </w:t>
      </w:r>
    </w:p>
    <w:p w:rsidRPr="00551CCC" w:rsidR="00551CCC" w:rsidP="00551CCC" w:rsidRDefault="00551CCC" w14:paraId="729B4B9B" w14:textId="77777777">
      <w:pPr>
        <w:pStyle w:val="ListParagraph"/>
        <w:rPr>
          <w:rFonts w:cstheme="minorHAnsi"/>
          <w:b/>
          <w:bCs/>
          <w:sz w:val="24"/>
          <w:szCs w:val="24"/>
        </w:rPr>
      </w:pPr>
    </w:p>
    <w:p w:rsidR="00551CCC" w:rsidP="6DA6BCD4" w:rsidRDefault="00551CCC" w14:paraId="5FFCE114" w14:textId="2399E776">
      <w:pPr>
        <w:pStyle w:val="ListParagraph"/>
        <w:numPr>
          <w:ilvl w:val="0"/>
          <w:numId w:val="1"/>
        </w:numPr>
        <w:spacing w:after="0" w:line="240" w:lineRule="auto"/>
        <w:rPr>
          <w:sz w:val="24"/>
          <w:szCs w:val="24"/>
        </w:rPr>
      </w:pPr>
      <w:r w:rsidRPr="6DA6BCD4">
        <w:rPr>
          <w:b/>
          <w:bCs/>
          <w:sz w:val="24"/>
          <w:szCs w:val="24"/>
        </w:rPr>
        <w:t xml:space="preserve">Phase 2 Potential Additional Funds will be awarded on a first-come, first-served basis. </w:t>
      </w:r>
      <w:r w:rsidRPr="6DA6BCD4">
        <w:rPr>
          <w:sz w:val="24"/>
          <w:szCs w:val="24"/>
        </w:rPr>
        <w:t xml:space="preserve">Even if a grant agreement is originally approved by the CEC for up to a certain amount, the Phase 2 funding, in addition to the other restrictions specified in these Special Terms and Conditions, will be available on a first-come, first-served basis. For example, a Recipient could achieve all </w:t>
      </w:r>
      <w:r w:rsidRPr="6DA6BCD4" w:rsidR="00020272">
        <w:rPr>
          <w:sz w:val="24"/>
          <w:szCs w:val="24"/>
        </w:rPr>
        <w:t>P</w:t>
      </w:r>
      <w:r w:rsidRPr="6DA6BCD4">
        <w:rPr>
          <w:sz w:val="24"/>
          <w:szCs w:val="24"/>
        </w:rPr>
        <w:t xml:space="preserve">erformance </w:t>
      </w:r>
      <w:r w:rsidRPr="6DA6BCD4" w:rsidR="00020272">
        <w:rPr>
          <w:sz w:val="24"/>
          <w:szCs w:val="24"/>
        </w:rPr>
        <w:t>M</w:t>
      </w:r>
      <w:r w:rsidRPr="6DA6BCD4">
        <w:rPr>
          <w:sz w:val="24"/>
          <w:szCs w:val="24"/>
        </w:rPr>
        <w:t xml:space="preserve">etrics, and still not be awarded Phase 2 funding if Phase 2 funding has already been exhausted by other Recipients. </w:t>
      </w:r>
    </w:p>
    <w:p w:rsidRPr="00B3246D" w:rsidR="00B3246D" w:rsidP="6DA6BCD4" w:rsidRDefault="00B3246D" w14:paraId="07CBD136" w14:textId="77777777">
      <w:pPr>
        <w:pStyle w:val="ListParagraph"/>
        <w:rPr>
          <w:sz w:val="24"/>
          <w:szCs w:val="24"/>
        </w:rPr>
      </w:pPr>
    </w:p>
    <w:p w:rsidR="00B3246D" w:rsidP="6DA6BCD4" w:rsidRDefault="00B3246D" w14:paraId="499C2F35" w14:textId="109011FC">
      <w:pPr>
        <w:pStyle w:val="ListParagraph"/>
        <w:numPr>
          <w:ilvl w:val="0"/>
          <w:numId w:val="1"/>
        </w:numPr>
        <w:spacing w:after="0" w:line="240" w:lineRule="auto"/>
        <w:rPr>
          <w:sz w:val="24"/>
          <w:szCs w:val="24"/>
        </w:rPr>
      </w:pPr>
      <w:r w:rsidRPr="6DA6BCD4">
        <w:rPr>
          <w:b/>
          <w:bCs/>
          <w:sz w:val="24"/>
          <w:szCs w:val="24"/>
        </w:rPr>
        <w:t xml:space="preserve">Priority of these Special Terms. </w:t>
      </w:r>
      <w:r w:rsidRPr="6DA6BCD4" w:rsidR="00A12DFD">
        <w:rPr>
          <w:sz w:val="24"/>
          <w:szCs w:val="24"/>
        </w:rPr>
        <w:t xml:space="preserve">In the event of any conflict or inconsistency between these </w:t>
      </w:r>
      <w:r w:rsidRPr="6DA6BCD4" w:rsidR="00602579">
        <w:rPr>
          <w:sz w:val="24"/>
          <w:szCs w:val="24"/>
        </w:rPr>
        <w:t>Special T</w:t>
      </w:r>
      <w:r w:rsidRPr="6DA6BCD4" w:rsidR="00A12DFD">
        <w:rPr>
          <w:sz w:val="24"/>
          <w:szCs w:val="24"/>
        </w:rPr>
        <w:t>erms</w:t>
      </w:r>
      <w:r w:rsidRPr="6DA6BCD4" w:rsidR="00602579">
        <w:rPr>
          <w:sz w:val="24"/>
          <w:szCs w:val="24"/>
        </w:rPr>
        <w:t xml:space="preserve"> and Conditions</w:t>
      </w:r>
      <w:r w:rsidRPr="6DA6BCD4" w:rsidR="00A12DFD">
        <w:rPr>
          <w:sz w:val="24"/>
          <w:szCs w:val="24"/>
        </w:rPr>
        <w:t xml:space="preserve"> and </w:t>
      </w:r>
      <w:r w:rsidRPr="6DA6BCD4" w:rsidR="00A32965">
        <w:rPr>
          <w:sz w:val="24"/>
          <w:szCs w:val="24"/>
        </w:rPr>
        <w:t xml:space="preserve">any other terms in this Agreement, these </w:t>
      </w:r>
      <w:r w:rsidRPr="6DA6BCD4" w:rsidR="00602579">
        <w:rPr>
          <w:sz w:val="24"/>
          <w:szCs w:val="24"/>
        </w:rPr>
        <w:t>Special T</w:t>
      </w:r>
      <w:r w:rsidRPr="6DA6BCD4" w:rsidR="00A32965">
        <w:rPr>
          <w:sz w:val="24"/>
          <w:szCs w:val="24"/>
        </w:rPr>
        <w:t xml:space="preserve">erms </w:t>
      </w:r>
      <w:r w:rsidRPr="6DA6BCD4" w:rsidR="00602579">
        <w:rPr>
          <w:sz w:val="24"/>
          <w:szCs w:val="24"/>
        </w:rPr>
        <w:t xml:space="preserve">and Conditions </w:t>
      </w:r>
      <w:r w:rsidRPr="6DA6BCD4" w:rsidR="00A32965">
        <w:rPr>
          <w:sz w:val="24"/>
          <w:szCs w:val="24"/>
        </w:rPr>
        <w:t xml:space="preserve">shall prevail. </w:t>
      </w:r>
    </w:p>
    <w:p w:rsidRPr="00A32965" w:rsidR="00A32965" w:rsidP="6DA6BCD4" w:rsidRDefault="00A32965" w14:paraId="674A1200" w14:textId="77777777">
      <w:pPr>
        <w:pStyle w:val="ListParagraph"/>
        <w:rPr>
          <w:sz w:val="24"/>
          <w:szCs w:val="24"/>
        </w:rPr>
      </w:pPr>
    </w:p>
    <w:p w:rsidRPr="00551CCC" w:rsidR="00A32965" w:rsidP="6DA6BCD4" w:rsidRDefault="00A32965" w14:paraId="785EC8CB" w14:textId="771FC5A8">
      <w:pPr>
        <w:pStyle w:val="ListParagraph"/>
        <w:numPr>
          <w:ilvl w:val="0"/>
          <w:numId w:val="1"/>
        </w:numPr>
        <w:spacing w:after="0" w:line="240" w:lineRule="auto"/>
        <w:rPr>
          <w:sz w:val="24"/>
          <w:szCs w:val="24"/>
        </w:rPr>
      </w:pPr>
      <w:r w:rsidRPr="6DA6BCD4">
        <w:rPr>
          <w:b/>
          <w:bCs/>
          <w:sz w:val="24"/>
          <w:szCs w:val="24"/>
        </w:rPr>
        <w:t xml:space="preserve">Severability. </w:t>
      </w:r>
      <w:r w:rsidR="0011320C">
        <w:t xml:space="preserve">If any provision of these Special Terms and Conditions is </w:t>
      </w:r>
      <w:r w:rsidR="0082329C">
        <w:t xml:space="preserve">invalid, the remainder of the provisions shall not be affected. </w:t>
      </w:r>
    </w:p>
    <w:sectPr w:rsidRPr="00551CCC" w:rsidR="00A32965">
      <w:footerReference w:type="default" r:id="rId10"/>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48CA" w:rsidP="00105A8B" w:rsidRDefault="00F148CA" w14:paraId="74577859" w14:textId="77777777">
      <w:pPr>
        <w:spacing w:after="0" w:line="240" w:lineRule="auto"/>
      </w:pPr>
      <w:r>
        <w:separator/>
      </w:r>
    </w:p>
  </w:endnote>
  <w:endnote w:type="continuationSeparator" w:id="0">
    <w:p w:rsidR="00F148CA" w:rsidP="00105A8B" w:rsidRDefault="00F148CA" w14:paraId="5170E771" w14:textId="77777777">
      <w:pPr>
        <w:spacing w:after="0" w:line="240" w:lineRule="auto"/>
      </w:pPr>
      <w:r>
        <w:continuationSeparator/>
      </w:r>
    </w:p>
  </w:endnote>
  <w:endnote w:type="continuationNotice" w:id="1">
    <w:p w:rsidR="00F148CA" w:rsidRDefault="00F148CA" w14:paraId="093C7CD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3840" w:rsidR="00957C6D" w:rsidP="00957C6D" w:rsidRDefault="0027301C" w14:paraId="49ABC8FC" w14:textId="29693ABA">
    <w:pPr>
      <w:pStyle w:val="Footer"/>
      <w:rPr>
        <w:rFonts w:ascii="Arial" w:hAnsi="Arial" w:cs="Arial"/>
        <w:sz w:val="20"/>
      </w:rPr>
    </w:pPr>
    <w:r>
      <w:rPr>
        <w:rFonts w:ascii="Arial" w:hAnsi="Arial" w:cs="Arial"/>
        <w:b/>
        <w:bCs/>
        <w:sz w:val="20"/>
        <w:u w:val="single"/>
      </w:rPr>
      <w:t>April 2023</w:t>
    </w:r>
    <w:r w:rsidRPr="0027301C">
      <w:rPr>
        <w:rFonts w:ascii="Arial" w:hAnsi="Arial" w:cs="Arial"/>
        <w:sz w:val="20"/>
      </w:rPr>
      <w:t xml:space="preserve"> </w:t>
    </w:r>
    <w:r>
      <w:rPr>
        <w:rFonts w:ascii="Arial" w:hAnsi="Arial" w:cs="Arial"/>
        <w:sz w:val="20"/>
      </w:rPr>
      <w:t>[</w:t>
    </w:r>
    <w:r w:rsidRPr="0027301C" w:rsidR="00233840">
      <w:rPr>
        <w:rFonts w:ascii="Arial" w:hAnsi="Arial" w:cs="Arial"/>
        <w:strike/>
        <w:sz w:val="20"/>
      </w:rPr>
      <w:t xml:space="preserve">February </w:t>
    </w:r>
    <w:r w:rsidRPr="0027301C" w:rsidR="00957C6D">
      <w:rPr>
        <w:rFonts w:ascii="Arial" w:hAnsi="Arial" w:cs="Arial"/>
        <w:strike/>
        <w:sz w:val="20"/>
      </w:rPr>
      <w:t>2023</w:t>
    </w:r>
    <w:r>
      <w:rPr>
        <w:rFonts w:ascii="Arial" w:hAnsi="Arial" w:cs="Arial"/>
        <w:strike/>
        <w:sz w:val="20"/>
      </w:rPr>
      <w:t>]</w:t>
    </w:r>
    <w:r w:rsidRPr="00233840" w:rsidR="00957C6D">
      <w:rPr>
        <w:rFonts w:ascii="Arial" w:hAnsi="Arial" w:cs="Arial"/>
      </w:rPr>
      <w:tab/>
    </w:r>
    <w:r w:rsidRPr="00233840" w:rsidR="00957C6D">
      <w:rPr>
        <w:rFonts w:ascii="Arial" w:hAnsi="Arial" w:cs="Arial"/>
        <w:sz w:val="20"/>
      </w:rPr>
      <w:t xml:space="preserve">Page </w:t>
    </w:r>
    <w:r w:rsidRPr="00233840" w:rsidR="00957C6D">
      <w:rPr>
        <w:rFonts w:ascii="Arial" w:hAnsi="Arial" w:cs="Arial"/>
        <w:sz w:val="20"/>
      </w:rPr>
      <w:fldChar w:fldCharType="begin"/>
    </w:r>
    <w:r w:rsidRPr="00233840" w:rsidR="00957C6D">
      <w:rPr>
        <w:rFonts w:ascii="Arial" w:hAnsi="Arial" w:cs="Arial"/>
        <w:sz w:val="20"/>
      </w:rPr>
      <w:instrText xml:space="preserve"> PAGE </w:instrText>
    </w:r>
    <w:r w:rsidRPr="00233840" w:rsidR="00957C6D">
      <w:rPr>
        <w:rFonts w:ascii="Arial" w:hAnsi="Arial" w:cs="Arial"/>
        <w:sz w:val="20"/>
      </w:rPr>
      <w:fldChar w:fldCharType="separate"/>
    </w:r>
    <w:r w:rsidRPr="00233840" w:rsidR="00957C6D">
      <w:rPr>
        <w:rFonts w:ascii="Arial" w:hAnsi="Arial" w:cs="Arial"/>
        <w:sz w:val="20"/>
      </w:rPr>
      <w:t>2</w:t>
    </w:r>
    <w:r w:rsidRPr="00233840" w:rsidR="00957C6D">
      <w:rPr>
        <w:rFonts w:ascii="Arial" w:hAnsi="Arial" w:cs="Arial"/>
        <w:sz w:val="20"/>
      </w:rPr>
      <w:fldChar w:fldCharType="end"/>
    </w:r>
    <w:r w:rsidRPr="00233840" w:rsidR="00957C6D">
      <w:rPr>
        <w:rFonts w:ascii="Arial" w:hAnsi="Arial" w:cs="Arial"/>
        <w:sz w:val="20"/>
      </w:rPr>
      <w:t xml:space="preserve"> of </w:t>
    </w:r>
    <w:r w:rsidRPr="00233840" w:rsidR="00957C6D">
      <w:rPr>
        <w:rFonts w:ascii="Arial" w:hAnsi="Arial" w:cs="Arial"/>
        <w:sz w:val="20"/>
      </w:rPr>
      <w:fldChar w:fldCharType="begin"/>
    </w:r>
    <w:r w:rsidRPr="00233840" w:rsidR="00957C6D">
      <w:rPr>
        <w:rFonts w:ascii="Arial" w:hAnsi="Arial" w:cs="Arial"/>
        <w:sz w:val="20"/>
      </w:rPr>
      <w:instrText xml:space="preserve"> NUMPAGES  </w:instrText>
    </w:r>
    <w:r w:rsidRPr="00233840" w:rsidR="00957C6D">
      <w:rPr>
        <w:rFonts w:ascii="Arial" w:hAnsi="Arial" w:cs="Arial"/>
        <w:sz w:val="20"/>
      </w:rPr>
      <w:fldChar w:fldCharType="separate"/>
    </w:r>
    <w:r w:rsidRPr="00233840" w:rsidR="00957C6D">
      <w:rPr>
        <w:rFonts w:ascii="Arial" w:hAnsi="Arial" w:cs="Arial"/>
        <w:sz w:val="20"/>
      </w:rPr>
      <w:t>38</w:t>
    </w:r>
    <w:r w:rsidRPr="00233840" w:rsidR="00957C6D">
      <w:rPr>
        <w:rFonts w:ascii="Arial" w:hAnsi="Arial" w:cs="Arial"/>
        <w:sz w:val="20"/>
      </w:rPr>
      <w:fldChar w:fldCharType="end"/>
    </w:r>
    <w:r w:rsidRPr="00233840" w:rsidR="00957C6D">
      <w:rPr>
        <w:rFonts w:ascii="Arial" w:hAnsi="Arial" w:cs="Arial"/>
      </w:rPr>
      <w:tab/>
    </w:r>
    <w:r w:rsidRPr="00233840" w:rsidR="00957C6D">
      <w:rPr>
        <w:rFonts w:ascii="Arial" w:hAnsi="Arial" w:cs="Arial"/>
        <w:sz w:val="20"/>
      </w:rPr>
      <w:t>GFO-22-609</w:t>
    </w:r>
  </w:p>
  <w:p w:rsidRPr="00233840" w:rsidR="00957C6D" w:rsidP="00957C6D" w:rsidRDefault="00957C6D" w14:paraId="5E4A44A3" w14:textId="1391CF19">
    <w:pPr>
      <w:pStyle w:val="Footer"/>
      <w:tabs>
        <w:tab w:val="center" w:pos="5040"/>
      </w:tabs>
      <w:rPr>
        <w:rFonts w:ascii="Arial" w:hAnsi="Arial" w:cs="Arial"/>
        <w:sz w:val="20"/>
      </w:rPr>
    </w:pPr>
    <w:r w:rsidRPr="00233840">
      <w:rPr>
        <w:rFonts w:ascii="Arial" w:hAnsi="Arial" w:cs="Arial"/>
        <w:sz w:val="20"/>
      </w:rPr>
      <w:tab/>
    </w:r>
    <w:r w:rsidRPr="00233840">
      <w:rPr>
        <w:rFonts w:ascii="Arial" w:hAnsi="Arial" w:cs="Arial"/>
        <w:sz w:val="20"/>
      </w:rPr>
      <w:t>Attachment 09</w:t>
    </w:r>
    <w:r w:rsidRPr="00233840" w:rsidR="003D7DD6">
      <w:rPr>
        <w:rFonts w:ascii="Arial" w:hAnsi="Arial" w:cs="Arial"/>
        <w:sz w:val="20"/>
      </w:rPr>
      <w:t>b</w:t>
    </w:r>
    <w:r w:rsidRPr="00233840">
      <w:rPr>
        <w:rFonts w:ascii="Arial" w:hAnsi="Arial" w:cs="Arial"/>
        <w:sz w:val="20"/>
      </w:rPr>
      <w:t xml:space="preserve"> - </w:t>
    </w:r>
    <w:r w:rsidRPr="00233840" w:rsidR="00233840">
      <w:rPr>
        <w:rFonts w:ascii="Arial" w:hAnsi="Arial" w:cs="Arial"/>
        <w:sz w:val="20"/>
      </w:rPr>
      <w:t>Special Terms and Conditions</w:t>
    </w:r>
    <w:r w:rsidRPr="00233840">
      <w:rPr>
        <w:rFonts w:ascii="Arial" w:hAnsi="Arial" w:cs="Arial"/>
        <w:sz w:val="20"/>
      </w:rPr>
      <w:tab/>
    </w:r>
    <w:r w:rsidRPr="00233840">
      <w:rPr>
        <w:rFonts w:ascii="Arial" w:hAnsi="Arial" w:cs="Arial"/>
        <w:sz w:val="20"/>
      </w:rPr>
      <w:t>REDWDS</w:t>
    </w:r>
  </w:p>
  <w:p w:rsidR="3E33A245" w:rsidP="00957C6D" w:rsidRDefault="3E33A245" w14:paraId="467CFA2B" w14:textId="6E2BC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48CA" w:rsidP="00105A8B" w:rsidRDefault="00F148CA" w14:paraId="3D880902" w14:textId="77777777">
      <w:pPr>
        <w:spacing w:after="0" w:line="240" w:lineRule="auto"/>
      </w:pPr>
      <w:r>
        <w:separator/>
      </w:r>
    </w:p>
  </w:footnote>
  <w:footnote w:type="continuationSeparator" w:id="0">
    <w:p w:rsidR="00F148CA" w:rsidP="00105A8B" w:rsidRDefault="00F148CA" w14:paraId="553B6B4A" w14:textId="77777777">
      <w:pPr>
        <w:spacing w:after="0" w:line="240" w:lineRule="auto"/>
      </w:pPr>
      <w:r>
        <w:continuationSeparator/>
      </w:r>
    </w:p>
  </w:footnote>
  <w:footnote w:type="continuationNotice" w:id="1">
    <w:p w:rsidR="00F148CA" w:rsidRDefault="00F148CA" w14:paraId="22203B5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2384"/>
    <w:multiLevelType w:val="multilevel"/>
    <w:tmpl w:val="4F18AFE0"/>
    <w:lvl w:ilvl="0">
      <w:start w:val="2"/>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 w15:restartNumberingAfterBreak="0">
    <w:nsid w:val="332E37B3"/>
    <w:multiLevelType w:val="multilevel"/>
    <w:tmpl w:val="3014D3D4"/>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 w15:restartNumberingAfterBreak="0">
    <w:nsid w:val="3A7D0B50"/>
    <w:multiLevelType w:val="multilevel"/>
    <w:tmpl w:val="625A85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4F3851"/>
    <w:multiLevelType w:val="hybridMultilevel"/>
    <w:tmpl w:val="F3DC09FE"/>
    <w:lvl w:ilvl="0" w:tplc="2EB05C42">
      <w:start w:val="1"/>
      <w:numFmt w:val="decimal"/>
      <w:lvlText w:val="%1."/>
      <w:lvlJc w:val="left"/>
      <w:pPr>
        <w:ind w:left="1080" w:hanging="360"/>
      </w:pPr>
      <w:rPr>
        <w:rFonts w:hint="default"/>
      </w:rPr>
    </w:lvl>
    <w:lvl w:ilvl="1" w:tplc="A33E1B2A">
      <w:start w:val="1"/>
      <w:numFmt w:val="upperRoman"/>
      <w:lvlText w:val="%2."/>
      <w:lvlJc w:val="left"/>
      <w:pPr>
        <w:ind w:left="1800" w:hanging="360"/>
      </w:pPr>
      <w:rPr>
        <w:rFonts w:ascii="Arial" w:hAnsi="Arial" w:eastAsia="Times New Roman" w:cs="Arial"/>
      </w:rPr>
    </w:lvl>
    <w:lvl w:ilvl="2" w:tplc="FE6883BA">
      <w:start w:val="2"/>
      <w:numFmt w:val="lowerRoman"/>
      <w:lvlText w:val="%3."/>
      <w:lvlJc w:val="left"/>
      <w:pPr>
        <w:ind w:left="3060" w:hanging="720"/>
      </w:pPr>
      <w:rPr>
        <w:rFonts w:hint="default"/>
        <w:color w:val="498205"/>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233BFB"/>
    <w:multiLevelType w:val="hybridMultilevel"/>
    <w:tmpl w:val="6AFE2F8E"/>
    <w:lvl w:ilvl="0" w:tplc="E93EA43E">
      <w:start w:val="1"/>
      <w:numFmt w:val="lowerLetter"/>
      <w:lvlText w:val="%1."/>
      <w:lvlJc w:val="left"/>
      <w:pPr>
        <w:ind w:left="2160" w:hanging="360"/>
      </w:pPr>
      <w:rPr>
        <w:rFonts w:hint="default" w:eastAsia="Times New Roman" w:asciiTheme="minorHAnsi" w:hAnsiTheme="minorHAnsi" w:cstheme="minorHAnsi"/>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26971226">
    <w:abstractNumId w:val="3"/>
  </w:num>
  <w:num w:numId="2" w16cid:durableId="1535264226">
    <w:abstractNumId w:val="1"/>
  </w:num>
  <w:num w:numId="3" w16cid:durableId="1160534795">
    <w:abstractNumId w:val="0"/>
  </w:num>
  <w:num w:numId="4" w16cid:durableId="943653052">
    <w:abstractNumId w:val="2"/>
  </w:num>
  <w:num w:numId="5" w16cid:durableId="789276962">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FD"/>
    <w:rsid w:val="00012008"/>
    <w:rsid w:val="00020272"/>
    <w:rsid w:val="00056CB3"/>
    <w:rsid w:val="000960F1"/>
    <w:rsid w:val="000C48F1"/>
    <w:rsid w:val="000D6DF9"/>
    <w:rsid w:val="000F510D"/>
    <w:rsid w:val="00105A8B"/>
    <w:rsid w:val="0011320C"/>
    <w:rsid w:val="00121022"/>
    <w:rsid w:val="00144A3F"/>
    <w:rsid w:val="00144AE3"/>
    <w:rsid w:val="001A0FC3"/>
    <w:rsid w:val="001C422B"/>
    <w:rsid w:val="00227CB3"/>
    <w:rsid w:val="00233840"/>
    <w:rsid w:val="00242532"/>
    <w:rsid w:val="00254D43"/>
    <w:rsid w:val="00264146"/>
    <w:rsid w:val="0027301C"/>
    <w:rsid w:val="0027538D"/>
    <w:rsid w:val="00326729"/>
    <w:rsid w:val="003274F8"/>
    <w:rsid w:val="003472C6"/>
    <w:rsid w:val="0036559E"/>
    <w:rsid w:val="003712B8"/>
    <w:rsid w:val="00387C5C"/>
    <w:rsid w:val="003D7DD6"/>
    <w:rsid w:val="003E35D0"/>
    <w:rsid w:val="0042764B"/>
    <w:rsid w:val="00457635"/>
    <w:rsid w:val="0047033F"/>
    <w:rsid w:val="00487A51"/>
    <w:rsid w:val="004C26CF"/>
    <w:rsid w:val="00514495"/>
    <w:rsid w:val="00514E15"/>
    <w:rsid w:val="00523083"/>
    <w:rsid w:val="00541C06"/>
    <w:rsid w:val="00551CCC"/>
    <w:rsid w:val="00555A9B"/>
    <w:rsid w:val="00583B34"/>
    <w:rsid w:val="005D4D41"/>
    <w:rsid w:val="005F26A6"/>
    <w:rsid w:val="00602579"/>
    <w:rsid w:val="006107A1"/>
    <w:rsid w:val="0062154A"/>
    <w:rsid w:val="00625980"/>
    <w:rsid w:val="006944F7"/>
    <w:rsid w:val="006E3126"/>
    <w:rsid w:val="0073118A"/>
    <w:rsid w:val="007450F2"/>
    <w:rsid w:val="00746C78"/>
    <w:rsid w:val="00753E3A"/>
    <w:rsid w:val="007623CD"/>
    <w:rsid w:val="007A04E7"/>
    <w:rsid w:val="007B1DB9"/>
    <w:rsid w:val="0080556E"/>
    <w:rsid w:val="0082329C"/>
    <w:rsid w:val="008402CD"/>
    <w:rsid w:val="0084439D"/>
    <w:rsid w:val="00855FD4"/>
    <w:rsid w:val="008726F3"/>
    <w:rsid w:val="00885B7D"/>
    <w:rsid w:val="008C55BC"/>
    <w:rsid w:val="0091439B"/>
    <w:rsid w:val="009153D1"/>
    <w:rsid w:val="0092209C"/>
    <w:rsid w:val="00927460"/>
    <w:rsid w:val="00957C6D"/>
    <w:rsid w:val="00980F0D"/>
    <w:rsid w:val="00985744"/>
    <w:rsid w:val="00985C4F"/>
    <w:rsid w:val="009A0B47"/>
    <w:rsid w:val="009D4B60"/>
    <w:rsid w:val="009F384B"/>
    <w:rsid w:val="00A01A3F"/>
    <w:rsid w:val="00A12DFD"/>
    <w:rsid w:val="00A278BC"/>
    <w:rsid w:val="00A32965"/>
    <w:rsid w:val="00A60035"/>
    <w:rsid w:val="00A670C6"/>
    <w:rsid w:val="00A771FC"/>
    <w:rsid w:val="00A8087A"/>
    <w:rsid w:val="00A84B51"/>
    <w:rsid w:val="00AE01E9"/>
    <w:rsid w:val="00AE4847"/>
    <w:rsid w:val="00AF2B18"/>
    <w:rsid w:val="00B1588F"/>
    <w:rsid w:val="00B220A7"/>
    <w:rsid w:val="00B24847"/>
    <w:rsid w:val="00B3246D"/>
    <w:rsid w:val="00B83D97"/>
    <w:rsid w:val="00BA4C9A"/>
    <w:rsid w:val="00BC5F62"/>
    <w:rsid w:val="00BF68BA"/>
    <w:rsid w:val="00C104E0"/>
    <w:rsid w:val="00C2440D"/>
    <w:rsid w:val="00C27521"/>
    <w:rsid w:val="00C37E5A"/>
    <w:rsid w:val="00CD05FD"/>
    <w:rsid w:val="00CE12B6"/>
    <w:rsid w:val="00CE262A"/>
    <w:rsid w:val="00D1233D"/>
    <w:rsid w:val="00DA6843"/>
    <w:rsid w:val="00E06A0F"/>
    <w:rsid w:val="00E456B6"/>
    <w:rsid w:val="00EF1F58"/>
    <w:rsid w:val="00F138F4"/>
    <w:rsid w:val="00F148CA"/>
    <w:rsid w:val="00F169E5"/>
    <w:rsid w:val="00F22BC5"/>
    <w:rsid w:val="00F24402"/>
    <w:rsid w:val="00F90D3B"/>
    <w:rsid w:val="00F93E17"/>
    <w:rsid w:val="00FD0717"/>
    <w:rsid w:val="00FF51D4"/>
    <w:rsid w:val="02C121C7"/>
    <w:rsid w:val="059DCC06"/>
    <w:rsid w:val="0FE712DB"/>
    <w:rsid w:val="1625D32C"/>
    <w:rsid w:val="3E33A245"/>
    <w:rsid w:val="421F86C7"/>
    <w:rsid w:val="55A4DB11"/>
    <w:rsid w:val="58082E90"/>
    <w:rsid w:val="62E60450"/>
    <w:rsid w:val="6A3021ED"/>
    <w:rsid w:val="6DA6BCD4"/>
    <w:rsid w:val="74AF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ECA31"/>
  <w15:chartTrackingRefBased/>
  <w15:docId w15:val="{0D8FE04C-BDDF-42B0-BB51-7C2D325E74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A04E7"/>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7A04E7"/>
  </w:style>
  <w:style w:type="character" w:styleId="findhit" w:customStyle="1">
    <w:name w:val="findhit"/>
    <w:basedOn w:val="DefaultParagraphFont"/>
    <w:rsid w:val="007A04E7"/>
  </w:style>
  <w:style w:type="character" w:styleId="eop" w:customStyle="1">
    <w:name w:val="eop"/>
    <w:basedOn w:val="DefaultParagraphFont"/>
    <w:rsid w:val="007A04E7"/>
  </w:style>
  <w:style w:type="paragraph" w:styleId="ListParagraph">
    <w:name w:val="List Paragraph"/>
    <w:basedOn w:val="Normal"/>
    <w:uiPriority w:val="34"/>
    <w:qFormat/>
    <w:rsid w:val="00980F0D"/>
    <w:pPr>
      <w:ind w:left="720"/>
      <w:contextualSpacing/>
    </w:pPr>
  </w:style>
  <w:style w:type="character" w:styleId="contextualspellingandgrammarerror" w:customStyle="1">
    <w:name w:val="contextualspellingandgrammarerror"/>
    <w:basedOn w:val="DefaultParagraphFont"/>
    <w:rsid w:val="00A278BC"/>
  </w:style>
  <w:style w:type="character" w:styleId="CommentReference">
    <w:name w:val="annotation reference"/>
    <w:basedOn w:val="DefaultParagraphFont"/>
    <w:uiPriority w:val="99"/>
    <w:semiHidden/>
    <w:unhideWhenUsed/>
    <w:rsid w:val="00056CB3"/>
    <w:rPr>
      <w:sz w:val="16"/>
      <w:szCs w:val="16"/>
    </w:rPr>
  </w:style>
  <w:style w:type="paragraph" w:styleId="CommentText">
    <w:name w:val="annotation text"/>
    <w:basedOn w:val="Normal"/>
    <w:link w:val="CommentTextChar"/>
    <w:uiPriority w:val="99"/>
    <w:unhideWhenUsed/>
    <w:rsid w:val="00056CB3"/>
    <w:pPr>
      <w:spacing w:line="240" w:lineRule="auto"/>
    </w:pPr>
    <w:rPr>
      <w:sz w:val="20"/>
      <w:szCs w:val="20"/>
    </w:rPr>
  </w:style>
  <w:style w:type="character" w:styleId="CommentTextChar" w:customStyle="1">
    <w:name w:val="Comment Text Char"/>
    <w:basedOn w:val="DefaultParagraphFont"/>
    <w:link w:val="CommentText"/>
    <w:uiPriority w:val="99"/>
    <w:rsid w:val="00056CB3"/>
    <w:rPr>
      <w:sz w:val="20"/>
      <w:szCs w:val="20"/>
    </w:rPr>
  </w:style>
  <w:style w:type="paragraph" w:styleId="CommentSubject">
    <w:name w:val="annotation subject"/>
    <w:basedOn w:val="CommentText"/>
    <w:next w:val="CommentText"/>
    <w:link w:val="CommentSubjectChar"/>
    <w:uiPriority w:val="99"/>
    <w:semiHidden/>
    <w:unhideWhenUsed/>
    <w:rsid w:val="00056CB3"/>
    <w:rPr>
      <w:b/>
      <w:bCs/>
    </w:rPr>
  </w:style>
  <w:style w:type="character" w:styleId="CommentSubjectChar" w:customStyle="1">
    <w:name w:val="Comment Subject Char"/>
    <w:basedOn w:val="CommentTextChar"/>
    <w:link w:val="CommentSubject"/>
    <w:uiPriority w:val="99"/>
    <w:semiHidden/>
    <w:rsid w:val="00056CB3"/>
    <w:rPr>
      <w:b/>
      <w:bCs/>
      <w:sz w:val="20"/>
      <w:szCs w:val="20"/>
    </w:rPr>
  </w:style>
  <w:style w:type="paragraph" w:styleId="Revision">
    <w:name w:val="Revision"/>
    <w:hidden/>
    <w:uiPriority w:val="99"/>
    <w:semiHidden/>
    <w:rsid w:val="00985C4F"/>
    <w:pPr>
      <w:spacing w:after="0" w:line="240" w:lineRule="auto"/>
    </w:pPr>
  </w:style>
  <w:style w:type="character" w:styleId="Mention">
    <w:name w:val="Mention"/>
    <w:basedOn w:val="DefaultParagraphFont"/>
    <w:uiPriority w:val="99"/>
    <w:unhideWhenUsed/>
    <w:rsid w:val="00AE01E9"/>
    <w:rPr>
      <w:color w:val="2B579A"/>
      <w:shd w:val="clear" w:color="auto" w:fill="E1DFDD"/>
    </w:rPr>
  </w:style>
  <w:style w:type="paragraph" w:styleId="Header">
    <w:name w:val="header"/>
    <w:basedOn w:val="Normal"/>
    <w:link w:val="HeaderChar"/>
    <w:uiPriority w:val="99"/>
    <w:unhideWhenUsed/>
    <w:rsid w:val="00105A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5A8B"/>
  </w:style>
  <w:style w:type="paragraph" w:styleId="Footer">
    <w:name w:val="footer"/>
    <w:basedOn w:val="Normal"/>
    <w:link w:val="FooterChar"/>
    <w:unhideWhenUsed/>
    <w:rsid w:val="00105A8B"/>
    <w:pPr>
      <w:tabs>
        <w:tab w:val="center" w:pos="4680"/>
        <w:tab w:val="right" w:pos="9360"/>
      </w:tabs>
      <w:spacing w:after="0" w:line="240" w:lineRule="auto"/>
    </w:pPr>
  </w:style>
  <w:style w:type="character" w:styleId="FooterChar" w:customStyle="1">
    <w:name w:val="Footer Char"/>
    <w:basedOn w:val="DefaultParagraphFont"/>
    <w:link w:val="Footer"/>
    <w:rsid w:val="00105A8B"/>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17492">
      <w:bodyDiv w:val="1"/>
      <w:marLeft w:val="0"/>
      <w:marRight w:val="0"/>
      <w:marTop w:val="0"/>
      <w:marBottom w:val="0"/>
      <w:divBdr>
        <w:top w:val="none" w:sz="0" w:space="0" w:color="auto"/>
        <w:left w:val="none" w:sz="0" w:space="0" w:color="auto"/>
        <w:bottom w:val="none" w:sz="0" w:space="0" w:color="auto"/>
        <w:right w:val="none" w:sz="0" w:space="0" w:color="auto"/>
      </w:divBdr>
      <w:divsChild>
        <w:div w:id="1972862275">
          <w:marLeft w:val="0"/>
          <w:marRight w:val="0"/>
          <w:marTop w:val="0"/>
          <w:marBottom w:val="0"/>
          <w:divBdr>
            <w:top w:val="none" w:sz="0" w:space="0" w:color="auto"/>
            <w:left w:val="none" w:sz="0" w:space="0" w:color="auto"/>
            <w:bottom w:val="none" w:sz="0" w:space="0" w:color="auto"/>
            <w:right w:val="none" w:sz="0" w:space="0" w:color="auto"/>
          </w:divBdr>
        </w:div>
      </w:divsChild>
    </w:div>
    <w:div w:id="786894635">
      <w:bodyDiv w:val="1"/>
      <w:marLeft w:val="0"/>
      <w:marRight w:val="0"/>
      <w:marTop w:val="0"/>
      <w:marBottom w:val="0"/>
      <w:divBdr>
        <w:top w:val="none" w:sz="0" w:space="0" w:color="auto"/>
        <w:left w:val="none" w:sz="0" w:space="0" w:color="auto"/>
        <w:bottom w:val="none" w:sz="0" w:space="0" w:color="auto"/>
        <w:right w:val="none" w:sz="0" w:space="0" w:color="auto"/>
      </w:divBdr>
      <w:divsChild>
        <w:div w:id="797994293">
          <w:marLeft w:val="0"/>
          <w:marRight w:val="0"/>
          <w:marTop w:val="0"/>
          <w:marBottom w:val="0"/>
          <w:divBdr>
            <w:top w:val="none" w:sz="0" w:space="0" w:color="auto"/>
            <w:left w:val="none" w:sz="0" w:space="0" w:color="auto"/>
            <w:bottom w:val="none" w:sz="0" w:space="0" w:color="auto"/>
            <w:right w:val="none" w:sz="0" w:space="0" w:color="auto"/>
          </w:divBdr>
          <w:divsChild>
            <w:div w:id="812211635">
              <w:marLeft w:val="0"/>
              <w:marRight w:val="0"/>
              <w:marTop w:val="0"/>
              <w:marBottom w:val="0"/>
              <w:divBdr>
                <w:top w:val="none" w:sz="0" w:space="0" w:color="auto"/>
                <w:left w:val="none" w:sz="0" w:space="0" w:color="auto"/>
                <w:bottom w:val="none" w:sz="0" w:space="0" w:color="auto"/>
                <w:right w:val="none" w:sz="0" w:space="0" w:color="auto"/>
              </w:divBdr>
              <w:divsChild>
                <w:div w:id="1457018287">
                  <w:marLeft w:val="0"/>
                  <w:marRight w:val="0"/>
                  <w:marTop w:val="0"/>
                  <w:marBottom w:val="0"/>
                  <w:divBdr>
                    <w:top w:val="none" w:sz="0" w:space="0" w:color="auto"/>
                    <w:left w:val="none" w:sz="0" w:space="0" w:color="auto"/>
                    <w:bottom w:val="none" w:sz="0" w:space="0" w:color="auto"/>
                    <w:right w:val="none" w:sz="0" w:space="0" w:color="auto"/>
                  </w:divBdr>
                  <w:divsChild>
                    <w:div w:id="1454248313">
                      <w:marLeft w:val="0"/>
                      <w:marRight w:val="0"/>
                      <w:marTop w:val="0"/>
                      <w:marBottom w:val="0"/>
                      <w:divBdr>
                        <w:top w:val="none" w:sz="0" w:space="0" w:color="auto"/>
                        <w:left w:val="none" w:sz="0" w:space="0" w:color="auto"/>
                        <w:bottom w:val="none" w:sz="0" w:space="0" w:color="auto"/>
                        <w:right w:val="none" w:sz="0" w:space="0" w:color="auto"/>
                      </w:divBdr>
                      <w:divsChild>
                        <w:div w:id="649942057">
                          <w:marLeft w:val="0"/>
                          <w:marRight w:val="0"/>
                          <w:marTop w:val="0"/>
                          <w:marBottom w:val="0"/>
                          <w:divBdr>
                            <w:top w:val="none" w:sz="0" w:space="0" w:color="auto"/>
                            <w:left w:val="none" w:sz="0" w:space="0" w:color="auto"/>
                            <w:bottom w:val="none" w:sz="0" w:space="0" w:color="auto"/>
                            <w:right w:val="none" w:sz="0" w:space="0" w:color="auto"/>
                          </w:divBdr>
                        </w:div>
                        <w:div w:id="1069813218">
                          <w:marLeft w:val="0"/>
                          <w:marRight w:val="0"/>
                          <w:marTop w:val="0"/>
                          <w:marBottom w:val="0"/>
                          <w:divBdr>
                            <w:top w:val="none" w:sz="0" w:space="0" w:color="auto"/>
                            <w:left w:val="none" w:sz="0" w:space="0" w:color="auto"/>
                            <w:bottom w:val="none" w:sz="0" w:space="0" w:color="auto"/>
                            <w:right w:val="none" w:sz="0" w:space="0" w:color="auto"/>
                          </w:divBdr>
                        </w:div>
                        <w:div w:id="1450128877">
                          <w:marLeft w:val="0"/>
                          <w:marRight w:val="0"/>
                          <w:marTop w:val="0"/>
                          <w:marBottom w:val="0"/>
                          <w:divBdr>
                            <w:top w:val="none" w:sz="0" w:space="0" w:color="auto"/>
                            <w:left w:val="none" w:sz="0" w:space="0" w:color="auto"/>
                            <w:bottom w:val="none" w:sz="0" w:space="0" w:color="auto"/>
                            <w:right w:val="none" w:sz="0" w:space="0" w:color="auto"/>
                          </w:divBdr>
                        </w:div>
                        <w:div w:id="2130662460">
                          <w:marLeft w:val="0"/>
                          <w:marRight w:val="0"/>
                          <w:marTop w:val="0"/>
                          <w:marBottom w:val="0"/>
                          <w:divBdr>
                            <w:top w:val="none" w:sz="0" w:space="0" w:color="auto"/>
                            <w:left w:val="none" w:sz="0" w:space="0" w:color="auto"/>
                            <w:bottom w:val="none" w:sz="0" w:space="0" w:color="auto"/>
                            <w:right w:val="none" w:sz="0" w:space="0" w:color="auto"/>
                          </w:divBdr>
                        </w:div>
                      </w:divsChild>
                    </w:div>
                    <w:div w:id="1685352547">
                      <w:marLeft w:val="0"/>
                      <w:marRight w:val="0"/>
                      <w:marTop w:val="0"/>
                      <w:marBottom w:val="0"/>
                      <w:divBdr>
                        <w:top w:val="none" w:sz="0" w:space="0" w:color="auto"/>
                        <w:left w:val="none" w:sz="0" w:space="0" w:color="auto"/>
                        <w:bottom w:val="none" w:sz="0" w:space="0" w:color="auto"/>
                        <w:right w:val="none" w:sz="0" w:space="0" w:color="auto"/>
                      </w:divBdr>
                      <w:divsChild>
                        <w:div w:id="1618482867">
                          <w:marLeft w:val="0"/>
                          <w:marRight w:val="0"/>
                          <w:marTop w:val="0"/>
                          <w:marBottom w:val="0"/>
                          <w:divBdr>
                            <w:top w:val="none" w:sz="0" w:space="0" w:color="auto"/>
                            <w:left w:val="none" w:sz="0" w:space="0" w:color="auto"/>
                            <w:bottom w:val="none" w:sz="0" w:space="0" w:color="auto"/>
                            <w:right w:val="none" w:sz="0" w:space="0" w:color="auto"/>
                          </w:divBdr>
                        </w:div>
                      </w:divsChild>
                    </w:div>
                    <w:div w:id="1851262714">
                      <w:marLeft w:val="0"/>
                      <w:marRight w:val="0"/>
                      <w:marTop w:val="0"/>
                      <w:marBottom w:val="0"/>
                      <w:divBdr>
                        <w:top w:val="none" w:sz="0" w:space="0" w:color="auto"/>
                        <w:left w:val="none" w:sz="0" w:space="0" w:color="auto"/>
                        <w:bottom w:val="none" w:sz="0" w:space="0" w:color="auto"/>
                        <w:right w:val="none" w:sz="0" w:space="0" w:color="auto"/>
                      </w:divBdr>
                      <w:divsChild>
                        <w:div w:id="322123516">
                          <w:marLeft w:val="0"/>
                          <w:marRight w:val="0"/>
                          <w:marTop w:val="0"/>
                          <w:marBottom w:val="0"/>
                          <w:divBdr>
                            <w:top w:val="none" w:sz="0" w:space="0" w:color="auto"/>
                            <w:left w:val="none" w:sz="0" w:space="0" w:color="auto"/>
                            <w:bottom w:val="none" w:sz="0" w:space="0" w:color="auto"/>
                            <w:right w:val="none" w:sz="0" w:space="0" w:color="auto"/>
                          </w:divBdr>
                        </w:div>
                      </w:divsChild>
                    </w:div>
                    <w:div w:id="2014335208">
                      <w:marLeft w:val="0"/>
                      <w:marRight w:val="0"/>
                      <w:marTop w:val="0"/>
                      <w:marBottom w:val="0"/>
                      <w:divBdr>
                        <w:top w:val="none" w:sz="0" w:space="0" w:color="auto"/>
                        <w:left w:val="none" w:sz="0" w:space="0" w:color="auto"/>
                        <w:bottom w:val="none" w:sz="0" w:space="0" w:color="auto"/>
                        <w:right w:val="none" w:sz="0" w:space="0" w:color="auto"/>
                      </w:divBdr>
                      <w:divsChild>
                        <w:div w:id="11022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commentsExtended" Target="commentsExtended.xml" Id="Rfed4465587b34ea8" /><Relationship Type="http://schemas.microsoft.com/office/2016/09/relationships/commentsIds" Target="commentsIds.xml" Id="Ra8fc084b285343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Arens, Samantha@Energy</DisplayName>
        <AccountId>161</AccountId>
        <AccountType/>
      </UserInfo>
      <UserInfo>
        <DisplayName>Lu, Jeffrey@Energy</DisplayName>
        <AccountId>39</AccountId>
        <AccountType/>
      </UserInfo>
      <UserInfo>
        <DisplayName>Vail, Melanie@Energy</DisplayName>
        <AccountId>175</AccountId>
        <AccountType/>
      </UserInfo>
      <UserInfo>
        <DisplayName>Smith, Charles@Energy</DisplayName>
        <AccountId>27</AccountId>
        <AccountType/>
      </UserInfo>
      <UserInfo>
        <DisplayName>Pratt, Kiel@Energy</DisplayName>
        <AccountId>63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72AEA5-6DF4-4570-A341-20E264026F37}">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ED25BB81-28D7-427A-A1FE-FD51F2061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135D47-BECE-48BB-9D98-738DB685FD0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Arens, Samantha@Energy</dc:creator>
  <keywords/>
  <dc:description/>
  <lastModifiedBy>Lu, Jeffrey@Energy</lastModifiedBy>
  <revision>9</revision>
  <dcterms:created xsi:type="dcterms:W3CDTF">2023-04-12T16:26:00.0000000Z</dcterms:created>
  <dcterms:modified xsi:type="dcterms:W3CDTF">2023-04-14T14:32:27.2366846Z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