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4CE1" w14:textId="77777777" w:rsidR="00CA2E3C" w:rsidRDefault="005C15A4" w:rsidP="00B3403C">
      <w:pPr>
        <w:spacing w:after="40" w:line="240" w:lineRule="auto"/>
        <w:jc w:val="center"/>
        <w:rPr>
          <w:rFonts w:ascii="Arial" w:hAnsi="Arial" w:cs="Arial"/>
          <w:b/>
          <w:bCs/>
        </w:rPr>
      </w:pPr>
      <w:r w:rsidRPr="00271E52">
        <w:rPr>
          <w:rFonts w:ascii="Arial" w:hAnsi="Arial" w:cs="Arial"/>
          <w:b/>
          <w:bCs/>
        </w:rPr>
        <w:t>GFO</w:t>
      </w:r>
      <w:r w:rsidR="00D90B73" w:rsidRPr="00271E52">
        <w:rPr>
          <w:rFonts w:ascii="Arial" w:hAnsi="Arial" w:cs="Arial"/>
          <w:b/>
          <w:bCs/>
        </w:rPr>
        <w:t>-</w:t>
      </w:r>
      <w:r w:rsidRPr="00271E52">
        <w:rPr>
          <w:rFonts w:ascii="Arial" w:hAnsi="Arial" w:cs="Arial"/>
          <w:b/>
          <w:bCs/>
        </w:rPr>
        <w:t>22-609</w:t>
      </w:r>
    </w:p>
    <w:p w14:paraId="64DFE08D" w14:textId="3EA3CA3D" w:rsidR="005C15A4" w:rsidRPr="00271E52" w:rsidRDefault="005C15A4" w:rsidP="00B3403C">
      <w:pPr>
        <w:spacing w:after="40" w:line="240" w:lineRule="auto"/>
        <w:jc w:val="center"/>
        <w:rPr>
          <w:rFonts w:ascii="Arial" w:hAnsi="Arial" w:cs="Arial"/>
          <w:b/>
          <w:bCs/>
        </w:rPr>
      </w:pPr>
      <w:r w:rsidRPr="00271E52">
        <w:rPr>
          <w:rFonts w:ascii="Arial" w:hAnsi="Arial" w:cs="Arial"/>
          <w:b/>
          <w:bCs/>
        </w:rPr>
        <w:t>Responsive, Easy Charging Products With Dynamic Signals (REDWDS)</w:t>
      </w:r>
    </w:p>
    <w:p w14:paraId="25125200" w14:textId="4556E6B7" w:rsidR="005C15A4" w:rsidRPr="00271E52" w:rsidRDefault="005C15A4" w:rsidP="00B3403C">
      <w:pPr>
        <w:spacing w:after="40" w:line="240" w:lineRule="auto"/>
        <w:jc w:val="center"/>
        <w:rPr>
          <w:rFonts w:ascii="Arial" w:hAnsi="Arial" w:cs="Arial"/>
        </w:rPr>
      </w:pPr>
      <w:r w:rsidRPr="00271E52">
        <w:rPr>
          <w:rFonts w:ascii="Arial" w:hAnsi="Arial" w:cs="Arial"/>
        </w:rPr>
        <w:t>Questions and Answers</w:t>
      </w:r>
    </w:p>
    <w:p w14:paraId="2D56130B" w14:textId="2AE23B25" w:rsidR="008E6ADC" w:rsidRPr="00271E52" w:rsidRDefault="008E6ADC" w:rsidP="00B3403C">
      <w:pPr>
        <w:spacing w:after="40" w:line="240" w:lineRule="auto"/>
        <w:jc w:val="center"/>
        <w:rPr>
          <w:rFonts w:ascii="Arial" w:hAnsi="Arial" w:cs="Arial"/>
        </w:rPr>
      </w:pPr>
      <w:r w:rsidRPr="00392BDB">
        <w:rPr>
          <w:rFonts w:ascii="Arial" w:hAnsi="Arial" w:cs="Arial"/>
        </w:rPr>
        <w:t xml:space="preserve">April </w:t>
      </w:r>
      <w:r w:rsidR="001F29F5" w:rsidRPr="00392BDB">
        <w:rPr>
          <w:rFonts w:ascii="Arial" w:hAnsi="Arial" w:cs="Arial"/>
        </w:rPr>
        <w:t>25</w:t>
      </w:r>
      <w:r w:rsidRPr="00392BDB">
        <w:rPr>
          <w:rFonts w:ascii="Arial" w:hAnsi="Arial" w:cs="Arial"/>
        </w:rPr>
        <w:t>, 2023</w:t>
      </w:r>
    </w:p>
    <w:p w14:paraId="4AA48CA1" w14:textId="77777777" w:rsidR="00B3403C" w:rsidRPr="00271E52" w:rsidRDefault="00B3403C" w:rsidP="005032D6">
      <w:pPr>
        <w:rPr>
          <w:rFonts w:ascii="Arial" w:hAnsi="Arial" w:cs="Arial"/>
        </w:rPr>
      </w:pPr>
    </w:p>
    <w:p w14:paraId="01627942" w14:textId="74540E97" w:rsidR="005032D6" w:rsidRPr="00271E52" w:rsidRDefault="005032D6" w:rsidP="005032D6">
      <w:pPr>
        <w:rPr>
          <w:rFonts w:ascii="Arial" w:hAnsi="Arial" w:cs="Arial"/>
        </w:rPr>
      </w:pPr>
      <w:r w:rsidRPr="00271E52">
        <w:rPr>
          <w:rFonts w:ascii="Arial" w:hAnsi="Arial" w:cs="Arial"/>
        </w:rPr>
        <w:t>The most up to date solicitation documents</w:t>
      </w:r>
      <w:r w:rsidR="000F750E" w:rsidRPr="00271E52">
        <w:rPr>
          <w:rFonts w:ascii="Arial" w:hAnsi="Arial" w:cs="Arial"/>
        </w:rPr>
        <w:t xml:space="preserve"> (</w:t>
      </w:r>
      <w:r w:rsidR="00AA7CE6" w:rsidRPr="00271E52">
        <w:rPr>
          <w:rFonts w:ascii="Arial" w:hAnsi="Arial" w:cs="Arial"/>
        </w:rPr>
        <w:t>including</w:t>
      </w:r>
      <w:r w:rsidRPr="00271E52">
        <w:rPr>
          <w:rFonts w:ascii="Arial" w:hAnsi="Arial" w:cs="Arial"/>
        </w:rPr>
        <w:t xml:space="preserve"> the solicitation manual</w:t>
      </w:r>
      <w:r w:rsidR="000F750E" w:rsidRPr="00271E52">
        <w:rPr>
          <w:rFonts w:ascii="Arial" w:hAnsi="Arial" w:cs="Arial"/>
        </w:rPr>
        <w:t>)</w:t>
      </w:r>
      <w:r w:rsidRPr="00271E52">
        <w:rPr>
          <w:rFonts w:ascii="Arial" w:hAnsi="Arial" w:cs="Arial"/>
        </w:rPr>
        <w:t xml:space="preserve"> are available at the solicitation webpage: </w:t>
      </w:r>
      <w:hyperlink r:id="rId11" w:history="1">
        <w:r w:rsidR="004E1E09" w:rsidRPr="00271E52">
          <w:rPr>
            <w:rStyle w:val="Hyperlink"/>
            <w:rFonts w:ascii="Arial" w:hAnsi="Arial" w:cs="Arial"/>
          </w:rPr>
          <w:t>https://www.energy.ca.gov/solicitations/2023-03/gfo-22-609-responsive-easy-charging-products-dynamic-signals-redwds</w:t>
        </w:r>
      </w:hyperlink>
      <w:r w:rsidR="004E1E09" w:rsidRPr="00271E52">
        <w:rPr>
          <w:rFonts w:ascii="Arial" w:hAnsi="Arial" w:cs="Arial"/>
        </w:rPr>
        <w:t xml:space="preserve"> </w:t>
      </w:r>
    </w:p>
    <w:p w14:paraId="3E94CE74" w14:textId="77777777" w:rsidR="007149CC" w:rsidRPr="00271E52" w:rsidRDefault="005C15A4" w:rsidP="005C15A4">
      <w:pPr>
        <w:rPr>
          <w:rFonts w:ascii="Arial" w:hAnsi="Arial" w:cs="Arial"/>
        </w:rPr>
      </w:pPr>
      <w:r w:rsidRPr="00271E52">
        <w:rPr>
          <w:rFonts w:ascii="Arial" w:hAnsi="Arial" w:cs="Arial"/>
        </w:rPr>
        <w:t>The following answers are based on California Energy Commission (CEC) staff’s interpretation of the questions received. It is the Applicant’s responsibility to review the Solicitation Manual and to determine whether their proposed project is eligible for funding by reviewing the Eligibility Requirements within the solicitation. The CEC cannot give definitive advice as to whether a particular project is eligible for funding because not all proposal details are known.</w:t>
      </w:r>
      <w:r w:rsidR="00BB052E" w:rsidRPr="00271E52">
        <w:rPr>
          <w:rFonts w:ascii="Arial" w:hAnsi="Arial" w:cs="Arial"/>
        </w:rPr>
        <w:t xml:space="preserve"> </w:t>
      </w:r>
    </w:p>
    <w:p w14:paraId="7A0154E3" w14:textId="15DA60C9" w:rsidR="005C15A4" w:rsidRPr="00271E52" w:rsidRDefault="00BB052E" w:rsidP="005C15A4">
      <w:pPr>
        <w:rPr>
          <w:rFonts w:ascii="Arial" w:hAnsi="Arial" w:cs="Arial"/>
        </w:rPr>
      </w:pPr>
      <w:r w:rsidRPr="00271E52">
        <w:rPr>
          <w:rFonts w:ascii="Arial" w:hAnsi="Arial" w:cs="Arial"/>
          <w:b/>
          <w:bCs/>
        </w:rPr>
        <w:t xml:space="preserve">Unless indicated otherwise, </w:t>
      </w:r>
      <w:r w:rsidR="00C564A1" w:rsidRPr="00271E52">
        <w:rPr>
          <w:rFonts w:ascii="Arial" w:hAnsi="Arial" w:cs="Arial"/>
          <w:b/>
          <w:bCs/>
        </w:rPr>
        <w:t>a</w:t>
      </w:r>
      <w:r w:rsidR="007149CC" w:rsidRPr="00271E52">
        <w:rPr>
          <w:rFonts w:ascii="Arial" w:hAnsi="Arial" w:cs="Arial"/>
          <w:b/>
          <w:bCs/>
        </w:rPr>
        <w:t>ll</w:t>
      </w:r>
      <w:r w:rsidR="00C564A1" w:rsidRPr="00271E52">
        <w:rPr>
          <w:rFonts w:ascii="Arial" w:hAnsi="Arial" w:cs="Arial"/>
          <w:b/>
          <w:bCs/>
        </w:rPr>
        <w:t xml:space="preserve"> section numbers identified are from</w:t>
      </w:r>
      <w:r w:rsidRPr="00271E52">
        <w:rPr>
          <w:rFonts w:ascii="Arial" w:hAnsi="Arial" w:cs="Arial"/>
          <w:b/>
          <w:bCs/>
        </w:rPr>
        <w:t xml:space="preserve"> the solicitation</w:t>
      </w:r>
      <w:r w:rsidR="00F710F8" w:rsidRPr="00271E52">
        <w:rPr>
          <w:rFonts w:ascii="Arial" w:hAnsi="Arial" w:cs="Arial"/>
          <w:b/>
          <w:bCs/>
        </w:rPr>
        <w:t xml:space="preserve"> manual</w:t>
      </w:r>
      <w:r w:rsidRPr="00271E52">
        <w:rPr>
          <w:rFonts w:ascii="Arial" w:hAnsi="Arial" w:cs="Arial"/>
          <w:b/>
          <w:bCs/>
        </w:rPr>
        <w:t xml:space="preserve"> (for example, “Section II.B” refers to Section II.B of the solicitation manual).</w:t>
      </w:r>
      <w:r w:rsidR="00F710F8" w:rsidRPr="00271E52">
        <w:rPr>
          <w:rFonts w:ascii="Arial" w:hAnsi="Arial" w:cs="Arial"/>
          <w:b/>
          <w:bCs/>
        </w:rPr>
        <w:t xml:space="preserve"> </w:t>
      </w:r>
      <w:r w:rsidR="00F710F8" w:rsidRPr="00271E52">
        <w:rPr>
          <w:rFonts w:ascii="Arial" w:hAnsi="Arial" w:cs="Arial"/>
        </w:rPr>
        <w:t xml:space="preserve">The solicitation manual is Attachment 00 </w:t>
      </w:r>
      <w:r w:rsidR="00E6513B" w:rsidRPr="00271E52">
        <w:rPr>
          <w:rFonts w:ascii="Arial" w:hAnsi="Arial" w:cs="Arial"/>
        </w:rPr>
        <w:t>found on</w:t>
      </w:r>
      <w:r w:rsidR="00F710F8" w:rsidRPr="00271E52">
        <w:rPr>
          <w:rFonts w:ascii="Arial" w:hAnsi="Arial" w:cs="Arial"/>
        </w:rPr>
        <w:t xml:space="preserve"> the webpage linked above.</w:t>
      </w:r>
    </w:p>
    <w:tbl>
      <w:tblPr>
        <w:tblStyle w:val="TableGridLight"/>
        <w:tblW w:w="14310" w:type="dxa"/>
        <w:tblLook w:val="04A0" w:firstRow="1" w:lastRow="0" w:firstColumn="1" w:lastColumn="0" w:noHBand="0" w:noVBand="1"/>
      </w:tblPr>
      <w:tblGrid>
        <w:gridCol w:w="549"/>
        <w:gridCol w:w="5296"/>
        <w:gridCol w:w="8465"/>
      </w:tblGrid>
      <w:tr w:rsidR="00C41799" w:rsidRPr="00271E52" w14:paraId="09223558" w14:textId="77777777" w:rsidTr="00297D16">
        <w:trPr>
          <w:trHeight w:val="290"/>
        </w:trPr>
        <w:tc>
          <w:tcPr>
            <w:tcW w:w="549" w:type="dxa"/>
            <w:noWrap/>
            <w:hideMark/>
          </w:tcPr>
          <w:p w14:paraId="493BEEB9" w14:textId="52DF8FD2" w:rsidR="00C41799" w:rsidRPr="00271E52" w:rsidRDefault="00C41799" w:rsidP="00C41799">
            <w:pPr>
              <w:rPr>
                <w:rFonts w:ascii="Arial" w:eastAsia="Times New Roman" w:hAnsi="Arial" w:cs="Arial"/>
                <w:b/>
                <w:bCs/>
                <w:color w:val="000000"/>
              </w:rPr>
            </w:pPr>
            <w:r w:rsidRPr="00271E52">
              <w:rPr>
                <w:rFonts w:ascii="Arial" w:eastAsia="Times New Roman" w:hAnsi="Arial" w:cs="Arial"/>
                <w:b/>
                <w:bCs/>
                <w:color w:val="000000"/>
              </w:rPr>
              <w:t>#</w:t>
            </w:r>
          </w:p>
        </w:tc>
        <w:tc>
          <w:tcPr>
            <w:tcW w:w="5296" w:type="dxa"/>
            <w:hideMark/>
          </w:tcPr>
          <w:p w14:paraId="1B420647" w14:textId="77777777" w:rsidR="00C41799" w:rsidRPr="00271E52" w:rsidRDefault="00C41799" w:rsidP="00C41799">
            <w:pPr>
              <w:rPr>
                <w:rFonts w:ascii="Arial" w:eastAsia="Times New Roman" w:hAnsi="Arial" w:cs="Arial"/>
                <w:b/>
                <w:bCs/>
                <w:color w:val="000000"/>
              </w:rPr>
            </w:pPr>
            <w:r w:rsidRPr="00271E52">
              <w:rPr>
                <w:rFonts w:ascii="Arial" w:eastAsia="Times New Roman" w:hAnsi="Arial" w:cs="Arial"/>
                <w:b/>
                <w:bCs/>
                <w:color w:val="000000"/>
              </w:rPr>
              <w:t>Question</w:t>
            </w:r>
          </w:p>
        </w:tc>
        <w:tc>
          <w:tcPr>
            <w:tcW w:w="8465" w:type="dxa"/>
            <w:hideMark/>
          </w:tcPr>
          <w:p w14:paraId="4EF787D1" w14:textId="77777777" w:rsidR="00C41799" w:rsidRPr="00271E52" w:rsidRDefault="00C41799" w:rsidP="00C41799">
            <w:pPr>
              <w:rPr>
                <w:rFonts w:ascii="Arial" w:eastAsia="Times New Roman" w:hAnsi="Arial" w:cs="Arial"/>
                <w:b/>
                <w:bCs/>
                <w:color w:val="000000"/>
              </w:rPr>
            </w:pPr>
            <w:r w:rsidRPr="00271E52">
              <w:rPr>
                <w:rFonts w:ascii="Arial" w:eastAsia="Times New Roman" w:hAnsi="Arial" w:cs="Arial"/>
                <w:b/>
                <w:bCs/>
                <w:color w:val="000000"/>
              </w:rPr>
              <w:t>CEC Response</w:t>
            </w:r>
          </w:p>
        </w:tc>
      </w:tr>
      <w:tr w:rsidR="00C41799" w:rsidRPr="00271E52" w14:paraId="75DBF316" w14:textId="77777777" w:rsidTr="00297D16">
        <w:trPr>
          <w:trHeight w:val="1160"/>
        </w:trPr>
        <w:tc>
          <w:tcPr>
            <w:tcW w:w="549" w:type="dxa"/>
            <w:noWrap/>
            <w:hideMark/>
          </w:tcPr>
          <w:p w14:paraId="00653156"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1</w:t>
            </w:r>
          </w:p>
        </w:tc>
        <w:tc>
          <w:tcPr>
            <w:tcW w:w="5296" w:type="dxa"/>
            <w:hideMark/>
          </w:tcPr>
          <w:p w14:paraId="452264D8"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What is meant by “customer charging preferences”?</w:t>
            </w:r>
          </w:p>
        </w:tc>
        <w:tc>
          <w:tcPr>
            <w:tcW w:w="8465" w:type="dxa"/>
            <w:hideMark/>
          </w:tcPr>
          <w:p w14:paraId="53837994" w14:textId="48DD3699"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Customer charging preferences may include any preferences indicated by the customer to inform or modify the</w:t>
            </w:r>
            <w:r w:rsidR="00F72A9F" w:rsidRPr="2929DF5F">
              <w:rPr>
                <w:rFonts w:ascii="Arial" w:eastAsia="Times New Roman" w:hAnsi="Arial" w:cs="Arial"/>
                <w:color w:val="000000" w:themeColor="text1"/>
              </w:rPr>
              <w:t>ir</w:t>
            </w:r>
            <w:r w:rsidRPr="2929DF5F">
              <w:rPr>
                <w:rFonts w:ascii="Arial" w:eastAsia="Times New Roman" w:hAnsi="Arial" w:cs="Arial"/>
                <w:color w:val="000000" w:themeColor="text1"/>
              </w:rPr>
              <w:t xml:space="preserve"> charge management strategy. For example, a customer may indicate a target or minimum range to be replenished by the departure time instead of requesting a full charge. Similarly, a customer may specify a different target or minimum range that would be acceptable on days with a grid emergency event.</w:t>
            </w:r>
          </w:p>
        </w:tc>
      </w:tr>
      <w:tr w:rsidR="00C41799" w:rsidRPr="00271E52" w14:paraId="68EB7844" w14:textId="77777777" w:rsidTr="00297D16">
        <w:trPr>
          <w:trHeight w:val="580"/>
        </w:trPr>
        <w:tc>
          <w:tcPr>
            <w:tcW w:w="549" w:type="dxa"/>
            <w:noWrap/>
            <w:hideMark/>
          </w:tcPr>
          <w:p w14:paraId="12098868"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2</w:t>
            </w:r>
          </w:p>
        </w:tc>
        <w:tc>
          <w:tcPr>
            <w:tcW w:w="5296" w:type="dxa"/>
            <w:hideMark/>
          </w:tcPr>
          <w:p w14:paraId="12C2C989"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What is the agreement term? Are there requirements on the project length or duration?</w:t>
            </w:r>
          </w:p>
        </w:tc>
        <w:tc>
          <w:tcPr>
            <w:tcW w:w="8465" w:type="dxa"/>
            <w:hideMark/>
          </w:tcPr>
          <w:p w14:paraId="55BA58BF" w14:textId="4B19F90E"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Please refer to Section I.D. Phase 1 activities must complete by March 31, 2026. Phase 2 activities must complete by March 31, 2029.</w:t>
            </w:r>
          </w:p>
        </w:tc>
      </w:tr>
      <w:tr w:rsidR="00C41799" w:rsidRPr="00271E52" w14:paraId="266929BD" w14:textId="77777777" w:rsidTr="00297D16">
        <w:trPr>
          <w:trHeight w:val="1160"/>
        </w:trPr>
        <w:tc>
          <w:tcPr>
            <w:tcW w:w="549" w:type="dxa"/>
            <w:noWrap/>
            <w:hideMark/>
          </w:tcPr>
          <w:p w14:paraId="2C71C396"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3</w:t>
            </w:r>
          </w:p>
        </w:tc>
        <w:tc>
          <w:tcPr>
            <w:tcW w:w="5296" w:type="dxa"/>
            <w:hideMark/>
          </w:tcPr>
          <w:p w14:paraId="23692723"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Is ISO 15118 a project requirement and is CHAdeMO allowed?</w:t>
            </w:r>
          </w:p>
        </w:tc>
        <w:tc>
          <w:tcPr>
            <w:tcW w:w="8465" w:type="dxa"/>
            <w:hideMark/>
          </w:tcPr>
          <w:p w14:paraId="140F34CC" w14:textId="1BC60BFE" w:rsidR="00C41799" w:rsidRPr="00271E52" w:rsidRDefault="00AD5D02" w:rsidP="00C41799">
            <w:pPr>
              <w:rPr>
                <w:rFonts w:ascii="Arial" w:eastAsia="Times New Roman" w:hAnsi="Arial" w:cs="Arial"/>
                <w:color w:val="000000"/>
              </w:rPr>
            </w:pPr>
            <w:r>
              <w:rPr>
                <w:rFonts w:ascii="Arial" w:eastAsia="Times New Roman" w:hAnsi="Arial" w:cs="Arial"/>
                <w:color w:val="000000" w:themeColor="text1"/>
              </w:rPr>
              <w:t xml:space="preserve">EVSE projects not implementing ISO 15118 are eligible for REDWDS. However, as described in </w:t>
            </w:r>
            <w:r w:rsidR="00C41799" w:rsidRPr="3718F3BB">
              <w:rPr>
                <w:rFonts w:ascii="Arial" w:eastAsia="Times New Roman" w:hAnsi="Arial" w:cs="Arial"/>
                <w:color w:val="000000" w:themeColor="text1"/>
              </w:rPr>
              <w:t>Section IV.E</w:t>
            </w:r>
            <w:r>
              <w:rPr>
                <w:rFonts w:ascii="Arial" w:eastAsia="Times New Roman" w:hAnsi="Arial" w:cs="Arial"/>
                <w:color w:val="000000" w:themeColor="text1"/>
              </w:rPr>
              <w:t>,</w:t>
            </w:r>
            <w:r w:rsidR="00C41799" w:rsidRPr="3718F3BB">
              <w:rPr>
                <w:rFonts w:ascii="Arial" w:eastAsia="Times New Roman" w:hAnsi="Arial" w:cs="Arial"/>
                <w:color w:val="000000" w:themeColor="text1"/>
              </w:rPr>
              <w:t xml:space="preserve"> </w:t>
            </w:r>
            <w:r w:rsidR="001D037C" w:rsidRPr="3718F3BB">
              <w:rPr>
                <w:rFonts w:ascii="Arial" w:eastAsia="Times New Roman" w:hAnsi="Arial" w:cs="Arial"/>
                <w:color w:val="000000" w:themeColor="text1"/>
              </w:rPr>
              <w:t xml:space="preserve">Evaluation Criterion 7 </w:t>
            </w:r>
            <w:r w:rsidR="00C41799" w:rsidRPr="3718F3BB">
              <w:rPr>
                <w:rFonts w:ascii="Arial" w:eastAsia="Times New Roman" w:hAnsi="Arial" w:cs="Arial"/>
                <w:color w:val="000000" w:themeColor="text1"/>
              </w:rPr>
              <w:t>considers "software support for ISO 15118" and "how CEC funds will help accelerate implementation of ISO 15118-20." REDWDS does not prohibit CHAdeMO.</w:t>
            </w:r>
          </w:p>
        </w:tc>
      </w:tr>
      <w:tr w:rsidR="00C41799" w:rsidRPr="00271E52" w14:paraId="66EC4B0B" w14:textId="77777777" w:rsidTr="00297D16">
        <w:trPr>
          <w:trHeight w:val="870"/>
        </w:trPr>
        <w:tc>
          <w:tcPr>
            <w:tcW w:w="549" w:type="dxa"/>
            <w:noWrap/>
            <w:hideMark/>
          </w:tcPr>
          <w:p w14:paraId="2B72F0E8"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4</w:t>
            </w:r>
          </w:p>
        </w:tc>
        <w:tc>
          <w:tcPr>
            <w:tcW w:w="5296" w:type="dxa"/>
            <w:hideMark/>
          </w:tcPr>
          <w:p w14:paraId="7390C56D"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Are the other funding concepts presented back in July 2022 still live? If so, is eligibility for these other VGI funding concepts linked to REDWDS in any way?</w:t>
            </w:r>
          </w:p>
        </w:tc>
        <w:tc>
          <w:tcPr>
            <w:tcW w:w="8465" w:type="dxa"/>
            <w:hideMark/>
          </w:tcPr>
          <w:p w14:paraId="13F2DBF0" w14:textId="0EF70D74"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All active CEC solicitations are available at </w:t>
            </w:r>
            <w:hyperlink r:id="rId12" w:history="1">
              <w:r w:rsidRPr="00271E52">
                <w:rPr>
                  <w:rStyle w:val="Hyperlink"/>
                  <w:rFonts w:ascii="Arial" w:eastAsia="Times New Roman" w:hAnsi="Arial" w:cs="Arial"/>
                </w:rPr>
                <w:t>https://www.energy.ca.gov/funding-opportunities/solicitations</w:t>
              </w:r>
            </w:hyperlink>
            <w:r w:rsidRPr="00271E52">
              <w:rPr>
                <w:rFonts w:ascii="Arial" w:eastAsia="Times New Roman" w:hAnsi="Arial" w:cs="Arial"/>
                <w:color w:val="000000"/>
              </w:rPr>
              <w:t>. There are no eligibility requirements in any active CEC solicitations requiring funding through REDWDS. The CEC continues to evaluate areas where additional CEC solicitations may be appropriate.</w:t>
            </w:r>
          </w:p>
        </w:tc>
      </w:tr>
      <w:tr w:rsidR="00C41799" w:rsidRPr="00271E52" w14:paraId="2E65F618" w14:textId="77777777" w:rsidTr="00297D16">
        <w:trPr>
          <w:trHeight w:val="870"/>
        </w:trPr>
        <w:tc>
          <w:tcPr>
            <w:tcW w:w="549" w:type="dxa"/>
            <w:noWrap/>
            <w:hideMark/>
          </w:tcPr>
          <w:p w14:paraId="1207E26E"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5</w:t>
            </w:r>
          </w:p>
        </w:tc>
        <w:tc>
          <w:tcPr>
            <w:tcW w:w="5296" w:type="dxa"/>
            <w:hideMark/>
          </w:tcPr>
          <w:p w14:paraId="53864BFC"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Do grantees retain all intellectual property developed during this solicitation?</w:t>
            </w:r>
          </w:p>
        </w:tc>
        <w:tc>
          <w:tcPr>
            <w:tcW w:w="8465" w:type="dxa"/>
            <w:hideMark/>
          </w:tcPr>
          <w:p w14:paraId="621DDAF6" w14:textId="21CE6B7D" w:rsidR="00C41799" w:rsidRPr="00271E52" w:rsidRDefault="00C41799" w:rsidP="00C41799">
            <w:pPr>
              <w:rPr>
                <w:rFonts w:ascii="Arial" w:eastAsia="Times New Roman" w:hAnsi="Arial" w:cs="Arial"/>
                <w:color w:val="000000"/>
              </w:rPr>
            </w:pPr>
            <w:r w:rsidRPr="3718F3BB">
              <w:rPr>
                <w:rFonts w:ascii="Arial" w:eastAsia="Times New Roman" w:hAnsi="Arial" w:cs="Arial"/>
                <w:color w:val="000000" w:themeColor="text1"/>
              </w:rPr>
              <w:t>Please refer to Section 27</w:t>
            </w:r>
            <w:r w:rsidR="194775E1" w:rsidRPr="3718F3BB">
              <w:rPr>
                <w:rFonts w:ascii="Arial" w:eastAsia="Times New Roman" w:hAnsi="Arial" w:cs="Arial"/>
                <w:color w:val="000000" w:themeColor="text1"/>
              </w:rPr>
              <w:t>, Intellectual Property,</w:t>
            </w:r>
            <w:r w:rsidRPr="3718F3BB">
              <w:rPr>
                <w:rFonts w:ascii="Arial" w:eastAsia="Times New Roman" w:hAnsi="Arial" w:cs="Arial"/>
                <w:color w:val="000000" w:themeColor="text1"/>
              </w:rPr>
              <w:t xml:space="preserve"> in the Clean Transportation Program Terms and Conditions (Attachment 9a): "The Energy Commission makes no claim to intellectual property developed under this Agreement that is not specified for delivery, except as expressly provided herein."</w:t>
            </w:r>
          </w:p>
        </w:tc>
      </w:tr>
      <w:tr w:rsidR="00C41799" w:rsidRPr="00271E52" w14:paraId="2F8CB970" w14:textId="77777777" w:rsidTr="00297D16">
        <w:trPr>
          <w:trHeight w:val="870"/>
        </w:trPr>
        <w:tc>
          <w:tcPr>
            <w:tcW w:w="549" w:type="dxa"/>
            <w:noWrap/>
            <w:hideMark/>
          </w:tcPr>
          <w:p w14:paraId="189ED1AF"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lastRenderedPageBreak/>
              <w:t>6</w:t>
            </w:r>
          </w:p>
        </w:tc>
        <w:tc>
          <w:tcPr>
            <w:tcW w:w="5296" w:type="dxa"/>
            <w:hideMark/>
          </w:tcPr>
          <w:p w14:paraId="1FDEEDAF"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Will customer Rate Identification Numbers for the CEC's Market Informed Demand Automation Server (MIDAS) be available through Green </w:t>
            </w:r>
            <w:proofErr w:type="gramStart"/>
            <w:r w:rsidRPr="00271E52">
              <w:rPr>
                <w:rFonts w:ascii="Arial" w:eastAsia="Times New Roman" w:hAnsi="Arial" w:cs="Arial"/>
                <w:color w:val="000000"/>
              </w:rPr>
              <w:t>Button</w:t>
            </w:r>
            <w:proofErr w:type="gramEnd"/>
            <w:r w:rsidRPr="00271E52">
              <w:rPr>
                <w:rFonts w:ascii="Arial" w:eastAsia="Times New Roman" w:hAnsi="Arial" w:cs="Arial"/>
                <w:color w:val="000000"/>
              </w:rPr>
              <w:t xml:space="preserve"> so customers don't have to provide 2 separate authorizations?</w:t>
            </w:r>
          </w:p>
        </w:tc>
        <w:tc>
          <w:tcPr>
            <w:tcW w:w="8465" w:type="dxa"/>
            <w:hideMark/>
          </w:tcPr>
          <w:p w14:paraId="46511483" w14:textId="4AD40FA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Not initially. MIDAS continues to evolve, and this is a possibility in the future development. Additional information about MIDAS, including contact information, is available at </w:t>
            </w:r>
            <w:hyperlink r:id="rId13" w:history="1">
              <w:r w:rsidRPr="00271E52">
                <w:rPr>
                  <w:rStyle w:val="Hyperlink"/>
                  <w:rFonts w:ascii="Arial" w:eastAsia="Times New Roman" w:hAnsi="Arial" w:cs="Arial"/>
                </w:rPr>
                <w:t>https://www.energy.ca.gov/proceedings/energy-commission-proceedings/load-management-rulemaking/market-informed-demand</w:t>
              </w:r>
            </w:hyperlink>
            <w:r w:rsidRPr="00271E52">
              <w:rPr>
                <w:rFonts w:ascii="Arial" w:eastAsia="Times New Roman" w:hAnsi="Arial" w:cs="Arial"/>
                <w:color w:val="000000"/>
              </w:rPr>
              <w:t>.</w:t>
            </w:r>
          </w:p>
        </w:tc>
      </w:tr>
      <w:tr w:rsidR="00C41799" w:rsidRPr="00271E52" w14:paraId="75BE8BFB" w14:textId="77777777" w:rsidTr="00297D16">
        <w:trPr>
          <w:trHeight w:val="580"/>
        </w:trPr>
        <w:tc>
          <w:tcPr>
            <w:tcW w:w="549" w:type="dxa"/>
            <w:noWrap/>
            <w:hideMark/>
          </w:tcPr>
          <w:p w14:paraId="44B2BAFB"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7</w:t>
            </w:r>
          </w:p>
        </w:tc>
        <w:tc>
          <w:tcPr>
            <w:tcW w:w="5296" w:type="dxa"/>
            <w:hideMark/>
          </w:tcPr>
          <w:p w14:paraId="17BBF8FE"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Does MIDAS provide a customer's Rate Identification Number, and is the Rate Identification Number the same as the tariff ID?</w:t>
            </w:r>
          </w:p>
        </w:tc>
        <w:tc>
          <w:tcPr>
            <w:tcW w:w="8465" w:type="dxa"/>
            <w:hideMark/>
          </w:tcPr>
          <w:p w14:paraId="214BD888" w14:textId="0CB86C6B" w:rsidR="00C41799" w:rsidRPr="00271E52" w:rsidRDefault="002A30AE" w:rsidP="00C41799">
            <w:pPr>
              <w:rPr>
                <w:rFonts w:ascii="Arial" w:eastAsia="Times New Roman" w:hAnsi="Arial" w:cs="Arial"/>
                <w:color w:val="000000"/>
              </w:rPr>
            </w:pPr>
            <w:r w:rsidRPr="523AFC85">
              <w:rPr>
                <w:rFonts w:ascii="Arial" w:eastAsia="Times New Roman" w:hAnsi="Arial" w:cs="Arial"/>
                <w:color w:val="000000" w:themeColor="text1"/>
              </w:rPr>
              <w:t xml:space="preserve">MIDAS does not provide the </w:t>
            </w:r>
            <w:r w:rsidR="00170276" w:rsidRPr="523AFC85">
              <w:rPr>
                <w:rFonts w:ascii="Arial" w:eastAsia="Times New Roman" w:hAnsi="Arial" w:cs="Arial"/>
                <w:color w:val="000000" w:themeColor="text1"/>
              </w:rPr>
              <w:t>Rate Identification Number</w:t>
            </w:r>
            <w:r w:rsidRPr="523AFC85">
              <w:rPr>
                <w:rFonts w:ascii="Arial" w:eastAsia="Times New Roman" w:hAnsi="Arial" w:cs="Arial"/>
                <w:color w:val="000000" w:themeColor="text1"/>
              </w:rPr>
              <w:t>. R</w:t>
            </w:r>
            <w:r w:rsidR="00170276" w:rsidRPr="523AFC85">
              <w:rPr>
                <w:rFonts w:ascii="Arial" w:eastAsia="Times New Roman" w:hAnsi="Arial" w:cs="Arial"/>
                <w:color w:val="000000" w:themeColor="text1"/>
              </w:rPr>
              <w:t xml:space="preserve">ate </w:t>
            </w:r>
            <w:r w:rsidRPr="523AFC85">
              <w:rPr>
                <w:rFonts w:ascii="Arial" w:eastAsia="Times New Roman" w:hAnsi="Arial" w:cs="Arial"/>
                <w:color w:val="000000" w:themeColor="text1"/>
              </w:rPr>
              <w:t>I</w:t>
            </w:r>
            <w:r w:rsidR="00170276" w:rsidRPr="523AFC85">
              <w:rPr>
                <w:rFonts w:ascii="Arial" w:eastAsia="Times New Roman" w:hAnsi="Arial" w:cs="Arial"/>
                <w:color w:val="000000" w:themeColor="text1"/>
              </w:rPr>
              <w:t xml:space="preserve">dentification </w:t>
            </w:r>
            <w:r w:rsidRPr="523AFC85">
              <w:rPr>
                <w:rFonts w:ascii="Arial" w:eastAsia="Times New Roman" w:hAnsi="Arial" w:cs="Arial"/>
                <w:color w:val="000000" w:themeColor="text1"/>
              </w:rPr>
              <w:t>N</w:t>
            </w:r>
            <w:r w:rsidR="00170276" w:rsidRPr="523AFC85">
              <w:rPr>
                <w:rFonts w:ascii="Arial" w:eastAsia="Times New Roman" w:hAnsi="Arial" w:cs="Arial"/>
                <w:color w:val="000000" w:themeColor="text1"/>
              </w:rPr>
              <w:t>umber</w:t>
            </w:r>
            <w:r w:rsidRPr="523AFC85">
              <w:rPr>
                <w:rFonts w:ascii="Arial" w:eastAsia="Times New Roman" w:hAnsi="Arial" w:cs="Arial"/>
                <w:color w:val="000000" w:themeColor="text1"/>
              </w:rPr>
              <w:t xml:space="preserve">s will be available on the customer bill and utility </w:t>
            </w:r>
            <w:r w:rsidRPr="2929DF5F">
              <w:rPr>
                <w:rFonts w:ascii="Arial" w:eastAsia="Times New Roman" w:hAnsi="Arial" w:cs="Arial"/>
                <w:color w:val="000000" w:themeColor="text1"/>
              </w:rPr>
              <w:t>website</w:t>
            </w:r>
            <w:r w:rsidR="004A288C" w:rsidRPr="2929DF5F">
              <w:rPr>
                <w:rFonts w:ascii="Arial" w:eastAsia="Times New Roman" w:hAnsi="Arial" w:cs="Arial"/>
                <w:color w:val="000000" w:themeColor="text1"/>
              </w:rPr>
              <w:t>s</w:t>
            </w:r>
            <w:r w:rsidRPr="523AFC85">
              <w:rPr>
                <w:rFonts w:ascii="Arial" w:eastAsia="Times New Roman" w:hAnsi="Arial" w:cs="Arial"/>
                <w:color w:val="000000" w:themeColor="text1"/>
              </w:rPr>
              <w:t xml:space="preserve"> starting April 2024.</w:t>
            </w:r>
            <w:r w:rsidR="00170276" w:rsidRPr="523AFC85">
              <w:rPr>
                <w:rFonts w:ascii="Arial" w:eastAsia="Times New Roman" w:hAnsi="Arial" w:cs="Arial"/>
                <w:color w:val="000000" w:themeColor="text1"/>
              </w:rPr>
              <w:t xml:space="preserve"> </w:t>
            </w:r>
            <w:r w:rsidR="003D060E" w:rsidRPr="523AFC85">
              <w:rPr>
                <w:rFonts w:ascii="Arial" w:eastAsia="Times New Roman" w:hAnsi="Arial" w:cs="Arial"/>
                <w:color w:val="000000" w:themeColor="text1"/>
              </w:rPr>
              <w:t>The Rate Identification Number and tariff ID are different.</w:t>
            </w:r>
          </w:p>
        </w:tc>
      </w:tr>
      <w:tr w:rsidR="00C41799" w:rsidRPr="00271E52" w14:paraId="35D6FC8F" w14:textId="77777777" w:rsidTr="00297D16">
        <w:trPr>
          <w:trHeight w:val="870"/>
        </w:trPr>
        <w:tc>
          <w:tcPr>
            <w:tcW w:w="549" w:type="dxa"/>
            <w:noWrap/>
            <w:hideMark/>
          </w:tcPr>
          <w:p w14:paraId="2A0D0D54"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8</w:t>
            </w:r>
          </w:p>
        </w:tc>
        <w:tc>
          <w:tcPr>
            <w:tcW w:w="5296" w:type="dxa"/>
            <w:hideMark/>
          </w:tcPr>
          <w:p w14:paraId="51C50DC8"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Does MIDAS include signals for Emergency Load Reduction Program?</w:t>
            </w:r>
          </w:p>
        </w:tc>
        <w:tc>
          <w:tcPr>
            <w:tcW w:w="8465" w:type="dxa"/>
            <w:hideMark/>
          </w:tcPr>
          <w:p w14:paraId="0FAE8953" w14:textId="696ACFCD"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No. For details on receiving Emergency Load Reduction Program signals, please visit the Emergency Load Reduction Program website for each investor</w:t>
            </w:r>
            <w:r w:rsidR="001600E5" w:rsidRPr="2929DF5F">
              <w:rPr>
                <w:rFonts w:ascii="Arial" w:eastAsia="Times New Roman" w:hAnsi="Arial" w:cs="Arial"/>
                <w:color w:val="000000" w:themeColor="text1"/>
              </w:rPr>
              <w:t>-</w:t>
            </w:r>
            <w:r w:rsidRPr="2929DF5F">
              <w:rPr>
                <w:rFonts w:ascii="Arial" w:eastAsia="Times New Roman" w:hAnsi="Arial" w:cs="Arial"/>
                <w:color w:val="000000" w:themeColor="text1"/>
              </w:rPr>
              <w:t xml:space="preserve">owned utility. For example, PG&amp;E's Emergency Load Reduction Program webpage is available at </w:t>
            </w:r>
            <w:hyperlink r:id="rId14">
              <w:r w:rsidR="2BFBD50C" w:rsidRPr="2929DF5F">
                <w:rPr>
                  <w:rStyle w:val="Hyperlink"/>
                  <w:rFonts w:ascii="Arial" w:eastAsia="Times New Roman" w:hAnsi="Arial" w:cs="Arial"/>
                </w:rPr>
                <w:t>https://elrp.olivineinc.com/</w:t>
              </w:r>
            </w:hyperlink>
            <w:r w:rsidRPr="2929DF5F">
              <w:rPr>
                <w:rFonts w:ascii="Arial" w:eastAsia="Times New Roman" w:hAnsi="Arial" w:cs="Arial"/>
                <w:color w:val="000000" w:themeColor="text1"/>
              </w:rPr>
              <w:t xml:space="preserve">.   </w:t>
            </w:r>
          </w:p>
        </w:tc>
      </w:tr>
      <w:tr w:rsidR="00C41799" w:rsidRPr="00271E52" w14:paraId="6C20C94A" w14:textId="77777777" w:rsidTr="00297D16">
        <w:trPr>
          <w:trHeight w:val="870"/>
        </w:trPr>
        <w:tc>
          <w:tcPr>
            <w:tcW w:w="549" w:type="dxa"/>
            <w:noWrap/>
            <w:hideMark/>
          </w:tcPr>
          <w:p w14:paraId="13A3D7C3"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9</w:t>
            </w:r>
          </w:p>
        </w:tc>
        <w:tc>
          <w:tcPr>
            <w:tcW w:w="5296" w:type="dxa"/>
            <w:hideMark/>
          </w:tcPr>
          <w:p w14:paraId="0F991734"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If we participate in Emergency Load Reduction Program group B, will that satisfy the Emergency Load Reduction Program integration requirements in REDWDS?</w:t>
            </w:r>
          </w:p>
        </w:tc>
        <w:tc>
          <w:tcPr>
            <w:tcW w:w="8465" w:type="dxa"/>
            <w:hideMark/>
          </w:tcPr>
          <w:p w14:paraId="7F1BE4AD"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Yes. REDWDS does not specify group requirements for Emergency Load Reduction Program participation.</w:t>
            </w:r>
          </w:p>
        </w:tc>
      </w:tr>
      <w:tr w:rsidR="00C41799" w:rsidRPr="00271E52" w14:paraId="3F8D69FF" w14:textId="77777777" w:rsidTr="00297D16">
        <w:trPr>
          <w:trHeight w:val="870"/>
        </w:trPr>
        <w:tc>
          <w:tcPr>
            <w:tcW w:w="549" w:type="dxa"/>
            <w:noWrap/>
            <w:hideMark/>
          </w:tcPr>
          <w:p w14:paraId="40D7133E"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10</w:t>
            </w:r>
          </w:p>
        </w:tc>
        <w:tc>
          <w:tcPr>
            <w:tcW w:w="5296" w:type="dxa"/>
            <w:hideMark/>
          </w:tcPr>
          <w:p w14:paraId="160A1901" w14:textId="46C0EF03"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Is TeMix application programming interface (API) the primary way to connect with the SCE Dynamic Rates Pilot? What other ways would be suggested to connect with the SCE Dynamic Rates Pilot</w:t>
            </w:r>
            <w:r w:rsidR="0121D940" w:rsidRPr="2929DF5F">
              <w:rPr>
                <w:rFonts w:ascii="Arial" w:eastAsia="Times New Roman" w:hAnsi="Arial" w:cs="Arial"/>
                <w:color w:val="000000" w:themeColor="text1"/>
              </w:rPr>
              <w:t>?</w:t>
            </w:r>
          </w:p>
        </w:tc>
        <w:tc>
          <w:tcPr>
            <w:tcW w:w="8465" w:type="dxa"/>
            <w:hideMark/>
          </w:tcPr>
          <w:p w14:paraId="1C6DE8EC" w14:textId="368D31CC"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Information on the SCE Dynamic Rates Pilot is available at </w:t>
            </w:r>
            <w:hyperlink r:id="rId15" w:history="1">
              <w:r w:rsidR="004A6AD5" w:rsidRPr="00271E52">
                <w:rPr>
                  <w:rStyle w:val="Hyperlink"/>
                  <w:rFonts w:ascii="Arial" w:eastAsia="Times New Roman" w:hAnsi="Arial" w:cs="Arial"/>
                </w:rPr>
                <w:t>https://www.dret-ca.com/dynamic-rate-pilot/</w:t>
              </w:r>
            </w:hyperlink>
            <w:r w:rsidRPr="00271E52">
              <w:rPr>
                <w:rFonts w:ascii="Arial" w:eastAsia="Times New Roman" w:hAnsi="Arial" w:cs="Arial"/>
                <w:color w:val="000000"/>
              </w:rPr>
              <w:t xml:space="preserve">. For additional questions on the SCE Dynamic Rates Pilot, including API integration, please contact SCE directly at </w:t>
            </w:r>
            <w:hyperlink r:id="rId16" w:history="1">
              <w:r w:rsidR="004A6AD5" w:rsidRPr="00271E52">
                <w:rPr>
                  <w:rStyle w:val="Hyperlink"/>
                  <w:rFonts w:ascii="Arial" w:eastAsia="Times New Roman" w:hAnsi="Arial" w:cs="Arial"/>
                </w:rPr>
                <w:t>Mark.S.Martinez@sce.com</w:t>
              </w:r>
            </w:hyperlink>
            <w:r w:rsidRPr="00271E52">
              <w:rPr>
                <w:rFonts w:ascii="Arial" w:eastAsia="Times New Roman" w:hAnsi="Arial" w:cs="Arial"/>
                <w:color w:val="000000"/>
              </w:rPr>
              <w:t>.</w:t>
            </w:r>
          </w:p>
        </w:tc>
      </w:tr>
      <w:tr w:rsidR="00C41799" w:rsidRPr="00271E52" w14:paraId="001B5071" w14:textId="77777777" w:rsidTr="00297D16">
        <w:trPr>
          <w:trHeight w:val="870"/>
        </w:trPr>
        <w:tc>
          <w:tcPr>
            <w:tcW w:w="549" w:type="dxa"/>
            <w:noWrap/>
            <w:hideMark/>
          </w:tcPr>
          <w:p w14:paraId="2F282152"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11</w:t>
            </w:r>
          </w:p>
        </w:tc>
        <w:tc>
          <w:tcPr>
            <w:tcW w:w="5296" w:type="dxa"/>
            <w:hideMark/>
          </w:tcPr>
          <w:p w14:paraId="31931DC8"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Do products need to be integrated with MIDAS before we apply, or can such integration activities be a part of the project budget?</w:t>
            </w:r>
          </w:p>
        </w:tc>
        <w:tc>
          <w:tcPr>
            <w:tcW w:w="8465" w:type="dxa"/>
            <w:hideMark/>
          </w:tcPr>
          <w:p w14:paraId="73EA5712" w14:textId="3988BC14"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Products may integrate with MIDAS as part of the project. Section II.C details eligible costs: "Labor, materials, equipment, and other resources to support product development," including grid signal integration</w:t>
            </w:r>
            <w:r w:rsidR="00293714" w:rsidRPr="00271E52">
              <w:rPr>
                <w:rFonts w:ascii="Arial" w:eastAsia="Times New Roman" w:hAnsi="Arial" w:cs="Arial"/>
                <w:color w:val="000000"/>
              </w:rPr>
              <w:t xml:space="preserve"> as described in Section II.B.1-1</w:t>
            </w:r>
            <w:r w:rsidRPr="00271E52">
              <w:rPr>
                <w:rFonts w:ascii="Arial" w:eastAsia="Times New Roman" w:hAnsi="Arial" w:cs="Arial"/>
                <w:color w:val="000000"/>
              </w:rPr>
              <w:t>, is "eligible for CEC reimbursement or as match share."</w:t>
            </w:r>
          </w:p>
        </w:tc>
      </w:tr>
      <w:tr w:rsidR="00C41799" w:rsidRPr="00271E52" w14:paraId="0DB8B979" w14:textId="77777777" w:rsidTr="00297D16">
        <w:trPr>
          <w:trHeight w:val="580"/>
        </w:trPr>
        <w:tc>
          <w:tcPr>
            <w:tcW w:w="549" w:type="dxa"/>
            <w:noWrap/>
            <w:hideMark/>
          </w:tcPr>
          <w:p w14:paraId="32E9BF1E"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12</w:t>
            </w:r>
          </w:p>
        </w:tc>
        <w:tc>
          <w:tcPr>
            <w:tcW w:w="5296" w:type="dxa"/>
            <w:hideMark/>
          </w:tcPr>
          <w:p w14:paraId="4C55A0FD"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Are non-traditional charging methods such as battery swapping eligible under REDWDS?</w:t>
            </w:r>
          </w:p>
        </w:tc>
        <w:tc>
          <w:tcPr>
            <w:tcW w:w="8465" w:type="dxa"/>
            <w:hideMark/>
          </w:tcPr>
          <w:p w14:paraId="0C0DEFE4" w14:textId="1D614898" w:rsidR="00C41799" w:rsidRPr="00271E52" w:rsidRDefault="00C41799" w:rsidP="00C41799">
            <w:pPr>
              <w:rPr>
                <w:rFonts w:ascii="Arial" w:eastAsia="Times New Roman" w:hAnsi="Arial" w:cs="Arial"/>
                <w:color w:val="000000"/>
              </w:rPr>
            </w:pPr>
            <w:r w:rsidRPr="6561E0AF">
              <w:rPr>
                <w:rFonts w:ascii="Arial" w:eastAsia="Times New Roman" w:hAnsi="Arial" w:cs="Arial"/>
                <w:color w:val="000000" w:themeColor="text1"/>
              </w:rPr>
              <w:t>Battery swapping hardware may be considered "charging hardware products" under Section II.B in the manual.</w:t>
            </w:r>
          </w:p>
        </w:tc>
      </w:tr>
      <w:tr w:rsidR="00C41799" w:rsidRPr="00271E52" w14:paraId="16AF3B9B" w14:textId="77777777" w:rsidTr="00297D16">
        <w:trPr>
          <w:trHeight w:val="580"/>
        </w:trPr>
        <w:tc>
          <w:tcPr>
            <w:tcW w:w="549" w:type="dxa"/>
            <w:noWrap/>
            <w:hideMark/>
          </w:tcPr>
          <w:p w14:paraId="02B020EA"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13</w:t>
            </w:r>
          </w:p>
        </w:tc>
        <w:tc>
          <w:tcPr>
            <w:tcW w:w="5296" w:type="dxa"/>
            <w:hideMark/>
          </w:tcPr>
          <w:p w14:paraId="39EB6F33" w14:textId="5C7C0B9C"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For those of us who missed the pre</w:t>
            </w:r>
            <w:r w:rsidR="00B12437" w:rsidRPr="2929DF5F">
              <w:rPr>
                <w:rFonts w:ascii="Arial" w:eastAsia="Times New Roman" w:hAnsi="Arial" w:cs="Arial"/>
                <w:color w:val="000000" w:themeColor="text1"/>
              </w:rPr>
              <w:t>-</w:t>
            </w:r>
            <w:r w:rsidRPr="2929DF5F">
              <w:rPr>
                <w:rFonts w:ascii="Arial" w:eastAsia="Times New Roman" w:hAnsi="Arial" w:cs="Arial"/>
                <w:color w:val="000000" w:themeColor="text1"/>
              </w:rPr>
              <w:t xml:space="preserve">solicitation workshops, are you accepting responses for funding </w:t>
            </w:r>
            <w:r w:rsidR="00336B7A" w:rsidRPr="2929DF5F">
              <w:rPr>
                <w:rFonts w:ascii="Arial" w:eastAsia="Times New Roman" w:hAnsi="Arial" w:cs="Arial"/>
                <w:color w:val="000000" w:themeColor="text1"/>
              </w:rPr>
              <w:t>for L</w:t>
            </w:r>
            <w:r w:rsidRPr="2929DF5F">
              <w:rPr>
                <w:rFonts w:ascii="Arial" w:eastAsia="Times New Roman" w:hAnsi="Arial" w:cs="Arial"/>
                <w:color w:val="000000" w:themeColor="text1"/>
              </w:rPr>
              <w:t>evel 3 chargers?</w:t>
            </w:r>
          </w:p>
        </w:tc>
        <w:tc>
          <w:tcPr>
            <w:tcW w:w="8465" w:type="dxa"/>
            <w:hideMark/>
          </w:tcPr>
          <w:p w14:paraId="1815C83B"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Direct current (DC) chargers are not excluded from REDWDS. DC chargers may be considered "charging hardware products" under Section II.B in the manual.</w:t>
            </w:r>
          </w:p>
        </w:tc>
      </w:tr>
      <w:tr w:rsidR="00C41799" w:rsidRPr="00271E52" w14:paraId="4D5A34B9" w14:textId="77777777" w:rsidTr="00297D16">
        <w:trPr>
          <w:trHeight w:val="580"/>
        </w:trPr>
        <w:tc>
          <w:tcPr>
            <w:tcW w:w="549" w:type="dxa"/>
            <w:noWrap/>
            <w:hideMark/>
          </w:tcPr>
          <w:p w14:paraId="5B8E5750"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14</w:t>
            </w:r>
          </w:p>
        </w:tc>
        <w:tc>
          <w:tcPr>
            <w:tcW w:w="5296" w:type="dxa"/>
            <w:hideMark/>
          </w:tcPr>
          <w:p w14:paraId="7EB88621"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Does registered with the California Secretary of State mean registered to do business in California, or is there some further requirement?</w:t>
            </w:r>
          </w:p>
        </w:tc>
        <w:tc>
          <w:tcPr>
            <w:tcW w:w="8465" w:type="dxa"/>
            <w:hideMark/>
          </w:tcPr>
          <w:p w14:paraId="07FE99AD" w14:textId="696B0546" w:rsidR="00C41799" w:rsidRPr="0041447F" w:rsidRDefault="0262A5C0" w:rsidP="00C41799">
            <w:pPr>
              <w:rPr>
                <w:rFonts w:ascii="Arial" w:eastAsia="Arial" w:hAnsi="Arial" w:cs="Arial"/>
              </w:rPr>
            </w:pPr>
            <w:r w:rsidRPr="0041447F">
              <w:rPr>
                <w:rFonts w:ascii="Arial" w:eastAsia="Arial" w:hAnsi="Arial" w:cs="Arial"/>
              </w:rPr>
              <w:t>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 CEC Business Meeting.</w:t>
            </w:r>
            <w:r w:rsidR="009A5E75" w:rsidRPr="3718F3BB">
              <w:rPr>
                <w:rFonts w:ascii="Arial" w:eastAsia="Times New Roman" w:hAnsi="Arial" w:cs="Arial"/>
                <w:color w:val="000000" w:themeColor="text1"/>
              </w:rPr>
              <w:t xml:space="preserve"> </w:t>
            </w:r>
            <w:r w:rsidR="23946549" w:rsidRPr="3718F3BB">
              <w:rPr>
                <w:rFonts w:ascii="Arial" w:eastAsia="Times New Roman" w:hAnsi="Arial" w:cs="Arial"/>
                <w:color w:val="000000" w:themeColor="text1"/>
              </w:rPr>
              <w:t xml:space="preserve"> </w:t>
            </w:r>
            <w:r w:rsidR="23946549" w:rsidRPr="0041447F">
              <w:rPr>
                <w:rFonts w:ascii="Arial" w:eastAsia="Arial" w:hAnsi="Arial" w:cs="Arial"/>
              </w:rPr>
              <w:t>Sole proprietors using a fictitious business name must be registered with the appropriate county and provide evidence of registration to CEC prior to their project being recommended for approval at a CEC Business Meeting.</w:t>
            </w:r>
            <w:r w:rsidR="02E6D7E2" w:rsidRPr="3718F3BB">
              <w:rPr>
                <w:rFonts w:ascii="Arial" w:eastAsia="Arial" w:hAnsi="Arial" w:cs="Arial"/>
              </w:rPr>
              <w:t xml:space="preserve"> Please refer to Application Manual Section II.A.3. </w:t>
            </w:r>
          </w:p>
        </w:tc>
      </w:tr>
      <w:tr w:rsidR="00C41799" w:rsidRPr="00271E52" w14:paraId="79478181" w14:textId="77777777" w:rsidTr="00297D16">
        <w:trPr>
          <w:trHeight w:val="580"/>
        </w:trPr>
        <w:tc>
          <w:tcPr>
            <w:tcW w:w="549" w:type="dxa"/>
            <w:noWrap/>
            <w:hideMark/>
          </w:tcPr>
          <w:p w14:paraId="18A583DD"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15</w:t>
            </w:r>
          </w:p>
        </w:tc>
        <w:tc>
          <w:tcPr>
            <w:tcW w:w="5296" w:type="dxa"/>
            <w:hideMark/>
          </w:tcPr>
          <w:p w14:paraId="20C062EB"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Are costs associated with certification reimbursable by CEC?</w:t>
            </w:r>
          </w:p>
        </w:tc>
        <w:tc>
          <w:tcPr>
            <w:tcW w:w="8465" w:type="dxa"/>
            <w:hideMark/>
          </w:tcPr>
          <w:p w14:paraId="0F9F9C9A" w14:textId="4A5BD52A" w:rsidR="00C41799" w:rsidRPr="00271E52" w:rsidRDefault="00C41799" w:rsidP="00C41799">
            <w:pPr>
              <w:rPr>
                <w:rFonts w:ascii="Arial" w:eastAsia="Times New Roman" w:hAnsi="Arial" w:cs="Arial"/>
                <w:color w:val="000000"/>
              </w:rPr>
            </w:pPr>
            <w:r w:rsidRPr="3718F3BB">
              <w:rPr>
                <w:rFonts w:ascii="Arial" w:eastAsia="Times New Roman" w:hAnsi="Arial" w:cs="Arial"/>
                <w:color w:val="000000" w:themeColor="text1"/>
              </w:rPr>
              <w:t xml:space="preserve">Yes. Section II.C details eligible costs: "Labor, materials, equipment, and other resources to support product development," including "product testing," is "eligible </w:t>
            </w:r>
            <w:r w:rsidRPr="3718F3BB">
              <w:rPr>
                <w:rFonts w:ascii="Arial" w:eastAsia="Times New Roman" w:hAnsi="Arial" w:cs="Arial"/>
                <w:color w:val="000000" w:themeColor="text1"/>
              </w:rPr>
              <w:lastRenderedPageBreak/>
              <w:t>for CEC reimbursement or as match share."</w:t>
            </w:r>
            <w:r w:rsidR="62394A7A" w:rsidRPr="3718F3BB">
              <w:rPr>
                <w:rFonts w:ascii="Arial" w:eastAsia="Times New Roman" w:hAnsi="Arial" w:cs="Arial"/>
                <w:color w:val="000000" w:themeColor="text1"/>
              </w:rPr>
              <w:t xml:space="preserve"> Please note that any expenditures incurred prior to agreement execution are not reimbursable from CEC funds. </w:t>
            </w:r>
          </w:p>
        </w:tc>
      </w:tr>
      <w:tr w:rsidR="00C41799" w:rsidRPr="00271E52" w14:paraId="6144FB05" w14:textId="77777777" w:rsidTr="00297D16">
        <w:trPr>
          <w:trHeight w:val="580"/>
        </w:trPr>
        <w:tc>
          <w:tcPr>
            <w:tcW w:w="549" w:type="dxa"/>
            <w:noWrap/>
            <w:hideMark/>
          </w:tcPr>
          <w:p w14:paraId="47402F98"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lastRenderedPageBreak/>
              <w:t>16</w:t>
            </w:r>
          </w:p>
        </w:tc>
        <w:tc>
          <w:tcPr>
            <w:tcW w:w="5296" w:type="dxa"/>
            <w:hideMark/>
          </w:tcPr>
          <w:p w14:paraId="046EAC45" w14:textId="0DA10829"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Does REDWDS require Open Charge Point Protocol</w:t>
            </w:r>
            <w:r w:rsidR="008876BC" w:rsidRPr="00271E52">
              <w:rPr>
                <w:rFonts w:ascii="Arial" w:eastAsia="Times New Roman" w:hAnsi="Arial" w:cs="Arial"/>
                <w:color w:val="000000"/>
              </w:rPr>
              <w:t xml:space="preserve"> (OCPP)</w:t>
            </w:r>
            <w:r w:rsidRPr="00271E52">
              <w:rPr>
                <w:rFonts w:ascii="Arial" w:eastAsia="Times New Roman" w:hAnsi="Arial" w:cs="Arial"/>
                <w:color w:val="000000"/>
              </w:rPr>
              <w:t xml:space="preserve"> 2.0.1?</w:t>
            </w:r>
          </w:p>
        </w:tc>
        <w:tc>
          <w:tcPr>
            <w:tcW w:w="8465" w:type="dxa"/>
            <w:hideMark/>
          </w:tcPr>
          <w:p w14:paraId="24D38293" w14:textId="3D49A7F4"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REDWDS does not specify a particular version of OCPP. </w:t>
            </w:r>
            <w:r w:rsidR="008876BC" w:rsidRPr="00271E52">
              <w:rPr>
                <w:rFonts w:ascii="Arial" w:eastAsia="Times New Roman" w:hAnsi="Arial" w:cs="Arial"/>
                <w:color w:val="000000"/>
              </w:rPr>
              <w:t xml:space="preserve">Relatedly, </w:t>
            </w:r>
            <w:r w:rsidRPr="00271E52">
              <w:rPr>
                <w:rFonts w:ascii="Arial" w:eastAsia="Times New Roman" w:hAnsi="Arial" w:cs="Arial"/>
                <w:color w:val="000000"/>
              </w:rPr>
              <w:t>Section IV.E</w:t>
            </w:r>
            <w:r w:rsidR="008876BC" w:rsidRPr="00271E52">
              <w:rPr>
                <w:rFonts w:ascii="Arial" w:eastAsia="Times New Roman" w:hAnsi="Arial" w:cs="Arial"/>
                <w:color w:val="000000"/>
              </w:rPr>
              <w:t xml:space="preserve"> Evaluation Criterion 7</w:t>
            </w:r>
            <w:r w:rsidRPr="00271E52">
              <w:rPr>
                <w:rFonts w:ascii="Arial" w:eastAsia="Times New Roman" w:hAnsi="Arial" w:cs="Arial"/>
                <w:color w:val="000000"/>
              </w:rPr>
              <w:t xml:space="preserve"> indicates that "implementation of newer versions of OCPP will be scored higher."</w:t>
            </w:r>
          </w:p>
        </w:tc>
      </w:tr>
      <w:tr w:rsidR="00C41799" w:rsidRPr="00271E52" w14:paraId="0C4BBDA6" w14:textId="77777777" w:rsidTr="00297D16">
        <w:trPr>
          <w:trHeight w:val="3190"/>
        </w:trPr>
        <w:tc>
          <w:tcPr>
            <w:tcW w:w="549" w:type="dxa"/>
            <w:noWrap/>
            <w:hideMark/>
          </w:tcPr>
          <w:p w14:paraId="2E5EE2CF"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17</w:t>
            </w:r>
          </w:p>
        </w:tc>
        <w:tc>
          <w:tcPr>
            <w:tcW w:w="5296" w:type="dxa"/>
            <w:hideMark/>
          </w:tcPr>
          <w:p w14:paraId="092FD992"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Could a project integrate with a non-MIDAS dynamic pricing API? Also, does pricing have to be a retail rate or would supply side dynamic energy and capacity costs qualify too?</w:t>
            </w:r>
          </w:p>
        </w:tc>
        <w:tc>
          <w:tcPr>
            <w:tcW w:w="8465" w:type="dxa"/>
            <w:hideMark/>
          </w:tcPr>
          <w:p w14:paraId="0BBA7CA0" w14:textId="115FFC0D" w:rsidR="00C41799" w:rsidRPr="00271E52" w:rsidRDefault="007F64A3" w:rsidP="00C41799">
            <w:pPr>
              <w:rPr>
                <w:rFonts w:ascii="Arial" w:eastAsia="Times New Roman" w:hAnsi="Arial" w:cs="Arial"/>
                <w:color w:val="000000"/>
              </w:rPr>
            </w:pPr>
            <w:r w:rsidRPr="00271E52">
              <w:rPr>
                <w:rFonts w:ascii="Arial" w:eastAsia="Times New Roman" w:hAnsi="Arial" w:cs="Arial"/>
                <w:color w:val="000000"/>
              </w:rPr>
              <w:t xml:space="preserve">As described in </w:t>
            </w:r>
            <w:r w:rsidR="00C41799" w:rsidRPr="00271E52">
              <w:rPr>
                <w:rFonts w:ascii="Arial" w:eastAsia="Times New Roman" w:hAnsi="Arial" w:cs="Arial"/>
                <w:color w:val="000000"/>
              </w:rPr>
              <w:t>Section II.B.1-1</w:t>
            </w:r>
            <w:r w:rsidRPr="00271E52">
              <w:rPr>
                <w:rFonts w:ascii="Arial" w:eastAsia="Times New Roman" w:hAnsi="Arial" w:cs="Arial"/>
                <w:color w:val="000000"/>
              </w:rPr>
              <w:t>,</w:t>
            </w:r>
            <w:r w:rsidR="00C41799" w:rsidRPr="00271E52">
              <w:rPr>
                <w:rFonts w:ascii="Arial" w:eastAsia="Times New Roman" w:hAnsi="Arial" w:cs="Arial"/>
                <w:color w:val="000000"/>
              </w:rPr>
              <w:t xml:space="preserve"> all products must at minimum "be capable of retrieving electricity rates and Flex Alerts from the CEC’s Market Informed Demand Automation Server (MIDAS)." Products "may optionally integrate with other application programming interfaces (APIs) needed to retrieve grid signals and execute transactive energy tenders," including those providing supply side signals. Relatedly, Section II.B.1-2 states that all products must, at minimum, "Be capable of optimizing vehicle charging in response to the dynamic signals described in 1-1 ... and customer needs and preferences."</w:t>
            </w:r>
            <w:r w:rsidR="00C41799" w:rsidRPr="00271E52">
              <w:rPr>
                <w:rFonts w:ascii="Arial" w:eastAsia="Times New Roman" w:hAnsi="Arial" w:cs="Arial"/>
                <w:color w:val="000000"/>
              </w:rPr>
              <w:br/>
            </w:r>
            <w:r w:rsidR="00C41799" w:rsidRPr="00271E52">
              <w:rPr>
                <w:rFonts w:ascii="Arial" w:eastAsia="Times New Roman" w:hAnsi="Arial" w:cs="Arial"/>
                <w:color w:val="000000"/>
              </w:rPr>
              <w:br/>
              <w:t xml:space="preserve">During the customer deployment portion of the project, Section II.B.2-4 requires that "At least 35 percent of deployments must be with customers who enroll in a dynamic or transactive energy rate." </w:t>
            </w:r>
            <w:r w:rsidR="00C41799" w:rsidRPr="00271E52">
              <w:rPr>
                <w:rFonts w:ascii="Arial" w:eastAsia="Times New Roman" w:hAnsi="Arial" w:cs="Arial"/>
                <w:color w:val="000000"/>
              </w:rPr>
              <w:br/>
            </w:r>
            <w:r w:rsidR="00C41799" w:rsidRPr="00271E52">
              <w:rPr>
                <w:rFonts w:ascii="Arial" w:eastAsia="Times New Roman" w:hAnsi="Arial" w:cs="Arial"/>
                <w:color w:val="000000"/>
              </w:rPr>
              <w:br/>
              <w:t>Products are welcome to exceed these minimum requirements.</w:t>
            </w:r>
          </w:p>
        </w:tc>
      </w:tr>
      <w:tr w:rsidR="00C41799" w:rsidRPr="00271E52" w14:paraId="78013959" w14:textId="77777777" w:rsidTr="00297D16">
        <w:trPr>
          <w:trHeight w:val="580"/>
        </w:trPr>
        <w:tc>
          <w:tcPr>
            <w:tcW w:w="549" w:type="dxa"/>
            <w:noWrap/>
            <w:hideMark/>
          </w:tcPr>
          <w:p w14:paraId="50B753A2"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18</w:t>
            </w:r>
          </w:p>
        </w:tc>
        <w:tc>
          <w:tcPr>
            <w:tcW w:w="5296" w:type="dxa"/>
            <w:hideMark/>
          </w:tcPr>
          <w:p w14:paraId="24104EE3"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Is bidirectional charging eligible?</w:t>
            </w:r>
          </w:p>
        </w:tc>
        <w:tc>
          <w:tcPr>
            <w:tcW w:w="8465" w:type="dxa"/>
            <w:hideMark/>
          </w:tcPr>
          <w:p w14:paraId="20AF168F"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As described in Section II.B, bidirectional charging products are eligible. All products must meet or exceed the minimum requirements described in Section II.B.</w:t>
            </w:r>
          </w:p>
        </w:tc>
      </w:tr>
      <w:tr w:rsidR="00C41799" w:rsidRPr="00271E52" w14:paraId="5E66E75C" w14:textId="77777777" w:rsidTr="00297D16">
        <w:trPr>
          <w:trHeight w:val="580"/>
        </w:trPr>
        <w:tc>
          <w:tcPr>
            <w:tcW w:w="549" w:type="dxa"/>
            <w:noWrap/>
            <w:hideMark/>
          </w:tcPr>
          <w:p w14:paraId="6201FD85"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19</w:t>
            </w:r>
          </w:p>
        </w:tc>
        <w:tc>
          <w:tcPr>
            <w:tcW w:w="5296" w:type="dxa"/>
            <w:hideMark/>
          </w:tcPr>
          <w:p w14:paraId="0167D0A1"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Would a charging software provider that deploys load management software be eligible to apply for REDWDS?</w:t>
            </w:r>
          </w:p>
        </w:tc>
        <w:tc>
          <w:tcPr>
            <w:tcW w:w="8465" w:type="dxa"/>
            <w:hideMark/>
          </w:tcPr>
          <w:p w14:paraId="06BB66E4"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Yes. Section II.A.1 now clarifies that REDWDS "is open to ... Electric vehicle charging software and/or hardware providers. </w:t>
            </w:r>
          </w:p>
        </w:tc>
      </w:tr>
      <w:tr w:rsidR="00C41799" w:rsidRPr="00271E52" w14:paraId="69D5F833" w14:textId="77777777" w:rsidTr="00297D16">
        <w:trPr>
          <w:trHeight w:val="290"/>
        </w:trPr>
        <w:tc>
          <w:tcPr>
            <w:tcW w:w="549" w:type="dxa"/>
            <w:noWrap/>
            <w:hideMark/>
          </w:tcPr>
          <w:p w14:paraId="2CC6920C"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20</w:t>
            </w:r>
          </w:p>
        </w:tc>
        <w:tc>
          <w:tcPr>
            <w:tcW w:w="5296" w:type="dxa"/>
            <w:hideMark/>
          </w:tcPr>
          <w:p w14:paraId="58DD9B71"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Where can I find the template for the application submission?</w:t>
            </w:r>
          </w:p>
        </w:tc>
        <w:tc>
          <w:tcPr>
            <w:tcW w:w="8465" w:type="dxa"/>
            <w:hideMark/>
          </w:tcPr>
          <w:p w14:paraId="48A12A06" w14:textId="31E26C80" w:rsidR="00C41799" w:rsidRPr="00271E52" w:rsidRDefault="00E309C9" w:rsidP="00C41799">
            <w:pPr>
              <w:rPr>
                <w:rFonts w:ascii="Arial" w:eastAsia="Times New Roman" w:hAnsi="Arial" w:cs="Arial"/>
                <w:color w:val="000000"/>
              </w:rPr>
            </w:pPr>
            <w:r w:rsidRPr="2929DF5F">
              <w:rPr>
                <w:rFonts w:ascii="Arial" w:eastAsia="Times New Roman" w:hAnsi="Arial" w:cs="Arial"/>
                <w:color w:val="000000" w:themeColor="text1"/>
              </w:rPr>
              <w:t xml:space="preserve">Required </w:t>
            </w:r>
            <w:r w:rsidR="2BFBD50C" w:rsidRPr="2929DF5F">
              <w:rPr>
                <w:rFonts w:ascii="Arial" w:eastAsia="Times New Roman" w:hAnsi="Arial" w:cs="Arial"/>
                <w:color w:val="000000" w:themeColor="text1"/>
              </w:rPr>
              <w:t>application</w:t>
            </w:r>
            <w:r w:rsidR="00C41799" w:rsidRPr="2929DF5F">
              <w:rPr>
                <w:rFonts w:ascii="Arial" w:eastAsia="Times New Roman" w:hAnsi="Arial" w:cs="Arial"/>
                <w:color w:val="000000" w:themeColor="text1"/>
              </w:rPr>
              <w:t xml:space="preserve"> </w:t>
            </w:r>
            <w:r w:rsidRPr="2929DF5F">
              <w:rPr>
                <w:rFonts w:ascii="Arial" w:eastAsia="Times New Roman" w:hAnsi="Arial" w:cs="Arial"/>
                <w:color w:val="000000" w:themeColor="text1"/>
              </w:rPr>
              <w:t>components</w:t>
            </w:r>
            <w:r w:rsidR="00C41799" w:rsidRPr="2929DF5F">
              <w:rPr>
                <w:rFonts w:ascii="Arial" w:eastAsia="Times New Roman" w:hAnsi="Arial" w:cs="Arial"/>
                <w:color w:val="000000" w:themeColor="text1"/>
              </w:rPr>
              <w:t xml:space="preserve"> are detailed in Section III. </w:t>
            </w:r>
          </w:p>
        </w:tc>
      </w:tr>
      <w:tr w:rsidR="00C41799" w:rsidRPr="00271E52" w14:paraId="79ADC270" w14:textId="77777777" w:rsidTr="00297D16">
        <w:trPr>
          <w:trHeight w:val="1160"/>
        </w:trPr>
        <w:tc>
          <w:tcPr>
            <w:tcW w:w="549" w:type="dxa"/>
            <w:noWrap/>
            <w:hideMark/>
          </w:tcPr>
          <w:p w14:paraId="509FBC6E"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21</w:t>
            </w:r>
          </w:p>
        </w:tc>
        <w:tc>
          <w:tcPr>
            <w:tcW w:w="5296" w:type="dxa"/>
            <w:hideMark/>
          </w:tcPr>
          <w:p w14:paraId="1B0CA420" w14:textId="77777777" w:rsidR="00C41799" w:rsidRPr="00271E52" w:rsidRDefault="00C41799" w:rsidP="00C41799">
            <w:pPr>
              <w:rPr>
                <w:rFonts w:ascii="Arial" w:eastAsia="Times New Roman" w:hAnsi="Arial" w:cs="Arial"/>
              </w:rPr>
            </w:pPr>
            <w:r w:rsidRPr="00271E52">
              <w:rPr>
                <w:rFonts w:ascii="Arial" w:eastAsia="Times New Roman" w:hAnsi="Arial" w:cs="Arial"/>
              </w:rPr>
              <w:t>Is there a requirement for deployed electric vehicle supply equipment (EVSE; that is, chargers) to be UL certified, and is field certification acceptable?</w:t>
            </w:r>
          </w:p>
        </w:tc>
        <w:tc>
          <w:tcPr>
            <w:tcW w:w="8465" w:type="dxa"/>
            <w:hideMark/>
          </w:tcPr>
          <w:p w14:paraId="4F012323" w14:textId="21FEF25D" w:rsidR="00C41799" w:rsidRPr="00271E52" w:rsidRDefault="00C41799" w:rsidP="00C41799">
            <w:pPr>
              <w:rPr>
                <w:rFonts w:ascii="Arial" w:eastAsia="Times New Roman" w:hAnsi="Arial" w:cs="Arial"/>
                <w:color w:val="000000"/>
              </w:rPr>
            </w:pPr>
            <w:r w:rsidRPr="2C79C797">
              <w:rPr>
                <w:rFonts w:ascii="Arial" w:eastAsia="Times New Roman" w:hAnsi="Arial" w:cs="Arial"/>
                <w:color w:val="000000" w:themeColor="text1"/>
              </w:rPr>
              <w:t xml:space="preserve">Sections II.B.2-5 and II.B.5-3 now clarify that "Any EVSE funded through this solicitation must be: Safety certified by a Nationally Recognized Testing Laboratory prior to deployment at a customer site." EVSE must meet this requirement at time of deployment but do not need to meet this requirement at time of application submission. </w:t>
            </w:r>
            <w:r w:rsidR="00770F4E" w:rsidRPr="2C79C797">
              <w:rPr>
                <w:rFonts w:ascii="Arial" w:eastAsia="Times New Roman" w:hAnsi="Arial" w:cs="Arial"/>
                <w:color w:val="000000" w:themeColor="text1"/>
              </w:rPr>
              <w:t xml:space="preserve">Field certification is not acceptable unless it meets these requirements. </w:t>
            </w:r>
            <w:r w:rsidRPr="2C79C797">
              <w:rPr>
                <w:rFonts w:ascii="Arial" w:eastAsia="Times New Roman" w:hAnsi="Arial" w:cs="Arial"/>
                <w:color w:val="000000" w:themeColor="text1"/>
              </w:rPr>
              <w:t>As described in Section II.C, "Product testing" is an eligible project cost.</w:t>
            </w:r>
          </w:p>
        </w:tc>
      </w:tr>
      <w:tr w:rsidR="00C41799" w:rsidRPr="00271E52" w14:paraId="54D01418" w14:textId="77777777" w:rsidTr="00297D16">
        <w:trPr>
          <w:trHeight w:val="1160"/>
        </w:trPr>
        <w:tc>
          <w:tcPr>
            <w:tcW w:w="549" w:type="dxa"/>
            <w:noWrap/>
            <w:hideMark/>
          </w:tcPr>
          <w:p w14:paraId="1A0942E4"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22</w:t>
            </w:r>
          </w:p>
        </w:tc>
        <w:tc>
          <w:tcPr>
            <w:tcW w:w="5296" w:type="dxa"/>
            <w:hideMark/>
          </w:tcPr>
          <w:p w14:paraId="7057F693"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Does REDWDS require UL 1741 certification?</w:t>
            </w:r>
          </w:p>
        </w:tc>
        <w:tc>
          <w:tcPr>
            <w:tcW w:w="8465" w:type="dxa"/>
            <w:hideMark/>
          </w:tcPr>
          <w:p w14:paraId="799B45C2" w14:textId="2CC1BA64"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REDWDS does not specify any UL 1741 certification requirements. However, UL 1741 certification may be required by utilities for interconnection. </w:t>
            </w:r>
            <w:r w:rsidR="005E45B2" w:rsidRPr="00271E52">
              <w:rPr>
                <w:rFonts w:ascii="Arial" w:eastAsia="Times New Roman" w:hAnsi="Arial" w:cs="Arial"/>
                <w:color w:val="000000"/>
              </w:rPr>
              <w:t xml:space="preserve">Section IV.E </w:t>
            </w:r>
            <w:r w:rsidRPr="00271E52">
              <w:rPr>
                <w:rFonts w:ascii="Arial" w:eastAsia="Times New Roman" w:hAnsi="Arial" w:cs="Arial"/>
                <w:color w:val="000000"/>
              </w:rPr>
              <w:t>Evaluation Criterion 9a evaluates applications on the extent to which they describe "Any coordination with utilities," and "Plans for deployments with bidirectional charging ... including any preparation steps such as electrical readiness and utility interconnection."</w:t>
            </w:r>
          </w:p>
        </w:tc>
      </w:tr>
      <w:tr w:rsidR="00C41799" w:rsidRPr="00271E52" w14:paraId="59F9C535" w14:textId="77777777" w:rsidTr="00297D16">
        <w:trPr>
          <w:trHeight w:val="580"/>
        </w:trPr>
        <w:tc>
          <w:tcPr>
            <w:tcW w:w="549" w:type="dxa"/>
            <w:noWrap/>
            <w:hideMark/>
          </w:tcPr>
          <w:p w14:paraId="4D9FB6DB"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lastRenderedPageBreak/>
              <w:t>23</w:t>
            </w:r>
          </w:p>
        </w:tc>
        <w:tc>
          <w:tcPr>
            <w:tcW w:w="5296" w:type="dxa"/>
            <w:hideMark/>
          </w:tcPr>
          <w:p w14:paraId="0336DD1C"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Is the automation service provider or aggregator credit incremental?</w:t>
            </w:r>
          </w:p>
        </w:tc>
        <w:tc>
          <w:tcPr>
            <w:tcW w:w="8465" w:type="dxa"/>
            <w:hideMark/>
          </w:tcPr>
          <w:p w14:paraId="6ACD1DB6" w14:textId="4FE6D6BF"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No. As described under Section II.B.2-1, "Each deployment shall only count as one deployment type</w:t>
            </w:r>
            <w:r w:rsidR="2BFBD50C" w:rsidRPr="2929DF5F">
              <w:rPr>
                <w:rFonts w:ascii="Arial" w:eastAsia="Times New Roman" w:hAnsi="Arial" w:cs="Arial"/>
                <w:color w:val="000000" w:themeColor="text1"/>
              </w:rPr>
              <w:t>."</w:t>
            </w:r>
          </w:p>
        </w:tc>
      </w:tr>
      <w:tr w:rsidR="00C41799" w:rsidRPr="00271E52" w14:paraId="53EF7A48" w14:textId="77777777" w:rsidTr="00297D16">
        <w:trPr>
          <w:trHeight w:val="1450"/>
        </w:trPr>
        <w:tc>
          <w:tcPr>
            <w:tcW w:w="549" w:type="dxa"/>
            <w:noWrap/>
            <w:hideMark/>
          </w:tcPr>
          <w:p w14:paraId="5E0F56FF"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24</w:t>
            </w:r>
          </w:p>
        </w:tc>
        <w:tc>
          <w:tcPr>
            <w:tcW w:w="5296" w:type="dxa"/>
            <w:hideMark/>
          </w:tcPr>
          <w:p w14:paraId="0D895F30"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If a charger manufacturer and an aggregator apply together, how would the credits be counted for a given new charger installation?</w:t>
            </w:r>
          </w:p>
        </w:tc>
        <w:tc>
          <w:tcPr>
            <w:tcW w:w="8465" w:type="dxa"/>
            <w:hideMark/>
          </w:tcPr>
          <w:p w14:paraId="33EDF82D" w14:textId="2CF96AF9" w:rsidR="00C41799" w:rsidRPr="00271E52" w:rsidRDefault="00C41799" w:rsidP="3718F3BB">
            <w:pPr>
              <w:rPr>
                <w:rFonts w:ascii="Arial" w:eastAsia="Times New Roman" w:hAnsi="Arial" w:cs="Arial"/>
                <w:color w:val="000000" w:themeColor="text1"/>
              </w:rPr>
            </w:pPr>
            <w:r w:rsidRPr="2929DF5F">
              <w:rPr>
                <w:rFonts w:ascii="Arial" w:eastAsia="Times New Roman" w:hAnsi="Arial" w:cs="Arial"/>
                <w:color w:val="000000" w:themeColor="text1"/>
              </w:rPr>
              <w:t xml:space="preserve">The </w:t>
            </w:r>
            <w:r w:rsidR="002D1F21" w:rsidRPr="2929DF5F">
              <w:rPr>
                <w:rFonts w:ascii="Arial" w:eastAsia="Times New Roman" w:hAnsi="Arial" w:cs="Arial"/>
                <w:color w:val="000000" w:themeColor="text1"/>
              </w:rPr>
              <w:t>A</w:t>
            </w:r>
            <w:r w:rsidRPr="2929DF5F">
              <w:rPr>
                <w:rFonts w:ascii="Arial" w:eastAsia="Times New Roman" w:hAnsi="Arial" w:cs="Arial"/>
                <w:color w:val="000000" w:themeColor="text1"/>
              </w:rPr>
              <w:t xml:space="preserve">pplicant is responsible for determining the most appropriate deployment credit type. For projects where multiple deployment credit types are equally appropriate, the </w:t>
            </w:r>
            <w:r w:rsidR="002D1F21" w:rsidRPr="2929DF5F">
              <w:rPr>
                <w:rFonts w:ascii="Arial" w:eastAsia="Times New Roman" w:hAnsi="Arial" w:cs="Arial"/>
                <w:color w:val="000000" w:themeColor="text1"/>
              </w:rPr>
              <w:t>A</w:t>
            </w:r>
            <w:r w:rsidRPr="2929DF5F">
              <w:rPr>
                <w:rFonts w:ascii="Arial" w:eastAsia="Times New Roman" w:hAnsi="Arial" w:cs="Arial"/>
                <w:color w:val="000000" w:themeColor="text1"/>
              </w:rPr>
              <w:t>pplicant is responsible for selecting one for the purposes of the deployment credit calculation. As described under Section II.B.2-1, "CEC may verify deployment credit calculations," and "Each deployment shall only count as one deployment type</w:t>
            </w:r>
            <w:r w:rsidR="2BFBD50C" w:rsidRPr="2929DF5F">
              <w:rPr>
                <w:rFonts w:ascii="Arial" w:eastAsia="Times New Roman" w:hAnsi="Arial" w:cs="Arial"/>
                <w:color w:val="000000" w:themeColor="text1"/>
              </w:rPr>
              <w:t>."</w:t>
            </w:r>
          </w:p>
          <w:p w14:paraId="3C669F96" w14:textId="1E0F710B" w:rsidR="00C41799" w:rsidRPr="00271E52" w:rsidRDefault="00C41799" w:rsidP="3718F3BB">
            <w:pPr>
              <w:rPr>
                <w:rFonts w:ascii="Arial" w:eastAsia="Times New Roman" w:hAnsi="Arial" w:cs="Arial"/>
                <w:color w:val="000000" w:themeColor="text1"/>
              </w:rPr>
            </w:pPr>
          </w:p>
          <w:p w14:paraId="6A157326" w14:textId="070A1892" w:rsidR="00C41799" w:rsidRPr="00271E52" w:rsidRDefault="6355F4CE" w:rsidP="00C41799">
            <w:pPr>
              <w:rPr>
                <w:rFonts w:ascii="Arial" w:eastAsia="Times New Roman" w:hAnsi="Arial" w:cs="Arial"/>
                <w:color w:val="000000"/>
              </w:rPr>
            </w:pPr>
            <w:r w:rsidRPr="3718F3BB">
              <w:rPr>
                <w:rFonts w:ascii="Arial" w:eastAsia="Times New Roman" w:hAnsi="Arial" w:cs="Arial"/>
                <w:color w:val="000000" w:themeColor="text1"/>
              </w:rPr>
              <w:t xml:space="preserve">There must be a single applicant. The applicant may partner or subcontract with other entities. </w:t>
            </w:r>
          </w:p>
        </w:tc>
      </w:tr>
      <w:tr w:rsidR="00C41799" w:rsidRPr="00271E52" w14:paraId="4274349B" w14:textId="77777777" w:rsidTr="00297D16">
        <w:trPr>
          <w:trHeight w:val="580"/>
        </w:trPr>
        <w:tc>
          <w:tcPr>
            <w:tcW w:w="549" w:type="dxa"/>
            <w:noWrap/>
            <w:hideMark/>
          </w:tcPr>
          <w:p w14:paraId="2532F134"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25</w:t>
            </w:r>
          </w:p>
        </w:tc>
        <w:tc>
          <w:tcPr>
            <w:tcW w:w="5296" w:type="dxa"/>
            <w:hideMark/>
          </w:tcPr>
          <w:p w14:paraId="2E5C1196"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By "existing EVSE," does this mean EVSE that are already deployed and commissioned?</w:t>
            </w:r>
          </w:p>
        </w:tc>
        <w:tc>
          <w:tcPr>
            <w:tcW w:w="8465" w:type="dxa"/>
            <w:hideMark/>
          </w:tcPr>
          <w:p w14:paraId="1D1B7C17" w14:textId="17C6C812" w:rsidR="00C41799" w:rsidRPr="00271E52" w:rsidRDefault="00C41799" w:rsidP="00C41799">
            <w:pPr>
              <w:rPr>
                <w:rFonts w:ascii="Arial" w:eastAsia="Times New Roman" w:hAnsi="Arial" w:cs="Arial"/>
                <w:color w:val="000000"/>
              </w:rPr>
            </w:pPr>
            <w:r w:rsidRPr="3718F3BB">
              <w:rPr>
                <w:rFonts w:ascii="Arial" w:eastAsia="Times New Roman" w:hAnsi="Arial" w:cs="Arial"/>
                <w:color w:val="000000" w:themeColor="text1"/>
              </w:rPr>
              <w:t xml:space="preserve">Yes. "Existing EVSE" refers to EVSE already </w:t>
            </w:r>
            <w:r w:rsidR="32AB804B" w:rsidRPr="3718F3BB">
              <w:rPr>
                <w:rFonts w:ascii="Arial" w:eastAsia="Times New Roman" w:hAnsi="Arial" w:cs="Arial"/>
                <w:color w:val="000000" w:themeColor="text1"/>
              </w:rPr>
              <w:t xml:space="preserve">deployed and commissioned </w:t>
            </w:r>
            <w:r w:rsidRPr="3718F3BB">
              <w:rPr>
                <w:rFonts w:ascii="Arial" w:eastAsia="Times New Roman" w:hAnsi="Arial" w:cs="Arial"/>
                <w:color w:val="000000" w:themeColor="text1"/>
              </w:rPr>
              <w:t>in the field.</w:t>
            </w:r>
          </w:p>
        </w:tc>
      </w:tr>
      <w:tr w:rsidR="00C41799" w:rsidRPr="00271E52" w14:paraId="33A290FD" w14:textId="77777777" w:rsidTr="00297D16">
        <w:trPr>
          <w:trHeight w:val="1450"/>
        </w:trPr>
        <w:tc>
          <w:tcPr>
            <w:tcW w:w="549" w:type="dxa"/>
            <w:noWrap/>
            <w:hideMark/>
          </w:tcPr>
          <w:p w14:paraId="7F12E543"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26</w:t>
            </w:r>
          </w:p>
        </w:tc>
        <w:tc>
          <w:tcPr>
            <w:tcW w:w="5296" w:type="dxa"/>
            <w:hideMark/>
          </w:tcPr>
          <w:p w14:paraId="12F23C12" w14:textId="040F3319" w:rsidR="00C41799" w:rsidRPr="00271E52" w:rsidRDefault="00C41799" w:rsidP="00C41799">
            <w:pPr>
              <w:rPr>
                <w:rFonts w:ascii="Arial" w:eastAsia="Times New Roman" w:hAnsi="Arial" w:cs="Arial"/>
                <w:color w:val="000000"/>
              </w:rPr>
            </w:pPr>
            <w:r w:rsidRPr="3718F3BB">
              <w:rPr>
                <w:rFonts w:ascii="Arial" w:eastAsia="Times New Roman" w:hAnsi="Arial" w:cs="Arial"/>
                <w:color w:val="000000" w:themeColor="text1"/>
              </w:rPr>
              <w:t>If you have both the EV and EVSE under software control, do both the EV and EVSE get counted for a credit?</w:t>
            </w:r>
          </w:p>
        </w:tc>
        <w:tc>
          <w:tcPr>
            <w:tcW w:w="8465" w:type="dxa"/>
            <w:hideMark/>
          </w:tcPr>
          <w:p w14:paraId="71F73469" w14:textId="62BFBC04"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No. Section II.B.2-1 now clarifies that "For </w:t>
            </w:r>
            <w:r w:rsidR="00B76D68" w:rsidRPr="00271E52">
              <w:rPr>
                <w:rFonts w:ascii="Arial" w:eastAsia="Times New Roman" w:hAnsi="Arial" w:cs="Arial"/>
                <w:color w:val="000000"/>
              </w:rPr>
              <w:t>products</w:t>
            </w:r>
            <w:r w:rsidRPr="00271E52">
              <w:rPr>
                <w:rFonts w:ascii="Arial" w:eastAsia="Times New Roman" w:hAnsi="Arial" w:cs="Arial"/>
                <w:color w:val="000000"/>
              </w:rPr>
              <w:t xml:space="preserve"> which communicate with both the vehicle and EVSE (or other charging hardware product), the number of EVSE (or other charging hardware products) deployed shall be used for deployment credit calculations. Example 2: A charging product connects to both vehicle telematics systems and EVSE. The project deploys the product at a fleet lot by connecting the product to the site’s 10 existing EVSE and 17 existing fleet vehicles. This counts as 10 deployment credits."</w:t>
            </w:r>
          </w:p>
        </w:tc>
      </w:tr>
      <w:tr w:rsidR="00C41799" w:rsidRPr="00271E52" w14:paraId="7E0EEFDC" w14:textId="77777777" w:rsidTr="00297D16">
        <w:trPr>
          <w:trHeight w:val="1160"/>
        </w:trPr>
        <w:tc>
          <w:tcPr>
            <w:tcW w:w="549" w:type="dxa"/>
            <w:noWrap/>
            <w:hideMark/>
          </w:tcPr>
          <w:p w14:paraId="7EA102A9"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27</w:t>
            </w:r>
          </w:p>
        </w:tc>
        <w:tc>
          <w:tcPr>
            <w:tcW w:w="5296" w:type="dxa"/>
            <w:hideMark/>
          </w:tcPr>
          <w:p w14:paraId="01F01BEA" w14:textId="77777777" w:rsidR="00C41799" w:rsidRPr="00271E52" w:rsidRDefault="00C41799" w:rsidP="00C41799">
            <w:pPr>
              <w:rPr>
                <w:rFonts w:ascii="Arial" w:eastAsia="Times New Roman" w:hAnsi="Arial" w:cs="Arial"/>
              </w:rPr>
            </w:pPr>
            <w:r w:rsidRPr="00271E52">
              <w:rPr>
                <w:rFonts w:ascii="Arial" w:eastAsia="Times New Roman" w:hAnsi="Arial" w:cs="Arial"/>
              </w:rPr>
              <w:t>How many credits are earned by installing one bidirectional 300 kW EVSE?</w:t>
            </w:r>
          </w:p>
        </w:tc>
        <w:tc>
          <w:tcPr>
            <w:tcW w:w="8465" w:type="dxa"/>
            <w:hideMark/>
          </w:tcPr>
          <w:p w14:paraId="736B7FB3" w14:textId="0463DB6B"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As described under Section II.B.2-1, "Each deployment shall only count as one deployment type." A 300 kW bidirectional EVSE may count as either a bidirectional EVSE at 2.5 credits or a higher-power EVSE at 12.5 credits. A higher-power EVSE equals 1 credit for every 4.5 kilowatts of charge power capacity whether unidirectional or bidirectional, up to a maximum of 12.5 credits.</w:t>
            </w:r>
          </w:p>
        </w:tc>
      </w:tr>
      <w:tr w:rsidR="00C41799" w:rsidRPr="00271E52" w14:paraId="2F2C77D8" w14:textId="77777777" w:rsidTr="00297D16">
        <w:trPr>
          <w:trHeight w:val="580"/>
        </w:trPr>
        <w:tc>
          <w:tcPr>
            <w:tcW w:w="549" w:type="dxa"/>
            <w:noWrap/>
            <w:hideMark/>
          </w:tcPr>
          <w:p w14:paraId="1E14C92E"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28</w:t>
            </w:r>
          </w:p>
        </w:tc>
        <w:tc>
          <w:tcPr>
            <w:tcW w:w="5296" w:type="dxa"/>
            <w:hideMark/>
          </w:tcPr>
          <w:p w14:paraId="1E769FBD" w14:textId="605C2E3E"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Will an application be more competitive if 100 deployment credits </w:t>
            </w:r>
            <w:r w:rsidR="009C75C4" w:rsidRPr="00271E52">
              <w:rPr>
                <w:rFonts w:ascii="Arial" w:eastAsia="Times New Roman" w:hAnsi="Arial" w:cs="Arial"/>
                <w:color w:val="000000"/>
              </w:rPr>
              <w:t>have</w:t>
            </w:r>
            <w:r w:rsidRPr="00271E52">
              <w:rPr>
                <w:rFonts w:ascii="Arial" w:eastAsia="Times New Roman" w:hAnsi="Arial" w:cs="Arial"/>
                <w:color w:val="000000"/>
              </w:rPr>
              <w:t xml:space="preserve"> already been reached through previous EV charging deployments?</w:t>
            </w:r>
          </w:p>
        </w:tc>
        <w:tc>
          <w:tcPr>
            <w:tcW w:w="8465" w:type="dxa"/>
            <w:hideMark/>
          </w:tcPr>
          <w:p w14:paraId="47DAC7B6"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All applications are scored using the evaluation criteria described in Section IV.E. Evaluation Criterion 9b (Phase 1 Customer Deployment Timeline) and Evaluation Criterion 13 (Budget and Cost Factors) may be relevant.</w:t>
            </w:r>
          </w:p>
        </w:tc>
      </w:tr>
      <w:tr w:rsidR="00C41799" w:rsidRPr="00271E52" w14:paraId="47D0E72F" w14:textId="77777777" w:rsidTr="00297D16">
        <w:trPr>
          <w:trHeight w:val="580"/>
        </w:trPr>
        <w:tc>
          <w:tcPr>
            <w:tcW w:w="549" w:type="dxa"/>
            <w:noWrap/>
            <w:hideMark/>
          </w:tcPr>
          <w:p w14:paraId="57FE746E"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29</w:t>
            </w:r>
          </w:p>
        </w:tc>
        <w:tc>
          <w:tcPr>
            <w:tcW w:w="5296" w:type="dxa"/>
            <w:hideMark/>
          </w:tcPr>
          <w:p w14:paraId="57C58D6E"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What if you use an existing 240 V dryer outlet? Would that count as a deployment?</w:t>
            </w:r>
          </w:p>
        </w:tc>
        <w:tc>
          <w:tcPr>
            <w:tcW w:w="8465" w:type="dxa"/>
            <w:hideMark/>
          </w:tcPr>
          <w:p w14:paraId="50CF9D43"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As described in Section II.B.2-1, "Customer deployments must accumulate 100 or more deployment credits" for Phase 1, at minimum. REDWDS does not prohibit the use of existing 240 V dryer outlets for installing EVSE.</w:t>
            </w:r>
          </w:p>
        </w:tc>
      </w:tr>
      <w:tr w:rsidR="00C41799" w:rsidRPr="00271E52" w14:paraId="4BD025BC" w14:textId="77777777" w:rsidTr="00297D16">
        <w:trPr>
          <w:trHeight w:val="1450"/>
        </w:trPr>
        <w:tc>
          <w:tcPr>
            <w:tcW w:w="549" w:type="dxa"/>
            <w:noWrap/>
            <w:hideMark/>
          </w:tcPr>
          <w:p w14:paraId="3441D9BB"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30</w:t>
            </w:r>
          </w:p>
        </w:tc>
        <w:tc>
          <w:tcPr>
            <w:tcW w:w="5296" w:type="dxa"/>
            <w:hideMark/>
          </w:tcPr>
          <w:p w14:paraId="5D4AA4BD"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How do credits need to be demonstrated or specified in the application?</w:t>
            </w:r>
          </w:p>
        </w:tc>
        <w:tc>
          <w:tcPr>
            <w:tcW w:w="8465" w:type="dxa"/>
            <w:hideMark/>
          </w:tcPr>
          <w:p w14:paraId="139EBD48"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Applications should describe their planned deployments in response to Section III.D.2 Prompt 9a (and Prompt 14a for Phase 2), including "The number of expected customer installations, the installation types (existing EVSE, new bidirectional EVSE, telematics connection to existing vehicle, and so on) and resulting deployment credits." Additionally, applications must detail their planned deployments in the tables included in the Application Form template (Attachment 01) and Scope of Work template (Attachment 02). </w:t>
            </w:r>
          </w:p>
        </w:tc>
      </w:tr>
      <w:tr w:rsidR="00C41799" w:rsidRPr="00271E52" w14:paraId="4A84EE87" w14:textId="77777777" w:rsidTr="00297D16">
        <w:trPr>
          <w:trHeight w:val="870"/>
        </w:trPr>
        <w:tc>
          <w:tcPr>
            <w:tcW w:w="549" w:type="dxa"/>
            <w:noWrap/>
            <w:hideMark/>
          </w:tcPr>
          <w:p w14:paraId="0B446814"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lastRenderedPageBreak/>
              <w:t>31</w:t>
            </w:r>
          </w:p>
        </w:tc>
        <w:tc>
          <w:tcPr>
            <w:tcW w:w="5296" w:type="dxa"/>
            <w:hideMark/>
          </w:tcPr>
          <w:p w14:paraId="5A598561"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Is there higher scoring for higher credits (above 100)?</w:t>
            </w:r>
          </w:p>
        </w:tc>
        <w:tc>
          <w:tcPr>
            <w:tcW w:w="8465" w:type="dxa"/>
            <w:hideMark/>
          </w:tcPr>
          <w:p w14:paraId="375ECA55" w14:textId="77777777" w:rsidR="00C41799" w:rsidRPr="00271E52" w:rsidRDefault="00C41799" w:rsidP="00C41799">
            <w:pPr>
              <w:rPr>
                <w:rFonts w:ascii="Arial" w:eastAsia="Times New Roman" w:hAnsi="Arial" w:cs="Arial"/>
                <w:color w:val="000000"/>
              </w:rPr>
            </w:pPr>
            <w:r w:rsidRPr="3718F3BB">
              <w:rPr>
                <w:rFonts w:ascii="Arial" w:eastAsia="Times New Roman" w:hAnsi="Arial" w:cs="Arial"/>
                <w:color w:val="000000" w:themeColor="text1"/>
              </w:rPr>
              <w:t>Yes. As described in Section IV.E Evaluation Criterion 9a, "Applications will be evaluated on the degree to which the Applicant describes the number of expected customer installations ... and resulting deployment credits ... with higher scores for applications with more deployment credits."</w:t>
            </w:r>
          </w:p>
        </w:tc>
      </w:tr>
      <w:tr w:rsidR="00C41799" w:rsidRPr="00271E52" w14:paraId="2482FABC" w14:textId="77777777" w:rsidTr="00297D16">
        <w:trPr>
          <w:trHeight w:val="1160"/>
        </w:trPr>
        <w:tc>
          <w:tcPr>
            <w:tcW w:w="549" w:type="dxa"/>
            <w:noWrap/>
            <w:hideMark/>
          </w:tcPr>
          <w:p w14:paraId="68BF8E1A"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32</w:t>
            </w:r>
          </w:p>
        </w:tc>
        <w:tc>
          <w:tcPr>
            <w:tcW w:w="5296" w:type="dxa"/>
            <w:hideMark/>
          </w:tcPr>
          <w:p w14:paraId="17BB6C37"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What if you are connecting to the EV via telematics and using an existing EV charger that comes with the car?</w:t>
            </w:r>
          </w:p>
        </w:tc>
        <w:tc>
          <w:tcPr>
            <w:tcW w:w="8465" w:type="dxa"/>
            <w:hideMark/>
          </w:tcPr>
          <w:p w14:paraId="0C333B9F" w14:textId="4687FE15"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 xml:space="preserve">The </w:t>
            </w:r>
            <w:r w:rsidR="0091709A" w:rsidRPr="2929DF5F">
              <w:rPr>
                <w:rFonts w:ascii="Arial" w:eastAsia="Times New Roman" w:hAnsi="Arial" w:cs="Arial"/>
                <w:color w:val="000000" w:themeColor="text1"/>
              </w:rPr>
              <w:t>A</w:t>
            </w:r>
            <w:r w:rsidRPr="2929DF5F">
              <w:rPr>
                <w:rFonts w:ascii="Arial" w:eastAsia="Times New Roman" w:hAnsi="Arial" w:cs="Arial"/>
                <w:color w:val="000000" w:themeColor="text1"/>
              </w:rPr>
              <w:t xml:space="preserve">pplicant is responsible for determining the most appropriate deployment credit type. For projects where multiple deployment credit types are equally appropriate, the </w:t>
            </w:r>
            <w:r w:rsidR="000621E2" w:rsidRPr="2929DF5F">
              <w:rPr>
                <w:rFonts w:ascii="Arial" w:eastAsia="Times New Roman" w:hAnsi="Arial" w:cs="Arial"/>
                <w:color w:val="000000" w:themeColor="text1"/>
              </w:rPr>
              <w:t>A</w:t>
            </w:r>
            <w:r w:rsidRPr="2929DF5F">
              <w:rPr>
                <w:rFonts w:ascii="Arial" w:eastAsia="Times New Roman" w:hAnsi="Arial" w:cs="Arial"/>
                <w:color w:val="000000" w:themeColor="text1"/>
              </w:rPr>
              <w:t>pplicant is responsible for selecting one for the purposes of the deployment credit calculation. As described under Section II.B.2-1, "Each deployment shall only count as one deployment type</w:t>
            </w:r>
            <w:r w:rsidR="2BFBD50C" w:rsidRPr="2929DF5F">
              <w:rPr>
                <w:rFonts w:ascii="Arial" w:eastAsia="Times New Roman" w:hAnsi="Arial" w:cs="Arial"/>
                <w:color w:val="000000" w:themeColor="text1"/>
              </w:rPr>
              <w:t>."</w:t>
            </w:r>
          </w:p>
        </w:tc>
      </w:tr>
      <w:tr w:rsidR="00C41799" w:rsidRPr="00271E52" w14:paraId="4C245BA3" w14:textId="77777777" w:rsidTr="00297D16">
        <w:trPr>
          <w:trHeight w:val="1160"/>
        </w:trPr>
        <w:tc>
          <w:tcPr>
            <w:tcW w:w="549" w:type="dxa"/>
            <w:noWrap/>
            <w:hideMark/>
          </w:tcPr>
          <w:p w14:paraId="4FD9CC12"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33</w:t>
            </w:r>
          </w:p>
        </w:tc>
        <w:tc>
          <w:tcPr>
            <w:tcW w:w="5296" w:type="dxa"/>
            <w:hideMark/>
          </w:tcPr>
          <w:p w14:paraId="7176BD35"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Can existing products in the field which receive an over-the-air software update adding the minimum functionalities required under REDWDS qualify as deployments?</w:t>
            </w:r>
          </w:p>
        </w:tc>
        <w:tc>
          <w:tcPr>
            <w:tcW w:w="8465" w:type="dxa"/>
            <w:hideMark/>
          </w:tcPr>
          <w:p w14:paraId="73457EF4"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Yes. As described under Section II.B.2-1, "For charging station management system products, one new or existing EVSE connected to the product equals one credit ... For automation service provider or aggregator products, one EV or EVSE (new or existing) connected to the product equals one credit." All products must meet or exceed the minimum requirements described in Section II.B.</w:t>
            </w:r>
          </w:p>
        </w:tc>
      </w:tr>
      <w:tr w:rsidR="00C41799" w:rsidRPr="00271E52" w14:paraId="1B7244DD" w14:textId="77777777" w:rsidTr="00297D16">
        <w:trPr>
          <w:trHeight w:val="1160"/>
        </w:trPr>
        <w:tc>
          <w:tcPr>
            <w:tcW w:w="549" w:type="dxa"/>
            <w:noWrap/>
            <w:hideMark/>
          </w:tcPr>
          <w:p w14:paraId="29DC65F1"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34</w:t>
            </w:r>
          </w:p>
        </w:tc>
        <w:tc>
          <w:tcPr>
            <w:tcW w:w="5296" w:type="dxa"/>
            <w:hideMark/>
          </w:tcPr>
          <w:p w14:paraId="073F8D58"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REDWDS requires all deployments to be "at existing structures or facilities and involve negligible or no expansion of existing or former use." How is negligible defined?</w:t>
            </w:r>
          </w:p>
        </w:tc>
        <w:tc>
          <w:tcPr>
            <w:tcW w:w="8465" w:type="dxa"/>
            <w:hideMark/>
          </w:tcPr>
          <w:p w14:paraId="2C1E24B0" w14:textId="18490B6C" w:rsidR="00C41799" w:rsidRPr="00271E52" w:rsidRDefault="00C41799" w:rsidP="00C41799">
            <w:pPr>
              <w:rPr>
                <w:rFonts w:ascii="Arial" w:eastAsia="Times New Roman" w:hAnsi="Arial" w:cs="Arial"/>
                <w:color w:val="000000"/>
              </w:rPr>
            </w:pPr>
            <w:r w:rsidRPr="3718F3BB">
              <w:rPr>
                <w:rFonts w:ascii="Arial" w:eastAsia="Times New Roman" w:hAnsi="Arial" w:cs="Arial"/>
                <w:color w:val="000000" w:themeColor="text1"/>
              </w:rPr>
              <w:t xml:space="preserve">The requirement described in Section II.B.2-7 is intended to maximize the probability that a proposed project falls under the California Environmental Quality Act (CEQA) categorical exemption for existing facilities. CEQA does not include a specific definition for "negligible." </w:t>
            </w:r>
            <w:r w:rsidR="6E7F1006" w:rsidRPr="3718F3BB">
              <w:rPr>
                <w:rFonts w:ascii="Arial" w:eastAsia="Times New Roman" w:hAnsi="Arial" w:cs="Arial"/>
                <w:color w:val="000000" w:themeColor="text1"/>
              </w:rPr>
              <w:t xml:space="preserve">CEC will review project specifics and, if applicable, make its own CEQA determination. </w:t>
            </w:r>
            <w:r w:rsidR="00E62E59" w:rsidRPr="3718F3BB">
              <w:rPr>
                <w:rFonts w:ascii="Arial" w:eastAsia="Times New Roman" w:hAnsi="Arial" w:cs="Arial"/>
                <w:color w:val="000000" w:themeColor="text1"/>
              </w:rPr>
              <w:t xml:space="preserve">CEC encourages </w:t>
            </w:r>
            <w:r w:rsidR="0073748C" w:rsidRPr="3718F3BB">
              <w:rPr>
                <w:rFonts w:ascii="Arial" w:eastAsia="Times New Roman" w:hAnsi="Arial" w:cs="Arial"/>
                <w:color w:val="000000" w:themeColor="text1"/>
              </w:rPr>
              <w:t>A</w:t>
            </w:r>
            <w:r w:rsidR="00E62E59" w:rsidRPr="3718F3BB">
              <w:rPr>
                <w:rFonts w:ascii="Arial" w:eastAsia="Times New Roman" w:hAnsi="Arial" w:cs="Arial"/>
                <w:color w:val="000000" w:themeColor="text1"/>
              </w:rPr>
              <w:t>pplicants</w:t>
            </w:r>
            <w:r w:rsidRPr="3718F3BB">
              <w:rPr>
                <w:rFonts w:ascii="Arial" w:eastAsia="Times New Roman" w:hAnsi="Arial" w:cs="Arial"/>
                <w:color w:val="000000" w:themeColor="text1"/>
              </w:rPr>
              <w:t xml:space="preserve"> to review CEQA Section 15301 (Existing Facilities), which includes examples of projects which involve "negligible or no expansion of existing or former use."</w:t>
            </w:r>
          </w:p>
        </w:tc>
      </w:tr>
      <w:tr w:rsidR="00C41799" w:rsidRPr="00271E52" w14:paraId="358CC254" w14:textId="77777777" w:rsidTr="00297D16">
        <w:trPr>
          <w:trHeight w:val="1450"/>
        </w:trPr>
        <w:tc>
          <w:tcPr>
            <w:tcW w:w="549" w:type="dxa"/>
            <w:noWrap/>
            <w:hideMark/>
          </w:tcPr>
          <w:p w14:paraId="09C88C5C"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35</w:t>
            </w:r>
          </w:p>
        </w:tc>
        <w:tc>
          <w:tcPr>
            <w:tcW w:w="5296" w:type="dxa"/>
            <w:hideMark/>
          </w:tcPr>
          <w:p w14:paraId="6DBD5021" w14:textId="15747BB8"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 xml:space="preserve">Do all deployment site </w:t>
            </w:r>
            <w:r w:rsidR="00EF5F10" w:rsidRPr="2929DF5F">
              <w:rPr>
                <w:rFonts w:ascii="Arial" w:eastAsia="Times New Roman" w:hAnsi="Arial" w:cs="Arial"/>
                <w:color w:val="000000" w:themeColor="text1"/>
              </w:rPr>
              <w:t xml:space="preserve">details </w:t>
            </w:r>
            <w:r w:rsidRPr="2929DF5F">
              <w:rPr>
                <w:rFonts w:ascii="Arial" w:eastAsia="Times New Roman" w:hAnsi="Arial" w:cs="Arial"/>
                <w:color w:val="000000" w:themeColor="text1"/>
              </w:rPr>
              <w:t>need to be specifically given in the initial application, or can we outline the criteria deployment sites will meet?</w:t>
            </w:r>
          </w:p>
        </w:tc>
        <w:tc>
          <w:tcPr>
            <w:tcW w:w="8465" w:type="dxa"/>
            <w:hideMark/>
          </w:tcPr>
          <w:p w14:paraId="12B7F05C" w14:textId="617293DC" w:rsidR="00C41799" w:rsidRPr="00271E52" w:rsidRDefault="00C41799" w:rsidP="00C41799">
            <w:pPr>
              <w:rPr>
                <w:rFonts w:ascii="Arial" w:eastAsia="Times New Roman" w:hAnsi="Arial" w:cs="Arial"/>
                <w:color w:val="000000"/>
              </w:rPr>
            </w:pPr>
            <w:r w:rsidRPr="3718F3BB">
              <w:rPr>
                <w:rFonts w:ascii="Arial" w:eastAsia="Times New Roman" w:hAnsi="Arial" w:cs="Arial"/>
                <w:color w:val="000000" w:themeColor="text1"/>
              </w:rPr>
              <w:t xml:space="preserve">Applications </w:t>
            </w:r>
            <w:r w:rsidR="326C74F1" w:rsidRPr="3718F3BB">
              <w:rPr>
                <w:rFonts w:ascii="Arial" w:eastAsia="Times New Roman" w:hAnsi="Arial" w:cs="Arial"/>
                <w:color w:val="000000" w:themeColor="text1"/>
              </w:rPr>
              <w:t xml:space="preserve">are encouraged to </w:t>
            </w:r>
            <w:r w:rsidRPr="3718F3BB">
              <w:rPr>
                <w:rFonts w:ascii="Arial" w:eastAsia="Times New Roman" w:hAnsi="Arial" w:cs="Arial"/>
                <w:color w:val="000000" w:themeColor="text1"/>
              </w:rPr>
              <w:t xml:space="preserve">specify deployment addresses if known. All projects should describe customer deployment plans </w:t>
            </w:r>
            <w:r w:rsidR="443E6A2F" w:rsidRPr="3718F3BB">
              <w:rPr>
                <w:rFonts w:ascii="Arial" w:eastAsia="Times New Roman" w:hAnsi="Arial" w:cs="Arial"/>
                <w:color w:val="000000" w:themeColor="text1"/>
              </w:rPr>
              <w:t>in detail</w:t>
            </w:r>
            <w:r w:rsidRPr="3718F3BB">
              <w:rPr>
                <w:rFonts w:ascii="Arial" w:eastAsia="Times New Roman" w:hAnsi="Arial" w:cs="Arial"/>
                <w:color w:val="000000" w:themeColor="text1"/>
              </w:rPr>
              <w:t xml:space="preserve"> as part of their response to Section III.D.2 Prompt 9 (and Prompt 14 for projects proposing Phase 2), as well as under the appropriate task(s) in the Scope of Work (Attachment 02). These descriptions will be scored using Section IV.E Evaluation Criteria 9 and 14, which consider, among other aspects, the degree to which the </w:t>
            </w:r>
            <w:r w:rsidR="002837FD" w:rsidRPr="3718F3BB">
              <w:rPr>
                <w:rFonts w:ascii="Arial" w:eastAsia="Times New Roman" w:hAnsi="Arial" w:cs="Arial"/>
                <w:color w:val="000000" w:themeColor="text1"/>
              </w:rPr>
              <w:t>A</w:t>
            </w:r>
            <w:r w:rsidRPr="3718F3BB">
              <w:rPr>
                <w:rFonts w:ascii="Arial" w:eastAsia="Times New Roman" w:hAnsi="Arial" w:cs="Arial"/>
                <w:color w:val="000000" w:themeColor="text1"/>
              </w:rPr>
              <w:t xml:space="preserve">pplicant describes "Coordination to facilitate customer site installation." </w:t>
            </w:r>
          </w:p>
        </w:tc>
      </w:tr>
      <w:tr w:rsidR="00C41799" w:rsidRPr="00271E52" w14:paraId="79317BF2" w14:textId="77777777" w:rsidTr="00297D16">
        <w:trPr>
          <w:trHeight w:val="580"/>
        </w:trPr>
        <w:tc>
          <w:tcPr>
            <w:tcW w:w="549" w:type="dxa"/>
            <w:noWrap/>
            <w:hideMark/>
          </w:tcPr>
          <w:p w14:paraId="7407E03D"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36</w:t>
            </w:r>
          </w:p>
        </w:tc>
        <w:tc>
          <w:tcPr>
            <w:tcW w:w="5296" w:type="dxa"/>
            <w:hideMark/>
          </w:tcPr>
          <w:p w14:paraId="6D326830"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Do deployments have to span three different utilities, and if so, do publicly owned utilities or community choice aggregators qualify?</w:t>
            </w:r>
          </w:p>
        </w:tc>
        <w:tc>
          <w:tcPr>
            <w:tcW w:w="8465" w:type="dxa"/>
            <w:hideMark/>
          </w:tcPr>
          <w:p w14:paraId="41D3E629"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Deployments do not have to span three electric utility companies. Deployments must span at least three electric customer accounts at unique services addresses. Section II.B.2-2 has been updated with clarified language.</w:t>
            </w:r>
          </w:p>
        </w:tc>
      </w:tr>
      <w:tr w:rsidR="00C41799" w:rsidRPr="00271E52" w14:paraId="26BB192E" w14:textId="77777777" w:rsidTr="00297D16">
        <w:trPr>
          <w:trHeight w:val="1160"/>
        </w:trPr>
        <w:tc>
          <w:tcPr>
            <w:tcW w:w="549" w:type="dxa"/>
            <w:noWrap/>
            <w:hideMark/>
          </w:tcPr>
          <w:p w14:paraId="7A6CF6EF"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37</w:t>
            </w:r>
          </w:p>
        </w:tc>
        <w:tc>
          <w:tcPr>
            <w:tcW w:w="5296" w:type="dxa"/>
            <w:hideMark/>
          </w:tcPr>
          <w:p w14:paraId="414A3120" w14:textId="2CBF1C90"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How are disadvantaged or low</w:t>
            </w:r>
            <w:r w:rsidR="00A33EE3" w:rsidRPr="2929DF5F">
              <w:rPr>
                <w:rFonts w:ascii="Arial" w:eastAsia="Times New Roman" w:hAnsi="Arial" w:cs="Arial"/>
                <w:color w:val="000000" w:themeColor="text1"/>
              </w:rPr>
              <w:t>-</w:t>
            </w:r>
            <w:r w:rsidRPr="2929DF5F">
              <w:rPr>
                <w:rFonts w:ascii="Arial" w:eastAsia="Times New Roman" w:hAnsi="Arial" w:cs="Arial"/>
                <w:color w:val="000000" w:themeColor="text1"/>
              </w:rPr>
              <w:t>income communities identified? Does REDWDS require 50 percent of deployments to be in communities which are both disadvantaged and low income?</w:t>
            </w:r>
          </w:p>
        </w:tc>
        <w:tc>
          <w:tcPr>
            <w:tcW w:w="8465" w:type="dxa"/>
            <w:hideMark/>
          </w:tcPr>
          <w:p w14:paraId="564B6DAB" w14:textId="27567277"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 xml:space="preserve">REDWDS requires 50 percent of all customer deployments to be located in a community that is designated as disadvantaged, low income, or both disadvantaged and low income. Section II.B.2-3 has been updated with clarified language. Such communities are identified in the </w:t>
            </w:r>
            <w:hyperlink r:id="rId17" w:history="1">
              <w:r w:rsidRPr="00271E52">
                <w:rPr>
                  <w:rStyle w:val="Hyperlink"/>
                  <w:rFonts w:ascii="Arial" w:eastAsia="Times New Roman" w:hAnsi="Arial" w:cs="Arial"/>
                </w:rPr>
                <w:t>California Climate Investments Priority Populations 2022 CES 4.0 map</w:t>
              </w:r>
            </w:hyperlink>
            <w:r w:rsidRPr="2929DF5F">
              <w:rPr>
                <w:rFonts w:ascii="Arial" w:eastAsia="Times New Roman" w:hAnsi="Arial" w:cs="Arial"/>
                <w:color w:val="000000" w:themeColor="text1"/>
              </w:rPr>
              <w:t xml:space="preserve">: </w:t>
            </w:r>
            <w:hyperlink r:id="rId18" w:history="1">
              <w:r w:rsidR="001C157A" w:rsidRPr="005E15A1">
                <w:rPr>
                  <w:rStyle w:val="Hyperlink"/>
                  <w:rFonts w:ascii="Arial" w:eastAsia="Times New Roman" w:hAnsi="Arial" w:cs="Arial"/>
                </w:rPr>
                <w:t>https://webmaps.arb.ca.gov/PriorityPopulations/</w:t>
              </w:r>
            </w:hyperlink>
          </w:p>
        </w:tc>
      </w:tr>
      <w:tr w:rsidR="00C41799" w:rsidRPr="00271E52" w14:paraId="1395972A" w14:textId="77777777" w:rsidTr="00297D16">
        <w:trPr>
          <w:trHeight w:val="580"/>
        </w:trPr>
        <w:tc>
          <w:tcPr>
            <w:tcW w:w="549" w:type="dxa"/>
            <w:noWrap/>
            <w:hideMark/>
          </w:tcPr>
          <w:p w14:paraId="72C1CE4D"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38</w:t>
            </w:r>
          </w:p>
        </w:tc>
        <w:tc>
          <w:tcPr>
            <w:tcW w:w="5296" w:type="dxa"/>
            <w:hideMark/>
          </w:tcPr>
          <w:p w14:paraId="101462F3"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Are there any considerations for deployments in affordable housing outside of disadvantaged or low income communities?</w:t>
            </w:r>
          </w:p>
        </w:tc>
        <w:tc>
          <w:tcPr>
            <w:tcW w:w="8465" w:type="dxa"/>
            <w:hideMark/>
          </w:tcPr>
          <w:p w14:paraId="7924CB3B"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REDWDS does not contain special considerations for deployments at affordable housing sites.</w:t>
            </w:r>
          </w:p>
        </w:tc>
      </w:tr>
      <w:tr w:rsidR="00C41799" w:rsidRPr="00271E52" w14:paraId="6FF42280" w14:textId="77777777" w:rsidTr="00297D16">
        <w:trPr>
          <w:trHeight w:val="1160"/>
        </w:trPr>
        <w:tc>
          <w:tcPr>
            <w:tcW w:w="549" w:type="dxa"/>
            <w:noWrap/>
            <w:hideMark/>
          </w:tcPr>
          <w:p w14:paraId="6CD4DC21"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lastRenderedPageBreak/>
              <w:t>39</w:t>
            </w:r>
          </w:p>
        </w:tc>
        <w:tc>
          <w:tcPr>
            <w:tcW w:w="5296" w:type="dxa"/>
            <w:hideMark/>
          </w:tcPr>
          <w:p w14:paraId="3D0DCED5" w14:textId="7BA825EB" w:rsidR="00C41799" w:rsidRPr="00271E52" w:rsidRDefault="00D501D6" w:rsidP="00C41799">
            <w:pPr>
              <w:rPr>
                <w:rFonts w:ascii="Arial" w:eastAsia="Times New Roman" w:hAnsi="Arial" w:cs="Arial"/>
                <w:color w:val="000000"/>
              </w:rPr>
            </w:pPr>
            <w:r w:rsidRPr="2929DF5F">
              <w:rPr>
                <w:rFonts w:ascii="Arial" w:eastAsia="Times New Roman" w:hAnsi="Arial" w:cs="Arial"/>
                <w:color w:val="000000" w:themeColor="text1"/>
              </w:rPr>
              <w:t xml:space="preserve">For </w:t>
            </w:r>
            <w:r w:rsidR="3238926C" w:rsidRPr="2929DF5F">
              <w:rPr>
                <w:rFonts w:ascii="Arial" w:eastAsia="Times New Roman" w:hAnsi="Arial" w:cs="Arial"/>
                <w:color w:val="000000" w:themeColor="text1"/>
              </w:rPr>
              <w:t>h</w:t>
            </w:r>
            <w:r w:rsidR="2BFBD50C" w:rsidRPr="2929DF5F">
              <w:rPr>
                <w:rFonts w:ascii="Arial" w:eastAsia="Times New Roman" w:hAnsi="Arial" w:cs="Arial"/>
                <w:color w:val="000000" w:themeColor="text1"/>
              </w:rPr>
              <w:t>ow</w:t>
            </w:r>
            <w:r w:rsidR="00C41799" w:rsidRPr="2929DF5F">
              <w:rPr>
                <w:rFonts w:ascii="Arial" w:eastAsia="Times New Roman" w:hAnsi="Arial" w:cs="Arial"/>
                <w:color w:val="000000" w:themeColor="text1"/>
              </w:rPr>
              <w:t xml:space="preserve"> long </w:t>
            </w:r>
            <w:proofErr w:type="gramStart"/>
            <w:r w:rsidR="00C41799" w:rsidRPr="2929DF5F">
              <w:rPr>
                <w:rFonts w:ascii="Arial" w:eastAsia="Times New Roman" w:hAnsi="Arial" w:cs="Arial"/>
                <w:color w:val="000000" w:themeColor="text1"/>
              </w:rPr>
              <w:t xml:space="preserve">does the </w:t>
            </w:r>
            <w:r w:rsidR="001C157A" w:rsidRPr="2929DF5F">
              <w:rPr>
                <w:rFonts w:ascii="Arial" w:eastAsia="Times New Roman" w:hAnsi="Arial" w:cs="Arial"/>
                <w:color w:val="000000" w:themeColor="text1"/>
              </w:rPr>
              <w:t xml:space="preserve">sub-hourly charging </w:t>
            </w:r>
            <w:r w:rsidR="00C41799" w:rsidRPr="2929DF5F">
              <w:rPr>
                <w:rFonts w:ascii="Arial" w:eastAsia="Times New Roman" w:hAnsi="Arial" w:cs="Arial"/>
                <w:color w:val="000000" w:themeColor="text1"/>
              </w:rPr>
              <w:t>data need</w:t>
            </w:r>
            <w:proofErr w:type="gramEnd"/>
            <w:r w:rsidR="00C41799" w:rsidRPr="2929DF5F">
              <w:rPr>
                <w:rFonts w:ascii="Arial" w:eastAsia="Times New Roman" w:hAnsi="Arial" w:cs="Arial"/>
                <w:color w:val="000000" w:themeColor="text1"/>
              </w:rPr>
              <w:t xml:space="preserve"> to be stored?</w:t>
            </w:r>
          </w:p>
        </w:tc>
        <w:tc>
          <w:tcPr>
            <w:tcW w:w="8465" w:type="dxa"/>
            <w:hideMark/>
          </w:tcPr>
          <w:p w14:paraId="55C48A22"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As described in the Clean Transportation Program Terms and Conditions (Attachment 09a), "The Recipient shall retain all project records (including financial records, progress reports, and payment requests) for a minimum of three (3) years after the final payment has been received or three years after the federal grant term, whichever is later, unless otherwise specified in the funding Agreement."</w:t>
            </w:r>
          </w:p>
        </w:tc>
      </w:tr>
      <w:tr w:rsidR="00C41799" w:rsidRPr="00271E52" w14:paraId="519F9B12" w14:textId="77777777" w:rsidTr="00297D16">
        <w:trPr>
          <w:trHeight w:val="1160"/>
        </w:trPr>
        <w:tc>
          <w:tcPr>
            <w:tcW w:w="549" w:type="dxa"/>
            <w:noWrap/>
            <w:hideMark/>
          </w:tcPr>
          <w:p w14:paraId="03DC74C6"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40</w:t>
            </w:r>
          </w:p>
        </w:tc>
        <w:tc>
          <w:tcPr>
            <w:tcW w:w="5296" w:type="dxa"/>
            <w:hideMark/>
          </w:tcPr>
          <w:p w14:paraId="3B78958A" w14:textId="445A2ABC"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 xml:space="preserve">For the Otherwise-Applicable Average Electricity Price calculation under 3-4, is it enough to calculate the price given the actual recorded power draw of the site, or do we need to simulate the </w:t>
            </w:r>
            <w:r w:rsidR="2BFBD50C" w:rsidRPr="2929DF5F">
              <w:rPr>
                <w:rFonts w:ascii="Arial" w:eastAsia="Times New Roman" w:hAnsi="Arial" w:cs="Arial"/>
                <w:color w:val="000000" w:themeColor="text1"/>
              </w:rPr>
              <w:t>counterfactual</w:t>
            </w:r>
            <w:r w:rsidRPr="2929DF5F">
              <w:rPr>
                <w:rFonts w:ascii="Arial" w:eastAsia="Times New Roman" w:hAnsi="Arial" w:cs="Arial"/>
                <w:color w:val="000000" w:themeColor="text1"/>
              </w:rPr>
              <w:t xml:space="preserve"> case where the site was optimized against a different rate?</w:t>
            </w:r>
          </w:p>
        </w:tc>
        <w:tc>
          <w:tcPr>
            <w:tcW w:w="8465" w:type="dxa"/>
            <w:hideMark/>
          </w:tcPr>
          <w:p w14:paraId="1C0D9F29" w14:textId="6470B358"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The Otherwise-Applicable Average Electricity Price shall be calculated using the actual recorded power draw of the </w:t>
            </w:r>
            <w:r w:rsidR="00C43803" w:rsidRPr="00271E52">
              <w:rPr>
                <w:rFonts w:ascii="Arial" w:eastAsia="Times New Roman" w:hAnsi="Arial" w:cs="Arial"/>
                <w:color w:val="000000"/>
              </w:rPr>
              <w:t>deployment</w:t>
            </w:r>
            <w:r w:rsidRPr="00271E52">
              <w:rPr>
                <w:rFonts w:ascii="Arial" w:eastAsia="Times New Roman" w:hAnsi="Arial" w:cs="Arial"/>
                <w:color w:val="000000"/>
              </w:rPr>
              <w:t>.</w:t>
            </w:r>
          </w:p>
        </w:tc>
      </w:tr>
      <w:tr w:rsidR="00C41799" w:rsidRPr="00271E52" w14:paraId="6404E2A6" w14:textId="77777777" w:rsidTr="00297D16">
        <w:trPr>
          <w:trHeight w:val="290"/>
        </w:trPr>
        <w:tc>
          <w:tcPr>
            <w:tcW w:w="549" w:type="dxa"/>
            <w:noWrap/>
            <w:hideMark/>
          </w:tcPr>
          <w:p w14:paraId="730CDDB3"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41</w:t>
            </w:r>
          </w:p>
        </w:tc>
        <w:tc>
          <w:tcPr>
            <w:tcW w:w="5296" w:type="dxa"/>
            <w:hideMark/>
          </w:tcPr>
          <w:p w14:paraId="4FA205E7"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Are EVSE eligible costs?</w:t>
            </w:r>
          </w:p>
        </w:tc>
        <w:tc>
          <w:tcPr>
            <w:tcW w:w="8465" w:type="dxa"/>
            <w:hideMark/>
          </w:tcPr>
          <w:p w14:paraId="15C93BB9"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Yes. As described in Section II.C, EVSE are eligible for CEC reimbursement or as match share.</w:t>
            </w:r>
          </w:p>
        </w:tc>
      </w:tr>
      <w:tr w:rsidR="00C41799" w:rsidRPr="00271E52" w14:paraId="5A7D4EE2" w14:textId="77777777" w:rsidTr="00297D16">
        <w:trPr>
          <w:trHeight w:val="1450"/>
        </w:trPr>
        <w:tc>
          <w:tcPr>
            <w:tcW w:w="549" w:type="dxa"/>
            <w:noWrap/>
            <w:hideMark/>
          </w:tcPr>
          <w:p w14:paraId="2A77EE38"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42</w:t>
            </w:r>
          </w:p>
        </w:tc>
        <w:tc>
          <w:tcPr>
            <w:tcW w:w="5296" w:type="dxa"/>
            <w:hideMark/>
          </w:tcPr>
          <w:p w14:paraId="55FAB41B"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What should the process of signing up a customer look like?</w:t>
            </w:r>
          </w:p>
        </w:tc>
        <w:tc>
          <w:tcPr>
            <w:tcW w:w="8465" w:type="dxa"/>
            <w:hideMark/>
          </w:tcPr>
          <w:p w14:paraId="0DDC60E1"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Projects should define and describe appropriate customer enrollment processes as part of their response to Section III.D.2 Prompt 9 (and 14 for projects proposing Phase 2), as well as under the appropriate task(s) in the Scope of Work (Attachment 02). These descriptions will be scored using Section IV.E Evaluation Criteria 9 and 14. Further, as described under Section II.B.3-5, projects must maintain a Customer Deployment Log to "Record ... information for each deployment as the product is deployed to individual customers."</w:t>
            </w:r>
          </w:p>
        </w:tc>
      </w:tr>
      <w:tr w:rsidR="00C41799" w:rsidRPr="00271E52" w14:paraId="590B10AE" w14:textId="77777777" w:rsidTr="00297D16">
        <w:trPr>
          <w:trHeight w:val="580"/>
        </w:trPr>
        <w:tc>
          <w:tcPr>
            <w:tcW w:w="549" w:type="dxa"/>
            <w:noWrap/>
            <w:hideMark/>
          </w:tcPr>
          <w:p w14:paraId="14482851"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43</w:t>
            </w:r>
          </w:p>
        </w:tc>
        <w:tc>
          <w:tcPr>
            <w:tcW w:w="5296" w:type="dxa"/>
            <w:hideMark/>
          </w:tcPr>
          <w:p w14:paraId="2F3F7AB4"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When does CEC consider a product "deployed" with a customer?</w:t>
            </w:r>
          </w:p>
        </w:tc>
        <w:tc>
          <w:tcPr>
            <w:tcW w:w="8465" w:type="dxa"/>
            <w:hideMark/>
          </w:tcPr>
          <w:p w14:paraId="3153059C"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 product is considered deployed with a customer if it is installed, active, and collecting data. Section II.B.3-5 has been updated with clarified language.</w:t>
            </w:r>
          </w:p>
        </w:tc>
      </w:tr>
      <w:tr w:rsidR="00C41799" w:rsidRPr="00271E52" w14:paraId="0734761D" w14:textId="77777777" w:rsidTr="00297D16">
        <w:trPr>
          <w:trHeight w:val="870"/>
        </w:trPr>
        <w:tc>
          <w:tcPr>
            <w:tcW w:w="549" w:type="dxa"/>
            <w:noWrap/>
            <w:hideMark/>
          </w:tcPr>
          <w:p w14:paraId="188BC957"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44</w:t>
            </w:r>
          </w:p>
        </w:tc>
        <w:tc>
          <w:tcPr>
            <w:tcW w:w="5296" w:type="dxa"/>
            <w:hideMark/>
          </w:tcPr>
          <w:p w14:paraId="45B7D82F"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For customers “on dynamic rates” do these customers have to actually be enrolled with the dynamic rate with the utility, or can we just optimize their charging as if they were on the dynamic rate?</w:t>
            </w:r>
          </w:p>
        </w:tc>
        <w:tc>
          <w:tcPr>
            <w:tcW w:w="8465" w:type="dxa"/>
            <w:hideMark/>
          </w:tcPr>
          <w:p w14:paraId="38ED6B26"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Customers must be actually enrolled on a dynamic or transactive energy rate with their electric utility to meet the requirement described under Section II.B.2-4. Projects may help customers sign up for a dynamic rate as part of the deployment. </w:t>
            </w:r>
          </w:p>
        </w:tc>
      </w:tr>
      <w:tr w:rsidR="00C41799" w:rsidRPr="00271E52" w14:paraId="2E4890DE" w14:textId="77777777" w:rsidTr="00297D16">
        <w:trPr>
          <w:trHeight w:val="1740"/>
        </w:trPr>
        <w:tc>
          <w:tcPr>
            <w:tcW w:w="549" w:type="dxa"/>
            <w:noWrap/>
            <w:hideMark/>
          </w:tcPr>
          <w:p w14:paraId="02A3D9D5"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45</w:t>
            </w:r>
          </w:p>
        </w:tc>
        <w:tc>
          <w:tcPr>
            <w:tcW w:w="5296" w:type="dxa"/>
            <w:hideMark/>
          </w:tcPr>
          <w:p w14:paraId="62E862B2" w14:textId="03FABDD6"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What happens if there aren’t enough grid emergency events in the 7</w:t>
            </w:r>
            <w:r w:rsidR="00781A4B" w:rsidRPr="2929DF5F">
              <w:rPr>
                <w:rFonts w:ascii="Arial" w:eastAsia="Times New Roman" w:hAnsi="Arial" w:cs="Arial"/>
                <w:color w:val="000000" w:themeColor="text1"/>
              </w:rPr>
              <w:t>-</w:t>
            </w:r>
            <w:r w:rsidRPr="2929DF5F">
              <w:rPr>
                <w:rFonts w:ascii="Arial" w:eastAsia="Times New Roman" w:hAnsi="Arial" w:cs="Arial"/>
                <w:color w:val="000000" w:themeColor="text1"/>
              </w:rPr>
              <w:t>month period?</w:t>
            </w:r>
          </w:p>
        </w:tc>
        <w:tc>
          <w:tcPr>
            <w:tcW w:w="8465" w:type="dxa"/>
            <w:hideMark/>
          </w:tcPr>
          <w:p w14:paraId="081F27DA" w14:textId="039F47C0" w:rsidR="00C41799" w:rsidRPr="00271E52" w:rsidRDefault="00C41799" w:rsidP="00C41799">
            <w:pPr>
              <w:rPr>
                <w:rFonts w:ascii="Arial" w:eastAsia="Times New Roman" w:hAnsi="Arial" w:cs="Arial"/>
                <w:color w:val="000000"/>
              </w:rPr>
            </w:pPr>
            <w:r w:rsidRPr="3718F3BB">
              <w:rPr>
                <w:rFonts w:ascii="Arial" w:eastAsia="Times New Roman" w:hAnsi="Arial" w:cs="Arial"/>
                <w:color w:val="000000" w:themeColor="text1"/>
              </w:rPr>
              <w:t>As described under Section II.B.4-2, a wide range of scenarios fall under "grid emergency event:" Emergency Load Reduction Program events, Demand Side Grid Support Program events, CAISO Energy Emergency Alerts, critical peak pricing events if the customer’s rate uses critical peak pricing, and any hour when the customer’s electricity rate exceeds $1/kWh. The Emergency Load Reduction Program includes annual dispatch minimums. Projects unable to meet the bidirectional charging performance metric under Section II.B.4-2 may still qualify for Phase 2 if they meet the dynamic rate bill savings or off-peak integration performance metric options.</w:t>
            </w:r>
            <w:r w:rsidR="4F53B38D" w:rsidRPr="3718F3BB">
              <w:rPr>
                <w:rFonts w:ascii="Arial" w:eastAsia="Times New Roman" w:hAnsi="Arial" w:cs="Arial"/>
                <w:color w:val="000000" w:themeColor="text1"/>
              </w:rPr>
              <w:t xml:space="preserve"> Phase 1 data reporting must indicate one or more of </w:t>
            </w:r>
            <w:r w:rsidR="00CD23AC">
              <w:rPr>
                <w:rFonts w:ascii="Arial" w:eastAsia="Times New Roman" w:hAnsi="Arial" w:cs="Arial"/>
                <w:color w:val="000000" w:themeColor="text1"/>
              </w:rPr>
              <w:t xml:space="preserve">Section </w:t>
            </w:r>
            <w:r w:rsidR="4F53B38D" w:rsidRPr="3718F3BB">
              <w:rPr>
                <w:rFonts w:ascii="Arial" w:eastAsia="Times New Roman" w:hAnsi="Arial" w:cs="Arial"/>
                <w:color w:val="000000" w:themeColor="text1"/>
              </w:rPr>
              <w:t xml:space="preserve">II.B.4-2 (a) - </w:t>
            </w:r>
            <w:r w:rsidR="4FD7E5AF" w:rsidRPr="3718F3BB">
              <w:rPr>
                <w:rFonts w:ascii="Arial" w:eastAsia="Times New Roman" w:hAnsi="Arial" w:cs="Arial"/>
                <w:color w:val="000000" w:themeColor="text1"/>
              </w:rPr>
              <w:t xml:space="preserve">(c). </w:t>
            </w:r>
          </w:p>
        </w:tc>
      </w:tr>
      <w:tr w:rsidR="00C41799" w:rsidRPr="00271E52" w14:paraId="40C1AB8B" w14:textId="77777777" w:rsidTr="00297D16">
        <w:trPr>
          <w:trHeight w:val="580"/>
        </w:trPr>
        <w:tc>
          <w:tcPr>
            <w:tcW w:w="549" w:type="dxa"/>
            <w:noWrap/>
            <w:hideMark/>
          </w:tcPr>
          <w:p w14:paraId="30EA50BE"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46</w:t>
            </w:r>
          </w:p>
        </w:tc>
        <w:tc>
          <w:tcPr>
            <w:tcW w:w="5296" w:type="dxa"/>
            <w:hideMark/>
          </w:tcPr>
          <w:p w14:paraId="2828566D"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Are there dynamic rates available for enrollment? What about rates accommodating export?</w:t>
            </w:r>
          </w:p>
        </w:tc>
        <w:tc>
          <w:tcPr>
            <w:tcW w:w="8465" w:type="dxa"/>
            <w:hideMark/>
          </w:tcPr>
          <w:p w14:paraId="2E885F6D" w14:textId="4FC371CB" w:rsidR="00C41799" w:rsidRPr="00271E52" w:rsidRDefault="007E77FB" w:rsidP="00C41799">
            <w:pPr>
              <w:rPr>
                <w:rFonts w:ascii="Arial" w:eastAsia="Times New Roman" w:hAnsi="Arial" w:cs="Arial"/>
                <w:color w:val="000000"/>
              </w:rPr>
            </w:pPr>
            <w:r w:rsidRPr="2C79C797">
              <w:rPr>
                <w:rFonts w:ascii="Arial" w:eastAsia="Times New Roman" w:hAnsi="Arial" w:cs="Arial"/>
                <w:color w:val="000000" w:themeColor="text1"/>
              </w:rPr>
              <w:t>CEC s</w:t>
            </w:r>
            <w:r w:rsidR="00164EFB" w:rsidRPr="2C79C797">
              <w:rPr>
                <w:rFonts w:ascii="Arial" w:eastAsia="Times New Roman" w:hAnsi="Arial" w:cs="Arial"/>
                <w:color w:val="000000" w:themeColor="text1"/>
              </w:rPr>
              <w:t xml:space="preserve">taff has provided a summary of current </w:t>
            </w:r>
            <w:r w:rsidR="009202EA" w:rsidRPr="2C79C797">
              <w:rPr>
                <w:rFonts w:ascii="Arial" w:eastAsia="Times New Roman" w:hAnsi="Arial" w:cs="Arial"/>
                <w:color w:val="000000" w:themeColor="text1"/>
              </w:rPr>
              <w:t>available and expected dynamic rates at the end of this Q&amp;A document. This information is provided as a courtesy</w:t>
            </w:r>
            <w:r w:rsidR="00FA23B3">
              <w:rPr>
                <w:rFonts w:ascii="Arial" w:eastAsia="Times New Roman" w:hAnsi="Arial" w:cs="Arial"/>
                <w:color w:val="000000" w:themeColor="text1"/>
              </w:rPr>
              <w:t>,</w:t>
            </w:r>
            <w:r w:rsidR="00E80B80" w:rsidRPr="2C79C797">
              <w:rPr>
                <w:rFonts w:ascii="Arial" w:eastAsia="Times New Roman" w:hAnsi="Arial" w:cs="Arial"/>
                <w:color w:val="000000" w:themeColor="text1"/>
              </w:rPr>
              <w:t xml:space="preserve"> and CEC does not guarantee the availability of </w:t>
            </w:r>
            <w:r w:rsidR="00FD0ADE" w:rsidRPr="2C79C797">
              <w:rPr>
                <w:rFonts w:ascii="Arial" w:eastAsia="Times New Roman" w:hAnsi="Arial" w:cs="Arial"/>
                <w:color w:val="000000" w:themeColor="text1"/>
              </w:rPr>
              <w:t>specific dynamic rates by a specific date</w:t>
            </w:r>
            <w:r w:rsidR="009202EA" w:rsidRPr="2C79C797">
              <w:rPr>
                <w:rFonts w:ascii="Arial" w:eastAsia="Times New Roman" w:hAnsi="Arial" w:cs="Arial"/>
                <w:color w:val="000000" w:themeColor="text1"/>
              </w:rPr>
              <w:t xml:space="preserve">. </w:t>
            </w:r>
            <w:r w:rsidR="00FF3063" w:rsidRPr="2C79C797">
              <w:rPr>
                <w:rFonts w:ascii="Arial" w:eastAsia="Times New Roman" w:hAnsi="Arial" w:cs="Arial"/>
                <w:color w:val="000000" w:themeColor="text1"/>
              </w:rPr>
              <w:lastRenderedPageBreak/>
              <w:t xml:space="preserve">Applicants should independently verify rate availability. As described in </w:t>
            </w:r>
            <w:r w:rsidR="003009A3" w:rsidRPr="2C79C797">
              <w:rPr>
                <w:rFonts w:ascii="Arial" w:eastAsia="Times New Roman" w:hAnsi="Arial" w:cs="Arial"/>
                <w:color w:val="000000" w:themeColor="text1"/>
              </w:rPr>
              <w:t xml:space="preserve">Section III.D.2 Prompt 9a, </w:t>
            </w:r>
            <w:r w:rsidR="00580F0C" w:rsidRPr="2C79C797">
              <w:rPr>
                <w:rFonts w:ascii="Arial" w:eastAsia="Times New Roman" w:hAnsi="Arial" w:cs="Arial"/>
                <w:color w:val="000000" w:themeColor="text1"/>
              </w:rPr>
              <w:t>Applicants should describe “Plans to ensure at least 35 percent of deployments are with customers enrolled on a dynamic rate. Discuss any coordination with utilities, plans to focus on specific dynamic rate offerings and/or pilots, and the anticipated availability of specific dynamic rates for customer enrollment.</w:t>
            </w:r>
            <w:r w:rsidR="00812AF4" w:rsidRPr="2C79C797">
              <w:rPr>
                <w:rFonts w:ascii="Arial" w:eastAsia="Times New Roman" w:hAnsi="Arial" w:cs="Arial"/>
                <w:color w:val="000000" w:themeColor="text1"/>
              </w:rPr>
              <w:t xml:space="preserve">” Additionally, as described in </w:t>
            </w:r>
            <w:r w:rsidR="00FF3063" w:rsidRPr="2C79C797">
              <w:rPr>
                <w:rFonts w:ascii="Arial" w:eastAsia="Times New Roman" w:hAnsi="Arial" w:cs="Arial"/>
                <w:color w:val="000000" w:themeColor="text1"/>
              </w:rPr>
              <w:t xml:space="preserve">Section IV.E Evaluation Criterion </w:t>
            </w:r>
            <w:r w:rsidR="00812AF4" w:rsidRPr="2C79C797">
              <w:rPr>
                <w:rFonts w:ascii="Arial" w:eastAsia="Times New Roman" w:hAnsi="Arial" w:cs="Arial"/>
                <w:color w:val="000000" w:themeColor="text1"/>
              </w:rPr>
              <w:t xml:space="preserve">9a, </w:t>
            </w:r>
            <w:r w:rsidR="00C54B0F" w:rsidRPr="2C79C797">
              <w:rPr>
                <w:rFonts w:ascii="Arial" w:eastAsia="Times New Roman" w:hAnsi="Arial" w:cs="Arial"/>
                <w:color w:val="000000" w:themeColor="text1"/>
              </w:rPr>
              <w:t>“</w:t>
            </w:r>
            <w:r w:rsidR="00E80B80" w:rsidRPr="2C79C797">
              <w:rPr>
                <w:rFonts w:ascii="Arial" w:eastAsia="Times New Roman" w:hAnsi="Arial" w:cs="Arial"/>
                <w:color w:val="000000" w:themeColor="text1"/>
              </w:rPr>
              <w:t>Applications</w:t>
            </w:r>
            <w:r w:rsidR="00812AF4" w:rsidRPr="2C79C797">
              <w:rPr>
                <w:rFonts w:ascii="Arial" w:eastAsia="Times New Roman" w:hAnsi="Arial" w:cs="Arial"/>
                <w:color w:val="000000" w:themeColor="text1"/>
              </w:rPr>
              <w:t xml:space="preserve"> </w:t>
            </w:r>
            <w:r w:rsidR="00C54B0F" w:rsidRPr="2C79C797">
              <w:rPr>
                <w:rFonts w:ascii="Arial" w:eastAsia="Times New Roman" w:hAnsi="Arial" w:cs="Arial"/>
                <w:color w:val="000000" w:themeColor="text1"/>
              </w:rPr>
              <w:t>will be evaluated on the degree to which the Applicant describes … Any coordination with utilities, plans to focus on specific dynamic rate offerings and/or pilots, and the anticipated availability of specific dynamic rates for customer enrollment.”</w:t>
            </w:r>
          </w:p>
        </w:tc>
      </w:tr>
      <w:tr w:rsidR="00C41799" w:rsidRPr="00271E52" w14:paraId="1174A631" w14:textId="77777777" w:rsidTr="00297D16">
        <w:trPr>
          <w:trHeight w:val="1450"/>
        </w:trPr>
        <w:tc>
          <w:tcPr>
            <w:tcW w:w="549" w:type="dxa"/>
            <w:noWrap/>
            <w:hideMark/>
          </w:tcPr>
          <w:p w14:paraId="60DED041"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lastRenderedPageBreak/>
              <w:t>47</w:t>
            </w:r>
          </w:p>
        </w:tc>
        <w:tc>
          <w:tcPr>
            <w:tcW w:w="5296" w:type="dxa"/>
            <w:hideMark/>
          </w:tcPr>
          <w:p w14:paraId="5EE848DE"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What happens if utilities do not approve interconnection requests for bidirectional chargers?</w:t>
            </w:r>
          </w:p>
        </w:tc>
        <w:tc>
          <w:tcPr>
            <w:tcW w:w="8465" w:type="dxa"/>
            <w:hideMark/>
          </w:tcPr>
          <w:p w14:paraId="10406523" w14:textId="030692D3" w:rsidR="00C41799" w:rsidRPr="00271E52" w:rsidRDefault="00C41799" w:rsidP="00C41799">
            <w:pPr>
              <w:rPr>
                <w:rFonts w:ascii="Arial" w:eastAsia="Times New Roman" w:hAnsi="Arial" w:cs="Arial"/>
                <w:color w:val="000000"/>
              </w:rPr>
            </w:pPr>
            <w:r w:rsidRPr="3718F3BB">
              <w:rPr>
                <w:rFonts w:ascii="Arial" w:eastAsia="Times New Roman" w:hAnsi="Arial" w:cs="Arial"/>
                <w:color w:val="000000" w:themeColor="text1"/>
              </w:rPr>
              <w:t xml:space="preserve">Projects are responsible for successfully executing their Scope of Work and CEC reimbursement is contingent on projects delivering products described in the Scope of Work. Section IV.E Evaluation Criteria 9 and 14 consider the degree to which the </w:t>
            </w:r>
            <w:r w:rsidR="00D35773" w:rsidRPr="3718F3BB">
              <w:rPr>
                <w:rFonts w:ascii="Arial" w:eastAsia="Times New Roman" w:hAnsi="Arial" w:cs="Arial"/>
                <w:color w:val="000000" w:themeColor="text1"/>
              </w:rPr>
              <w:t>A</w:t>
            </w:r>
            <w:r w:rsidRPr="3718F3BB">
              <w:rPr>
                <w:rFonts w:ascii="Arial" w:eastAsia="Times New Roman" w:hAnsi="Arial" w:cs="Arial"/>
                <w:color w:val="000000" w:themeColor="text1"/>
              </w:rPr>
              <w:t>pplicant describes "Plans for deployments with bidirectional charging, if applicable, including any preparation steps such as electrical readiness and utility interconnection, and whether bidirectional charging will be grid-interactive or islanded operation only."</w:t>
            </w:r>
            <w:r w:rsidR="00AC65F4" w:rsidRPr="3718F3BB">
              <w:rPr>
                <w:rFonts w:ascii="Arial" w:eastAsia="Times New Roman" w:hAnsi="Arial" w:cs="Arial"/>
                <w:color w:val="000000" w:themeColor="text1"/>
              </w:rPr>
              <w:t xml:space="preserve"> Some </w:t>
            </w:r>
            <w:r w:rsidR="00F156C8" w:rsidRPr="3718F3BB">
              <w:rPr>
                <w:rFonts w:ascii="Arial" w:eastAsia="Times New Roman" w:hAnsi="Arial" w:cs="Arial"/>
                <w:color w:val="000000" w:themeColor="text1"/>
              </w:rPr>
              <w:t xml:space="preserve">project developers may be eligible for the pilot notification only process for non-export </w:t>
            </w:r>
            <w:r w:rsidR="00E6109D" w:rsidRPr="3718F3BB">
              <w:rPr>
                <w:rFonts w:ascii="Arial" w:eastAsia="Times New Roman" w:hAnsi="Arial" w:cs="Arial"/>
                <w:color w:val="000000" w:themeColor="text1"/>
              </w:rPr>
              <w:t xml:space="preserve">deployments </w:t>
            </w:r>
            <w:r w:rsidR="00157C6A" w:rsidRPr="3718F3BB">
              <w:rPr>
                <w:rFonts w:ascii="Arial" w:eastAsia="Times New Roman" w:hAnsi="Arial" w:cs="Arial"/>
                <w:color w:val="000000" w:themeColor="text1"/>
              </w:rPr>
              <w:t xml:space="preserve">at California investor owned utilities (for example, </w:t>
            </w:r>
            <w:hyperlink r:id="rId19">
              <w:r w:rsidR="00157C6A" w:rsidRPr="3718F3BB">
                <w:rPr>
                  <w:rStyle w:val="Hyperlink"/>
                  <w:rFonts w:ascii="Arial" w:eastAsia="Times New Roman" w:hAnsi="Arial" w:cs="Arial"/>
                </w:rPr>
                <w:t>PG&amp;E</w:t>
              </w:r>
            </w:hyperlink>
            <w:r w:rsidR="00157C6A" w:rsidRPr="3718F3BB">
              <w:rPr>
                <w:rFonts w:ascii="Arial" w:eastAsia="Times New Roman" w:hAnsi="Arial" w:cs="Arial"/>
                <w:color w:val="000000" w:themeColor="text1"/>
              </w:rPr>
              <w:t>).</w:t>
            </w:r>
            <w:r w:rsidR="00F156C8" w:rsidRPr="3718F3BB">
              <w:rPr>
                <w:rFonts w:ascii="Arial" w:eastAsia="Times New Roman" w:hAnsi="Arial" w:cs="Arial"/>
                <w:color w:val="000000" w:themeColor="text1"/>
              </w:rPr>
              <w:t xml:space="preserve"> </w:t>
            </w:r>
          </w:p>
        </w:tc>
      </w:tr>
      <w:tr w:rsidR="00C41799" w:rsidRPr="00271E52" w14:paraId="6DF7E776" w14:textId="77777777" w:rsidTr="00297D16">
        <w:trPr>
          <w:trHeight w:val="1740"/>
        </w:trPr>
        <w:tc>
          <w:tcPr>
            <w:tcW w:w="549" w:type="dxa"/>
            <w:noWrap/>
            <w:hideMark/>
          </w:tcPr>
          <w:p w14:paraId="43185B4D"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48</w:t>
            </w:r>
          </w:p>
        </w:tc>
        <w:tc>
          <w:tcPr>
            <w:tcW w:w="5296" w:type="dxa"/>
            <w:hideMark/>
          </w:tcPr>
          <w:p w14:paraId="187366FA"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How is “cash” match share determined? For example, if a partner provides EVSE at no cost, this counts as in-kind, correct? What if the partner provides cash which is later used to purchase EVSE -- does this count as cash match?</w:t>
            </w:r>
          </w:p>
        </w:tc>
        <w:tc>
          <w:tcPr>
            <w:tcW w:w="8465" w:type="dxa"/>
            <w:hideMark/>
          </w:tcPr>
          <w:p w14:paraId="1E423BAC" w14:textId="46936089"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Refer to Section II.D.2 and II.D.3. For this solicitation, CEC considers all of the following as in-kind match share: "1) non-cash contributions provided by the Applicant; 2) cash or non-cash contributions provided by a subrecipient; and 3) cash or non-cash contributions provided by other third parties." Generally, "Cash match means the net of any funds actually expended by the Applicant for the project." For example, this means EVSE "included in the approved agreement budget, paid in full </w:t>
            </w:r>
            <w:proofErr w:type="gramStart"/>
            <w:r w:rsidRPr="00271E52">
              <w:rPr>
                <w:rFonts w:ascii="Arial" w:eastAsia="Times New Roman" w:hAnsi="Arial" w:cs="Arial"/>
                <w:color w:val="000000"/>
              </w:rPr>
              <w:t>with</w:t>
            </w:r>
            <w:proofErr w:type="gramEnd"/>
            <w:r w:rsidRPr="00271E52">
              <w:rPr>
                <w:rFonts w:ascii="Arial" w:eastAsia="Times New Roman" w:hAnsi="Arial" w:cs="Arial"/>
                <w:color w:val="000000"/>
              </w:rPr>
              <w:t xml:space="preserve"> funding sources other than grant funds, and supported with appropriate documentation, including proof of payment" by the </w:t>
            </w:r>
            <w:r w:rsidR="000D2BDF">
              <w:rPr>
                <w:rFonts w:ascii="Arial" w:eastAsia="Times New Roman" w:hAnsi="Arial" w:cs="Arial"/>
                <w:color w:val="000000"/>
              </w:rPr>
              <w:t>A</w:t>
            </w:r>
            <w:r w:rsidRPr="00271E52">
              <w:rPr>
                <w:rFonts w:ascii="Arial" w:eastAsia="Times New Roman" w:hAnsi="Arial" w:cs="Arial"/>
                <w:color w:val="000000"/>
              </w:rPr>
              <w:t>pplicant.</w:t>
            </w:r>
          </w:p>
        </w:tc>
      </w:tr>
      <w:tr w:rsidR="00C41799" w:rsidRPr="00271E52" w14:paraId="283079F0" w14:textId="77777777" w:rsidTr="00297D16">
        <w:trPr>
          <w:trHeight w:val="2030"/>
        </w:trPr>
        <w:tc>
          <w:tcPr>
            <w:tcW w:w="549" w:type="dxa"/>
            <w:noWrap/>
            <w:hideMark/>
          </w:tcPr>
          <w:p w14:paraId="5A7779A0"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49</w:t>
            </w:r>
          </w:p>
        </w:tc>
        <w:tc>
          <w:tcPr>
            <w:tcW w:w="5296" w:type="dxa"/>
            <w:hideMark/>
          </w:tcPr>
          <w:p w14:paraId="3481CE5C"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If an applicant team wants to use a contract administrator service provider, may that service provider be the applicant?</w:t>
            </w:r>
          </w:p>
        </w:tc>
        <w:tc>
          <w:tcPr>
            <w:tcW w:w="8465" w:type="dxa"/>
            <w:hideMark/>
          </w:tcPr>
          <w:p w14:paraId="72D67417" w14:textId="655AEEEA"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As described in Section II.A.1, REDWDS is open to "Electric vehicle service providers (EVSPs) and charging network companies, Electric vehicle supply equipment (EVSE) manufacturers, Electric vehicle charging software and/or hardware providers, Automation service providers that manage or aggregate</w:t>
            </w:r>
            <w:r w:rsidR="004A288C" w:rsidRPr="2929DF5F">
              <w:rPr>
                <w:rFonts w:ascii="Arial" w:eastAsia="Times New Roman" w:hAnsi="Arial" w:cs="Arial"/>
                <w:color w:val="000000" w:themeColor="text1"/>
              </w:rPr>
              <w:t xml:space="preserve"> </w:t>
            </w:r>
            <w:r w:rsidRPr="2929DF5F">
              <w:rPr>
                <w:rFonts w:ascii="Arial" w:eastAsia="Times New Roman" w:hAnsi="Arial" w:cs="Arial"/>
                <w:color w:val="000000" w:themeColor="text1"/>
              </w:rPr>
              <w:t xml:space="preserve">charging, and Vehicle manufacturers. The Applicant must be from one of the above categories ... There are no limitations on the types of entities which may be included as key partners on the project team." A contract administrator service provider may be </w:t>
            </w:r>
            <w:r w:rsidR="00285886" w:rsidRPr="2929DF5F">
              <w:rPr>
                <w:rFonts w:ascii="Arial" w:eastAsia="Times New Roman" w:hAnsi="Arial" w:cs="Arial"/>
                <w:color w:val="000000" w:themeColor="text1"/>
              </w:rPr>
              <w:t xml:space="preserve">included </w:t>
            </w:r>
            <w:r w:rsidR="00EC2FC8" w:rsidRPr="2929DF5F">
              <w:rPr>
                <w:rFonts w:ascii="Arial" w:eastAsia="Times New Roman" w:hAnsi="Arial" w:cs="Arial"/>
                <w:color w:val="000000" w:themeColor="text1"/>
              </w:rPr>
              <w:t xml:space="preserve">as a </w:t>
            </w:r>
            <w:r w:rsidR="00A17F8D" w:rsidRPr="2929DF5F">
              <w:rPr>
                <w:rFonts w:ascii="Arial" w:eastAsia="Times New Roman" w:hAnsi="Arial" w:cs="Arial"/>
                <w:color w:val="000000" w:themeColor="text1"/>
              </w:rPr>
              <w:t xml:space="preserve">key partner on the project team </w:t>
            </w:r>
            <w:r w:rsidR="00285886" w:rsidRPr="2929DF5F">
              <w:rPr>
                <w:rFonts w:ascii="Arial" w:eastAsia="Times New Roman" w:hAnsi="Arial" w:cs="Arial"/>
                <w:color w:val="000000" w:themeColor="text1"/>
              </w:rPr>
              <w:t xml:space="preserve">to </w:t>
            </w:r>
            <w:r w:rsidR="00A17F8D" w:rsidRPr="2929DF5F">
              <w:rPr>
                <w:rFonts w:ascii="Arial" w:eastAsia="Times New Roman" w:hAnsi="Arial" w:cs="Arial"/>
                <w:color w:val="000000" w:themeColor="text1"/>
              </w:rPr>
              <w:t>manage the project agreement with CEC</w:t>
            </w:r>
            <w:r w:rsidRPr="2929DF5F">
              <w:rPr>
                <w:rFonts w:ascii="Arial" w:eastAsia="Times New Roman" w:hAnsi="Arial" w:cs="Arial"/>
                <w:color w:val="000000" w:themeColor="text1"/>
              </w:rPr>
              <w:t xml:space="preserve">, but the </w:t>
            </w:r>
            <w:r w:rsidR="00DE0E38" w:rsidRPr="2929DF5F">
              <w:rPr>
                <w:rFonts w:ascii="Arial" w:eastAsia="Times New Roman" w:hAnsi="Arial" w:cs="Arial"/>
                <w:color w:val="000000" w:themeColor="text1"/>
              </w:rPr>
              <w:t>A</w:t>
            </w:r>
            <w:r w:rsidRPr="2929DF5F">
              <w:rPr>
                <w:rFonts w:ascii="Arial" w:eastAsia="Times New Roman" w:hAnsi="Arial" w:cs="Arial"/>
                <w:color w:val="000000" w:themeColor="text1"/>
              </w:rPr>
              <w:t>pplicant must be</w:t>
            </w:r>
            <w:r w:rsidR="00C17C75" w:rsidRPr="2929DF5F">
              <w:rPr>
                <w:rFonts w:ascii="Arial" w:eastAsia="Times New Roman" w:hAnsi="Arial" w:cs="Arial"/>
                <w:color w:val="000000" w:themeColor="text1"/>
              </w:rPr>
              <w:t>long to</w:t>
            </w:r>
            <w:r w:rsidRPr="2929DF5F">
              <w:rPr>
                <w:rFonts w:ascii="Arial" w:eastAsia="Times New Roman" w:hAnsi="Arial" w:cs="Arial"/>
                <w:color w:val="000000" w:themeColor="text1"/>
              </w:rPr>
              <w:t xml:space="preserve"> one of the categories described</w:t>
            </w:r>
            <w:r w:rsidR="00B66042" w:rsidRPr="2929DF5F">
              <w:rPr>
                <w:rFonts w:ascii="Arial" w:eastAsia="Times New Roman" w:hAnsi="Arial" w:cs="Arial"/>
                <w:color w:val="000000" w:themeColor="text1"/>
              </w:rPr>
              <w:t xml:space="preserve"> above</w:t>
            </w:r>
            <w:r w:rsidRPr="2929DF5F">
              <w:rPr>
                <w:rFonts w:ascii="Arial" w:eastAsia="Times New Roman" w:hAnsi="Arial" w:cs="Arial"/>
                <w:color w:val="000000" w:themeColor="text1"/>
              </w:rPr>
              <w:t>.</w:t>
            </w:r>
          </w:p>
        </w:tc>
      </w:tr>
      <w:tr w:rsidR="00C41799" w:rsidRPr="00271E52" w14:paraId="1D3DB3B1" w14:textId="77777777" w:rsidTr="00297D16">
        <w:trPr>
          <w:trHeight w:val="1565"/>
        </w:trPr>
        <w:tc>
          <w:tcPr>
            <w:tcW w:w="549" w:type="dxa"/>
            <w:noWrap/>
            <w:hideMark/>
          </w:tcPr>
          <w:p w14:paraId="66C2AF19"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lastRenderedPageBreak/>
              <w:t>50</w:t>
            </w:r>
          </w:p>
        </w:tc>
        <w:tc>
          <w:tcPr>
            <w:tcW w:w="5296" w:type="dxa"/>
            <w:hideMark/>
          </w:tcPr>
          <w:p w14:paraId="55C433CA"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Can you only pay people that live or work in California, and does this affect project scoring?</w:t>
            </w:r>
          </w:p>
        </w:tc>
        <w:tc>
          <w:tcPr>
            <w:tcW w:w="8465" w:type="dxa"/>
            <w:hideMark/>
          </w:tcPr>
          <w:p w14:paraId="6303A0D3" w14:textId="74DB32EC" w:rsidR="00C41799" w:rsidRPr="00271E52" w:rsidRDefault="55C7F157" w:rsidP="00C41799">
            <w:pPr>
              <w:rPr>
                <w:rFonts w:ascii="Arial" w:eastAsia="Times New Roman" w:hAnsi="Arial" w:cs="Arial"/>
                <w:color w:val="000000"/>
              </w:rPr>
            </w:pPr>
            <w:r w:rsidRPr="3718F3BB">
              <w:rPr>
                <w:rFonts w:ascii="Arial" w:eastAsia="Times New Roman" w:hAnsi="Arial" w:cs="Arial"/>
                <w:color w:val="000000" w:themeColor="text1"/>
              </w:rPr>
              <w:t>An application could propose all California-based labor</w:t>
            </w:r>
            <w:r w:rsidR="00C41799" w:rsidRPr="3718F3BB">
              <w:rPr>
                <w:rFonts w:ascii="Arial" w:eastAsia="Times New Roman" w:hAnsi="Arial" w:cs="Arial"/>
                <w:color w:val="000000" w:themeColor="text1"/>
              </w:rPr>
              <w:t>.</w:t>
            </w:r>
            <w:r w:rsidR="268494BC" w:rsidRPr="3718F3BB">
              <w:rPr>
                <w:rFonts w:ascii="Arial" w:eastAsia="Times New Roman" w:hAnsi="Arial" w:cs="Arial"/>
                <w:color w:val="000000" w:themeColor="text1"/>
              </w:rPr>
              <w:t xml:space="preserve"> The Evaluation Criteria specified in </w:t>
            </w:r>
            <w:r w:rsidR="00F965F6">
              <w:rPr>
                <w:rFonts w:ascii="Arial" w:eastAsia="Times New Roman" w:hAnsi="Arial" w:cs="Arial"/>
                <w:color w:val="000000" w:themeColor="text1"/>
              </w:rPr>
              <w:t>S</w:t>
            </w:r>
            <w:r w:rsidR="268494BC" w:rsidRPr="3718F3BB">
              <w:rPr>
                <w:rFonts w:ascii="Arial" w:eastAsia="Times New Roman" w:hAnsi="Arial" w:cs="Arial"/>
                <w:color w:val="000000" w:themeColor="text1"/>
              </w:rPr>
              <w:t>ection IV.E do not specifically consider where l</w:t>
            </w:r>
            <w:r w:rsidR="6B0BDE2F" w:rsidRPr="3718F3BB">
              <w:rPr>
                <w:rFonts w:ascii="Arial" w:eastAsia="Times New Roman" w:hAnsi="Arial" w:cs="Arial"/>
                <w:color w:val="000000" w:themeColor="text1"/>
              </w:rPr>
              <w:t xml:space="preserve">abor is located, but without knowing all details of the proposed work </w:t>
            </w:r>
            <w:r w:rsidR="087F03D8" w:rsidRPr="3718F3BB">
              <w:rPr>
                <w:rFonts w:ascii="Arial" w:eastAsia="Times New Roman" w:hAnsi="Arial" w:cs="Arial"/>
                <w:color w:val="000000" w:themeColor="text1"/>
              </w:rPr>
              <w:t>CEC cannot say how a project would score</w:t>
            </w:r>
            <w:r w:rsidR="6B0BDE2F" w:rsidRPr="3718F3BB">
              <w:rPr>
                <w:rFonts w:ascii="Arial" w:eastAsia="Times New Roman" w:hAnsi="Arial" w:cs="Arial"/>
                <w:color w:val="000000" w:themeColor="text1"/>
              </w:rPr>
              <w:t>.</w:t>
            </w:r>
            <w:r w:rsidR="268494BC" w:rsidRPr="3718F3BB">
              <w:rPr>
                <w:rFonts w:ascii="Arial" w:eastAsia="Times New Roman" w:hAnsi="Arial" w:cs="Arial"/>
                <w:color w:val="000000" w:themeColor="text1"/>
              </w:rPr>
              <w:t xml:space="preserve"> </w:t>
            </w:r>
            <w:r w:rsidR="6CE9EA13" w:rsidRPr="3718F3BB">
              <w:rPr>
                <w:rFonts w:ascii="Arial" w:eastAsia="Times New Roman" w:hAnsi="Arial" w:cs="Arial"/>
                <w:color w:val="000000" w:themeColor="text1"/>
              </w:rPr>
              <w:t>Please not</w:t>
            </w:r>
            <w:r w:rsidR="5689575D" w:rsidRPr="3718F3BB">
              <w:rPr>
                <w:rFonts w:ascii="Arial" w:eastAsia="Times New Roman" w:hAnsi="Arial" w:cs="Arial"/>
                <w:color w:val="000000" w:themeColor="text1"/>
              </w:rPr>
              <w:t>e</w:t>
            </w:r>
            <w:r w:rsidR="6CE9EA13" w:rsidRPr="3718F3BB">
              <w:rPr>
                <w:rFonts w:ascii="Arial" w:eastAsia="Times New Roman" w:hAnsi="Arial" w:cs="Arial"/>
                <w:color w:val="000000" w:themeColor="text1"/>
              </w:rPr>
              <w:t xml:space="preserve"> other requirements in the solicitation, including </w:t>
            </w:r>
            <w:r w:rsidR="00C41799" w:rsidRPr="3718F3BB">
              <w:rPr>
                <w:rFonts w:ascii="Arial" w:eastAsia="Times New Roman" w:hAnsi="Arial" w:cs="Arial"/>
                <w:color w:val="000000" w:themeColor="text1"/>
              </w:rPr>
              <w:t>II.B.2-2, "All deployments must be in California</w:t>
            </w:r>
            <w:r w:rsidR="58855752" w:rsidRPr="3718F3BB">
              <w:rPr>
                <w:rFonts w:ascii="Arial" w:eastAsia="Times New Roman" w:hAnsi="Arial" w:cs="Arial"/>
                <w:color w:val="000000" w:themeColor="text1"/>
              </w:rPr>
              <w:t>,” and registration requirements described in</w:t>
            </w:r>
            <w:r w:rsidR="00C41799" w:rsidRPr="3718F3BB">
              <w:rPr>
                <w:rFonts w:ascii="Arial" w:eastAsia="Times New Roman" w:hAnsi="Arial" w:cs="Arial"/>
                <w:color w:val="000000" w:themeColor="text1"/>
              </w:rPr>
              <w:t xml:space="preserve"> Section II.A.3</w:t>
            </w:r>
            <w:r w:rsidR="29559B6C" w:rsidRPr="3718F3BB">
              <w:rPr>
                <w:rFonts w:ascii="Arial" w:eastAsia="Times New Roman" w:hAnsi="Arial" w:cs="Arial"/>
                <w:color w:val="000000" w:themeColor="text1"/>
              </w:rPr>
              <w:t>.</w:t>
            </w:r>
          </w:p>
        </w:tc>
      </w:tr>
      <w:tr w:rsidR="00C41799" w:rsidRPr="00271E52" w14:paraId="4CC9E283" w14:textId="77777777" w:rsidTr="00297D16">
        <w:trPr>
          <w:trHeight w:val="870"/>
        </w:trPr>
        <w:tc>
          <w:tcPr>
            <w:tcW w:w="549" w:type="dxa"/>
            <w:noWrap/>
            <w:hideMark/>
          </w:tcPr>
          <w:p w14:paraId="63235C80"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51</w:t>
            </w:r>
          </w:p>
        </w:tc>
        <w:tc>
          <w:tcPr>
            <w:tcW w:w="5296" w:type="dxa"/>
            <w:hideMark/>
          </w:tcPr>
          <w:p w14:paraId="5EA0741D"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If someone is a contractor to your company, would they be considered a subcontractor as noted in the budget?</w:t>
            </w:r>
          </w:p>
        </w:tc>
        <w:tc>
          <w:tcPr>
            <w:tcW w:w="8465" w:type="dxa"/>
            <w:hideMark/>
          </w:tcPr>
          <w:p w14:paraId="4C935FAA" w14:textId="6D476D76"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Any third</w:t>
            </w:r>
            <w:r w:rsidR="00997B7C" w:rsidRPr="2929DF5F">
              <w:rPr>
                <w:rFonts w:ascii="Arial" w:eastAsia="Times New Roman" w:hAnsi="Arial" w:cs="Arial"/>
                <w:color w:val="000000" w:themeColor="text1"/>
              </w:rPr>
              <w:t>-</w:t>
            </w:r>
            <w:r w:rsidRPr="2929DF5F">
              <w:rPr>
                <w:rFonts w:ascii="Arial" w:eastAsia="Times New Roman" w:hAnsi="Arial" w:cs="Arial"/>
                <w:color w:val="000000" w:themeColor="text1"/>
              </w:rPr>
              <w:t xml:space="preserve">party entities providing match funds or seeking CEC reimbursement are considered subcontractors </w:t>
            </w:r>
            <w:r w:rsidR="00997B7C" w:rsidRPr="2929DF5F">
              <w:rPr>
                <w:rFonts w:ascii="Arial" w:eastAsia="Times New Roman" w:hAnsi="Arial" w:cs="Arial"/>
                <w:color w:val="000000" w:themeColor="text1"/>
              </w:rPr>
              <w:t>(subrecipient</w:t>
            </w:r>
            <w:r w:rsidR="00D779B8" w:rsidRPr="2929DF5F">
              <w:rPr>
                <w:rFonts w:ascii="Arial" w:eastAsia="Times New Roman" w:hAnsi="Arial" w:cs="Arial"/>
                <w:color w:val="000000" w:themeColor="text1"/>
              </w:rPr>
              <w:t>s</w:t>
            </w:r>
            <w:r w:rsidR="00997B7C" w:rsidRPr="2929DF5F">
              <w:rPr>
                <w:rFonts w:ascii="Arial" w:eastAsia="Times New Roman" w:hAnsi="Arial" w:cs="Arial"/>
                <w:color w:val="000000" w:themeColor="text1"/>
              </w:rPr>
              <w:t>)</w:t>
            </w:r>
            <w:r w:rsidRPr="2929DF5F">
              <w:rPr>
                <w:rFonts w:ascii="Arial" w:eastAsia="Times New Roman" w:hAnsi="Arial" w:cs="Arial"/>
                <w:color w:val="000000" w:themeColor="text1"/>
              </w:rPr>
              <w:t xml:space="preserve"> and should be included on the Budget Form (Attachment 04). A separate Budget Form is required for each subcontractor </w:t>
            </w:r>
            <w:r w:rsidR="00997B7C" w:rsidRPr="2929DF5F">
              <w:rPr>
                <w:rFonts w:ascii="Arial" w:eastAsia="Times New Roman" w:hAnsi="Arial" w:cs="Arial"/>
                <w:color w:val="000000" w:themeColor="text1"/>
              </w:rPr>
              <w:t xml:space="preserve">(subrecipient) </w:t>
            </w:r>
            <w:r w:rsidRPr="2929DF5F">
              <w:rPr>
                <w:rFonts w:ascii="Arial" w:eastAsia="Times New Roman" w:hAnsi="Arial" w:cs="Arial"/>
                <w:color w:val="000000" w:themeColor="text1"/>
              </w:rPr>
              <w:t>requesting $100,000 or more in CEC funds.</w:t>
            </w:r>
          </w:p>
        </w:tc>
      </w:tr>
      <w:tr w:rsidR="00C41799" w:rsidRPr="00271E52" w14:paraId="1BF9D448" w14:textId="77777777" w:rsidTr="00297D16">
        <w:trPr>
          <w:trHeight w:val="580"/>
        </w:trPr>
        <w:tc>
          <w:tcPr>
            <w:tcW w:w="549" w:type="dxa"/>
            <w:noWrap/>
            <w:hideMark/>
          </w:tcPr>
          <w:p w14:paraId="780388B0"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52</w:t>
            </w:r>
          </w:p>
        </w:tc>
        <w:tc>
          <w:tcPr>
            <w:tcW w:w="5296" w:type="dxa"/>
            <w:hideMark/>
          </w:tcPr>
          <w:p w14:paraId="3A9FC49E"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Could a utility program </w:t>
            </w:r>
            <w:proofErr w:type="gramStart"/>
            <w:r w:rsidRPr="00271E52">
              <w:rPr>
                <w:rFonts w:ascii="Arial" w:eastAsia="Times New Roman" w:hAnsi="Arial" w:cs="Arial"/>
                <w:color w:val="000000"/>
              </w:rPr>
              <w:t>funded</w:t>
            </w:r>
            <w:proofErr w:type="gramEnd"/>
            <w:r w:rsidRPr="00271E52">
              <w:rPr>
                <w:rFonts w:ascii="Arial" w:eastAsia="Times New Roman" w:hAnsi="Arial" w:cs="Arial"/>
                <w:color w:val="000000"/>
              </w:rPr>
              <w:t xml:space="preserve"> through the Low Carbon Fuel Standard count toward match funds?</w:t>
            </w:r>
          </w:p>
        </w:tc>
        <w:tc>
          <w:tcPr>
            <w:tcW w:w="8465" w:type="dxa"/>
            <w:hideMark/>
          </w:tcPr>
          <w:p w14:paraId="1E46C4D5" w14:textId="43A82A52" w:rsidR="00C41799" w:rsidRPr="00271E52" w:rsidRDefault="00C41799" w:rsidP="00C41799">
            <w:pPr>
              <w:rPr>
                <w:rFonts w:ascii="Arial" w:eastAsia="Times New Roman" w:hAnsi="Arial" w:cs="Arial"/>
                <w:color w:val="000000"/>
              </w:rPr>
            </w:pPr>
            <w:r w:rsidRPr="2AEA3010">
              <w:rPr>
                <w:rFonts w:ascii="Arial" w:eastAsia="Times New Roman" w:hAnsi="Arial" w:cs="Arial"/>
                <w:color w:val="000000" w:themeColor="text1"/>
              </w:rPr>
              <w:t xml:space="preserve">No. Section II.E has been updated with clarified language. Generally, match funding should demonstrate </w:t>
            </w:r>
            <w:r w:rsidR="08DB0FB8" w:rsidRPr="2929DF5F">
              <w:rPr>
                <w:rFonts w:ascii="Arial" w:eastAsia="Times New Roman" w:hAnsi="Arial" w:cs="Arial"/>
                <w:color w:val="000000" w:themeColor="text1"/>
              </w:rPr>
              <w:t>a financial stake</w:t>
            </w:r>
            <w:r w:rsidRPr="2AEA3010">
              <w:rPr>
                <w:rFonts w:ascii="Arial" w:eastAsia="Times New Roman" w:hAnsi="Arial" w:cs="Arial"/>
                <w:color w:val="000000" w:themeColor="text1"/>
              </w:rPr>
              <w:t xml:space="preserve"> in the </w:t>
            </w:r>
            <w:r w:rsidR="08DB0FB8" w:rsidRPr="2929DF5F">
              <w:rPr>
                <w:rFonts w:ascii="Arial" w:eastAsia="Times New Roman" w:hAnsi="Arial" w:cs="Arial"/>
                <w:color w:val="000000" w:themeColor="text1"/>
              </w:rPr>
              <w:t>project</w:t>
            </w:r>
            <w:r w:rsidRPr="2AEA3010">
              <w:rPr>
                <w:rFonts w:ascii="Arial" w:eastAsia="Times New Roman" w:hAnsi="Arial" w:cs="Arial"/>
                <w:color w:val="000000" w:themeColor="text1"/>
              </w:rPr>
              <w:t xml:space="preserve"> by the </w:t>
            </w:r>
            <w:r w:rsidR="00271AEB" w:rsidRPr="2AEA3010">
              <w:rPr>
                <w:rFonts w:ascii="Arial" w:eastAsia="Times New Roman" w:hAnsi="Arial" w:cs="Arial"/>
                <w:color w:val="000000" w:themeColor="text1"/>
              </w:rPr>
              <w:t>A</w:t>
            </w:r>
            <w:r w:rsidRPr="2AEA3010">
              <w:rPr>
                <w:rFonts w:ascii="Arial" w:eastAsia="Times New Roman" w:hAnsi="Arial" w:cs="Arial"/>
                <w:color w:val="000000" w:themeColor="text1"/>
              </w:rPr>
              <w:t>pplicant or project partner.</w:t>
            </w:r>
          </w:p>
        </w:tc>
      </w:tr>
      <w:tr w:rsidR="00C41799" w:rsidRPr="00271E52" w14:paraId="49EF8C80" w14:textId="77777777" w:rsidTr="00297D16">
        <w:trPr>
          <w:trHeight w:val="580"/>
        </w:trPr>
        <w:tc>
          <w:tcPr>
            <w:tcW w:w="549" w:type="dxa"/>
            <w:noWrap/>
            <w:hideMark/>
          </w:tcPr>
          <w:p w14:paraId="5A518AC6"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53</w:t>
            </w:r>
          </w:p>
        </w:tc>
        <w:tc>
          <w:tcPr>
            <w:tcW w:w="5296" w:type="dxa"/>
            <w:hideMark/>
          </w:tcPr>
          <w:p w14:paraId="0545A5C0"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Is there an expectation of how much time is spent on product development versus customer deployment?</w:t>
            </w:r>
          </w:p>
        </w:tc>
        <w:tc>
          <w:tcPr>
            <w:tcW w:w="8465" w:type="dxa"/>
            <w:hideMark/>
          </w:tcPr>
          <w:p w14:paraId="5BF465BB"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No. Applicants are free to define a schedule most appropriate for their project. Phase 1 activities must complete by March 31, 2026. Phase 2 activities must complete by March 31, 2029.</w:t>
            </w:r>
          </w:p>
        </w:tc>
      </w:tr>
      <w:tr w:rsidR="00C41799" w:rsidRPr="00271E52" w14:paraId="72193650" w14:textId="77777777" w:rsidTr="00297D16">
        <w:trPr>
          <w:trHeight w:val="870"/>
        </w:trPr>
        <w:tc>
          <w:tcPr>
            <w:tcW w:w="549" w:type="dxa"/>
            <w:noWrap/>
            <w:hideMark/>
          </w:tcPr>
          <w:p w14:paraId="05EDF4FA"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54</w:t>
            </w:r>
          </w:p>
        </w:tc>
        <w:tc>
          <w:tcPr>
            <w:tcW w:w="5296" w:type="dxa"/>
            <w:hideMark/>
          </w:tcPr>
          <w:p w14:paraId="14DBD292"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Can Phase 2 be similar to Phase 1 but on a larger scale? Or should there be a big difference in Phase 2?</w:t>
            </w:r>
          </w:p>
        </w:tc>
        <w:tc>
          <w:tcPr>
            <w:tcW w:w="8465" w:type="dxa"/>
            <w:hideMark/>
          </w:tcPr>
          <w:p w14:paraId="5029E3E9" w14:textId="73BAA5AD"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 xml:space="preserve">Phase 2 may provide additional funding for additional customer deployments and data collection. Phase 2 does not provide additional funding for product development. CEC expects Phase 2 customer deployment and data collection </w:t>
            </w:r>
            <w:r w:rsidR="00B31CDC" w:rsidRPr="2929DF5F">
              <w:rPr>
                <w:rFonts w:ascii="Arial" w:eastAsia="Times New Roman" w:hAnsi="Arial" w:cs="Arial"/>
                <w:color w:val="000000" w:themeColor="text1"/>
              </w:rPr>
              <w:t xml:space="preserve">activities </w:t>
            </w:r>
            <w:r w:rsidRPr="2929DF5F">
              <w:rPr>
                <w:rFonts w:ascii="Arial" w:eastAsia="Times New Roman" w:hAnsi="Arial" w:cs="Arial"/>
                <w:color w:val="000000" w:themeColor="text1"/>
              </w:rPr>
              <w:t>to be similar to those in Phase 1.</w:t>
            </w:r>
          </w:p>
        </w:tc>
      </w:tr>
      <w:tr w:rsidR="00C41799" w:rsidRPr="00271E52" w14:paraId="6049205C" w14:textId="77777777" w:rsidTr="00297D16">
        <w:trPr>
          <w:trHeight w:val="1160"/>
        </w:trPr>
        <w:tc>
          <w:tcPr>
            <w:tcW w:w="549" w:type="dxa"/>
            <w:noWrap/>
            <w:hideMark/>
          </w:tcPr>
          <w:p w14:paraId="4C457EA4"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55</w:t>
            </w:r>
          </w:p>
        </w:tc>
        <w:tc>
          <w:tcPr>
            <w:tcW w:w="5296" w:type="dxa"/>
            <w:hideMark/>
          </w:tcPr>
          <w:p w14:paraId="211842DB" w14:textId="6286EF2E"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How do we provide verification of match funding? For example</w:t>
            </w:r>
            <w:r w:rsidR="00B31CDC" w:rsidRPr="2929DF5F">
              <w:rPr>
                <w:rFonts w:ascii="Arial" w:eastAsia="Times New Roman" w:hAnsi="Arial" w:cs="Arial"/>
                <w:color w:val="000000" w:themeColor="text1"/>
              </w:rPr>
              <w:t>,</w:t>
            </w:r>
            <w:r w:rsidRPr="2929DF5F">
              <w:rPr>
                <w:rFonts w:ascii="Arial" w:eastAsia="Times New Roman" w:hAnsi="Arial" w:cs="Arial"/>
                <w:color w:val="000000" w:themeColor="text1"/>
              </w:rPr>
              <w:t xml:space="preserve"> can we use revenue from other products as match funding?</w:t>
            </w:r>
          </w:p>
        </w:tc>
        <w:tc>
          <w:tcPr>
            <w:tcW w:w="8465" w:type="dxa"/>
            <w:hideMark/>
          </w:tcPr>
          <w:p w14:paraId="3AC986E7" w14:textId="24CDF932"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Applications should provide a summary of expected match funding on the Application Form (Attachment 01) and provide additional detail in the Budget Form (Attachment 04). Further, as described in Section III.D.8, applications must include a Letter of Commitment from each third-party match share contributor. Awarded projects must identify and obtain match funds as part of Task 1.7 in the Scope of Work (Attachment 02).</w:t>
            </w:r>
            <w:r w:rsidR="00E96474" w:rsidRPr="2929DF5F">
              <w:rPr>
                <w:rFonts w:ascii="Arial" w:eastAsia="Times New Roman" w:hAnsi="Arial" w:cs="Arial"/>
                <w:color w:val="000000" w:themeColor="text1"/>
              </w:rPr>
              <w:t xml:space="preserve"> </w:t>
            </w:r>
            <w:r w:rsidR="00B7562C" w:rsidRPr="2929DF5F">
              <w:rPr>
                <w:rFonts w:ascii="Arial" w:eastAsia="Times New Roman" w:hAnsi="Arial" w:cs="Arial"/>
                <w:color w:val="000000" w:themeColor="text1"/>
              </w:rPr>
              <w:t xml:space="preserve">Match share contributors </w:t>
            </w:r>
            <w:r w:rsidR="00FD3B7A" w:rsidRPr="2929DF5F">
              <w:rPr>
                <w:rFonts w:ascii="Arial" w:eastAsia="Times New Roman" w:hAnsi="Arial" w:cs="Arial"/>
                <w:color w:val="000000" w:themeColor="text1"/>
              </w:rPr>
              <w:t xml:space="preserve">may </w:t>
            </w:r>
            <w:r w:rsidR="00FB0456" w:rsidRPr="2929DF5F">
              <w:rPr>
                <w:rFonts w:ascii="Arial" w:eastAsia="Times New Roman" w:hAnsi="Arial" w:cs="Arial"/>
                <w:color w:val="000000" w:themeColor="text1"/>
              </w:rPr>
              <w:t>draw</w:t>
            </w:r>
            <w:r w:rsidR="009C0630" w:rsidRPr="2929DF5F">
              <w:rPr>
                <w:rFonts w:ascii="Arial" w:eastAsia="Times New Roman" w:hAnsi="Arial" w:cs="Arial"/>
                <w:color w:val="000000" w:themeColor="text1"/>
              </w:rPr>
              <w:t xml:space="preserve"> </w:t>
            </w:r>
            <w:r w:rsidR="00FB0456" w:rsidRPr="2929DF5F">
              <w:rPr>
                <w:rFonts w:ascii="Arial" w:eastAsia="Times New Roman" w:hAnsi="Arial" w:cs="Arial"/>
                <w:color w:val="000000" w:themeColor="text1"/>
              </w:rPr>
              <w:t xml:space="preserve">funds from sources such as </w:t>
            </w:r>
            <w:r w:rsidR="00D96BB2" w:rsidRPr="2929DF5F">
              <w:rPr>
                <w:rFonts w:ascii="Arial" w:eastAsia="Times New Roman" w:hAnsi="Arial" w:cs="Arial"/>
                <w:color w:val="000000" w:themeColor="text1"/>
              </w:rPr>
              <w:t xml:space="preserve">revenue from </w:t>
            </w:r>
            <w:r w:rsidR="3AAC6E80" w:rsidRPr="2929DF5F">
              <w:rPr>
                <w:rFonts w:ascii="Arial" w:eastAsia="Times New Roman" w:hAnsi="Arial" w:cs="Arial"/>
                <w:color w:val="000000" w:themeColor="text1"/>
              </w:rPr>
              <w:t xml:space="preserve">other </w:t>
            </w:r>
            <w:r w:rsidR="687A3AA6" w:rsidRPr="2929DF5F">
              <w:rPr>
                <w:rFonts w:ascii="Arial" w:eastAsia="Times New Roman" w:hAnsi="Arial" w:cs="Arial"/>
                <w:color w:val="000000" w:themeColor="text1"/>
              </w:rPr>
              <w:t>product</w:t>
            </w:r>
            <w:r w:rsidR="4A283352" w:rsidRPr="2929DF5F">
              <w:rPr>
                <w:rFonts w:ascii="Arial" w:eastAsia="Times New Roman" w:hAnsi="Arial" w:cs="Arial"/>
                <w:color w:val="000000" w:themeColor="text1"/>
              </w:rPr>
              <w:t>s</w:t>
            </w:r>
            <w:r w:rsidR="00685726" w:rsidRPr="2929DF5F">
              <w:rPr>
                <w:rFonts w:ascii="Arial" w:eastAsia="Times New Roman" w:hAnsi="Arial" w:cs="Arial"/>
                <w:color w:val="000000" w:themeColor="text1"/>
              </w:rPr>
              <w:t>.</w:t>
            </w:r>
          </w:p>
        </w:tc>
      </w:tr>
      <w:tr w:rsidR="00C41799" w:rsidRPr="00271E52" w14:paraId="16437D63" w14:textId="77777777" w:rsidTr="00297D16">
        <w:trPr>
          <w:trHeight w:val="870"/>
        </w:trPr>
        <w:tc>
          <w:tcPr>
            <w:tcW w:w="549" w:type="dxa"/>
            <w:noWrap/>
            <w:hideMark/>
          </w:tcPr>
          <w:p w14:paraId="706B5E75" w14:textId="100F590E"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56</w:t>
            </w:r>
          </w:p>
        </w:tc>
        <w:tc>
          <w:tcPr>
            <w:tcW w:w="5296" w:type="dxa"/>
            <w:hideMark/>
          </w:tcPr>
          <w:p w14:paraId="6213A411" w14:textId="6FFAA4A8"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If you intend to have customers participate in cost share for deploymen</w:t>
            </w:r>
            <w:r w:rsidR="00397677" w:rsidRPr="00271E52">
              <w:rPr>
                <w:rFonts w:ascii="Arial" w:eastAsia="Times New Roman" w:hAnsi="Arial" w:cs="Arial"/>
                <w:color w:val="000000"/>
              </w:rPr>
              <w:t>t,</w:t>
            </w:r>
            <w:r w:rsidRPr="00271E52">
              <w:rPr>
                <w:rFonts w:ascii="Arial" w:eastAsia="Times New Roman" w:hAnsi="Arial" w:cs="Arial"/>
                <w:color w:val="000000"/>
              </w:rPr>
              <w:t xml:space="preserve"> do you need to have letters of commitment for each customer?</w:t>
            </w:r>
          </w:p>
        </w:tc>
        <w:tc>
          <w:tcPr>
            <w:tcW w:w="8465" w:type="dxa"/>
            <w:hideMark/>
          </w:tcPr>
          <w:p w14:paraId="2689F9DE" w14:textId="33D15727" w:rsidR="00C41799" w:rsidRPr="00271E52" w:rsidRDefault="00F90BCE" w:rsidP="00C41799">
            <w:pPr>
              <w:rPr>
                <w:rFonts w:ascii="Arial" w:eastAsia="Times New Roman" w:hAnsi="Arial" w:cs="Arial"/>
                <w:color w:val="000000"/>
              </w:rPr>
            </w:pPr>
            <w:r w:rsidRPr="2C79C797">
              <w:rPr>
                <w:rFonts w:ascii="Arial" w:eastAsia="Times New Roman" w:hAnsi="Arial" w:cs="Arial"/>
                <w:color w:val="000000" w:themeColor="text1"/>
              </w:rPr>
              <w:t xml:space="preserve"> </w:t>
            </w:r>
            <w:r w:rsidR="00C00203">
              <w:rPr>
                <w:rFonts w:ascii="Arial" w:eastAsia="Times New Roman" w:hAnsi="Arial" w:cs="Arial"/>
                <w:color w:val="000000" w:themeColor="text1"/>
              </w:rPr>
              <w:t>Yes</w:t>
            </w:r>
            <w:r w:rsidR="00A842C3">
              <w:rPr>
                <w:rFonts w:ascii="Arial" w:eastAsia="Times New Roman" w:hAnsi="Arial" w:cs="Arial"/>
                <w:color w:val="000000" w:themeColor="text1"/>
              </w:rPr>
              <w:t xml:space="preserve">, </w:t>
            </w:r>
            <w:r w:rsidR="0076350D">
              <w:rPr>
                <w:rFonts w:ascii="Arial" w:eastAsia="Times New Roman" w:hAnsi="Arial" w:cs="Arial"/>
                <w:color w:val="000000" w:themeColor="text1"/>
              </w:rPr>
              <w:t xml:space="preserve">applications must include letters of commitment for all </w:t>
            </w:r>
            <w:r w:rsidR="00A842C3">
              <w:rPr>
                <w:rFonts w:ascii="Arial" w:eastAsia="Times New Roman" w:hAnsi="Arial" w:cs="Arial"/>
                <w:color w:val="000000" w:themeColor="text1"/>
              </w:rPr>
              <w:t>t</w:t>
            </w:r>
            <w:r w:rsidR="000D418E">
              <w:rPr>
                <w:rFonts w:ascii="Arial" w:eastAsia="Times New Roman" w:hAnsi="Arial" w:cs="Arial"/>
                <w:color w:val="000000" w:themeColor="text1"/>
              </w:rPr>
              <w:t>hird-party match share contributors</w:t>
            </w:r>
            <w:r w:rsidR="00C00203">
              <w:rPr>
                <w:rFonts w:ascii="Arial" w:eastAsia="Times New Roman" w:hAnsi="Arial" w:cs="Arial"/>
                <w:color w:val="000000" w:themeColor="text1"/>
              </w:rPr>
              <w:t xml:space="preserve">. </w:t>
            </w:r>
            <w:r w:rsidR="00E17B97">
              <w:rPr>
                <w:rFonts w:ascii="Arial" w:eastAsia="Times New Roman" w:hAnsi="Arial" w:cs="Arial"/>
                <w:color w:val="000000" w:themeColor="text1"/>
              </w:rPr>
              <w:t>As described in Section III.D.8, “</w:t>
            </w:r>
            <w:r w:rsidR="00E17B97" w:rsidRPr="00E17B97">
              <w:rPr>
                <w:rFonts w:ascii="Arial" w:eastAsia="Times New Roman" w:hAnsi="Arial" w:cs="Arial"/>
                <w:color w:val="000000" w:themeColor="text1"/>
              </w:rPr>
              <w:t>Applicants must include appropriate letters of commitment from each key project partner and third-party match share contributor</w:t>
            </w:r>
            <w:r w:rsidR="00E17B97">
              <w:rPr>
                <w:rFonts w:ascii="Arial" w:eastAsia="Times New Roman" w:hAnsi="Arial" w:cs="Arial"/>
                <w:color w:val="000000" w:themeColor="text1"/>
              </w:rPr>
              <w:t xml:space="preserve"> … </w:t>
            </w:r>
            <w:r w:rsidR="00161F34" w:rsidRPr="00161F34">
              <w:rPr>
                <w:rFonts w:ascii="Arial" w:eastAsia="Times New Roman" w:hAnsi="Arial" w:cs="Arial"/>
                <w:color w:val="000000" w:themeColor="text1"/>
              </w:rPr>
              <w:t>Any third-party match share contributors must identify the amount of match that will be committed to the project, the funding source(s), and state that the match share contributor will provide the identified match funding.</w:t>
            </w:r>
            <w:r w:rsidR="00161F34">
              <w:rPr>
                <w:rFonts w:ascii="Arial" w:eastAsia="Times New Roman" w:hAnsi="Arial" w:cs="Arial"/>
                <w:color w:val="000000" w:themeColor="text1"/>
              </w:rPr>
              <w:t xml:space="preserve">” </w:t>
            </w:r>
          </w:p>
        </w:tc>
      </w:tr>
      <w:tr w:rsidR="00C41799" w:rsidRPr="00271E52" w14:paraId="409ED4E5" w14:textId="77777777" w:rsidTr="00297D16">
        <w:trPr>
          <w:trHeight w:val="870"/>
        </w:trPr>
        <w:tc>
          <w:tcPr>
            <w:tcW w:w="549" w:type="dxa"/>
            <w:noWrap/>
            <w:hideMark/>
          </w:tcPr>
          <w:p w14:paraId="362DFA3C"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57</w:t>
            </w:r>
          </w:p>
        </w:tc>
        <w:tc>
          <w:tcPr>
            <w:tcW w:w="5296" w:type="dxa"/>
            <w:hideMark/>
          </w:tcPr>
          <w:p w14:paraId="1CE59D46"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Can you advise on how to fill out the localized health impact form when the addresses of the deployment will not be determined at the time of proposal submission?</w:t>
            </w:r>
          </w:p>
        </w:tc>
        <w:tc>
          <w:tcPr>
            <w:tcW w:w="8465" w:type="dxa"/>
            <w:hideMark/>
          </w:tcPr>
          <w:p w14:paraId="2FCF593A"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Applicants should complete the Localized Health Impacts Form (Attachment 07) based on all available information at the time of application. If specific deployment addresses are not yet known, please note this on the Localized Health Impacts Form.</w:t>
            </w:r>
          </w:p>
        </w:tc>
      </w:tr>
      <w:tr w:rsidR="00C41799" w:rsidRPr="00271E52" w14:paraId="49642FAE" w14:textId="77777777" w:rsidTr="00297D16">
        <w:trPr>
          <w:trHeight w:val="1450"/>
        </w:trPr>
        <w:tc>
          <w:tcPr>
            <w:tcW w:w="549" w:type="dxa"/>
            <w:noWrap/>
            <w:hideMark/>
          </w:tcPr>
          <w:p w14:paraId="285A3254"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lastRenderedPageBreak/>
              <w:t>58</w:t>
            </w:r>
          </w:p>
        </w:tc>
        <w:tc>
          <w:tcPr>
            <w:tcW w:w="5296" w:type="dxa"/>
            <w:hideMark/>
          </w:tcPr>
          <w:p w14:paraId="274991E4"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How do we prove our product will be capable of executing transactive energy tenders, for example to participate in the SCE Dynamic Rates Pilot? We do plan to integrate with all relevant APIs, but what proof are you all looking for beyond us stating our plan?</w:t>
            </w:r>
          </w:p>
        </w:tc>
        <w:tc>
          <w:tcPr>
            <w:tcW w:w="8465" w:type="dxa"/>
            <w:hideMark/>
          </w:tcPr>
          <w:p w14:paraId="4C6E9558" w14:textId="54E6A5CC" w:rsidR="00C41799" w:rsidRPr="00271E52" w:rsidRDefault="00C41799" w:rsidP="00C41799">
            <w:pPr>
              <w:rPr>
                <w:rFonts w:ascii="Arial" w:eastAsia="Times New Roman" w:hAnsi="Arial" w:cs="Arial"/>
                <w:color w:val="000000"/>
              </w:rPr>
            </w:pPr>
            <w:r w:rsidRPr="3718F3BB">
              <w:rPr>
                <w:rFonts w:ascii="Arial" w:eastAsia="Times New Roman" w:hAnsi="Arial" w:cs="Arial"/>
                <w:color w:val="000000" w:themeColor="text1"/>
              </w:rPr>
              <w:t xml:space="preserve">Projects should describe their grid signal integrations and charge management strategy as part of their responses to Section III.D.2 Prompt 2 and 4, respectively, as well as under the Task 2 in the Scope of Work (Attachment 02). Under Task 2 "Products" in the Scope of Work, </w:t>
            </w:r>
            <w:r w:rsidR="006658F3" w:rsidRPr="3718F3BB">
              <w:rPr>
                <w:rFonts w:ascii="Arial" w:eastAsia="Times New Roman" w:hAnsi="Arial" w:cs="Arial"/>
                <w:color w:val="000000" w:themeColor="text1"/>
              </w:rPr>
              <w:t>A</w:t>
            </w:r>
            <w:r w:rsidRPr="3718F3BB">
              <w:rPr>
                <w:rFonts w:ascii="Arial" w:eastAsia="Times New Roman" w:hAnsi="Arial" w:cs="Arial"/>
                <w:color w:val="000000" w:themeColor="text1"/>
              </w:rPr>
              <w:t>pplicants should define deliverables to be submitted to CEC that demonstrate implementation of planned capabilities. CEC reimbursement is contingent on projects delivering products described in the Scope of Work.</w:t>
            </w:r>
          </w:p>
        </w:tc>
      </w:tr>
      <w:tr w:rsidR="00C41799" w:rsidRPr="00271E52" w14:paraId="308B39AE" w14:textId="77777777" w:rsidTr="00297D16">
        <w:trPr>
          <w:trHeight w:val="870"/>
        </w:trPr>
        <w:tc>
          <w:tcPr>
            <w:tcW w:w="549" w:type="dxa"/>
            <w:noWrap/>
            <w:hideMark/>
          </w:tcPr>
          <w:p w14:paraId="2385F078"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59</w:t>
            </w:r>
          </w:p>
        </w:tc>
        <w:tc>
          <w:tcPr>
            <w:tcW w:w="5296" w:type="dxa"/>
            <w:hideMark/>
          </w:tcPr>
          <w:p w14:paraId="6466DF4B"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Will points be awarded for other dynamic rates pilots using the same TeMix technology?</w:t>
            </w:r>
          </w:p>
        </w:tc>
        <w:tc>
          <w:tcPr>
            <w:tcW w:w="8465" w:type="dxa"/>
            <w:hideMark/>
          </w:tcPr>
          <w:p w14:paraId="599126D2" w14:textId="7AA4FF58"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As described under Section IV.E Evaluation Criteria 4b and 9c, bonus points are available for transactive energy capability and transactive energy participation specifically for the SCE Dynamic Rates Pilot. Bonus points are not available for other </w:t>
            </w:r>
            <w:r w:rsidR="002103CF" w:rsidRPr="00271E52">
              <w:rPr>
                <w:rFonts w:ascii="Arial" w:eastAsia="Times New Roman" w:hAnsi="Arial" w:cs="Arial"/>
                <w:color w:val="000000"/>
              </w:rPr>
              <w:t xml:space="preserve">pilots using </w:t>
            </w:r>
            <w:r w:rsidRPr="00271E52">
              <w:rPr>
                <w:rFonts w:ascii="Arial" w:eastAsia="Times New Roman" w:hAnsi="Arial" w:cs="Arial"/>
                <w:color w:val="000000"/>
              </w:rPr>
              <w:t xml:space="preserve">TeMix </w:t>
            </w:r>
            <w:r w:rsidR="002103CF" w:rsidRPr="00271E52">
              <w:rPr>
                <w:rFonts w:ascii="Arial" w:eastAsia="Times New Roman" w:hAnsi="Arial" w:cs="Arial"/>
                <w:color w:val="000000"/>
              </w:rPr>
              <w:t>technology</w:t>
            </w:r>
            <w:r w:rsidRPr="00271E52">
              <w:rPr>
                <w:rFonts w:ascii="Arial" w:eastAsia="Times New Roman" w:hAnsi="Arial" w:cs="Arial"/>
                <w:color w:val="000000"/>
              </w:rPr>
              <w:t>.</w:t>
            </w:r>
          </w:p>
        </w:tc>
      </w:tr>
      <w:tr w:rsidR="00C41799" w:rsidRPr="00271E52" w14:paraId="3CB5B178" w14:textId="77777777" w:rsidTr="00297D16">
        <w:trPr>
          <w:trHeight w:val="1450"/>
        </w:trPr>
        <w:tc>
          <w:tcPr>
            <w:tcW w:w="549" w:type="dxa"/>
            <w:noWrap/>
            <w:hideMark/>
          </w:tcPr>
          <w:p w14:paraId="6830978F"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60</w:t>
            </w:r>
          </w:p>
        </w:tc>
        <w:tc>
          <w:tcPr>
            <w:tcW w:w="5296" w:type="dxa"/>
            <w:hideMark/>
          </w:tcPr>
          <w:p w14:paraId="2B333080"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If you are doing a combination of new and existing EVSE, how are the Cost Factor scores under Evaluation Criterion 13 calculated?</w:t>
            </w:r>
          </w:p>
        </w:tc>
        <w:tc>
          <w:tcPr>
            <w:tcW w:w="8465" w:type="dxa"/>
            <w:hideMark/>
          </w:tcPr>
          <w:p w14:paraId="65D87963"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Projects are evaluated for cost effectiveness as described under Section IV.E Evaluation Criteria 13b (Deployment Cost Factor) and 13c (Hardware Cost Factor). The variables used in both formulas are identical: P is the total Phase 1 cost (that is, the total on the Phase 1 Budget Form) in dollars and N_deploy is the total number of deployment credits expected, regardless of the mix of deployment types in a particular project. Projects installing no new charging hardware receive no points for Criterion 13c. Criteria 15b and 15c also apply to projects proposing Phase 2.</w:t>
            </w:r>
          </w:p>
        </w:tc>
      </w:tr>
      <w:tr w:rsidR="00C41799" w:rsidRPr="00271E52" w14:paraId="76DCEA3C" w14:textId="77777777" w:rsidTr="00297D16">
        <w:trPr>
          <w:trHeight w:val="580"/>
        </w:trPr>
        <w:tc>
          <w:tcPr>
            <w:tcW w:w="549" w:type="dxa"/>
            <w:noWrap/>
            <w:hideMark/>
          </w:tcPr>
          <w:p w14:paraId="21660EA7"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61</w:t>
            </w:r>
          </w:p>
        </w:tc>
        <w:tc>
          <w:tcPr>
            <w:tcW w:w="5296" w:type="dxa"/>
            <w:hideMark/>
          </w:tcPr>
          <w:p w14:paraId="634CF023"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Can you explain the costs that are used when scoring Evaluation Criterion 13? Does this include labor and development?</w:t>
            </w:r>
          </w:p>
        </w:tc>
        <w:tc>
          <w:tcPr>
            <w:tcW w:w="8465" w:type="dxa"/>
            <w:hideMark/>
          </w:tcPr>
          <w:p w14:paraId="19A555E5" w14:textId="55C4DE67" w:rsidR="00C41799" w:rsidRPr="00271E52" w:rsidRDefault="00710026" w:rsidP="00C41799">
            <w:pPr>
              <w:rPr>
                <w:rFonts w:ascii="Arial" w:eastAsia="Times New Roman" w:hAnsi="Arial" w:cs="Arial"/>
                <w:color w:val="000000"/>
              </w:rPr>
            </w:pPr>
            <w:r w:rsidRPr="00271E52">
              <w:rPr>
                <w:rFonts w:ascii="Arial" w:eastAsia="Times New Roman" w:hAnsi="Arial" w:cs="Arial"/>
                <w:color w:val="000000"/>
              </w:rPr>
              <w:t xml:space="preserve">Yes. </w:t>
            </w:r>
            <w:r w:rsidR="00C41799" w:rsidRPr="00271E52">
              <w:rPr>
                <w:rFonts w:ascii="Arial" w:eastAsia="Times New Roman" w:hAnsi="Arial" w:cs="Arial"/>
                <w:color w:val="000000"/>
              </w:rPr>
              <w:t>Section IV.E Evaluation Criterion 13 considers all project cost categories across Phase 1. The formula based scores for Criteria 13b and 13c use the total Phase 1 cost (that is, the total on the Phase 1 Budget Form).</w:t>
            </w:r>
          </w:p>
        </w:tc>
      </w:tr>
      <w:tr w:rsidR="00C41799" w:rsidRPr="00271E52" w14:paraId="208D57B4" w14:textId="77777777" w:rsidTr="00297D16">
        <w:trPr>
          <w:trHeight w:val="1450"/>
        </w:trPr>
        <w:tc>
          <w:tcPr>
            <w:tcW w:w="549" w:type="dxa"/>
            <w:noWrap/>
            <w:hideMark/>
          </w:tcPr>
          <w:p w14:paraId="1412FAE8"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62</w:t>
            </w:r>
          </w:p>
        </w:tc>
        <w:tc>
          <w:tcPr>
            <w:tcW w:w="5296" w:type="dxa"/>
            <w:hideMark/>
          </w:tcPr>
          <w:p w14:paraId="37305A8B"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Does Evaluation Criterion 13b (Deployment Cost Factor) prejudice the scoring for those that have the existing infrastructure against those with new deployments?</w:t>
            </w:r>
          </w:p>
        </w:tc>
        <w:tc>
          <w:tcPr>
            <w:tcW w:w="8465" w:type="dxa"/>
            <w:hideMark/>
          </w:tcPr>
          <w:p w14:paraId="550E4C2E" w14:textId="0E2A0DAF"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Projects with lower Phase 1 cost per deployment credit will score better for Evaluation Criterion 13b (refer to the </w:t>
            </w:r>
            <w:hyperlink r:id="rId20" w:history="1">
              <w:r w:rsidRPr="00F463F7">
                <w:rPr>
                  <w:rStyle w:val="Hyperlink"/>
                  <w:rFonts w:ascii="Arial" w:eastAsia="Times New Roman" w:hAnsi="Arial" w:cs="Arial"/>
                </w:rPr>
                <w:t>March 23 pre-application workshop slide deck</w:t>
              </w:r>
            </w:hyperlink>
            <w:r w:rsidRPr="00271E52">
              <w:rPr>
                <w:rFonts w:ascii="Arial" w:eastAsia="Times New Roman" w:hAnsi="Arial" w:cs="Arial"/>
                <w:color w:val="000000"/>
              </w:rPr>
              <w:t xml:space="preserve"> for a plot of the cost factor formulas). Such projects may include those leveraging existing infrastructure. However, projects that do not deploy new charging hardware will earn no points under Evaluation Criterion 13c. Overall, cost effectiveness is only one of many scoring considerations, and projects are evaluated holistically based on all </w:t>
            </w:r>
            <w:r w:rsidR="5EA999C9">
              <w:rPr>
                <w:rFonts w:ascii="Arial" w:eastAsia="Times New Roman" w:hAnsi="Arial" w:cs="Arial"/>
                <w:color w:val="000000"/>
              </w:rPr>
              <w:t>e</w:t>
            </w:r>
            <w:r w:rsidR="2BFBD50C" w:rsidRPr="00271E52">
              <w:rPr>
                <w:rFonts w:ascii="Arial" w:eastAsia="Times New Roman" w:hAnsi="Arial" w:cs="Arial"/>
                <w:color w:val="000000"/>
              </w:rPr>
              <w:t xml:space="preserve">valuation </w:t>
            </w:r>
            <w:r w:rsidR="5EA999C9">
              <w:rPr>
                <w:rFonts w:ascii="Arial" w:eastAsia="Times New Roman" w:hAnsi="Arial" w:cs="Arial"/>
                <w:color w:val="000000"/>
              </w:rPr>
              <w:t>c</w:t>
            </w:r>
            <w:r w:rsidR="2BFBD50C" w:rsidRPr="00271E52">
              <w:rPr>
                <w:rFonts w:ascii="Arial" w:eastAsia="Times New Roman" w:hAnsi="Arial" w:cs="Arial"/>
                <w:color w:val="000000"/>
              </w:rPr>
              <w:t>riteria</w:t>
            </w:r>
            <w:r w:rsidRPr="00271E52">
              <w:rPr>
                <w:rFonts w:ascii="Arial" w:eastAsia="Times New Roman" w:hAnsi="Arial" w:cs="Arial"/>
                <w:color w:val="000000"/>
              </w:rPr>
              <w:t xml:space="preserve"> described in Section IV.E.</w:t>
            </w:r>
          </w:p>
        </w:tc>
      </w:tr>
      <w:tr w:rsidR="00C41799" w:rsidRPr="00271E52" w14:paraId="6769FECA" w14:textId="77777777" w:rsidTr="00297D16">
        <w:trPr>
          <w:trHeight w:val="870"/>
        </w:trPr>
        <w:tc>
          <w:tcPr>
            <w:tcW w:w="549" w:type="dxa"/>
            <w:noWrap/>
            <w:hideMark/>
          </w:tcPr>
          <w:p w14:paraId="696A69CF"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63</w:t>
            </w:r>
          </w:p>
        </w:tc>
        <w:tc>
          <w:tcPr>
            <w:tcW w:w="5296" w:type="dxa"/>
            <w:hideMark/>
          </w:tcPr>
          <w:p w14:paraId="326A06BD"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Does REDWDS require integration with utility distributed energy resource (DER) management systems which are dispatching DER using IEEE 2030.5 and not OCPP?</w:t>
            </w:r>
          </w:p>
        </w:tc>
        <w:tc>
          <w:tcPr>
            <w:tcW w:w="8465" w:type="dxa"/>
            <w:hideMark/>
          </w:tcPr>
          <w:p w14:paraId="289140A7" w14:textId="44815292"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REDWDS does not require integration with utility DER management systems. Section II.B.1 describes minimum product development requirements</w:t>
            </w:r>
            <w:r w:rsidR="00DE1D55" w:rsidRPr="2929DF5F">
              <w:rPr>
                <w:rFonts w:ascii="Arial" w:eastAsia="Times New Roman" w:hAnsi="Arial" w:cs="Arial"/>
                <w:color w:val="000000" w:themeColor="text1"/>
              </w:rPr>
              <w:t>.</w:t>
            </w:r>
            <w:r w:rsidRPr="2929DF5F">
              <w:rPr>
                <w:rFonts w:ascii="Arial" w:eastAsia="Times New Roman" w:hAnsi="Arial" w:cs="Arial"/>
                <w:color w:val="000000" w:themeColor="text1"/>
              </w:rPr>
              <w:t xml:space="preserve"> </w:t>
            </w:r>
            <w:r w:rsidR="626288E0" w:rsidRPr="2929DF5F">
              <w:rPr>
                <w:rFonts w:ascii="Arial" w:eastAsia="Times New Roman" w:hAnsi="Arial" w:cs="Arial"/>
                <w:color w:val="000000" w:themeColor="text1"/>
              </w:rPr>
              <w:t>P</w:t>
            </w:r>
            <w:r w:rsidR="2BFBD50C" w:rsidRPr="2929DF5F">
              <w:rPr>
                <w:rFonts w:ascii="Arial" w:eastAsia="Times New Roman" w:hAnsi="Arial" w:cs="Arial"/>
                <w:color w:val="000000" w:themeColor="text1"/>
              </w:rPr>
              <w:t>rojects</w:t>
            </w:r>
            <w:r w:rsidRPr="2929DF5F">
              <w:rPr>
                <w:rFonts w:ascii="Arial" w:eastAsia="Times New Roman" w:hAnsi="Arial" w:cs="Arial"/>
                <w:color w:val="000000" w:themeColor="text1"/>
              </w:rPr>
              <w:t xml:space="preserve"> are welcome to exceed these minimums.</w:t>
            </w:r>
          </w:p>
        </w:tc>
      </w:tr>
      <w:tr w:rsidR="00C41799" w:rsidRPr="00271E52" w14:paraId="1B9292C9" w14:textId="77777777" w:rsidTr="00297D16">
        <w:trPr>
          <w:trHeight w:val="290"/>
        </w:trPr>
        <w:tc>
          <w:tcPr>
            <w:tcW w:w="549" w:type="dxa"/>
            <w:noWrap/>
            <w:hideMark/>
          </w:tcPr>
          <w:p w14:paraId="68606718"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64</w:t>
            </w:r>
          </w:p>
        </w:tc>
        <w:tc>
          <w:tcPr>
            <w:tcW w:w="5296" w:type="dxa"/>
            <w:hideMark/>
          </w:tcPr>
          <w:p w14:paraId="555FEA25"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Are there any scoring criteria based on the age or size of the company?</w:t>
            </w:r>
          </w:p>
        </w:tc>
        <w:tc>
          <w:tcPr>
            <w:tcW w:w="8465" w:type="dxa"/>
            <w:hideMark/>
          </w:tcPr>
          <w:p w14:paraId="5BA672E5"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Applications will be evaluated for team experience and qualifications under Section IV.E Evaluation Criterion 12.</w:t>
            </w:r>
          </w:p>
        </w:tc>
      </w:tr>
      <w:tr w:rsidR="00C41799" w:rsidRPr="00271E52" w14:paraId="3B1CF529" w14:textId="77777777" w:rsidTr="00297D16">
        <w:trPr>
          <w:trHeight w:val="1450"/>
        </w:trPr>
        <w:tc>
          <w:tcPr>
            <w:tcW w:w="549" w:type="dxa"/>
            <w:noWrap/>
            <w:hideMark/>
          </w:tcPr>
          <w:p w14:paraId="6115E975"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65</w:t>
            </w:r>
          </w:p>
        </w:tc>
        <w:tc>
          <w:tcPr>
            <w:tcW w:w="5296" w:type="dxa"/>
            <w:hideMark/>
          </w:tcPr>
          <w:p w14:paraId="20AA0F70" w14:textId="365C2B90"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Does the CEC classify EV as a </w:t>
            </w:r>
            <w:r w:rsidR="00E239C5" w:rsidRPr="00271E52">
              <w:rPr>
                <w:rFonts w:ascii="Arial" w:eastAsia="Times New Roman" w:hAnsi="Arial" w:cs="Arial"/>
                <w:color w:val="000000"/>
              </w:rPr>
              <w:t>plug load</w:t>
            </w:r>
            <w:r w:rsidRPr="00271E52">
              <w:rPr>
                <w:rFonts w:ascii="Arial" w:eastAsia="Times New Roman" w:hAnsi="Arial" w:cs="Arial"/>
                <w:color w:val="000000"/>
              </w:rPr>
              <w:t>? It seems prior CEC-funded projects demonstrating apps designed to engage customers and their plug loads for deeper energy and demand savings could also apply to EVs</w:t>
            </w:r>
            <w:r w:rsidR="00E239C5" w:rsidRPr="00271E52">
              <w:rPr>
                <w:rFonts w:ascii="Arial" w:eastAsia="Times New Roman" w:hAnsi="Arial" w:cs="Arial"/>
                <w:color w:val="000000"/>
              </w:rPr>
              <w:t>.</w:t>
            </w:r>
          </w:p>
        </w:tc>
        <w:tc>
          <w:tcPr>
            <w:tcW w:w="8465" w:type="dxa"/>
            <w:hideMark/>
          </w:tcPr>
          <w:p w14:paraId="371EFEAD" w14:textId="2BFC6ABC" w:rsidR="00C41799" w:rsidRPr="00271E52" w:rsidRDefault="00E239C5" w:rsidP="00C41799">
            <w:pPr>
              <w:rPr>
                <w:rFonts w:ascii="Arial" w:eastAsia="Times New Roman" w:hAnsi="Arial" w:cs="Arial"/>
                <w:color w:val="000000"/>
              </w:rPr>
            </w:pPr>
            <w:r w:rsidRPr="2929DF5F">
              <w:rPr>
                <w:rFonts w:ascii="Arial" w:eastAsia="Times New Roman" w:hAnsi="Arial" w:cs="Arial"/>
                <w:color w:val="000000" w:themeColor="text1"/>
              </w:rPr>
              <w:t>As described in Section II.A.1, REDWDS is open to "Automation service providers that manage or aggregate charging</w:t>
            </w:r>
            <w:r w:rsidR="003130B5" w:rsidRPr="2929DF5F">
              <w:rPr>
                <w:rFonts w:ascii="Arial" w:eastAsia="Times New Roman" w:hAnsi="Arial" w:cs="Arial"/>
                <w:color w:val="000000" w:themeColor="text1"/>
              </w:rPr>
              <w:t>.” Such entities are sometimes referred to as “aggregators</w:t>
            </w:r>
            <w:r w:rsidR="00C56E7B" w:rsidRPr="2929DF5F">
              <w:rPr>
                <w:rFonts w:ascii="Arial" w:eastAsia="Times New Roman" w:hAnsi="Arial" w:cs="Arial"/>
                <w:color w:val="000000" w:themeColor="text1"/>
              </w:rPr>
              <w:t>,” and aggregators may manage non</w:t>
            </w:r>
            <w:r w:rsidR="00A70582" w:rsidRPr="2929DF5F">
              <w:rPr>
                <w:rFonts w:ascii="Arial" w:eastAsia="Times New Roman" w:hAnsi="Arial" w:cs="Arial"/>
                <w:color w:val="000000" w:themeColor="text1"/>
              </w:rPr>
              <w:t>-</w:t>
            </w:r>
            <w:r w:rsidR="00C56E7B" w:rsidRPr="2929DF5F">
              <w:rPr>
                <w:rFonts w:ascii="Arial" w:eastAsia="Times New Roman" w:hAnsi="Arial" w:cs="Arial"/>
                <w:color w:val="000000" w:themeColor="text1"/>
              </w:rPr>
              <w:t>charging loads as well, including plug loads.</w:t>
            </w:r>
          </w:p>
        </w:tc>
      </w:tr>
      <w:tr w:rsidR="00C41799" w:rsidRPr="00271E52" w14:paraId="5FDE5085" w14:textId="77777777" w:rsidTr="00297D16">
        <w:trPr>
          <w:trHeight w:val="2030"/>
        </w:trPr>
        <w:tc>
          <w:tcPr>
            <w:tcW w:w="549" w:type="dxa"/>
            <w:noWrap/>
            <w:hideMark/>
          </w:tcPr>
          <w:p w14:paraId="60F5F637"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lastRenderedPageBreak/>
              <w:t>66</w:t>
            </w:r>
          </w:p>
        </w:tc>
        <w:tc>
          <w:tcPr>
            <w:tcW w:w="5296" w:type="dxa"/>
            <w:hideMark/>
          </w:tcPr>
          <w:p w14:paraId="56F39164" w14:textId="0214A12A"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Are make</w:t>
            </w:r>
            <w:r w:rsidR="00137624" w:rsidRPr="2929DF5F">
              <w:rPr>
                <w:rFonts w:ascii="Arial" w:eastAsia="Times New Roman" w:hAnsi="Arial" w:cs="Arial"/>
                <w:color w:val="000000" w:themeColor="text1"/>
              </w:rPr>
              <w:t>-</w:t>
            </w:r>
            <w:r w:rsidRPr="2929DF5F">
              <w:rPr>
                <w:rFonts w:ascii="Arial" w:eastAsia="Times New Roman" w:hAnsi="Arial" w:cs="Arial"/>
                <w:color w:val="000000" w:themeColor="text1"/>
              </w:rPr>
              <w:t>ready costs eligible?</w:t>
            </w:r>
          </w:p>
        </w:tc>
        <w:tc>
          <w:tcPr>
            <w:tcW w:w="8465" w:type="dxa"/>
            <w:hideMark/>
          </w:tcPr>
          <w:p w14:paraId="591D9B5E" w14:textId="5FDED4F2" w:rsidR="00C41799" w:rsidRPr="00271E52" w:rsidRDefault="29D90579" w:rsidP="00C41799">
            <w:pPr>
              <w:rPr>
                <w:rFonts w:ascii="Arial" w:eastAsia="Times New Roman" w:hAnsi="Arial" w:cs="Arial"/>
                <w:color w:val="000000"/>
              </w:rPr>
            </w:pPr>
            <w:r w:rsidRPr="2929DF5F">
              <w:rPr>
                <w:rFonts w:ascii="Arial" w:eastAsia="Times New Roman" w:hAnsi="Arial" w:cs="Arial"/>
                <w:color w:val="000000" w:themeColor="text1"/>
              </w:rPr>
              <w:t>Certain</w:t>
            </w:r>
            <w:r w:rsidR="00D8584E" w:rsidRPr="2929DF5F">
              <w:rPr>
                <w:rFonts w:ascii="Arial" w:eastAsia="Times New Roman" w:hAnsi="Arial" w:cs="Arial"/>
                <w:color w:val="000000" w:themeColor="text1"/>
              </w:rPr>
              <w:t xml:space="preserve"> make-ready costs </w:t>
            </w:r>
            <w:r w:rsidR="6698810C" w:rsidRPr="3718F3BB">
              <w:rPr>
                <w:rFonts w:ascii="Arial" w:eastAsia="Times New Roman" w:hAnsi="Arial" w:cs="Arial"/>
                <w:color w:val="000000" w:themeColor="text1"/>
              </w:rPr>
              <w:t xml:space="preserve">may be </w:t>
            </w:r>
            <w:r w:rsidR="00D8584E" w:rsidRPr="2929DF5F">
              <w:rPr>
                <w:rFonts w:ascii="Arial" w:eastAsia="Times New Roman" w:hAnsi="Arial" w:cs="Arial"/>
                <w:color w:val="000000" w:themeColor="text1"/>
              </w:rPr>
              <w:t>eligible</w:t>
            </w:r>
            <w:r w:rsidR="00C41799" w:rsidRPr="2929DF5F">
              <w:rPr>
                <w:rFonts w:ascii="Arial" w:eastAsia="Times New Roman" w:hAnsi="Arial" w:cs="Arial"/>
                <w:color w:val="000000" w:themeColor="text1"/>
              </w:rPr>
              <w:t xml:space="preserve">. As described in Section II.E, utility-provided electrical upgrades and funding </w:t>
            </w:r>
            <w:r w:rsidR="00C41799" w:rsidRPr="2929DF5F">
              <w:rPr>
                <w:rFonts w:ascii="Arial" w:eastAsia="Times New Roman" w:hAnsi="Arial" w:cs="Arial"/>
                <w:color w:val="000000" w:themeColor="text1"/>
                <w:u w:val="single"/>
              </w:rPr>
              <w:t>are not</w:t>
            </w:r>
            <w:r w:rsidR="00C41799" w:rsidRPr="2929DF5F">
              <w:rPr>
                <w:rFonts w:ascii="Arial" w:eastAsia="Times New Roman" w:hAnsi="Arial" w:cs="Arial"/>
                <w:color w:val="000000" w:themeColor="text1"/>
              </w:rPr>
              <w:t xml:space="preserve"> eligible as match share or for CEC reimbursement (for example, expenses that are already or to be paid for through a utility program, tariff, or other ratepayer funding). As described in Section II.C, costs associated with "Labor, materials, equipment, and other resources supporting customer site electrical installation, including but not limited to electric panels, external submeters, islanding devices, wiring, conduit, energy management controllers, site controllers, transformer costs borne by the customer, and utility-side electrical upgrade costs borne by the customer," </w:t>
            </w:r>
            <w:r w:rsidR="00C41799" w:rsidRPr="2929DF5F">
              <w:rPr>
                <w:rFonts w:ascii="Arial" w:eastAsia="Times New Roman" w:hAnsi="Arial" w:cs="Arial"/>
                <w:color w:val="000000" w:themeColor="text1"/>
                <w:u w:val="single"/>
              </w:rPr>
              <w:t>are</w:t>
            </w:r>
            <w:r w:rsidR="00C41799" w:rsidRPr="2929DF5F">
              <w:rPr>
                <w:rFonts w:ascii="Arial" w:eastAsia="Times New Roman" w:hAnsi="Arial" w:cs="Arial"/>
                <w:color w:val="000000" w:themeColor="text1"/>
              </w:rPr>
              <w:t xml:space="preserve"> eligible as match share or for CEC reimbursement.</w:t>
            </w:r>
          </w:p>
        </w:tc>
      </w:tr>
      <w:tr w:rsidR="00C41799" w:rsidRPr="00271E52" w14:paraId="75454289" w14:textId="77777777" w:rsidTr="00297D16">
        <w:trPr>
          <w:trHeight w:val="1740"/>
        </w:trPr>
        <w:tc>
          <w:tcPr>
            <w:tcW w:w="549" w:type="dxa"/>
            <w:noWrap/>
            <w:hideMark/>
          </w:tcPr>
          <w:p w14:paraId="6EC3E351"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67</w:t>
            </w:r>
          </w:p>
        </w:tc>
        <w:tc>
          <w:tcPr>
            <w:tcW w:w="5296" w:type="dxa"/>
            <w:hideMark/>
          </w:tcPr>
          <w:p w14:paraId="6BF494EE"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How is the CEC interpreting the calculation of 35 percent of deployments? Does it mean 35 percent of total EVSE units or 35 percent of individual customer utility accounts? For example, if we have 3 customer deployments totaling 100 EVSE units, do we qualify if 35 of those EVSE units are on a dynamic rate, or would we be required to have 2/3 customer accounts on dynamic rate?</w:t>
            </w:r>
          </w:p>
        </w:tc>
        <w:tc>
          <w:tcPr>
            <w:tcW w:w="8465" w:type="dxa"/>
            <w:hideMark/>
          </w:tcPr>
          <w:p w14:paraId="21026E11" w14:textId="11FC89D9" w:rsidR="00C41799" w:rsidRPr="00271E52" w:rsidRDefault="00C41799" w:rsidP="00C41799">
            <w:pPr>
              <w:rPr>
                <w:rFonts w:ascii="Arial" w:eastAsia="Times New Roman" w:hAnsi="Arial" w:cs="Arial"/>
                <w:color w:val="000000"/>
              </w:rPr>
            </w:pPr>
            <w:r w:rsidRPr="3718F3BB">
              <w:rPr>
                <w:rFonts w:ascii="Arial" w:eastAsia="Times New Roman" w:hAnsi="Arial" w:cs="Arial"/>
                <w:color w:val="000000" w:themeColor="text1"/>
              </w:rPr>
              <w:t xml:space="preserve">The 35 percent dynamic rate minimum is calculated using the number of actual </w:t>
            </w:r>
            <w:r w:rsidR="00273827">
              <w:rPr>
                <w:rFonts w:ascii="Arial" w:eastAsia="Times New Roman" w:hAnsi="Arial" w:cs="Arial"/>
                <w:color w:val="000000" w:themeColor="text1"/>
              </w:rPr>
              <w:t>deployments</w:t>
            </w:r>
            <w:r w:rsidRPr="3718F3BB">
              <w:rPr>
                <w:rFonts w:ascii="Arial" w:eastAsia="Times New Roman" w:hAnsi="Arial" w:cs="Arial"/>
                <w:color w:val="000000" w:themeColor="text1"/>
              </w:rPr>
              <w:t>, not deployment credits or customer accounts. For example, for a project installing 100 new EVSE, at least 35 of the installed EVSE must be billed for electricity using a dynamic rate.</w:t>
            </w:r>
          </w:p>
        </w:tc>
      </w:tr>
      <w:tr w:rsidR="00C41799" w:rsidRPr="00271E52" w14:paraId="376BB428" w14:textId="77777777" w:rsidTr="00297D16">
        <w:trPr>
          <w:trHeight w:val="1160"/>
        </w:trPr>
        <w:tc>
          <w:tcPr>
            <w:tcW w:w="549" w:type="dxa"/>
            <w:noWrap/>
            <w:hideMark/>
          </w:tcPr>
          <w:p w14:paraId="7D168318"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68</w:t>
            </w:r>
          </w:p>
        </w:tc>
        <w:tc>
          <w:tcPr>
            <w:tcW w:w="5296" w:type="dxa"/>
            <w:hideMark/>
          </w:tcPr>
          <w:p w14:paraId="63B01D56" w14:textId="51FB0A7C"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If our product has the ability to integrate with local renewables (such as onsite solar), can we assume that the </w:t>
            </w:r>
            <w:r w:rsidR="00511DEF" w:rsidRPr="00271E52">
              <w:rPr>
                <w:rFonts w:ascii="Arial" w:eastAsia="Times New Roman" w:hAnsi="Arial" w:cs="Arial"/>
                <w:color w:val="000000"/>
              </w:rPr>
              <w:t>hour of consumption</w:t>
            </w:r>
            <w:r w:rsidRPr="00271E52">
              <w:rPr>
                <w:rFonts w:ascii="Arial" w:eastAsia="Times New Roman" w:hAnsi="Arial" w:cs="Arial"/>
                <w:color w:val="000000"/>
              </w:rPr>
              <w:t xml:space="preserve"> constraints </w:t>
            </w:r>
            <w:r w:rsidR="00511DEF" w:rsidRPr="00271E52">
              <w:rPr>
                <w:rFonts w:ascii="Arial" w:eastAsia="Times New Roman" w:hAnsi="Arial" w:cs="Arial"/>
                <w:color w:val="000000"/>
              </w:rPr>
              <w:t>under “Off</w:t>
            </w:r>
            <w:r w:rsidR="00C21C51" w:rsidRPr="00271E52">
              <w:rPr>
                <w:rFonts w:ascii="Arial" w:eastAsia="Times New Roman" w:hAnsi="Arial" w:cs="Arial"/>
                <w:color w:val="000000"/>
              </w:rPr>
              <w:t xml:space="preserve"> </w:t>
            </w:r>
            <w:r w:rsidR="00511DEF" w:rsidRPr="00271E52">
              <w:rPr>
                <w:rFonts w:ascii="Arial" w:eastAsia="Times New Roman" w:hAnsi="Arial" w:cs="Arial"/>
                <w:color w:val="000000"/>
              </w:rPr>
              <w:t>peak integration” in the Phase 2 performance metrics</w:t>
            </w:r>
            <w:r w:rsidRPr="00271E52">
              <w:rPr>
                <w:rFonts w:ascii="Arial" w:eastAsia="Times New Roman" w:hAnsi="Arial" w:cs="Arial"/>
                <w:color w:val="000000"/>
              </w:rPr>
              <w:t xml:space="preserve"> do not apply, provided we can demonstrate the energy comes from local renewables?</w:t>
            </w:r>
          </w:p>
        </w:tc>
        <w:tc>
          <w:tcPr>
            <w:tcW w:w="8465" w:type="dxa"/>
            <w:hideMark/>
          </w:tcPr>
          <w:p w14:paraId="7662628D" w14:textId="0661D568" w:rsidR="00C41799" w:rsidRPr="00271E52" w:rsidRDefault="006251C3" w:rsidP="00C41799">
            <w:pPr>
              <w:rPr>
                <w:rFonts w:ascii="Arial" w:eastAsia="Times New Roman" w:hAnsi="Arial" w:cs="Arial"/>
                <w:color w:val="000000"/>
              </w:rPr>
            </w:pPr>
            <w:r w:rsidRPr="2929DF5F">
              <w:rPr>
                <w:rFonts w:ascii="Arial" w:eastAsia="Times New Roman" w:hAnsi="Arial" w:cs="Arial"/>
                <w:color w:val="000000" w:themeColor="text1"/>
              </w:rPr>
              <w:t xml:space="preserve">Yes. Language in </w:t>
            </w:r>
            <w:r w:rsidR="00476587" w:rsidRPr="2929DF5F">
              <w:rPr>
                <w:rFonts w:ascii="Arial" w:eastAsia="Times New Roman" w:hAnsi="Arial" w:cs="Arial"/>
                <w:color w:val="000000" w:themeColor="text1"/>
              </w:rPr>
              <w:t>Section II.B.</w:t>
            </w:r>
            <w:r w:rsidR="00D033D5" w:rsidRPr="2929DF5F">
              <w:rPr>
                <w:rFonts w:ascii="Arial" w:eastAsia="Times New Roman" w:hAnsi="Arial" w:cs="Arial"/>
                <w:color w:val="000000" w:themeColor="text1"/>
              </w:rPr>
              <w:t xml:space="preserve">4-2 and </w:t>
            </w:r>
            <w:r w:rsidRPr="2929DF5F">
              <w:rPr>
                <w:rFonts w:ascii="Arial" w:eastAsia="Times New Roman" w:hAnsi="Arial" w:cs="Arial"/>
                <w:color w:val="000000" w:themeColor="text1"/>
              </w:rPr>
              <w:t xml:space="preserve">the Special Terms </w:t>
            </w:r>
            <w:r w:rsidR="00476587" w:rsidRPr="2929DF5F">
              <w:rPr>
                <w:rFonts w:ascii="Arial" w:eastAsia="Times New Roman" w:hAnsi="Arial" w:cs="Arial"/>
                <w:color w:val="000000" w:themeColor="text1"/>
              </w:rPr>
              <w:t>&amp;</w:t>
            </w:r>
            <w:r w:rsidRPr="2929DF5F">
              <w:rPr>
                <w:rFonts w:ascii="Arial" w:eastAsia="Times New Roman" w:hAnsi="Arial" w:cs="Arial"/>
                <w:color w:val="000000" w:themeColor="text1"/>
              </w:rPr>
              <w:t xml:space="preserve"> Conditions (Attachment 09b) has been clarified.</w:t>
            </w:r>
            <w:r w:rsidR="00D033D5" w:rsidRPr="2929DF5F">
              <w:rPr>
                <w:rFonts w:ascii="Arial" w:eastAsia="Times New Roman" w:hAnsi="Arial" w:cs="Arial"/>
                <w:color w:val="000000" w:themeColor="text1"/>
              </w:rPr>
              <w:t xml:space="preserve"> </w:t>
            </w:r>
            <w:r w:rsidR="004A288C" w:rsidRPr="2929DF5F">
              <w:rPr>
                <w:rFonts w:ascii="Arial" w:eastAsia="Times New Roman" w:hAnsi="Arial" w:cs="Arial"/>
                <w:color w:val="000000" w:themeColor="text1"/>
              </w:rPr>
              <w:t xml:space="preserve">Deployments integrated with onsite renewable generation may exclude any charging energy supplied entirely by onsite renewable generation from the hour of consumption requirements. It is incumbent on the </w:t>
            </w:r>
            <w:r w:rsidR="004E0E50" w:rsidRPr="2929DF5F">
              <w:rPr>
                <w:rFonts w:ascii="Arial" w:eastAsia="Times New Roman" w:hAnsi="Arial" w:cs="Arial"/>
                <w:color w:val="000000" w:themeColor="text1"/>
              </w:rPr>
              <w:t xml:space="preserve">grant </w:t>
            </w:r>
            <w:r w:rsidR="73EC3EB8" w:rsidRPr="2929DF5F">
              <w:rPr>
                <w:rFonts w:ascii="Arial" w:eastAsia="Times New Roman" w:hAnsi="Arial" w:cs="Arial"/>
                <w:color w:val="000000" w:themeColor="text1"/>
              </w:rPr>
              <w:t>r</w:t>
            </w:r>
            <w:r w:rsidR="5EA999C9" w:rsidRPr="2929DF5F">
              <w:rPr>
                <w:rFonts w:ascii="Arial" w:eastAsia="Times New Roman" w:hAnsi="Arial" w:cs="Arial"/>
                <w:color w:val="000000" w:themeColor="text1"/>
              </w:rPr>
              <w:t>ecipient</w:t>
            </w:r>
            <w:r w:rsidR="004A288C" w:rsidRPr="2929DF5F">
              <w:rPr>
                <w:rFonts w:ascii="Arial" w:eastAsia="Times New Roman" w:hAnsi="Arial" w:cs="Arial"/>
                <w:color w:val="000000" w:themeColor="text1"/>
              </w:rPr>
              <w:t xml:space="preserve"> to provide evidence indicating that charging energy is supplied entirely by onsite renewable generation. The Commission Agreement Manager, in their sole discretion, will determine whether charging energy is supplied entirely by onsite renewable generation such that that energy may be excluded from the hour of consumption requirements.</w:t>
            </w:r>
            <w:r>
              <w:br/>
            </w:r>
          </w:p>
        </w:tc>
      </w:tr>
      <w:tr w:rsidR="00C41799" w:rsidRPr="00271E52" w14:paraId="1778334D" w14:textId="77777777" w:rsidTr="00297D16">
        <w:trPr>
          <w:trHeight w:val="1740"/>
        </w:trPr>
        <w:tc>
          <w:tcPr>
            <w:tcW w:w="549" w:type="dxa"/>
            <w:noWrap/>
            <w:hideMark/>
          </w:tcPr>
          <w:p w14:paraId="39EB42F7"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69</w:t>
            </w:r>
          </w:p>
        </w:tc>
        <w:tc>
          <w:tcPr>
            <w:tcW w:w="5296" w:type="dxa"/>
            <w:hideMark/>
          </w:tcPr>
          <w:p w14:paraId="1174CECE"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What applicant arrangements are acceptable under this grant? From the solicitation manual it looks like two different arrangements: prime applicant and prime plus sub. Are any other arrangements eligible?</w:t>
            </w:r>
          </w:p>
        </w:tc>
        <w:tc>
          <w:tcPr>
            <w:tcW w:w="8465" w:type="dxa"/>
            <w:hideMark/>
          </w:tcPr>
          <w:p w14:paraId="0BE24386" w14:textId="029C2F05" w:rsidR="00C41799" w:rsidRPr="00271E52" w:rsidRDefault="61E5EA1A" w:rsidP="3718F3BB">
            <w:pPr>
              <w:rPr>
                <w:rFonts w:ascii="Arial" w:eastAsia="Times New Roman" w:hAnsi="Arial" w:cs="Arial"/>
                <w:color w:val="000000" w:themeColor="text1"/>
              </w:rPr>
            </w:pPr>
            <w:r w:rsidRPr="3718F3BB">
              <w:rPr>
                <w:rFonts w:ascii="Arial" w:eastAsia="Times New Roman" w:hAnsi="Arial" w:cs="Arial"/>
                <w:color w:val="000000" w:themeColor="text1"/>
              </w:rPr>
              <w:t xml:space="preserve">There may only be one applicant. The applicant may partner or </w:t>
            </w:r>
            <w:r w:rsidR="00F96FA8" w:rsidRPr="3718F3BB">
              <w:rPr>
                <w:rFonts w:ascii="Arial" w:eastAsia="Times New Roman" w:hAnsi="Arial" w:cs="Arial"/>
                <w:color w:val="000000" w:themeColor="text1"/>
              </w:rPr>
              <w:t>subcontract</w:t>
            </w:r>
            <w:r w:rsidRPr="3718F3BB">
              <w:rPr>
                <w:rFonts w:ascii="Arial" w:eastAsia="Times New Roman" w:hAnsi="Arial" w:cs="Arial"/>
                <w:color w:val="000000" w:themeColor="text1"/>
              </w:rPr>
              <w:t xml:space="preserve"> with other entities. </w:t>
            </w:r>
          </w:p>
          <w:p w14:paraId="45F37FF6" w14:textId="1D297D79" w:rsidR="00C41799" w:rsidRPr="00271E52" w:rsidRDefault="00C41799" w:rsidP="3718F3BB">
            <w:pPr>
              <w:rPr>
                <w:rFonts w:ascii="Arial" w:eastAsia="Times New Roman" w:hAnsi="Arial" w:cs="Arial"/>
                <w:color w:val="000000" w:themeColor="text1"/>
              </w:rPr>
            </w:pPr>
          </w:p>
          <w:p w14:paraId="492E7CD7" w14:textId="16E3F0CE" w:rsidR="00C41799" w:rsidRPr="00271E52" w:rsidRDefault="00C41799" w:rsidP="00C41799">
            <w:pPr>
              <w:rPr>
                <w:rFonts w:ascii="Arial" w:eastAsia="Times New Roman" w:hAnsi="Arial" w:cs="Arial"/>
                <w:color w:val="000000"/>
              </w:rPr>
            </w:pPr>
            <w:r w:rsidRPr="3718F3BB">
              <w:rPr>
                <w:rFonts w:ascii="Arial" w:eastAsia="Times New Roman" w:hAnsi="Arial" w:cs="Arial"/>
                <w:color w:val="000000" w:themeColor="text1"/>
              </w:rPr>
              <w:t>As described in Section II.A.1, REDWDS is open to "Electric vehicle service providers (EVSPs) and charging network companies, Electric vehicle supply equipment (EVSE) manufacturers, Electric vehicle charging software and/or hardware providers, Automation service providers that manage or aggregate charging, and Vehicle manufacturers. The Applicant must be from one of the above categories ... There are no limitations on the types of entities which may be included as key partners on the project team." There are also no limitations on the number of entities which may be included as key partners on the project team.</w:t>
            </w:r>
          </w:p>
        </w:tc>
      </w:tr>
      <w:tr w:rsidR="00C41799" w:rsidRPr="00271E52" w14:paraId="65C6A32C" w14:textId="77777777" w:rsidTr="00297D16">
        <w:trPr>
          <w:trHeight w:val="580"/>
        </w:trPr>
        <w:tc>
          <w:tcPr>
            <w:tcW w:w="549" w:type="dxa"/>
            <w:noWrap/>
            <w:hideMark/>
          </w:tcPr>
          <w:p w14:paraId="7954D9BA"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lastRenderedPageBreak/>
              <w:t>70</w:t>
            </w:r>
          </w:p>
        </w:tc>
        <w:tc>
          <w:tcPr>
            <w:tcW w:w="5296" w:type="dxa"/>
            <w:hideMark/>
          </w:tcPr>
          <w:p w14:paraId="47319CB8"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Are there any limits to the number of partners? </w:t>
            </w:r>
          </w:p>
        </w:tc>
        <w:tc>
          <w:tcPr>
            <w:tcW w:w="8465" w:type="dxa"/>
            <w:hideMark/>
          </w:tcPr>
          <w:p w14:paraId="55562B44" w14:textId="3CC483E5" w:rsidR="00C41799" w:rsidRPr="00271E52" w:rsidRDefault="00C41799" w:rsidP="00C41799">
            <w:pPr>
              <w:rPr>
                <w:rFonts w:ascii="Arial" w:eastAsia="Times New Roman" w:hAnsi="Arial" w:cs="Arial"/>
                <w:color w:val="000000"/>
              </w:rPr>
            </w:pPr>
            <w:r w:rsidRPr="3718F3BB">
              <w:rPr>
                <w:rFonts w:ascii="Arial" w:eastAsia="Times New Roman" w:hAnsi="Arial" w:cs="Arial"/>
                <w:color w:val="000000" w:themeColor="text1"/>
              </w:rPr>
              <w:t>No</w:t>
            </w:r>
            <w:r w:rsidR="006A4844">
              <w:rPr>
                <w:rFonts w:ascii="Arial" w:eastAsia="Times New Roman" w:hAnsi="Arial" w:cs="Arial"/>
                <w:color w:val="000000" w:themeColor="text1"/>
              </w:rPr>
              <w:t>, there are no limits to the number of partners</w:t>
            </w:r>
            <w:r w:rsidRPr="3718F3BB">
              <w:rPr>
                <w:rFonts w:ascii="Arial" w:eastAsia="Times New Roman" w:hAnsi="Arial" w:cs="Arial"/>
                <w:color w:val="000000" w:themeColor="text1"/>
              </w:rPr>
              <w:t xml:space="preserve">. </w:t>
            </w:r>
            <w:r w:rsidR="006A4844">
              <w:rPr>
                <w:rFonts w:ascii="Arial" w:eastAsia="Times New Roman" w:hAnsi="Arial" w:cs="Arial"/>
                <w:color w:val="000000" w:themeColor="text1"/>
              </w:rPr>
              <w:t>Relatedly</w:t>
            </w:r>
            <w:r w:rsidRPr="3718F3BB">
              <w:rPr>
                <w:rFonts w:ascii="Arial" w:eastAsia="Times New Roman" w:hAnsi="Arial" w:cs="Arial"/>
                <w:color w:val="000000" w:themeColor="text1"/>
              </w:rPr>
              <w:t>, as described in Section II.A, "There are no limitations on the types of entities which may be included as key partners on the project team."</w:t>
            </w:r>
          </w:p>
        </w:tc>
      </w:tr>
      <w:tr w:rsidR="00C41799" w:rsidRPr="00271E52" w14:paraId="713423D0" w14:textId="77777777" w:rsidTr="00297D16">
        <w:trPr>
          <w:trHeight w:val="1160"/>
        </w:trPr>
        <w:tc>
          <w:tcPr>
            <w:tcW w:w="549" w:type="dxa"/>
            <w:noWrap/>
            <w:hideMark/>
          </w:tcPr>
          <w:p w14:paraId="106EB62A"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71</w:t>
            </w:r>
          </w:p>
        </w:tc>
        <w:tc>
          <w:tcPr>
            <w:tcW w:w="5296" w:type="dxa"/>
            <w:hideMark/>
          </w:tcPr>
          <w:p w14:paraId="024F214F"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Are mobile or temporary charging solutions eligible, and how long do they need to be in place to be eligible?</w:t>
            </w:r>
          </w:p>
        </w:tc>
        <w:tc>
          <w:tcPr>
            <w:tcW w:w="8465" w:type="dxa"/>
            <w:hideMark/>
          </w:tcPr>
          <w:p w14:paraId="30BD8215" w14:textId="19C61670"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 xml:space="preserve">REDWDS does not prohibit mobile or temporary charging solutions. REDWDS does not specify operation requirements beyond the project term. As described in Section IV.E Evaluation </w:t>
            </w:r>
            <w:r w:rsidR="2BFBD50C" w:rsidRPr="2929DF5F">
              <w:rPr>
                <w:rFonts w:ascii="Arial" w:eastAsia="Times New Roman" w:hAnsi="Arial" w:cs="Arial"/>
                <w:color w:val="000000" w:themeColor="text1"/>
              </w:rPr>
              <w:t>Criteri</w:t>
            </w:r>
            <w:r w:rsidR="1D6A5BEA" w:rsidRPr="2929DF5F">
              <w:rPr>
                <w:rFonts w:ascii="Arial" w:eastAsia="Times New Roman" w:hAnsi="Arial" w:cs="Arial"/>
                <w:color w:val="000000" w:themeColor="text1"/>
              </w:rPr>
              <w:t>a</w:t>
            </w:r>
            <w:r w:rsidRPr="2929DF5F">
              <w:rPr>
                <w:rFonts w:ascii="Arial" w:eastAsia="Times New Roman" w:hAnsi="Arial" w:cs="Arial"/>
                <w:color w:val="000000" w:themeColor="text1"/>
              </w:rPr>
              <w:t xml:space="preserve"> 9a</w:t>
            </w:r>
            <w:r w:rsidR="1D6A5BEA" w:rsidRPr="2929DF5F">
              <w:rPr>
                <w:rFonts w:ascii="Arial" w:eastAsia="Times New Roman" w:hAnsi="Arial" w:cs="Arial"/>
                <w:color w:val="000000" w:themeColor="text1"/>
              </w:rPr>
              <w:t xml:space="preserve"> and 14a</w:t>
            </w:r>
            <w:r w:rsidRPr="2929DF5F">
              <w:rPr>
                <w:rFonts w:ascii="Arial" w:eastAsia="Times New Roman" w:hAnsi="Arial" w:cs="Arial"/>
                <w:color w:val="000000" w:themeColor="text1"/>
              </w:rPr>
              <w:t>, "Applications will be evaluated on the degree to which the Applicant describes plans to ensure sustained customer value beyond the project term."</w:t>
            </w:r>
          </w:p>
        </w:tc>
      </w:tr>
      <w:tr w:rsidR="00C41799" w:rsidRPr="00271E52" w14:paraId="330A6E26" w14:textId="77777777" w:rsidTr="00297D16">
        <w:trPr>
          <w:trHeight w:val="580"/>
        </w:trPr>
        <w:tc>
          <w:tcPr>
            <w:tcW w:w="549" w:type="dxa"/>
            <w:noWrap/>
            <w:hideMark/>
          </w:tcPr>
          <w:p w14:paraId="784EDEA4"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72</w:t>
            </w:r>
          </w:p>
        </w:tc>
        <w:tc>
          <w:tcPr>
            <w:tcW w:w="5296" w:type="dxa"/>
            <w:hideMark/>
          </w:tcPr>
          <w:p w14:paraId="04C031FE"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Do products need to meet Buy America or California manufacturing requirements? </w:t>
            </w:r>
          </w:p>
        </w:tc>
        <w:tc>
          <w:tcPr>
            <w:tcW w:w="8465" w:type="dxa"/>
            <w:hideMark/>
          </w:tcPr>
          <w:p w14:paraId="5C4A8CDA"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No. REDWDS does not specify any Buy America or California manufacturing requirements. As described in II.B.2-2, "All deployments must be in California."</w:t>
            </w:r>
          </w:p>
        </w:tc>
      </w:tr>
      <w:tr w:rsidR="00C41799" w:rsidRPr="00271E52" w14:paraId="7E6B5F9E" w14:textId="77777777" w:rsidTr="00297D16">
        <w:trPr>
          <w:trHeight w:val="1160"/>
        </w:trPr>
        <w:tc>
          <w:tcPr>
            <w:tcW w:w="549" w:type="dxa"/>
            <w:noWrap/>
            <w:hideMark/>
          </w:tcPr>
          <w:p w14:paraId="3230714F"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73</w:t>
            </w:r>
          </w:p>
        </w:tc>
        <w:tc>
          <w:tcPr>
            <w:tcW w:w="5296" w:type="dxa"/>
            <w:hideMark/>
          </w:tcPr>
          <w:p w14:paraId="0777C4CF"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Can you clarify limitations on match funding? Specifically, can funding from the National Electric Vehicle Infrastructure (NEVI) Formula Program or Charging and Fueling Infrastructure (CFI) Discretionary Grant Program funds be used as a match? </w:t>
            </w:r>
          </w:p>
        </w:tc>
        <w:tc>
          <w:tcPr>
            <w:tcW w:w="8465" w:type="dxa"/>
            <w:hideMark/>
          </w:tcPr>
          <w:p w14:paraId="18C5FC43" w14:textId="0997F309"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Section II.D.4</w:t>
            </w:r>
            <w:r w:rsidR="004A288C" w:rsidRPr="2929DF5F">
              <w:rPr>
                <w:rFonts w:ascii="Arial" w:eastAsia="Times New Roman" w:hAnsi="Arial" w:cs="Arial"/>
                <w:color w:val="000000" w:themeColor="text1"/>
              </w:rPr>
              <w:t xml:space="preserve"> now clarifies that</w:t>
            </w:r>
            <w:r w:rsidRPr="2929DF5F">
              <w:rPr>
                <w:rFonts w:ascii="Arial" w:eastAsia="Times New Roman" w:hAnsi="Arial" w:cs="Arial"/>
                <w:color w:val="000000" w:themeColor="text1"/>
              </w:rPr>
              <w:t xml:space="preserve"> "</w:t>
            </w:r>
            <w:r w:rsidR="004A288C" w:rsidRPr="2929DF5F">
              <w:rPr>
                <w:rFonts w:ascii="Arial" w:eastAsia="Times New Roman" w:hAnsi="Arial" w:cs="Arial"/>
                <w:color w:val="000000" w:themeColor="text1"/>
              </w:rPr>
              <w:t xml:space="preserve">Other sources of CEC funding or federal corridor funding, including but not limited to funding from the Charging and Fueling Infrastructure Corridor Program, California’s National Electric Vehicle Infrastructure Formula Program, CALeVIP, EnergIIZE, and similar block grants, may not be claimed as match </w:t>
            </w:r>
            <w:r w:rsidRPr="2929DF5F" w:rsidDel="004A288C">
              <w:rPr>
                <w:rFonts w:ascii="Arial" w:eastAsia="Times New Roman" w:hAnsi="Arial" w:cs="Arial"/>
                <w:color w:val="000000" w:themeColor="text1"/>
              </w:rPr>
              <w:t>share</w:t>
            </w:r>
            <w:r w:rsidR="5EA999C9" w:rsidRPr="2929DF5F">
              <w:rPr>
                <w:rFonts w:ascii="Arial" w:eastAsia="Times New Roman" w:hAnsi="Arial" w:cs="Arial"/>
                <w:color w:val="000000" w:themeColor="text1"/>
              </w:rPr>
              <w:t>.</w:t>
            </w:r>
            <w:r w:rsidR="2BFBD50C" w:rsidRPr="2929DF5F">
              <w:rPr>
                <w:rFonts w:ascii="Arial" w:eastAsia="Times New Roman" w:hAnsi="Arial" w:cs="Arial"/>
                <w:color w:val="000000" w:themeColor="text1"/>
              </w:rPr>
              <w:t>"</w:t>
            </w:r>
            <w:r w:rsidRPr="2929DF5F">
              <w:rPr>
                <w:rFonts w:ascii="Arial" w:eastAsia="Times New Roman" w:hAnsi="Arial" w:cs="Arial"/>
                <w:color w:val="000000" w:themeColor="text1"/>
              </w:rPr>
              <w:t xml:space="preserve"> Other match funding restrictions are described in Section II.D.4 and Section II.E. CFI </w:t>
            </w:r>
            <w:r w:rsidR="00AC5A35" w:rsidRPr="2929DF5F">
              <w:rPr>
                <w:rFonts w:ascii="Arial" w:eastAsia="Times New Roman" w:hAnsi="Arial" w:cs="Arial"/>
                <w:color w:val="000000" w:themeColor="text1"/>
              </w:rPr>
              <w:t xml:space="preserve">Community Program </w:t>
            </w:r>
            <w:r w:rsidRPr="2929DF5F">
              <w:rPr>
                <w:rFonts w:ascii="Arial" w:eastAsia="Times New Roman" w:hAnsi="Arial" w:cs="Arial"/>
                <w:color w:val="000000" w:themeColor="text1"/>
              </w:rPr>
              <w:t>funds may be claimed as match share</w:t>
            </w:r>
            <w:r w:rsidR="00AC7FC8" w:rsidRPr="2929DF5F">
              <w:rPr>
                <w:rFonts w:ascii="Arial" w:eastAsia="Times New Roman" w:hAnsi="Arial" w:cs="Arial"/>
                <w:color w:val="000000" w:themeColor="text1"/>
              </w:rPr>
              <w:t>. CFI Corridor Program funds may not be claimed as match share</w:t>
            </w:r>
            <w:r w:rsidRPr="2929DF5F">
              <w:rPr>
                <w:rFonts w:ascii="Arial" w:eastAsia="Times New Roman" w:hAnsi="Arial" w:cs="Arial"/>
                <w:color w:val="000000" w:themeColor="text1"/>
              </w:rPr>
              <w:t>.</w:t>
            </w:r>
          </w:p>
        </w:tc>
      </w:tr>
      <w:tr w:rsidR="00C41799" w:rsidRPr="00271E52" w14:paraId="325CC378" w14:textId="77777777" w:rsidTr="00297D16">
        <w:trPr>
          <w:trHeight w:val="1160"/>
        </w:trPr>
        <w:tc>
          <w:tcPr>
            <w:tcW w:w="549" w:type="dxa"/>
            <w:noWrap/>
            <w:hideMark/>
          </w:tcPr>
          <w:p w14:paraId="784022F6"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74</w:t>
            </w:r>
          </w:p>
        </w:tc>
        <w:tc>
          <w:tcPr>
            <w:tcW w:w="5296" w:type="dxa"/>
            <w:hideMark/>
          </w:tcPr>
          <w:p w14:paraId="4F8A2D3B" w14:textId="0E0F101C" w:rsidR="00C41799" w:rsidRPr="00271E52" w:rsidRDefault="00C41799" w:rsidP="00C41799">
            <w:pPr>
              <w:rPr>
                <w:rFonts w:ascii="Arial" w:eastAsia="Times New Roman" w:hAnsi="Arial" w:cs="Arial"/>
                <w:color w:val="000000"/>
              </w:rPr>
            </w:pPr>
            <w:r w:rsidRPr="3718F3BB">
              <w:rPr>
                <w:rFonts w:ascii="Arial" w:eastAsia="Times New Roman" w:hAnsi="Arial" w:cs="Arial"/>
                <w:color w:val="000000" w:themeColor="text1"/>
              </w:rPr>
              <w:t>To the extent CEC grants can't be used as a match, are projects ineligible if they receive other CEC grants? Or do they only need to find other sources for the minimum matching portion?</w:t>
            </w:r>
          </w:p>
        </w:tc>
        <w:tc>
          <w:tcPr>
            <w:tcW w:w="8465" w:type="dxa"/>
            <w:hideMark/>
          </w:tcPr>
          <w:p w14:paraId="02F5FFA3" w14:textId="466170AC" w:rsidR="00C41799" w:rsidRPr="00271E52" w:rsidRDefault="00DD43E0" w:rsidP="00C41799">
            <w:pPr>
              <w:rPr>
                <w:rFonts w:ascii="Arial" w:eastAsia="Times New Roman" w:hAnsi="Arial" w:cs="Arial"/>
                <w:color w:val="000000"/>
              </w:rPr>
            </w:pPr>
            <w:r>
              <w:rPr>
                <w:rFonts w:ascii="Arial" w:eastAsia="Times New Roman" w:hAnsi="Arial" w:cs="Arial"/>
                <w:color w:val="000000" w:themeColor="text1"/>
              </w:rPr>
              <w:t>Projects are not ineligible if they receive other CEC funding</w:t>
            </w:r>
            <w:r w:rsidR="001C5AEF">
              <w:rPr>
                <w:rFonts w:ascii="Arial" w:eastAsia="Times New Roman" w:hAnsi="Arial" w:cs="Arial"/>
                <w:color w:val="000000" w:themeColor="text1"/>
              </w:rPr>
              <w:t>. However, other CEC funding may not be claimed as match share</w:t>
            </w:r>
            <w:r w:rsidR="003428C7">
              <w:rPr>
                <w:rFonts w:ascii="Arial" w:eastAsia="Times New Roman" w:hAnsi="Arial" w:cs="Arial"/>
                <w:color w:val="000000" w:themeColor="text1"/>
              </w:rPr>
              <w:t xml:space="preserve"> (refer to Section II.D.4)</w:t>
            </w:r>
            <w:r w:rsidR="001C5AEF">
              <w:rPr>
                <w:rFonts w:ascii="Arial" w:eastAsia="Times New Roman" w:hAnsi="Arial" w:cs="Arial"/>
                <w:color w:val="000000" w:themeColor="text1"/>
              </w:rPr>
              <w:t xml:space="preserve">. </w:t>
            </w:r>
            <w:r w:rsidR="00C41799" w:rsidRPr="2929DF5F">
              <w:rPr>
                <w:rFonts w:ascii="Arial" w:eastAsia="Times New Roman" w:hAnsi="Arial" w:cs="Arial"/>
                <w:color w:val="000000" w:themeColor="text1"/>
              </w:rPr>
              <w:t xml:space="preserve">As described under Section II.E, "For an item of cost to be allowable for reimbursement with CEC funds or as match share expenditure, it must be included in the executed agreement budget and allowable per the terms and conditions of the resulting agreement." The resulting agreement for awarded projects is governed by the agreement terms and conditions (Attachments 09a and 09b) and the </w:t>
            </w:r>
            <w:r w:rsidR="004D00DD" w:rsidRPr="2929DF5F">
              <w:rPr>
                <w:rFonts w:ascii="Arial" w:eastAsia="Times New Roman" w:hAnsi="Arial" w:cs="Arial"/>
                <w:color w:val="000000" w:themeColor="text1"/>
              </w:rPr>
              <w:t>agreement budget</w:t>
            </w:r>
            <w:r w:rsidR="00C41799" w:rsidRPr="2929DF5F">
              <w:rPr>
                <w:rFonts w:ascii="Arial" w:eastAsia="Times New Roman" w:hAnsi="Arial" w:cs="Arial"/>
                <w:color w:val="000000" w:themeColor="text1"/>
              </w:rPr>
              <w:t xml:space="preserve"> (Attachment 04).</w:t>
            </w:r>
            <w:r w:rsidR="00D36AAB" w:rsidRPr="2929DF5F">
              <w:rPr>
                <w:rFonts w:ascii="Arial" w:eastAsia="Times New Roman" w:hAnsi="Arial" w:cs="Arial"/>
                <w:color w:val="000000" w:themeColor="text1"/>
              </w:rPr>
              <w:t xml:space="preserve"> </w:t>
            </w:r>
          </w:p>
        </w:tc>
      </w:tr>
      <w:tr w:rsidR="00C41799" w:rsidRPr="00271E52" w14:paraId="21FABF88" w14:textId="77777777" w:rsidTr="00297D16">
        <w:trPr>
          <w:trHeight w:val="1160"/>
        </w:trPr>
        <w:tc>
          <w:tcPr>
            <w:tcW w:w="549" w:type="dxa"/>
            <w:noWrap/>
            <w:hideMark/>
          </w:tcPr>
          <w:p w14:paraId="2BC38F5D"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75</w:t>
            </w:r>
          </w:p>
        </w:tc>
        <w:tc>
          <w:tcPr>
            <w:tcW w:w="5296" w:type="dxa"/>
            <w:hideMark/>
          </w:tcPr>
          <w:p w14:paraId="085FB92E" w14:textId="734BD8E2"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Can products be used for revenue</w:t>
            </w:r>
            <w:r w:rsidR="7BDAB4AD" w:rsidRPr="2929DF5F">
              <w:rPr>
                <w:rFonts w:ascii="Arial" w:eastAsia="Times New Roman" w:hAnsi="Arial" w:cs="Arial"/>
                <w:color w:val="000000" w:themeColor="text1"/>
              </w:rPr>
              <w:t>-</w:t>
            </w:r>
            <w:r w:rsidRPr="2929DF5F">
              <w:rPr>
                <w:rFonts w:ascii="Arial" w:eastAsia="Times New Roman" w:hAnsi="Arial" w:cs="Arial"/>
                <w:color w:val="000000" w:themeColor="text1"/>
              </w:rPr>
              <w:t xml:space="preserve">generating public </w:t>
            </w:r>
            <w:r w:rsidR="00C00203">
              <w:rPr>
                <w:rFonts w:ascii="Arial" w:eastAsia="Times New Roman" w:hAnsi="Arial" w:cs="Arial"/>
                <w:color w:val="000000" w:themeColor="text1"/>
              </w:rPr>
              <w:t>7</w:t>
            </w:r>
            <w:r w:rsidRPr="2929DF5F">
              <w:rPr>
                <w:rFonts w:ascii="Arial" w:eastAsia="Times New Roman" w:hAnsi="Arial" w:cs="Arial"/>
                <w:color w:val="000000" w:themeColor="text1"/>
              </w:rPr>
              <w:t>charging, including fast charging?</w:t>
            </w:r>
          </w:p>
        </w:tc>
        <w:tc>
          <w:tcPr>
            <w:tcW w:w="8465" w:type="dxa"/>
            <w:hideMark/>
          </w:tcPr>
          <w:p w14:paraId="5B4FDDBF"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Yes. REDWDS does not prohibit collection of payment on deployed products. However, as described under Section II.B.2-1, public fast charging is not eligible for the higher-power charging hardware deployment credit exception. Public fast charging is defined as one or more EVSE (or other charging hardware) open to the general public and primarily serving customers with short dwell times.</w:t>
            </w:r>
          </w:p>
        </w:tc>
      </w:tr>
      <w:tr w:rsidR="00C41799" w:rsidRPr="00271E52" w14:paraId="27D3ECC4" w14:textId="77777777" w:rsidTr="00297D16">
        <w:trPr>
          <w:trHeight w:val="2320"/>
        </w:trPr>
        <w:tc>
          <w:tcPr>
            <w:tcW w:w="549" w:type="dxa"/>
            <w:noWrap/>
            <w:hideMark/>
          </w:tcPr>
          <w:p w14:paraId="2B928166"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76</w:t>
            </w:r>
          </w:p>
        </w:tc>
        <w:tc>
          <w:tcPr>
            <w:tcW w:w="5296" w:type="dxa"/>
            <w:hideMark/>
          </w:tcPr>
          <w:p w14:paraId="2E7AFA5A"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How is the CEC defining "charging network software" and "aggregator products," and what are the differences between "charging network software" and "aggregator products?"</w:t>
            </w:r>
          </w:p>
        </w:tc>
        <w:tc>
          <w:tcPr>
            <w:tcW w:w="8465" w:type="dxa"/>
            <w:hideMark/>
          </w:tcPr>
          <w:p w14:paraId="3EE30F6F" w14:textId="166AA16D" w:rsidR="00C41799" w:rsidRPr="00271E52" w:rsidRDefault="00C41799" w:rsidP="637AD9AA">
            <w:pPr>
              <w:rPr>
                <w:rFonts w:ascii="Arial" w:eastAsia="Times New Roman" w:hAnsi="Arial" w:cs="Arial"/>
                <w:color w:val="000000"/>
              </w:rPr>
            </w:pPr>
            <w:r w:rsidRPr="637AD9AA">
              <w:rPr>
                <w:rFonts w:ascii="Arial" w:eastAsia="Times New Roman" w:hAnsi="Arial" w:cs="Arial"/>
                <w:color w:val="000000" w:themeColor="text1"/>
              </w:rPr>
              <w:t xml:space="preserve">REDWDS is designed to accommodate a wide range of product types and applicant types. As described in Section II.A.1, REDWDS is open to "Electric vehicle service providers (EVSPs) and charging network companies, Electric vehicle supply equipment (EVSE) manufacturers, Electric vehicle charging software and/or hardware providers, Automation service providers that manage or aggregate </w:t>
            </w:r>
            <w:r w:rsidR="004A288C" w:rsidRPr="637AD9AA">
              <w:rPr>
                <w:rFonts w:ascii="Arial" w:eastAsia="Times New Roman" w:hAnsi="Arial" w:cs="Arial"/>
                <w:color w:val="000000" w:themeColor="text1"/>
              </w:rPr>
              <w:t>charging</w:t>
            </w:r>
            <w:r w:rsidRPr="637AD9AA">
              <w:rPr>
                <w:rFonts w:ascii="Arial" w:eastAsia="Times New Roman" w:hAnsi="Arial" w:cs="Arial"/>
                <w:color w:val="000000" w:themeColor="text1"/>
              </w:rPr>
              <w:t>, and Vehicle manufacturers."</w:t>
            </w:r>
            <w:r>
              <w:br/>
            </w:r>
            <w:r>
              <w:br/>
            </w:r>
            <w:r w:rsidRPr="637AD9AA">
              <w:rPr>
                <w:rFonts w:ascii="Arial" w:eastAsia="Times New Roman" w:hAnsi="Arial" w:cs="Arial"/>
                <w:color w:val="000000" w:themeColor="text1"/>
              </w:rPr>
              <w:t>Charging network software</w:t>
            </w:r>
            <w:r w:rsidR="34A2039D" w:rsidRPr="637AD9AA">
              <w:rPr>
                <w:rFonts w:ascii="Arial" w:eastAsia="Times New Roman" w:hAnsi="Arial" w:cs="Arial"/>
                <w:color w:val="000000" w:themeColor="text1"/>
              </w:rPr>
              <w:t xml:space="preserve"> (also called charging system management system</w:t>
            </w:r>
            <w:r w:rsidR="00753375">
              <w:rPr>
                <w:rFonts w:ascii="Arial" w:eastAsia="Times New Roman" w:hAnsi="Arial" w:cs="Arial"/>
                <w:color w:val="000000" w:themeColor="text1"/>
              </w:rPr>
              <w:t>s</w:t>
            </w:r>
            <w:r w:rsidR="34A2039D" w:rsidRPr="637AD9AA">
              <w:rPr>
                <w:rFonts w:ascii="Arial" w:eastAsia="Times New Roman" w:hAnsi="Arial" w:cs="Arial"/>
                <w:color w:val="000000" w:themeColor="text1"/>
              </w:rPr>
              <w:t>)</w:t>
            </w:r>
            <w:r w:rsidRPr="637AD9AA">
              <w:rPr>
                <w:rFonts w:ascii="Arial" w:eastAsia="Times New Roman" w:hAnsi="Arial" w:cs="Arial"/>
                <w:color w:val="000000" w:themeColor="text1"/>
              </w:rPr>
              <w:t xml:space="preserve"> refers to software used to manage many chargers</w:t>
            </w:r>
            <w:r w:rsidR="4FDBF56C" w:rsidRPr="637AD9AA">
              <w:rPr>
                <w:rFonts w:ascii="Arial" w:eastAsia="Times New Roman" w:hAnsi="Arial" w:cs="Arial"/>
                <w:color w:val="000000" w:themeColor="text1"/>
              </w:rPr>
              <w:t>, typically using OCPP or a similar protocol</w:t>
            </w:r>
            <w:r w:rsidRPr="637AD9AA">
              <w:rPr>
                <w:rFonts w:ascii="Arial" w:eastAsia="Times New Roman" w:hAnsi="Arial" w:cs="Arial"/>
                <w:color w:val="000000" w:themeColor="text1"/>
              </w:rPr>
              <w:t>.</w:t>
            </w:r>
            <w:r w:rsidR="22E56D5F" w:rsidRPr="637AD9AA">
              <w:rPr>
                <w:rFonts w:ascii="Arial" w:eastAsia="Times New Roman" w:hAnsi="Arial" w:cs="Arial"/>
                <w:color w:val="000000" w:themeColor="text1"/>
              </w:rPr>
              <w:t xml:space="preserve"> As described in Section II.B.1-4,</w:t>
            </w:r>
            <w:r w:rsidR="712CDE36" w:rsidRPr="637AD9AA">
              <w:rPr>
                <w:rFonts w:ascii="Arial" w:eastAsia="Times New Roman" w:hAnsi="Arial" w:cs="Arial"/>
                <w:color w:val="000000" w:themeColor="text1"/>
              </w:rPr>
              <w:t xml:space="preserve"> such products</w:t>
            </w:r>
            <w:r w:rsidR="22E56D5F" w:rsidRPr="637AD9AA">
              <w:rPr>
                <w:rFonts w:ascii="Arial" w:eastAsia="Times New Roman" w:hAnsi="Arial" w:cs="Arial"/>
                <w:color w:val="000000" w:themeColor="text1"/>
              </w:rPr>
              <w:t xml:space="preserve"> "must be compliant with </w:t>
            </w:r>
            <w:r w:rsidR="22E56D5F" w:rsidRPr="637AD9AA">
              <w:rPr>
                <w:rFonts w:ascii="Arial" w:eastAsia="Times New Roman" w:hAnsi="Arial" w:cs="Arial"/>
                <w:color w:val="000000" w:themeColor="text1"/>
              </w:rPr>
              <w:lastRenderedPageBreak/>
              <w:t>OCPP and certified by the Open Charge Alliance</w:t>
            </w:r>
            <w:r w:rsidR="22BF4212" w:rsidRPr="637AD9AA">
              <w:rPr>
                <w:rFonts w:ascii="Arial" w:eastAsia="Times New Roman" w:hAnsi="Arial" w:cs="Arial"/>
                <w:color w:val="000000" w:themeColor="text1"/>
              </w:rPr>
              <w:t>.”</w:t>
            </w:r>
            <w:r w:rsidRPr="637AD9AA">
              <w:rPr>
                <w:rFonts w:ascii="Arial" w:eastAsia="Times New Roman" w:hAnsi="Arial" w:cs="Arial"/>
                <w:color w:val="000000" w:themeColor="text1"/>
              </w:rPr>
              <w:t xml:space="preserve"> Aggregator products typically manage many types of electrical loads, which may include electric vehicle chargers. Regardless of product type, all products must meet or exceed the minimum requirements described in Section II.B.</w:t>
            </w:r>
          </w:p>
        </w:tc>
      </w:tr>
      <w:tr w:rsidR="00C41799" w:rsidRPr="00271E52" w14:paraId="7FB98A2D" w14:textId="77777777" w:rsidTr="00297D16">
        <w:trPr>
          <w:trHeight w:val="1160"/>
        </w:trPr>
        <w:tc>
          <w:tcPr>
            <w:tcW w:w="549" w:type="dxa"/>
            <w:noWrap/>
            <w:hideMark/>
          </w:tcPr>
          <w:p w14:paraId="082EF412"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lastRenderedPageBreak/>
              <w:t>77</w:t>
            </w:r>
          </w:p>
        </w:tc>
        <w:tc>
          <w:tcPr>
            <w:tcW w:w="5296" w:type="dxa"/>
            <w:hideMark/>
          </w:tcPr>
          <w:p w14:paraId="0C561A5A" w14:textId="5EF8C672" w:rsidR="00C41799" w:rsidRPr="00271E52" w:rsidRDefault="00C41799" w:rsidP="00C41799">
            <w:pPr>
              <w:rPr>
                <w:rFonts w:ascii="Arial" w:eastAsia="Times New Roman" w:hAnsi="Arial" w:cs="Arial"/>
              </w:rPr>
            </w:pPr>
            <w:r w:rsidRPr="00271E52">
              <w:rPr>
                <w:rFonts w:ascii="Arial" w:eastAsia="Times New Roman" w:hAnsi="Arial" w:cs="Arial"/>
              </w:rPr>
              <w:t>Project Requirement 2-1 states that "higher-power EVSE used for public fast charging is not eligible" for the higher-power EVSE deployment credit exception. Does this mean EVSE providing 22 kW or greater charge power can only be used in non</w:t>
            </w:r>
            <w:r w:rsidR="3DB9A02C" w:rsidRPr="2929DF5F">
              <w:rPr>
                <w:rFonts w:ascii="Arial" w:eastAsia="Times New Roman" w:hAnsi="Arial" w:cs="Arial"/>
              </w:rPr>
              <w:t>-</w:t>
            </w:r>
            <w:r w:rsidRPr="00271E52">
              <w:rPr>
                <w:rFonts w:ascii="Arial" w:eastAsia="Times New Roman" w:hAnsi="Arial" w:cs="Arial"/>
              </w:rPr>
              <w:t>public environments?</w:t>
            </w:r>
          </w:p>
        </w:tc>
        <w:tc>
          <w:tcPr>
            <w:tcW w:w="8465" w:type="dxa"/>
            <w:hideMark/>
          </w:tcPr>
          <w:p w14:paraId="5E3DB0EE" w14:textId="5621D251"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No. As described under Section II.B.2-1, "For charging hardware products, one new EVSE or other charging hardware unit (minimum 3.3 kilowatts charge power) installed equals one credit." A public fast charger may earn one credit under this provision. Bidirectional EVSE and higher-power EVSE may earn a higher number of credits if they meet the criteria for exceptions.</w:t>
            </w:r>
          </w:p>
        </w:tc>
      </w:tr>
      <w:tr w:rsidR="00C41799" w:rsidRPr="00271E52" w14:paraId="58A9B817" w14:textId="77777777" w:rsidTr="00297D16">
        <w:trPr>
          <w:trHeight w:val="580"/>
        </w:trPr>
        <w:tc>
          <w:tcPr>
            <w:tcW w:w="549" w:type="dxa"/>
            <w:noWrap/>
            <w:hideMark/>
          </w:tcPr>
          <w:p w14:paraId="0BF6D9E3"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78</w:t>
            </w:r>
          </w:p>
        </w:tc>
        <w:tc>
          <w:tcPr>
            <w:tcW w:w="5296" w:type="dxa"/>
            <w:hideMark/>
          </w:tcPr>
          <w:p w14:paraId="18117E8F" w14:textId="77777777" w:rsidR="00C41799" w:rsidRPr="00271E52" w:rsidRDefault="00C41799" w:rsidP="00C41799">
            <w:pPr>
              <w:rPr>
                <w:rFonts w:ascii="Arial" w:eastAsia="Times New Roman" w:hAnsi="Arial" w:cs="Arial"/>
              </w:rPr>
            </w:pPr>
            <w:r w:rsidRPr="00271E52">
              <w:rPr>
                <w:rFonts w:ascii="Arial" w:eastAsia="Times New Roman" w:hAnsi="Arial" w:cs="Arial"/>
              </w:rPr>
              <w:t>How is public fast charging defined?</w:t>
            </w:r>
          </w:p>
        </w:tc>
        <w:tc>
          <w:tcPr>
            <w:tcW w:w="8465" w:type="dxa"/>
            <w:hideMark/>
          </w:tcPr>
          <w:p w14:paraId="7230E40D"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Section II.B.2-1 now clarifies that "Public fast charging is defined as one or more EVSE (or other charging hardware) open to the general public and primarily serving customers with short dwell times."</w:t>
            </w:r>
          </w:p>
        </w:tc>
      </w:tr>
      <w:tr w:rsidR="00C41799" w:rsidRPr="00271E52" w14:paraId="40FEE552" w14:textId="77777777" w:rsidTr="00297D16">
        <w:trPr>
          <w:trHeight w:val="2030"/>
        </w:trPr>
        <w:tc>
          <w:tcPr>
            <w:tcW w:w="549" w:type="dxa"/>
            <w:noWrap/>
            <w:hideMark/>
          </w:tcPr>
          <w:p w14:paraId="02081D74"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79</w:t>
            </w:r>
          </w:p>
        </w:tc>
        <w:tc>
          <w:tcPr>
            <w:tcW w:w="5296" w:type="dxa"/>
            <w:hideMark/>
          </w:tcPr>
          <w:p w14:paraId="0C5EAF7B" w14:textId="710C7820"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Does REDWDS consider other approaches to tariff management and optimization, or should projects assume the focus is on MIDAS, the Emergency Load Reduction Program, and the Demand Side Grid Support Program?</w:t>
            </w:r>
          </w:p>
        </w:tc>
        <w:tc>
          <w:tcPr>
            <w:tcW w:w="8465" w:type="dxa"/>
            <w:hideMark/>
          </w:tcPr>
          <w:p w14:paraId="277EA7FA"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REDWDS is designed to support the development and deployment of charging products which help customers manage charging and respond to dynamic grid signals. In California, notable dynamic grid signals include electricity rates and programs such as the Emergency Load Reduction Program and the Demand Side Grid Support Program. Importantly, several dynamic rate options will become available in California in the coming 1-2 years. As such, these form the basis for the REDWDS minimum requirements. Projects are welcome to exceed the minimum requirements. As described in Section IV.E.8b, "Applications will be evaluated on the degree to which the product supports additional capabilities beyond the minimum requirements."</w:t>
            </w:r>
          </w:p>
        </w:tc>
      </w:tr>
      <w:tr w:rsidR="00C41799" w:rsidRPr="00271E52" w14:paraId="58DEB2C2" w14:textId="77777777" w:rsidTr="00297D16">
        <w:trPr>
          <w:trHeight w:val="2320"/>
        </w:trPr>
        <w:tc>
          <w:tcPr>
            <w:tcW w:w="549" w:type="dxa"/>
            <w:noWrap/>
            <w:hideMark/>
          </w:tcPr>
          <w:p w14:paraId="0DB05EA2"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80</w:t>
            </w:r>
          </w:p>
        </w:tc>
        <w:tc>
          <w:tcPr>
            <w:tcW w:w="5296" w:type="dxa"/>
            <w:hideMark/>
          </w:tcPr>
          <w:p w14:paraId="422B34EF"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How do you define a "project partner" as opposed to an entity that provides a "letter of support" only?</w:t>
            </w:r>
          </w:p>
        </w:tc>
        <w:tc>
          <w:tcPr>
            <w:tcW w:w="8465" w:type="dxa"/>
            <w:hideMark/>
          </w:tcPr>
          <w:p w14:paraId="0E9A84A0" w14:textId="69320839"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 xml:space="preserve">Project partners contribute match funding and/or receive CEC funding for the project, and are included on the project budget </w:t>
            </w:r>
            <w:r w:rsidR="00F502C4" w:rsidRPr="2929DF5F">
              <w:rPr>
                <w:rFonts w:ascii="Arial" w:eastAsia="Times New Roman" w:hAnsi="Arial" w:cs="Arial"/>
                <w:color w:val="000000" w:themeColor="text1"/>
              </w:rPr>
              <w:t xml:space="preserve">(Attachment 04) </w:t>
            </w:r>
            <w:r w:rsidRPr="2929DF5F">
              <w:rPr>
                <w:rFonts w:ascii="Arial" w:eastAsia="Times New Roman" w:hAnsi="Arial" w:cs="Arial"/>
                <w:color w:val="000000" w:themeColor="text1"/>
              </w:rPr>
              <w:t xml:space="preserve">as a </w:t>
            </w:r>
            <w:r w:rsidR="1E43DF55" w:rsidRPr="2929DF5F">
              <w:rPr>
                <w:rFonts w:ascii="Arial" w:eastAsia="Times New Roman" w:hAnsi="Arial" w:cs="Arial"/>
                <w:color w:val="000000" w:themeColor="text1"/>
              </w:rPr>
              <w:t>subrecipient</w:t>
            </w:r>
            <w:r w:rsidR="2BFBD50C" w:rsidRPr="2929DF5F">
              <w:rPr>
                <w:rFonts w:ascii="Arial" w:eastAsia="Times New Roman" w:hAnsi="Arial" w:cs="Arial"/>
                <w:color w:val="000000" w:themeColor="text1"/>
              </w:rPr>
              <w:t>.</w:t>
            </w:r>
            <w:r w:rsidRPr="2929DF5F">
              <w:rPr>
                <w:rFonts w:ascii="Arial" w:eastAsia="Times New Roman" w:hAnsi="Arial" w:cs="Arial"/>
                <w:color w:val="000000" w:themeColor="text1"/>
              </w:rPr>
              <w:t xml:space="preserve"> Those providing letters of support may not necessarily be included on the project budget as a </w:t>
            </w:r>
            <w:r w:rsidR="7BF51C7D" w:rsidRPr="2929DF5F">
              <w:rPr>
                <w:rFonts w:ascii="Arial" w:eastAsia="Times New Roman" w:hAnsi="Arial" w:cs="Arial"/>
                <w:color w:val="000000" w:themeColor="text1"/>
              </w:rPr>
              <w:t>subrecipient</w:t>
            </w:r>
            <w:r w:rsidR="2BFBD50C" w:rsidRPr="2929DF5F">
              <w:rPr>
                <w:rFonts w:ascii="Arial" w:eastAsia="Times New Roman" w:hAnsi="Arial" w:cs="Arial"/>
                <w:color w:val="000000" w:themeColor="text1"/>
              </w:rPr>
              <w:t>.</w:t>
            </w:r>
            <w:r w:rsidRPr="2929DF5F">
              <w:rPr>
                <w:rFonts w:ascii="Arial" w:eastAsia="Times New Roman" w:hAnsi="Arial" w:cs="Arial"/>
                <w:color w:val="000000" w:themeColor="text1"/>
              </w:rPr>
              <w:t xml:space="preserve"> As described in Section III.D.8, "Key project partners identified in the application must provide letters demonstrating their commitment to the proposed project and their ability to fulfill their identified roles ... Any third-party match share contributors must identify the amount of match that will be committed to the project, the funding source(s), and state that the match share contributor will provide the identified match funding ... Applicants may optionally submit letters of support that detail the estimated demand and/or the potential benefits of the proposed project."</w:t>
            </w:r>
          </w:p>
        </w:tc>
      </w:tr>
      <w:tr w:rsidR="00C41799" w:rsidRPr="00271E52" w14:paraId="1F419AAB" w14:textId="77777777" w:rsidTr="00297D16">
        <w:trPr>
          <w:trHeight w:val="1160"/>
        </w:trPr>
        <w:tc>
          <w:tcPr>
            <w:tcW w:w="549" w:type="dxa"/>
            <w:noWrap/>
            <w:hideMark/>
          </w:tcPr>
          <w:p w14:paraId="727CA500"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lastRenderedPageBreak/>
              <w:t>81</w:t>
            </w:r>
          </w:p>
        </w:tc>
        <w:tc>
          <w:tcPr>
            <w:tcW w:w="5296" w:type="dxa"/>
            <w:hideMark/>
          </w:tcPr>
          <w:p w14:paraId="32D2D9C0"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In the transcript of the last live webinar, there is a lot of "This will be answered live". Do you have transcripts of the answers to the questions? Can you please provide it? If not can you respond to key questions as part of your Q&amp;A response?</w:t>
            </w:r>
          </w:p>
        </w:tc>
        <w:tc>
          <w:tcPr>
            <w:tcW w:w="8465" w:type="dxa"/>
            <w:hideMark/>
          </w:tcPr>
          <w:p w14:paraId="5DF87231" w14:textId="58E19AC3"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The workshop recording and transcript are available at </w:t>
            </w:r>
            <w:hyperlink r:id="rId21" w:history="1">
              <w:r w:rsidRPr="00271E52">
                <w:rPr>
                  <w:rStyle w:val="Hyperlink"/>
                  <w:rFonts w:ascii="Arial" w:eastAsia="Times New Roman" w:hAnsi="Arial" w:cs="Arial"/>
                </w:rPr>
                <w:t>https://www.energy.ca.gov/event/funding-workshop/2023-03/pre-application-workshop-gfo-22-609-responsive-easy-charging</w:t>
              </w:r>
            </w:hyperlink>
            <w:r w:rsidRPr="00271E52">
              <w:rPr>
                <w:rFonts w:ascii="Arial" w:eastAsia="Times New Roman" w:hAnsi="Arial" w:cs="Arial"/>
                <w:color w:val="000000"/>
              </w:rPr>
              <w:t>. All questions asked during the workshop are included in this Q&amp;A response.</w:t>
            </w:r>
          </w:p>
        </w:tc>
      </w:tr>
      <w:tr w:rsidR="00C41799" w:rsidRPr="00271E52" w14:paraId="5AD86BCA" w14:textId="77777777" w:rsidTr="00297D16">
        <w:trPr>
          <w:trHeight w:val="870"/>
        </w:trPr>
        <w:tc>
          <w:tcPr>
            <w:tcW w:w="549" w:type="dxa"/>
            <w:noWrap/>
            <w:hideMark/>
          </w:tcPr>
          <w:p w14:paraId="32D755EF"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82</w:t>
            </w:r>
          </w:p>
        </w:tc>
        <w:tc>
          <w:tcPr>
            <w:tcW w:w="5296" w:type="dxa"/>
            <w:hideMark/>
          </w:tcPr>
          <w:p w14:paraId="0A087410"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Are there other materials available from the earlier consultation workshops?</w:t>
            </w:r>
          </w:p>
        </w:tc>
        <w:tc>
          <w:tcPr>
            <w:tcW w:w="8465" w:type="dxa"/>
            <w:hideMark/>
          </w:tcPr>
          <w:p w14:paraId="0159532C" w14:textId="4EAE69B0"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 xml:space="preserve">REDWDS was introduced as a funding concept </w:t>
            </w:r>
            <w:r w:rsidR="00305A8F" w:rsidRPr="2929DF5F">
              <w:rPr>
                <w:rFonts w:ascii="Arial" w:eastAsia="Times New Roman" w:hAnsi="Arial" w:cs="Arial"/>
                <w:color w:val="000000" w:themeColor="text1"/>
              </w:rPr>
              <w:t xml:space="preserve">in </w:t>
            </w:r>
            <w:r w:rsidRPr="2929DF5F">
              <w:rPr>
                <w:rFonts w:ascii="Arial" w:eastAsia="Times New Roman" w:hAnsi="Arial" w:cs="Arial"/>
                <w:color w:val="000000" w:themeColor="text1"/>
              </w:rPr>
              <w:t xml:space="preserve">July </w:t>
            </w:r>
            <w:r w:rsidR="00305A8F" w:rsidRPr="2929DF5F">
              <w:rPr>
                <w:rFonts w:ascii="Arial" w:eastAsia="Times New Roman" w:hAnsi="Arial" w:cs="Arial"/>
                <w:color w:val="000000" w:themeColor="text1"/>
              </w:rPr>
              <w:t xml:space="preserve">2022 </w:t>
            </w:r>
            <w:r w:rsidRPr="2929DF5F">
              <w:rPr>
                <w:rFonts w:ascii="Arial" w:eastAsia="Times New Roman" w:hAnsi="Arial" w:cs="Arial"/>
                <w:color w:val="000000" w:themeColor="text1"/>
              </w:rPr>
              <w:t xml:space="preserve">at a public workshop. </w:t>
            </w:r>
            <w:r w:rsidR="2BFBD50C" w:rsidRPr="2929DF5F">
              <w:rPr>
                <w:rFonts w:ascii="Arial" w:eastAsia="Times New Roman" w:hAnsi="Arial" w:cs="Arial"/>
                <w:color w:val="000000" w:themeColor="text1"/>
              </w:rPr>
              <w:t xml:space="preserve">Materials from that workshop are available at </w:t>
            </w:r>
            <w:hyperlink r:id="rId22">
              <w:r w:rsidR="2BFBD50C" w:rsidRPr="2929DF5F">
                <w:rPr>
                  <w:rStyle w:val="Hyperlink"/>
                  <w:rFonts w:ascii="Arial" w:eastAsia="Times New Roman" w:hAnsi="Arial" w:cs="Arial"/>
                </w:rPr>
                <w:t>https://www.energy.ca.gov/event/workshop/2022-07/workshop-vehicle-grid-integration-market-status-and-funding-concepts</w:t>
              </w:r>
            </w:hyperlink>
            <w:r w:rsidR="2BFBD50C" w:rsidRPr="2929DF5F">
              <w:rPr>
                <w:rFonts w:ascii="Arial" w:eastAsia="Times New Roman" w:hAnsi="Arial" w:cs="Arial"/>
                <w:color w:val="000000" w:themeColor="text1"/>
              </w:rPr>
              <w:t>.</w:t>
            </w:r>
          </w:p>
        </w:tc>
      </w:tr>
      <w:tr w:rsidR="00C41799" w:rsidRPr="00271E52" w14:paraId="1501A478" w14:textId="77777777" w:rsidTr="00297D16">
        <w:trPr>
          <w:trHeight w:val="1160"/>
        </w:trPr>
        <w:tc>
          <w:tcPr>
            <w:tcW w:w="549" w:type="dxa"/>
            <w:noWrap/>
            <w:hideMark/>
          </w:tcPr>
          <w:p w14:paraId="3BAC160D"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83</w:t>
            </w:r>
          </w:p>
        </w:tc>
        <w:tc>
          <w:tcPr>
            <w:tcW w:w="5296" w:type="dxa"/>
            <w:hideMark/>
          </w:tcPr>
          <w:p w14:paraId="53D6C4B7" w14:textId="06C5B6BF"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Can you provide more context to the intended outcome of bonus points for submetering? If you have a site owned by a single owner</w:t>
            </w:r>
            <w:r w:rsidR="7574E9C3" w:rsidRPr="2929DF5F">
              <w:rPr>
                <w:rFonts w:ascii="Arial" w:eastAsia="Times New Roman" w:hAnsi="Arial" w:cs="Arial"/>
                <w:color w:val="000000" w:themeColor="text1"/>
              </w:rPr>
              <w:t>,</w:t>
            </w:r>
            <w:r w:rsidRPr="2929DF5F">
              <w:rPr>
                <w:rFonts w:ascii="Arial" w:eastAsia="Times New Roman" w:hAnsi="Arial" w:cs="Arial"/>
                <w:color w:val="000000" w:themeColor="text1"/>
              </w:rPr>
              <w:t xml:space="preserve"> there may be no benefit in providing sub-metered billing, for example </w:t>
            </w:r>
            <w:r w:rsidR="7574E9C3" w:rsidRPr="2929DF5F">
              <w:rPr>
                <w:rFonts w:ascii="Arial" w:eastAsia="Times New Roman" w:hAnsi="Arial" w:cs="Arial"/>
                <w:color w:val="000000" w:themeColor="text1"/>
              </w:rPr>
              <w:t>at</w:t>
            </w:r>
            <w:r w:rsidRPr="2929DF5F">
              <w:rPr>
                <w:rFonts w:ascii="Arial" w:eastAsia="Times New Roman" w:hAnsi="Arial" w:cs="Arial"/>
                <w:color w:val="000000" w:themeColor="text1"/>
              </w:rPr>
              <w:t xml:space="preserve"> a fleet depot. </w:t>
            </w:r>
          </w:p>
        </w:tc>
        <w:tc>
          <w:tcPr>
            <w:tcW w:w="8465" w:type="dxa"/>
            <w:hideMark/>
          </w:tcPr>
          <w:p w14:paraId="71459212" w14:textId="74B7A4CE"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Submetering may not be useful in all customer deployments. Submetering may support wider adoption of dynamic rates by offering a low</w:t>
            </w:r>
            <w:r w:rsidR="3931FCEF" w:rsidRPr="2929DF5F">
              <w:rPr>
                <w:rFonts w:ascii="Arial" w:eastAsia="Times New Roman" w:hAnsi="Arial" w:cs="Arial"/>
                <w:color w:val="000000" w:themeColor="text1"/>
              </w:rPr>
              <w:t>-</w:t>
            </w:r>
            <w:r w:rsidRPr="2929DF5F">
              <w:rPr>
                <w:rFonts w:ascii="Arial" w:eastAsia="Times New Roman" w:hAnsi="Arial" w:cs="Arial"/>
                <w:color w:val="000000" w:themeColor="text1"/>
              </w:rPr>
              <w:t>cost method of enabling customers to enroll only their EV charger on a dynamic rate</w:t>
            </w:r>
            <w:r w:rsidR="5C29F402" w:rsidRPr="2929DF5F">
              <w:rPr>
                <w:rFonts w:ascii="Arial" w:eastAsia="Times New Roman" w:hAnsi="Arial" w:cs="Arial"/>
                <w:color w:val="000000" w:themeColor="text1"/>
              </w:rPr>
              <w:t>,</w:t>
            </w:r>
            <w:r w:rsidRPr="2929DF5F">
              <w:rPr>
                <w:rFonts w:ascii="Arial" w:eastAsia="Times New Roman" w:hAnsi="Arial" w:cs="Arial"/>
                <w:color w:val="000000" w:themeColor="text1"/>
              </w:rPr>
              <w:t xml:space="preserve"> while leaving the rest of the site or home on </w:t>
            </w:r>
            <w:r w:rsidR="2BFBD50C" w:rsidRPr="2929DF5F">
              <w:rPr>
                <w:rFonts w:ascii="Arial" w:eastAsia="Times New Roman" w:hAnsi="Arial" w:cs="Arial"/>
                <w:color w:val="000000" w:themeColor="text1"/>
              </w:rPr>
              <w:t xml:space="preserve">the </w:t>
            </w:r>
            <w:r w:rsidRPr="2929DF5F">
              <w:rPr>
                <w:rFonts w:ascii="Arial" w:eastAsia="Times New Roman" w:hAnsi="Arial" w:cs="Arial"/>
                <w:color w:val="000000" w:themeColor="text1"/>
              </w:rPr>
              <w:t xml:space="preserve">existing rate. Given this and the </w:t>
            </w:r>
            <w:r w:rsidR="00354511" w:rsidRPr="2929DF5F">
              <w:rPr>
                <w:rFonts w:ascii="Arial" w:eastAsia="Times New Roman" w:hAnsi="Arial" w:cs="Arial"/>
                <w:color w:val="000000" w:themeColor="text1"/>
              </w:rPr>
              <w:t>California</w:t>
            </w:r>
            <w:r w:rsidRPr="2929DF5F">
              <w:rPr>
                <w:rFonts w:ascii="Arial" w:eastAsia="Times New Roman" w:hAnsi="Arial" w:cs="Arial"/>
                <w:color w:val="000000" w:themeColor="text1"/>
              </w:rPr>
              <w:t xml:space="preserve"> Public </w:t>
            </w:r>
            <w:r w:rsidR="2BFBD50C" w:rsidRPr="2929DF5F">
              <w:rPr>
                <w:rFonts w:ascii="Arial" w:eastAsia="Times New Roman" w:hAnsi="Arial" w:cs="Arial"/>
                <w:color w:val="000000" w:themeColor="text1"/>
              </w:rPr>
              <w:t>Utilit</w:t>
            </w:r>
            <w:r w:rsidR="5C29F402" w:rsidRPr="2929DF5F">
              <w:rPr>
                <w:rFonts w:ascii="Arial" w:eastAsia="Times New Roman" w:hAnsi="Arial" w:cs="Arial"/>
                <w:color w:val="000000" w:themeColor="text1"/>
              </w:rPr>
              <w:t>ies</w:t>
            </w:r>
            <w:r w:rsidRPr="2929DF5F">
              <w:rPr>
                <w:rFonts w:ascii="Arial" w:eastAsia="Times New Roman" w:hAnsi="Arial" w:cs="Arial"/>
                <w:color w:val="000000" w:themeColor="text1"/>
              </w:rPr>
              <w:t xml:space="preserve"> Commission's approval of a submetering protocol in 2022, REDWDS considers submetering capabilities in the evaluation criteria.</w:t>
            </w:r>
          </w:p>
        </w:tc>
      </w:tr>
      <w:tr w:rsidR="00C41799" w:rsidRPr="00271E52" w14:paraId="60315434" w14:textId="77777777" w:rsidTr="00297D16">
        <w:trPr>
          <w:trHeight w:val="1740"/>
        </w:trPr>
        <w:tc>
          <w:tcPr>
            <w:tcW w:w="549" w:type="dxa"/>
            <w:noWrap/>
            <w:hideMark/>
          </w:tcPr>
          <w:p w14:paraId="7B0F40AB"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84</w:t>
            </w:r>
          </w:p>
        </w:tc>
        <w:tc>
          <w:tcPr>
            <w:tcW w:w="5296" w:type="dxa"/>
            <w:hideMark/>
          </w:tcPr>
          <w:p w14:paraId="1330DF5A"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The application manual states: "Aggregation systems using vehicle telematics must be interoperable with multiple vehicle manufacturers." Does this simply mean that aggregation systems must work with at least two manufacturers, if using vehicle telematics for control?</w:t>
            </w:r>
          </w:p>
        </w:tc>
        <w:tc>
          <w:tcPr>
            <w:tcW w:w="8465" w:type="dxa"/>
            <w:hideMark/>
          </w:tcPr>
          <w:p w14:paraId="54F543A8"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Yes. The minimum requirement is that aggregation systems using vehicle telematics for control must work with at least two vehicle manufacturers. As described in Section IV.E.7, "Applications will be evaluated on how the product meets the minimum interoperability requirements. Applications will be evaluated on the degree to which the Applicant describes how CEC funds will help improve interoperability. Applications will be evaluated on the degree to which the Applicant describes how the product functions with multiple EVs and/or EVSE brands," and "quantifies and lists the EV and/or EVSE brands supported by the product."</w:t>
            </w:r>
          </w:p>
        </w:tc>
      </w:tr>
      <w:tr w:rsidR="00C41799" w:rsidRPr="00271E52" w14:paraId="41BA2428" w14:textId="77777777" w:rsidTr="00297D16">
        <w:trPr>
          <w:trHeight w:val="1450"/>
        </w:trPr>
        <w:tc>
          <w:tcPr>
            <w:tcW w:w="549" w:type="dxa"/>
            <w:noWrap/>
            <w:hideMark/>
          </w:tcPr>
          <w:p w14:paraId="5F78365D"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85</w:t>
            </w:r>
          </w:p>
        </w:tc>
        <w:tc>
          <w:tcPr>
            <w:tcW w:w="5296" w:type="dxa"/>
            <w:hideMark/>
          </w:tcPr>
          <w:p w14:paraId="21CA8812" w14:textId="79C50C88"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Do aggregators and automation service providers need to work through vehicle telematics</w:t>
            </w:r>
            <w:r w:rsidR="23827350" w:rsidRPr="2929DF5F">
              <w:rPr>
                <w:rFonts w:ascii="Arial" w:eastAsia="Times New Roman" w:hAnsi="Arial" w:cs="Arial"/>
                <w:color w:val="000000" w:themeColor="text1"/>
              </w:rPr>
              <w:t>,</w:t>
            </w:r>
            <w:r w:rsidRPr="2929DF5F">
              <w:rPr>
                <w:rFonts w:ascii="Arial" w:eastAsia="Times New Roman" w:hAnsi="Arial" w:cs="Arial"/>
                <w:color w:val="000000" w:themeColor="text1"/>
              </w:rPr>
              <w:t xml:space="preserve"> or can control be via EVSE, or both? If control is through EVSEs, is there a requirement of demonstration that the solution works for multiple EVSE brands?</w:t>
            </w:r>
          </w:p>
        </w:tc>
        <w:tc>
          <w:tcPr>
            <w:tcW w:w="8465" w:type="dxa"/>
            <w:hideMark/>
          </w:tcPr>
          <w:p w14:paraId="71D2DECC" w14:textId="316185C9"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REDWDS does not specify a particular control pathway. However, REDWDS does specify minimum interoperability requirements</w:t>
            </w:r>
            <w:r w:rsidR="0079549D" w:rsidRPr="2929DF5F">
              <w:rPr>
                <w:rFonts w:ascii="Arial" w:eastAsia="Times New Roman" w:hAnsi="Arial" w:cs="Arial"/>
                <w:color w:val="000000" w:themeColor="text1"/>
              </w:rPr>
              <w:t xml:space="preserve"> and </w:t>
            </w:r>
            <w:r w:rsidR="798F3612" w:rsidRPr="2929DF5F">
              <w:rPr>
                <w:rFonts w:ascii="Arial" w:eastAsia="Times New Roman" w:hAnsi="Arial" w:cs="Arial"/>
                <w:color w:val="000000" w:themeColor="text1"/>
              </w:rPr>
              <w:t xml:space="preserve">that </w:t>
            </w:r>
            <w:r w:rsidR="0079549D" w:rsidRPr="2929DF5F">
              <w:rPr>
                <w:rFonts w:ascii="Arial" w:eastAsia="Times New Roman" w:hAnsi="Arial" w:cs="Arial"/>
                <w:color w:val="000000" w:themeColor="text1"/>
              </w:rPr>
              <w:t>products controlling EVSE must be OCPP compliant and certified</w:t>
            </w:r>
            <w:r w:rsidRPr="2929DF5F">
              <w:rPr>
                <w:rFonts w:ascii="Arial" w:eastAsia="Times New Roman" w:hAnsi="Arial" w:cs="Arial"/>
                <w:color w:val="000000" w:themeColor="text1"/>
              </w:rPr>
              <w:t>. As described in Section II.B.1-4, charging station management system and EVSE products "must be compliant with OCPP and certified by the Open Charge Alliance. Products must support network migration without the need for additional fees, tools, or site visits. EVSE products should also be capable of using ISO 15118 to automatically retrieve energy and departure time requests from compatible vehicles."</w:t>
            </w:r>
          </w:p>
        </w:tc>
      </w:tr>
      <w:tr w:rsidR="00C41799" w:rsidRPr="00271E52" w14:paraId="779ACA27" w14:textId="77777777" w:rsidTr="00297D16">
        <w:trPr>
          <w:trHeight w:val="580"/>
        </w:trPr>
        <w:tc>
          <w:tcPr>
            <w:tcW w:w="549" w:type="dxa"/>
            <w:noWrap/>
            <w:hideMark/>
          </w:tcPr>
          <w:p w14:paraId="1D09E9AD"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86</w:t>
            </w:r>
          </w:p>
        </w:tc>
        <w:tc>
          <w:tcPr>
            <w:tcW w:w="5296" w:type="dxa"/>
            <w:hideMark/>
          </w:tcPr>
          <w:p w14:paraId="20564ED7"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 xml:space="preserve">What is the earliest an EVSE can be installed in order to qualify for bonus credits for high powered charging or V2G? </w:t>
            </w:r>
          </w:p>
        </w:tc>
        <w:tc>
          <w:tcPr>
            <w:tcW w:w="8465" w:type="dxa"/>
            <w:hideMark/>
          </w:tcPr>
          <w:p w14:paraId="2A1B6267" w14:textId="100A2AC8"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REDWDS does not specify EVSE installation date requirements. However, as described in Section I.D, Phase 1 activities must complete by March 31, 2026, and Phase 2 activities must complete by March 31, 2029.</w:t>
            </w:r>
          </w:p>
        </w:tc>
      </w:tr>
      <w:tr w:rsidR="00C41799" w:rsidRPr="00271E52" w14:paraId="1243FADC" w14:textId="77777777" w:rsidTr="00297D16">
        <w:trPr>
          <w:trHeight w:val="1160"/>
        </w:trPr>
        <w:tc>
          <w:tcPr>
            <w:tcW w:w="549" w:type="dxa"/>
            <w:noWrap/>
            <w:hideMark/>
          </w:tcPr>
          <w:p w14:paraId="084A37FA"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87</w:t>
            </w:r>
          </w:p>
        </w:tc>
        <w:tc>
          <w:tcPr>
            <w:tcW w:w="5296" w:type="dxa"/>
            <w:hideMark/>
          </w:tcPr>
          <w:p w14:paraId="22522466" w14:textId="06139FB7"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 xml:space="preserve">Are there any restrictions on an international company to </w:t>
            </w:r>
            <w:r w:rsidR="29740A64" w:rsidRPr="2929DF5F">
              <w:rPr>
                <w:rFonts w:ascii="Arial" w:eastAsia="Times New Roman" w:hAnsi="Arial" w:cs="Arial"/>
                <w:color w:val="000000" w:themeColor="text1"/>
              </w:rPr>
              <w:t>apply to</w:t>
            </w:r>
            <w:r w:rsidRPr="2929DF5F">
              <w:rPr>
                <w:rFonts w:ascii="Arial" w:eastAsia="Times New Roman" w:hAnsi="Arial" w:cs="Arial"/>
                <w:color w:val="000000" w:themeColor="text1"/>
              </w:rPr>
              <w:t xml:space="preserve"> this GFO, either as prime or sub?  </w:t>
            </w:r>
            <w:r w:rsidR="16E5EA99" w:rsidRPr="2929DF5F">
              <w:rPr>
                <w:rFonts w:ascii="Arial" w:eastAsia="Times New Roman" w:hAnsi="Arial" w:cs="Arial"/>
                <w:color w:val="000000" w:themeColor="text1"/>
              </w:rPr>
              <w:t>Must</w:t>
            </w:r>
            <w:r w:rsidRPr="2929DF5F">
              <w:rPr>
                <w:rFonts w:ascii="Arial" w:eastAsia="Times New Roman" w:hAnsi="Arial" w:cs="Arial"/>
                <w:color w:val="000000" w:themeColor="text1"/>
              </w:rPr>
              <w:t xml:space="preserve"> they have a formal U.S. presence?  A formal California presence? This assumes that all California spending requirements are met or exceeded.</w:t>
            </w:r>
          </w:p>
        </w:tc>
        <w:tc>
          <w:tcPr>
            <w:tcW w:w="8465" w:type="dxa"/>
            <w:hideMark/>
          </w:tcPr>
          <w:p w14:paraId="309FFAA7" w14:textId="1B4999B9" w:rsidR="00C41799" w:rsidRPr="00271E52" w:rsidRDefault="719B6F4C" w:rsidP="3718F3BB">
            <w:pPr>
              <w:rPr>
                <w:rFonts w:ascii="Arial" w:eastAsia="Arial" w:hAnsi="Arial" w:cs="Arial"/>
              </w:rPr>
            </w:pPr>
            <w:r w:rsidRPr="4FBA2FAC">
              <w:rPr>
                <w:rFonts w:ascii="Arial" w:eastAsia="Times New Roman" w:hAnsi="Arial" w:cs="Arial"/>
                <w:color w:val="000000" w:themeColor="text1"/>
              </w:rPr>
              <w:t xml:space="preserve">Yes to all questions. Please refer to the solicitation’s Application Manual, including Section II.A.3. </w:t>
            </w:r>
            <w:r w:rsidRPr="009423B2">
              <w:rPr>
                <w:rFonts w:ascii="Arial" w:eastAsia="Arial" w:hAnsi="Arial" w:cs="Arial"/>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 CEC Business Meeting. If not </w:t>
            </w:r>
            <w:r w:rsidRPr="00077BD1">
              <w:rPr>
                <w:rFonts w:ascii="Arial" w:eastAsia="Arial" w:hAnsi="Arial" w:cs="Arial"/>
              </w:rPr>
              <w:t xml:space="preserve">currently registered with the California Secretary of </w:t>
            </w:r>
            <w:r w:rsidRPr="00077BD1">
              <w:rPr>
                <w:rFonts w:ascii="Arial" w:eastAsia="Arial" w:hAnsi="Arial" w:cs="Arial"/>
              </w:rPr>
              <w:lastRenderedPageBreak/>
              <w:t xml:space="preserve">State, Applicants are encouraged to contact the Secretary of State’s Office as soon as possible to avoid potential delays in beginning the proposed project(s) (should the application be proposed for funding). For more information, contact the Secretary of State’s Office via </w:t>
            </w:r>
            <w:hyperlink r:id="rId23" w:history="1">
              <w:r w:rsidRPr="00077BD1">
                <w:rPr>
                  <w:rStyle w:val="Hyperlink"/>
                  <w:rFonts w:ascii="Arial" w:eastAsia="Arial" w:hAnsi="Arial" w:cs="Arial"/>
                </w:rPr>
                <w:t>the Secretary of State’s Office website</w:t>
              </w:r>
            </w:hyperlink>
            <w:r w:rsidRPr="00077BD1">
              <w:rPr>
                <w:rFonts w:ascii="Arial" w:eastAsia="Arial" w:hAnsi="Arial" w:cs="Arial"/>
              </w:rPr>
              <w:t xml:space="preserve"> at </w:t>
            </w:r>
            <w:hyperlink r:id="rId24" w:history="1">
              <w:r w:rsidRPr="00077BD1">
                <w:rPr>
                  <w:rStyle w:val="Hyperlink"/>
                  <w:rFonts w:ascii="Arial" w:eastAsia="Arial" w:hAnsi="Arial" w:cs="Arial"/>
                </w:rPr>
                <w:t>www.sos.ca.gov</w:t>
              </w:r>
            </w:hyperlink>
            <w:r w:rsidRPr="00077BD1">
              <w:rPr>
                <w:rFonts w:ascii="Arial" w:eastAsia="Arial" w:hAnsi="Arial" w:cs="Arial"/>
              </w:rPr>
              <w:t>. Sole proprietors using a fictitious business name must be registered with the appropriate county and provide evidence of registration to CEC prior to their project being recommended for approval at a</w:t>
            </w:r>
            <w:r w:rsidRPr="009423B2">
              <w:rPr>
                <w:rFonts w:ascii="Arial" w:eastAsia="Arial" w:hAnsi="Arial" w:cs="Arial"/>
              </w:rPr>
              <w:t xml:space="preserve"> CEC Business Meeting.</w:t>
            </w:r>
          </w:p>
          <w:p w14:paraId="444B27D5" w14:textId="3E5843C4" w:rsidR="00C41799" w:rsidRPr="00271E52" w:rsidRDefault="00C41799" w:rsidP="00C41799">
            <w:pPr>
              <w:rPr>
                <w:rFonts w:ascii="Arial" w:eastAsia="Times New Roman" w:hAnsi="Arial" w:cs="Arial"/>
                <w:color w:val="000000" w:themeColor="text1"/>
              </w:rPr>
            </w:pPr>
          </w:p>
        </w:tc>
      </w:tr>
      <w:tr w:rsidR="00C41799" w:rsidRPr="00271E52" w14:paraId="6FA96AD0" w14:textId="77777777" w:rsidTr="00297D16">
        <w:trPr>
          <w:trHeight w:val="870"/>
        </w:trPr>
        <w:tc>
          <w:tcPr>
            <w:tcW w:w="549" w:type="dxa"/>
            <w:noWrap/>
            <w:hideMark/>
          </w:tcPr>
          <w:p w14:paraId="54FB93A6"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lastRenderedPageBreak/>
              <w:t>88</w:t>
            </w:r>
          </w:p>
        </w:tc>
        <w:tc>
          <w:tcPr>
            <w:tcW w:w="5296" w:type="dxa"/>
            <w:hideMark/>
          </w:tcPr>
          <w:p w14:paraId="525C3D51" w14:textId="2C3749C8"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What is the most expedient way for a company submitting its first CEC proposal as prime to obtain CEC approval for its indirect rates and other budget-relevant items?</w:t>
            </w:r>
          </w:p>
        </w:tc>
        <w:tc>
          <w:tcPr>
            <w:tcW w:w="8465" w:type="dxa"/>
            <w:hideMark/>
          </w:tcPr>
          <w:p w14:paraId="37A9297D" w14:textId="7C3F90BC" w:rsidR="00C41799" w:rsidRPr="00A217CA" w:rsidRDefault="00F06827" w:rsidP="00C41799">
            <w:pPr>
              <w:rPr>
                <w:rFonts w:ascii="Arial" w:eastAsia="Times New Roman" w:hAnsi="Arial" w:cs="Arial"/>
                <w:color w:val="000000"/>
              </w:rPr>
            </w:pPr>
            <w:r w:rsidRPr="00F06827">
              <w:rPr>
                <w:rFonts w:ascii="Arial" w:eastAsia="Times New Roman" w:hAnsi="Arial" w:cs="Arial"/>
                <w:color w:val="000000"/>
              </w:rPr>
              <w:t xml:space="preserve">The prime </w:t>
            </w:r>
            <w:r>
              <w:rPr>
                <w:rFonts w:ascii="Arial" w:eastAsia="Times New Roman" w:hAnsi="Arial" w:cs="Arial"/>
                <w:color w:val="000000"/>
              </w:rPr>
              <w:t>applicant must</w:t>
            </w:r>
            <w:r w:rsidRPr="00F06827">
              <w:rPr>
                <w:rFonts w:ascii="Arial" w:eastAsia="Times New Roman" w:hAnsi="Arial" w:cs="Arial"/>
                <w:color w:val="000000"/>
              </w:rPr>
              <w:t xml:space="preserve"> submit a complete budget (</w:t>
            </w:r>
            <w:r w:rsidR="003D2970">
              <w:rPr>
                <w:rFonts w:ascii="Arial" w:eastAsia="Times New Roman" w:hAnsi="Arial" w:cs="Arial"/>
                <w:color w:val="000000"/>
              </w:rPr>
              <w:t>a</w:t>
            </w:r>
            <w:r w:rsidRPr="00F06827">
              <w:rPr>
                <w:rFonts w:ascii="Arial" w:eastAsia="Times New Roman" w:hAnsi="Arial" w:cs="Arial"/>
                <w:color w:val="000000"/>
              </w:rPr>
              <w:t xml:space="preserve"> separate Budget Form is also required for each subcontractor (subrecipient) requesting $100,000 or more in CEC funds). See Attachment 4, Instructions tab, for instructions on completing the budget form. Also, for support on how to complete the budget template, please visit the ECAMS Resources web page and see the ECAMS Frequently Asked Questions at the following link: </w:t>
            </w:r>
            <w:hyperlink r:id="rId25" w:history="1">
              <w:r w:rsidRPr="005F6A6B">
                <w:rPr>
                  <w:rStyle w:val="Hyperlink"/>
                  <w:rFonts w:ascii="Arial" w:eastAsia="Times New Roman" w:hAnsi="Arial" w:cs="Arial"/>
                </w:rPr>
                <w:t>https://www.energy.ca.gov/funding-opportunities/funding-resources/ecams-resources</w:t>
              </w:r>
            </w:hyperlink>
            <w:r>
              <w:rPr>
                <w:rFonts w:ascii="Arial" w:eastAsia="Times New Roman" w:hAnsi="Arial" w:cs="Arial"/>
                <w:color w:val="000000"/>
              </w:rPr>
              <w:t xml:space="preserve">. </w:t>
            </w:r>
          </w:p>
        </w:tc>
      </w:tr>
      <w:tr w:rsidR="00C41799" w:rsidRPr="00271E52" w14:paraId="0C738EF0" w14:textId="77777777" w:rsidTr="00297D16">
        <w:trPr>
          <w:trHeight w:val="580"/>
        </w:trPr>
        <w:tc>
          <w:tcPr>
            <w:tcW w:w="549" w:type="dxa"/>
            <w:noWrap/>
            <w:hideMark/>
          </w:tcPr>
          <w:p w14:paraId="51739590"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89</w:t>
            </w:r>
          </w:p>
        </w:tc>
        <w:tc>
          <w:tcPr>
            <w:tcW w:w="5296" w:type="dxa"/>
            <w:hideMark/>
          </w:tcPr>
          <w:p w14:paraId="5A3D93A5"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Is in-kind labor conducted outside of the United States---if appropriately tracked---eligible for cost share?</w:t>
            </w:r>
          </w:p>
        </w:tc>
        <w:tc>
          <w:tcPr>
            <w:tcW w:w="8465" w:type="dxa"/>
            <w:hideMark/>
          </w:tcPr>
          <w:p w14:paraId="06C17386" w14:textId="7CC5CD24" w:rsidR="00C41799" w:rsidRPr="00271E52" w:rsidRDefault="180E8B69" w:rsidP="4FBA2FAC">
            <w:pPr>
              <w:rPr>
                <w:rFonts w:ascii="Arial" w:eastAsia="Times New Roman" w:hAnsi="Arial" w:cs="Arial"/>
                <w:color w:val="000000" w:themeColor="text1"/>
              </w:rPr>
            </w:pPr>
            <w:r w:rsidRPr="4FBA2FAC">
              <w:rPr>
                <w:rFonts w:ascii="Arial" w:eastAsia="Times New Roman" w:hAnsi="Arial" w:cs="Arial"/>
                <w:color w:val="000000" w:themeColor="text1"/>
              </w:rPr>
              <w:t xml:space="preserve">Section II.D.3 defines In-Kind Match Share as </w:t>
            </w:r>
            <w:r w:rsidR="1BF4F5E0" w:rsidRPr="4FBA2FAC">
              <w:rPr>
                <w:rFonts w:ascii="Arial" w:eastAsia="Times New Roman" w:hAnsi="Arial" w:cs="Arial"/>
                <w:color w:val="000000" w:themeColor="text1"/>
              </w:rPr>
              <w:t xml:space="preserve">follows: </w:t>
            </w:r>
          </w:p>
          <w:p w14:paraId="2495D972" w14:textId="1A95D749" w:rsidR="00C41799" w:rsidRPr="00271E52" w:rsidRDefault="00C41799" w:rsidP="4FBA2FAC">
            <w:pPr>
              <w:rPr>
                <w:rFonts w:ascii="Arial" w:eastAsia="Times New Roman" w:hAnsi="Arial" w:cs="Arial"/>
                <w:color w:val="000000" w:themeColor="text1"/>
              </w:rPr>
            </w:pPr>
          </w:p>
          <w:p w14:paraId="53F98D04" w14:textId="3619F79C" w:rsidR="00C41799" w:rsidRPr="00271E52" w:rsidRDefault="1BBEEC30" w:rsidP="4FBA2FAC">
            <w:pPr>
              <w:rPr>
                <w:rFonts w:ascii="Arial" w:eastAsia="Arial" w:hAnsi="Arial" w:cs="Arial"/>
              </w:rPr>
            </w:pPr>
            <w:r w:rsidRPr="4FBA2FAC">
              <w:rPr>
                <w:rFonts w:ascii="Arial" w:eastAsia="Arial" w:hAnsi="Arial" w:cs="Arial"/>
              </w:rPr>
              <w:t>“</w:t>
            </w:r>
            <w:r w:rsidR="1BF4F5E0" w:rsidRPr="009423B2">
              <w:rPr>
                <w:rFonts w:ascii="Arial" w:eastAsia="Arial" w:hAnsi="Arial" w:cs="Arial"/>
              </w:rPr>
              <w:t>1) non-cash contributions provided by the Applicant; 2) cash or non-cash contributions provided by a subrecipient; and 3) cash or non-cash contributions provided by other third parties. Applicant in-kind match share can be in the form of volunteer labor, real property, existing equipment, existing supplies, services provided by a third-party or subcontract, and other expendable property. The value of in-kind match is based on the fair market value of the goods and services provided at the time it is claimed as match. In-kind match share must be included in the approved agreement budget and supported with appropriate documentation. Cost allocations must be reasonable and allocable to the proposed project.</w:t>
            </w:r>
            <w:r w:rsidR="50FC56C0" w:rsidRPr="4FBA2FAC">
              <w:rPr>
                <w:rFonts w:ascii="Arial" w:eastAsia="Arial" w:hAnsi="Arial" w:cs="Arial"/>
              </w:rPr>
              <w:t>"</w:t>
            </w:r>
          </w:p>
          <w:p w14:paraId="08558ECF" w14:textId="4360EAAA" w:rsidR="00C41799" w:rsidRPr="00271E52" w:rsidRDefault="00C41799" w:rsidP="4FBA2FAC">
            <w:pPr>
              <w:rPr>
                <w:rFonts w:ascii="Arial" w:eastAsia="Arial" w:hAnsi="Arial" w:cs="Arial"/>
              </w:rPr>
            </w:pPr>
          </w:p>
          <w:p w14:paraId="026A8384" w14:textId="12F9D349" w:rsidR="00C41799" w:rsidRPr="00271E52" w:rsidRDefault="50FC56C0" w:rsidP="4FBA2FAC">
            <w:pPr>
              <w:rPr>
                <w:rFonts w:ascii="Arial" w:eastAsia="Arial" w:hAnsi="Arial" w:cs="Arial"/>
              </w:rPr>
            </w:pPr>
            <w:r w:rsidRPr="4FBA2FAC">
              <w:rPr>
                <w:rFonts w:ascii="Arial" w:eastAsia="Arial" w:hAnsi="Arial" w:cs="Arial"/>
              </w:rPr>
              <w:t>Al</w:t>
            </w:r>
            <w:r w:rsidR="7B32FAEA" w:rsidRPr="4FBA2FAC">
              <w:rPr>
                <w:rFonts w:ascii="Arial" w:eastAsia="Arial" w:hAnsi="Arial" w:cs="Arial"/>
              </w:rPr>
              <w:t>l</w:t>
            </w:r>
            <w:r w:rsidR="62F8E6E2" w:rsidRPr="4FBA2FAC">
              <w:rPr>
                <w:rFonts w:ascii="Arial" w:eastAsia="Arial" w:hAnsi="Arial" w:cs="Arial"/>
              </w:rPr>
              <w:t xml:space="preserve"> applicant requirements, and all</w:t>
            </w:r>
            <w:r w:rsidR="7B32FAEA" w:rsidRPr="4FBA2FAC">
              <w:rPr>
                <w:rFonts w:ascii="Arial" w:eastAsia="Arial" w:hAnsi="Arial" w:cs="Arial"/>
              </w:rPr>
              <w:t xml:space="preserve"> Agreement requirements and terms</w:t>
            </w:r>
            <w:r w:rsidR="4ECA8D26" w:rsidRPr="4FBA2FAC">
              <w:rPr>
                <w:rFonts w:ascii="Arial" w:eastAsia="Arial" w:hAnsi="Arial" w:cs="Arial"/>
              </w:rPr>
              <w:t>,</w:t>
            </w:r>
            <w:r w:rsidR="7B32FAEA" w:rsidRPr="4FBA2FAC">
              <w:rPr>
                <w:rFonts w:ascii="Arial" w:eastAsia="Arial" w:hAnsi="Arial" w:cs="Arial"/>
              </w:rPr>
              <w:t xml:space="preserve"> would remain applicable to all costs</w:t>
            </w:r>
            <w:r w:rsidR="5E0D922E" w:rsidRPr="4FBA2FAC">
              <w:rPr>
                <w:rFonts w:ascii="Arial" w:eastAsia="Arial" w:hAnsi="Arial" w:cs="Arial"/>
              </w:rPr>
              <w:t>,</w:t>
            </w:r>
            <w:r w:rsidR="7B32FAEA" w:rsidRPr="4FBA2FAC">
              <w:rPr>
                <w:rFonts w:ascii="Arial" w:eastAsia="Arial" w:hAnsi="Arial" w:cs="Arial"/>
              </w:rPr>
              <w:t xml:space="preserve"> including but not limited to </w:t>
            </w:r>
            <w:r w:rsidR="029E3396" w:rsidRPr="4FBA2FAC">
              <w:rPr>
                <w:rFonts w:ascii="Arial" w:eastAsia="Arial" w:hAnsi="Arial" w:cs="Arial"/>
              </w:rPr>
              <w:t xml:space="preserve">applicable </w:t>
            </w:r>
            <w:r w:rsidR="6A801B8D" w:rsidRPr="4FBA2FAC">
              <w:rPr>
                <w:rFonts w:ascii="Arial" w:eastAsia="Arial" w:hAnsi="Arial" w:cs="Arial"/>
              </w:rPr>
              <w:t xml:space="preserve">federal </w:t>
            </w:r>
            <w:r w:rsidR="4C0DE7B0" w:rsidRPr="4FBA2FAC">
              <w:rPr>
                <w:rFonts w:ascii="Arial" w:eastAsia="Arial" w:hAnsi="Arial" w:cs="Arial"/>
              </w:rPr>
              <w:t xml:space="preserve">regulations </w:t>
            </w:r>
            <w:r w:rsidR="6A801B8D" w:rsidRPr="4FBA2FAC">
              <w:rPr>
                <w:rFonts w:ascii="Arial" w:eastAsia="Arial" w:hAnsi="Arial" w:cs="Arial"/>
              </w:rPr>
              <w:t xml:space="preserve">and </w:t>
            </w:r>
            <w:r w:rsidR="7B32FAEA" w:rsidRPr="4FBA2FAC">
              <w:rPr>
                <w:rFonts w:ascii="Arial" w:eastAsia="Arial" w:hAnsi="Arial" w:cs="Arial"/>
              </w:rPr>
              <w:t>prevailing wage requirements</w:t>
            </w:r>
            <w:r w:rsidR="3EFD98FA" w:rsidRPr="4FBA2FAC">
              <w:rPr>
                <w:rFonts w:ascii="Arial" w:eastAsia="Arial" w:hAnsi="Arial" w:cs="Arial"/>
              </w:rPr>
              <w:t xml:space="preserve"> if applicable</w:t>
            </w:r>
            <w:r w:rsidR="7B32FAEA" w:rsidRPr="4FBA2FAC">
              <w:rPr>
                <w:rFonts w:ascii="Arial" w:eastAsia="Arial" w:hAnsi="Arial" w:cs="Arial"/>
              </w:rPr>
              <w:t xml:space="preserve">. </w:t>
            </w:r>
            <w:r w:rsidR="071743DB" w:rsidRPr="4FBA2FAC">
              <w:rPr>
                <w:rFonts w:ascii="Arial" w:eastAsia="Arial" w:hAnsi="Arial" w:cs="Arial"/>
              </w:rPr>
              <w:t xml:space="preserve"> </w:t>
            </w:r>
          </w:p>
          <w:p w14:paraId="5EACBBC8" w14:textId="27284B70" w:rsidR="00C41799" w:rsidRPr="00271E52" w:rsidRDefault="00C41799" w:rsidP="4FBA2FAC">
            <w:pPr>
              <w:rPr>
                <w:rFonts w:ascii="Arial" w:eastAsia="Arial" w:hAnsi="Arial" w:cs="Arial"/>
              </w:rPr>
            </w:pPr>
          </w:p>
          <w:p w14:paraId="59302572" w14:textId="64161C7B" w:rsidR="00C41799" w:rsidRPr="00271E52" w:rsidRDefault="2D38091D" w:rsidP="4FBA2FAC">
            <w:pPr>
              <w:rPr>
                <w:rFonts w:ascii="Arial" w:eastAsia="Arial" w:hAnsi="Arial" w:cs="Arial"/>
              </w:rPr>
            </w:pPr>
            <w:r w:rsidRPr="4FBA2FAC">
              <w:rPr>
                <w:rFonts w:ascii="Arial" w:eastAsia="Arial" w:hAnsi="Arial" w:cs="Arial"/>
              </w:rPr>
              <w:t xml:space="preserve">Support for all costs claimed must be provided (e.g., timesheets for labor). </w:t>
            </w:r>
          </w:p>
          <w:p w14:paraId="6EBD3315" w14:textId="23B812BC" w:rsidR="00C41799" w:rsidRPr="00271E52" w:rsidRDefault="00C41799" w:rsidP="4FBA2FAC">
            <w:pPr>
              <w:rPr>
                <w:rFonts w:ascii="Arial" w:eastAsia="Arial" w:hAnsi="Arial" w:cs="Arial"/>
              </w:rPr>
            </w:pPr>
          </w:p>
          <w:p w14:paraId="79A79CB2" w14:textId="0E51F52D" w:rsidR="00C41799" w:rsidRPr="00271E52" w:rsidRDefault="205199B8" w:rsidP="4FBA2FAC">
            <w:pPr>
              <w:rPr>
                <w:rFonts w:ascii="Arial" w:eastAsia="Arial" w:hAnsi="Arial" w:cs="Arial"/>
              </w:rPr>
            </w:pPr>
            <w:r w:rsidRPr="4FBA2FAC">
              <w:rPr>
                <w:rFonts w:ascii="Arial" w:eastAsia="Arial" w:hAnsi="Arial" w:cs="Arial"/>
              </w:rPr>
              <w:t xml:space="preserve">Also, all deployments must be in California. </w:t>
            </w:r>
          </w:p>
          <w:p w14:paraId="07561516" w14:textId="65A7792E" w:rsidR="00C41799" w:rsidRPr="009423B2" w:rsidRDefault="00C41799" w:rsidP="00C41799">
            <w:pPr>
              <w:rPr>
                <w:rFonts w:ascii="Arial" w:eastAsia="Arial" w:hAnsi="Arial" w:cs="Arial"/>
              </w:rPr>
            </w:pPr>
          </w:p>
        </w:tc>
      </w:tr>
      <w:tr w:rsidR="00C41799" w:rsidRPr="00271E52" w14:paraId="4C45BC52" w14:textId="77777777" w:rsidTr="00297D16">
        <w:trPr>
          <w:trHeight w:val="870"/>
        </w:trPr>
        <w:tc>
          <w:tcPr>
            <w:tcW w:w="549" w:type="dxa"/>
            <w:noWrap/>
            <w:hideMark/>
          </w:tcPr>
          <w:p w14:paraId="483F4B87"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90</w:t>
            </w:r>
          </w:p>
        </w:tc>
        <w:tc>
          <w:tcPr>
            <w:tcW w:w="5296" w:type="dxa"/>
            <w:hideMark/>
          </w:tcPr>
          <w:p w14:paraId="3F4158AE" w14:textId="77777777" w:rsidR="00C41799" w:rsidRPr="00271E52" w:rsidRDefault="00C41799" w:rsidP="00C41799">
            <w:pPr>
              <w:rPr>
                <w:rFonts w:ascii="Arial" w:eastAsia="Times New Roman" w:hAnsi="Arial" w:cs="Arial"/>
                <w:color w:val="000000"/>
              </w:rPr>
            </w:pPr>
            <w:r w:rsidRPr="00271E52">
              <w:rPr>
                <w:rFonts w:ascii="Arial" w:eastAsia="Times New Roman" w:hAnsi="Arial" w:cs="Arial"/>
                <w:color w:val="000000"/>
              </w:rPr>
              <w:t>If our product responds to greenhouse gas signals, may we obtain greenhouse gas data via our existing partnership with WattTime or would we be required to do so via MIDAS?</w:t>
            </w:r>
          </w:p>
        </w:tc>
        <w:tc>
          <w:tcPr>
            <w:tcW w:w="8465" w:type="dxa"/>
            <w:hideMark/>
          </w:tcPr>
          <w:p w14:paraId="48F3CE7F" w14:textId="0494FAC5" w:rsidR="00C41799" w:rsidRPr="00271E52" w:rsidRDefault="00C41799" w:rsidP="00C41799">
            <w:pPr>
              <w:rPr>
                <w:rFonts w:ascii="Arial" w:eastAsia="Times New Roman" w:hAnsi="Arial" w:cs="Arial"/>
                <w:color w:val="000000"/>
              </w:rPr>
            </w:pPr>
            <w:r w:rsidRPr="2929DF5F">
              <w:rPr>
                <w:rFonts w:ascii="Arial" w:eastAsia="Times New Roman" w:hAnsi="Arial" w:cs="Arial"/>
                <w:color w:val="000000" w:themeColor="text1"/>
              </w:rPr>
              <w:t>As described in Section II.</w:t>
            </w:r>
            <w:r w:rsidR="005302F4">
              <w:rPr>
                <w:rFonts w:ascii="Arial" w:eastAsia="Times New Roman" w:hAnsi="Arial" w:cs="Arial"/>
                <w:color w:val="000000" w:themeColor="text1"/>
              </w:rPr>
              <w:t>B</w:t>
            </w:r>
            <w:r w:rsidRPr="2929DF5F">
              <w:rPr>
                <w:rFonts w:ascii="Arial" w:eastAsia="Times New Roman" w:hAnsi="Arial" w:cs="Arial"/>
                <w:color w:val="000000" w:themeColor="text1"/>
              </w:rPr>
              <w:t>.1-1, "At minimum, products … must be capable of retrieving electricity rates and Flex Alerts from the CEC’s Market Informed Demand Automation Server (MIDAS)." REDWDS does not specify any greenhouse gas signal minimum requirements</w:t>
            </w:r>
            <w:r w:rsidR="4C1FAC9A" w:rsidRPr="2929DF5F">
              <w:rPr>
                <w:rFonts w:ascii="Arial" w:eastAsia="Times New Roman" w:hAnsi="Arial" w:cs="Arial"/>
                <w:color w:val="000000" w:themeColor="text1"/>
              </w:rPr>
              <w:t>,</w:t>
            </w:r>
            <w:r w:rsidRPr="2929DF5F">
              <w:rPr>
                <w:rFonts w:ascii="Arial" w:eastAsia="Times New Roman" w:hAnsi="Arial" w:cs="Arial"/>
                <w:color w:val="000000" w:themeColor="text1"/>
              </w:rPr>
              <w:t xml:space="preserve"> and projects are welcome to exceed the minimum requirements.</w:t>
            </w:r>
          </w:p>
        </w:tc>
      </w:tr>
      <w:tr w:rsidR="00382A11" w:rsidRPr="00271E52" w14:paraId="346E1285" w14:textId="77777777" w:rsidTr="00297D16">
        <w:trPr>
          <w:trHeight w:val="870"/>
        </w:trPr>
        <w:tc>
          <w:tcPr>
            <w:tcW w:w="549" w:type="dxa"/>
            <w:noWrap/>
          </w:tcPr>
          <w:p w14:paraId="51042063" w14:textId="5CDF8544" w:rsidR="00382A11" w:rsidRPr="00271E52" w:rsidRDefault="00382A11" w:rsidP="00C41799">
            <w:pPr>
              <w:rPr>
                <w:rFonts w:ascii="Arial" w:eastAsia="Times New Roman" w:hAnsi="Arial" w:cs="Arial"/>
                <w:color w:val="000000"/>
              </w:rPr>
            </w:pPr>
            <w:r>
              <w:rPr>
                <w:rFonts w:ascii="Arial" w:eastAsia="Times New Roman" w:hAnsi="Arial" w:cs="Arial"/>
                <w:color w:val="000000"/>
              </w:rPr>
              <w:lastRenderedPageBreak/>
              <w:t>91</w:t>
            </w:r>
          </w:p>
        </w:tc>
        <w:tc>
          <w:tcPr>
            <w:tcW w:w="5296" w:type="dxa"/>
          </w:tcPr>
          <w:p w14:paraId="265B67DC" w14:textId="2ED7D738" w:rsidR="00382A11" w:rsidRPr="00271E52" w:rsidRDefault="00E81C35" w:rsidP="00C41799">
            <w:pPr>
              <w:rPr>
                <w:rFonts w:ascii="Arial" w:eastAsia="Times New Roman" w:hAnsi="Arial" w:cs="Arial"/>
                <w:color w:val="000000"/>
              </w:rPr>
            </w:pPr>
            <w:r>
              <w:rPr>
                <w:rFonts w:ascii="Arial" w:eastAsia="Times New Roman" w:hAnsi="Arial" w:cs="Arial"/>
                <w:color w:val="000000"/>
              </w:rPr>
              <w:t>Is development of new products eligible for REDWDS, or does REDWDS only fund improvements to existing products?</w:t>
            </w:r>
          </w:p>
        </w:tc>
        <w:tc>
          <w:tcPr>
            <w:tcW w:w="8465" w:type="dxa"/>
          </w:tcPr>
          <w:p w14:paraId="1BAC19FF" w14:textId="206FCB9C" w:rsidR="00382A11" w:rsidRPr="2929DF5F" w:rsidRDefault="002F147A" w:rsidP="00C41799">
            <w:pPr>
              <w:rPr>
                <w:rFonts w:ascii="Arial" w:eastAsia="Times New Roman" w:hAnsi="Arial" w:cs="Arial"/>
                <w:color w:val="000000" w:themeColor="text1"/>
              </w:rPr>
            </w:pPr>
            <w:r>
              <w:rPr>
                <w:rFonts w:ascii="Arial" w:eastAsia="Times New Roman" w:hAnsi="Arial" w:cs="Arial"/>
                <w:color w:val="000000" w:themeColor="text1"/>
              </w:rPr>
              <w:t xml:space="preserve">New product development is eligible. </w:t>
            </w:r>
            <w:r w:rsidR="00CC5C2F" w:rsidRPr="00271E52">
              <w:rPr>
                <w:rFonts w:ascii="Arial" w:eastAsia="Times New Roman" w:hAnsi="Arial" w:cs="Arial"/>
                <w:color w:val="000000"/>
              </w:rPr>
              <w:t xml:space="preserve">Applications should describe </w:t>
            </w:r>
            <w:r w:rsidR="00CC5C2F">
              <w:rPr>
                <w:rFonts w:ascii="Arial" w:eastAsia="Times New Roman" w:hAnsi="Arial" w:cs="Arial"/>
                <w:color w:val="000000"/>
              </w:rPr>
              <w:t>existing capabilities (if applicable) and</w:t>
            </w:r>
            <w:r w:rsidR="00CC5C2F" w:rsidRPr="00271E52">
              <w:rPr>
                <w:rFonts w:ascii="Arial" w:eastAsia="Times New Roman" w:hAnsi="Arial" w:cs="Arial"/>
                <w:color w:val="000000"/>
              </w:rPr>
              <w:t xml:space="preserve"> planned </w:t>
            </w:r>
            <w:r w:rsidR="00CC5C2F">
              <w:rPr>
                <w:rFonts w:ascii="Arial" w:eastAsia="Times New Roman" w:hAnsi="Arial" w:cs="Arial"/>
                <w:color w:val="000000"/>
              </w:rPr>
              <w:t>product development</w:t>
            </w:r>
            <w:r w:rsidR="00CC5C2F" w:rsidRPr="00271E52">
              <w:rPr>
                <w:rFonts w:ascii="Arial" w:eastAsia="Times New Roman" w:hAnsi="Arial" w:cs="Arial"/>
                <w:color w:val="000000"/>
              </w:rPr>
              <w:t xml:space="preserve"> in response to Section III.D.2 Prompt </w:t>
            </w:r>
            <w:r w:rsidR="00CC5C2F">
              <w:rPr>
                <w:rFonts w:ascii="Arial" w:eastAsia="Times New Roman" w:hAnsi="Arial" w:cs="Arial"/>
                <w:color w:val="000000"/>
              </w:rPr>
              <w:t>1: “</w:t>
            </w:r>
            <w:r w:rsidR="009A531F" w:rsidRPr="009A531F">
              <w:rPr>
                <w:rFonts w:ascii="Arial" w:eastAsia="Times New Roman" w:hAnsi="Arial" w:cs="Arial"/>
                <w:color w:val="000000"/>
              </w:rPr>
              <w:t>Describe existing product capabilities and target product improvements. Describe and quantify the resources needed to achieve the target product improvements within the project term.</w:t>
            </w:r>
            <w:r w:rsidR="009A531F">
              <w:rPr>
                <w:rFonts w:ascii="Arial" w:eastAsia="Times New Roman" w:hAnsi="Arial" w:cs="Arial"/>
                <w:color w:val="000000"/>
              </w:rPr>
              <w:t xml:space="preserve">” </w:t>
            </w:r>
          </w:p>
        </w:tc>
      </w:tr>
      <w:tr w:rsidR="00DB7F9D" w:rsidRPr="00271E52" w14:paraId="1E38E1C7" w14:textId="77777777" w:rsidTr="00297D16">
        <w:trPr>
          <w:trHeight w:val="870"/>
        </w:trPr>
        <w:tc>
          <w:tcPr>
            <w:tcW w:w="549" w:type="dxa"/>
            <w:noWrap/>
          </w:tcPr>
          <w:p w14:paraId="7CB1737B" w14:textId="28C6EAFA" w:rsidR="00DB7F9D" w:rsidRDefault="00DB7F9D" w:rsidP="00C41799">
            <w:pPr>
              <w:rPr>
                <w:rFonts w:ascii="Arial" w:eastAsia="Times New Roman" w:hAnsi="Arial" w:cs="Arial"/>
                <w:color w:val="000000"/>
              </w:rPr>
            </w:pPr>
            <w:r>
              <w:rPr>
                <w:rFonts w:ascii="Arial" w:eastAsia="Times New Roman" w:hAnsi="Arial" w:cs="Arial"/>
                <w:color w:val="000000"/>
              </w:rPr>
              <w:t>92</w:t>
            </w:r>
          </w:p>
        </w:tc>
        <w:tc>
          <w:tcPr>
            <w:tcW w:w="5296" w:type="dxa"/>
          </w:tcPr>
          <w:p w14:paraId="3EA82DC2" w14:textId="7B6ED6C5" w:rsidR="00DB7F9D" w:rsidRDefault="00DB7F9D" w:rsidP="00C41799">
            <w:pPr>
              <w:rPr>
                <w:rFonts w:ascii="Arial" w:eastAsia="Times New Roman" w:hAnsi="Arial" w:cs="Arial"/>
                <w:color w:val="000000"/>
              </w:rPr>
            </w:pPr>
            <w:r w:rsidRPr="00DB7F9D">
              <w:rPr>
                <w:rFonts w:ascii="Arial" w:eastAsia="Times New Roman" w:hAnsi="Arial" w:cs="Arial"/>
                <w:color w:val="000000"/>
              </w:rPr>
              <w:t>Can site acquisition and deployment activities occur in parallel with the technology development?</w:t>
            </w:r>
          </w:p>
        </w:tc>
        <w:tc>
          <w:tcPr>
            <w:tcW w:w="8465" w:type="dxa"/>
          </w:tcPr>
          <w:p w14:paraId="54F03548" w14:textId="695B40D7" w:rsidR="00DB7F9D" w:rsidRDefault="00345CCD" w:rsidP="00C41799">
            <w:pPr>
              <w:rPr>
                <w:rFonts w:ascii="Arial" w:eastAsia="Times New Roman" w:hAnsi="Arial" w:cs="Arial"/>
                <w:color w:val="000000" w:themeColor="text1"/>
              </w:rPr>
            </w:pPr>
            <w:r>
              <w:rPr>
                <w:rFonts w:ascii="Arial" w:eastAsia="Times New Roman" w:hAnsi="Arial" w:cs="Arial"/>
                <w:color w:val="000000" w:themeColor="text1"/>
              </w:rPr>
              <w:t>Yes, as long as the project meets or exceeds the minimum requirements specified in Section II.</w:t>
            </w:r>
            <w:r w:rsidR="005302F4">
              <w:rPr>
                <w:rFonts w:ascii="Arial" w:eastAsia="Times New Roman" w:hAnsi="Arial" w:cs="Arial"/>
                <w:color w:val="000000" w:themeColor="text1"/>
              </w:rPr>
              <w:t>B</w:t>
            </w:r>
            <w:r w:rsidR="00380D8E">
              <w:rPr>
                <w:rFonts w:ascii="Arial" w:eastAsia="Times New Roman" w:hAnsi="Arial" w:cs="Arial"/>
                <w:color w:val="000000" w:themeColor="text1"/>
              </w:rPr>
              <w:t>. Developed products must meet or exceed the minimum requirements in Section II.B.1</w:t>
            </w:r>
            <w:r w:rsidR="00BB504A">
              <w:rPr>
                <w:rFonts w:ascii="Arial" w:eastAsia="Times New Roman" w:hAnsi="Arial" w:cs="Arial"/>
                <w:color w:val="000000" w:themeColor="text1"/>
              </w:rPr>
              <w:t>. Deployments must meet or exceed the minimum requirements in Section II.B.2 (and Section II.B.5 for Phase 2, if applicable).</w:t>
            </w:r>
          </w:p>
        </w:tc>
      </w:tr>
    </w:tbl>
    <w:p w14:paraId="1EB6BB19" w14:textId="2C5D9F64" w:rsidR="00FD0ADE" w:rsidRPr="00271E52" w:rsidRDefault="00FD0ADE" w:rsidP="00C41799">
      <w:pPr>
        <w:spacing w:line="240" w:lineRule="auto"/>
        <w:rPr>
          <w:rFonts w:ascii="Arial" w:hAnsi="Arial" w:cs="Arial"/>
        </w:rPr>
      </w:pPr>
    </w:p>
    <w:p w14:paraId="1EB8810B" w14:textId="77777777" w:rsidR="00FD0ADE" w:rsidRPr="00271E52" w:rsidRDefault="00FD0ADE">
      <w:pPr>
        <w:rPr>
          <w:rFonts w:ascii="Arial" w:hAnsi="Arial" w:cs="Arial"/>
        </w:rPr>
      </w:pPr>
      <w:r w:rsidRPr="00271E52">
        <w:rPr>
          <w:rFonts w:ascii="Arial" w:hAnsi="Arial" w:cs="Arial"/>
        </w:rPr>
        <w:br w:type="page"/>
      </w:r>
    </w:p>
    <w:p w14:paraId="6C139518" w14:textId="24541D12" w:rsidR="00FD0ADE" w:rsidRPr="00271E52" w:rsidRDefault="00FD0ADE">
      <w:pPr>
        <w:rPr>
          <w:rFonts w:ascii="Arial" w:hAnsi="Arial" w:cs="Arial"/>
        </w:rPr>
      </w:pPr>
      <w:r w:rsidRPr="00271E52">
        <w:rPr>
          <w:rFonts w:ascii="Arial" w:hAnsi="Arial" w:cs="Arial"/>
        </w:rPr>
        <w:lastRenderedPageBreak/>
        <w:t>Available and Expected Dynamic Rate Options in California</w:t>
      </w:r>
    </w:p>
    <w:tbl>
      <w:tblPr>
        <w:tblStyle w:val="TableGridLight"/>
        <w:tblW w:w="14423" w:type="dxa"/>
        <w:tblLook w:val="04A0" w:firstRow="1" w:lastRow="0" w:firstColumn="1" w:lastColumn="0" w:noHBand="0" w:noVBand="1"/>
      </w:tblPr>
      <w:tblGrid>
        <w:gridCol w:w="6385"/>
        <w:gridCol w:w="3690"/>
        <w:gridCol w:w="4348"/>
      </w:tblGrid>
      <w:tr w:rsidR="00FD0ADE" w:rsidRPr="00271E52" w14:paraId="03CD7A60" w14:textId="77777777" w:rsidTr="00297D16">
        <w:trPr>
          <w:trHeight w:val="241"/>
        </w:trPr>
        <w:tc>
          <w:tcPr>
            <w:tcW w:w="6385" w:type="dxa"/>
            <w:hideMark/>
          </w:tcPr>
          <w:p w14:paraId="0A6CD815" w14:textId="77777777" w:rsidR="00FD0ADE" w:rsidRPr="00271E52" w:rsidRDefault="00FD0ADE" w:rsidP="00FD0ADE">
            <w:pPr>
              <w:rPr>
                <w:rFonts w:ascii="Arial" w:eastAsia="Times New Roman" w:hAnsi="Arial" w:cs="Arial"/>
                <w:b/>
                <w:bCs/>
              </w:rPr>
            </w:pPr>
            <w:r w:rsidRPr="00271E52">
              <w:rPr>
                <w:rFonts w:ascii="Arial" w:eastAsia="Times New Roman" w:hAnsi="Arial" w:cs="Arial"/>
                <w:b/>
                <w:bCs/>
              </w:rPr>
              <w:t>Rate </w:t>
            </w:r>
          </w:p>
        </w:tc>
        <w:tc>
          <w:tcPr>
            <w:tcW w:w="3690" w:type="dxa"/>
            <w:hideMark/>
          </w:tcPr>
          <w:p w14:paraId="0CAA4F89" w14:textId="77777777" w:rsidR="00FD0ADE" w:rsidRPr="00271E52" w:rsidRDefault="00FD0ADE" w:rsidP="00FD0ADE">
            <w:pPr>
              <w:rPr>
                <w:rFonts w:ascii="Arial" w:eastAsia="Times New Roman" w:hAnsi="Arial" w:cs="Arial"/>
                <w:b/>
                <w:bCs/>
              </w:rPr>
            </w:pPr>
            <w:r w:rsidRPr="00271E52">
              <w:rPr>
                <w:rFonts w:ascii="Arial" w:eastAsia="Times New Roman" w:hAnsi="Arial" w:cs="Arial"/>
                <w:b/>
                <w:bCs/>
              </w:rPr>
              <w:t>Availability </w:t>
            </w:r>
          </w:p>
        </w:tc>
        <w:tc>
          <w:tcPr>
            <w:tcW w:w="4348" w:type="dxa"/>
            <w:hideMark/>
          </w:tcPr>
          <w:p w14:paraId="7CB9ED31" w14:textId="77777777" w:rsidR="00FD0ADE" w:rsidRPr="00271E52" w:rsidRDefault="00FD0ADE" w:rsidP="00FD0ADE">
            <w:pPr>
              <w:rPr>
                <w:rFonts w:ascii="Arial" w:eastAsia="Times New Roman" w:hAnsi="Arial" w:cs="Arial"/>
                <w:b/>
                <w:bCs/>
              </w:rPr>
            </w:pPr>
            <w:r w:rsidRPr="00271E52">
              <w:rPr>
                <w:rFonts w:ascii="Arial" w:eastAsia="Times New Roman" w:hAnsi="Arial" w:cs="Arial"/>
                <w:b/>
                <w:bCs/>
              </w:rPr>
              <w:t>References </w:t>
            </w:r>
          </w:p>
        </w:tc>
      </w:tr>
      <w:tr w:rsidR="00FD0ADE" w:rsidRPr="00271E52" w14:paraId="58B3E061" w14:textId="77777777" w:rsidTr="00297D16">
        <w:trPr>
          <w:trHeight w:val="241"/>
        </w:trPr>
        <w:tc>
          <w:tcPr>
            <w:tcW w:w="6385" w:type="dxa"/>
            <w:hideMark/>
          </w:tcPr>
          <w:p w14:paraId="7CDC54DE" w14:textId="77777777" w:rsidR="00FD0ADE" w:rsidRPr="00271E52" w:rsidRDefault="00FD0ADE" w:rsidP="00FD0ADE">
            <w:pPr>
              <w:rPr>
                <w:rFonts w:ascii="Arial" w:eastAsia="Times New Roman" w:hAnsi="Arial" w:cs="Arial"/>
              </w:rPr>
            </w:pPr>
            <w:r w:rsidRPr="00271E52">
              <w:rPr>
                <w:rFonts w:ascii="Arial" w:eastAsia="Times New Roman" w:hAnsi="Arial" w:cs="Arial"/>
              </w:rPr>
              <w:t>SCE Dynamic Rates Pilot (TeMix) </w:t>
            </w:r>
          </w:p>
        </w:tc>
        <w:tc>
          <w:tcPr>
            <w:tcW w:w="3690" w:type="dxa"/>
            <w:hideMark/>
          </w:tcPr>
          <w:p w14:paraId="2BB0B7FE" w14:textId="77777777" w:rsidR="00FD0ADE" w:rsidRPr="00271E52" w:rsidRDefault="00FD0ADE" w:rsidP="00FD0ADE">
            <w:pPr>
              <w:rPr>
                <w:rFonts w:ascii="Arial" w:eastAsia="Times New Roman" w:hAnsi="Arial" w:cs="Arial"/>
              </w:rPr>
            </w:pPr>
            <w:r w:rsidRPr="00271E52">
              <w:rPr>
                <w:rFonts w:ascii="Arial" w:eastAsia="Times New Roman" w:hAnsi="Arial" w:cs="Arial"/>
              </w:rPr>
              <w:t>Launched May 2022 </w:t>
            </w:r>
          </w:p>
        </w:tc>
        <w:tc>
          <w:tcPr>
            <w:tcW w:w="4348" w:type="dxa"/>
            <w:hideMark/>
          </w:tcPr>
          <w:p w14:paraId="358F621E" w14:textId="77777777" w:rsidR="00FD0ADE" w:rsidRPr="00271E52" w:rsidRDefault="00FD0ADE" w:rsidP="00FD0ADE">
            <w:pPr>
              <w:rPr>
                <w:rFonts w:ascii="Arial" w:eastAsia="Times New Roman" w:hAnsi="Arial" w:cs="Arial"/>
              </w:rPr>
            </w:pPr>
            <w:r w:rsidRPr="00271E52">
              <w:rPr>
                <w:rFonts w:ascii="Arial" w:eastAsia="Times New Roman" w:hAnsi="Arial" w:cs="Arial"/>
              </w:rPr>
              <w:t>D.21-12-015 </w:t>
            </w:r>
          </w:p>
        </w:tc>
      </w:tr>
      <w:tr w:rsidR="00FD0ADE" w:rsidRPr="00271E52" w14:paraId="08196899" w14:textId="77777777" w:rsidTr="00297D16">
        <w:trPr>
          <w:trHeight w:val="450"/>
        </w:trPr>
        <w:tc>
          <w:tcPr>
            <w:tcW w:w="6385" w:type="dxa"/>
            <w:vMerge w:val="restart"/>
            <w:hideMark/>
          </w:tcPr>
          <w:p w14:paraId="07B3CE05" w14:textId="77777777" w:rsidR="00FD0ADE" w:rsidRPr="00271E52" w:rsidRDefault="00FD0ADE" w:rsidP="00FD0ADE">
            <w:pPr>
              <w:rPr>
                <w:rFonts w:ascii="Arial" w:eastAsia="Times New Roman" w:hAnsi="Arial" w:cs="Arial"/>
              </w:rPr>
            </w:pPr>
            <w:r w:rsidRPr="00271E52">
              <w:rPr>
                <w:rFonts w:ascii="Arial" w:eastAsia="Times New Roman" w:hAnsi="Arial" w:cs="Arial"/>
              </w:rPr>
              <w:t>PG&amp;E Real Time Rate for V2X Pilots </w:t>
            </w:r>
          </w:p>
        </w:tc>
        <w:tc>
          <w:tcPr>
            <w:tcW w:w="3690" w:type="dxa"/>
            <w:vMerge w:val="restart"/>
            <w:hideMark/>
          </w:tcPr>
          <w:p w14:paraId="17F3550F" w14:textId="77777777" w:rsidR="00FD0ADE" w:rsidRPr="00271E52" w:rsidRDefault="00FD0ADE" w:rsidP="00FD0ADE">
            <w:pPr>
              <w:rPr>
                <w:rFonts w:ascii="Arial" w:eastAsia="Times New Roman" w:hAnsi="Arial" w:cs="Arial"/>
              </w:rPr>
            </w:pPr>
            <w:r w:rsidRPr="00271E52">
              <w:rPr>
                <w:rFonts w:ascii="Arial" w:eastAsia="Times New Roman" w:hAnsi="Arial" w:cs="Arial"/>
              </w:rPr>
              <w:t>Estimated Q3 2023</w:t>
            </w:r>
          </w:p>
        </w:tc>
        <w:tc>
          <w:tcPr>
            <w:tcW w:w="4348" w:type="dxa"/>
            <w:vMerge w:val="restart"/>
            <w:hideMark/>
          </w:tcPr>
          <w:p w14:paraId="6D12DF9D" w14:textId="77777777" w:rsidR="00FD0ADE" w:rsidRPr="00271E52" w:rsidRDefault="00FD0ADE" w:rsidP="00FD0ADE">
            <w:pPr>
              <w:rPr>
                <w:rFonts w:ascii="Arial" w:eastAsia="Times New Roman" w:hAnsi="Arial" w:cs="Arial"/>
              </w:rPr>
            </w:pPr>
            <w:r w:rsidRPr="00271E52">
              <w:rPr>
                <w:rFonts w:ascii="Arial" w:eastAsia="Times New Roman" w:hAnsi="Arial" w:cs="Arial"/>
              </w:rPr>
              <w:t> D.20-12-029, Resolution E-5192</w:t>
            </w:r>
          </w:p>
        </w:tc>
      </w:tr>
      <w:tr w:rsidR="00FD0ADE" w:rsidRPr="00271E52" w14:paraId="22E4F119" w14:textId="77777777" w:rsidTr="00297D16">
        <w:trPr>
          <w:trHeight w:val="450"/>
        </w:trPr>
        <w:tc>
          <w:tcPr>
            <w:tcW w:w="6385" w:type="dxa"/>
            <w:vMerge/>
            <w:hideMark/>
          </w:tcPr>
          <w:p w14:paraId="51CE720C" w14:textId="77777777" w:rsidR="00FD0ADE" w:rsidRPr="00271E52" w:rsidRDefault="00FD0ADE" w:rsidP="00FD0ADE">
            <w:pPr>
              <w:rPr>
                <w:rFonts w:ascii="Arial" w:eastAsia="Times New Roman" w:hAnsi="Arial" w:cs="Arial"/>
              </w:rPr>
            </w:pPr>
          </w:p>
        </w:tc>
        <w:tc>
          <w:tcPr>
            <w:tcW w:w="3690" w:type="dxa"/>
            <w:vMerge/>
            <w:hideMark/>
          </w:tcPr>
          <w:p w14:paraId="77FA2699" w14:textId="77777777" w:rsidR="00FD0ADE" w:rsidRPr="00271E52" w:rsidRDefault="00FD0ADE" w:rsidP="00FD0ADE">
            <w:pPr>
              <w:rPr>
                <w:rFonts w:ascii="Arial" w:eastAsia="Times New Roman" w:hAnsi="Arial" w:cs="Arial"/>
              </w:rPr>
            </w:pPr>
          </w:p>
        </w:tc>
        <w:tc>
          <w:tcPr>
            <w:tcW w:w="4348" w:type="dxa"/>
            <w:vMerge/>
            <w:hideMark/>
          </w:tcPr>
          <w:p w14:paraId="52A7BF88" w14:textId="77777777" w:rsidR="00FD0ADE" w:rsidRPr="00271E52" w:rsidRDefault="00FD0ADE" w:rsidP="00FD0ADE">
            <w:pPr>
              <w:rPr>
                <w:rFonts w:ascii="Arial" w:eastAsia="Times New Roman" w:hAnsi="Arial" w:cs="Arial"/>
              </w:rPr>
            </w:pPr>
          </w:p>
        </w:tc>
      </w:tr>
      <w:tr w:rsidR="00FD0ADE" w:rsidRPr="00271E52" w14:paraId="1E4A2235" w14:textId="77777777" w:rsidTr="00297D16">
        <w:trPr>
          <w:trHeight w:val="450"/>
        </w:trPr>
        <w:tc>
          <w:tcPr>
            <w:tcW w:w="6385" w:type="dxa"/>
            <w:vMerge w:val="restart"/>
            <w:hideMark/>
          </w:tcPr>
          <w:p w14:paraId="4402028E" w14:textId="77777777" w:rsidR="00FD0ADE" w:rsidRPr="00271E52" w:rsidRDefault="00FD0ADE" w:rsidP="00FD0ADE">
            <w:pPr>
              <w:rPr>
                <w:rFonts w:ascii="Arial" w:eastAsia="Times New Roman" w:hAnsi="Arial" w:cs="Arial"/>
              </w:rPr>
            </w:pPr>
            <w:r w:rsidRPr="00271E52">
              <w:rPr>
                <w:rFonts w:ascii="Arial" w:eastAsia="Times New Roman" w:hAnsi="Arial" w:cs="Arial"/>
              </w:rPr>
              <w:t>PG&amp;E Real Time Rates Pilot </w:t>
            </w:r>
          </w:p>
        </w:tc>
        <w:tc>
          <w:tcPr>
            <w:tcW w:w="3690" w:type="dxa"/>
            <w:vMerge w:val="restart"/>
            <w:hideMark/>
          </w:tcPr>
          <w:p w14:paraId="1C28DD73" w14:textId="77777777" w:rsidR="00FD0ADE" w:rsidRPr="00271E52" w:rsidRDefault="00FD0ADE" w:rsidP="00FD0ADE">
            <w:pPr>
              <w:rPr>
                <w:rFonts w:ascii="Arial" w:eastAsia="Times New Roman" w:hAnsi="Arial" w:cs="Arial"/>
              </w:rPr>
            </w:pPr>
            <w:r w:rsidRPr="00271E52">
              <w:rPr>
                <w:rFonts w:ascii="Arial" w:eastAsia="Times New Roman" w:hAnsi="Arial" w:cs="Arial"/>
              </w:rPr>
              <w:t>Estimated Oct 2023 </w:t>
            </w:r>
          </w:p>
        </w:tc>
        <w:tc>
          <w:tcPr>
            <w:tcW w:w="4348" w:type="dxa"/>
            <w:vMerge w:val="restart"/>
            <w:hideMark/>
          </w:tcPr>
          <w:p w14:paraId="66C452C7" w14:textId="77777777" w:rsidR="00FD0ADE" w:rsidRPr="00271E52" w:rsidRDefault="00FD0ADE" w:rsidP="00FD0ADE">
            <w:pPr>
              <w:rPr>
                <w:rFonts w:ascii="Arial" w:eastAsia="Times New Roman" w:hAnsi="Arial" w:cs="Arial"/>
              </w:rPr>
            </w:pPr>
            <w:r w:rsidRPr="00271E52">
              <w:rPr>
                <w:rFonts w:ascii="Arial" w:eastAsia="Times New Roman" w:hAnsi="Arial" w:cs="Arial"/>
              </w:rPr>
              <w:t>D.22-08-002, A.19-11-019 </w:t>
            </w:r>
          </w:p>
        </w:tc>
      </w:tr>
      <w:tr w:rsidR="00FD0ADE" w:rsidRPr="00271E52" w14:paraId="2A91F898" w14:textId="77777777" w:rsidTr="00297D16">
        <w:trPr>
          <w:trHeight w:val="450"/>
        </w:trPr>
        <w:tc>
          <w:tcPr>
            <w:tcW w:w="6385" w:type="dxa"/>
            <w:vMerge/>
            <w:hideMark/>
          </w:tcPr>
          <w:p w14:paraId="1D0F04A7" w14:textId="77777777" w:rsidR="00FD0ADE" w:rsidRPr="00271E52" w:rsidRDefault="00FD0ADE" w:rsidP="00FD0ADE">
            <w:pPr>
              <w:rPr>
                <w:rFonts w:ascii="Arial" w:eastAsia="Times New Roman" w:hAnsi="Arial" w:cs="Arial"/>
              </w:rPr>
            </w:pPr>
          </w:p>
        </w:tc>
        <w:tc>
          <w:tcPr>
            <w:tcW w:w="3690" w:type="dxa"/>
            <w:vMerge/>
            <w:hideMark/>
          </w:tcPr>
          <w:p w14:paraId="64323363" w14:textId="77777777" w:rsidR="00FD0ADE" w:rsidRPr="00271E52" w:rsidRDefault="00FD0ADE" w:rsidP="00FD0ADE">
            <w:pPr>
              <w:rPr>
                <w:rFonts w:ascii="Arial" w:eastAsia="Times New Roman" w:hAnsi="Arial" w:cs="Arial"/>
              </w:rPr>
            </w:pPr>
          </w:p>
        </w:tc>
        <w:tc>
          <w:tcPr>
            <w:tcW w:w="4348" w:type="dxa"/>
            <w:vMerge/>
            <w:hideMark/>
          </w:tcPr>
          <w:p w14:paraId="74EA4A0F" w14:textId="77777777" w:rsidR="00FD0ADE" w:rsidRPr="00271E52" w:rsidRDefault="00FD0ADE" w:rsidP="00FD0ADE">
            <w:pPr>
              <w:rPr>
                <w:rFonts w:ascii="Arial" w:eastAsia="Times New Roman" w:hAnsi="Arial" w:cs="Arial"/>
              </w:rPr>
            </w:pPr>
          </w:p>
        </w:tc>
      </w:tr>
      <w:tr w:rsidR="00FD0ADE" w:rsidRPr="00271E52" w14:paraId="40331A73" w14:textId="77777777" w:rsidTr="00297D16">
        <w:trPr>
          <w:trHeight w:val="450"/>
        </w:trPr>
        <w:tc>
          <w:tcPr>
            <w:tcW w:w="6385" w:type="dxa"/>
            <w:vMerge w:val="restart"/>
            <w:hideMark/>
          </w:tcPr>
          <w:p w14:paraId="3CFAA19B" w14:textId="77777777" w:rsidR="00FD0ADE" w:rsidRPr="00271E52" w:rsidRDefault="00FD0ADE" w:rsidP="00FD0ADE">
            <w:pPr>
              <w:rPr>
                <w:rFonts w:ascii="Arial" w:eastAsia="Times New Roman" w:hAnsi="Arial" w:cs="Arial"/>
              </w:rPr>
            </w:pPr>
            <w:r w:rsidRPr="00271E52">
              <w:rPr>
                <w:rFonts w:ascii="Arial" w:eastAsia="Times New Roman" w:hAnsi="Arial" w:cs="Arial"/>
              </w:rPr>
              <w:t>PG&amp;E Day Ahead Real Time Pricing (DAHRTP) Rate with Optional V2G Adder </w:t>
            </w:r>
          </w:p>
        </w:tc>
        <w:tc>
          <w:tcPr>
            <w:tcW w:w="3690" w:type="dxa"/>
            <w:vMerge w:val="restart"/>
            <w:hideMark/>
          </w:tcPr>
          <w:p w14:paraId="76168E99" w14:textId="77777777" w:rsidR="00FD0ADE" w:rsidRPr="00271E52" w:rsidRDefault="00FD0ADE" w:rsidP="00FD0ADE">
            <w:pPr>
              <w:rPr>
                <w:rFonts w:ascii="Arial" w:eastAsia="Times New Roman" w:hAnsi="Arial" w:cs="Arial"/>
              </w:rPr>
            </w:pPr>
            <w:r w:rsidRPr="00271E52">
              <w:rPr>
                <w:rFonts w:ascii="Arial" w:eastAsia="Times New Roman" w:hAnsi="Arial" w:cs="Arial"/>
              </w:rPr>
              <w:t>Estimated Oct 2023-Mar 2024 </w:t>
            </w:r>
          </w:p>
        </w:tc>
        <w:tc>
          <w:tcPr>
            <w:tcW w:w="4348" w:type="dxa"/>
            <w:vMerge w:val="restart"/>
            <w:hideMark/>
          </w:tcPr>
          <w:p w14:paraId="5A6974DF" w14:textId="77777777" w:rsidR="00FD0ADE" w:rsidRPr="00271E52" w:rsidRDefault="00FD0ADE" w:rsidP="00FD0ADE">
            <w:pPr>
              <w:rPr>
                <w:rFonts w:ascii="Arial" w:eastAsia="Times New Roman" w:hAnsi="Arial" w:cs="Arial"/>
              </w:rPr>
            </w:pPr>
            <w:r w:rsidRPr="00271E52">
              <w:rPr>
                <w:rFonts w:ascii="Arial" w:eastAsia="Times New Roman" w:hAnsi="Arial" w:cs="Arial"/>
              </w:rPr>
              <w:t>D.21-11-017, D.22-10-024, A.20-10-011</w:t>
            </w:r>
          </w:p>
        </w:tc>
      </w:tr>
      <w:tr w:rsidR="00FD0ADE" w:rsidRPr="00271E52" w14:paraId="10967812" w14:textId="77777777" w:rsidTr="00297D16">
        <w:trPr>
          <w:trHeight w:val="450"/>
        </w:trPr>
        <w:tc>
          <w:tcPr>
            <w:tcW w:w="6385" w:type="dxa"/>
            <w:vMerge/>
            <w:hideMark/>
          </w:tcPr>
          <w:p w14:paraId="038A7E2E" w14:textId="77777777" w:rsidR="00FD0ADE" w:rsidRPr="00271E52" w:rsidRDefault="00FD0ADE" w:rsidP="00FD0ADE">
            <w:pPr>
              <w:rPr>
                <w:rFonts w:ascii="Arial" w:eastAsia="Times New Roman" w:hAnsi="Arial" w:cs="Arial"/>
              </w:rPr>
            </w:pPr>
          </w:p>
        </w:tc>
        <w:tc>
          <w:tcPr>
            <w:tcW w:w="3690" w:type="dxa"/>
            <w:vMerge/>
            <w:hideMark/>
          </w:tcPr>
          <w:p w14:paraId="73175A5D" w14:textId="77777777" w:rsidR="00FD0ADE" w:rsidRPr="00271E52" w:rsidRDefault="00FD0ADE" w:rsidP="00FD0ADE">
            <w:pPr>
              <w:rPr>
                <w:rFonts w:ascii="Arial" w:eastAsia="Times New Roman" w:hAnsi="Arial" w:cs="Arial"/>
              </w:rPr>
            </w:pPr>
          </w:p>
        </w:tc>
        <w:tc>
          <w:tcPr>
            <w:tcW w:w="4348" w:type="dxa"/>
            <w:vMerge/>
            <w:hideMark/>
          </w:tcPr>
          <w:p w14:paraId="61F28FB4" w14:textId="77777777" w:rsidR="00FD0ADE" w:rsidRPr="00271E52" w:rsidRDefault="00FD0ADE" w:rsidP="00FD0ADE">
            <w:pPr>
              <w:rPr>
                <w:rFonts w:ascii="Arial" w:eastAsia="Times New Roman" w:hAnsi="Arial" w:cs="Arial"/>
              </w:rPr>
            </w:pPr>
          </w:p>
        </w:tc>
      </w:tr>
      <w:tr w:rsidR="00FD0ADE" w:rsidRPr="00271E52" w14:paraId="36787914" w14:textId="77777777" w:rsidTr="00297D16">
        <w:trPr>
          <w:trHeight w:val="450"/>
        </w:trPr>
        <w:tc>
          <w:tcPr>
            <w:tcW w:w="6385" w:type="dxa"/>
            <w:vMerge/>
            <w:hideMark/>
          </w:tcPr>
          <w:p w14:paraId="778905F4" w14:textId="77777777" w:rsidR="00FD0ADE" w:rsidRPr="00271E52" w:rsidRDefault="00FD0ADE" w:rsidP="00FD0ADE">
            <w:pPr>
              <w:rPr>
                <w:rFonts w:ascii="Arial" w:eastAsia="Times New Roman" w:hAnsi="Arial" w:cs="Arial"/>
              </w:rPr>
            </w:pPr>
          </w:p>
        </w:tc>
        <w:tc>
          <w:tcPr>
            <w:tcW w:w="3690" w:type="dxa"/>
            <w:vMerge/>
            <w:hideMark/>
          </w:tcPr>
          <w:p w14:paraId="5EB6636A" w14:textId="77777777" w:rsidR="00FD0ADE" w:rsidRPr="00271E52" w:rsidRDefault="00FD0ADE" w:rsidP="00FD0ADE">
            <w:pPr>
              <w:rPr>
                <w:rFonts w:ascii="Arial" w:eastAsia="Times New Roman" w:hAnsi="Arial" w:cs="Arial"/>
              </w:rPr>
            </w:pPr>
          </w:p>
        </w:tc>
        <w:tc>
          <w:tcPr>
            <w:tcW w:w="4348" w:type="dxa"/>
            <w:vMerge/>
            <w:hideMark/>
          </w:tcPr>
          <w:p w14:paraId="1610CA6D" w14:textId="77777777" w:rsidR="00FD0ADE" w:rsidRPr="00271E52" w:rsidRDefault="00FD0ADE" w:rsidP="00FD0ADE">
            <w:pPr>
              <w:rPr>
                <w:rFonts w:ascii="Arial" w:eastAsia="Times New Roman" w:hAnsi="Arial" w:cs="Arial"/>
              </w:rPr>
            </w:pPr>
          </w:p>
        </w:tc>
      </w:tr>
      <w:tr w:rsidR="00FD0ADE" w:rsidRPr="00271E52" w14:paraId="0D036707" w14:textId="77777777" w:rsidTr="00297D16">
        <w:trPr>
          <w:trHeight w:val="450"/>
        </w:trPr>
        <w:tc>
          <w:tcPr>
            <w:tcW w:w="6385" w:type="dxa"/>
            <w:vMerge w:val="restart"/>
            <w:hideMark/>
          </w:tcPr>
          <w:p w14:paraId="46C9C2CA" w14:textId="77777777" w:rsidR="00FD0ADE" w:rsidRPr="00271E52" w:rsidRDefault="00FD0ADE" w:rsidP="00FD0ADE">
            <w:pPr>
              <w:rPr>
                <w:rFonts w:ascii="Arial" w:eastAsia="Times New Roman" w:hAnsi="Arial" w:cs="Arial"/>
              </w:rPr>
            </w:pPr>
            <w:r w:rsidRPr="00271E52">
              <w:rPr>
                <w:rFonts w:ascii="Arial" w:eastAsia="Times New Roman" w:hAnsi="Arial" w:cs="Arial"/>
              </w:rPr>
              <w:t>SDG&amp;E GRC Phase 2 RTP Pilot + High Power EV with Dynamic V2G Export </w:t>
            </w:r>
          </w:p>
        </w:tc>
        <w:tc>
          <w:tcPr>
            <w:tcW w:w="3690" w:type="dxa"/>
            <w:vMerge w:val="restart"/>
            <w:hideMark/>
          </w:tcPr>
          <w:p w14:paraId="4542A702" w14:textId="77777777" w:rsidR="00FD0ADE" w:rsidRPr="00271E52" w:rsidRDefault="00FD0ADE" w:rsidP="00FD0ADE">
            <w:pPr>
              <w:rPr>
                <w:rFonts w:ascii="Arial" w:eastAsia="Times New Roman" w:hAnsi="Arial" w:cs="Arial"/>
              </w:rPr>
            </w:pPr>
            <w:r w:rsidRPr="00271E52">
              <w:rPr>
                <w:rFonts w:ascii="Arial" w:eastAsia="Times New Roman" w:hAnsi="Arial" w:cs="Arial"/>
              </w:rPr>
              <w:t>Estimated 2024-2025 </w:t>
            </w:r>
          </w:p>
        </w:tc>
        <w:tc>
          <w:tcPr>
            <w:tcW w:w="4348" w:type="dxa"/>
            <w:vMerge w:val="restart"/>
            <w:hideMark/>
          </w:tcPr>
          <w:p w14:paraId="290DD996" w14:textId="77777777" w:rsidR="00FD0ADE" w:rsidRPr="00271E52" w:rsidRDefault="00FD0ADE" w:rsidP="00FD0ADE">
            <w:pPr>
              <w:rPr>
                <w:rFonts w:ascii="Arial" w:eastAsia="Times New Roman" w:hAnsi="Arial" w:cs="Arial"/>
              </w:rPr>
            </w:pPr>
            <w:r w:rsidRPr="00271E52">
              <w:rPr>
                <w:rFonts w:ascii="Arial" w:eastAsia="Times New Roman" w:hAnsi="Arial" w:cs="Arial"/>
              </w:rPr>
              <w:t>A.21-12-006, A.21-12-008 </w:t>
            </w:r>
          </w:p>
        </w:tc>
      </w:tr>
      <w:tr w:rsidR="00FD0ADE" w:rsidRPr="00271E52" w14:paraId="5CCB6412" w14:textId="77777777" w:rsidTr="00297D16">
        <w:trPr>
          <w:trHeight w:val="450"/>
        </w:trPr>
        <w:tc>
          <w:tcPr>
            <w:tcW w:w="6385" w:type="dxa"/>
            <w:vMerge/>
            <w:hideMark/>
          </w:tcPr>
          <w:p w14:paraId="56942121" w14:textId="77777777" w:rsidR="00FD0ADE" w:rsidRPr="00271E52" w:rsidRDefault="00FD0ADE" w:rsidP="00FD0ADE">
            <w:pPr>
              <w:rPr>
                <w:rFonts w:ascii="Arial" w:eastAsia="Times New Roman" w:hAnsi="Arial" w:cs="Arial"/>
                <w:sz w:val="20"/>
                <w:szCs w:val="20"/>
              </w:rPr>
            </w:pPr>
          </w:p>
        </w:tc>
        <w:tc>
          <w:tcPr>
            <w:tcW w:w="3690" w:type="dxa"/>
            <w:vMerge/>
            <w:hideMark/>
          </w:tcPr>
          <w:p w14:paraId="0BC7C190" w14:textId="77777777" w:rsidR="00FD0ADE" w:rsidRPr="00271E52" w:rsidRDefault="00FD0ADE" w:rsidP="00FD0ADE">
            <w:pPr>
              <w:rPr>
                <w:rFonts w:ascii="Arial" w:eastAsia="Times New Roman" w:hAnsi="Arial" w:cs="Arial"/>
                <w:sz w:val="20"/>
                <w:szCs w:val="20"/>
              </w:rPr>
            </w:pPr>
          </w:p>
        </w:tc>
        <w:tc>
          <w:tcPr>
            <w:tcW w:w="4348" w:type="dxa"/>
            <w:vMerge/>
            <w:hideMark/>
          </w:tcPr>
          <w:p w14:paraId="09596B3C" w14:textId="77777777" w:rsidR="00FD0ADE" w:rsidRPr="00271E52" w:rsidRDefault="00FD0ADE" w:rsidP="00FD0ADE">
            <w:pPr>
              <w:rPr>
                <w:rFonts w:ascii="Arial" w:eastAsia="Times New Roman" w:hAnsi="Arial" w:cs="Arial"/>
                <w:sz w:val="20"/>
                <w:szCs w:val="20"/>
              </w:rPr>
            </w:pPr>
          </w:p>
        </w:tc>
      </w:tr>
      <w:tr w:rsidR="00FD0ADE" w:rsidRPr="00271E52" w14:paraId="2E1657A9" w14:textId="77777777" w:rsidTr="00297D16">
        <w:trPr>
          <w:trHeight w:val="450"/>
        </w:trPr>
        <w:tc>
          <w:tcPr>
            <w:tcW w:w="6385" w:type="dxa"/>
            <w:vMerge/>
            <w:hideMark/>
          </w:tcPr>
          <w:p w14:paraId="01CAF4FD" w14:textId="77777777" w:rsidR="00FD0ADE" w:rsidRPr="00271E52" w:rsidRDefault="00FD0ADE" w:rsidP="00FD0ADE">
            <w:pPr>
              <w:rPr>
                <w:rFonts w:ascii="Arial" w:eastAsia="Times New Roman" w:hAnsi="Arial" w:cs="Arial"/>
                <w:sz w:val="20"/>
                <w:szCs w:val="20"/>
              </w:rPr>
            </w:pPr>
          </w:p>
        </w:tc>
        <w:tc>
          <w:tcPr>
            <w:tcW w:w="3690" w:type="dxa"/>
            <w:vMerge/>
            <w:hideMark/>
          </w:tcPr>
          <w:p w14:paraId="62253758" w14:textId="77777777" w:rsidR="00FD0ADE" w:rsidRPr="00271E52" w:rsidRDefault="00FD0ADE" w:rsidP="00FD0ADE">
            <w:pPr>
              <w:rPr>
                <w:rFonts w:ascii="Arial" w:eastAsia="Times New Roman" w:hAnsi="Arial" w:cs="Arial"/>
                <w:sz w:val="20"/>
                <w:szCs w:val="20"/>
              </w:rPr>
            </w:pPr>
          </w:p>
        </w:tc>
        <w:tc>
          <w:tcPr>
            <w:tcW w:w="4348" w:type="dxa"/>
            <w:vMerge/>
            <w:hideMark/>
          </w:tcPr>
          <w:p w14:paraId="48C915F8" w14:textId="77777777" w:rsidR="00FD0ADE" w:rsidRPr="00271E52" w:rsidRDefault="00FD0ADE" w:rsidP="00FD0ADE">
            <w:pPr>
              <w:rPr>
                <w:rFonts w:ascii="Arial" w:eastAsia="Times New Roman" w:hAnsi="Arial" w:cs="Arial"/>
                <w:sz w:val="20"/>
                <w:szCs w:val="20"/>
              </w:rPr>
            </w:pPr>
          </w:p>
        </w:tc>
      </w:tr>
    </w:tbl>
    <w:p w14:paraId="62DF521A" w14:textId="4F87B714" w:rsidR="00C777C2" w:rsidRPr="005C15A4" w:rsidRDefault="00A45113" w:rsidP="00C41799">
      <w:pPr>
        <w:spacing w:line="240" w:lineRule="auto"/>
        <w:rPr>
          <w:rFonts w:ascii="Arial" w:hAnsi="Arial" w:cs="Arial"/>
        </w:rPr>
      </w:pPr>
      <w:r w:rsidRPr="00271E52">
        <w:rPr>
          <w:rFonts w:ascii="Arial" w:hAnsi="Arial" w:cs="Arial"/>
        </w:rPr>
        <w:t>* Applicants shall independently verify rate details and availability.</w:t>
      </w:r>
    </w:p>
    <w:sectPr w:rsidR="00C777C2" w:rsidRPr="005C15A4" w:rsidSect="00C41799">
      <w:headerReference w:type="default" r:id="rId26"/>
      <w:footerReference w:type="even" r:id="rId27"/>
      <w:footerReference w:type="default" r:id="rId28"/>
      <w:headerReference w:type="first" r:id="rId29"/>
      <w:footerReference w:type="first" r:id="rId3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84F8" w14:textId="77777777" w:rsidR="00F70CBA" w:rsidRDefault="00F70CBA" w:rsidP="005D66A7">
      <w:pPr>
        <w:spacing w:after="0" w:line="240" w:lineRule="auto"/>
      </w:pPr>
      <w:r>
        <w:separator/>
      </w:r>
    </w:p>
  </w:endnote>
  <w:endnote w:type="continuationSeparator" w:id="0">
    <w:p w14:paraId="584F48E1" w14:textId="77777777" w:rsidR="00F70CBA" w:rsidRDefault="00F70CBA" w:rsidP="005D66A7">
      <w:pPr>
        <w:spacing w:after="0" w:line="240" w:lineRule="auto"/>
      </w:pPr>
      <w:r>
        <w:continuationSeparator/>
      </w:r>
    </w:p>
  </w:endnote>
  <w:endnote w:type="continuationNotice" w:id="1">
    <w:p w14:paraId="7AE15599" w14:textId="77777777" w:rsidR="00F70CBA" w:rsidRDefault="00F70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C311" w14:textId="3C4FC2CC" w:rsidR="005D66A7" w:rsidRDefault="005D6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4A8F" w14:textId="5AF0E9D8" w:rsidR="005D66A7" w:rsidRDefault="005D6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B8CA" w14:textId="4C5801FB" w:rsidR="005D66A7" w:rsidRDefault="005D6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6EB9" w14:textId="77777777" w:rsidR="00F70CBA" w:rsidRDefault="00F70CBA" w:rsidP="005D66A7">
      <w:pPr>
        <w:spacing w:after="0" w:line="240" w:lineRule="auto"/>
      </w:pPr>
      <w:r>
        <w:separator/>
      </w:r>
    </w:p>
  </w:footnote>
  <w:footnote w:type="continuationSeparator" w:id="0">
    <w:p w14:paraId="438972C2" w14:textId="77777777" w:rsidR="00F70CBA" w:rsidRDefault="00F70CBA" w:rsidP="005D66A7">
      <w:pPr>
        <w:spacing w:after="0" w:line="240" w:lineRule="auto"/>
      </w:pPr>
      <w:r>
        <w:continuationSeparator/>
      </w:r>
    </w:p>
  </w:footnote>
  <w:footnote w:type="continuationNotice" w:id="1">
    <w:p w14:paraId="3EC3E65E" w14:textId="77777777" w:rsidR="00F70CBA" w:rsidRDefault="00F70C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53ED" w14:textId="63D9F9C4" w:rsidR="005D66A7" w:rsidRDefault="005D6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BBAF" w14:textId="6747E639" w:rsidR="005D66A7" w:rsidRDefault="005D6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DB00"/>
    <w:multiLevelType w:val="hybridMultilevel"/>
    <w:tmpl w:val="1F30BB42"/>
    <w:lvl w:ilvl="0" w:tplc="5226CBEA">
      <w:start w:val="1"/>
      <w:numFmt w:val="decimal"/>
      <w:lvlText w:val="%1."/>
      <w:lvlJc w:val="left"/>
      <w:pPr>
        <w:ind w:left="720" w:hanging="360"/>
      </w:pPr>
    </w:lvl>
    <w:lvl w:ilvl="1" w:tplc="72EE9D24">
      <w:start w:val="1"/>
      <w:numFmt w:val="lowerLetter"/>
      <w:lvlText w:val="%2."/>
      <w:lvlJc w:val="left"/>
      <w:pPr>
        <w:ind w:left="1440" w:hanging="360"/>
      </w:pPr>
    </w:lvl>
    <w:lvl w:ilvl="2" w:tplc="DD0EE9B8">
      <w:start w:val="1"/>
      <w:numFmt w:val="lowerRoman"/>
      <w:lvlText w:val="%3."/>
      <w:lvlJc w:val="right"/>
      <w:pPr>
        <w:ind w:left="2160" w:hanging="180"/>
      </w:pPr>
    </w:lvl>
    <w:lvl w:ilvl="3" w:tplc="ED1E423C">
      <w:start w:val="1"/>
      <w:numFmt w:val="decimal"/>
      <w:lvlText w:val="%4."/>
      <w:lvlJc w:val="left"/>
      <w:pPr>
        <w:ind w:left="2880" w:hanging="360"/>
      </w:pPr>
    </w:lvl>
    <w:lvl w:ilvl="4" w:tplc="7A5A4104">
      <w:start w:val="1"/>
      <w:numFmt w:val="lowerLetter"/>
      <w:lvlText w:val="%5."/>
      <w:lvlJc w:val="left"/>
      <w:pPr>
        <w:ind w:left="3600" w:hanging="360"/>
      </w:pPr>
    </w:lvl>
    <w:lvl w:ilvl="5" w:tplc="8C9E22D2">
      <w:start w:val="1"/>
      <w:numFmt w:val="lowerRoman"/>
      <w:lvlText w:val="%6."/>
      <w:lvlJc w:val="right"/>
      <w:pPr>
        <w:ind w:left="4320" w:hanging="180"/>
      </w:pPr>
    </w:lvl>
    <w:lvl w:ilvl="6" w:tplc="269A3CDA">
      <w:start w:val="1"/>
      <w:numFmt w:val="decimal"/>
      <w:lvlText w:val="%7."/>
      <w:lvlJc w:val="left"/>
      <w:pPr>
        <w:ind w:left="5040" w:hanging="360"/>
      </w:pPr>
    </w:lvl>
    <w:lvl w:ilvl="7" w:tplc="DC2ACEC0">
      <w:start w:val="1"/>
      <w:numFmt w:val="lowerLetter"/>
      <w:lvlText w:val="%8."/>
      <w:lvlJc w:val="left"/>
      <w:pPr>
        <w:ind w:left="5760" w:hanging="360"/>
      </w:pPr>
    </w:lvl>
    <w:lvl w:ilvl="8" w:tplc="2C122D9E">
      <w:start w:val="1"/>
      <w:numFmt w:val="lowerRoman"/>
      <w:lvlText w:val="%9."/>
      <w:lvlJc w:val="right"/>
      <w:pPr>
        <w:ind w:left="6480" w:hanging="180"/>
      </w:pPr>
    </w:lvl>
  </w:abstractNum>
  <w:abstractNum w:abstractNumId="1" w15:restartNumberingAfterBreak="0">
    <w:nsid w:val="36EF214C"/>
    <w:multiLevelType w:val="hybridMultilevel"/>
    <w:tmpl w:val="2A72E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7711100">
    <w:abstractNumId w:val="1"/>
  </w:num>
  <w:num w:numId="2" w16cid:durableId="476722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99"/>
    <w:rsid w:val="0001554C"/>
    <w:rsid w:val="00026046"/>
    <w:rsid w:val="00033B17"/>
    <w:rsid w:val="000435CE"/>
    <w:rsid w:val="000621E2"/>
    <w:rsid w:val="00077BD1"/>
    <w:rsid w:val="00090CA6"/>
    <w:rsid w:val="000B15D5"/>
    <w:rsid w:val="000C1D99"/>
    <w:rsid w:val="000D1CF8"/>
    <w:rsid w:val="000D2BDF"/>
    <w:rsid w:val="000D418E"/>
    <w:rsid w:val="000F750E"/>
    <w:rsid w:val="00112976"/>
    <w:rsid w:val="0012134C"/>
    <w:rsid w:val="00131A0F"/>
    <w:rsid w:val="00136202"/>
    <w:rsid w:val="00137624"/>
    <w:rsid w:val="001501AA"/>
    <w:rsid w:val="00157C6A"/>
    <w:rsid w:val="001600E5"/>
    <w:rsid w:val="00161F34"/>
    <w:rsid w:val="00164EFB"/>
    <w:rsid w:val="0016673B"/>
    <w:rsid w:val="00170276"/>
    <w:rsid w:val="0017754F"/>
    <w:rsid w:val="001846D2"/>
    <w:rsid w:val="001A79B2"/>
    <w:rsid w:val="001C157A"/>
    <w:rsid w:val="001C5AEF"/>
    <w:rsid w:val="001C7C1F"/>
    <w:rsid w:val="001D037C"/>
    <w:rsid w:val="001F1C86"/>
    <w:rsid w:val="001F29F5"/>
    <w:rsid w:val="002103CF"/>
    <w:rsid w:val="00216E60"/>
    <w:rsid w:val="002214C1"/>
    <w:rsid w:val="0023532D"/>
    <w:rsid w:val="002362D9"/>
    <w:rsid w:val="00243B85"/>
    <w:rsid w:val="00271AEB"/>
    <w:rsid w:val="00271E52"/>
    <w:rsid w:val="00273827"/>
    <w:rsid w:val="002813EC"/>
    <w:rsid w:val="002837FD"/>
    <w:rsid w:val="00285886"/>
    <w:rsid w:val="00293714"/>
    <w:rsid w:val="00297D16"/>
    <w:rsid w:val="002A30AE"/>
    <w:rsid w:val="002B11D7"/>
    <w:rsid w:val="002B22AA"/>
    <w:rsid w:val="002B5F85"/>
    <w:rsid w:val="002B7BBF"/>
    <w:rsid w:val="002D1F21"/>
    <w:rsid w:val="002D2F20"/>
    <w:rsid w:val="002E2D85"/>
    <w:rsid w:val="002F147A"/>
    <w:rsid w:val="002F2BB7"/>
    <w:rsid w:val="003009A3"/>
    <w:rsid w:val="00305A8F"/>
    <w:rsid w:val="003130B5"/>
    <w:rsid w:val="00314B62"/>
    <w:rsid w:val="00321E97"/>
    <w:rsid w:val="00325837"/>
    <w:rsid w:val="00330393"/>
    <w:rsid w:val="00336B7A"/>
    <w:rsid w:val="003428C7"/>
    <w:rsid w:val="00345CCD"/>
    <w:rsid w:val="00354511"/>
    <w:rsid w:val="00355C97"/>
    <w:rsid w:val="00370A83"/>
    <w:rsid w:val="00372C78"/>
    <w:rsid w:val="00374D1D"/>
    <w:rsid w:val="00380D8E"/>
    <w:rsid w:val="00382A11"/>
    <w:rsid w:val="00387240"/>
    <w:rsid w:val="00392027"/>
    <w:rsid w:val="00392BDB"/>
    <w:rsid w:val="00397677"/>
    <w:rsid w:val="003D060E"/>
    <w:rsid w:val="003D0F16"/>
    <w:rsid w:val="003D1730"/>
    <w:rsid w:val="003D2249"/>
    <w:rsid w:val="003D2970"/>
    <w:rsid w:val="003D6C5A"/>
    <w:rsid w:val="003D6E19"/>
    <w:rsid w:val="003E3549"/>
    <w:rsid w:val="003F6786"/>
    <w:rsid w:val="003F6AFF"/>
    <w:rsid w:val="0040337C"/>
    <w:rsid w:val="00411A2E"/>
    <w:rsid w:val="0041447F"/>
    <w:rsid w:val="00415D43"/>
    <w:rsid w:val="0041701A"/>
    <w:rsid w:val="00427546"/>
    <w:rsid w:val="0044368B"/>
    <w:rsid w:val="00447E44"/>
    <w:rsid w:val="0045566F"/>
    <w:rsid w:val="004616C2"/>
    <w:rsid w:val="00465A80"/>
    <w:rsid w:val="004664F1"/>
    <w:rsid w:val="00473D93"/>
    <w:rsid w:val="004762B8"/>
    <w:rsid w:val="00476587"/>
    <w:rsid w:val="00476CB6"/>
    <w:rsid w:val="004828F9"/>
    <w:rsid w:val="00484449"/>
    <w:rsid w:val="004A288C"/>
    <w:rsid w:val="004A443E"/>
    <w:rsid w:val="004A6AD5"/>
    <w:rsid w:val="004B1361"/>
    <w:rsid w:val="004B441D"/>
    <w:rsid w:val="004C5DDA"/>
    <w:rsid w:val="004D00DD"/>
    <w:rsid w:val="004D0488"/>
    <w:rsid w:val="004D2846"/>
    <w:rsid w:val="004D4875"/>
    <w:rsid w:val="004E0E50"/>
    <w:rsid w:val="004E1E09"/>
    <w:rsid w:val="004F4F16"/>
    <w:rsid w:val="005032D6"/>
    <w:rsid w:val="00511DEF"/>
    <w:rsid w:val="00523C14"/>
    <w:rsid w:val="005302F4"/>
    <w:rsid w:val="00531228"/>
    <w:rsid w:val="00531449"/>
    <w:rsid w:val="00536EDA"/>
    <w:rsid w:val="00542D82"/>
    <w:rsid w:val="00545AF1"/>
    <w:rsid w:val="00551D81"/>
    <w:rsid w:val="00572BB5"/>
    <w:rsid w:val="0057342A"/>
    <w:rsid w:val="005742F9"/>
    <w:rsid w:val="00576015"/>
    <w:rsid w:val="00576D5A"/>
    <w:rsid w:val="00576FEE"/>
    <w:rsid w:val="00580F0C"/>
    <w:rsid w:val="005842D5"/>
    <w:rsid w:val="00596655"/>
    <w:rsid w:val="005B0AB4"/>
    <w:rsid w:val="005C15A4"/>
    <w:rsid w:val="005D66A7"/>
    <w:rsid w:val="005E3B20"/>
    <w:rsid w:val="005E45B2"/>
    <w:rsid w:val="00600B95"/>
    <w:rsid w:val="0060142A"/>
    <w:rsid w:val="00607F3E"/>
    <w:rsid w:val="0061C227"/>
    <w:rsid w:val="006251C3"/>
    <w:rsid w:val="00631934"/>
    <w:rsid w:val="006426D3"/>
    <w:rsid w:val="00643F3A"/>
    <w:rsid w:val="006658F3"/>
    <w:rsid w:val="00671691"/>
    <w:rsid w:val="00685726"/>
    <w:rsid w:val="00687DEC"/>
    <w:rsid w:val="00691D28"/>
    <w:rsid w:val="006A12C3"/>
    <w:rsid w:val="006A4844"/>
    <w:rsid w:val="006A54CE"/>
    <w:rsid w:val="006B4486"/>
    <w:rsid w:val="006C03DE"/>
    <w:rsid w:val="006C2CB7"/>
    <w:rsid w:val="006C49F3"/>
    <w:rsid w:val="006D1963"/>
    <w:rsid w:val="006E05EC"/>
    <w:rsid w:val="006F514B"/>
    <w:rsid w:val="0070092E"/>
    <w:rsid w:val="00710026"/>
    <w:rsid w:val="007149CC"/>
    <w:rsid w:val="0072747C"/>
    <w:rsid w:val="0073748C"/>
    <w:rsid w:val="00751782"/>
    <w:rsid w:val="00753375"/>
    <w:rsid w:val="00754A7B"/>
    <w:rsid w:val="00761433"/>
    <w:rsid w:val="00761C0A"/>
    <w:rsid w:val="0076350D"/>
    <w:rsid w:val="0076404E"/>
    <w:rsid w:val="00766EEC"/>
    <w:rsid w:val="00770F4E"/>
    <w:rsid w:val="00774816"/>
    <w:rsid w:val="00776559"/>
    <w:rsid w:val="00781A4B"/>
    <w:rsid w:val="0079549D"/>
    <w:rsid w:val="007B3BCE"/>
    <w:rsid w:val="007C3ABA"/>
    <w:rsid w:val="007E0F2A"/>
    <w:rsid w:val="007E77FB"/>
    <w:rsid w:val="007F64A3"/>
    <w:rsid w:val="0080049E"/>
    <w:rsid w:val="008129BF"/>
    <w:rsid w:val="00812AF4"/>
    <w:rsid w:val="00814847"/>
    <w:rsid w:val="008320C0"/>
    <w:rsid w:val="00833830"/>
    <w:rsid w:val="008448F7"/>
    <w:rsid w:val="00847B81"/>
    <w:rsid w:val="00851803"/>
    <w:rsid w:val="00853B77"/>
    <w:rsid w:val="0085742C"/>
    <w:rsid w:val="008721E8"/>
    <w:rsid w:val="00886D58"/>
    <w:rsid w:val="008876BC"/>
    <w:rsid w:val="008A0442"/>
    <w:rsid w:val="008B751D"/>
    <w:rsid w:val="008C7438"/>
    <w:rsid w:val="008D0321"/>
    <w:rsid w:val="008D5BAF"/>
    <w:rsid w:val="008E6ADC"/>
    <w:rsid w:val="008F20BD"/>
    <w:rsid w:val="008F6A83"/>
    <w:rsid w:val="00900A3F"/>
    <w:rsid w:val="00904F1A"/>
    <w:rsid w:val="00907B4D"/>
    <w:rsid w:val="009130A9"/>
    <w:rsid w:val="0091709A"/>
    <w:rsid w:val="009202EA"/>
    <w:rsid w:val="00925522"/>
    <w:rsid w:val="0093607A"/>
    <w:rsid w:val="009408CD"/>
    <w:rsid w:val="009423B2"/>
    <w:rsid w:val="00954F7F"/>
    <w:rsid w:val="00956844"/>
    <w:rsid w:val="009632D0"/>
    <w:rsid w:val="0097687D"/>
    <w:rsid w:val="00980174"/>
    <w:rsid w:val="00991234"/>
    <w:rsid w:val="00997B7C"/>
    <w:rsid w:val="009A531F"/>
    <w:rsid w:val="009A5E75"/>
    <w:rsid w:val="009B07A9"/>
    <w:rsid w:val="009B534F"/>
    <w:rsid w:val="009C0630"/>
    <w:rsid w:val="009C75C4"/>
    <w:rsid w:val="009D6B17"/>
    <w:rsid w:val="009E2D60"/>
    <w:rsid w:val="009F54A5"/>
    <w:rsid w:val="00A05F2A"/>
    <w:rsid w:val="00A07266"/>
    <w:rsid w:val="00A14491"/>
    <w:rsid w:val="00A17F8D"/>
    <w:rsid w:val="00A217CA"/>
    <w:rsid w:val="00A23276"/>
    <w:rsid w:val="00A33EE3"/>
    <w:rsid w:val="00A45113"/>
    <w:rsid w:val="00A5014E"/>
    <w:rsid w:val="00A53E8A"/>
    <w:rsid w:val="00A557B4"/>
    <w:rsid w:val="00A5731B"/>
    <w:rsid w:val="00A70582"/>
    <w:rsid w:val="00A7224E"/>
    <w:rsid w:val="00A842C3"/>
    <w:rsid w:val="00A84D1D"/>
    <w:rsid w:val="00A8636B"/>
    <w:rsid w:val="00A92F89"/>
    <w:rsid w:val="00AA7CE6"/>
    <w:rsid w:val="00AB47B1"/>
    <w:rsid w:val="00AC5A35"/>
    <w:rsid w:val="00AC65F4"/>
    <w:rsid w:val="00AC7FC8"/>
    <w:rsid w:val="00AD5D02"/>
    <w:rsid w:val="00AD5D36"/>
    <w:rsid w:val="00AD6A14"/>
    <w:rsid w:val="00AE21F1"/>
    <w:rsid w:val="00AE6A64"/>
    <w:rsid w:val="00AE7731"/>
    <w:rsid w:val="00B12437"/>
    <w:rsid w:val="00B24822"/>
    <w:rsid w:val="00B31CDC"/>
    <w:rsid w:val="00B3403C"/>
    <w:rsid w:val="00B66042"/>
    <w:rsid w:val="00B67F9B"/>
    <w:rsid w:val="00B7562C"/>
    <w:rsid w:val="00B76D68"/>
    <w:rsid w:val="00B80042"/>
    <w:rsid w:val="00BA01F1"/>
    <w:rsid w:val="00BB052E"/>
    <w:rsid w:val="00BB504A"/>
    <w:rsid w:val="00BC3FF1"/>
    <w:rsid w:val="00BC5DF0"/>
    <w:rsid w:val="00BD2BC8"/>
    <w:rsid w:val="00BE69EF"/>
    <w:rsid w:val="00BF274E"/>
    <w:rsid w:val="00C00203"/>
    <w:rsid w:val="00C0750E"/>
    <w:rsid w:val="00C17C75"/>
    <w:rsid w:val="00C2105D"/>
    <w:rsid w:val="00C21C51"/>
    <w:rsid w:val="00C2321D"/>
    <w:rsid w:val="00C4112B"/>
    <w:rsid w:val="00C41799"/>
    <w:rsid w:val="00C42A84"/>
    <w:rsid w:val="00C43803"/>
    <w:rsid w:val="00C54B0F"/>
    <w:rsid w:val="00C55D61"/>
    <w:rsid w:val="00C564A1"/>
    <w:rsid w:val="00C5675C"/>
    <w:rsid w:val="00C56E7B"/>
    <w:rsid w:val="00C777C2"/>
    <w:rsid w:val="00C8002A"/>
    <w:rsid w:val="00C97C87"/>
    <w:rsid w:val="00CA2E3C"/>
    <w:rsid w:val="00CA73C5"/>
    <w:rsid w:val="00CC5C2F"/>
    <w:rsid w:val="00CD182B"/>
    <w:rsid w:val="00CD23AC"/>
    <w:rsid w:val="00CE28EE"/>
    <w:rsid w:val="00CE6E7D"/>
    <w:rsid w:val="00CF4FB4"/>
    <w:rsid w:val="00D033D5"/>
    <w:rsid w:val="00D34370"/>
    <w:rsid w:val="00D35773"/>
    <w:rsid w:val="00D36AAB"/>
    <w:rsid w:val="00D43F95"/>
    <w:rsid w:val="00D501D6"/>
    <w:rsid w:val="00D52ABE"/>
    <w:rsid w:val="00D64343"/>
    <w:rsid w:val="00D779B8"/>
    <w:rsid w:val="00D8584E"/>
    <w:rsid w:val="00D90B73"/>
    <w:rsid w:val="00D96BB2"/>
    <w:rsid w:val="00DB7F9D"/>
    <w:rsid w:val="00DC0A59"/>
    <w:rsid w:val="00DC2FD1"/>
    <w:rsid w:val="00DC665D"/>
    <w:rsid w:val="00DD43E0"/>
    <w:rsid w:val="00DE0E38"/>
    <w:rsid w:val="00DE1D55"/>
    <w:rsid w:val="00DF040A"/>
    <w:rsid w:val="00E11799"/>
    <w:rsid w:val="00E16B20"/>
    <w:rsid w:val="00E17B97"/>
    <w:rsid w:val="00E239C5"/>
    <w:rsid w:val="00E23EDC"/>
    <w:rsid w:val="00E309C9"/>
    <w:rsid w:val="00E43572"/>
    <w:rsid w:val="00E565DE"/>
    <w:rsid w:val="00E56D92"/>
    <w:rsid w:val="00E57ACE"/>
    <w:rsid w:val="00E6109D"/>
    <w:rsid w:val="00E6269C"/>
    <w:rsid w:val="00E62E59"/>
    <w:rsid w:val="00E6387F"/>
    <w:rsid w:val="00E6513B"/>
    <w:rsid w:val="00E80B80"/>
    <w:rsid w:val="00E81C35"/>
    <w:rsid w:val="00E96474"/>
    <w:rsid w:val="00EA336C"/>
    <w:rsid w:val="00EB1755"/>
    <w:rsid w:val="00EB369C"/>
    <w:rsid w:val="00EB7652"/>
    <w:rsid w:val="00EC1201"/>
    <w:rsid w:val="00EC2FC8"/>
    <w:rsid w:val="00EF1D66"/>
    <w:rsid w:val="00EF5F10"/>
    <w:rsid w:val="00F056AA"/>
    <w:rsid w:val="00F06827"/>
    <w:rsid w:val="00F12668"/>
    <w:rsid w:val="00F14AED"/>
    <w:rsid w:val="00F156C8"/>
    <w:rsid w:val="00F402C4"/>
    <w:rsid w:val="00F43B78"/>
    <w:rsid w:val="00F463F7"/>
    <w:rsid w:val="00F502C4"/>
    <w:rsid w:val="00F54A61"/>
    <w:rsid w:val="00F70CBA"/>
    <w:rsid w:val="00F710F8"/>
    <w:rsid w:val="00F72A9F"/>
    <w:rsid w:val="00F77E8C"/>
    <w:rsid w:val="00F8576E"/>
    <w:rsid w:val="00F90BCE"/>
    <w:rsid w:val="00F965F6"/>
    <w:rsid w:val="00F96FA8"/>
    <w:rsid w:val="00FA23B3"/>
    <w:rsid w:val="00FA413C"/>
    <w:rsid w:val="00FA630B"/>
    <w:rsid w:val="00FA7D90"/>
    <w:rsid w:val="00FB0456"/>
    <w:rsid w:val="00FB0F6B"/>
    <w:rsid w:val="00FC22AF"/>
    <w:rsid w:val="00FD0ADE"/>
    <w:rsid w:val="00FD3B7A"/>
    <w:rsid w:val="00FF3063"/>
    <w:rsid w:val="0121D940"/>
    <w:rsid w:val="02069619"/>
    <w:rsid w:val="0262A5C0"/>
    <w:rsid w:val="029E3396"/>
    <w:rsid w:val="02C4064A"/>
    <w:rsid w:val="02E6D7E2"/>
    <w:rsid w:val="02EC7B7A"/>
    <w:rsid w:val="03066175"/>
    <w:rsid w:val="0321DD24"/>
    <w:rsid w:val="041C606F"/>
    <w:rsid w:val="04ADE476"/>
    <w:rsid w:val="059A4E58"/>
    <w:rsid w:val="0638EEDD"/>
    <w:rsid w:val="071743DB"/>
    <w:rsid w:val="0862B65A"/>
    <w:rsid w:val="087F03D8"/>
    <w:rsid w:val="08DB0FB8"/>
    <w:rsid w:val="096366B9"/>
    <w:rsid w:val="09A45612"/>
    <w:rsid w:val="09DBD2E5"/>
    <w:rsid w:val="0A31508D"/>
    <w:rsid w:val="0A71F74D"/>
    <w:rsid w:val="0AC1F8F5"/>
    <w:rsid w:val="0ADCD3EA"/>
    <w:rsid w:val="0B57AD71"/>
    <w:rsid w:val="0BE40CB4"/>
    <w:rsid w:val="0BF0217D"/>
    <w:rsid w:val="0C6E3DF0"/>
    <w:rsid w:val="0CAB144A"/>
    <w:rsid w:val="0D38FDEC"/>
    <w:rsid w:val="0D43F0F2"/>
    <w:rsid w:val="0ECBF0C4"/>
    <w:rsid w:val="0FC8813C"/>
    <w:rsid w:val="1067C125"/>
    <w:rsid w:val="11074A90"/>
    <w:rsid w:val="11FA5548"/>
    <w:rsid w:val="12039186"/>
    <w:rsid w:val="12A77FD7"/>
    <w:rsid w:val="144AC954"/>
    <w:rsid w:val="14C5E71C"/>
    <w:rsid w:val="15584B21"/>
    <w:rsid w:val="169D253C"/>
    <w:rsid w:val="16E5EA99"/>
    <w:rsid w:val="17B642D4"/>
    <w:rsid w:val="180E8B69"/>
    <w:rsid w:val="1869EF03"/>
    <w:rsid w:val="18927B99"/>
    <w:rsid w:val="194775E1"/>
    <w:rsid w:val="19CF26F2"/>
    <w:rsid w:val="19FEE119"/>
    <w:rsid w:val="1A1BCD03"/>
    <w:rsid w:val="1BBEEC30"/>
    <w:rsid w:val="1BF4F5E0"/>
    <w:rsid w:val="1D6A5BEA"/>
    <w:rsid w:val="1DE95C7C"/>
    <w:rsid w:val="1E43DF55"/>
    <w:rsid w:val="202FAF8D"/>
    <w:rsid w:val="205199B8"/>
    <w:rsid w:val="208346EF"/>
    <w:rsid w:val="21620752"/>
    <w:rsid w:val="22BF4212"/>
    <w:rsid w:val="22E56D5F"/>
    <w:rsid w:val="235CE0DB"/>
    <w:rsid w:val="23827350"/>
    <w:rsid w:val="23946549"/>
    <w:rsid w:val="24B39083"/>
    <w:rsid w:val="24C38CF8"/>
    <w:rsid w:val="268494BC"/>
    <w:rsid w:val="26D9F78E"/>
    <w:rsid w:val="2753E30A"/>
    <w:rsid w:val="27BE84CB"/>
    <w:rsid w:val="286421D1"/>
    <w:rsid w:val="286DED24"/>
    <w:rsid w:val="28DB702C"/>
    <w:rsid w:val="2929DF5F"/>
    <w:rsid w:val="29559B6C"/>
    <w:rsid w:val="295A552C"/>
    <w:rsid w:val="29740A64"/>
    <w:rsid w:val="29990EF3"/>
    <w:rsid w:val="29D90579"/>
    <w:rsid w:val="2AA94213"/>
    <w:rsid w:val="2AC2D8AF"/>
    <w:rsid w:val="2AEA3010"/>
    <w:rsid w:val="2BFBD50C"/>
    <w:rsid w:val="2C6CF24D"/>
    <w:rsid w:val="2C79C797"/>
    <w:rsid w:val="2D38091D"/>
    <w:rsid w:val="2D6CB8BD"/>
    <w:rsid w:val="2DE0E091"/>
    <w:rsid w:val="2E76A14A"/>
    <w:rsid w:val="2FFEC9B9"/>
    <w:rsid w:val="31356083"/>
    <w:rsid w:val="31E8C726"/>
    <w:rsid w:val="3238926C"/>
    <w:rsid w:val="326C74F1"/>
    <w:rsid w:val="329ED78F"/>
    <w:rsid w:val="32AB804B"/>
    <w:rsid w:val="32D081C8"/>
    <w:rsid w:val="34A2039D"/>
    <w:rsid w:val="351A9662"/>
    <w:rsid w:val="35228F06"/>
    <w:rsid w:val="357D235A"/>
    <w:rsid w:val="35A78150"/>
    <w:rsid w:val="3718F3BB"/>
    <w:rsid w:val="3931FCEF"/>
    <w:rsid w:val="39E33C53"/>
    <w:rsid w:val="3AAC6E80"/>
    <w:rsid w:val="3AEBA7AF"/>
    <w:rsid w:val="3B6515A4"/>
    <w:rsid w:val="3BDB115C"/>
    <w:rsid w:val="3C5EF007"/>
    <w:rsid w:val="3DB9A02C"/>
    <w:rsid w:val="3DF4DD81"/>
    <w:rsid w:val="3E4019A9"/>
    <w:rsid w:val="3EDAD2DB"/>
    <w:rsid w:val="3EFD98FA"/>
    <w:rsid w:val="409C4BAB"/>
    <w:rsid w:val="42217411"/>
    <w:rsid w:val="4225C740"/>
    <w:rsid w:val="4233AFC3"/>
    <w:rsid w:val="429A039B"/>
    <w:rsid w:val="42D5AA98"/>
    <w:rsid w:val="42F6B3FB"/>
    <w:rsid w:val="442314B0"/>
    <w:rsid w:val="443E6A2F"/>
    <w:rsid w:val="443FEC44"/>
    <w:rsid w:val="445138A3"/>
    <w:rsid w:val="44717AF9"/>
    <w:rsid w:val="481B9EB2"/>
    <w:rsid w:val="4A1C59BB"/>
    <w:rsid w:val="4A283352"/>
    <w:rsid w:val="4C0DE7B0"/>
    <w:rsid w:val="4C1FAC9A"/>
    <w:rsid w:val="4C7A9646"/>
    <w:rsid w:val="4CD357C2"/>
    <w:rsid w:val="4D80D1C8"/>
    <w:rsid w:val="4DEEFDD0"/>
    <w:rsid w:val="4ECA8D26"/>
    <w:rsid w:val="4EFEA2D0"/>
    <w:rsid w:val="4F53B38D"/>
    <w:rsid w:val="4FA5DA9C"/>
    <w:rsid w:val="4FB28602"/>
    <w:rsid w:val="4FBA2FAC"/>
    <w:rsid w:val="4FD7E5AF"/>
    <w:rsid w:val="4FDBF56C"/>
    <w:rsid w:val="501AA8B8"/>
    <w:rsid w:val="50FC56C0"/>
    <w:rsid w:val="51A47D13"/>
    <w:rsid w:val="51EDB5AF"/>
    <w:rsid w:val="5215DBC8"/>
    <w:rsid w:val="522419C6"/>
    <w:rsid w:val="523084ED"/>
    <w:rsid w:val="523AFC85"/>
    <w:rsid w:val="524989B4"/>
    <w:rsid w:val="52EC6C77"/>
    <w:rsid w:val="53475C60"/>
    <w:rsid w:val="550D9BAD"/>
    <w:rsid w:val="55732A93"/>
    <w:rsid w:val="55C7F157"/>
    <w:rsid w:val="5689575D"/>
    <w:rsid w:val="5765B5B3"/>
    <w:rsid w:val="58282C2F"/>
    <w:rsid w:val="58855752"/>
    <w:rsid w:val="58C6B55E"/>
    <w:rsid w:val="59C3FC90"/>
    <w:rsid w:val="5A8884E4"/>
    <w:rsid w:val="5AD7ED7C"/>
    <w:rsid w:val="5B4B9CC2"/>
    <w:rsid w:val="5C0D3727"/>
    <w:rsid w:val="5C29F402"/>
    <w:rsid w:val="5C3DCCEE"/>
    <w:rsid w:val="5D278CA7"/>
    <w:rsid w:val="5D6C895F"/>
    <w:rsid w:val="5DA1DE11"/>
    <w:rsid w:val="5E0D922E"/>
    <w:rsid w:val="5EA999C9"/>
    <w:rsid w:val="5EFF11C4"/>
    <w:rsid w:val="5F0048B2"/>
    <w:rsid w:val="5F091B9F"/>
    <w:rsid w:val="5FFBECF2"/>
    <w:rsid w:val="60085F97"/>
    <w:rsid w:val="60486EE1"/>
    <w:rsid w:val="6056AE09"/>
    <w:rsid w:val="6101402B"/>
    <w:rsid w:val="61017E47"/>
    <w:rsid w:val="61E5EA1A"/>
    <w:rsid w:val="62394A7A"/>
    <w:rsid w:val="626288E0"/>
    <w:rsid w:val="62F8E6E2"/>
    <w:rsid w:val="6355F4CE"/>
    <w:rsid w:val="637AD9AA"/>
    <w:rsid w:val="64A42583"/>
    <w:rsid w:val="64DAFE0A"/>
    <w:rsid w:val="64E21569"/>
    <w:rsid w:val="64E52E6D"/>
    <w:rsid w:val="6561E0AF"/>
    <w:rsid w:val="6698810C"/>
    <w:rsid w:val="66F99C6A"/>
    <w:rsid w:val="6725F4C9"/>
    <w:rsid w:val="67BA2D7C"/>
    <w:rsid w:val="67C42878"/>
    <w:rsid w:val="6877EAA8"/>
    <w:rsid w:val="687A3AA6"/>
    <w:rsid w:val="6941FD88"/>
    <w:rsid w:val="6967FB97"/>
    <w:rsid w:val="6A801B8D"/>
    <w:rsid w:val="6B0BDE2F"/>
    <w:rsid w:val="6B5D2E00"/>
    <w:rsid w:val="6BF0F3C8"/>
    <w:rsid w:val="6CE9EA13"/>
    <w:rsid w:val="6D118768"/>
    <w:rsid w:val="6DEF0193"/>
    <w:rsid w:val="6E7F1006"/>
    <w:rsid w:val="6EE0293D"/>
    <w:rsid w:val="701A9AD2"/>
    <w:rsid w:val="701FDCD1"/>
    <w:rsid w:val="712CDE36"/>
    <w:rsid w:val="715004FD"/>
    <w:rsid w:val="719B6F4C"/>
    <w:rsid w:val="71D69D49"/>
    <w:rsid w:val="71E87AFA"/>
    <w:rsid w:val="72D7D77A"/>
    <w:rsid w:val="7308D2A0"/>
    <w:rsid w:val="732E3571"/>
    <w:rsid w:val="73317AC1"/>
    <w:rsid w:val="73EBF133"/>
    <w:rsid w:val="73EC3EB8"/>
    <w:rsid w:val="745B9D36"/>
    <w:rsid w:val="74C3ACDE"/>
    <w:rsid w:val="7574E9C3"/>
    <w:rsid w:val="768C1102"/>
    <w:rsid w:val="76D594D5"/>
    <w:rsid w:val="76EDD66B"/>
    <w:rsid w:val="782BCA87"/>
    <w:rsid w:val="786A95B5"/>
    <w:rsid w:val="787800D4"/>
    <w:rsid w:val="798F3612"/>
    <w:rsid w:val="7B32FAEA"/>
    <w:rsid w:val="7BDAB4AD"/>
    <w:rsid w:val="7BF51C7D"/>
    <w:rsid w:val="7C265C4D"/>
    <w:rsid w:val="7C3D5E31"/>
    <w:rsid w:val="7D2F3660"/>
    <w:rsid w:val="7DA4B58F"/>
    <w:rsid w:val="7DDB6E22"/>
    <w:rsid w:val="7E7BEDD0"/>
    <w:rsid w:val="7E8C32C0"/>
    <w:rsid w:val="7F8D1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F170"/>
  <w15:chartTrackingRefBased/>
  <w15:docId w15:val="{56334A45-CCE9-488C-A9A4-013940E7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799"/>
    <w:rPr>
      <w:color w:val="0563C1" w:themeColor="hyperlink"/>
      <w:u w:val="single"/>
    </w:rPr>
  </w:style>
  <w:style w:type="character" w:styleId="UnresolvedMention">
    <w:name w:val="Unresolved Mention"/>
    <w:basedOn w:val="DefaultParagraphFont"/>
    <w:uiPriority w:val="99"/>
    <w:semiHidden/>
    <w:unhideWhenUsed/>
    <w:rsid w:val="00C41799"/>
    <w:rPr>
      <w:color w:val="605E5C"/>
      <w:shd w:val="clear" w:color="auto" w:fill="E1DFDD"/>
    </w:rPr>
  </w:style>
  <w:style w:type="character" w:styleId="FollowedHyperlink">
    <w:name w:val="FollowedHyperlink"/>
    <w:basedOn w:val="DefaultParagraphFont"/>
    <w:uiPriority w:val="99"/>
    <w:semiHidden/>
    <w:unhideWhenUsed/>
    <w:rsid w:val="00C41799"/>
    <w:rPr>
      <w:color w:val="954F72" w:themeColor="followedHyperlink"/>
      <w:u w:val="single"/>
    </w:rPr>
  </w:style>
  <w:style w:type="paragraph" w:styleId="ListParagraph">
    <w:name w:val="List Paragraph"/>
    <w:basedOn w:val="Normal"/>
    <w:uiPriority w:val="34"/>
    <w:qFormat/>
    <w:rsid w:val="00A45113"/>
    <w:pPr>
      <w:ind w:left="720"/>
      <w:contextualSpacing/>
    </w:pPr>
  </w:style>
  <w:style w:type="character" w:styleId="CommentReference">
    <w:name w:val="annotation reference"/>
    <w:basedOn w:val="DefaultParagraphFont"/>
    <w:uiPriority w:val="99"/>
    <w:semiHidden/>
    <w:unhideWhenUsed/>
    <w:rsid w:val="0040337C"/>
    <w:rPr>
      <w:sz w:val="16"/>
      <w:szCs w:val="16"/>
    </w:rPr>
  </w:style>
  <w:style w:type="paragraph" w:styleId="CommentText">
    <w:name w:val="annotation text"/>
    <w:basedOn w:val="Normal"/>
    <w:link w:val="CommentTextChar"/>
    <w:uiPriority w:val="99"/>
    <w:unhideWhenUsed/>
    <w:rsid w:val="0040337C"/>
    <w:pPr>
      <w:spacing w:line="240" w:lineRule="auto"/>
    </w:pPr>
    <w:rPr>
      <w:sz w:val="20"/>
      <w:szCs w:val="20"/>
    </w:rPr>
  </w:style>
  <w:style w:type="character" w:customStyle="1" w:styleId="CommentTextChar">
    <w:name w:val="Comment Text Char"/>
    <w:basedOn w:val="DefaultParagraphFont"/>
    <w:link w:val="CommentText"/>
    <w:uiPriority w:val="99"/>
    <w:rsid w:val="0040337C"/>
    <w:rPr>
      <w:sz w:val="20"/>
      <w:szCs w:val="20"/>
    </w:rPr>
  </w:style>
  <w:style w:type="paragraph" w:styleId="CommentSubject">
    <w:name w:val="annotation subject"/>
    <w:basedOn w:val="CommentText"/>
    <w:next w:val="CommentText"/>
    <w:link w:val="CommentSubjectChar"/>
    <w:uiPriority w:val="99"/>
    <w:semiHidden/>
    <w:unhideWhenUsed/>
    <w:rsid w:val="0040337C"/>
    <w:rPr>
      <w:b/>
      <w:bCs/>
    </w:rPr>
  </w:style>
  <w:style w:type="character" w:customStyle="1" w:styleId="CommentSubjectChar">
    <w:name w:val="Comment Subject Char"/>
    <w:basedOn w:val="CommentTextChar"/>
    <w:link w:val="CommentSubject"/>
    <w:uiPriority w:val="99"/>
    <w:semiHidden/>
    <w:rsid w:val="0040337C"/>
    <w:rPr>
      <w:b/>
      <w:bCs/>
      <w:sz w:val="20"/>
      <w:szCs w:val="20"/>
    </w:rPr>
  </w:style>
  <w:style w:type="paragraph" w:styleId="Revision">
    <w:name w:val="Revision"/>
    <w:hidden/>
    <w:uiPriority w:val="99"/>
    <w:semiHidden/>
    <w:rsid w:val="00D64343"/>
    <w:pPr>
      <w:spacing w:after="0" w:line="240" w:lineRule="auto"/>
    </w:pPr>
  </w:style>
  <w:style w:type="character" w:styleId="Mention">
    <w:name w:val="Mention"/>
    <w:basedOn w:val="DefaultParagraphFont"/>
    <w:uiPriority w:val="99"/>
    <w:unhideWhenUsed/>
    <w:rsid w:val="004A288C"/>
    <w:rPr>
      <w:color w:val="2B579A"/>
      <w:shd w:val="clear" w:color="auto" w:fill="E1DFDD"/>
    </w:rPr>
  </w:style>
  <w:style w:type="paragraph" w:styleId="Header">
    <w:name w:val="header"/>
    <w:basedOn w:val="Normal"/>
    <w:link w:val="HeaderChar"/>
    <w:uiPriority w:val="99"/>
    <w:unhideWhenUsed/>
    <w:rsid w:val="005D6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6A7"/>
  </w:style>
  <w:style w:type="paragraph" w:styleId="Footer">
    <w:name w:val="footer"/>
    <w:basedOn w:val="Normal"/>
    <w:link w:val="FooterChar"/>
    <w:uiPriority w:val="99"/>
    <w:unhideWhenUsed/>
    <w:rsid w:val="005D6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6A7"/>
  </w:style>
  <w:style w:type="table" w:styleId="TableGridLight">
    <w:name w:val="Grid Table Light"/>
    <w:basedOn w:val="TableNormal"/>
    <w:uiPriority w:val="40"/>
    <w:rsid w:val="00297D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132">
      <w:bodyDiv w:val="1"/>
      <w:marLeft w:val="0"/>
      <w:marRight w:val="0"/>
      <w:marTop w:val="0"/>
      <w:marBottom w:val="0"/>
      <w:divBdr>
        <w:top w:val="none" w:sz="0" w:space="0" w:color="auto"/>
        <w:left w:val="none" w:sz="0" w:space="0" w:color="auto"/>
        <w:bottom w:val="none" w:sz="0" w:space="0" w:color="auto"/>
        <w:right w:val="none" w:sz="0" w:space="0" w:color="auto"/>
      </w:divBdr>
      <w:divsChild>
        <w:div w:id="944340274">
          <w:marLeft w:val="0"/>
          <w:marRight w:val="0"/>
          <w:marTop w:val="0"/>
          <w:marBottom w:val="0"/>
          <w:divBdr>
            <w:top w:val="none" w:sz="0" w:space="0" w:color="auto"/>
            <w:left w:val="none" w:sz="0" w:space="0" w:color="auto"/>
            <w:bottom w:val="none" w:sz="0" w:space="0" w:color="auto"/>
            <w:right w:val="none" w:sz="0" w:space="0" w:color="auto"/>
          </w:divBdr>
        </w:div>
      </w:divsChild>
    </w:div>
    <w:div w:id="935796028">
      <w:bodyDiv w:val="1"/>
      <w:marLeft w:val="0"/>
      <w:marRight w:val="0"/>
      <w:marTop w:val="0"/>
      <w:marBottom w:val="0"/>
      <w:divBdr>
        <w:top w:val="none" w:sz="0" w:space="0" w:color="auto"/>
        <w:left w:val="none" w:sz="0" w:space="0" w:color="auto"/>
        <w:bottom w:val="none" w:sz="0" w:space="0" w:color="auto"/>
        <w:right w:val="none" w:sz="0" w:space="0" w:color="auto"/>
      </w:divBdr>
      <w:divsChild>
        <w:div w:id="1478570779">
          <w:marLeft w:val="0"/>
          <w:marRight w:val="0"/>
          <w:marTop w:val="0"/>
          <w:marBottom w:val="0"/>
          <w:divBdr>
            <w:top w:val="none" w:sz="0" w:space="0" w:color="auto"/>
            <w:left w:val="none" w:sz="0" w:space="0" w:color="auto"/>
            <w:bottom w:val="none" w:sz="0" w:space="0" w:color="auto"/>
            <w:right w:val="none" w:sz="0" w:space="0" w:color="auto"/>
          </w:divBdr>
        </w:div>
      </w:divsChild>
    </w:div>
    <w:div w:id="1291783236">
      <w:bodyDiv w:val="1"/>
      <w:marLeft w:val="0"/>
      <w:marRight w:val="0"/>
      <w:marTop w:val="0"/>
      <w:marBottom w:val="0"/>
      <w:divBdr>
        <w:top w:val="none" w:sz="0" w:space="0" w:color="auto"/>
        <w:left w:val="none" w:sz="0" w:space="0" w:color="auto"/>
        <w:bottom w:val="none" w:sz="0" w:space="0" w:color="auto"/>
        <w:right w:val="none" w:sz="0" w:space="0" w:color="auto"/>
      </w:divBdr>
    </w:div>
    <w:div w:id="1853176829">
      <w:bodyDiv w:val="1"/>
      <w:marLeft w:val="0"/>
      <w:marRight w:val="0"/>
      <w:marTop w:val="0"/>
      <w:marBottom w:val="0"/>
      <w:divBdr>
        <w:top w:val="none" w:sz="0" w:space="0" w:color="auto"/>
        <w:left w:val="none" w:sz="0" w:space="0" w:color="auto"/>
        <w:bottom w:val="none" w:sz="0" w:space="0" w:color="auto"/>
        <w:right w:val="none" w:sz="0" w:space="0" w:color="auto"/>
      </w:divBdr>
      <w:divsChild>
        <w:div w:id="55766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proceedings/energy-commission-proceedings/load-management-rulemaking/market-informed-demand" TargetMode="External"/><Relationship Id="rId18" Type="http://schemas.openxmlformats.org/officeDocument/2006/relationships/hyperlink" Target="https://webmaps.arb.ca.gov/PriorityPopulati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ergy.ca.gov/event/funding-workshop/2023-03/pre-application-workshop-gfo-22-609-responsive-easy-charging" TargetMode="External"/><Relationship Id="rId7" Type="http://schemas.openxmlformats.org/officeDocument/2006/relationships/settings" Target="settings.xml"/><Relationship Id="rId12" Type="http://schemas.openxmlformats.org/officeDocument/2006/relationships/hyperlink" Target="https://www.energy.ca.gov/funding-opportunities/solicitations" TargetMode="External"/><Relationship Id="rId17" Type="http://schemas.openxmlformats.org/officeDocument/2006/relationships/hyperlink" Target="https://webmaps.arb.ca.gov/PriorityPopulations/" TargetMode="External"/><Relationship Id="rId25" Type="http://schemas.openxmlformats.org/officeDocument/2006/relationships/hyperlink" Target="https://www.energy.ca.gov/funding-opportunities/funding-resources/ecams-resources" TargetMode="External"/><Relationship Id="rId2" Type="http://schemas.openxmlformats.org/officeDocument/2006/relationships/customXml" Target="../customXml/item2.xml"/><Relationship Id="rId16" Type="http://schemas.openxmlformats.org/officeDocument/2006/relationships/hyperlink" Target="mailto:Mark.S.Martinez@sce.com" TargetMode="External"/><Relationship Id="rId20" Type="http://schemas.openxmlformats.org/officeDocument/2006/relationships/hyperlink" Target="https://efiling.energy.ca.gov/GetDocument.aspx?tn=24938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3-03/gfo-22-609-responsive-easy-charging-products-dynamic-signals-redwds" TargetMode="External"/><Relationship Id="rId24" Type="http://schemas.openxmlformats.org/officeDocument/2006/relationships/hyperlink" Target="www.sos.ca.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ret-ca.com/dynamic-rate-pilot/" TargetMode="External"/><Relationship Id="rId23" Type="http://schemas.openxmlformats.org/officeDocument/2006/relationships/hyperlink" Target="http://www.sos.ca.gov/"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ge.com/pge_global/common/pdfs/for-our-business-partners/interconnection-renewables/Guidance-Language-for-Notification-Only-Pilot-Program.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rp.olivineinc.com/" TargetMode="External"/><Relationship Id="rId22" Type="http://schemas.openxmlformats.org/officeDocument/2006/relationships/hyperlink" Target="https://www.energy.ca.gov/event/workshop/2022-07/workshop-vehicle-grid-integration-market-status-and-funding-concept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Seth Reimers</DisplayName>
        <AccountId>161</AccountId>
        <AccountType/>
      </UserInfo>
      <UserInfo>
        <DisplayName>bnl</DisplayName>
        <AccountId>848</AccountId>
        <AccountType/>
      </UserInfo>
      <UserInfo>
        <DisplayName>Yakshina, Tatyana@Energy</DisplayName>
        <AccountId>32</AccountId>
        <AccountType/>
      </UserInfo>
    </SharedWithUsers>
  </documentManagement>
</p:properties>
</file>

<file path=customXml/itemProps1.xml><?xml version="1.0" encoding="utf-8"?>
<ds:datastoreItem xmlns:ds="http://schemas.openxmlformats.org/officeDocument/2006/customXml" ds:itemID="{9AD444AD-4013-46D5-A42A-50AF9E84170F}">
  <ds:schemaRefs>
    <ds:schemaRef ds:uri="http://schemas.microsoft.com/sharepoint/v3/contenttype/forms"/>
  </ds:schemaRefs>
</ds:datastoreItem>
</file>

<file path=customXml/itemProps2.xml><?xml version="1.0" encoding="utf-8"?>
<ds:datastoreItem xmlns:ds="http://schemas.openxmlformats.org/officeDocument/2006/customXml" ds:itemID="{5EA787CD-054C-4573-8603-D41C70126B57}">
  <ds:schemaRefs>
    <ds:schemaRef ds:uri="http://schemas.openxmlformats.org/officeDocument/2006/bibliography"/>
  </ds:schemaRefs>
</ds:datastoreItem>
</file>

<file path=customXml/itemProps3.xml><?xml version="1.0" encoding="utf-8"?>
<ds:datastoreItem xmlns:ds="http://schemas.openxmlformats.org/officeDocument/2006/customXml" ds:itemID="{10F5EFEF-E2FE-4A7E-AA27-1CD7CB1E9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47A29-537B-4FBB-BB11-28816C79357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16</Pages>
  <Words>7700</Words>
  <Characters>43891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51489</CharactersWithSpaces>
  <SharedDoc>false</SharedDoc>
  <HLinks>
    <vt:vector size="114" baseType="variant">
      <vt:variant>
        <vt:i4>1507350</vt:i4>
      </vt:variant>
      <vt:variant>
        <vt:i4>42</vt:i4>
      </vt:variant>
      <vt:variant>
        <vt:i4>0</vt:i4>
      </vt:variant>
      <vt:variant>
        <vt:i4>5</vt:i4>
      </vt:variant>
      <vt:variant>
        <vt:lpwstr>https://www.energy.ca.gov/funding-opportunities/funding-resources/ecams-resources</vt:lpwstr>
      </vt:variant>
      <vt:variant>
        <vt:lpwstr/>
      </vt:variant>
      <vt:variant>
        <vt:i4>6815778</vt:i4>
      </vt:variant>
      <vt:variant>
        <vt:i4>39</vt:i4>
      </vt:variant>
      <vt:variant>
        <vt:i4>0</vt:i4>
      </vt:variant>
      <vt:variant>
        <vt:i4>5</vt:i4>
      </vt:variant>
      <vt:variant>
        <vt:lpwstr>www.sos.ca.gov</vt:lpwstr>
      </vt:variant>
      <vt:variant>
        <vt:lpwstr/>
      </vt:variant>
      <vt:variant>
        <vt:i4>2490465</vt:i4>
      </vt:variant>
      <vt:variant>
        <vt:i4>36</vt:i4>
      </vt:variant>
      <vt:variant>
        <vt:i4>0</vt:i4>
      </vt:variant>
      <vt:variant>
        <vt:i4>5</vt:i4>
      </vt:variant>
      <vt:variant>
        <vt:lpwstr>http://www.sos.ca.gov/</vt:lpwstr>
      </vt:variant>
      <vt:variant>
        <vt:lpwstr/>
      </vt:variant>
      <vt:variant>
        <vt:i4>5832727</vt:i4>
      </vt:variant>
      <vt:variant>
        <vt:i4>33</vt:i4>
      </vt:variant>
      <vt:variant>
        <vt:i4>0</vt:i4>
      </vt:variant>
      <vt:variant>
        <vt:i4>5</vt:i4>
      </vt:variant>
      <vt:variant>
        <vt:lpwstr>https://www.energy.ca.gov/event/workshop/2022-07/workshop-vehicle-grid-integration-market-status-and-funding-concepts</vt:lpwstr>
      </vt:variant>
      <vt:variant>
        <vt:lpwstr/>
      </vt:variant>
      <vt:variant>
        <vt:i4>5963806</vt:i4>
      </vt:variant>
      <vt:variant>
        <vt:i4>30</vt:i4>
      </vt:variant>
      <vt:variant>
        <vt:i4>0</vt:i4>
      </vt:variant>
      <vt:variant>
        <vt:i4>5</vt:i4>
      </vt:variant>
      <vt:variant>
        <vt:lpwstr>https://www.energy.ca.gov/event/funding-workshop/2023-03/pre-application-workshop-gfo-22-609-responsive-easy-charging</vt:lpwstr>
      </vt:variant>
      <vt:variant>
        <vt:lpwstr/>
      </vt:variant>
      <vt:variant>
        <vt:i4>16</vt:i4>
      </vt:variant>
      <vt:variant>
        <vt:i4>27</vt:i4>
      </vt:variant>
      <vt:variant>
        <vt:i4>0</vt:i4>
      </vt:variant>
      <vt:variant>
        <vt:i4>5</vt:i4>
      </vt:variant>
      <vt:variant>
        <vt:lpwstr>https://efiling.energy.ca.gov/GetDocument.aspx?tn=249389</vt:lpwstr>
      </vt:variant>
      <vt:variant>
        <vt:lpwstr/>
      </vt:variant>
      <vt:variant>
        <vt:i4>7798854</vt:i4>
      </vt:variant>
      <vt:variant>
        <vt:i4>24</vt:i4>
      </vt:variant>
      <vt:variant>
        <vt:i4>0</vt:i4>
      </vt:variant>
      <vt:variant>
        <vt:i4>5</vt:i4>
      </vt:variant>
      <vt:variant>
        <vt:lpwstr>https://www.pge.com/pge_global/common/pdfs/for-our-business-partners/interconnection-renewables/Guidance-Language-for-Notification-Only-Pilot-Program.pdf</vt:lpwstr>
      </vt:variant>
      <vt:variant>
        <vt:lpwstr/>
      </vt:variant>
      <vt:variant>
        <vt:i4>7340088</vt:i4>
      </vt:variant>
      <vt:variant>
        <vt:i4>21</vt:i4>
      </vt:variant>
      <vt:variant>
        <vt:i4>0</vt:i4>
      </vt:variant>
      <vt:variant>
        <vt:i4>5</vt:i4>
      </vt:variant>
      <vt:variant>
        <vt:lpwstr>https://webmaps.arb.ca.gov/PriorityPopulations/</vt:lpwstr>
      </vt:variant>
      <vt:variant>
        <vt:lpwstr/>
      </vt:variant>
      <vt:variant>
        <vt:i4>7340088</vt:i4>
      </vt:variant>
      <vt:variant>
        <vt:i4>18</vt:i4>
      </vt:variant>
      <vt:variant>
        <vt:i4>0</vt:i4>
      </vt:variant>
      <vt:variant>
        <vt:i4>5</vt:i4>
      </vt:variant>
      <vt:variant>
        <vt:lpwstr>https://webmaps.arb.ca.gov/PriorityPopulations/</vt:lpwstr>
      </vt:variant>
      <vt:variant>
        <vt:lpwstr/>
      </vt:variant>
      <vt:variant>
        <vt:i4>6553666</vt:i4>
      </vt:variant>
      <vt:variant>
        <vt:i4>15</vt:i4>
      </vt:variant>
      <vt:variant>
        <vt:i4>0</vt:i4>
      </vt:variant>
      <vt:variant>
        <vt:i4>5</vt:i4>
      </vt:variant>
      <vt:variant>
        <vt:lpwstr>mailto:Mark.S.Martinez@sce.com</vt:lpwstr>
      </vt:variant>
      <vt:variant>
        <vt:lpwstr/>
      </vt:variant>
      <vt:variant>
        <vt:i4>7536682</vt:i4>
      </vt:variant>
      <vt:variant>
        <vt:i4>12</vt:i4>
      </vt:variant>
      <vt:variant>
        <vt:i4>0</vt:i4>
      </vt:variant>
      <vt:variant>
        <vt:i4>5</vt:i4>
      </vt:variant>
      <vt:variant>
        <vt:lpwstr>https://www.dret-ca.com/dynamic-rate-pilot/</vt:lpwstr>
      </vt:variant>
      <vt:variant>
        <vt:lpwstr/>
      </vt:variant>
      <vt:variant>
        <vt:i4>458761</vt:i4>
      </vt:variant>
      <vt:variant>
        <vt:i4>9</vt:i4>
      </vt:variant>
      <vt:variant>
        <vt:i4>0</vt:i4>
      </vt:variant>
      <vt:variant>
        <vt:i4>5</vt:i4>
      </vt:variant>
      <vt:variant>
        <vt:lpwstr>https://elrp.olivineinc.com/</vt:lpwstr>
      </vt:variant>
      <vt:variant>
        <vt:lpwstr/>
      </vt:variant>
      <vt:variant>
        <vt:i4>1376263</vt:i4>
      </vt:variant>
      <vt:variant>
        <vt:i4>6</vt:i4>
      </vt:variant>
      <vt:variant>
        <vt:i4>0</vt:i4>
      </vt:variant>
      <vt:variant>
        <vt:i4>5</vt:i4>
      </vt:variant>
      <vt:variant>
        <vt:lpwstr>https://www.energy.ca.gov/proceedings/energy-commission-proceedings/load-management-rulemaking/market-informed-demand</vt:lpwstr>
      </vt:variant>
      <vt:variant>
        <vt:lpwstr/>
      </vt:variant>
      <vt:variant>
        <vt:i4>4194311</vt:i4>
      </vt:variant>
      <vt:variant>
        <vt:i4>3</vt:i4>
      </vt:variant>
      <vt:variant>
        <vt:i4>0</vt:i4>
      </vt:variant>
      <vt:variant>
        <vt:i4>5</vt:i4>
      </vt:variant>
      <vt:variant>
        <vt:lpwstr>https://www.energy.ca.gov/funding-opportunities/solicitations</vt:lpwstr>
      </vt:variant>
      <vt:variant>
        <vt:lpwstr/>
      </vt:variant>
      <vt:variant>
        <vt:i4>6422638</vt:i4>
      </vt:variant>
      <vt:variant>
        <vt:i4>0</vt:i4>
      </vt:variant>
      <vt:variant>
        <vt:i4>0</vt:i4>
      </vt:variant>
      <vt:variant>
        <vt:i4>5</vt:i4>
      </vt:variant>
      <vt:variant>
        <vt:lpwstr>https://www.energy.ca.gov/solicitations/2023-03/gfo-22-609-responsive-easy-charging-products-dynamic-signals-redwds</vt:lpwstr>
      </vt:variant>
      <vt:variant>
        <vt:lpwstr/>
      </vt:variant>
      <vt:variant>
        <vt:i4>917560</vt:i4>
      </vt:variant>
      <vt:variant>
        <vt:i4>9</vt:i4>
      </vt:variant>
      <vt:variant>
        <vt:i4>0</vt:i4>
      </vt:variant>
      <vt:variant>
        <vt:i4>5</vt:i4>
      </vt:variant>
      <vt:variant>
        <vt:lpwstr>mailto:Jeffrey.Lu@energy.ca.gov</vt:lpwstr>
      </vt:variant>
      <vt:variant>
        <vt:lpwstr/>
      </vt:variant>
      <vt:variant>
        <vt:i4>917560</vt:i4>
      </vt:variant>
      <vt:variant>
        <vt:i4>6</vt:i4>
      </vt:variant>
      <vt:variant>
        <vt:i4>0</vt:i4>
      </vt:variant>
      <vt:variant>
        <vt:i4>5</vt:i4>
      </vt:variant>
      <vt:variant>
        <vt:lpwstr>mailto:Jeffrey.Lu@energy.ca.gov</vt:lpwstr>
      </vt:variant>
      <vt:variant>
        <vt:lpwstr/>
      </vt:variant>
      <vt:variant>
        <vt:i4>917560</vt:i4>
      </vt:variant>
      <vt:variant>
        <vt:i4>3</vt:i4>
      </vt:variant>
      <vt:variant>
        <vt:i4>0</vt:i4>
      </vt:variant>
      <vt:variant>
        <vt:i4>5</vt:i4>
      </vt:variant>
      <vt:variant>
        <vt:lpwstr>mailto:Jeffrey.Lu@energy.ca.gov</vt:lpwstr>
      </vt:variant>
      <vt:variant>
        <vt:lpwstr/>
      </vt:variant>
      <vt:variant>
        <vt:i4>917560</vt:i4>
      </vt:variant>
      <vt:variant>
        <vt:i4>0</vt:i4>
      </vt:variant>
      <vt:variant>
        <vt:i4>0</vt:i4>
      </vt:variant>
      <vt:variant>
        <vt:i4>5</vt:i4>
      </vt:variant>
      <vt:variant>
        <vt:lpwstr>mailto:Jeffrey.Lu@energy.ca.gov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Jeffrey@Energy</dc:creator>
  <cp:keywords/>
  <dc:description/>
  <cp:lastModifiedBy>Hockaday, Angela@Energy</cp:lastModifiedBy>
  <cp:revision>66</cp:revision>
  <dcterms:created xsi:type="dcterms:W3CDTF">2023-04-13T21:28:00Z</dcterms:created>
  <dcterms:modified xsi:type="dcterms:W3CDTF">2023-04-26T14:33:00Z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