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5D089" w14:textId="157DE487" w:rsidR="00B1122A" w:rsidRDefault="00B1122A" w:rsidP="00300DA9">
      <w:pPr>
        <w:pStyle w:val="paragraph"/>
        <w:textAlignment w:val="baseline"/>
        <w:rPr>
          <w:rStyle w:val="normaltextrun"/>
          <w:rFonts w:ascii="Arial" w:hAnsi="Arial" w:cs="Arial"/>
        </w:rPr>
      </w:pPr>
    </w:p>
    <w:p w14:paraId="3049D69B" w14:textId="5D5793C7" w:rsidR="00B1122A" w:rsidRPr="00B1122A" w:rsidRDefault="00B1122A" w:rsidP="00B1122A">
      <w:pPr>
        <w:jc w:val="center"/>
        <w:rPr>
          <w:rFonts w:ascii="Arial" w:hAnsi="Arial" w:cs="Arial"/>
          <w:b/>
          <w:bCs/>
        </w:rPr>
      </w:pPr>
      <w:r w:rsidRPr="00B1122A">
        <w:rPr>
          <w:rFonts w:ascii="Arial" w:hAnsi="Arial" w:cs="Arial"/>
          <w:b/>
          <w:bCs/>
        </w:rPr>
        <w:t>GFO-22-</w:t>
      </w:r>
      <w:r w:rsidR="00B33F69">
        <w:rPr>
          <w:rFonts w:ascii="Arial" w:hAnsi="Arial" w:cs="Arial"/>
          <w:b/>
          <w:bCs/>
        </w:rPr>
        <w:t>61</w:t>
      </w:r>
      <w:r w:rsidR="00185114">
        <w:rPr>
          <w:rFonts w:ascii="Arial" w:hAnsi="Arial" w:cs="Arial"/>
          <w:b/>
          <w:bCs/>
        </w:rPr>
        <w:t>0</w:t>
      </w:r>
    </w:p>
    <w:p w14:paraId="1BBABA3F" w14:textId="63D462E5" w:rsidR="00B1122A" w:rsidRPr="00B1122A" w:rsidRDefault="00185114" w:rsidP="00B1122A">
      <w:pPr>
        <w:autoSpaceDE w:val="0"/>
        <w:autoSpaceDN w:val="0"/>
        <w:adjustRightInd w:val="0"/>
        <w:jc w:val="center"/>
        <w:rPr>
          <w:rFonts w:ascii="Arial" w:eastAsia="Calibri" w:hAnsi="Arial" w:cs="Arial"/>
          <w:b/>
          <w:bCs/>
          <w:color w:val="000000"/>
        </w:rPr>
      </w:pPr>
      <w:r>
        <w:rPr>
          <w:rFonts w:ascii="Arial" w:eastAsia="Calibri" w:hAnsi="Arial" w:cs="Arial"/>
          <w:b/>
          <w:bCs/>
          <w:color w:val="000000"/>
        </w:rPr>
        <w:t>Convenient, High-Visibility, Low-Cost Level 2 Charging (CHiLL-2)</w:t>
      </w:r>
    </w:p>
    <w:p w14:paraId="6587D6BB" w14:textId="5C784ACB" w:rsidR="00B1122A" w:rsidRDefault="00B1122A" w:rsidP="00B1122A">
      <w:pPr>
        <w:autoSpaceDE w:val="0"/>
        <w:autoSpaceDN w:val="0"/>
        <w:adjustRightInd w:val="0"/>
        <w:jc w:val="center"/>
        <w:rPr>
          <w:rFonts w:ascii="Arial" w:eastAsia="Calibri" w:hAnsi="Arial" w:cs="Arial"/>
          <w:b/>
          <w:bCs/>
          <w:color w:val="000000"/>
        </w:rPr>
      </w:pPr>
      <w:r w:rsidRPr="00B1122A">
        <w:rPr>
          <w:rFonts w:ascii="Arial" w:eastAsia="Calibri" w:hAnsi="Arial" w:cs="Arial"/>
          <w:b/>
          <w:bCs/>
          <w:color w:val="000000"/>
        </w:rPr>
        <w:t xml:space="preserve">Addendum </w:t>
      </w:r>
      <w:r w:rsidR="00B33F69">
        <w:rPr>
          <w:rFonts w:ascii="Arial" w:eastAsia="Calibri" w:hAnsi="Arial" w:cs="Arial"/>
          <w:b/>
          <w:bCs/>
          <w:color w:val="000000"/>
        </w:rPr>
        <w:t>1</w:t>
      </w:r>
    </w:p>
    <w:p w14:paraId="07143021" w14:textId="1F551942" w:rsidR="00CB243A" w:rsidRPr="00B1122A" w:rsidRDefault="002B29C9" w:rsidP="00B1122A">
      <w:pPr>
        <w:autoSpaceDE w:val="0"/>
        <w:autoSpaceDN w:val="0"/>
        <w:adjustRightInd w:val="0"/>
        <w:jc w:val="center"/>
        <w:rPr>
          <w:rFonts w:ascii="Arial" w:eastAsia="Calibri" w:hAnsi="Arial" w:cs="Arial"/>
          <w:b/>
          <w:bCs/>
          <w:color w:val="000000"/>
        </w:rPr>
      </w:pPr>
      <w:r w:rsidRPr="3D6E2A40">
        <w:rPr>
          <w:rFonts w:ascii="Arial" w:eastAsia="Calibri" w:hAnsi="Arial" w:cs="Arial"/>
          <w:b/>
          <w:bCs/>
          <w:color w:val="000000" w:themeColor="text1"/>
        </w:rPr>
        <w:t xml:space="preserve">May </w:t>
      </w:r>
      <w:r w:rsidR="5B4074B3" w:rsidRPr="3D6E2A40">
        <w:rPr>
          <w:rFonts w:ascii="Arial" w:eastAsia="Calibri" w:hAnsi="Arial" w:cs="Arial"/>
          <w:b/>
          <w:bCs/>
          <w:color w:val="000000" w:themeColor="text1"/>
        </w:rPr>
        <w:t>26</w:t>
      </w:r>
      <w:r w:rsidRPr="3D6E2A40">
        <w:rPr>
          <w:rFonts w:ascii="Arial" w:eastAsia="Calibri" w:hAnsi="Arial" w:cs="Arial"/>
          <w:b/>
          <w:bCs/>
          <w:color w:val="000000" w:themeColor="text1"/>
        </w:rPr>
        <w:t>, 2023</w:t>
      </w:r>
    </w:p>
    <w:p w14:paraId="363B15A9" w14:textId="77777777" w:rsidR="00B1122A" w:rsidRPr="00B1122A" w:rsidRDefault="00B1122A" w:rsidP="00B1122A">
      <w:pPr>
        <w:autoSpaceDE w:val="0"/>
        <w:autoSpaceDN w:val="0"/>
        <w:adjustRightInd w:val="0"/>
        <w:jc w:val="center"/>
        <w:rPr>
          <w:rFonts w:ascii="Arial" w:eastAsia="Calibri" w:hAnsi="Arial" w:cs="Arial"/>
          <w:b/>
          <w:bCs/>
          <w:color w:val="000000"/>
        </w:rPr>
      </w:pPr>
    </w:p>
    <w:p w14:paraId="13BACB04" w14:textId="79F46FCF" w:rsidR="00B1122A" w:rsidRPr="00B1122A" w:rsidRDefault="00B1122A" w:rsidP="00B1122A">
      <w:pPr>
        <w:autoSpaceDE w:val="0"/>
        <w:autoSpaceDN w:val="0"/>
        <w:adjustRightInd w:val="0"/>
        <w:rPr>
          <w:rFonts w:ascii="Arial" w:eastAsia="Calibri" w:hAnsi="Arial" w:cs="Arial"/>
          <w:color w:val="000000"/>
        </w:rPr>
      </w:pPr>
      <w:r w:rsidRPr="79C947A2">
        <w:rPr>
          <w:rFonts w:ascii="Arial" w:eastAsia="Calibri" w:hAnsi="Arial" w:cs="Arial"/>
          <w:color w:val="000000" w:themeColor="text1"/>
        </w:rPr>
        <w:t>The purpose of this addendum is to notify potential applicants of changes that have been made to GFO-22-</w:t>
      </w:r>
      <w:r w:rsidR="00B33F69" w:rsidRPr="79C947A2">
        <w:rPr>
          <w:rFonts w:ascii="Arial" w:eastAsia="Calibri" w:hAnsi="Arial" w:cs="Arial"/>
          <w:color w:val="000000" w:themeColor="text1"/>
        </w:rPr>
        <w:t>61</w:t>
      </w:r>
      <w:r w:rsidR="00185114" w:rsidRPr="79C947A2">
        <w:rPr>
          <w:rFonts w:ascii="Arial" w:eastAsia="Calibri" w:hAnsi="Arial" w:cs="Arial"/>
          <w:color w:val="000000" w:themeColor="text1"/>
        </w:rPr>
        <w:t>0</w:t>
      </w:r>
      <w:r w:rsidRPr="79C947A2">
        <w:rPr>
          <w:rFonts w:ascii="Arial" w:eastAsia="Calibri" w:hAnsi="Arial" w:cs="Arial"/>
          <w:color w:val="000000" w:themeColor="text1"/>
        </w:rPr>
        <w:t>. The addendum includes the following revisions to the Solicitation Manual</w:t>
      </w:r>
      <w:r w:rsidR="001D672E" w:rsidRPr="79C947A2">
        <w:rPr>
          <w:rFonts w:ascii="Arial" w:eastAsia="Calibri" w:hAnsi="Arial" w:cs="Arial"/>
          <w:color w:val="000000" w:themeColor="text1"/>
        </w:rPr>
        <w:t xml:space="preserve"> and Scope of Work (Attachment 2)</w:t>
      </w:r>
      <w:r w:rsidRPr="79C947A2">
        <w:rPr>
          <w:rFonts w:ascii="Arial" w:eastAsia="Calibri" w:hAnsi="Arial" w:cs="Arial"/>
          <w:color w:val="000000" w:themeColor="text1"/>
        </w:rPr>
        <w:t xml:space="preserve">. Added language appears in </w:t>
      </w:r>
      <w:r w:rsidRPr="79C947A2">
        <w:rPr>
          <w:rFonts w:ascii="Arial" w:eastAsia="Calibri" w:hAnsi="Arial" w:cs="Arial"/>
          <w:b/>
          <w:bCs/>
          <w:color w:val="000000" w:themeColor="text1"/>
          <w:u w:val="single"/>
        </w:rPr>
        <w:t>bold underline</w:t>
      </w:r>
      <w:r w:rsidRPr="79C947A2">
        <w:rPr>
          <w:rFonts w:ascii="Arial" w:eastAsia="Calibri" w:hAnsi="Arial" w:cs="Arial"/>
          <w:color w:val="000000" w:themeColor="text1"/>
        </w:rPr>
        <w:t>, and deleted language appears in [</w:t>
      </w:r>
      <w:r w:rsidRPr="79C947A2">
        <w:rPr>
          <w:rFonts w:ascii="Arial" w:eastAsia="Calibri" w:hAnsi="Arial" w:cs="Arial"/>
          <w:strike/>
          <w:color w:val="000000" w:themeColor="text1"/>
        </w:rPr>
        <w:t>strikethrough</w:t>
      </w:r>
      <w:r w:rsidRPr="79C947A2">
        <w:rPr>
          <w:rFonts w:ascii="Arial" w:eastAsia="Calibri" w:hAnsi="Arial" w:cs="Arial"/>
          <w:color w:val="000000" w:themeColor="text1"/>
        </w:rPr>
        <w:t>] and within square brackets.</w:t>
      </w:r>
    </w:p>
    <w:p w14:paraId="000B0B09" w14:textId="77777777" w:rsidR="00B1122A" w:rsidRPr="00B1122A" w:rsidRDefault="00B1122A" w:rsidP="00B1122A">
      <w:pPr>
        <w:autoSpaceDE w:val="0"/>
        <w:autoSpaceDN w:val="0"/>
        <w:adjustRightInd w:val="0"/>
        <w:jc w:val="center"/>
        <w:rPr>
          <w:rFonts w:ascii="Arial" w:eastAsia="Calibri" w:hAnsi="Arial" w:cs="Arial"/>
          <w:color w:val="000000"/>
        </w:rPr>
      </w:pPr>
    </w:p>
    <w:p w14:paraId="42B2FCAF" w14:textId="77777777" w:rsidR="00B1122A" w:rsidRPr="00B1122A" w:rsidRDefault="00B1122A" w:rsidP="00B1122A">
      <w:pPr>
        <w:keepNext/>
        <w:keepLines/>
        <w:spacing w:after="240"/>
        <w:outlineLvl w:val="1"/>
        <w:rPr>
          <w:rFonts w:ascii="Arial" w:eastAsiaTheme="majorEastAsia" w:hAnsi="Arial" w:cs="Arial"/>
          <w:b/>
        </w:rPr>
      </w:pPr>
      <w:r w:rsidRPr="00B1122A">
        <w:rPr>
          <w:rFonts w:ascii="Arial" w:eastAsiaTheme="majorEastAsia" w:hAnsi="Arial" w:cs="Arial"/>
          <w:b/>
        </w:rPr>
        <w:t xml:space="preserve">Solicitation Manual </w:t>
      </w:r>
    </w:p>
    <w:p w14:paraId="751649D6" w14:textId="0FADCC12" w:rsidR="001261BE" w:rsidRPr="00185114" w:rsidRDefault="001261BE" w:rsidP="72FA6E35">
      <w:pPr>
        <w:keepNext/>
        <w:keepLines/>
        <w:numPr>
          <w:ilvl w:val="0"/>
          <w:numId w:val="7"/>
        </w:numPr>
        <w:spacing w:before="40"/>
        <w:ind w:left="360"/>
        <w:outlineLvl w:val="2"/>
        <w:rPr>
          <w:rFonts w:ascii="Arial" w:eastAsiaTheme="majorEastAsia" w:hAnsi="Arial" w:cs="Arial"/>
          <w:b/>
          <w:bCs/>
        </w:rPr>
      </w:pPr>
      <w:r w:rsidRPr="72FA6E35">
        <w:rPr>
          <w:rFonts w:ascii="Arial" w:eastAsiaTheme="majorEastAsia" w:hAnsi="Arial" w:cs="Arial"/>
          <w:b/>
          <w:bCs/>
        </w:rPr>
        <w:t xml:space="preserve">Page </w:t>
      </w:r>
      <w:r w:rsidR="3EA10127" w:rsidRPr="72FA6E35">
        <w:rPr>
          <w:rFonts w:ascii="Arial" w:eastAsiaTheme="majorEastAsia" w:hAnsi="Arial" w:cs="Arial"/>
          <w:b/>
          <w:bCs/>
        </w:rPr>
        <w:t>10</w:t>
      </w:r>
      <w:r w:rsidRPr="72FA6E35">
        <w:rPr>
          <w:rFonts w:ascii="Arial" w:eastAsiaTheme="majorEastAsia" w:hAnsi="Arial" w:cs="Arial"/>
          <w:b/>
          <w:bCs/>
        </w:rPr>
        <w:t xml:space="preserve">, Section </w:t>
      </w:r>
      <w:r w:rsidR="3C3283B6" w:rsidRPr="72FA6E35">
        <w:rPr>
          <w:rFonts w:ascii="Arial" w:eastAsiaTheme="majorEastAsia" w:hAnsi="Arial" w:cs="Arial"/>
          <w:b/>
          <w:bCs/>
        </w:rPr>
        <w:t>II.B.1.</w:t>
      </w:r>
      <w:r w:rsidRPr="72FA6E35">
        <w:rPr>
          <w:rFonts w:ascii="Arial" w:eastAsiaTheme="majorEastAsia" w:hAnsi="Arial" w:cs="Arial"/>
          <w:b/>
          <w:bCs/>
        </w:rPr>
        <w:t xml:space="preserve"> </w:t>
      </w:r>
      <w:r w:rsidR="4E851077" w:rsidRPr="72FA6E35">
        <w:rPr>
          <w:rFonts w:ascii="Arial" w:eastAsiaTheme="majorEastAsia" w:hAnsi="Arial" w:cs="Arial"/>
          <w:b/>
          <w:bCs/>
        </w:rPr>
        <w:t>Eligible Projects</w:t>
      </w:r>
    </w:p>
    <w:p w14:paraId="2A14D173" w14:textId="36E6CC14" w:rsidR="00B33F69" w:rsidRPr="00B1122A" w:rsidRDefault="3B7CF727" w:rsidP="7013084D">
      <w:pPr>
        <w:keepNext/>
        <w:keepLines/>
        <w:spacing w:before="40" w:line="259" w:lineRule="auto"/>
        <w:ind w:left="360"/>
        <w:rPr>
          <w:rFonts w:ascii="Tahoma" w:eastAsia="Tahoma" w:hAnsi="Tahoma" w:cs="Tahoma"/>
          <w:b/>
          <w:bCs/>
          <w:color w:val="000000" w:themeColor="text1"/>
          <w:u w:val="single"/>
        </w:rPr>
      </w:pPr>
      <w:r w:rsidRPr="7013084D">
        <w:rPr>
          <w:rFonts w:ascii="Tahoma" w:eastAsia="Tahoma" w:hAnsi="Tahoma" w:cs="Tahoma"/>
          <w:color w:val="000000" w:themeColor="text1"/>
        </w:rPr>
        <w:t xml:space="preserve">Eligible projects will demonstrate replicable and scalable business and technology models to deploy Level 2 charging infrastructure and improve public awareness of and confidence in Level 2 charging access through high-density, high-visibility installations within a 1.5-mile radius of the project area central point (see Attachment 01 Application Manual, Proposed Project Location). </w:t>
      </w:r>
      <w:r w:rsidRPr="7013084D">
        <w:rPr>
          <w:rFonts w:ascii="Tahoma" w:eastAsia="Tahoma" w:hAnsi="Tahoma" w:cs="Tahoma"/>
          <w:b/>
          <w:bCs/>
          <w:color w:val="000000" w:themeColor="text1"/>
        </w:rPr>
        <w:t>Only</w:t>
      </w:r>
      <w:r w:rsidRPr="7013084D">
        <w:rPr>
          <w:rFonts w:ascii="Tahoma" w:eastAsia="Tahoma" w:hAnsi="Tahoma" w:cs="Tahoma"/>
          <w:color w:val="000000" w:themeColor="text1"/>
        </w:rPr>
        <w:t xml:space="preserve"> </w:t>
      </w:r>
      <w:r w:rsidRPr="7013084D">
        <w:rPr>
          <w:rFonts w:ascii="Tahoma" w:eastAsia="Tahoma" w:hAnsi="Tahoma" w:cs="Tahoma"/>
          <w:b/>
          <w:bCs/>
          <w:color w:val="000000" w:themeColor="text1"/>
        </w:rPr>
        <w:t>Level 2 chargers may be installed.</w:t>
      </w:r>
      <w:r w:rsidRPr="7013084D">
        <w:rPr>
          <w:rFonts w:ascii="Tahoma" w:eastAsia="Tahoma" w:hAnsi="Tahoma" w:cs="Tahoma"/>
          <w:color w:val="000000" w:themeColor="text1"/>
        </w:rPr>
        <w:t xml:space="preserve"> Direct Current Fast Chargers (DCFCs) and Level 1 chargers are not allowed. Each charger must be capable of outputting at least 6.2 kW of power. The project area central point for installations must be within the limits of a city or Tribal Lands, but all installations do not necessarily need to occur within the city’s/Tribal Lands’ limits. </w:t>
      </w:r>
      <w:r w:rsidRPr="7013084D">
        <w:rPr>
          <w:rFonts w:ascii="Tahoma" w:eastAsia="Tahoma" w:hAnsi="Tahoma" w:cs="Tahoma"/>
          <w:b/>
          <w:bCs/>
          <w:color w:val="000000" w:themeColor="text1"/>
          <w:u w:val="single"/>
        </w:rPr>
        <w:t xml:space="preserve">Replacement of “paddle chargers” or non-networked chargers is eligible for funding and will count toward the minimum charger requirement. Replacement of broken chargers or old networked J-1772 chargers </w:t>
      </w:r>
      <w:r w:rsidR="186D59A2" w:rsidRPr="7013084D">
        <w:rPr>
          <w:rFonts w:ascii="Tahoma" w:eastAsia="Tahoma" w:hAnsi="Tahoma" w:cs="Tahoma"/>
          <w:b/>
          <w:bCs/>
          <w:color w:val="000000" w:themeColor="text1"/>
          <w:u w:val="single"/>
        </w:rPr>
        <w:t xml:space="preserve">is </w:t>
      </w:r>
      <w:r w:rsidRPr="7013084D">
        <w:rPr>
          <w:rFonts w:ascii="Tahoma" w:eastAsia="Tahoma" w:hAnsi="Tahoma" w:cs="Tahoma"/>
          <w:b/>
          <w:bCs/>
          <w:color w:val="000000" w:themeColor="text1"/>
          <w:u w:val="single"/>
        </w:rPr>
        <w:t xml:space="preserve">not eligible for funding under this </w:t>
      </w:r>
      <w:r w:rsidR="00972D3E">
        <w:rPr>
          <w:rFonts w:ascii="Tahoma" w:eastAsia="Tahoma" w:hAnsi="Tahoma" w:cs="Tahoma"/>
          <w:b/>
          <w:bCs/>
          <w:color w:val="000000" w:themeColor="text1"/>
          <w:u w:val="single"/>
        </w:rPr>
        <w:t>solicitation</w:t>
      </w:r>
      <w:r w:rsidR="00972D3E" w:rsidRPr="7013084D">
        <w:rPr>
          <w:rFonts w:ascii="Tahoma" w:eastAsia="Tahoma" w:hAnsi="Tahoma" w:cs="Tahoma"/>
          <w:b/>
          <w:bCs/>
          <w:color w:val="000000" w:themeColor="text1"/>
          <w:u w:val="single"/>
        </w:rPr>
        <w:t xml:space="preserve"> </w:t>
      </w:r>
      <w:r w:rsidRPr="7013084D">
        <w:rPr>
          <w:rFonts w:ascii="Tahoma" w:eastAsia="Tahoma" w:hAnsi="Tahoma" w:cs="Tahoma"/>
          <w:b/>
          <w:bCs/>
          <w:color w:val="000000" w:themeColor="text1"/>
          <w:u w:val="single"/>
        </w:rPr>
        <w:t>and will not count toward the minimum charger requirement.</w:t>
      </w:r>
    </w:p>
    <w:p w14:paraId="1BCA3E85" w14:textId="2DD1AD8C" w:rsidR="72FA6E35" w:rsidRDefault="72FA6E35" w:rsidP="72FA6E35">
      <w:pPr>
        <w:spacing w:line="259" w:lineRule="auto"/>
        <w:ind w:left="360"/>
        <w:rPr>
          <w:rFonts w:ascii="Tahoma" w:eastAsia="Tahoma" w:hAnsi="Tahoma" w:cs="Tahoma"/>
          <w:b/>
          <w:bCs/>
          <w:color w:val="000000" w:themeColor="text1"/>
          <w:u w:val="single"/>
        </w:rPr>
      </w:pPr>
    </w:p>
    <w:p w14:paraId="221F23E1" w14:textId="41D9A22F" w:rsidR="63FACBD3" w:rsidRDefault="63FACBD3" w:rsidP="72FA6E35">
      <w:pPr>
        <w:numPr>
          <w:ilvl w:val="0"/>
          <w:numId w:val="7"/>
        </w:numPr>
        <w:spacing w:before="40" w:line="259" w:lineRule="auto"/>
        <w:ind w:left="360"/>
        <w:rPr>
          <w:rFonts w:ascii="Arial" w:eastAsiaTheme="majorEastAsia" w:hAnsi="Arial" w:cs="Arial"/>
          <w:b/>
          <w:bCs/>
        </w:rPr>
      </w:pPr>
      <w:r w:rsidRPr="72FA6E35">
        <w:rPr>
          <w:rFonts w:ascii="Arial" w:eastAsiaTheme="majorEastAsia" w:hAnsi="Arial" w:cs="Arial"/>
          <w:b/>
          <w:bCs/>
        </w:rPr>
        <w:t>Page 1</w:t>
      </w:r>
      <w:r w:rsidR="5E113733" w:rsidRPr="72FA6E35">
        <w:rPr>
          <w:rFonts w:ascii="Arial" w:eastAsiaTheme="majorEastAsia" w:hAnsi="Arial" w:cs="Arial"/>
          <w:b/>
          <w:bCs/>
        </w:rPr>
        <w:t>2</w:t>
      </w:r>
      <w:r w:rsidRPr="72FA6E35">
        <w:rPr>
          <w:rFonts w:ascii="Arial" w:eastAsiaTheme="majorEastAsia" w:hAnsi="Arial" w:cs="Arial"/>
          <w:b/>
          <w:bCs/>
        </w:rPr>
        <w:t>, Section II.B.5 Charging Station Accessibility and Safety</w:t>
      </w:r>
    </w:p>
    <w:p w14:paraId="1A3A8E6F" w14:textId="77A669E3" w:rsidR="63FACBD3" w:rsidRDefault="63FACBD3" w:rsidP="72FA6E35">
      <w:pPr>
        <w:spacing w:line="259" w:lineRule="auto"/>
        <w:ind w:firstLine="360"/>
        <w:rPr>
          <w:rFonts w:ascii="Tahoma" w:eastAsia="Tahoma" w:hAnsi="Tahoma" w:cs="Tahoma"/>
          <w:color w:val="000000" w:themeColor="text1"/>
        </w:rPr>
      </w:pPr>
      <w:r w:rsidRPr="72FA6E35">
        <w:rPr>
          <w:rFonts w:ascii="Tahoma" w:eastAsia="Tahoma" w:hAnsi="Tahoma" w:cs="Tahoma"/>
          <w:color w:val="000000" w:themeColor="text1"/>
        </w:rPr>
        <w:t>Charging stations shall be publicly accessible and accommodate safety</w:t>
      </w:r>
    </w:p>
    <w:p w14:paraId="47DC08CE" w14:textId="3D93F73C" w:rsidR="24D1B480" w:rsidRDefault="24D1B480" w:rsidP="72FA6E35">
      <w:pPr>
        <w:spacing w:line="259" w:lineRule="auto"/>
        <w:ind w:firstLine="360"/>
        <w:rPr>
          <w:rFonts w:ascii="Tahoma" w:eastAsia="Tahoma" w:hAnsi="Tahoma" w:cs="Tahoma"/>
          <w:color w:val="000000" w:themeColor="text1"/>
        </w:rPr>
      </w:pPr>
      <w:r w:rsidRPr="72FA6E35">
        <w:rPr>
          <w:rFonts w:ascii="Tahoma" w:eastAsia="Tahoma" w:hAnsi="Tahoma" w:cs="Tahoma"/>
          <w:color w:val="000000" w:themeColor="text1"/>
        </w:rPr>
        <w:t>r</w:t>
      </w:r>
      <w:r w:rsidR="63FACBD3" w:rsidRPr="72FA6E35">
        <w:rPr>
          <w:rFonts w:ascii="Tahoma" w:eastAsia="Tahoma" w:hAnsi="Tahoma" w:cs="Tahoma"/>
          <w:color w:val="000000" w:themeColor="text1"/>
        </w:rPr>
        <w:t>equirements of EV drivers. The following requirements apply:</w:t>
      </w:r>
    </w:p>
    <w:p w14:paraId="3983FC09" w14:textId="3D94C9C6" w:rsidR="63FACBD3" w:rsidRDefault="63FACBD3" w:rsidP="72FA6E35">
      <w:pPr>
        <w:pStyle w:val="ListParagraph"/>
        <w:numPr>
          <w:ilvl w:val="0"/>
          <w:numId w:val="1"/>
        </w:numPr>
        <w:spacing w:line="259" w:lineRule="auto"/>
        <w:rPr>
          <w:rFonts w:ascii="Tahoma" w:eastAsia="Tahoma" w:hAnsi="Tahoma" w:cs="Tahoma"/>
          <w:color w:val="000000" w:themeColor="text1"/>
        </w:rPr>
      </w:pPr>
      <w:r w:rsidRPr="72FA6E35">
        <w:rPr>
          <w:rFonts w:ascii="Tahoma" w:eastAsia="Tahoma" w:hAnsi="Tahoma" w:cs="Tahoma"/>
          <w:color w:val="000000" w:themeColor="text1"/>
        </w:rPr>
        <w:t xml:space="preserve">Chargers must be publicly available and accessible at least 18 hours per day. </w:t>
      </w:r>
      <w:r w:rsidRPr="72FA6E35">
        <w:rPr>
          <w:rFonts w:ascii="Tahoma" w:eastAsia="Tahoma" w:hAnsi="Tahoma" w:cs="Tahoma"/>
          <w:b/>
          <w:bCs/>
          <w:color w:val="000000" w:themeColor="text1"/>
          <w:u w:val="single"/>
        </w:rPr>
        <w:t>Chargers that are restricted to paying customers (</w:t>
      </w:r>
      <w:proofErr w:type="gramStart"/>
      <w:r w:rsidRPr="72FA6E35">
        <w:rPr>
          <w:rFonts w:ascii="Tahoma" w:eastAsia="Tahoma" w:hAnsi="Tahoma" w:cs="Tahoma"/>
          <w:b/>
          <w:bCs/>
          <w:color w:val="000000" w:themeColor="text1"/>
          <w:u w:val="single"/>
        </w:rPr>
        <w:t>e.g.</w:t>
      </w:r>
      <w:proofErr w:type="gramEnd"/>
      <w:r w:rsidRPr="72FA6E35">
        <w:rPr>
          <w:rFonts w:ascii="Tahoma" w:eastAsia="Tahoma" w:hAnsi="Tahoma" w:cs="Tahoma"/>
          <w:b/>
          <w:bCs/>
          <w:color w:val="000000" w:themeColor="text1"/>
          <w:u w:val="single"/>
        </w:rPr>
        <w:t xml:space="preserve"> within a tolled parking garage) are eligible if the site is available to the public at least 18 hours per day.</w:t>
      </w:r>
    </w:p>
    <w:p w14:paraId="565C45A7" w14:textId="2F5B914A" w:rsidR="63FACBD3" w:rsidRDefault="63FACBD3" w:rsidP="72FA6E35">
      <w:pPr>
        <w:pStyle w:val="ListParagraph"/>
        <w:numPr>
          <w:ilvl w:val="0"/>
          <w:numId w:val="1"/>
        </w:numPr>
        <w:spacing w:line="259" w:lineRule="auto"/>
        <w:rPr>
          <w:rFonts w:ascii="Tahoma" w:eastAsia="Tahoma" w:hAnsi="Tahoma" w:cs="Tahoma"/>
          <w:color w:val="000000" w:themeColor="text1"/>
        </w:rPr>
      </w:pPr>
      <w:r w:rsidRPr="72FA6E35">
        <w:rPr>
          <w:rFonts w:ascii="Tahoma" w:eastAsia="Tahoma" w:hAnsi="Tahoma" w:cs="Tahoma"/>
          <w:color w:val="000000" w:themeColor="text1"/>
        </w:rPr>
        <w:lastRenderedPageBreak/>
        <w:t xml:space="preserve">Charging locations and parking areas must be </w:t>
      </w:r>
      <w:proofErr w:type="gramStart"/>
      <w:r w:rsidRPr="72FA6E35">
        <w:rPr>
          <w:rFonts w:ascii="Tahoma" w:eastAsia="Tahoma" w:hAnsi="Tahoma" w:cs="Tahoma"/>
          <w:color w:val="000000" w:themeColor="text1"/>
        </w:rPr>
        <w:t>well-lit</w:t>
      </w:r>
      <w:proofErr w:type="gramEnd"/>
      <w:r w:rsidRPr="72FA6E35">
        <w:rPr>
          <w:rFonts w:ascii="Tahoma" w:eastAsia="Tahoma" w:hAnsi="Tahoma" w:cs="Tahoma"/>
          <w:color w:val="000000" w:themeColor="text1"/>
        </w:rPr>
        <w:t xml:space="preserve">. The charger user must be able to easily read any instructions on the charger and the area around the vehicle must have adequate lighting to allow the driver to safely move from the charger to the charging port on the vehicle. </w:t>
      </w:r>
    </w:p>
    <w:p w14:paraId="0B018DE0" w14:textId="5334BD57" w:rsidR="63FACBD3" w:rsidRDefault="63FACBD3" w:rsidP="72FA6E35">
      <w:pPr>
        <w:pStyle w:val="ListParagraph"/>
        <w:numPr>
          <w:ilvl w:val="0"/>
          <w:numId w:val="1"/>
        </w:numPr>
        <w:spacing w:line="259" w:lineRule="auto"/>
        <w:rPr>
          <w:rFonts w:ascii="Tahoma" w:eastAsia="Tahoma" w:hAnsi="Tahoma" w:cs="Tahoma"/>
          <w:color w:val="000000" w:themeColor="text1"/>
        </w:rPr>
      </w:pPr>
      <w:r w:rsidRPr="72FA6E35">
        <w:rPr>
          <w:rFonts w:ascii="Tahoma" w:eastAsia="Tahoma" w:hAnsi="Tahoma" w:cs="Tahoma"/>
          <w:color w:val="000000" w:themeColor="text1"/>
        </w:rPr>
        <w:t>Sites must incorporate signage as required by any applicable laws, ordinances, regulations, and standards.</w:t>
      </w:r>
    </w:p>
    <w:p w14:paraId="33CCCDE7" w14:textId="52CFFD9F" w:rsidR="00B1122A" w:rsidRPr="00B1122A" w:rsidRDefault="00B1122A" w:rsidP="72FA6E35">
      <w:pPr>
        <w:keepNext/>
        <w:keepLines/>
        <w:spacing w:before="40"/>
        <w:ind w:left="360"/>
        <w:outlineLvl w:val="2"/>
        <w:rPr>
          <w:color w:val="000000" w:themeColor="text1"/>
        </w:rPr>
      </w:pPr>
    </w:p>
    <w:p w14:paraId="247BCBE7" w14:textId="2D8120F0" w:rsidR="79C34F31" w:rsidRDefault="79C34F31" w:rsidP="4DF5B503">
      <w:pPr>
        <w:keepNext/>
        <w:keepLines/>
        <w:spacing w:after="240" w:line="259" w:lineRule="auto"/>
        <w:rPr>
          <w:rFonts w:ascii="Arial" w:eastAsiaTheme="majorEastAsia" w:hAnsi="Arial" w:cs="Arial"/>
          <w:b/>
          <w:bCs/>
        </w:rPr>
      </w:pPr>
      <w:r w:rsidRPr="4DF5B503">
        <w:rPr>
          <w:rFonts w:ascii="Arial" w:eastAsiaTheme="majorEastAsia" w:hAnsi="Arial" w:cs="Arial"/>
          <w:b/>
          <w:bCs/>
        </w:rPr>
        <w:t>Scope of Work (Attachment 2)</w:t>
      </w:r>
    </w:p>
    <w:p w14:paraId="1DE5CE5A" w14:textId="46A9C936" w:rsidR="79C34F31" w:rsidRDefault="79C34F31" w:rsidP="4DF5B503">
      <w:pPr>
        <w:keepNext/>
        <w:keepLines/>
        <w:numPr>
          <w:ilvl w:val="0"/>
          <w:numId w:val="7"/>
        </w:numPr>
        <w:spacing w:before="40" w:line="259" w:lineRule="auto"/>
        <w:ind w:left="360"/>
        <w:rPr>
          <w:rFonts w:ascii="Arial" w:eastAsiaTheme="majorEastAsia" w:hAnsi="Arial" w:cs="Arial"/>
          <w:b/>
          <w:bCs/>
        </w:rPr>
      </w:pPr>
      <w:r w:rsidRPr="4DF5B503">
        <w:rPr>
          <w:rFonts w:ascii="Arial" w:eastAsiaTheme="majorEastAsia" w:hAnsi="Arial" w:cs="Arial"/>
          <w:b/>
          <w:bCs/>
        </w:rPr>
        <w:t>Page 2, Glossary</w:t>
      </w:r>
    </w:p>
    <w:tbl>
      <w:tblPr>
        <w:tblStyle w:val="TableGrid"/>
        <w:tblW w:w="0" w:type="auto"/>
        <w:tblLayout w:type="fixed"/>
        <w:tblLook w:val="04A0" w:firstRow="1" w:lastRow="0" w:firstColumn="1" w:lastColumn="0" w:noHBand="0" w:noVBand="1"/>
      </w:tblPr>
      <w:tblGrid>
        <w:gridCol w:w="1682"/>
        <w:gridCol w:w="7318"/>
      </w:tblGrid>
      <w:tr w:rsidR="4DF5B503" w14:paraId="749FB322" w14:textId="77777777" w:rsidTr="000F0B5D">
        <w:trPr>
          <w:trHeight w:val="300"/>
        </w:trPr>
        <w:tc>
          <w:tcPr>
            <w:tcW w:w="1682" w:type="dxa"/>
          </w:tcPr>
          <w:p w14:paraId="7B8E980C" w14:textId="5AF536AD" w:rsidR="4DF5B503" w:rsidRDefault="4DF5B503" w:rsidP="4DF5B503">
            <w:pPr>
              <w:keepLines/>
              <w:widowControl w:val="0"/>
              <w:spacing w:after="120"/>
              <w:rPr>
                <w:rFonts w:ascii="Tahoma" w:eastAsia="Tahoma" w:hAnsi="Tahoma" w:cs="Tahoma"/>
                <w:color w:val="000000" w:themeColor="text1"/>
              </w:rPr>
            </w:pPr>
            <w:r w:rsidRPr="4DF5B503">
              <w:rPr>
                <w:rFonts w:ascii="Tahoma" w:eastAsia="Tahoma" w:hAnsi="Tahoma" w:cs="Tahoma"/>
                <w:color w:val="000000" w:themeColor="text1"/>
              </w:rPr>
              <w:t>Charger</w:t>
            </w:r>
          </w:p>
        </w:tc>
        <w:tc>
          <w:tcPr>
            <w:tcW w:w="7318" w:type="dxa"/>
          </w:tcPr>
          <w:p w14:paraId="0558BB6F" w14:textId="02FD7F5D" w:rsidR="4DF5B503" w:rsidRDefault="4DF5B503" w:rsidP="4DF5B503">
            <w:pPr>
              <w:keepLines/>
              <w:widowControl w:val="0"/>
              <w:spacing w:after="120"/>
              <w:rPr>
                <w:rFonts w:ascii="Tahoma" w:eastAsia="Tahoma" w:hAnsi="Tahoma" w:cs="Tahoma"/>
                <w:color w:val="000000" w:themeColor="text1"/>
              </w:rPr>
            </w:pPr>
            <w:r w:rsidRPr="4DF5B503">
              <w:rPr>
                <w:rFonts w:ascii="Tahoma" w:eastAsia="Tahoma" w:hAnsi="Tahoma" w:cs="Tahoma"/>
                <w:color w:val="000000" w:themeColor="text1"/>
              </w:rPr>
              <w:t xml:space="preserve">Any connector that can independently provide charge </w:t>
            </w:r>
            <w:r w:rsidRPr="4DF5B503">
              <w:rPr>
                <w:rFonts w:ascii="Tahoma" w:eastAsia="Tahoma" w:hAnsi="Tahoma" w:cs="Tahoma"/>
                <w:b/>
                <w:bCs/>
                <w:color w:val="000000" w:themeColor="text1"/>
                <w:u w:val="single"/>
              </w:rPr>
              <w:t>to an on-road electric vehicle (EV)</w:t>
            </w:r>
            <w:r w:rsidRPr="4DF5B503">
              <w:rPr>
                <w:rFonts w:ascii="Tahoma" w:eastAsia="Tahoma" w:hAnsi="Tahoma" w:cs="Tahoma"/>
                <w:b/>
                <w:bCs/>
                <w:color w:val="000000" w:themeColor="text1"/>
              </w:rPr>
              <w:t xml:space="preserve"> </w:t>
            </w:r>
            <w:r w:rsidRPr="4DF5B503">
              <w:rPr>
                <w:rFonts w:ascii="Tahoma" w:eastAsia="Tahoma" w:hAnsi="Tahoma" w:cs="Tahoma"/>
                <w:color w:val="000000" w:themeColor="text1"/>
              </w:rPr>
              <w:t>regardless of whether the other connectors associated with a Charge Point are simultaneously charging.</w:t>
            </w:r>
          </w:p>
        </w:tc>
      </w:tr>
      <w:tr w:rsidR="4DF5B503" w14:paraId="764B57BA" w14:textId="77777777" w:rsidTr="000F0B5D">
        <w:trPr>
          <w:trHeight w:val="300"/>
        </w:trPr>
        <w:tc>
          <w:tcPr>
            <w:tcW w:w="1682" w:type="dxa"/>
          </w:tcPr>
          <w:p w14:paraId="4EECC34F" w14:textId="53B588F3" w:rsidR="4DF5B503" w:rsidRDefault="4DF5B503" w:rsidP="4DF5B503">
            <w:pPr>
              <w:keepLines/>
              <w:widowControl w:val="0"/>
              <w:spacing w:after="120"/>
              <w:rPr>
                <w:rFonts w:ascii="Tahoma" w:eastAsia="Tahoma" w:hAnsi="Tahoma" w:cs="Tahoma"/>
                <w:color w:val="000000" w:themeColor="text1"/>
              </w:rPr>
            </w:pPr>
            <w:r w:rsidRPr="4DF5B503">
              <w:rPr>
                <w:rFonts w:ascii="Tahoma" w:eastAsia="Tahoma" w:hAnsi="Tahoma" w:cs="Tahoma"/>
                <w:color w:val="000000" w:themeColor="text1"/>
              </w:rPr>
              <w:t>Charging Session</w:t>
            </w:r>
          </w:p>
        </w:tc>
        <w:tc>
          <w:tcPr>
            <w:tcW w:w="7318" w:type="dxa"/>
          </w:tcPr>
          <w:p w14:paraId="69A7B4EA" w14:textId="39FE5FF7" w:rsidR="4DF5B503" w:rsidRDefault="4DF5B503" w:rsidP="4DF5B503">
            <w:pPr>
              <w:keepLines/>
              <w:widowControl w:val="0"/>
              <w:spacing w:after="120"/>
              <w:rPr>
                <w:rFonts w:ascii="Tahoma" w:eastAsia="Tahoma" w:hAnsi="Tahoma" w:cs="Tahoma"/>
                <w:color w:val="000000" w:themeColor="text1"/>
              </w:rPr>
            </w:pPr>
            <w:r w:rsidRPr="3D6E2A40">
              <w:rPr>
                <w:rFonts w:ascii="Tahoma" w:eastAsia="Tahoma" w:hAnsi="Tahoma" w:cs="Tahoma"/>
                <w:color w:val="000000" w:themeColor="text1"/>
              </w:rPr>
              <w:t>Part of a transaction during which the [</w:t>
            </w:r>
            <w:r w:rsidRPr="3D6E2A40">
              <w:rPr>
                <w:rFonts w:ascii="Tahoma" w:eastAsia="Tahoma" w:hAnsi="Tahoma" w:cs="Tahoma"/>
                <w:strike/>
                <w:color w:val="000000" w:themeColor="text1"/>
              </w:rPr>
              <w:t xml:space="preserve">electric vehicle </w:t>
            </w:r>
            <w:proofErr w:type="gramStart"/>
            <w:r w:rsidRPr="3D6E2A40">
              <w:rPr>
                <w:rFonts w:ascii="Tahoma" w:eastAsia="Tahoma" w:hAnsi="Tahoma" w:cs="Tahoma"/>
                <w:strike/>
                <w:color w:val="000000" w:themeColor="text1"/>
              </w:rPr>
              <w:t>(</w:t>
            </w:r>
            <w:r w:rsidRPr="3D6E2A40">
              <w:rPr>
                <w:rFonts w:ascii="Tahoma" w:eastAsia="Tahoma" w:hAnsi="Tahoma" w:cs="Tahoma"/>
                <w:color w:val="000000" w:themeColor="text1"/>
              </w:rPr>
              <w:t>]EV</w:t>
            </w:r>
            <w:proofErr w:type="gramEnd"/>
            <w:r w:rsidRPr="3D6E2A40">
              <w:rPr>
                <w:rFonts w:ascii="Tahoma" w:eastAsia="Tahoma" w:hAnsi="Tahoma" w:cs="Tahoma"/>
                <w:color w:val="000000" w:themeColor="text1"/>
              </w:rPr>
              <w:t>[</w:t>
            </w:r>
            <w:r w:rsidRPr="3D6E2A40">
              <w:rPr>
                <w:rFonts w:ascii="Tahoma" w:eastAsia="Tahoma" w:hAnsi="Tahoma" w:cs="Tahoma"/>
                <w:strike/>
                <w:color w:val="000000" w:themeColor="text1"/>
              </w:rPr>
              <w:t>)</w:t>
            </w:r>
            <w:r w:rsidRPr="3D6E2A40">
              <w:rPr>
                <w:rFonts w:ascii="Tahoma" w:eastAsia="Tahoma" w:hAnsi="Tahoma" w:cs="Tahoma"/>
                <w:color w:val="000000" w:themeColor="text1"/>
              </w:rPr>
              <w:t>]</w:t>
            </w:r>
            <w:r w:rsidR="53B78FAA" w:rsidRPr="3D6E2A40">
              <w:rPr>
                <w:rFonts w:ascii="Tahoma" w:eastAsia="Tahoma" w:hAnsi="Tahoma" w:cs="Tahoma"/>
                <w:color w:val="000000" w:themeColor="text1"/>
              </w:rPr>
              <w:t xml:space="preserve"> </w:t>
            </w:r>
            <w:r w:rsidRPr="3D6E2A40">
              <w:rPr>
                <w:rFonts w:ascii="Tahoma" w:eastAsia="Tahoma" w:hAnsi="Tahoma" w:cs="Tahoma"/>
                <w:color w:val="000000" w:themeColor="text1"/>
              </w:rPr>
              <w:t>is allowed to request energy. </w:t>
            </w:r>
          </w:p>
        </w:tc>
      </w:tr>
    </w:tbl>
    <w:p w14:paraId="3DD1575D" w14:textId="7B14A746" w:rsidR="4DF5B503" w:rsidRDefault="4DF5B503" w:rsidP="4DF5B503">
      <w:pPr>
        <w:keepNext/>
        <w:keepLines/>
        <w:spacing w:before="40" w:line="259" w:lineRule="auto"/>
        <w:rPr>
          <w:rFonts w:ascii="Arial" w:eastAsiaTheme="majorEastAsia" w:hAnsi="Arial" w:cs="Arial"/>
          <w:b/>
          <w:bCs/>
        </w:rPr>
      </w:pPr>
    </w:p>
    <w:p w14:paraId="4493DFC7" w14:textId="5DD5D8EE" w:rsidR="4DF5B503" w:rsidRDefault="4DF5B503" w:rsidP="4DF5B503">
      <w:pPr>
        <w:keepNext/>
        <w:keepLines/>
        <w:spacing w:before="40"/>
        <w:ind w:left="360"/>
        <w:outlineLvl w:val="2"/>
        <w:rPr>
          <w:color w:val="000000" w:themeColor="text1"/>
        </w:rPr>
      </w:pPr>
    </w:p>
    <w:p w14:paraId="07FBA8BF" w14:textId="0B2B3B56" w:rsidR="296F0FF1" w:rsidRDefault="296F0FF1" w:rsidP="72FA6E35">
      <w:pPr>
        <w:spacing w:line="259" w:lineRule="auto"/>
      </w:pPr>
      <w:proofErr w:type="spellStart"/>
      <w:r w:rsidRPr="72FA6E35">
        <w:rPr>
          <w:rFonts w:ascii="Arial" w:hAnsi="Arial" w:cs="Arial"/>
          <w:b/>
          <w:bCs/>
        </w:rPr>
        <w:t>Eilene</w:t>
      </w:r>
      <w:proofErr w:type="spellEnd"/>
      <w:r w:rsidRPr="72FA6E35">
        <w:rPr>
          <w:rFonts w:ascii="Arial" w:hAnsi="Arial" w:cs="Arial"/>
          <w:b/>
          <w:bCs/>
        </w:rPr>
        <w:t xml:space="preserve"> Cary,</w:t>
      </w:r>
    </w:p>
    <w:p w14:paraId="19B4D541" w14:textId="3DDE6849" w:rsidR="00B1122A" w:rsidRPr="00B1122A" w:rsidRDefault="00B1122A" w:rsidP="00B1122A">
      <w:pPr>
        <w:spacing w:after="480"/>
        <w:rPr>
          <w:rStyle w:val="normaltextrun"/>
          <w:rFonts w:ascii="Arial" w:hAnsi="Arial" w:cs="Arial"/>
          <w:b/>
          <w:bCs/>
        </w:rPr>
      </w:pPr>
      <w:r w:rsidRPr="00B1122A">
        <w:rPr>
          <w:rFonts w:ascii="Arial" w:hAnsi="Arial" w:cs="Arial"/>
          <w:b/>
          <w:bCs/>
        </w:rPr>
        <w:t>Commission Agreement Officer</w:t>
      </w:r>
    </w:p>
    <w:sectPr w:rsidR="00B1122A" w:rsidRPr="00B1122A" w:rsidSect="000D4A7B">
      <w:headerReference w:type="default" r:id="rId11"/>
      <w:footerReference w:type="default" r:id="rId12"/>
      <w:headerReference w:type="first" r:id="rId13"/>
      <w:footerReference w:type="first" r:id="rId14"/>
      <w:pgSz w:w="12240" w:h="15840"/>
      <w:pgMar w:top="2250" w:right="1620" w:bottom="1440" w:left="162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3E04E" w14:textId="77777777" w:rsidR="00DF4F49" w:rsidRDefault="00DF4F49" w:rsidP="00F86D2B">
      <w:r>
        <w:separator/>
      </w:r>
    </w:p>
  </w:endnote>
  <w:endnote w:type="continuationSeparator" w:id="0">
    <w:p w14:paraId="1266F584" w14:textId="77777777" w:rsidR="00DF4F49" w:rsidRDefault="00DF4F49" w:rsidP="00F86D2B">
      <w:r>
        <w:continuationSeparator/>
      </w:r>
    </w:p>
  </w:endnote>
  <w:endnote w:type="continuationNotice" w:id="1">
    <w:p w14:paraId="083F8102" w14:textId="77777777" w:rsidR="00DF4F49" w:rsidRDefault="00DF4F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10" name="Picture 10"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33FBE" w14:textId="77777777" w:rsidR="00DF4F49" w:rsidRDefault="00DF4F49" w:rsidP="00F86D2B">
      <w:r>
        <w:separator/>
      </w:r>
    </w:p>
  </w:footnote>
  <w:footnote w:type="continuationSeparator" w:id="0">
    <w:p w14:paraId="72CA0DDA" w14:textId="77777777" w:rsidR="00DF4F49" w:rsidRDefault="00DF4F49" w:rsidP="00F86D2B">
      <w:r>
        <w:continuationSeparator/>
      </w:r>
    </w:p>
  </w:footnote>
  <w:footnote w:type="continuationNotice" w:id="1">
    <w:p w14:paraId="410A921C" w14:textId="77777777" w:rsidR="00DF4F49" w:rsidRDefault="00DF4F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3FA489FF">
          <wp:extent cx="7465625" cy="978010"/>
          <wp:effectExtent l="0" t="0" r="254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36182"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0F3E"/>
    <w:multiLevelType w:val="hybridMultilevel"/>
    <w:tmpl w:val="D1CC0080"/>
    <w:lvl w:ilvl="0" w:tplc="6534F984">
      <w:start w:val="1"/>
      <w:numFmt w:val="bullet"/>
      <w:lvlText w:val=""/>
      <w:lvlJc w:val="left"/>
      <w:pPr>
        <w:ind w:left="720" w:hanging="360"/>
      </w:pPr>
      <w:rPr>
        <w:rFonts w:ascii="Symbol" w:hAnsi="Symbol" w:hint="default"/>
      </w:rPr>
    </w:lvl>
    <w:lvl w:ilvl="1" w:tplc="E460C3DE">
      <w:start w:val="1"/>
      <w:numFmt w:val="bullet"/>
      <w:lvlText w:val="o"/>
      <w:lvlJc w:val="left"/>
      <w:pPr>
        <w:ind w:left="1440" w:hanging="360"/>
      </w:pPr>
      <w:rPr>
        <w:rFonts w:ascii="Courier New" w:hAnsi="Courier New" w:hint="default"/>
      </w:rPr>
    </w:lvl>
    <w:lvl w:ilvl="2" w:tplc="AF781042">
      <w:start w:val="1"/>
      <w:numFmt w:val="bullet"/>
      <w:lvlText w:val=""/>
      <w:lvlJc w:val="left"/>
      <w:pPr>
        <w:ind w:left="2160" w:hanging="360"/>
      </w:pPr>
      <w:rPr>
        <w:rFonts w:ascii="Wingdings" w:hAnsi="Wingdings" w:hint="default"/>
      </w:rPr>
    </w:lvl>
    <w:lvl w:ilvl="3" w:tplc="06B6BEB2">
      <w:start w:val="1"/>
      <w:numFmt w:val="bullet"/>
      <w:lvlText w:val=""/>
      <w:lvlJc w:val="left"/>
      <w:pPr>
        <w:ind w:left="2880" w:hanging="360"/>
      </w:pPr>
      <w:rPr>
        <w:rFonts w:ascii="Symbol" w:hAnsi="Symbol" w:hint="default"/>
      </w:rPr>
    </w:lvl>
    <w:lvl w:ilvl="4" w:tplc="65C23A32">
      <w:start w:val="1"/>
      <w:numFmt w:val="bullet"/>
      <w:lvlText w:val="o"/>
      <w:lvlJc w:val="left"/>
      <w:pPr>
        <w:ind w:left="3600" w:hanging="360"/>
      </w:pPr>
      <w:rPr>
        <w:rFonts w:ascii="Courier New" w:hAnsi="Courier New" w:hint="default"/>
      </w:rPr>
    </w:lvl>
    <w:lvl w:ilvl="5" w:tplc="0FEC49DA">
      <w:start w:val="1"/>
      <w:numFmt w:val="bullet"/>
      <w:lvlText w:val=""/>
      <w:lvlJc w:val="left"/>
      <w:pPr>
        <w:ind w:left="4320" w:hanging="360"/>
      </w:pPr>
      <w:rPr>
        <w:rFonts w:ascii="Wingdings" w:hAnsi="Wingdings" w:hint="default"/>
      </w:rPr>
    </w:lvl>
    <w:lvl w:ilvl="6" w:tplc="C0285E62">
      <w:start w:val="1"/>
      <w:numFmt w:val="bullet"/>
      <w:lvlText w:val=""/>
      <w:lvlJc w:val="left"/>
      <w:pPr>
        <w:ind w:left="5040" w:hanging="360"/>
      </w:pPr>
      <w:rPr>
        <w:rFonts w:ascii="Symbol" w:hAnsi="Symbol" w:hint="default"/>
      </w:rPr>
    </w:lvl>
    <w:lvl w:ilvl="7" w:tplc="722CA06C">
      <w:start w:val="1"/>
      <w:numFmt w:val="bullet"/>
      <w:lvlText w:val="o"/>
      <w:lvlJc w:val="left"/>
      <w:pPr>
        <w:ind w:left="5760" w:hanging="360"/>
      </w:pPr>
      <w:rPr>
        <w:rFonts w:ascii="Courier New" w:hAnsi="Courier New" w:hint="default"/>
      </w:rPr>
    </w:lvl>
    <w:lvl w:ilvl="8" w:tplc="EDC085BC">
      <w:start w:val="1"/>
      <w:numFmt w:val="bullet"/>
      <w:lvlText w:val=""/>
      <w:lvlJc w:val="left"/>
      <w:pPr>
        <w:ind w:left="6480" w:hanging="360"/>
      </w:pPr>
      <w:rPr>
        <w:rFonts w:ascii="Wingdings" w:hAnsi="Wingdings" w:hint="default"/>
      </w:rPr>
    </w:lvl>
  </w:abstractNum>
  <w:abstractNum w:abstractNumId="1"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E61A7"/>
    <w:multiLevelType w:val="hybridMultilevel"/>
    <w:tmpl w:val="A2B0B4BE"/>
    <w:lvl w:ilvl="0" w:tplc="60EA672C">
      <w:start w:val="1"/>
      <w:numFmt w:val="decimal"/>
      <w:lvlText w:val="%1."/>
      <w:lvlJc w:val="left"/>
      <w:pPr>
        <w:ind w:left="720" w:hanging="360"/>
      </w:pPr>
    </w:lvl>
    <w:lvl w:ilvl="1" w:tplc="80EA10CA">
      <w:start w:val="2"/>
      <w:numFmt w:val="decimal"/>
      <w:lvlText w:val="%2."/>
      <w:lvlJc w:val="left"/>
      <w:pPr>
        <w:ind w:left="1440" w:hanging="360"/>
      </w:pPr>
      <w:rPr>
        <w:rFonts w:ascii="Tahoma" w:hAnsi="Tahoma" w:hint="default"/>
      </w:rPr>
    </w:lvl>
    <w:lvl w:ilvl="2" w:tplc="6A827A86">
      <w:start w:val="1"/>
      <w:numFmt w:val="lowerRoman"/>
      <w:lvlText w:val="%3."/>
      <w:lvlJc w:val="right"/>
      <w:pPr>
        <w:ind w:left="2160" w:hanging="180"/>
      </w:pPr>
    </w:lvl>
    <w:lvl w:ilvl="3" w:tplc="EFECD01A">
      <w:start w:val="1"/>
      <w:numFmt w:val="decimal"/>
      <w:lvlText w:val="%4."/>
      <w:lvlJc w:val="left"/>
      <w:pPr>
        <w:ind w:left="2880" w:hanging="360"/>
      </w:pPr>
    </w:lvl>
    <w:lvl w:ilvl="4" w:tplc="F4A036A6">
      <w:start w:val="1"/>
      <w:numFmt w:val="lowerLetter"/>
      <w:lvlText w:val="%5."/>
      <w:lvlJc w:val="left"/>
      <w:pPr>
        <w:ind w:left="3600" w:hanging="360"/>
      </w:pPr>
    </w:lvl>
    <w:lvl w:ilvl="5" w:tplc="FC68A6E0">
      <w:start w:val="1"/>
      <w:numFmt w:val="lowerRoman"/>
      <w:lvlText w:val="%6."/>
      <w:lvlJc w:val="right"/>
      <w:pPr>
        <w:ind w:left="4320" w:hanging="180"/>
      </w:pPr>
    </w:lvl>
    <w:lvl w:ilvl="6" w:tplc="6706C9A8">
      <w:start w:val="1"/>
      <w:numFmt w:val="decimal"/>
      <w:lvlText w:val="%7."/>
      <w:lvlJc w:val="left"/>
      <w:pPr>
        <w:ind w:left="5040" w:hanging="360"/>
      </w:pPr>
    </w:lvl>
    <w:lvl w:ilvl="7" w:tplc="E90C3022">
      <w:start w:val="1"/>
      <w:numFmt w:val="lowerLetter"/>
      <w:lvlText w:val="%8."/>
      <w:lvlJc w:val="left"/>
      <w:pPr>
        <w:ind w:left="5760" w:hanging="360"/>
      </w:pPr>
    </w:lvl>
    <w:lvl w:ilvl="8" w:tplc="15E0B20E">
      <w:start w:val="1"/>
      <w:numFmt w:val="lowerRoman"/>
      <w:lvlText w:val="%9."/>
      <w:lvlJc w:val="right"/>
      <w:pPr>
        <w:ind w:left="6480" w:hanging="180"/>
      </w:pPr>
    </w:lvl>
  </w:abstractNum>
  <w:abstractNum w:abstractNumId="3" w15:restartNumberingAfterBreak="0">
    <w:nsid w:val="42DDE515"/>
    <w:multiLevelType w:val="hybridMultilevel"/>
    <w:tmpl w:val="E626FB7A"/>
    <w:lvl w:ilvl="0" w:tplc="1DF6CB96">
      <w:start w:val="1"/>
      <w:numFmt w:val="bullet"/>
      <w:lvlText w:val="·"/>
      <w:lvlJc w:val="left"/>
      <w:pPr>
        <w:ind w:left="1800" w:hanging="360"/>
      </w:pPr>
      <w:rPr>
        <w:rFonts w:ascii="Symbol" w:hAnsi="Symbol" w:hint="default"/>
      </w:rPr>
    </w:lvl>
    <w:lvl w:ilvl="1" w:tplc="E99CCCC8">
      <w:start w:val="1"/>
      <w:numFmt w:val="bullet"/>
      <w:lvlText w:val="o"/>
      <w:lvlJc w:val="left"/>
      <w:pPr>
        <w:ind w:left="1440" w:hanging="360"/>
      </w:pPr>
      <w:rPr>
        <w:rFonts w:ascii="Courier New" w:hAnsi="Courier New" w:hint="default"/>
      </w:rPr>
    </w:lvl>
    <w:lvl w:ilvl="2" w:tplc="8E560718">
      <w:start w:val="1"/>
      <w:numFmt w:val="bullet"/>
      <w:lvlText w:val=""/>
      <w:lvlJc w:val="left"/>
      <w:pPr>
        <w:ind w:left="2160" w:hanging="360"/>
      </w:pPr>
      <w:rPr>
        <w:rFonts w:ascii="Wingdings" w:hAnsi="Wingdings" w:hint="default"/>
      </w:rPr>
    </w:lvl>
    <w:lvl w:ilvl="3" w:tplc="826E2160">
      <w:start w:val="1"/>
      <w:numFmt w:val="bullet"/>
      <w:lvlText w:val=""/>
      <w:lvlJc w:val="left"/>
      <w:pPr>
        <w:ind w:left="2880" w:hanging="360"/>
      </w:pPr>
      <w:rPr>
        <w:rFonts w:ascii="Symbol" w:hAnsi="Symbol" w:hint="default"/>
      </w:rPr>
    </w:lvl>
    <w:lvl w:ilvl="4" w:tplc="A48AD5AE">
      <w:start w:val="1"/>
      <w:numFmt w:val="bullet"/>
      <w:lvlText w:val="o"/>
      <w:lvlJc w:val="left"/>
      <w:pPr>
        <w:ind w:left="3600" w:hanging="360"/>
      </w:pPr>
      <w:rPr>
        <w:rFonts w:ascii="Courier New" w:hAnsi="Courier New" w:hint="default"/>
      </w:rPr>
    </w:lvl>
    <w:lvl w:ilvl="5" w:tplc="1DCEB1DE">
      <w:start w:val="1"/>
      <w:numFmt w:val="bullet"/>
      <w:lvlText w:val=""/>
      <w:lvlJc w:val="left"/>
      <w:pPr>
        <w:ind w:left="4320" w:hanging="360"/>
      </w:pPr>
      <w:rPr>
        <w:rFonts w:ascii="Wingdings" w:hAnsi="Wingdings" w:hint="default"/>
      </w:rPr>
    </w:lvl>
    <w:lvl w:ilvl="6" w:tplc="03485188">
      <w:start w:val="1"/>
      <w:numFmt w:val="bullet"/>
      <w:lvlText w:val=""/>
      <w:lvlJc w:val="left"/>
      <w:pPr>
        <w:ind w:left="5040" w:hanging="360"/>
      </w:pPr>
      <w:rPr>
        <w:rFonts w:ascii="Symbol" w:hAnsi="Symbol" w:hint="default"/>
      </w:rPr>
    </w:lvl>
    <w:lvl w:ilvl="7" w:tplc="1ECAB3C2">
      <w:start w:val="1"/>
      <w:numFmt w:val="bullet"/>
      <w:lvlText w:val="o"/>
      <w:lvlJc w:val="left"/>
      <w:pPr>
        <w:ind w:left="5760" w:hanging="360"/>
      </w:pPr>
      <w:rPr>
        <w:rFonts w:ascii="Courier New" w:hAnsi="Courier New" w:hint="default"/>
      </w:rPr>
    </w:lvl>
    <w:lvl w:ilvl="8" w:tplc="BD90BFB4">
      <w:start w:val="1"/>
      <w:numFmt w:val="bullet"/>
      <w:lvlText w:val=""/>
      <w:lvlJc w:val="left"/>
      <w:pPr>
        <w:ind w:left="6480" w:hanging="360"/>
      </w:pPr>
      <w:rPr>
        <w:rFonts w:ascii="Wingdings" w:hAnsi="Wingdings" w:hint="default"/>
      </w:rPr>
    </w:lvl>
  </w:abstractNum>
  <w:abstractNum w:abstractNumId="4" w15:restartNumberingAfterBreak="0">
    <w:nsid w:val="447CA452"/>
    <w:multiLevelType w:val="hybridMultilevel"/>
    <w:tmpl w:val="C6BA8B5E"/>
    <w:lvl w:ilvl="0" w:tplc="F5B6E464">
      <w:start w:val="1"/>
      <w:numFmt w:val="bullet"/>
      <w:lvlText w:val="·"/>
      <w:lvlJc w:val="left"/>
      <w:pPr>
        <w:ind w:left="1800" w:hanging="360"/>
      </w:pPr>
      <w:rPr>
        <w:rFonts w:ascii="Symbol" w:hAnsi="Symbol" w:hint="default"/>
      </w:rPr>
    </w:lvl>
    <w:lvl w:ilvl="1" w:tplc="83A8247A">
      <w:start w:val="1"/>
      <w:numFmt w:val="bullet"/>
      <w:lvlText w:val="o"/>
      <w:lvlJc w:val="left"/>
      <w:pPr>
        <w:ind w:left="1440" w:hanging="360"/>
      </w:pPr>
      <w:rPr>
        <w:rFonts w:ascii="Courier New" w:hAnsi="Courier New" w:hint="default"/>
      </w:rPr>
    </w:lvl>
    <w:lvl w:ilvl="2" w:tplc="B388FC5A">
      <w:start w:val="1"/>
      <w:numFmt w:val="bullet"/>
      <w:lvlText w:val=""/>
      <w:lvlJc w:val="left"/>
      <w:pPr>
        <w:ind w:left="2160" w:hanging="360"/>
      </w:pPr>
      <w:rPr>
        <w:rFonts w:ascii="Wingdings" w:hAnsi="Wingdings" w:hint="default"/>
      </w:rPr>
    </w:lvl>
    <w:lvl w:ilvl="3" w:tplc="BA32A0E0">
      <w:start w:val="1"/>
      <w:numFmt w:val="bullet"/>
      <w:lvlText w:val=""/>
      <w:lvlJc w:val="left"/>
      <w:pPr>
        <w:ind w:left="2880" w:hanging="360"/>
      </w:pPr>
      <w:rPr>
        <w:rFonts w:ascii="Symbol" w:hAnsi="Symbol" w:hint="default"/>
      </w:rPr>
    </w:lvl>
    <w:lvl w:ilvl="4" w:tplc="3C2CEF88">
      <w:start w:val="1"/>
      <w:numFmt w:val="bullet"/>
      <w:lvlText w:val="o"/>
      <w:lvlJc w:val="left"/>
      <w:pPr>
        <w:ind w:left="3600" w:hanging="360"/>
      </w:pPr>
      <w:rPr>
        <w:rFonts w:ascii="Courier New" w:hAnsi="Courier New" w:hint="default"/>
      </w:rPr>
    </w:lvl>
    <w:lvl w:ilvl="5" w:tplc="CE44A8D0">
      <w:start w:val="1"/>
      <w:numFmt w:val="bullet"/>
      <w:lvlText w:val=""/>
      <w:lvlJc w:val="left"/>
      <w:pPr>
        <w:ind w:left="4320" w:hanging="360"/>
      </w:pPr>
      <w:rPr>
        <w:rFonts w:ascii="Wingdings" w:hAnsi="Wingdings" w:hint="default"/>
      </w:rPr>
    </w:lvl>
    <w:lvl w:ilvl="6" w:tplc="A8DEE6EA">
      <w:start w:val="1"/>
      <w:numFmt w:val="bullet"/>
      <w:lvlText w:val=""/>
      <w:lvlJc w:val="left"/>
      <w:pPr>
        <w:ind w:left="5040" w:hanging="360"/>
      </w:pPr>
      <w:rPr>
        <w:rFonts w:ascii="Symbol" w:hAnsi="Symbol" w:hint="default"/>
      </w:rPr>
    </w:lvl>
    <w:lvl w:ilvl="7" w:tplc="562E7D20">
      <w:start w:val="1"/>
      <w:numFmt w:val="bullet"/>
      <w:lvlText w:val="o"/>
      <w:lvlJc w:val="left"/>
      <w:pPr>
        <w:ind w:left="5760" w:hanging="360"/>
      </w:pPr>
      <w:rPr>
        <w:rFonts w:ascii="Courier New" w:hAnsi="Courier New" w:hint="default"/>
      </w:rPr>
    </w:lvl>
    <w:lvl w:ilvl="8" w:tplc="B79EA7E8">
      <w:start w:val="1"/>
      <w:numFmt w:val="bullet"/>
      <w:lvlText w:val=""/>
      <w:lvlJc w:val="left"/>
      <w:pPr>
        <w:ind w:left="6480" w:hanging="360"/>
      </w:pPr>
      <w:rPr>
        <w:rFonts w:ascii="Wingdings" w:hAnsi="Wingdings" w:hint="default"/>
      </w:rPr>
    </w:lvl>
  </w:abstractNum>
  <w:abstractNum w:abstractNumId="5" w15:restartNumberingAfterBreak="0">
    <w:nsid w:val="547E7603"/>
    <w:multiLevelType w:val="hybridMultilevel"/>
    <w:tmpl w:val="3D507ADC"/>
    <w:lvl w:ilvl="0" w:tplc="AFE44858">
      <w:start w:val="1"/>
      <w:numFmt w:val="bullet"/>
      <w:lvlText w:val="·"/>
      <w:lvlJc w:val="left"/>
      <w:pPr>
        <w:ind w:left="1800" w:hanging="360"/>
      </w:pPr>
      <w:rPr>
        <w:rFonts w:ascii="Symbol" w:hAnsi="Symbol" w:hint="default"/>
      </w:rPr>
    </w:lvl>
    <w:lvl w:ilvl="1" w:tplc="E77C00B8">
      <w:start w:val="1"/>
      <w:numFmt w:val="bullet"/>
      <w:lvlText w:val="o"/>
      <w:lvlJc w:val="left"/>
      <w:pPr>
        <w:ind w:left="1440" w:hanging="360"/>
      </w:pPr>
      <w:rPr>
        <w:rFonts w:ascii="Courier New" w:hAnsi="Courier New" w:hint="default"/>
      </w:rPr>
    </w:lvl>
    <w:lvl w:ilvl="2" w:tplc="DF7E661A">
      <w:start w:val="1"/>
      <w:numFmt w:val="bullet"/>
      <w:lvlText w:val=""/>
      <w:lvlJc w:val="left"/>
      <w:pPr>
        <w:ind w:left="2160" w:hanging="360"/>
      </w:pPr>
      <w:rPr>
        <w:rFonts w:ascii="Wingdings" w:hAnsi="Wingdings" w:hint="default"/>
      </w:rPr>
    </w:lvl>
    <w:lvl w:ilvl="3" w:tplc="5F1AC366">
      <w:start w:val="1"/>
      <w:numFmt w:val="bullet"/>
      <w:lvlText w:val=""/>
      <w:lvlJc w:val="left"/>
      <w:pPr>
        <w:ind w:left="2880" w:hanging="360"/>
      </w:pPr>
      <w:rPr>
        <w:rFonts w:ascii="Symbol" w:hAnsi="Symbol" w:hint="default"/>
      </w:rPr>
    </w:lvl>
    <w:lvl w:ilvl="4" w:tplc="9648CCEA">
      <w:start w:val="1"/>
      <w:numFmt w:val="bullet"/>
      <w:lvlText w:val="o"/>
      <w:lvlJc w:val="left"/>
      <w:pPr>
        <w:ind w:left="3600" w:hanging="360"/>
      </w:pPr>
      <w:rPr>
        <w:rFonts w:ascii="Courier New" w:hAnsi="Courier New" w:hint="default"/>
      </w:rPr>
    </w:lvl>
    <w:lvl w:ilvl="5" w:tplc="CC80D0DA">
      <w:start w:val="1"/>
      <w:numFmt w:val="bullet"/>
      <w:lvlText w:val=""/>
      <w:lvlJc w:val="left"/>
      <w:pPr>
        <w:ind w:left="4320" w:hanging="360"/>
      </w:pPr>
      <w:rPr>
        <w:rFonts w:ascii="Wingdings" w:hAnsi="Wingdings" w:hint="default"/>
      </w:rPr>
    </w:lvl>
    <w:lvl w:ilvl="6" w:tplc="DB365DB4">
      <w:start w:val="1"/>
      <w:numFmt w:val="bullet"/>
      <w:lvlText w:val=""/>
      <w:lvlJc w:val="left"/>
      <w:pPr>
        <w:ind w:left="5040" w:hanging="360"/>
      </w:pPr>
      <w:rPr>
        <w:rFonts w:ascii="Symbol" w:hAnsi="Symbol" w:hint="default"/>
      </w:rPr>
    </w:lvl>
    <w:lvl w:ilvl="7" w:tplc="16A04B38">
      <w:start w:val="1"/>
      <w:numFmt w:val="bullet"/>
      <w:lvlText w:val="o"/>
      <w:lvlJc w:val="left"/>
      <w:pPr>
        <w:ind w:left="5760" w:hanging="360"/>
      </w:pPr>
      <w:rPr>
        <w:rFonts w:ascii="Courier New" w:hAnsi="Courier New" w:hint="default"/>
      </w:rPr>
    </w:lvl>
    <w:lvl w:ilvl="8" w:tplc="F0348218">
      <w:start w:val="1"/>
      <w:numFmt w:val="bullet"/>
      <w:lvlText w:val=""/>
      <w:lvlJc w:val="left"/>
      <w:pPr>
        <w:ind w:left="6480" w:hanging="360"/>
      </w:pPr>
      <w:rPr>
        <w:rFonts w:ascii="Wingdings" w:hAnsi="Wingdings" w:hint="default"/>
      </w:rPr>
    </w:lvl>
  </w:abstractNum>
  <w:abstractNum w:abstractNumId="6" w15:restartNumberingAfterBreak="0">
    <w:nsid w:val="6DA510F5"/>
    <w:multiLevelType w:val="hybridMultilevel"/>
    <w:tmpl w:val="1ED65934"/>
    <w:lvl w:ilvl="0" w:tplc="FFFFFFF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1665">
    <w:abstractNumId w:val="0"/>
  </w:num>
  <w:num w:numId="2" w16cid:durableId="1200898494">
    <w:abstractNumId w:val="3"/>
  </w:num>
  <w:num w:numId="3" w16cid:durableId="1161310576">
    <w:abstractNumId w:val="4"/>
  </w:num>
  <w:num w:numId="4" w16cid:durableId="1694451101">
    <w:abstractNumId w:val="5"/>
  </w:num>
  <w:num w:numId="5" w16cid:durableId="374473423">
    <w:abstractNumId w:val="2"/>
  </w:num>
  <w:num w:numId="6" w16cid:durableId="280697836">
    <w:abstractNumId w:val="1"/>
  </w:num>
  <w:num w:numId="7" w16cid:durableId="4133558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15969"/>
    <w:rsid w:val="00027125"/>
    <w:rsid w:val="0004705B"/>
    <w:rsid w:val="0004705D"/>
    <w:rsid w:val="000557AC"/>
    <w:rsid w:val="00060591"/>
    <w:rsid w:val="00063B9D"/>
    <w:rsid w:val="0009064B"/>
    <w:rsid w:val="000908E6"/>
    <w:rsid w:val="000A6CE7"/>
    <w:rsid w:val="000C16AE"/>
    <w:rsid w:val="000D4A7B"/>
    <w:rsid w:val="000E31D6"/>
    <w:rsid w:val="000F0B5D"/>
    <w:rsid w:val="0012428F"/>
    <w:rsid w:val="001261BE"/>
    <w:rsid w:val="0014043C"/>
    <w:rsid w:val="00140BF0"/>
    <w:rsid w:val="0014731B"/>
    <w:rsid w:val="00185114"/>
    <w:rsid w:val="001D672E"/>
    <w:rsid w:val="001F62F3"/>
    <w:rsid w:val="00203587"/>
    <w:rsid w:val="00235167"/>
    <w:rsid w:val="002747CF"/>
    <w:rsid w:val="002A5F7A"/>
    <w:rsid w:val="002B29C9"/>
    <w:rsid w:val="002D11A5"/>
    <w:rsid w:val="00300DA9"/>
    <w:rsid w:val="00300FB1"/>
    <w:rsid w:val="00306C82"/>
    <w:rsid w:val="00344417"/>
    <w:rsid w:val="003E0AD6"/>
    <w:rsid w:val="003E0D2D"/>
    <w:rsid w:val="003E404F"/>
    <w:rsid w:val="00410AC7"/>
    <w:rsid w:val="00415DE9"/>
    <w:rsid w:val="00430859"/>
    <w:rsid w:val="004379A5"/>
    <w:rsid w:val="00437D5F"/>
    <w:rsid w:val="004504D5"/>
    <w:rsid w:val="00455CF5"/>
    <w:rsid w:val="00463011"/>
    <w:rsid w:val="00475B35"/>
    <w:rsid w:val="00493781"/>
    <w:rsid w:val="004A1AAA"/>
    <w:rsid w:val="004A4C18"/>
    <w:rsid w:val="004D128F"/>
    <w:rsid w:val="005100D5"/>
    <w:rsid w:val="00524EA9"/>
    <w:rsid w:val="00525E2C"/>
    <w:rsid w:val="00527817"/>
    <w:rsid w:val="00534797"/>
    <w:rsid w:val="00544461"/>
    <w:rsid w:val="005568CA"/>
    <w:rsid w:val="00566D9C"/>
    <w:rsid w:val="00577D95"/>
    <w:rsid w:val="0059609D"/>
    <w:rsid w:val="005E6FA2"/>
    <w:rsid w:val="006511D6"/>
    <w:rsid w:val="00654BE4"/>
    <w:rsid w:val="00693454"/>
    <w:rsid w:val="006A0515"/>
    <w:rsid w:val="006A57AF"/>
    <w:rsid w:val="006B13F0"/>
    <w:rsid w:val="006D3827"/>
    <w:rsid w:val="006E146A"/>
    <w:rsid w:val="007134AE"/>
    <w:rsid w:val="007211FC"/>
    <w:rsid w:val="007501E4"/>
    <w:rsid w:val="00751C0F"/>
    <w:rsid w:val="00761F8B"/>
    <w:rsid w:val="0077265A"/>
    <w:rsid w:val="00777798"/>
    <w:rsid w:val="0078154A"/>
    <w:rsid w:val="00783717"/>
    <w:rsid w:val="0079120A"/>
    <w:rsid w:val="007C6C8A"/>
    <w:rsid w:val="007D545A"/>
    <w:rsid w:val="00803E15"/>
    <w:rsid w:val="0081533B"/>
    <w:rsid w:val="0081551E"/>
    <w:rsid w:val="00846985"/>
    <w:rsid w:val="00874988"/>
    <w:rsid w:val="00891290"/>
    <w:rsid w:val="00891410"/>
    <w:rsid w:val="008C0411"/>
    <w:rsid w:val="008E1433"/>
    <w:rsid w:val="008E3926"/>
    <w:rsid w:val="008E7852"/>
    <w:rsid w:val="008F7BB2"/>
    <w:rsid w:val="0090646F"/>
    <w:rsid w:val="00910710"/>
    <w:rsid w:val="0092147B"/>
    <w:rsid w:val="009407F5"/>
    <w:rsid w:val="00950AF4"/>
    <w:rsid w:val="00972D3E"/>
    <w:rsid w:val="009A0B3E"/>
    <w:rsid w:val="009E6C35"/>
    <w:rsid w:val="009E754B"/>
    <w:rsid w:val="00A15FA8"/>
    <w:rsid w:val="00A17202"/>
    <w:rsid w:val="00A3384C"/>
    <w:rsid w:val="00A36CF5"/>
    <w:rsid w:val="00A4350C"/>
    <w:rsid w:val="00A73089"/>
    <w:rsid w:val="00A90DC6"/>
    <w:rsid w:val="00AD08A2"/>
    <w:rsid w:val="00AD21FC"/>
    <w:rsid w:val="00AD5870"/>
    <w:rsid w:val="00AE05B9"/>
    <w:rsid w:val="00B03AD3"/>
    <w:rsid w:val="00B1122A"/>
    <w:rsid w:val="00B11AE4"/>
    <w:rsid w:val="00B33F69"/>
    <w:rsid w:val="00B80E72"/>
    <w:rsid w:val="00B84D31"/>
    <w:rsid w:val="00B906E9"/>
    <w:rsid w:val="00BA1317"/>
    <w:rsid w:val="00BA3F4C"/>
    <w:rsid w:val="00BA55D6"/>
    <w:rsid w:val="00BB2CCD"/>
    <w:rsid w:val="00BB3B50"/>
    <w:rsid w:val="00BB5DCD"/>
    <w:rsid w:val="00C01C97"/>
    <w:rsid w:val="00C03527"/>
    <w:rsid w:val="00C2336E"/>
    <w:rsid w:val="00C67037"/>
    <w:rsid w:val="00C73A1F"/>
    <w:rsid w:val="00C96BDD"/>
    <w:rsid w:val="00CA6B2B"/>
    <w:rsid w:val="00CB243A"/>
    <w:rsid w:val="00D2465B"/>
    <w:rsid w:val="00D32C3D"/>
    <w:rsid w:val="00D33013"/>
    <w:rsid w:val="00D431C2"/>
    <w:rsid w:val="00D43B83"/>
    <w:rsid w:val="00DB53FE"/>
    <w:rsid w:val="00DE68E0"/>
    <w:rsid w:val="00DF4F49"/>
    <w:rsid w:val="00E210F6"/>
    <w:rsid w:val="00E42FD1"/>
    <w:rsid w:val="00E62715"/>
    <w:rsid w:val="00E95AA9"/>
    <w:rsid w:val="00EA7BDE"/>
    <w:rsid w:val="00ED18F1"/>
    <w:rsid w:val="00F053EC"/>
    <w:rsid w:val="00F10DFF"/>
    <w:rsid w:val="00F220FC"/>
    <w:rsid w:val="00F22AD4"/>
    <w:rsid w:val="00F7696E"/>
    <w:rsid w:val="00F853B8"/>
    <w:rsid w:val="00F86D2B"/>
    <w:rsid w:val="00F90F6B"/>
    <w:rsid w:val="00F92C5E"/>
    <w:rsid w:val="00F92C9C"/>
    <w:rsid w:val="00F947AC"/>
    <w:rsid w:val="00F95D8D"/>
    <w:rsid w:val="00F967DF"/>
    <w:rsid w:val="00F97A78"/>
    <w:rsid w:val="00FE5320"/>
    <w:rsid w:val="00FF7303"/>
    <w:rsid w:val="0CD3C61C"/>
    <w:rsid w:val="0CDE3617"/>
    <w:rsid w:val="16618005"/>
    <w:rsid w:val="186D59A2"/>
    <w:rsid w:val="1B34F128"/>
    <w:rsid w:val="1C1F3A18"/>
    <w:rsid w:val="2407BBC1"/>
    <w:rsid w:val="24D1B480"/>
    <w:rsid w:val="2572A605"/>
    <w:rsid w:val="296F0FF1"/>
    <w:rsid w:val="2ED8B6F6"/>
    <w:rsid w:val="31C243FC"/>
    <w:rsid w:val="3340129D"/>
    <w:rsid w:val="3B7CF727"/>
    <w:rsid w:val="3C3283B6"/>
    <w:rsid w:val="3D6E2A40"/>
    <w:rsid w:val="3EA10127"/>
    <w:rsid w:val="429E9E0C"/>
    <w:rsid w:val="4844BC3F"/>
    <w:rsid w:val="4B43A9B6"/>
    <w:rsid w:val="4D7C6706"/>
    <w:rsid w:val="4DF5B503"/>
    <w:rsid w:val="4E851077"/>
    <w:rsid w:val="50FFC918"/>
    <w:rsid w:val="52521B09"/>
    <w:rsid w:val="53B78FAA"/>
    <w:rsid w:val="543769DA"/>
    <w:rsid w:val="55BFD911"/>
    <w:rsid w:val="57394BAE"/>
    <w:rsid w:val="5770E9BA"/>
    <w:rsid w:val="57836EEC"/>
    <w:rsid w:val="5B4074B3"/>
    <w:rsid w:val="5C502989"/>
    <w:rsid w:val="5E113733"/>
    <w:rsid w:val="63FACBD3"/>
    <w:rsid w:val="65B14D97"/>
    <w:rsid w:val="676C89D0"/>
    <w:rsid w:val="67A1803C"/>
    <w:rsid w:val="6A37255D"/>
    <w:rsid w:val="6A5BACAC"/>
    <w:rsid w:val="7013084D"/>
    <w:rsid w:val="72FA6E35"/>
    <w:rsid w:val="73241326"/>
    <w:rsid w:val="74AAA2E6"/>
    <w:rsid w:val="7969AFB9"/>
    <w:rsid w:val="79C34F31"/>
    <w:rsid w:val="79C94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505620EE-D447-415B-B2E7-5ADFF2DF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04705B"/>
    <w:rPr>
      <w:rFonts w:cs="Times New Roman"/>
      <w:vertAlign w:val="superscript"/>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972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976">
      <w:bodyDiv w:val="1"/>
      <w:marLeft w:val="0"/>
      <w:marRight w:val="0"/>
      <w:marTop w:val="0"/>
      <w:marBottom w:val="0"/>
      <w:divBdr>
        <w:top w:val="none" w:sz="0" w:space="0" w:color="auto"/>
        <w:left w:val="none" w:sz="0" w:space="0" w:color="auto"/>
        <w:bottom w:val="none" w:sz="0" w:space="0" w:color="auto"/>
        <w:right w:val="none" w:sz="0" w:space="0" w:color="auto"/>
      </w:divBdr>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67D39-677C-45F0-A310-67C5BE75DAFE}">
  <ds:schemaRefs>
    <ds:schemaRef ds:uri="http://schemas.openxmlformats.org/package/2006/metadata/core-properties"/>
    <ds:schemaRef ds:uri="http://schemas.microsoft.com/office/2006/documentManagement/types"/>
    <ds:schemaRef ds:uri="http://purl.org/dc/terms/"/>
    <ds:schemaRef ds:uri="http://www.w3.org/XML/1998/namespace"/>
    <ds:schemaRef ds:uri="785685f2-c2e1-4352-89aa-3faca8eaba52"/>
    <ds:schemaRef ds:uri="http://purl.org/dc/elements/1.1/"/>
    <ds:schemaRef ds:uri="http://purl.org/dc/dcmitype/"/>
    <ds:schemaRef ds:uri="http://schemas.microsoft.com/office/infopath/2007/PartnerControls"/>
    <ds:schemaRef ds:uri="5067c814-4b34-462c-a21d-c185ff6548d2"/>
    <ds:schemaRef ds:uri="http://schemas.microsoft.com/office/2006/metadata/properties"/>
  </ds:schemaRefs>
</ds:datastoreItem>
</file>

<file path=customXml/itemProps2.xml><?xml version="1.0" encoding="utf-8"?>
<ds:datastoreItem xmlns:ds="http://schemas.openxmlformats.org/officeDocument/2006/customXml" ds:itemID="{37C14BC5-1D23-4F6F-8645-01705869C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4.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Wobschall Design</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Hockaday, Angela@Energy</cp:lastModifiedBy>
  <cp:revision>20</cp:revision>
  <cp:lastPrinted>2019-04-08T16:38:00Z</cp:lastPrinted>
  <dcterms:created xsi:type="dcterms:W3CDTF">2023-05-09T22:01:00Z</dcterms:created>
  <dcterms:modified xsi:type="dcterms:W3CDTF">2023-05-26T13:26:00Z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443100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