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4CE1" w14:textId="4C136160" w:rsidR="00CA2E3C" w:rsidRPr="005F7978" w:rsidRDefault="005C15A4" w:rsidP="00B3403C">
      <w:pPr>
        <w:spacing w:after="40" w:line="240" w:lineRule="auto"/>
        <w:jc w:val="center"/>
        <w:rPr>
          <w:rFonts w:ascii="Tahoma" w:hAnsi="Tahoma" w:cs="Tahoma"/>
          <w:b/>
          <w:sz w:val="24"/>
          <w:szCs w:val="24"/>
        </w:rPr>
      </w:pPr>
      <w:r w:rsidRPr="005F7978">
        <w:rPr>
          <w:rFonts w:ascii="Tahoma" w:hAnsi="Tahoma" w:cs="Tahoma"/>
          <w:b/>
          <w:sz w:val="24"/>
          <w:szCs w:val="24"/>
        </w:rPr>
        <w:t>GFO</w:t>
      </w:r>
      <w:r w:rsidR="00D90B73" w:rsidRPr="005F7978">
        <w:rPr>
          <w:rFonts w:ascii="Tahoma" w:hAnsi="Tahoma" w:cs="Tahoma"/>
          <w:b/>
          <w:sz w:val="24"/>
          <w:szCs w:val="24"/>
        </w:rPr>
        <w:t>-</w:t>
      </w:r>
      <w:r w:rsidRPr="005F7978">
        <w:rPr>
          <w:rFonts w:ascii="Tahoma" w:hAnsi="Tahoma" w:cs="Tahoma"/>
          <w:b/>
          <w:sz w:val="24"/>
          <w:szCs w:val="24"/>
        </w:rPr>
        <w:t>22-</w:t>
      </w:r>
      <w:r w:rsidR="00525E75" w:rsidRPr="005F7978">
        <w:rPr>
          <w:rFonts w:ascii="Tahoma" w:hAnsi="Tahoma" w:cs="Tahoma"/>
          <w:b/>
          <w:sz w:val="24"/>
          <w:szCs w:val="24"/>
        </w:rPr>
        <w:t>612</w:t>
      </w:r>
    </w:p>
    <w:p w14:paraId="64DFE08D" w14:textId="5BE64B07" w:rsidR="005C15A4" w:rsidRPr="005F7978" w:rsidRDefault="00525E75" w:rsidP="00B3403C">
      <w:pPr>
        <w:spacing w:after="40" w:line="240" w:lineRule="auto"/>
        <w:jc w:val="center"/>
        <w:rPr>
          <w:rFonts w:ascii="Tahoma" w:hAnsi="Tahoma" w:cs="Tahoma"/>
          <w:b/>
          <w:sz w:val="24"/>
          <w:szCs w:val="24"/>
        </w:rPr>
      </w:pPr>
      <w:r w:rsidRPr="005F7978">
        <w:rPr>
          <w:rFonts w:ascii="Tahoma" w:hAnsi="Tahoma" w:cs="Tahoma"/>
          <w:b/>
          <w:sz w:val="24"/>
          <w:szCs w:val="24"/>
        </w:rPr>
        <w:t>Electric School Bus Bi-Directional Infrastructure</w:t>
      </w:r>
    </w:p>
    <w:p w14:paraId="25125200" w14:textId="4556E6B7" w:rsidR="005C15A4" w:rsidRPr="005F7978" w:rsidRDefault="005C15A4" w:rsidP="00B3403C">
      <w:pPr>
        <w:spacing w:after="40" w:line="240" w:lineRule="auto"/>
        <w:jc w:val="center"/>
        <w:rPr>
          <w:rFonts w:ascii="Tahoma" w:hAnsi="Tahoma" w:cs="Tahoma"/>
          <w:sz w:val="24"/>
          <w:szCs w:val="24"/>
        </w:rPr>
      </w:pPr>
      <w:r w:rsidRPr="005F7978">
        <w:rPr>
          <w:rFonts w:ascii="Tahoma" w:hAnsi="Tahoma" w:cs="Tahoma"/>
          <w:sz w:val="24"/>
          <w:szCs w:val="24"/>
        </w:rPr>
        <w:t>Questions and Answers</w:t>
      </w:r>
    </w:p>
    <w:p w14:paraId="2D56130B" w14:textId="244ABDF0" w:rsidR="008E6ADC" w:rsidRPr="006F1608" w:rsidRDefault="00525E75" w:rsidP="00B3403C">
      <w:pPr>
        <w:spacing w:after="40" w:line="240" w:lineRule="auto"/>
        <w:jc w:val="center"/>
        <w:rPr>
          <w:rFonts w:ascii="Tahoma" w:hAnsi="Tahoma" w:cs="Tahoma"/>
          <w:sz w:val="24"/>
          <w:szCs w:val="24"/>
        </w:rPr>
      </w:pPr>
      <w:r w:rsidRPr="0052635D">
        <w:rPr>
          <w:rFonts w:ascii="Tahoma" w:hAnsi="Tahoma" w:cs="Tahoma"/>
          <w:sz w:val="24"/>
          <w:szCs w:val="24"/>
        </w:rPr>
        <w:t>May</w:t>
      </w:r>
      <w:r w:rsidR="008E6ADC" w:rsidRPr="0052635D">
        <w:rPr>
          <w:rFonts w:ascii="Tahoma" w:hAnsi="Tahoma" w:cs="Tahoma"/>
          <w:sz w:val="24"/>
          <w:szCs w:val="24"/>
        </w:rPr>
        <w:t xml:space="preserve"> </w:t>
      </w:r>
      <w:r w:rsidR="000C7EEF">
        <w:rPr>
          <w:rFonts w:ascii="Tahoma" w:hAnsi="Tahoma" w:cs="Tahoma"/>
          <w:sz w:val="24"/>
          <w:szCs w:val="24"/>
        </w:rPr>
        <w:t>30</w:t>
      </w:r>
      <w:r w:rsidR="008E6ADC" w:rsidRPr="0052635D">
        <w:rPr>
          <w:rFonts w:ascii="Tahoma" w:hAnsi="Tahoma" w:cs="Tahoma"/>
          <w:sz w:val="24"/>
          <w:szCs w:val="24"/>
        </w:rPr>
        <w:t>,</w:t>
      </w:r>
      <w:r w:rsidR="008E6ADC" w:rsidRPr="005F7978">
        <w:rPr>
          <w:rFonts w:ascii="Tahoma" w:hAnsi="Tahoma" w:cs="Tahoma"/>
          <w:sz w:val="24"/>
          <w:szCs w:val="24"/>
        </w:rPr>
        <w:t xml:space="preserve"> 2023</w:t>
      </w:r>
    </w:p>
    <w:p w14:paraId="4AA48CA1" w14:textId="77777777" w:rsidR="00B3403C" w:rsidRPr="006F1608" w:rsidRDefault="00B3403C" w:rsidP="005032D6">
      <w:pPr>
        <w:rPr>
          <w:rFonts w:ascii="Tahoma" w:hAnsi="Tahoma" w:cs="Tahoma"/>
          <w:sz w:val="24"/>
          <w:szCs w:val="24"/>
        </w:rPr>
      </w:pPr>
    </w:p>
    <w:p w14:paraId="01627942" w14:textId="39B945A7" w:rsidR="005032D6" w:rsidRPr="006F1608" w:rsidRDefault="005032D6" w:rsidP="005032D6">
      <w:pPr>
        <w:rPr>
          <w:rFonts w:ascii="Tahoma" w:hAnsi="Tahoma" w:cs="Tahoma"/>
          <w:sz w:val="24"/>
          <w:szCs w:val="24"/>
        </w:rPr>
      </w:pPr>
      <w:r w:rsidRPr="006F1608">
        <w:rPr>
          <w:rFonts w:ascii="Tahoma" w:hAnsi="Tahoma" w:cs="Tahoma"/>
          <w:sz w:val="24"/>
          <w:szCs w:val="24"/>
        </w:rPr>
        <w:t>The most up to date solicitation documents</w:t>
      </w:r>
      <w:r w:rsidR="000F750E" w:rsidRPr="006F1608">
        <w:rPr>
          <w:rFonts w:ascii="Tahoma" w:hAnsi="Tahoma" w:cs="Tahoma"/>
          <w:sz w:val="24"/>
          <w:szCs w:val="24"/>
        </w:rPr>
        <w:t xml:space="preserve"> (</w:t>
      </w:r>
      <w:r w:rsidR="00AA7CE6" w:rsidRPr="006F1608">
        <w:rPr>
          <w:rFonts w:ascii="Tahoma" w:hAnsi="Tahoma" w:cs="Tahoma"/>
          <w:sz w:val="24"/>
          <w:szCs w:val="24"/>
        </w:rPr>
        <w:t>including</w:t>
      </w:r>
      <w:r w:rsidRPr="006F1608">
        <w:rPr>
          <w:rFonts w:ascii="Tahoma" w:hAnsi="Tahoma" w:cs="Tahoma"/>
          <w:sz w:val="24"/>
          <w:szCs w:val="24"/>
        </w:rPr>
        <w:t xml:space="preserve"> the solicitation manual</w:t>
      </w:r>
      <w:r w:rsidR="000F750E" w:rsidRPr="006F1608">
        <w:rPr>
          <w:rFonts w:ascii="Tahoma" w:hAnsi="Tahoma" w:cs="Tahoma"/>
          <w:sz w:val="24"/>
          <w:szCs w:val="24"/>
        </w:rPr>
        <w:t>)</w:t>
      </w:r>
      <w:r w:rsidRPr="006F1608">
        <w:rPr>
          <w:rFonts w:ascii="Tahoma" w:hAnsi="Tahoma" w:cs="Tahoma"/>
          <w:sz w:val="24"/>
          <w:szCs w:val="24"/>
        </w:rPr>
        <w:t xml:space="preserve"> are available at the solicitation webpage: </w:t>
      </w:r>
      <w:hyperlink r:id="rId11" w:history="1">
        <w:r w:rsidR="00577538" w:rsidRPr="006F1608">
          <w:rPr>
            <w:rStyle w:val="Hyperlink"/>
            <w:rFonts w:ascii="Tahoma" w:hAnsi="Tahoma" w:cs="Tahoma"/>
            <w:sz w:val="24"/>
            <w:szCs w:val="24"/>
          </w:rPr>
          <w:t>GFO-22-612 Webpage</w:t>
        </w:r>
      </w:hyperlink>
      <w:r w:rsidR="00236711" w:rsidRPr="006F1608">
        <w:rPr>
          <w:rStyle w:val="Hyperlink"/>
          <w:rFonts w:ascii="Tahoma" w:hAnsi="Tahoma" w:cs="Tahoma"/>
          <w:color w:val="auto"/>
          <w:sz w:val="24"/>
          <w:szCs w:val="24"/>
          <w:u w:val="none"/>
        </w:rPr>
        <w:t>.</w:t>
      </w:r>
    </w:p>
    <w:p w14:paraId="3E94CE74" w14:textId="77777777" w:rsidR="007149CC" w:rsidRPr="006F1608" w:rsidRDefault="005C15A4" w:rsidP="005C15A4">
      <w:pPr>
        <w:rPr>
          <w:rFonts w:ascii="Tahoma" w:hAnsi="Tahoma" w:cs="Tahoma"/>
          <w:sz w:val="24"/>
          <w:szCs w:val="24"/>
        </w:rPr>
      </w:pPr>
      <w:r w:rsidRPr="006F1608">
        <w:rPr>
          <w:rFonts w:ascii="Tahoma" w:hAnsi="Tahoma" w:cs="Tahoma"/>
          <w:sz w:val="24"/>
          <w:szCs w:val="24"/>
        </w:rPr>
        <w:t>The following answers are based on California Energy Commission (CEC) staff’s interpretation of the questions received. It is the Applicant’s responsibility to review the Solicitation Manual and to determine whether their proposed project is eligible for funding by reviewing the Eligibility Requirements within the solicitation. The CEC cannot give definitive advice as to whether a particular project is eligible for funding because not all proposal details are known.</w:t>
      </w:r>
      <w:r w:rsidR="00BB052E" w:rsidRPr="006F1608">
        <w:rPr>
          <w:rFonts w:ascii="Tahoma" w:hAnsi="Tahoma" w:cs="Tahoma"/>
          <w:sz w:val="24"/>
          <w:szCs w:val="24"/>
        </w:rPr>
        <w:t xml:space="preserve"> </w:t>
      </w:r>
    </w:p>
    <w:p w14:paraId="7A0154E3" w14:textId="15DA60C9" w:rsidR="005C15A4" w:rsidRPr="006F1608" w:rsidRDefault="00BB052E" w:rsidP="005C15A4">
      <w:pPr>
        <w:rPr>
          <w:rFonts w:ascii="Tahoma" w:hAnsi="Tahoma" w:cs="Tahoma"/>
          <w:sz w:val="24"/>
          <w:szCs w:val="24"/>
        </w:rPr>
      </w:pPr>
      <w:r w:rsidRPr="006F1608">
        <w:rPr>
          <w:rFonts w:ascii="Tahoma" w:hAnsi="Tahoma" w:cs="Tahoma"/>
          <w:b/>
          <w:sz w:val="24"/>
          <w:szCs w:val="24"/>
        </w:rPr>
        <w:t xml:space="preserve">Unless indicated otherwise, </w:t>
      </w:r>
      <w:r w:rsidR="00C564A1" w:rsidRPr="006F1608">
        <w:rPr>
          <w:rFonts w:ascii="Tahoma" w:hAnsi="Tahoma" w:cs="Tahoma"/>
          <w:b/>
          <w:sz w:val="24"/>
          <w:szCs w:val="24"/>
        </w:rPr>
        <w:t>a</w:t>
      </w:r>
      <w:r w:rsidR="007149CC" w:rsidRPr="006F1608">
        <w:rPr>
          <w:rFonts w:ascii="Tahoma" w:hAnsi="Tahoma" w:cs="Tahoma"/>
          <w:b/>
          <w:sz w:val="24"/>
          <w:szCs w:val="24"/>
        </w:rPr>
        <w:t>ll</w:t>
      </w:r>
      <w:r w:rsidR="00C564A1" w:rsidRPr="006F1608">
        <w:rPr>
          <w:rFonts w:ascii="Tahoma" w:hAnsi="Tahoma" w:cs="Tahoma"/>
          <w:b/>
          <w:sz w:val="24"/>
          <w:szCs w:val="24"/>
        </w:rPr>
        <w:t xml:space="preserve"> section numbers identified are from</w:t>
      </w:r>
      <w:r w:rsidRPr="006F1608">
        <w:rPr>
          <w:rFonts w:ascii="Tahoma" w:hAnsi="Tahoma" w:cs="Tahoma"/>
          <w:b/>
          <w:sz w:val="24"/>
          <w:szCs w:val="24"/>
        </w:rPr>
        <w:t xml:space="preserve"> the solicitation</w:t>
      </w:r>
      <w:r w:rsidR="00F710F8" w:rsidRPr="006F1608">
        <w:rPr>
          <w:rFonts w:ascii="Tahoma" w:hAnsi="Tahoma" w:cs="Tahoma"/>
          <w:b/>
          <w:sz w:val="24"/>
          <w:szCs w:val="24"/>
        </w:rPr>
        <w:t xml:space="preserve"> manual</w:t>
      </w:r>
      <w:r w:rsidRPr="006F1608">
        <w:rPr>
          <w:rFonts w:ascii="Tahoma" w:hAnsi="Tahoma" w:cs="Tahoma"/>
          <w:b/>
          <w:sz w:val="24"/>
          <w:szCs w:val="24"/>
        </w:rPr>
        <w:t xml:space="preserve"> (for example, “Section II.B” refers to Section II.B of the solicitation manual).</w:t>
      </w:r>
      <w:r w:rsidR="00F710F8" w:rsidRPr="006F1608">
        <w:rPr>
          <w:rFonts w:ascii="Tahoma" w:hAnsi="Tahoma" w:cs="Tahoma"/>
          <w:b/>
          <w:sz w:val="24"/>
          <w:szCs w:val="24"/>
        </w:rPr>
        <w:t xml:space="preserve"> </w:t>
      </w:r>
      <w:r w:rsidR="00F710F8" w:rsidRPr="006F1608">
        <w:rPr>
          <w:rFonts w:ascii="Tahoma" w:hAnsi="Tahoma" w:cs="Tahoma"/>
          <w:sz w:val="24"/>
          <w:szCs w:val="24"/>
        </w:rPr>
        <w:t xml:space="preserve">The solicitation manual is Attachment 00 </w:t>
      </w:r>
      <w:r w:rsidR="00E6513B" w:rsidRPr="006F1608">
        <w:rPr>
          <w:rFonts w:ascii="Tahoma" w:hAnsi="Tahoma" w:cs="Tahoma"/>
          <w:sz w:val="24"/>
          <w:szCs w:val="24"/>
        </w:rPr>
        <w:t>found on</w:t>
      </w:r>
      <w:r w:rsidR="00F710F8" w:rsidRPr="006F1608">
        <w:rPr>
          <w:rFonts w:ascii="Tahoma" w:hAnsi="Tahoma" w:cs="Tahoma"/>
          <w:sz w:val="24"/>
          <w:szCs w:val="24"/>
        </w:rPr>
        <w:t xml:space="preserve"> the webpage linked above.</w:t>
      </w:r>
    </w:p>
    <w:tbl>
      <w:tblPr>
        <w:tblStyle w:val="TableGridLight"/>
        <w:tblW w:w="14310" w:type="dxa"/>
        <w:tblLook w:val="04A0" w:firstRow="1" w:lastRow="0" w:firstColumn="1" w:lastColumn="0" w:noHBand="0" w:noVBand="1"/>
      </w:tblPr>
      <w:tblGrid>
        <w:gridCol w:w="549"/>
        <w:gridCol w:w="5296"/>
        <w:gridCol w:w="8465"/>
      </w:tblGrid>
      <w:tr w:rsidR="00C41799" w:rsidRPr="00271E52" w14:paraId="09223558" w14:textId="77777777" w:rsidTr="008216F4">
        <w:trPr>
          <w:trHeight w:val="290"/>
        </w:trPr>
        <w:tc>
          <w:tcPr>
            <w:tcW w:w="549" w:type="dxa"/>
            <w:shd w:val="clear" w:color="auto" w:fill="A6A6A6" w:themeFill="background1" w:themeFillShade="A6"/>
            <w:noWrap/>
            <w:hideMark/>
          </w:tcPr>
          <w:p w14:paraId="493BEEB9" w14:textId="52DF8FD2" w:rsidR="00C41799" w:rsidRPr="006F1608" w:rsidRDefault="00C41799" w:rsidP="00C41799">
            <w:pPr>
              <w:rPr>
                <w:rFonts w:ascii="Tahoma" w:eastAsia="Times New Roman" w:hAnsi="Tahoma" w:cs="Tahoma"/>
                <w:b/>
                <w:color w:val="000000"/>
                <w:sz w:val="24"/>
                <w:szCs w:val="24"/>
              </w:rPr>
            </w:pPr>
            <w:r w:rsidRPr="006F1608">
              <w:rPr>
                <w:rFonts w:ascii="Tahoma" w:eastAsia="Times New Roman" w:hAnsi="Tahoma" w:cs="Tahoma"/>
                <w:b/>
                <w:color w:val="000000"/>
                <w:sz w:val="24"/>
                <w:szCs w:val="24"/>
              </w:rPr>
              <w:t>#</w:t>
            </w:r>
          </w:p>
        </w:tc>
        <w:tc>
          <w:tcPr>
            <w:tcW w:w="5296" w:type="dxa"/>
            <w:shd w:val="clear" w:color="auto" w:fill="A6A6A6" w:themeFill="background1" w:themeFillShade="A6"/>
            <w:hideMark/>
          </w:tcPr>
          <w:p w14:paraId="1B420647" w14:textId="77777777" w:rsidR="00C41799" w:rsidRPr="006F1608" w:rsidRDefault="00C41799" w:rsidP="00C41799">
            <w:pPr>
              <w:rPr>
                <w:rFonts w:ascii="Tahoma" w:eastAsia="Times New Roman" w:hAnsi="Tahoma" w:cs="Tahoma"/>
                <w:b/>
                <w:color w:val="000000"/>
                <w:sz w:val="24"/>
                <w:szCs w:val="24"/>
              </w:rPr>
            </w:pPr>
            <w:r w:rsidRPr="006F1608">
              <w:rPr>
                <w:rFonts w:ascii="Tahoma" w:eastAsia="Times New Roman" w:hAnsi="Tahoma" w:cs="Tahoma"/>
                <w:b/>
                <w:color w:val="000000"/>
                <w:sz w:val="24"/>
                <w:szCs w:val="24"/>
              </w:rPr>
              <w:t>Question</w:t>
            </w:r>
          </w:p>
        </w:tc>
        <w:tc>
          <w:tcPr>
            <w:tcW w:w="8465" w:type="dxa"/>
            <w:shd w:val="clear" w:color="auto" w:fill="A6A6A6" w:themeFill="background1" w:themeFillShade="A6"/>
            <w:hideMark/>
          </w:tcPr>
          <w:p w14:paraId="4EF787D1" w14:textId="77777777" w:rsidR="00C41799" w:rsidRPr="006F1608" w:rsidRDefault="00C41799" w:rsidP="00C41799">
            <w:pPr>
              <w:rPr>
                <w:rFonts w:ascii="Tahoma" w:eastAsia="Times New Roman" w:hAnsi="Tahoma" w:cs="Tahoma"/>
                <w:b/>
                <w:color w:val="000000"/>
                <w:sz w:val="24"/>
                <w:szCs w:val="24"/>
              </w:rPr>
            </w:pPr>
            <w:r w:rsidRPr="006F1608">
              <w:rPr>
                <w:rFonts w:ascii="Tahoma" w:eastAsia="Times New Roman" w:hAnsi="Tahoma" w:cs="Tahoma"/>
                <w:b/>
                <w:color w:val="000000"/>
                <w:sz w:val="24"/>
                <w:szCs w:val="24"/>
              </w:rPr>
              <w:t>CEC Response</w:t>
            </w:r>
          </w:p>
        </w:tc>
      </w:tr>
      <w:tr w:rsidR="008216F4" w:rsidRPr="00271E52" w14:paraId="00D1F835" w14:textId="77777777" w:rsidTr="00525E75">
        <w:trPr>
          <w:trHeight w:val="290"/>
        </w:trPr>
        <w:tc>
          <w:tcPr>
            <w:tcW w:w="549" w:type="dxa"/>
            <w:noWrap/>
          </w:tcPr>
          <w:p w14:paraId="6F9791C8" w14:textId="77777777" w:rsidR="008216F4" w:rsidRPr="006F1608" w:rsidRDefault="008216F4" w:rsidP="00C41799">
            <w:pPr>
              <w:rPr>
                <w:rFonts w:ascii="Tahoma" w:eastAsia="Times New Roman" w:hAnsi="Tahoma" w:cs="Tahoma"/>
                <w:b/>
                <w:color w:val="000000"/>
                <w:sz w:val="24"/>
                <w:szCs w:val="24"/>
              </w:rPr>
            </w:pPr>
          </w:p>
        </w:tc>
        <w:tc>
          <w:tcPr>
            <w:tcW w:w="5296" w:type="dxa"/>
            <w:shd w:val="clear" w:color="auto" w:fill="BDD6EE" w:themeFill="accent5" w:themeFillTint="66"/>
          </w:tcPr>
          <w:p w14:paraId="24C09AFF" w14:textId="09C0743D" w:rsidR="008216F4" w:rsidRPr="006F1608" w:rsidRDefault="008216F4" w:rsidP="00C41799">
            <w:pPr>
              <w:rPr>
                <w:rFonts w:ascii="Tahoma" w:eastAsia="Times New Roman" w:hAnsi="Tahoma" w:cs="Tahoma"/>
                <w:b/>
                <w:color w:val="000000"/>
                <w:sz w:val="24"/>
                <w:szCs w:val="24"/>
              </w:rPr>
            </w:pPr>
            <w:r w:rsidRPr="006F1608">
              <w:rPr>
                <w:rFonts w:ascii="Tahoma" w:eastAsia="Times New Roman" w:hAnsi="Tahoma" w:cs="Tahoma"/>
                <w:b/>
                <w:color w:val="000000"/>
                <w:sz w:val="24"/>
                <w:szCs w:val="24"/>
              </w:rPr>
              <w:t>Eligibility</w:t>
            </w:r>
          </w:p>
        </w:tc>
        <w:tc>
          <w:tcPr>
            <w:tcW w:w="8465" w:type="dxa"/>
            <w:shd w:val="clear" w:color="auto" w:fill="BDD6EE" w:themeFill="accent5" w:themeFillTint="66"/>
          </w:tcPr>
          <w:p w14:paraId="0C06ED80" w14:textId="5B8E1CED" w:rsidR="008216F4" w:rsidRPr="006F1608" w:rsidRDefault="008216F4" w:rsidP="00C41799">
            <w:pPr>
              <w:rPr>
                <w:rFonts w:ascii="Tahoma" w:eastAsia="Times New Roman" w:hAnsi="Tahoma" w:cs="Tahoma"/>
                <w:b/>
                <w:color w:val="000000"/>
                <w:sz w:val="24"/>
                <w:szCs w:val="24"/>
              </w:rPr>
            </w:pPr>
            <w:r w:rsidRPr="006F1608">
              <w:rPr>
                <w:rFonts w:ascii="Tahoma" w:eastAsia="Times New Roman" w:hAnsi="Tahoma" w:cs="Tahoma"/>
                <w:b/>
                <w:color w:val="000000"/>
                <w:sz w:val="24"/>
                <w:szCs w:val="24"/>
              </w:rPr>
              <w:t>Applicants and Partners</w:t>
            </w:r>
          </w:p>
        </w:tc>
      </w:tr>
      <w:tr w:rsidR="00C41799" w:rsidRPr="00271E52" w14:paraId="75DBF316" w14:textId="77777777" w:rsidTr="008216F4">
        <w:trPr>
          <w:trHeight w:val="1160"/>
        </w:trPr>
        <w:tc>
          <w:tcPr>
            <w:tcW w:w="549" w:type="dxa"/>
            <w:shd w:val="clear" w:color="auto" w:fill="auto"/>
            <w:noWrap/>
            <w:hideMark/>
          </w:tcPr>
          <w:p w14:paraId="00653156" w14:textId="77777777" w:rsidR="00C41799" w:rsidRPr="006F1608" w:rsidRDefault="00C41799" w:rsidP="00C41799">
            <w:pPr>
              <w:rPr>
                <w:rFonts w:ascii="Tahoma" w:eastAsia="Times New Roman" w:hAnsi="Tahoma" w:cs="Tahoma"/>
                <w:color w:val="000000"/>
                <w:sz w:val="24"/>
                <w:szCs w:val="24"/>
              </w:rPr>
            </w:pPr>
            <w:r w:rsidRPr="006F1608">
              <w:rPr>
                <w:rFonts w:ascii="Tahoma" w:eastAsia="Times New Roman" w:hAnsi="Tahoma" w:cs="Tahoma"/>
                <w:color w:val="000000"/>
                <w:sz w:val="24"/>
                <w:szCs w:val="24"/>
              </w:rPr>
              <w:t>1</w:t>
            </w:r>
          </w:p>
        </w:tc>
        <w:tc>
          <w:tcPr>
            <w:tcW w:w="5296" w:type="dxa"/>
            <w:hideMark/>
          </w:tcPr>
          <w:p w14:paraId="452264D8" w14:textId="71ADB227" w:rsidR="00C41799" w:rsidRPr="006F1608" w:rsidRDefault="008216F4" w:rsidP="00525E75">
            <w:pPr>
              <w:rPr>
                <w:rFonts w:ascii="Tahoma" w:eastAsia="Times New Roman" w:hAnsi="Tahoma" w:cs="Tahoma"/>
                <w:color w:val="000000"/>
                <w:sz w:val="24"/>
                <w:szCs w:val="24"/>
              </w:rPr>
            </w:pPr>
            <w:r w:rsidRPr="006F1608">
              <w:rPr>
                <w:rFonts w:ascii="Tahoma" w:eastAsia="Times New Roman" w:hAnsi="Tahoma" w:cs="Tahoma"/>
                <w:color w:val="000000"/>
                <w:sz w:val="24"/>
                <w:szCs w:val="24"/>
              </w:rPr>
              <w:t>If a transit agency is serving regional public schools with their electric buses</w:t>
            </w:r>
            <w:r w:rsidR="00526C6A" w:rsidRPr="006F1608">
              <w:rPr>
                <w:rFonts w:ascii="Tahoma" w:eastAsia="Times New Roman" w:hAnsi="Tahoma" w:cs="Tahoma"/>
                <w:color w:val="000000"/>
                <w:sz w:val="24"/>
                <w:szCs w:val="24"/>
              </w:rPr>
              <w:t>,</w:t>
            </w:r>
            <w:r w:rsidR="007479F7" w:rsidRPr="006F1608">
              <w:rPr>
                <w:rFonts w:ascii="Tahoma" w:eastAsia="Times New Roman" w:hAnsi="Tahoma" w:cs="Tahoma"/>
                <w:color w:val="000000"/>
                <w:sz w:val="24"/>
                <w:szCs w:val="24"/>
              </w:rPr>
              <w:t xml:space="preserve"> </w:t>
            </w:r>
            <w:r w:rsidR="00526C6A" w:rsidRPr="006F1608">
              <w:rPr>
                <w:rFonts w:ascii="Tahoma" w:eastAsia="Times New Roman" w:hAnsi="Tahoma" w:cs="Tahoma"/>
                <w:color w:val="000000"/>
                <w:sz w:val="24"/>
                <w:szCs w:val="24"/>
              </w:rPr>
              <w:t>w</w:t>
            </w:r>
            <w:r w:rsidRPr="006F1608">
              <w:rPr>
                <w:rFonts w:ascii="Tahoma" w:eastAsia="Times New Roman" w:hAnsi="Tahoma" w:cs="Tahoma"/>
                <w:color w:val="000000"/>
                <w:sz w:val="24"/>
                <w:szCs w:val="24"/>
              </w:rPr>
              <w:t xml:space="preserve">ill they qualify? The school buses and chargers the applicant submits will solely be used for school </w:t>
            </w:r>
            <w:r w:rsidR="00525E75" w:rsidRPr="006F1608">
              <w:rPr>
                <w:rFonts w:ascii="Tahoma" w:eastAsia="Times New Roman" w:hAnsi="Tahoma" w:cs="Tahoma"/>
                <w:color w:val="000000"/>
                <w:sz w:val="24"/>
                <w:szCs w:val="24"/>
              </w:rPr>
              <w:t xml:space="preserve">bus </w:t>
            </w:r>
            <w:r w:rsidRPr="006F1608">
              <w:rPr>
                <w:rFonts w:ascii="Tahoma" w:eastAsia="Times New Roman" w:hAnsi="Tahoma" w:cs="Tahoma"/>
                <w:color w:val="000000"/>
                <w:sz w:val="24"/>
                <w:szCs w:val="24"/>
              </w:rPr>
              <w:t>transportation, not for transit.</w:t>
            </w:r>
          </w:p>
        </w:tc>
        <w:tc>
          <w:tcPr>
            <w:tcW w:w="8465" w:type="dxa"/>
            <w:hideMark/>
          </w:tcPr>
          <w:p w14:paraId="53837994" w14:textId="785BDFDA" w:rsidR="00C41799" w:rsidRPr="006F1608" w:rsidRDefault="00070D90" w:rsidP="00C41799">
            <w:pPr>
              <w:rPr>
                <w:rFonts w:ascii="Tahoma" w:eastAsia="Times New Roman" w:hAnsi="Tahoma" w:cs="Tahoma"/>
                <w:color w:val="000000"/>
                <w:sz w:val="24"/>
                <w:szCs w:val="24"/>
              </w:rPr>
            </w:pPr>
            <w:r w:rsidRPr="674DD299">
              <w:rPr>
                <w:rFonts w:ascii="Tahoma" w:eastAsia="Times New Roman" w:hAnsi="Tahoma" w:cs="Tahoma"/>
                <w:color w:val="000000" w:themeColor="text1"/>
                <w:sz w:val="24"/>
                <w:szCs w:val="24"/>
              </w:rPr>
              <w:t xml:space="preserve">Based on the information provided, transit agencies serving regional public schools with electric buses may be eligible project partners; however, </w:t>
            </w:r>
            <w:r w:rsidR="00542B4A" w:rsidRPr="674DD299">
              <w:rPr>
                <w:rFonts w:ascii="Tahoma" w:eastAsia="Times New Roman" w:hAnsi="Tahoma" w:cs="Tahoma"/>
                <w:color w:val="000000" w:themeColor="text1"/>
                <w:sz w:val="24"/>
                <w:szCs w:val="24"/>
              </w:rPr>
              <w:t>the solicitation requires that each project must contain a minimum of 3 Bi-Directional-Capable Electric school buses at each project location. Please see Section II.B.</w:t>
            </w:r>
            <w:r w:rsidR="0059367A" w:rsidRPr="674DD299">
              <w:rPr>
                <w:rFonts w:ascii="Tahoma" w:eastAsia="Times New Roman" w:hAnsi="Tahoma" w:cs="Tahoma"/>
                <w:color w:val="000000" w:themeColor="text1"/>
                <w:sz w:val="24"/>
                <w:szCs w:val="24"/>
              </w:rPr>
              <w:t>, Table 1: Minimum Technical Requirements.</w:t>
            </w:r>
            <w:r w:rsidR="00A7259C" w:rsidRPr="674DD299">
              <w:rPr>
                <w:rFonts w:ascii="Tahoma" w:eastAsia="Times New Roman" w:hAnsi="Tahoma" w:cs="Tahoma"/>
                <w:color w:val="000000" w:themeColor="text1"/>
                <w:sz w:val="24"/>
                <w:szCs w:val="24"/>
              </w:rPr>
              <w:t xml:space="preserve"> </w:t>
            </w:r>
          </w:p>
        </w:tc>
      </w:tr>
      <w:tr w:rsidR="008216F4" w:rsidRPr="00271E52" w14:paraId="4110D4C3" w14:textId="77777777" w:rsidTr="00297D16">
        <w:trPr>
          <w:trHeight w:val="1160"/>
        </w:trPr>
        <w:tc>
          <w:tcPr>
            <w:tcW w:w="549" w:type="dxa"/>
            <w:noWrap/>
          </w:tcPr>
          <w:p w14:paraId="7F7D9060" w14:textId="236FA2D4" w:rsidR="008216F4" w:rsidRPr="006F1608" w:rsidRDefault="008216F4" w:rsidP="00C41799">
            <w:pPr>
              <w:rPr>
                <w:rFonts w:ascii="Tahoma" w:eastAsia="Times New Roman" w:hAnsi="Tahoma" w:cs="Tahoma"/>
                <w:color w:val="000000"/>
                <w:sz w:val="24"/>
                <w:szCs w:val="24"/>
              </w:rPr>
            </w:pPr>
            <w:r w:rsidRPr="006F1608">
              <w:rPr>
                <w:rFonts w:ascii="Tahoma" w:eastAsia="Times New Roman" w:hAnsi="Tahoma" w:cs="Tahoma"/>
                <w:color w:val="000000"/>
                <w:sz w:val="24"/>
                <w:szCs w:val="24"/>
              </w:rPr>
              <w:t>2</w:t>
            </w:r>
          </w:p>
        </w:tc>
        <w:tc>
          <w:tcPr>
            <w:tcW w:w="5296" w:type="dxa"/>
          </w:tcPr>
          <w:p w14:paraId="0F18B22E" w14:textId="003A54B4" w:rsidR="008216F4" w:rsidRPr="006F1608" w:rsidRDefault="008216F4" w:rsidP="008216F4">
            <w:pPr>
              <w:rPr>
                <w:rFonts w:ascii="Tahoma" w:eastAsia="Times New Roman" w:hAnsi="Tahoma" w:cs="Tahoma"/>
                <w:color w:val="000000"/>
                <w:sz w:val="24"/>
                <w:szCs w:val="24"/>
              </w:rPr>
            </w:pPr>
            <w:r w:rsidRPr="006F1608">
              <w:rPr>
                <w:rFonts w:ascii="Tahoma" w:eastAsia="Times New Roman" w:hAnsi="Tahoma" w:cs="Tahoma"/>
                <w:color w:val="000000"/>
                <w:sz w:val="24"/>
                <w:szCs w:val="24"/>
              </w:rPr>
              <w:t>What does it mean to have a business presence in California?</w:t>
            </w:r>
          </w:p>
        </w:tc>
        <w:tc>
          <w:tcPr>
            <w:tcW w:w="8465" w:type="dxa"/>
          </w:tcPr>
          <w:p w14:paraId="7FBB6D55" w14:textId="77FA7A7F" w:rsidR="008216F4" w:rsidRDefault="008216F4" w:rsidP="00C41799">
            <w:pPr>
              <w:rPr>
                <w:rFonts w:ascii="Tahoma" w:eastAsia="Times New Roman" w:hAnsi="Tahoma" w:cs="Tahoma"/>
                <w:color w:val="000000" w:themeColor="text1"/>
                <w:sz w:val="24"/>
                <w:szCs w:val="24"/>
              </w:rPr>
            </w:pPr>
            <w:r w:rsidRPr="674DD299">
              <w:rPr>
                <w:rFonts w:ascii="Tahoma" w:eastAsia="Times New Roman" w:hAnsi="Tahoma" w:cs="Tahoma"/>
                <w:color w:val="000000" w:themeColor="text1"/>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CEC Business Meeting. If an applicant isn't already registered, they can do so at the Secretary of State Office’s website: </w:t>
            </w:r>
            <w:hyperlink r:id="rId12" w:history="1">
              <w:r w:rsidR="00644C4D" w:rsidRPr="00A4052C">
                <w:rPr>
                  <w:rStyle w:val="Hyperlink"/>
                  <w:rFonts w:ascii="Tahoma" w:eastAsia="Times New Roman" w:hAnsi="Tahoma" w:cs="Tahoma"/>
                  <w:sz w:val="24"/>
                  <w:szCs w:val="24"/>
                </w:rPr>
                <w:t>https://bizfileonline.sos.ca.gov/forms/business</w:t>
              </w:r>
            </w:hyperlink>
            <w:r w:rsidR="002F6B9A" w:rsidRPr="674DD299">
              <w:rPr>
                <w:rFonts w:ascii="Tahoma" w:eastAsia="Times New Roman" w:hAnsi="Tahoma" w:cs="Tahoma"/>
                <w:color w:val="000000" w:themeColor="text1"/>
                <w:sz w:val="24"/>
                <w:szCs w:val="24"/>
              </w:rPr>
              <w:t>.</w:t>
            </w:r>
          </w:p>
          <w:p w14:paraId="41785991" w14:textId="4B4C4F02" w:rsidR="00644C4D" w:rsidRPr="006F1608" w:rsidRDefault="00644C4D" w:rsidP="00C41799">
            <w:pPr>
              <w:rPr>
                <w:rFonts w:ascii="Tahoma" w:eastAsia="Times New Roman" w:hAnsi="Tahoma" w:cs="Tahoma"/>
                <w:color w:val="000000"/>
                <w:sz w:val="24"/>
                <w:szCs w:val="24"/>
              </w:rPr>
            </w:pPr>
          </w:p>
        </w:tc>
      </w:tr>
      <w:tr w:rsidR="008216F4" w:rsidRPr="00271E52" w14:paraId="7B97D569" w14:textId="77777777" w:rsidTr="00297D16">
        <w:trPr>
          <w:trHeight w:val="1160"/>
        </w:trPr>
        <w:tc>
          <w:tcPr>
            <w:tcW w:w="549" w:type="dxa"/>
            <w:noWrap/>
          </w:tcPr>
          <w:p w14:paraId="2A0DE371" w14:textId="0AE3114A" w:rsidR="008216F4" w:rsidRPr="006F1608" w:rsidRDefault="008216F4" w:rsidP="00C41799">
            <w:pPr>
              <w:rPr>
                <w:rFonts w:ascii="Tahoma" w:eastAsia="Times New Roman" w:hAnsi="Tahoma" w:cs="Tahoma"/>
                <w:color w:val="000000"/>
                <w:sz w:val="24"/>
                <w:szCs w:val="24"/>
              </w:rPr>
            </w:pPr>
            <w:r w:rsidRPr="006F1608">
              <w:rPr>
                <w:rFonts w:ascii="Tahoma" w:eastAsia="Times New Roman" w:hAnsi="Tahoma" w:cs="Tahoma"/>
                <w:color w:val="000000"/>
                <w:sz w:val="24"/>
                <w:szCs w:val="24"/>
              </w:rPr>
              <w:lastRenderedPageBreak/>
              <w:t>3</w:t>
            </w:r>
          </w:p>
        </w:tc>
        <w:tc>
          <w:tcPr>
            <w:tcW w:w="5296" w:type="dxa"/>
          </w:tcPr>
          <w:p w14:paraId="71DB3074" w14:textId="5F47711F" w:rsidR="008216F4" w:rsidRPr="006F1608" w:rsidRDefault="008216F4" w:rsidP="008216F4">
            <w:pPr>
              <w:rPr>
                <w:rFonts w:ascii="Tahoma" w:eastAsia="Times New Roman" w:hAnsi="Tahoma" w:cs="Tahoma"/>
                <w:color w:val="000000"/>
                <w:sz w:val="24"/>
                <w:szCs w:val="24"/>
              </w:rPr>
            </w:pPr>
            <w:r w:rsidRPr="006F1608">
              <w:rPr>
                <w:rFonts w:ascii="Tahoma" w:eastAsia="Times New Roman" w:hAnsi="Tahoma" w:cs="Tahoma"/>
                <w:color w:val="000000"/>
                <w:sz w:val="24"/>
                <w:szCs w:val="24"/>
              </w:rPr>
              <w:t>If a school bus fleet is under contract with a school district</w:t>
            </w:r>
            <w:r w:rsidR="00CF5775" w:rsidRPr="006F1608">
              <w:rPr>
                <w:rFonts w:ascii="Tahoma" w:eastAsia="Times New Roman" w:hAnsi="Tahoma" w:cs="Tahoma"/>
                <w:color w:val="000000"/>
                <w:sz w:val="24"/>
                <w:szCs w:val="24"/>
              </w:rPr>
              <w:t>,</w:t>
            </w:r>
            <w:r w:rsidRPr="006F1608">
              <w:rPr>
                <w:rFonts w:ascii="Tahoma" w:eastAsia="Times New Roman" w:hAnsi="Tahoma" w:cs="Tahoma"/>
                <w:color w:val="000000"/>
                <w:sz w:val="24"/>
                <w:szCs w:val="24"/>
              </w:rPr>
              <w:t xml:space="preserve"> </w:t>
            </w:r>
            <w:r w:rsidR="00CF5775" w:rsidRPr="006F1608">
              <w:rPr>
                <w:rFonts w:ascii="Tahoma" w:eastAsia="Times New Roman" w:hAnsi="Tahoma" w:cs="Tahoma"/>
                <w:color w:val="000000"/>
                <w:sz w:val="24"/>
                <w:szCs w:val="24"/>
              </w:rPr>
              <w:t>i</w:t>
            </w:r>
            <w:r w:rsidRPr="006F1608">
              <w:rPr>
                <w:rFonts w:ascii="Tahoma" w:eastAsia="Times New Roman" w:hAnsi="Tahoma" w:cs="Tahoma"/>
                <w:color w:val="000000"/>
                <w:sz w:val="24"/>
                <w:szCs w:val="24"/>
              </w:rPr>
              <w:t>s the fleet considered a school district, or does the location and partner need to be the school district rather than the fleet?</w:t>
            </w:r>
          </w:p>
        </w:tc>
        <w:tc>
          <w:tcPr>
            <w:tcW w:w="8465" w:type="dxa"/>
          </w:tcPr>
          <w:p w14:paraId="00DEBA25" w14:textId="68C05AA3" w:rsidR="008216F4" w:rsidRPr="006F1608" w:rsidRDefault="0D989A71" w:rsidP="47C7D508">
            <w:pPr>
              <w:spacing w:line="259" w:lineRule="auto"/>
              <w:rPr>
                <w:rFonts w:ascii="Tahoma" w:eastAsia="Times New Roman" w:hAnsi="Tahoma" w:cs="Tahoma"/>
                <w:color w:val="000000"/>
                <w:sz w:val="24"/>
                <w:szCs w:val="24"/>
              </w:rPr>
            </w:pPr>
            <w:r w:rsidRPr="006F1608">
              <w:rPr>
                <w:rFonts w:ascii="Tahoma" w:eastAsia="Times New Roman" w:hAnsi="Tahoma" w:cs="Tahoma"/>
                <w:color w:val="000000" w:themeColor="text1"/>
                <w:sz w:val="24"/>
                <w:szCs w:val="24"/>
              </w:rPr>
              <w:t xml:space="preserve">No, </w:t>
            </w:r>
            <w:r w:rsidR="56715921" w:rsidRPr="006F1608">
              <w:rPr>
                <w:rFonts w:ascii="Tahoma" w:eastAsia="Times New Roman" w:hAnsi="Tahoma" w:cs="Tahoma"/>
                <w:color w:val="000000" w:themeColor="text1"/>
                <w:sz w:val="24"/>
                <w:szCs w:val="24"/>
              </w:rPr>
              <w:t>a fleet under contract with a school district is not considered a school district for this solicitation. A</w:t>
            </w:r>
            <w:r w:rsidRPr="006F1608">
              <w:rPr>
                <w:rFonts w:ascii="Tahoma" w:eastAsia="Times New Roman" w:hAnsi="Tahoma" w:cs="Tahoma"/>
                <w:color w:val="000000" w:themeColor="text1"/>
                <w:sz w:val="24"/>
                <w:szCs w:val="24"/>
              </w:rPr>
              <w:t xml:space="preserve">ll applicants must have at least one school district </w:t>
            </w:r>
            <w:r w:rsidR="53BB2384" w:rsidRPr="006F1608">
              <w:rPr>
                <w:rFonts w:ascii="Tahoma" w:eastAsia="Times New Roman" w:hAnsi="Tahoma" w:cs="Tahoma"/>
                <w:color w:val="000000" w:themeColor="text1"/>
                <w:sz w:val="24"/>
                <w:szCs w:val="24"/>
              </w:rPr>
              <w:t>partner</w:t>
            </w:r>
            <w:r w:rsidR="007A4827" w:rsidRPr="006F1608">
              <w:rPr>
                <w:rFonts w:ascii="Tahoma" w:eastAsia="Times New Roman" w:hAnsi="Tahoma" w:cs="Tahoma"/>
                <w:color w:val="000000" w:themeColor="text1"/>
                <w:sz w:val="24"/>
                <w:szCs w:val="24"/>
              </w:rPr>
              <w:t>, as is now specified in Addendum 1</w:t>
            </w:r>
            <w:r w:rsidR="53BB2384" w:rsidRPr="006F1608">
              <w:rPr>
                <w:rFonts w:ascii="Tahoma" w:eastAsia="Times New Roman" w:hAnsi="Tahoma" w:cs="Tahoma"/>
                <w:color w:val="000000" w:themeColor="text1"/>
                <w:sz w:val="24"/>
                <w:szCs w:val="24"/>
              </w:rPr>
              <w:t>.</w:t>
            </w:r>
            <w:r w:rsidR="00EA58D6">
              <w:rPr>
                <w:rFonts w:ascii="Tahoma" w:eastAsia="Times New Roman" w:hAnsi="Tahoma" w:cs="Tahoma"/>
                <w:color w:val="000000" w:themeColor="text1"/>
                <w:sz w:val="24"/>
                <w:szCs w:val="24"/>
              </w:rPr>
              <w:br/>
            </w:r>
            <w:r w:rsidR="008216F4" w:rsidRPr="006F1608">
              <w:rPr>
                <w:rFonts w:ascii="Tahoma" w:hAnsi="Tahoma" w:cs="Tahoma"/>
                <w:sz w:val="24"/>
                <w:szCs w:val="24"/>
              </w:rPr>
              <w:br/>
            </w:r>
            <w:r w:rsidR="00C13D66">
              <w:rPr>
                <w:rFonts w:ascii="Tahoma" w:eastAsia="Times New Roman" w:hAnsi="Tahoma" w:cs="Tahoma"/>
                <w:color w:val="000000" w:themeColor="text1"/>
                <w:sz w:val="24"/>
                <w:szCs w:val="24"/>
              </w:rPr>
              <w:t xml:space="preserve">However, </w:t>
            </w:r>
            <w:r w:rsidR="00EA58D6">
              <w:rPr>
                <w:rFonts w:ascii="Tahoma" w:eastAsia="Times New Roman" w:hAnsi="Tahoma" w:cs="Tahoma"/>
                <w:color w:val="000000" w:themeColor="text1"/>
                <w:sz w:val="24"/>
                <w:szCs w:val="24"/>
              </w:rPr>
              <w:t xml:space="preserve">Section II.B.1. </w:t>
            </w:r>
            <w:r w:rsidR="008216F4" w:rsidRPr="006F1608">
              <w:rPr>
                <w:rFonts w:ascii="Tahoma" w:eastAsia="Times New Roman" w:hAnsi="Tahoma" w:cs="Tahoma"/>
                <w:color w:val="000000" w:themeColor="text1"/>
                <w:sz w:val="24"/>
                <w:szCs w:val="24"/>
              </w:rPr>
              <w:t xml:space="preserve">Eligible Projects </w:t>
            </w:r>
            <w:r w:rsidR="78ECFDB7" w:rsidRPr="006F1608">
              <w:rPr>
                <w:rFonts w:ascii="Tahoma" w:eastAsia="Times New Roman" w:hAnsi="Tahoma" w:cs="Tahoma"/>
                <w:color w:val="000000" w:themeColor="text1"/>
                <w:sz w:val="24"/>
                <w:szCs w:val="24"/>
              </w:rPr>
              <w:t>has</w:t>
            </w:r>
            <w:r w:rsidR="00F81339" w:rsidRPr="006F1608">
              <w:rPr>
                <w:rFonts w:ascii="Tahoma" w:eastAsia="Times New Roman" w:hAnsi="Tahoma" w:cs="Tahoma"/>
                <w:color w:val="000000" w:themeColor="text1"/>
                <w:sz w:val="24"/>
                <w:szCs w:val="24"/>
              </w:rPr>
              <w:t xml:space="preserve"> also</w:t>
            </w:r>
            <w:r w:rsidR="78ECFDB7" w:rsidRPr="006F1608">
              <w:rPr>
                <w:rFonts w:ascii="Tahoma" w:eastAsia="Times New Roman" w:hAnsi="Tahoma" w:cs="Tahoma"/>
                <w:color w:val="000000" w:themeColor="text1"/>
                <w:sz w:val="24"/>
                <w:szCs w:val="24"/>
              </w:rPr>
              <w:t xml:space="preserve"> been changed in </w:t>
            </w:r>
            <w:r w:rsidR="004220D9" w:rsidRPr="006F1608">
              <w:rPr>
                <w:rFonts w:ascii="Tahoma" w:eastAsia="Times New Roman" w:hAnsi="Tahoma" w:cs="Tahoma"/>
                <w:color w:val="000000" w:themeColor="text1"/>
                <w:sz w:val="24"/>
                <w:szCs w:val="24"/>
              </w:rPr>
              <w:t>A</w:t>
            </w:r>
            <w:r w:rsidR="78ECFDB7" w:rsidRPr="006F1608">
              <w:rPr>
                <w:rFonts w:ascii="Tahoma" w:eastAsia="Times New Roman" w:hAnsi="Tahoma" w:cs="Tahoma"/>
                <w:color w:val="000000" w:themeColor="text1"/>
                <w:sz w:val="24"/>
                <w:szCs w:val="24"/>
              </w:rPr>
              <w:t>ddendum 1 to state</w:t>
            </w:r>
            <w:r w:rsidR="008216F4" w:rsidRPr="006F1608">
              <w:rPr>
                <w:rFonts w:ascii="Tahoma" w:eastAsia="Times New Roman" w:hAnsi="Tahoma" w:cs="Tahoma"/>
                <w:color w:val="000000" w:themeColor="text1"/>
                <w:sz w:val="24"/>
                <w:szCs w:val="24"/>
              </w:rPr>
              <w:t xml:space="preserve"> that </w:t>
            </w:r>
            <w:r w:rsidR="00A97CF0">
              <w:rPr>
                <w:rFonts w:ascii="Tahoma" w:eastAsia="Times New Roman" w:hAnsi="Tahoma" w:cs="Tahoma"/>
                <w:color w:val="000000" w:themeColor="text1"/>
                <w:sz w:val="24"/>
                <w:szCs w:val="24"/>
              </w:rPr>
              <w:t>“</w:t>
            </w:r>
            <w:r w:rsidR="008216F4" w:rsidRPr="006F1608">
              <w:rPr>
                <w:rFonts w:ascii="Tahoma" w:eastAsia="Times New Roman" w:hAnsi="Tahoma" w:cs="Tahoma"/>
                <w:color w:val="000000" w:themeColor="text1"/>
                <w:sz w:val="24"/>
                <w:szCs w:val="24"/>
              </w:rPr>
              <w:t xml:space="preserve">All projects must deploy and demonstrate EV charging infrastructure with capabilities for bi-directional power flow at two or more </w:t>
            </w:r>
            <w:r w:rsidR="78ECFDB7" w:rsidRPr="006F1608">
              <w:rPr>
                <w:rFonts w:ascii="Tahoma" w:eastAsia="Times New Roman" w:hAnsi="Tahoma" w:cs="Tahoma"/>
                <w:color w:val="000000" w:themeColor="text1"/>
                <w:sz w:val="24"/>
                <w:szCs w:val="24"/>
              </w:rPr>
              <w:t>locations that support school districts</w:t>
            </w:r>
            <w:r w:rsidR="00525E75" w:rsidRPr="006F1608">
              <w:rPr>
                <w:rFonts w:ascii="Tahoma" w:eastAsia="Times New Roman" w:hAnsi="Tahoma" w:cs="Tahoma"/>
                <w:color w:val="000000" w:themeColor="text1"/>
                <w:sz w:val="24"/>
                <w:szCs w:val="24"/>
              </w:rPr>
              <w:t xml:space="preserve"> in</w:t>
            </w:r>
            <w:r w:rsidR="008216F4" w:rsidRPr="006F1608">
              <w:rPr>
                <w:rFonts w:ascii="Tahoma" w:eastAsia="Times New Roman" w:hAnsi="Tahoma" w:cs="Tahoma"/>
                <w:color w:val="000000" w:themeColor="text1"/>
                <w:sz w:val="24"/>
                <w:szCs w:val="24"/>
              </w:rPr>
              <w:t xml:space="preserve"> California.</w:t>
            </w:r>
            <w:r w:rsidR="00A97CF0">
              <w:rPr>
                <w:rFonts w:ascii="Tahoma" w:eastAsia="Times New Roman" w:hAnsi="Tahoma" w:cs="Tahoma"/>
                <w:color w:val="000000" w:themeColor="text1"/>
                <w:sz w:val="24"/>
                <w:szCs w:val="24"/>
              </w:rPr>
              <w:t>”</w:t>
            </w:r>
          </w:p>
        </w:tc>
      </w:tr>
      <w:tr w:rsidR="008216F4" w:rsidRPr="00271E52" w14:paraId="7FF41F15" w14:textId="77777777" w:rsidTr="00297D16">
        <w:trPr>
          <w:trHeight w:val="1160"/>
        </w:trPr>
        <w:tc>
          <w:tcPr>
            <w:tcW w:w="549" w:type="dxa"/>
            <w:noWrap/>
          </w:tcPr>
          <w:p w14:paraId="3246727B" w14:textId="53597532" w:rsidR="008216F4" w:rsidRPr="00B44C66" w:rsidRDefault="008216F4" w:rsidP="00E52BAD">
            <w:pPr>
              <w:widowControl w:val="0"/>
              <w:rPr>
                <w:rFonts w:ascii="Tahoma" w:eastAsia="Times New Roman" w:hAnsi="Tahoma" w:cs="Tahoma"/>
                <w:color w:val="000000"/>
                <w:sz w:val="24"/>
                <w:szCs w:val="24"/>
              </w:rPr>
            </w:pPr>
            <w:r w:rsidRPr="00B44C66">
              <w:rPr>
                <w:rFonts w:ascii="Tahoma" w:eastAsia="Times New Roman" w:hAnsi="Tahoma" w:cs="Tahoma"/>
                <w:color w:val="000000"/>
                <w:sz w:val="24"/>
                <w:szCs w:val="24"/>
              </w:rPr>
              <w:t>4</w:t>
            </w:r>
          </w:p>
        </w:tc>
        <w:tc>
          <w:tcPr>
            <w:tcW w:w="5296" w:type="dxa"/>
          </w:tcPr>
          <w:p w14:paraId="53A2B751" w14:textId="7A0F873F" w:rsidR="008216F4" w:rsidRPr="00B44C66" w:rsidRDefault="008216F4" w:rsidP="00E52BAD">
            <w:pPr>
              <w:widowControl w:val="0"/>
              <w:rPr>
                <w:rFonts w:ascii="Tahoma" w:eastAsia="Times New Roman" w:hAnsi="Tahoma" w:cs="Tahoma"/>
                <w:color w:val="000000"/>
                <w:sz w:val="24"/>
                <w:szCs w:val="24"/>
              </w:rPr>
            </w:pPr>
            <w:r w:rsidRPr="00B44C66">
              <w:rPr>
                <w:rFonts w:ascii="Tahoma" w:eastAsia="Times New Roman" w:hAnsi="Tahoma" w:cs="Tahoma"/>
                <w:color w:val="000000"/>
                <w:sz w:val="24"/>
                <w:szCs w:val="24"/>
              </w:rPr>
              <w:t xml:space="preserve">Do school districts need to be in a utility service area that currently supports </w:t>
            </w:r>
            <w:r w:rsidR="006619FA">
              <w:rPr>
                <w:rFonts w:ascii="Tahoma" w:eastAsia="Times New Roman" w:hAnsi="Tahoma" w:cs="Tahoma"/>
                <w:color w:val="000000"/>
                <w:sz w:val="24"/>
                <w:szCs w:val="24"/>
              </w:rPr>
              <w:t>vehicle-to-grid (</w:t>
            </w:r>
            <w:r w:rsidRPr="00B44C66">
              <w:rPr>
                <w:rFonts w:ascii="Tahoma" w:eastAsia="Times New Roman" w:hAnsi="Tahoma" w:cs="Tahoma"/>
                <w:color w:val="000000"/>
                <w:sz w:val="24"/>
                <w:szCs w:val="24"/>
              </w:rPr>
              <w:t>V2G</w:t>
            </w:r>
            <w:r w:rsidR="006619FA">
              <w:rPr>
                <w:rFonts w:ascii="Tahoma" w:eastAsia="Times New Roman" w:hAnsi="Tahoma" w:cs="Tahoma"/>
                <w:color w:val="000000"/>
                <w:sz w:val="24"/>
                <w:szCs w:val="24"/>
              </w:rPr>
              <w:t>)</w:t>
            </w:r>
            <w:r w:rsidRPr="00B44C66">
              <w:rPr>
                <w:rFonts w:ascii="Tahoma" w:eastAsia="Times New Roman" w:hAnsi="Tahoma" w:cs="Tahoma"/>
                <w:color w:val="000000"/>
                <w:sz w:val="24"/>
                <w:szCs w:val="24"/>
              </w:rPr>
              <w:t xml:space="preserve">, or can these projects be deployed in advance of </w:t>
            </w:r>
            <w:r w:rsidR="000B3E73" w:rsidRPr="00B44C66">
              <w:rPr>
                <w:rFonts w:ascii="Tahoma" w:eastAsia="Times New Roman" w:hAnsi="Tahoma" w:cs="Tahoma"/>
                <w:color w:val="000000"/>
                <w:sz w:val="24"/>
                <w:szCs w:val="24"/>
              </w:rPr>
              <w:t>u</w:t>
            </w:r>
            <w:r w:rsidRPr="00B44C66">
              <w:rPr>
                <w:rFonts w:ascii="Tahoma" w:eastAsia="Times New Roman" w:hAnsi="Tahoma" w:cs="Tahoma"/>
                <w:color w:val="000000"/>
                <w:sz w:val="24"/>
                <w:szCs w:val="24"/>
              </w:rPr>
              <w:t xml:space="preserve">tility </w:t>
            </w:r>
            <w:r w:rsidR="00525E75" w:rsidRPr="00B44C66">
              <w:rPr>
                <w:rFonts w:ascii="Tahoma" w:eastAsia="Times New Roman" w:hAnsi="Tahoma" w:cs="Tahoma"/>
                <w:color w:val="000000"/>
                <w:sz w:val="24"/>
                <w:szCs w:val="24"/>
              </w:rPr>
              <w:t>support?</w:t>
            </w:r>
          </w:p>
        </w:tc>
        <w:tc>
          <w:tcPr>
            <w:tcW w:w="8465" w:type="dxa"/>
          </w:tcPr>
          <w:p w14:paraId="245F8814" w14:textId="5E8F6025" w:rsidR="008216F4" w:rsidRPr="00B44C66" w:rsidRDefault="001E125A" w:rsidP="00E52BAD">
            <w:pPr>
              <w:widowControl w:val="0"/>
              <w:rPr>
                <w:rFonts w:ascii="Tahoma" w:eastAsia="Times New Roman" w:hAnsi="Tahoma" w:cs="Tahoma"/>
                <w:color w:val="000000"/>
                <w:sz w:val="24"/>
                <w:szCs w:val="24"/>
              </w:rPr>
            </w:pPr>
            <w:r>
              <w:rPr>
                <w:rFonts w:ascii="Tahoma" w:eastAsia="Times New Roman" w:hAnsi="Tahoma" w:cs="Tahoma"/>
                <w:color w:val="000000" w:themeColor="text1"/>
                <w:sz w:val="24"/>
                <w:szCs w:val="24"/>
              </w:rPr>
              <w:t>P</w:t>
            </w:r>
            <w:r w:rsidR="00731631" w:rsidRPr="00B44C66">
              <w:rPr>
                <w:rFonts w:ascii="Tahoma" w:eastAsia="Times New Roman" w:hAnsi="Tahoma" w:cs="Tahoma"/>
                <w:color w:val="000000" w:themeColor="text1"/>
                <w:sz w:val="24"/>
                <w:szCs w:val="24"/>
              </w:rPr>
              <w:t xml:space="preserve">rojects that partner with </w:t>
            </w:r>
            <w:r w:rsidR="00A04706" w:rsidRPr="00B44C66">
              <w:rPr>
                <w:rFonts w:ascii="Tahoma" w:eastAsia="Times New Roman" w:hAnsi="Tahoma" w:cs="Tahoma"/>
                <w:color w:val="000000" w:themeColor="text1"/>
                <w:sz w:val="24"/>
                <w:szCs w:val="24"/>
              </w:rPr>
              <w:t xml:space="preserve">school districts not in a utility area </w:t>
            </w:r>
            <w:r w:rsidR="7F79DD08" w:rsidRPr="00B44C66">
              <w:rPr>
                <w:rFonts w:ascii="Tahoma" w:eastAsia="Times New Roman" w:hAnsi="Tahoma" w:cs="Tahoma"/>
                <w:color w:val="000000" w:themeColor="text1"/>
                <w:sz w:val="24"/>
                <w:szCs w:val="24"/>
              </w:rPr>
              <w:t>th</w:t>
            </w:r>
            <w:r w:rsidR="3E3EF954" w:rsidRPr="00B44C66">
              <w:rPr>
                <w:rFonts w:ascii="Tahoma" w:eastAsia="Times New Roman" w:hAnsi="Tahoma" w:cs="Tahoma"/>
                <w:color w:val="000000" w:themeColor="text1"/>
                <w:sz w:val="24"/>
                <w:szCs w:val="24"/>
              </w:rPr>
              <w:t>at</w:t>
            </w:r>
            <w:r w:rsidR="00A04706" w:rsidRPr="00B44C66">
              <w:rPr>
                <w:rFonts w:ascii="Tahoma" w:eastAsia="Times New Roman" w:hAnsi="Tahoma" w:cs="Tahoma"/>
                <w:color w:val="000000" w:themeColor="text1"/>
                <w:sz w:val="24"/>
                <w:szCs w:val="24"/>
              </w:rPr>
              <w:t xml:space="preserve"> currently supports V2G </w:t>
            </w:r>
            <w:r>
              <w:rPr>
                <w:rFonts w:ascii="Tahoma" w:eastAsia="Times New Roman" w:hAnsi="Tahoma" w:cs="Tahoma"/>
                <w:color w:val="000000" w:themeColor="text1"/>
                <w:sz w:val="24"/>
                <w:szCs w:val="24"/>
              </w:rPr>
              <w:t>are eligible</w:t>
            </w:r>
            <w:r w:rsidR="00731631" w:rsidRPr="00B44C66">
              <w:rPr>
                <w:rFonts w:ascii="Tahoma" w:eastAsia="Times New Roman" w:hAnsi="Tahoma" w:cs="Tahoma"/>
                <w:color w:val="000000" w:themeColor="text1"/>
                <w:sz w:val="24"/>
                <w:szCs w:val="24"/>
              </w:rPr>
              <w:t xml:space="preserve"> to apply</w:t>
            </w:r>
            <w:r w:rsidR="00FB7016" w:rsidRPr="00B44C66">
              <w:rPr>
                <w:rFonts w:ascii="Tahoma" w:eastAsia="Times New Roman" w:hAnsi="Tahoma" w:cs="Tahoma"/>
                <w:color w:val="000000" w:themeColor="text1"/>
                <w:sz w:val="24"/>
                <w:szCs w:val="24"/>
              </w:rPr>
              <w:t>; however</w:t>
            </w:r>
            <w:r w:rsidR="00A90EAE" w:rsidRPr="00B44C66">
              <w:rPr>
                <w:rFonts w:ascii="Tahoma" w:eastAsia="Times New Roman" w:hAnsi="Tahoma" w:cs="Tahoma"/>
                <w:color w:val="000000" w:themeColor="text1"/>
                <w:sz w:val="24"/>
                <w:szCs w:val="24"/>
              </w:rPr>
              <w:t>,</w:t>
            </w:r>
            <w:r w:rsidR="008216F4" w:rsidRPr="00B44C66">
              <w:rPr>
                <w:rFonts w:ascii="Tahoma" w:eastAsia="Times New Roman" w:hAnsi="Tahoma" w:cs="Tahoma"/>
                <w:color w:val="000000" w:themeColor="text1"/>
                <w:sz w:val="24"/>
                <w:szCs w:val="24"/>
              </w:rPr>
              <w:t xml:space="preserve"> the </w:t>
            </w:r>
            <w:r w:rsidR="008035F0">
              <w:rPr>
                <w:rFonts w:ascii="Tahoma" w:eastAsia="Times New Roman" w:hAnsi="Tahoma" w:cs="Tahoma"/>
                <w:color w:val="000000" w:themeColor="text1"/>
                <w:sz w:val="24"/>
                <w:szCs w:val="24"/>
              </w:rPr>
              <w:t>project application</w:t>
            </w:r>
            <w:r w:rsidR="008035F0" w:rsidRPr="00B44C66">
              <w:rPr>
                <w:rFonts w:ascii="Tahoma" w:eastAsia="Times New Roman" w:hAnsi="Tahoma" w:cs="Tahoma"/>
                <w:color w:val="000000" w:themeColor="text1"/>
                <w:sz w:val="24"/>
                <w:szCs w:val="24"/>
              </w:rPr>
              <w:t xml:space="preserve"> </w:t>
            </w:r>
            <w:r>
              <w:rPr>
                <w:rFonts w:ascii="Tahoma" w:eastAsia="Times New Roman" w:hAnsi="Tahoma" w:cs="Tahoma"/>
                <w:color w:val="000000" w:themeColor="text1"/>
                <w:sz w:val="24"/>
                <w:szCs w:val="24"/>
              </w:rPr>
              <w:t>must demonstrate</w:t>
            </w:r>
            <w:r w:rsidR="008035F0">
              <w:rPr>
                <w:rFonts w:ascii="Tahoma" w:eastAsia="Times New Roman" w:hAnsi="Tahoma" w:cs="Tahoma"/>
                <w:color w:val="000000" w:themeColor="text1"/>
                <w:sz w:val="24"/>
                <w:szCs w:val="24"/>
              </w:rPr>
              <w:t xml:space="preserve"> the degree to which the project team will work with electrical utility providers to ensure sufficient local grid capacity to support bi-directional charging and electric school buses, coordinate with electric utility providers to ensure timely interconnection of bi-directional chargers, and bi-directional chargers will be used for grid export or simply for local load reductions</w:t>
            </w:r>
            <w:r w:rsidR="00096E4E">
              <w:rPr>
                <w:rFonts w:ascii="Tahoma" w:eastAsia="Times New Roman" w:hAnsi="Tahoma" w:cs="Tahoma"/>
                <w:color w:val="000000" w:themeColor="text1"/>
                <w:sz w:val="24"/>
                <w:szCs w:val="24"/>
              </w:rPr>
              <w:t>. Please see Section IV.E. Evaluation Criteria</w:t>
            </w:r>
            <w:r w:rsidR="00F50718">
              <w:rPr>
                <w:rFonts w:ascii="Tahoma" w:eastAsia="Times New Roman" w:hAnsi="Tahoma" w:cs="Tahoma"/>
                <w:color w:val="000000" w:themeColor="text1"/>
                <w:sz w:val="24"/>
                <w:szCs w:val="24"/>
              </w:rPr>
              <w:t xml:space="preserve"> for Project Implementation criterion. </w:t>
            </w:r>
            <w:r w:rsidR="00096E4E">
              <w:rPr>
                <w:rFonts w:ascii="Tahoma" w:eastAsia="Times New Roman" w:hAnsi="Tahoma" w:cs="Tahoma"/>
                <w:color w:val="000000" w:themeColor="text1"/>
                <w:sz w:val="24"/>
                <w:szCs w:val="24"/>
              </w:rPr>
              <w:t xml:space="preserve"> </w:t>
            </w:r>
          </w:p>
        </w:tc>
      </w:tr>
      <w:tr w:rsidR="00ED5EE5" w:rsidRPr="00271E52" w14:paraId="04726616" w14:textId="77777777" w:rsidTr="00D61A41">
        <w:trPr>
          <w:trHeight w:val="350"/>
        </w:trPr>
        <w:tc>
          <w:tcPr>
            <w:tcW w:w="549" w:type="dxa"/>
            <w:noWrap/>
          </w:tcPr>
          <w:p w14:paraId="5D5E2C4E" w14:textId="77777777" w:rsidR="00ED5EE5" w:rsidRPr="00FD59DE" w:rsidRDefault="00ED5EE5" w:rsidP="00FD59DE">
            <w:pPr>
              <w:rPr>
                <w:rFonts w:ascii="Tahoma" w:eastAsia="Times New Roman" w:hAnsi="Tahoma" w:cs="Tahoma"/>
                <w:b/>
                <w:color w:val="000000"/>
                <w:sz w:val="24"/>
                <w:szCs w:val="24"/>
              </w:rPr>
            </w:pPr>
          </w:p>
        </w:tc>
        <w:tc>
          <w:tcPr>
            <w:tcW w:w="5296" w:type="dxa"/>
            <w:shd w:val="clear" w:color="auto" w:fill="B4C6E7" w:themeFill="accent1" w:themeFillTint="66"/>
          </w:tcPr>
          <w:p w14:paraId="00D6A679" w14:textId="7C7A9396" w:rsidR="00ED5EE5" w:rsidRPr="00FD59DE" w:rsidRDefault="00ED5EE5" w:rsidP="00D61A41">
            <w:pPr>
              <w:tabs>
                <w:tab w:val="center" w:pos="2540"/>
              </w:tabs>
              <w:rPr>
                <w:rFonts w:ascii="Tahoma" w:eastAsia="Times New Roman" w:hAnsi="Tahoma" w:cs="Tahoma"/>
                <w:b/>
                <w:color w:val="000000"/>
                <w:sz w:val="24"/>
                <w:szCs w:val="24"/>
              </w:rPr>
            </w:pPr>
            <w:r w:rsidRPr="00B44C66">
              <w:rPr>
                <w:rFonts w:ascii="Tahoma" w:eastAsia="Times New Roman" w:hAnsi="Tahoma" w:cs="Tahoma"/>
                <w:b/>
                <w:color w:val="000000"/>
                <w:sz w:val="24"/>
                <w:szCs w:val="24"/>
              </w:rPr>
              <w:t xml:space="preserve">Eligibility </w:t>
            </w:r>
            <w:r w:rsidR="00261FFA">
              <w:rPr>
                <w:rFonts w:ascii="Tahoma" w:eastAsia="Times New Roman" w:hAnsi="Tahoma" w:cs="Tahoma"/>
                <w:b/>
                <w:color w:val="000000"/>
                <w:sz w:val="24"/>
                <w:szCs w:val="24"/>
              </w:rPr>
              <w:tab/>
            </w:r>
          </w:p>
        </w:tc>
        <w:tc>
          <w:tcPr>
            <w:tcW w:w="8465" w:type="dxa"/>
            <w:shd w:val="clear" w:color="auto" w:fill="B4C6E7" w:themeFill="accent1" w:themeFillTint="66"/>
          </w:tcPr>
          <w:p w14:paraId="45BD2648" w14:textId="78823A5A" w:rsidR="00ED5EE5" w:rsidRPr="00FD59DE" w:rsidRDefault="00ED5EE5" w:rsidP="00FD59DE">
            <w:pPr>
              <w:rPr>
                <w:rFonts w:ascii="Tahoma" w:eastAsia="Times New Roman" w:hAnsi="Tahoma" w:cs="Tahoma"/>
                <w:b/>
                <w:color w:val="000000"/>
                <w:sz w:val="24"/>
                <w:szCs w:val="24"/>
              </w:rPr>
            </w:pPr>
            <w:r w:rsidRPr="00B44C66">
              <w:rPr>
                <w:rFonts w:ascii="Tahoma" w:eastAsia="Times New Roman" w:hAnsi="Tahoma" w:cs="Tahoma"/>
                <w:b/>
                <w:color w:val="000000"/>
                <w:sz w:val="24"/>
                <w:szCs w:val="24"/>
              </w:rPr>
              <w:t>Costs</w:t>
            </w:r>
          </w:p>
        </w:tc>
      </w:tr>
      <w:tr w:rsidR="00ED5EE5" w:rsidRPr="00271E52" w14:paraId="1068CFA2" w14:textId="77777777" w:rsidTr="00C24F80">
        <w:trPr>
          <w:trHeight w:val="1160"/>
        </w:trPr>
        <w:tc>
          <w:tcPr>
            <w:tcW w:w="549" w:type="dxa"/>
            <w:shd w:val="clear" w:color="auto" w:fill="auto"/>
            <w:noWrap/>
          </w:tcPr>
          <w:p w14:paraId="715451D2" w14:textId="27F5A747" w:rsidR="00ED5EE5" w:rsidRPr="00B44C66" w:rsidRDefault="00ED5EE5" w:rsidP="00ED5EE5">
            <w:pPr>
              <w:widowControl w:val="0"/>
              <w:rPr>
                <w:rFonts w:ascii="Tahoma" w:eastAsia="Times New Roman" w:hAnsi="Tahoma" w:cs="Tahoma"/>
                <w:color w:val="000000"/>
                <w:sz w:val="24"/>
                <w:szCs w:val="24"/>
              </w:rPr>
            </w:pPr>
            <w:r w:rsidRPr="00B44C66">
              <w:rPr>
                <w:rFonts w:ascii="Tahoma" w:eastAsia="Times New Roman" w:hAnsi="Tahoma" w:cs="Tahoma"/>
                <w:color w:val="000000"/>
                <w:sz w:val="24"/>
                <w:szCs w:val="24"/>
              </w:rPr>
              <w:t>5</w:t>
            </w:r>
          </w:p>
        </w:tc>
        <w:tc>
          <w:tcPr>
            <w:tcW w:w="5296" w:type="dxa"/>
            <w:shd w:val="clear" w:color="auto" w:fill="auto"/>
          </w:tcPr>
          <w:p w14:paraId="4AD3DE13" w14:textId="161F2318" w:rsidR="00ED5EE5" w:rsidRPr="00B44C66" w:rsidRDefault="00ED5EE5" w:rsidP="00ED5EE5">
            <w:pPr>
              <w:widowControl w:val="0"/>
              <w:rPr>
                <w:rFonts w:ascii="Tahoma" w:eastAsia="Times New Roman" w:hAnsi="Tahoma" w:cs="Tahoma"/>
                <w:color w:val="000000"/>
                <w:sz w:val="24"/>
                <w:szCs w:val="24"/>
              </w:rPr>
            </w:pPr>
            <w:r w:rsidRPr="00B44C66">
              <w:rPr>
                <w:rFonts w:ascii="Tahoma" w:eastAsia="Times New Roman" w:hAnsi="Tahoma" w:cs="Tahoma"/>
                <w:color w:val="000000" w:themeColor="text1"/>
                <w:sz w:val="24"/>
                <w:szCs w:val="24"/>
              </w:rPr>
              <w:t xml:space="preserve">Can these grant funds be stacked with other incentive programs like </w:t>
            </w:r>
            <w:r w:rsidDel="00A543B7">
              <w:rPr>
                <w:rFonts w:ascii="Tahoma" w:eastAsia="Times New Roman" w:hAnsi="Tahoma" w:cs="Tahoma"/>
                <w:color w:val="000000" w:themeColor="text1"/>
                <w:sz w:val="24"/>
                <w:szCs w:val="24"/>
              </w:rPr>
              <w:t xml:space="preserve">the </w:t>
            </w:r>
            <w:r>
              <w:rPr>
                <w:rFonts w:ascii="Tahoma" w:eastAsia="Times New Roman" w:hAnsi="Tahoma" w:cs="Tahoma"/>
                <w:color w:val="000000" w:themeColor="text1"/>
                <w:sz w:val="24"/>
                <w:szCs w:val="24"/>
              </w:rPr>
              <w:t xml:space="preserve">U.S. Environmental Protection Agencies’ (U.S. </w:t>
            </w:r>
            <w:r w:rsidRPr="00B44C66">
              <w:rPr>
                <w:rFonts w:ascii="Tahoma" w:eastAsia="Times New Roman" w:hAnsi="Tahoma" w:cs="Tahoma"/>
                <w:color w:val="000000" w:themeColor="text1"/>
                <w:sz w:val="24"/>
                <w:szCs w:val="24"/>
              </w:rPr>
              <w:t>EPA</w:t>
            </w:r>
            <w:r>
              <w:rPr>
                <w:rFonts w:ascii="Tahoma" w:eastAsia="Times New Roman" w:hAnsi="Tahoma" w:cs="Tahoma"/>
                <w:color w:val="000000" w:themeColor="text1"/>
                <w:sz w:val="24"/>
                <w:szCs w:val="24"/>
              </w:rPr>
              <w:t>)</w:t>
            </w:r>
            <w:r w:rsidRPr="00B44C66">
              <w:rPr>
                <w:rFonts w:ascii="Tahoma" w:eastAsia="Times New Roman" w:hAnsi="Tahoma" w:cs="Tahoma"/>
                <w:color w:val="000000" w:themeColor="text1"/>
                <w:sz w:val="24"/>
                <w:szCs w:val="24"/>
              </w:rPr>
              <w:t xml:space="preserve"> Clean School Bus funding?</w:t>
            </w:r>
          </w:p>
        </w:tc>
        <w:tc>
          <w:tcPr>
            <w:tcW w:w="8465" w:type="dxa"/>
            <w:shd w:val="clear" w:color="auto" w:fill="auto"/>
          </w:tcPr>
          <w:p w14:paraId="3CFB5140" w14:textId="43920119" w:rsidR="00ED5EE5" w:rsidRDefault="00ED5EE5" w:rsidP="00ED5EE5">
            <w:pPr>
              <w:widowControl w:val="0"/>
              <w:rPr>
                <w:rFonts w:ascii="Tahoma" w:eastAsia="Times New Roman" w:hAnsi="Tahoma" w:cs="Tahoma"/>
                <w:color w:val="000000" w:themeColor="text1"/>
                <w:sz w:val="24"/>
                <w:szCs w:val="24"/>
              </w:rPr>
            </w:pPr>
            <w:r w:rsidRPr="00B44C66">
              <w:rPr>
                <w:rFonts w:ascii="Tahoma" w:eastAsia="Times New Roman" w:hAnsi="Tahoma" w:cs="Tahoma"/>
                <w:color w:val="000000" w:themeColor="text1"/>
                <w:sz w:val="24"/>
                <w:szCs w:val="24"/>
              </w:rPr>
              <w:t xml:space="preserve">Yes, stacking funds from other non-CEC programs is allowed. However, applicants </w:t>
            </w:r>
            <w:r>
              <w:rPr>
                <w:rFonts w:ascii="Tahoma" w:eastAsia="Times New Roman" w:hAnsi="Tahoma" w:cs="Tahoma"/>
                <w:color w:val="000000" w:themeColor="text1"/>
                <w:sz w:val="24"/>
                <w:szCs w:val="24"/>
              </w:rPr>
              <w:t>must</w:t>
            </w:r>
            <w:r w:rsidRPr="00B44C66">
              <w:rPr>
                <w:rFonts w:ascii="Tahoma" w:eastAsia="Times New Roman" w:hAnsi="Tahoma" w:cs="Tahoma"/>
                <w:color w:val="000000" w:themeColor="text1"/>
                <w:sz w:val="24"/>
                <w:szCs w:val="24"/>
              </w:rPr>
              <w:t xml:space="preserve"> document that grant funds received through this solicitation are paying for actual costs that are not being reimbursed by any other funding source.</w:t>
            </w:r>
            <w:r>
              <w:rPr>
                <w:rFonts w:ascii="Tahoma" w:eastAsia="Times New Roman" w:hAnsi="Tahoma" w:cs="Tahoma"/>
                <w:color w:val="000000" w:themeColor="text1"/>
                <w:sz w:val="24"/>
                <w:szCs w:val="24"/>
              </w:rPr>
              <w:t xml:space="preserve"> Please also note other sources of CEC funding may not be claimed as match share. </w:t>
            </w:r>
            <w:r w:rsidRPr="00B44C66">
              <w:rPr>
                <w:rFonts w:ascii="Tahoma" w:eastAsia="Times New Roman" w:hAnsi="Tahoma" w:cs="Tahoma"/>
                <w:color w:val="000000" w:themeColor="text1"/>
                <w:sz w:val="24"/>
                <w:szCs w:val="24"/>
              </w:rPr>
              <w:t xml:space="preserve"> </w:t>
            </w:r>
            <w:r w:rsidRPr="00B44C66">
              <w:rPr>
                <w:rFonts w:ascii="Tahoma" w:hAnsi="Tahoma" w:cs="Tahoma"/>
                <w:sz w:val="24"/>
                <w:szCs w:val="24"/>
              </w:rPr>
              <w:br/>
            </w:r>
          </w:p>
        </w:tc>
      </w:tr>
      <w:tr w:rsidR="00ED5EE5" w:rsidRPr="00271E52" w14:paraId="634E6C69" w14:textId="77777777" w:rsidTr="00C24F80">
        <w:trPr>
          <w:trHeight w:val="1160"/>
        </w:trPr>
        <w:tc>
          <w:tcPr>
            <w:tcW w:w="549" w:type="dxa"/>
            <w:shd w:val="clear" w:color="auto" w:fill="auto"/>
            <w:noWrap/>
          </w:tcPr>
          <w:p w14:paraId="13D535AE" w14:textId="5340EA75" w:rsidR="00ED5EE5" w:rsidRPr="00B44C66" w:rsidRDefault="00ED5EE5" w:rsidP="00ED5EE5">
            <w:pPr>
              <w:widowControl w:val="0"/>
              <w:rPr>
                <w:rFonts w:ascii="Tahoma" w:eastAsia="Times New Roman" w:hAnsi="Tahoma" w:cs="Tahoma"/>
                <w:color w:val="000000"/>
                <w:sz w:val="24"/>
                <w:szCs w:val="24"/>
              </w:rPr>
            </w:pPr>
            <w:r w:rsidRPr="000D46AE">
              <w:rPr>
                <w:rFonts w:ascii="Tahoma" w:eastAsia="Times New Roman" w:hAnsi="Tahoma" w:cs="Tahoma"/>
                <w:color w:val="000000"/>
                <w:sz w:val="24"/>
                <w:szCs w:val="24"/>
              </w:rPr>
              <w:t>6</w:t>
            </w:r>
          </w:p>
        </w:tc>
        <w:tc>
          <w:tcPr>
            <w:tcW w:w="5296" w:type="dxa"/>
            <w:shd w:val="clear" w:color="auto" w:fill="auto"/>
          </w:tcPr>
          <w:p w14:paraId="75791685" w14:textId="7C6F6431" w:rsidR="00ED5EE5" w:rsidRPr="00B44C66" w:rsidRDefault="00ED5EE5" w:rsidP="00ED5EE5">
            <w:pPr>
              <w:widowControl w:val="0"/>
              <w:rPr>
                <w:rFonts w:ascii="Tahoma" w:eastAsia="Times New Roman" w:hAnsi="Tahoma" w:cs="Tahoma"/>
                <w:color w:val="000000"/>
                <w:sz w:val="24"/>
                <w:szCs w:val="24"/>
              </w:rPr>
            </w:pPr>
            <w:r w:rsidRPr="000D46AE">
              <w:rPr>
                <w:rFonts w:ascii="Tahoma" w:eastAsia="Times New Roman" w:hAnsi="Tahoma" w:cs="Tahoma"/>
                <w:color w:val="000000"/>
                <w:sz w:val="24"/>
                <w:szCs w:val="24"/>
              </w:rPr>
              <w:t>Is there any limitation on the sharing of revenue created by discharging?</w:t>
            </w:r>
          </w:p>
        </w:tc>
        <w:tc>
          <w:tcPr>
            <w:tcW w:w="8465" w:type="dxa"/>
            <w:shd w:val="clear" w:color="auto" w:fill="auto"/>
          </w:tcPr>
          <w:p w14:paraId="4161E301" w14:textId="46724178" w:rsidR="00ED5EE5" w:rsidRDefault="00ED5EE5" w:rsidP="00ED5EE5">
            <w:pPr>
              <w:widowControl w:val="0"/>
              <w:rPr>
                <w:rFonts w:ascii="Tahoma" w:eastAsia="Times New Roman" w:hAnsi="Tahoma" w:cs="Tahoma"/>
                <w:color w:val="000000" w:themeColor="text1"/>
                <w:sz w:val="24"/>
                <w:szCs w:val="24"/>
              </w:rPr>
            </w:pPr>
            <w:r w:rsidRPr="000D46AE">
              <w:rPr>
                <w:rFonts w:ascii="Tahoma" w:eastAsia="Times New Roman" w:hAnsi="Tahoma" w:cs="Tahoma"/>
                <w:color w:val="000000"/>
                <w:sz w:val="24"/>
                <w:szCs w:val="24"/>
              </w:rPr>
              <w:t xml:space="preserve">No, there are not limitations on the sharing of revenue. However, revenue streams and considerations </w:t>
            </w:r>
            <w:r>
              <w:rPr>
                <w:rFonts w:ascii="Tahoma" w:eastAsia="Times New Roman" w:hAnsi="Tahoma" w:cs="Tahoma"/>
                <w:color w:val="000000"/>
                <w:sz w:val="24"/>
                <w:szCs w:val="24"/>
              </w:rPr>
              <w:t>may</w:t>
            </w:r>
            <w:r w:rsidRPr="000D46AE">
              <w:rPr>
                <w:rFonts w:ascii="Tahoma" w:eastAsia="Times New Roman" w:hAnsi="Tahoma" w:cs="Tahoma"/>
                <w:color w:val="000000"/>
                <w:sz w:val="24"/>
                <w:szCs w:val="24"/>
              </w:rPr>
              <w:t xml:space="preserve"> be evaluated in the </w:t>
            </w:r>
            <w:r w:rsidR="004C7BA2">
              <w:rPr>
                <w:rFonts w:ascii="Tahoma" w:eastAsia="Times New Roman" w:hAnsi="Tahoma" w:cs="Tahoma"/>
                <w:color w:val="000000"/>
                <w:sz w:val="24"/>
                <w:szCs w:val="24"/>
              </w:rPr>
              <w:t>evalu</w:t>
            </w:r>
            <w:r w:rsidR="00534784">
              <w:rPr>
                <w:rFonts w:ascii="Tahoma" w:eastAsia="Times New Roman" w:hAnsi="Tahoma" w:cs="Tahoma"/>
                <w:color w:val="000000"/>
                <w:sz w:val="24"/>
                <w:szCs w:val="24"/>
              </w:rPr>
              <w:t>a</w:t>
            </w:r>
            <w:r w:rsidR="004C7BA2">
              <w:rPr>
                <w:rFonts w:ascii="Tahoma" w:eastAsia="Times New Roman" w:hAnsi="Tahoma" w:cs="Tahoma"/>
                <w:color w:val="000000"/>
                <w:sz w:val="24"/>
                <w:szCs w:val="24"/>
              </w:rPr>
              <w:t>t</w:t>
            </w:r>
            <w:r w:rsidR="005A3BCC">
              <w:rPr>
                <w:rFonts w:ascii="Tahoma" w:eastAsia="Times New Roman" w:hAnsi="Tahoma" w:cs="Tahoma"/>
                <w:color w:val="000000"/>
                <w:sz w:val="24"/>
                <w:szCs w:val="24"/>
              </w:rPr>
              <w:t>io</w:t>
            </w:r>
            <w:r w:rsidR="004C7BA2">
              <w:rPr>
                <w:rFonts w:ascii="Tahoma" w:eastAsia="Times New Roman" w:hAnsi="Tahoma" w:cs="Tahoma"/>
                <w:color w:val="000000"/>
                <w:sz w:val="24"/>
                <w:szCs w:val="24"/>
              </w:rPr>
              <w:t>n</w:t>
            </w:r>
            <w:r w:rsidR="004C7BA2" w:rsidRPr="000D46AE">
              <w:rPr>
                <w:rFonts w:ascii="Tahoma" w:eastAsia="Times New Roman" w:hAnsi="Tahoma" w:cs="Tahoma"/>
                <w:color w:val="000000"/>
                <w:sz w:val="24"/>
                <w:szCs w:val="24"/>
              </w:rPr>
              <w:t xml:space="preserve"> </w:t>
            </w:r>
            <w:r w:rsidRPr="000D46AE">
              <w:rPr>
                <w:rFonts w:ascii="Tahoma" w:eastAsia="Times New Roman" w:hAnsi="Tahoma" w:cs="Tahoma"/>
                <w:color w:val="000000"/>
                <w:sz w:val="24"/>
                <w:szCs w:val="24"/>
              </w:rPr>
              <w:t xml:space="preserve">criteria, depending on the scope of the project. Please review the </w:t>
            </w:r>
            <w:r w:rsidR="004C7BA2">
              <w:rPr>
                <w:rFonts w:ascii="Tahoma" w:eastAsia="Times New Roman" w:hAnsi="Tahoma" w:cs="Tahoma"/>
                <w:color w:val="000000"/>
                <w:sz w:val="24"/>
                <w:szCs w:val="24"/>
              </w:rPr>
              <w:t>evaluation</w:t>
            </w:r>
            <w:r w:rsidR="004C7BA2" w:rsidRPr="000D46AE">
              <w:rPr>
                <w:rFonts w:ascii="Tahoma" w:eastAsia="Times New Roman" w:hAnsi="Tahoma" w:cs="Tahoma"/>
                <w:color w:val="000000"/>
                <w:sz w:val="24"/>
                <w:szCs w:val="24"/>
              </w:rPr>
              <w:t xml:space="preserve"> </w:t>
            </w:r>
            <w:r w:rsidRPr="000D46AE">
              <w:rPr>
                <w:rFonts w:ascii="Tahoma" w:eastAsia="Times New Roman" w:hAnsi="Tahoma" w:cs="Tahoma"/>
                <w:color w:val="000000"/>
                <w:sz w:val="24"/>
                <w:szCs w:val="24"/>
              </w:rPr>
              <w:t>criteria in Section IV.E</w:t>
            </w:r>
            <w:r>
              <w:rPr>
                <w:rFonts w:ascii="Tahoma" w:eastAsia="Times New Roman" w:hAnsi="Tahoma" w:cs="Tahoma"/>
                <w:color w:val="000000"/>
                <w:sz w:val="24"/>
                <w:szCs w:val="24"/>
              </w:rPr>
              <w:t xml:space="preserve"> for more detail</w:t>
            </w:r>
            <w:r w:rsidRPr="000D46AE">
              <w:rPr>
                <w:rFonts w:ascii="Tahoma" w:eastAsia="Times New Roman" w:hAnsi="Tahoma" w:cs="Tahoma"/>
                <w:color w:val="000000"/>
                <w:sz w:val="24"/>
                <w:szCs w:val="24"/>
              </w:rPr>
              <w:t>.</w:t>
            </w:r>
          </w:p>
        </w:tc>
      </w:tr>
      <w:tr w:rsidR="00ED5EE5" w:rsidRPr="00271E52" w14:paraId="5308DEB9" w14:textId="77777777" w:rsidTr="00644C4D">
        <w:trPr>
          <w:trHeight w:val="836"/>
        </w:trPr>
        <w:tc>
          <w:tcPr>
            <w:tcW w:w="549" w:type="dxa"/>
            <w:shd w:val="clear" w:color="auto" w:fill="auto"/>
            <w:noWrap/>
          </w:tcPr>
          <w:p w14:paraId="34120D19" w14:textId="7F7A7A2F" w:rsidR="00ED5EE5" w:rsidRPr="00B44C66" w:rsidRDefault="00ED5EE5" w:rsidP="00ED5EE5">
            <w:pPr>
              <w:widowControl w:val="0"/>
              <w:rPr>
                <w:rFonts w:ascii="Tahoma" w:eastAsia="Times New Roman" w:hAnsi="Tahoma" w:cs="Tahoma"/>
                <w:color w:val="000000"/>
                <w:sz w:val="24"/>
                <w:szCs w:val="24"/>
              </w:rPr>
            </w:pPr>
            <w:r w:rsidRPr="000D46AE">
              <w:rPr>
                <w:rFonts w:ascii="Tahoma" w:eastAsia="Times New Roman" w:hAnsi="Tahoma" w:cs="Tahoma"/>
                <w:color w:val="000000"/>
                <w:sz w:val="24"/>
                <w:szCs w:val="24"/>
              </w:rPr>
              <w:t>7</w:t>
            </w:r>
          </w:p>
        </w:tc>
        <w:tc>
          <w:tcPr>
            <w:tcW w:w="5296" w:type="dxa"/>
            <w:shd w:val="clear" w:color="auto" w:fill="auto"/>
          </w:tcPr>
          <w:p w14:paraId="338D3F0A" w14:textId="18AE50EB" w:rsidR="00ED5EE5" w:rsidRPr="00B44C66" w:rsidRDefault="00ED5EE5" w:rsidP="00ED5EE5">
            <w:pPr>
              <w:widowControl w:val="0"/>
              <w:rPr>
                <w:rFonts w:ascii="Tahoma" w:eastAsia="Times New Roman" w:hAnsi="Tahoma" w:cs="Tahoma"/>
                <w:color w:val="000000"/>
                <w:sz w:val="24"/>
                <w:szCs w:val="24"/>
              </w:rPr>
            </w:pPr>
            <w:r w:rsidRPr="000D46AE">
              <w:rPr>
                <w:rFonts w:ascii="Tahoma" w:eastAsia="Times New Roman" w:hAnsi="Tahoma" w:cs="Tahoma"/>
                <w:color w:val="000000"/>
                <w:sz w:val="24"/>
                <w:szCs w:val="24"/>
              </w:rPr>
              <w:t>Do eligible costs include software costs like planning software or design software?</w:t>
            </w:r>
          </w:p>
        </w:tc>
        <w:tc>
          <w:tcPr>
            <w:tcW w:w="8465" w:type="dxa"/>
            <w:shd w:val="clear" w:color="auto" w:fill="auto"/>
          </w:tcPr>
          <w:p w14:paraId="4CB83CFF" w14:textId="7262F3F3" w:rsidR="00ED5EE5" w:rsidRDefault="00ED5EE5" w:rsidP="00ED5EE5">
            <w:pPr>
              <w:widowControl w:val="0"/>
              <w:rPr>
                <w:rFonts w:ascii="Tahoma" w:eastAsia="Times New Roman" w:hAnsi="Tahoma" w:cs="Tahoma"/>
                <w:color w:val="000000" w:themeColor="text1"/>
                <w:sz w:val="24"/>
                <w:szCs w:val="24"/>
              </w:rPr>
            </w:pPr>
            <w:r w:rsidRPr="000D46AE">
              <w:rPr>
                <w:rFonts w:ascii="Tahoma" w:eastAsia="Times New Roman" w:hAnsi="Tahoma" w:cs="Tahoma"/>
                <w:color w:val="000000"/>
                <w:sz w:val="24"/>
                <w:szCs w:val="24"/>
              </w:rPr>
              <w:t xml:space="preserve">Planning </w:t>
            </w:r>
            <w:r>
              <w:rPr>
                <w:rFonts w:ascii="Tahoma" w:eastAsia="Times New Roman" w:hAnsi="Tahoma" w:cs="Tahoma"/>
                <w:color w:val="000000"/>
                <w:sz w:val="24"/>
                <w:szCs w:val="24"/>
              </w:rPr>
              <w:t xml:space="preserve">or design </w:t>
            </w:r>
            <w:r w:rsidRPr="000D46AE">
              <w:rPr>
                <w:rFonts w:ascii="Tahoma" w:eastAsia="Times New Roman" w:hAnsi="Tahoma" w:cs="Tahoma"/>
                <w:color w:val="000000"/>
                <w:sz w:val="24"/>
                <w:szCs w:val="24"/>
              </w:rPr>
              <w:t xml:space="preserve">software </w:t>
            </w:r>
            <w:r>
              <w:rPr>
                <w:rFonts w:ascii="Tahoma" w:eastAsia="Times New Roman" w:hAnsi="Tahoma" w:cs="Tahoma"/>
                <w:color w:val="000000"/>
                <w:sz w:val="24"/>
                <w:szCs w:val="24"/>
              </w:rPr>
              <w:t>costs may</w:t>
            </w:r>
            <w:r w:rsidRPr="000D46AE">
              <w:rPr>
                <w:rFonts w:ascii="Tahoma" w:eastAsia="Times New Roman" w:hAnsi="Tahoma" w:cs="Tahoma"/>
                <w:color w:val="000000"/>
                <w:sz w:val="24"/>
                <w:szCs w:val="24"/>
              </w:rPr>
              <w:t xml:space="preserve"> be allowable </w:t>
            </w:r>
            <w:proofErr w:type="gramStart"/>
            <w:r w:rsidRPr="000D46AE">
              <w:rPr>
                <w:rFonts w:ascii="Tahoma" w:eastAsia="Times New Roman" w:hAnsi="Tahoma" w:cs="Tahoma"/>
                <w:color w:val="000000"/>
                <w:sz w:val="24"/>
                <w:szCs w:val="24"/>
              </w:rPr>
              <w:t>as long as</w:t>
            </w:r>
            <w:proofErr w:type="gramEnd"/>
            <w:r w:rsidRPr="000D46AE">
              <w:rPr>
                <w:rFonts w:ascii="Tahoma" w:eastAsia="Times New Roman" w:hAnsi="Tahoma" w:cs="Tahoma"/>
                <w:color w:val="000000"/>
                <w:sz w:val="24"/>
                <w:szCs w:val="24"/>
              </w:rPr>
              <w:t xml:space="preserve"> </w:t>
            </w:r>
            <w:r>
              <w:rPr>
                <w:rFonts w:ascii="Tahoma" w:eastAsia="Times New Roman" w:hAnsi="Tahoma" w:cs="Tahoma"/>
                <w:color w:val="000000"/>
                <w:sz w:val="24"/>
                <w:szCs w:val="24"/>
              </w:rPr>
              <w:t xml:space="preserve">the software’s use </w:t>
            </w:r>
            <w:r w:rsidRPr="000D46AE">
              <w:rPr>
                <w:rFonts w:ascii="Tahoma" w:eastAsia="Times New Roman" w:hAnsi="Tahoma" w:cs="Tahoma"/>
                <w:color w:val="000000"/>
                <w:sz w:val="24"/>
                <w:szCs w:val="24"/>
              </w:rPr>
              <w:t xml:space="preserve">ties </w:t>
            </w:r>
            <w:r>
              <w:rPr>
                <w:rFonts w:ascii="Tahoma" w:eastAsia="Times New Roman" w:hAnsi="Tahoma" w:cs="Tahoma"/>
                <w:color w:val="000000"/>
                <w:sz w:val="24"/>
                <w:szCs w:val="24"/>
              </w:rPr>
              <w:t xml:space="preserve">directly </w:t>
            </w:r>
            <w:r w:rsidRPr="000D46AE">
              <w:rPr>
                <w:rFonts w:ascii="Tahoma" w:eastAsia="Times New Roman" w:hAnsi="Tahoma" w:cs="Tahoma"/>
                <w:color w:val="000000"/>
                <w:sz w:val="24"/>
                <w:szCs w:val="24"/>
              </w:rPr>
              <w:t>to the Scope of Work for the project.</w:t>
            </w:r>
          </w:p>
        </w:tc>
      </w:tr>
      <w:tr w:rsidR="004336DB" w:rsidRPr="00271E52" w14:paraId="3656E804" w14:textId="77777777" w:rsidTr="00C81730">
        <w:trPr>
          <w:trHeight w:val="368"/>
        </w:trPr>
        <w:tc>
          <w:tcPr>
            <w:tcW w:w="549" w:type="dxa"/>
            <w:shd w:val="clear" w:color="auto" w:fill="auto"/>
            <w:noWrap/>
          </w:tcPr>
          <w:p w14:paraId="74E309FB" w14:textId="77777777" w:rsidR="004336DB" w:rsidRPr="000D46AE" w:rsidRDefault="004336DB" w:rsidP="004336DB">
            <w:pPr>
              <w:widowControl w:val="0"/>
              <w:rPr>
                <w:rFonts w:ascii="Tahoma" w:eastAsia="Times New Roman" w:hAnsi="Tahoma" w:cs="Tahoma"/>
                <w:color w:val="000000"/>
                <w:sz w:val="24"/>
                <w:szCs w:val="24"/>
              </w:rPr>
            </w:pPr>
          </w:p>
        </w:tc>
        <w:tc>
          <w:tcPr>
            <w:tcW w:w="5296" w:type="dxa"/>
            <w:shd w:val="clear" w:color="auto" w:fill="B4C6E7" w:themeFill="accent1" w:themeFillTint="66"/>
          </w:tcPr>
          <w:p w14:paraId="4502DDD1" w14:textId="71015485" w:rsidR="004336DB" w:rsidRPr="000D46AE" w:rsidRDefault="004336DB" w:rsidP="004336DB">
            <w:pPr>
              <w:widowControl w:val="0"/>
              <w:rPr>
                <w:rFonts w:ascii="Tahoma" w:eastAsia="Times New Roman" w:hAnsi="Tahoma" w:cs="Tahoma"/>
                <w:color w:val="000000"/>
                <w:sz w:val="24"/>
                <w:szCs w:val="24"/>
              </w:rPr>
            </w:pPr>
            <w:r w:rsidRPr="000D46AE">
              <w:rPr>
                <w:rFonts w:ascii="Tahoma" w:eastAsia="Times New Roman" w:hAnsi="Tahoma" w:cs="Tahoma"/>
                <w:b/>
                <w:color w:val="000000"/>
                <w:sz w:val="24"/>
                <w:szCs w:val="24"/>
              </w:rPr>
              <w:t xml:space="preserve">Eligibility </w:t>
            </w:r>
          </w:p>
        </w:tc>
        <w:tc>
          <w:tcPr>
            <w:tcW w:w="8465" w:type="dxa"/>
            <w:shd w:val="clear" w:color="auto" w:fill="B4C6E7" w:themeFill="accent1" w:themeFillTint="66"/>
          </w:tcPr>
          <w:p w14:paraId="1A0469AE" w14:textId="1A0A5549" w:rsidR="004336DB" w:rsidRPr="000D46AE" w:rsidRDefault="004336DB" w:rsidP="004336DB">
            <w:pPr>
              <w:widowControl w:val="0"/>
              <w:rPr>
                <w:rFonts w:ascii="Tahoma" w:eastAsia="Times New Roman" w:hAnsi="Tahoma" w:cs="Tahoma"/>
                <w:color w:val="000000"/>
                <w:sz w:val="24"/>
                <w:szCs w:val="24"/>
              </w:rPr>
            </w:pPr>
            <w:r w:rsidRPr="000D46AE">
              <w:rPr>
                <w:rFonts w:ascii="Tahoma" w:eastAsia="Times New Roman" w:hAnsi="Tahoma" w:cs="Tahoma"/>
                <w:b/>
                <w:color w:val="000000"/>
                <w:sz w:val="24"/>
                <w:szCs w:val="24"/>
              </w:rPr>
              <w:t>Equipment</w:t>
            </w:r>
          </w:p>
        </w:tc>
      </w:tr>
      <w:tr w:rsidR="004336DB" w:rsidRPr="00271E52" w14:paraId="7E20D17C" w14:textId="77777777" w:rsidTr="00FD59DE">
        <w:trPr>
          <w:trHeight w:val="1160"/>
        </w:trPr>
        <w:tc>
          <w:tcPr>
            <w:tcW w:w="549" w:type="dxa"/>
            <w:shd w:val="clear" w:color="auto" w:fill="auto"/>
            <w:noWrap/>
          </w:tcPr>
          <w:p w14:paraId="3B1DE1B9" w14:textId="1976811A" w:rsidR="004336DB" w:rsidRPr="000D46AE" w:rsidRDefault="004336DB" w:rsidP="004336DB">
            <w:pPr>
              <w:widowControl w:val="0"/>
              <w:rPr>
                <w:rFonts w:ascii="Tahoma" w:eastAsia="Times New Roman" w:hAnsi="Tahoma" w:cs="Tahoma"/>
                <w:color w:val="000000"/>
                <w:sz w:val="24"/>
                <w:szCs w:val="24"/>
              </w:rPr>
            </w:pPr>
            <w:r w:rsidRPr="000D46AE">
              <w:rPr>
                <w:rFonts w:ascii="Tahoma" w:eastAsia="Times New Roman" w:hAnsi="Tahoma" w:cs="Tahoma"/>
                <w:color w:val="000000"/>
                <w:sz w:val="24"/>
                <w:szCs w:val="24"/>
              </w:rPr>
              <w:lastRenderedPageBreak/>
              <w:t>8</w:t>
            </w:r>
          </w:p>
        </w:tc>
        <w:tc>
          <w:tcPr>
            <w:tcW w:w="5296" w:type="dxa"/>
            <w:shd w:val="clear" w:color="auto" w:fill="auto"/>
          </w:tcPr>
          <w:p w14:paraId="04693C0B" w14:textId="72438308" w:rsidR="004336DB" w:rsidRPr="000D46AE" w:rsidRDefault="004336DB" w:rsidP="004336DB">
            <w:pPr>
              <w:widowControl w:val="0"/>
              <w:rPr>
                <w:rFonts w:ascii="Tahoma" w:eastAsia="Times New Roman" w:hAnsi="Tahoma" w:cs="Tahoma"/>
                <w:color w:val="000000"/>
                <w:sz w:val="24"/>
                <w:szCs w:val="24"/>
              </w:rPr>
            </w:pPr>
            <w:r w:rsidRPr="000D46AE">
              <w:rPr>
                <w:rFonts w:ascii="Tahoma" w:eastAsia="Times New Roman" w:hAnsi="Tahoma" w:cs="Tahoma"/>
                <w:color w:val="000000"/>
                <w:sz w:val="24"/>
                <w:szCs w:val="24"/>
              </w:rPr>
              <w:t>Is there any possibility for CHAdeMO chargers to be considered for this solicitation?</w:t>
            </w:r>
          </w:p>
        </w:tc>
        <w:tc>
          <w:tcPr>
            <w:tcW w:w="8465" w:type="dxa"/>
            <w:shd w:val="clear" w:color="auto" w:fill="auto"/>
          </w:tcPr>
          <w:p w14:paraId="5431308F" w14:textId="2306B9C7" w:rsidR="004336DB" w:rsidRPr="000D46AE" w:rsidRDefault="004336DB" w:rsidP="004336DB">
            <w:pPr>
              <w:widowControl w:val="0"/>
              <w:rPr>
                <w:rFonts w:ascii="Tahoma" w:eastAsia="Times New Roman" w:hAnsi="Tahoma" w:cs="Tahoma"/>
                <w:color w:val="000000"/>
                <w:sz w:val="24"/>
                <w:szCs w:val="24"/>
              </w:rPr>
            </w:pPr>
            <w:r w:rsidRPr="000D46AE">
              <w:rPr>
                <w:rFonts w:ascii="Tahoma" w:eastAsia="Times New Roman" w:hAnsi="Tahoma" w:cs="Tahoma"/>
                <w:color w:val="000000" w:themeColor="text1"/>
                <w:sz w:val="24"/>
                <w:szCs w:val="24"/>
              </w:rPr>
              <w:t>No. The bi-directional charging systems installed during this project must meet all Minimum Technical Requirements listed in Section II.B.3.</w:t>
            </w:r>
            <w:r w:rsidRPr="674DD299">
              <w:rPr>
                <w:rFonts w:ascii="Tahoma" w:eastAsia="Times New Roman" w:hAnsi="Tahoma" w:cs="Tahoma"/>
                <w:color w:val="000000" w:themeColor="text1"/>
                <w:sz w:val="24"/>
                <w:szCs w:val="24"/>
              </w:rPr>
              <w:t xml:space="preserve">, which includes the </w:t>
            </w:r>
            <w:r w:rsidRPr="000D46AE">
              <w:rPr>
                <w:rFonts w:ascii="Tahoma" w:eastAsia="Times New Roman" w:hAnsi="Tahoma" w:cs="Tahoma"/>
                <w:color w:val="000000" w:themeColor="text1"/>
                <w:sz w:val="24"/>
                <w:szCs w:val="24"/>
              </w:rPr>
              <w:t xml:space="preserve">use </w:t>
            </w:r>
            <w:r w:rsidRPr="674DD299">
              <w:rPr>
                <w:rFonts w:ascii="Tahoma" w:eastAsia="Times New Roman" w:hAnsi="Tahoma" w:cs="Tahoma"/>
                <w:color w:val="000000" w:themeColor="text1"/>
                <w:sz w:val="24"/>
                <w:szCs w:val="24"/>
              </w:rPr>
              <w:t xml:space="preserve">of </w:t>
            </w:r>
            <w:r w:rsidRPr="000D46AE">
              <w:rPr>
                <w:rFonts w:ascii="Tahoma" w:eastAsia="Times New Roman" w:hAnsi="Tahoma" w:cs="Tahoma"/>
                <w:color w:val="000000" w:themeColor="text1"/>
                <w:sz w:val="24"/>
                <w:szCs w:val="24"/>
              </w:rPr>
              <w:t xml:space="preserve">the CCS-1 connector. However, chargers that use both CCS-1 and CHAdeMO </w:t>
            </w:r>
            <w:r>
              <w:rPr>
                <w:rFonts w:ascii="Tahoma" w:eastAsia="Times New Roman" w:hAnsi="Tahoma" w:cs="Tahoma"/>
                <w:color w:val="000000" w:themeColor="text1"/>
                <w:sz w:val="24"/>
                <w:szCs w:val="24"/>
              </w:rPr>
              <w:t>may</w:t>
            </w:r>
            <w:r w:rsidRPr="000D46AE">
              <w:rPr>
                <w:rFonts w:ascii="Tahoma" w:eastAsia="Times New Roman" w:hAnsi="Tahoma" w:cs="Tahoma"/>
                <w:color w:val="000000" w:themeColor="text1"/>
                <w:sz w:val="24"/>
                <w:szCs w:val="24"/>
              </w:rPr>
              <w:t xml:space="preserve"> be allowable.</w:t>
            </w:r>
          </w:p>
        </w:tc>
      </w:tr>
      <w:tr w:rsidR="004336DB" w:rsidRPr="00271E52" w14:paraId="11FF9C3A" w14:textId="77777777" w:rsidTr="00FD59DE">
        <w:trPr>
          <w:trHeight w:val="1160"/>
        </w:trPr>
        <w:tc>
          <w:tcPr>
            <w:tcW w:w="549" w:type="dxa"/>
            <w:shd w:val="clear" w:color="auto" w:fill="auto"/>
            <w:noWrap/>
          </w:tcPr>
          <w:p w14:paraId="0EB77BE3" w14:textId="5411C21C" w:rsidR="004336DB" w:rsidRPr="000D46AE" w:rsidRDefault="004336DB" w:rsidP="004336DB">
            <w:pPr>
              <w:widowControl w:val="0"/>
              <w:rPr>
                <w:rFonts w:ascii="Tahoma" w:eastAsia="Times New Roman" w:hAnsi="Tahoma" w:cs="Tahoma"/>
                <w:color w:val="000000"/>
                <w:sz w:val="24"/>
                <w:szCs w:val="24"/>
              </w:rPr>
            </w:pPr>
            <w:r w:rsidRPr="005617F0">
              <w:rPr>
                <w:rFonts w:ascii="Tahoma" w:eastAsia="Times New Roman" w:hAnsi="Tahoma" w:cs="Tahoma"/>
                <w:color w:val="000000" w:themeColor="text1"/>
                <w:sz w:val="24"/>
                <w:szCs w:val="24"/>
              </w:rPr>
              <w:t>9</w:t>
            </w:r>
          </w:p>
        </w:tc>
        <w:tc>
          <w:tcPr>
            <w:tcW w:w="5296" w:type="dxa"/>
            <w:shd w:val="clear" w:color="auto" w:fill="auto"/>
          </w:tcPr>
          <w:p w14:paraId="3018678B" w14:textId="48509C90" w:rsidR="004336DB" w:rsidRPr="000D46AE" w:rsidRDefault="004336DB" w:rsidP="004336DB">
            <w:pPr>
              <w:widowControl w:val="0"/>
              <w:rPr>
                <w:rFonts w:ascii="Tahoma" w:eastAsia="Times New Roman" w:hAnsi="Tahoma" w:cs="Tahoma"/>
                <w:color w:val="000000"/>
                <w:sz w:val="24"/>
                <w:szCs w:val="24"/>
              </w:rPr>
            </w:pPr>
            <w:r w:rsidRPr="005617F0">
              <w:rPr>
                <w:rFonts w:ascii="Tahoma" w:eastAsia="Times New Roman" w:hAnsi="Tahoma" w:cs="Tahoma"/>
                <w:color w:val="000000"/>
                <w:sz w:val="24"/>
                <w:szCs w:val="24"/>
              </w:rPr>
              <w:t>What specific communications protocol is required for bi-directional power transfer? Can you specify what specific method of communications for bi-directional power transfer CEC is proposing, or is this solicitation technology neutral regarding communication methods?</w:t>
            </w:r>
          </w:p>
        </w:tc>
        <w:tc>
          <w:tcPr>
            <w:tcW w:w="8465" w:type="dxa"/>
            <w:shd w:val="clear" w:color="auto" w:fill="auto"/>
          </w:tcPr>
          <w:p w14:paraId="57932BD5" w14:textId="77777777" w:rsidR="004336DB" w:rsidRPr="005617F0" w:rsidRDefault="004336DB" w:rsidP="004336DB">
            <w:pPr>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As described in Section II.B.</w:t>
            </w:r>
            <w:r>
              <w:rPr>
                <w:rFonts w:ascii="Tahoma" w:eastAsia="Times New Roman" w:hAnsi="Tahoma" w:cs="Tahoma"/>
                <w:color w:val="000000" w:themeColor="text1"/>
                <w:sz w:val="24"/>
                <w:szCs w:val="24"/>
              </w:rPr>
              <w:t>,</w:t>
            </w:r>
            <w:r w:rsidRPr="005617F0">
              <w:rPr>
                <w:rFonts w:ascii="Tahoma" w:eastAsia="Times New Roman" w:hAnsi="Tahoma" w:cs="Tahoma"/>
                <w:color w:val="000000" w:themeColor="text1"/>
                <w:sz w:val="24"/>
                <w:szCs w:val="24"/>
              </w:rPr>
              <w:t xml:space="preserve"> Table 1</w:t>
            </w:r>
            <w:r>
              <w:rPr>
                <w:rFonts w:ascii="Tahoma" w:eastAsia="Times New Roman" w:hAnsi="Tahoma" w:cs="Tahoma"/>
                <w:color w:val="000000" w:themeColor="text1"/>
                <w:sz w:val="24"/>
                <w:szCs w:val="24"/>
              </w:rPr>
              <w:t>: Minimum Technical Requirements</w:t>
            </w:r>
            <w:r w:rsidRPr="005617F0">
              <w:rPr>
                <w:rFonts w:ascii="Tahoma" w:eastAsia="Times New Roman" w:hAnsi="Tahoma" w:cs="Tahoma"/>
                <w:color w:val="000000" w:themeColor="text1"/>
                <w:sz w:val="24"/>
                <w:szCs w:val="24"/>
              </w:rPr>
              <w:t xml:space="preserve">, all chargers must be hardware ready for ISO 15118-20. A detailed definition is below. </w:t>
            </w:r>
          </w:p>
          <w:p w14:paraId="44057D52" w14:textId="77777777" w:rsidR="004336DB" w:rsidRPr="005617F0" w:rsidRDefault="004336DB" w:rsidP="004336DB">
            <w:pPr>
              <w:rPr>
                <w:rFonts w:ascii="Tahoma" w:hAnsi="Tahoma" w:cs="Tahoma"/>
                <w:sz w:val="24"/>
                <w:szCs w:val="24"/>
              </w:rPr>
            </w:pPr>
            <w:r w:rsidRPr="005617F0">
              <w:rPr>
                <w:rFonts w:ascii="Tahoma" w:eastAsia="Times New Roman" w:hAnsi="Tahoma" w:cs="Tahoma"/>
                <w:color w:val="000000" w:themeColor="text1"/>
                <w:sz w:val="24"/>
                <w:szCs w:val="24"/>
              </w:rPr>
              <w:t xml:space="preserve"> </w:t>
            </w:r>
          </w:p>
          <w:p w14:paraId="21A57EB2" w14:textId="77777777" w:rsidR="004336DB" w:rsidRPr="005617F0" w:rsidRDefault="004336DB" w:rsidP="004336DB">
            <w:pPr>
              <w:rPr>
                <w:rFonts w:ascii="Tahoma" w:hAnsi="Tahoma" w:cs="Tahoma"/>
                <w:sz w:val="24"/>
                <w:szCs w:val="24"/>
              </w:rPr>
            </w:pPr>
            <w:r w:rsidRPr="005617F0">
              <w:rPr>
                <w:rFonts w:ascii="Tahoma" w:eastAsia="Times New Roman" w:hAnsi="Tahoma" w:cs="Tahoma"/>
                <w:color w:val="000000" w:themeColor="text1"/>
                <w:sz w:val="24"/>
                <w:szCs w:val="24"/>
              </w:rPr>
              <w:t xml:space="preserve">A charger is hardware ready for ISO 15118-20 if it supports </w:t>
            </w:r>
            <w:proofErr w:type="gramStart"/>
            <w:r w:rsidRPr="005617F0">
              <w:rPr>
                <w:rFonts w:ascii="Tahoma" w:eastAsia="Times New Roman" w:hAnsi="Tahoma" w:cs="Tahoma"/>
                <w:color w:val="000000" w:themeColor="text1"/>
                <w:sz w:val="24"/>
                <w:szCs w:val="24"/>
              </w:rPr>
              <w:t>all of</w:t>
            </w:r>
            <w:proofErr w:type="gramEnd"/>
            <w:r w:rsidRPr="005617F0">
              <w:rPr>
                <w:rFonts w:ascii="Tahoma" w:eastAsia="Times New Roman" w:hAnsi="Tahoma" w:cs="Tahoma"/>
                <w:color w:val="000000" w:themeColor="text1"/>
                <w:sz w:val="24"/>
                <w:szCs w:val="24"/>
              </w:rPr>
              <w:t xml:space="preserve"> the following:</w:t>
            </w:r>
          </w:p>
          <w:p w14:paraId="64FA2636" w14:textId="77777777" w:rsidR="004336DB" w:rsidRPr="005617F0" w:rsidRDefault="004336DB" w:rsidP="004336DB">
            <w:pPr>
              <w:pStyle w:val="ListParagraph"/>
              <w:numPr>
                <w:ilvl w:val="0"/>
                <w:numId w:val="4"/>
              </w:numPr>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Powerline carrier based high-level communication as specified in ISO 15118-3.</w:t>
            </w:r>
          </w:p>
          <w:p w14:paraId="6B98E49E" w14:textId="77777777" w:rsidR="004336DB" w:rsidRPr="005617F0" w:rsidRDefault="004336DB" w:rsidP="004336DB">
            <w:pPr>
              <w:pStyle w:val="ListParagraph"/>
              <w:numPr>
                <w:ilvl w:val="0"/>
                <w:numId w:val="4"/>
              </w:numPr>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Secure management and storage of keys and certificates, including sufficient processing capabilities.</w:t>
            </w:r>
          </w:p>
          <w:p w14:paraId="63877D07" w14:textId="77777777" w:rsidR="004336DB" w:rsidRPr="005617F0" w:rsidRDefault="004336DB" w:rsidP="004336DB">
            <w:pPr>
              <w:pStyle w:val="ListParagraph"/>
              <w:numPr>
                <w:ilvl w:val="0"/>
                <w:numId w:val="4"/>
              </w:numPr>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Transport Layer Security version 1.3.</w:t>
            </w:r>
          </w:p>
          <w:p w14:paraId="5FD46AA7" w14:textId="77777777" w:rsidR="004336DB" w:rsidRDefault="004336DB" w:rsidP="004336DB">
            <w:pPr>
              <w:pStyle w:val="ListParagraph"/>
              <w:numPr>
                <w:ilvl w:val="0"/>
                <w:numId w:val="4"/>
              </w:numPr>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Remotely receiving updates to activate or enable ISO 15118-20 use cases.</w:t>
            </w:r>
          </w:p>
          <w:p w14:paraId="730C8532" w14:textId="77777777" w:rsidR="004336DB" w:rsidRDefault="004336DB" w:rsidP="004336DB">
            <w:pPr>
              <w:rPr>
                <w:rFonts w:ascii="Tahoma" w:eastAsia="Times New Roman" w:hAnsi="Tahoma" w:cs="Tahoma"/>
                <w:color w:val="000000" w:themeColor="text1"/>
                <w:sz w:val="24"/>
                <w:szCs w:val="24"/>
              </w:rPr>
            </w:pPr>
          </w:p>
          <w:p w14:paraId="425ECB05" w14:textId="62630C67" w:rsidR="004336DB" w:rsidRPr="005617F0" w:rsidRDefault="004336DB" w:rsidP="004336DB">
            <w:pPr>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Projects may use other communication protocols in the near term to enable bi</w:t>
            </w:r>
            <w:r w:rsidR="0074471D">
              <w:rPr>
                <w:rFonts w:ascii="Tahoma" w:eastAsia="Times New Roman" w:hAnsi="Tahoma" w:cs="Tahoma"/>
                <w:color w:val="000000" w:themeColor="text1"/>
                <w:sz w:val="24"/>
                <w:szCs w:val="24"/>
              </w:rPr>
              <w:t>-</w:t>
            </w:r>
            <w:r w:rsidRPr="005617F0">
              <w:rPr>
                <w:rFonts w:ascii="Tahoma" w:eastAsia="Times New Roman" w:hAnsi="Tahoma" w:cs="Tahoma"/>
                <w:color w:val="000000" w:themeColor="text1"/>
                <w:sz w:val="24"/>
                <w:szCs w:val="24"/>
              </w:rPr>
              <w:t xml:space="preserve">directional charging (for example, ISO 15118-2 with modifications). </w:t>
            </w:r>
            <w:r>
              <w:rPr>
                <w:rFonts w:ascii="Tahoma" w:eastAsia="Times New Roman" w:hAnsi="Tahoma" w:cs="Tahoma"/>
                <w:color w:val="000000" w:themeColor="text1"/>
                <w:sz w:val="24"/>
                <w:szCs w:val="24"/>
              </w:rPr>
              <w:t xml:space="preserve">Applicants will be scored based on the degree to which applications: </w:t>
            </w:r>
            <w:r w:rsidRPr="005617F0">
              <w:rPr>
                <w:rFonts w:ascii="Tahoma" w:eastAsia="Times New Roman" w:hAnsi="Tahoma" w:cs="Tahoma"/>
                <w:color w:val="000000" w:themeColor="text1"/>
                <w:sz w:val="24"/>
                <w:szCs w:val="24"/>
              </w:rPr>
              <w:t>“Explain how the project will build upon ISO 15118 hardware ready chargers and implement ISO 15118-20 software for bi-directional charging, smart charging, Plug and Charge, and/or other use cases.”</w:t>
            </w:r>
            <w:r>
              <w:rPr>
                <w:rFonts w:ascii="Tahoma" w:eastAsia="Times New Roman" w:hAnsi="Tahoma" w:cs="Tahoma"/>
                <w:color w:val="000000" w:themeColor="text1"/>
                <w:sz w:val="24"/>
                <w:szCs w:val="24"/>
              </w:rPr>
              <w:t xml:space="preserve"> Please see Section IV.E. Evaluation Criteria for Project Implementation criterion.   </w:t>
            </w:r>
          </w:p>
          <w:p w14:paraId="499F6265" w14:textId="77777777" w:rsidR="004336DB" w:rsidRPr="005617F0" w:rsidRDefault="004336DB" w:rsidP="004336DB">
            <w:pPr>
              <w:rPr>
                <w:rFonts w:ascii="Tahoma" w:eastAsia="Times New Roman" w:hAnsi="Tahoma" w:cs="Tahoma"/>
                <w:color w:val="000000" w:themeColor="text1"/>
                <w:sz w:val="24"/>
                <w:szCs w:val="24"/>
              </w:rPr>
            </w:pPr>
          </w:p>
          <w:p w14:paraId="3348FC30" w14:textId="77777777" w:rsidR="004336DB" w:rsidRPr="000D46AE" w:rsidRDefault="004336DB" w:rsidP="004336DB">
            <w:pPr>
              <w:widowControl w:val="0"/>
              <w:rPr>
                <w:rFonts w:ascii="Tahoma" w:eastAsia="Times New Roman" w:hAnsi="Tahoma" w:cs="Tahoma"/>
                <w:color w:val="000000"/>
                <w:sz w:val="24"/>
                <w:szCs w:val="24"/>
              </w:rPr>
            </w:pPr>
          </w:p>
        </w:tc>
      </w:tr>
      <w:tr w:rsidR="00945D55" w:rsidRPr="00271E52" w14:paraId="687D1634" w14:textId="77777777" w:rsidTr="00C81730">
        <w:trPr>
          <w:trHeight w:val="359"/>
        </w:trPr>
        <w:tc>
          <w:tcPr>
            <w:tcW w:w="549" w:type="dxa"/>
            <w:shd w:val="clear" w:color="auto" w:fill="auto"/>
            <w:noWrap/>
          </w:tcPr>
          <w:p w14:paraId="6B44F18A" w14:textId="77777777" w:rsidR="00945D55" w:rsidRPr="005617F0" w:rsidRDefault="00945D55" w:rsidP="00945D55">
            <w:pPr>
              <w:widowControl w:val="0"/>
              <w:rPr>
                <w:rFonts w:ascii="Tahoma" w:eastAsia="Times New Roman" w:hAnsi="Tahoma" w:cs="Tahoma"/>
                <w:color w:val="000000" w:themeColor="text1"/>
                <w:sz w:val="24"/>
                <w:szCs w:val="24"/>
              </w:rPr>
            </w:pPr>
          </w:p>
        </w:tc>
        <w:tc>
          <w:tcPr>
            <w:tcW w:w="5296" w:type="dxa"/>
            <w:shd w:val="clear" w:color="auto" w:fill="B4C6E7" w:themeFill="accent1" w:themeFillTint="66"/>
          </w:tcPr>
          <w:p w14:paraId="4EF33D6F" w14:textId="137CE362" w:rsidR="00945D55" w:rsidRPr="005617F0" w:rsidRDefault="00945D55" w:rsidP="00945D55">
            <w:pPr>
              <w:widowControl w:val="0"/>
              <w:rPr>
                <w:rFonts w:ascii="Tahoma" w:eastAsia="Times New Roman" w:hAnsi="Tahoma" w:cs="Tahoma"/>
                <w:b/>
                <w:color w:val="000000"/>
                <w:sz w:val="24"/>
                <w:szCs w:val="24"/>
              </w:rPr>
            </w:pPr>
            <w:r w:rsidRPr="005617F0">
              <w:rPr>
                <w:rFonts w:ascii="Tahoma" w:eastAsia="Times New Roman" w:hAnsi="Tahoma" w:cs="Tahoma"/>
                <w:b/>
                <w:color w:val="000000"/>
                <w:sz w:val="24"/>
                <w:szCs w:val="24"/>
              </w:rPr>
              <w:t xml:space="preserve">Eligibility </w:t>
            </w:r>
          </w:p>
        </w:tc>
        <w:tc>
          <w:tcPr>
            <w:tcW w:w="8465" w:type="dxa"/>
            <w:shd w:val="clear" w:color="auto" w:fill="B4C6E7" w:themeFill="accent1" w:themeFillTint="66"/>
          </w:tcPr>
          <w:p w14:paraId="6488A05E" w14:textId="392BF55A" w:rsidR="00945D55" w:rsidRPr="005617F0" w:rsidRDefault="00945D55" w:rsidP="00945D55">
            <w:pPr>
              <w:rPr>
                <w:rFonts w:ascii="Tahoma" w:eastAsia="Times New Roman" w:hAnsi="Tahoma" w:cs="Tahoma"/>
                <w:b/>
                <w:color w:val="000000"/>
                <w:sz w:val="24"/>
                <w:szCs w:val="24"/>
              </w:rPr>
            </w:pPr>
            <w:r w:rsidRPr="005617F0">
              <w:rPr>
                <w:rFonts w:ascii="Tahoma" w:eastAsia="Times New Roman" w:hAnsi="Tahoma" w:cs="Tahoma"/>
                <w:b/>
                <w:color w:val="000000"/>
                <w:sz w:val="24"/>
                <w:szCs w:val="24"/>
              </w:rPr>
              <w:t>Projects</w:t>
            </w:r>
          </w:p>
        </w:tc>
      </w:tr>
      <w:tr w:rsidR="00945D55" w:rsidRPr="00271E52" w14:paraId="197743D0" w14:textId="77777777" w:rsidTr="00FD59DE">
        <w:trPr>
          <w:trHeight w:val="1160"/>
        </w:trPr>
        <w:tc>
          <w:tcPr>
            <w:tcW w:w="549" w:type="dxa"/>
            <w:shd w:val="clear" w:color="auto" w:fill="auto"/>
            <w:noWrap/>
          </w:tcPr>
          <w:p w14:paraId="2DF57C4E" w14:textId="364BA1A0" w:rsidR="00945D55" w:rsidRPr="005617F0" w:rsidRDefault="00945D55" w:rsidP="00945D55">
            <w:pPr>
              <w:widowControl w:val="0"/>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t>10</w:t>
            </w:r>
          </w:p>
        </w:tc>
        <w:tc>
          <w:tcPr>
            <w:tcW w:w="5296" w:type="dxa"/>
            <w:shd w:val="clear" w:color="auto" w:fill="auto"/>
          </w:tcPr>
          <w:p w14:paraId="3DAE8565" w14:textId="0E844248" w:rsidR="00945D55" w:rsidRPr="005617F0" w:rsidRDefault="00945D55" w:rsidP="00945D55">
            <w:pPr>
              <w:widowControl w:val="0"/>
              <w:rPr>
                <w:rFonts w:ascii="Tahoma" w:eastAsia="Times New Roman" w:hAnsi="Tahoma" w:cs="Tahoma"/>
                <w:color w:val="000000"/>
                <w:sz w:val="24"/>
                <w:szCs w:val="24"/>
              </w:rPr>
            </w:pPr>
            <w:r w:rsidRPr="005617F0">
              <w:rPr>
                <w:rFonts w:ascii="Tahoma" w:eastAsia="Times New Roman" w:hAnsi="Tahoma" w:cs="Tahoma"/>
                <w:color w:val="000000"/>
                <w:sz w:val="24"/>
                <w:szCs w:val="24"/>
              </w:rPr>
              <w:t>A subcontractor who is contracted with several school districts in California is planning a large V2G capable EVSE deployment at their primary bus yard. Could they apply, and would they need a second location even though the first location is large?</w:t>
            </w:r>
          </w:p>
        </w:tc>
        <w:tc>
          <w:tcPr>
            <w:tcW w:w="8465" w:type="dxa"/>
            <w:shd w:val="clear" w:color="auto" w:fill="auto"/>
          </w:tcPr>
          <w:p w14:paraId="6B40367D" w14:textId="02EF7EC1" w:rsidR="00945D55" w:rsidRPr="005617F0" w:rsidRDefault="00945D55" w:rsidP="00945D55">
            <w:pPr>
              <w:rPr>
                <w:rFonts w:ascii="Tahoma" w:eastAsia="Times New Roman" w:hAnsi="Tahoma" w:cs="Tahoma"/>
                <w:color w:val="000000" w:themeColor="text1"/>
                <w:sz w:val="24"/>
                <w:szCs w:val="24"/>
              </w:rPr>
            </w:pPr>
            <w:r w:rsidRPr="005617F0">
              <w:rPr>
                <w:rFonts w:ascii="Tahoma" w:eastAsia="Times New Roman" w:hAnsi="Tahoma" w:cs="Tahoma"/>
                <w:color w:val="000000"/>
                <w:sz w:val="24"/>
                <w:szCs w:val="24"/>
              </w:rPr>
              <w:t>Two locations are required for this solicitation, regardless of the size of the locations.</w:t>
            </w:r>
          </w:p>
        </w:tc>
      </w:tr>
      <w:tr w:rsidR="00945D55" w:rsidRPr="00271E52" w14:paraId="4529EF3F" w14:textId="77777777" w:rsidTr="00FD59DE">
        <w:trPr>
          <w:trHeight w:val="1160"/>
        </w:trPr>
        <w:tc>
          <w:tcPr>
            <w:tcW w:w="549" w:type="dxa"/>
            <w:shd w:val="clear" w:color="auto" w:fill="auto"/>
            <w:noWrap/>
          </w:tcPr>
          <w:p w14:paraId="742410BB" w14:textId="38DE673D" w:rsidR="00945D55" w:rsidRPr="005617F0" w:rsidRDefault="00945D55" w:rsidP="00945D55">
            <w:pPr>
              <w:widowControl w:val="0"/>
              <w:rPr>
                <w:rFonts w:ascii="Tahoma" w:eastAsia="Times New Roman" w:hAnsi="Tahoma" w:cs="Tahoma"/>
                <w:color w:val="000000" w:themeColor="text1"/>
                <w:sz w:val="24"/>
                <w:szCs w:val="24"/>
              </w:rPr>
            </w:pPr>
            <w:r w:rsidRPr="005617F0">
              <w:rPr>
                <w:rFonts w:ascii="Tahoma" w:eastAsia="Times New Roman" w:hAnsi="Tahoma" w:cs="Tahoma"/>
                <w:color w:val="000000" w:themeColor="text1"/>
                <w:sz w:val="24"/>
                <w:szCs w:val="24"/>
              </w:rPr>
              <w:lastRenderedPageBreak/>
              <w:t>11</w:t>
            </w:r>
          </w:p>
        </w:tc>
        <w:tc>
          <w:tcPr>
            <w:tcW w:w="5296" w:type="dxa"/>
            <w:shd w:val="clear" w:color="auto" w:fill="auto"/>
          </w:tcPr>
          <w:p w14:paraId="26A2D636" w14:textId="472B60AF" w:rsidR="00945D55" w:rsidRPr="005617F0" w:rsidRDefault="00945D55" w:rsidP="00945D55">
            <w:pPr>
              <w:widowControl w:val="0"/>
              <w:rPr>
                <w:rFonts w:ascii="Tahoma" w:eastAsia="Times New Roman" w:hAnsi="Tahoma" w:cs="Tahoma"/>
                <w:color w:val="000000"/>
                <w:sz w:val="24"/>
                <w:szCs w:val="24"/>
              </w:rPr>
            </w:pPr>
            <w:r w:rsidRPr="005617F0">
              <w:rPr>
                <w:rFonts w:ascii="Tahoma" w:eastAsia="Times New Roman" w:hAnsi="Tahoma" w:cs="Tahoma"/>
                <w:color w:val="000000"/>
                <w:sz w:val="24"/>
                <w:szCs w:val="24"/>
              </w:rPr>
              <w:t>Can the project qualify by being located at two sites within one school district or must the two locations be a different school district.</w:t>
            </w:r>
          </w:p>
        </w:tc>
        <w:tc>
          <w:tcPr>
            <w:tcW w:w="8465" w:type="dxa"/>
            <w:shd w:val="clear" w:color="auto" w:fill="auto"/>
          </w:tcPr>
          <w:p w14:paraId="5000AE42" w14:textId="6628FC07" w:rsidR="00945D55" w:rsidRPr="005617F0" w:rsidRDefault="00945D55" w:rsidP="00945D55">
            <w:pPr>
              <w:rPr>
                <w:rFonts w:ascii="Tahoma" w:eastAsia="Times New Roman" w:hAnsi="Tahoma" w:cs="Tahoma"/>
                <w:color w:val="000000" w:themeColor="text1"/>
                <w:sz w:val="24"/>
                <w:szCs w:val="24"/>
              </w:rPr>
            </w:pPr>
            <w:r w:rsidRPr="005617F0">
              <w:rPr>
                <w:rFonts w:ascii="Tahoma" w:eastAsia="Times New Roman" w:hAnsi="Tahoma" w:cs="Tahoma"/>
                <w:color w:val="000000"/>
                <w:sz w:val="24"/>
                <w:szCs w:val="24"/>
              </w:rPr>
              <w:t>Yes</w:t>
            </w:r>
            <w:r>
              <w:rPr>
                <w:rFonts w:ascii="Tahoma" w:eastAsia="Times New Roman" w:hAnsi="Tahoma" w:cs="Tahoma"/>
                <w:color w:val="000000"/>
                <w:sz w:val="24"/>
                <w:szCs w:val="24"/>
              </w:rPr>
              <w:t>. Please refer to</w:t>
            </w:r>
            <w:r w:rsidRPr="00C95272">
              <w:rPr>
                <w:rFonts w:ascii="Tahoma" w:eastAsia="Times New Roman" w:hAnsi="Tahoma" w:cs="Tahoma"/>
                <w:color w:val="000000"/>
                <w:sz w:val="24"/>
                <w:szCs w:val="24"/>
              </w:rPr>
              <w:t xml:space="preserve"> Section II.B.1</w:t>
            </w:r>
            <w:r>
              <w:rPr>
                <w:rFonts w:ascii="Tahoma" w:eastAsia="Times New Roman" w:hAnsi="Tahoma" w:cs="Tahoma"/>
                <w:color w:val="000000"/>
                <w:sz w:val="24"/>
                <w:szCs w:val="24"/>
              </w:rPr>
              <w:t xml:space="preserve"> Eligible Projects for</w:t>
            </w:r>
            <w:r w:rsidRPr="00C95272">
              <w:rPr>
                <w:rFonts w:ascii="Tahoma" w:eastAsia="Times New Roman" w:hAnsi="Tahoma" w:cs="Tahoma"/>
                <w:color w:val="000000"/>
                <w:sz w:val="24"/>
                <w:szCs w:val="24"/>
              </w:rPr>
              <w:t xml:space="preserve"> an example </w:t>
            </w:r>
            <w:r>
              <w:rPr>
                <w:rFonts w:ascii="Tahoma" w:eastAsia="Times New Roman" w:hAnsi="Tahoma" w:cs="Tahoma"/>
                <w:color w:val="000000"/>
                <w:sz w:val="24"/>
                <w:szCs w:val="24"/>
              </w:rPr>
              <w:t>of</w:t>
            </w:r>
            <w:r w:rsidRPr="00C95272">
              <w:rPr>
                <w:rFonts w:ascii="Tahoma" w:eastAsia="Times New Roman" w:hAnsi="Tahoma" w:cs="Tahoma"/>
                <w:color w:val="000000"/>
                <w:sz w:val="24"/>
                <w:szCs w:val="24"/>
              </w:rPr>
              <w:t xml:space="preserve"> two locations within the same school district.</w:t>
            </w:r>
          </w:p>
        </w:tc>
      </w:tr>
      <w:tr w:rsidR="00945D55" w:rsidRPr="00271E52" w14:paraId="43E2F9DD" w14:textId="77777777" w:rsidTr="00FD59DE">
        <w:trPr>
          <w:trHeight w:val="1160"/>
        </w:trPr>
        <w:tc>
          <w:tcPr>
            <w:tcW w:w="549" w:type="dxa"/>
            <w:shd w:val="clear" w:color="auto" w:fill="auto"/>
            <w:noWrap/>
          </w:tcPr>
          <w:p w14:paraId="02D0B91E" w14:textId="4D598C4F" w:rsidR="00945D55" w:rsidRPr="005617F0" w:rsidRDefault="00945D55" w:rsidP="00945D55">
            <w:pPr>
              <w:widowControl w:val="0"/>
              <w:rPr>
                <w:rFonts w:ascii="Tahoma" w:eastAsia="Times New Roman" w:hAnsi="Tahoma" w:cs="Tahoma"/>
                <w:color w:val="000000" w:themeColor="text1"/>
                <w:sz w:val="24"/>
                <w:szCs w:val="24"/>
              </w:rPr>
            </w:pPr>
            <w:r w:rsidRPr="00C95272">
              <w:rPr>
                <w:rFonts w:ascii="Tahoma" w:eastAsia="Times New Roman" w:hAnsi="Tahoma" w:cs="Tahoma"/>
                <w:color w:val="000000" w:themeColor="text1"/>
                <w:sz w:val="24"/>
                <w:szCs w:val="24"/>
              </w:rPr>
              <w:t>12</w:t>
            </w:r>
          </w:p>
        </w:tc>
        <w:tc>
          <w:tcPr>
            <w:tcW w:w="5296" w:type="dxa"/>
            <w:shd w:val="clear" w:color="auto" w:fill="auto"/>
          </w:tcPr>
          <w:p w14:paraId="1C5A6E7F" w14:textId="7F687E86" w:rsidR="00945D55" w:rsidRPr="005617F0" w:rsidRDefault="00945D55" w:rsidP="00945D55">
            <w:pPr>
              <w:widowControl w:val="0"/>
              <w:rPr>
                <w:rFonts w:ascii="Tahoma" w:eastAsia="Times New Roman" w:hAnsi="Tahoma" w:cs="Tahoma"/>
                <w:color w:val="000000"/>
                <w:sz w:val="24"/>
                <w:szCs w:val="24"/>
              </w:rPr>
            </w:pPr>
            <w:r w:rsidRPr="00C95272">
              <w:rPr>
                <w:rFonts w:ascii="Tahoma" w:eastAsia="Times New Roman" w:hAnsi="Tahoma" w:cs="Tahoma"/>
                <w:color w:val="000000"/>
                <w:sz w:val="24"/>
                <w:szCs w:val="24"/>
              </w:rPr>
              <w:t>Must all projects be located on school district property, or can the charging infrastructure be located at sites owned by school bus contractors?</w:t>
            </w:r>
          </w:p>
        </w:tc>
        <w:tc>
          <w:tcPr>
            <w:tcW w:w="8465" w:type="dxa"/>
            <w:shd w:val="clear" w:color="auto" w:fill="auto"/>
          </w:tcPr>
          <w:p w14:paraId="544DB343" w14:textId="66CAD3FD" w:rsidR="00945D55" w:rsidRPr="005617F0" w:rsidRDefault="00945D55" w:rsidP="00945D55">
            <w:pPr>
              <w:rPr>
                <w:rFonts w:ascii="Tahoma" w:eastAsia="Times New Roman" w:hAnsi="Tahoma" w:cs="Tahoma"/>
                <w:color w:val="000000" w:themeColor="text1"/>
                <w:sz w:val="24"/>
                <w:szCs w:val="24"/>
              </w:rPr>
            </w:pPr>
            <w:r w:rsidRPr="674DD299">
              <w:rPr>
                <w:rFonts w:ascii="Tahoma" w:eastAsia="Times New Roman" w:hAnsi="Tahoma" w:cs="Tahoma"/>
                <w:color w:val="000000" w:themeColor="text1"/>
                <w:sz w:val="24"/>
                <w:szCs w:val="24"/>
              </w:rPr>
              <w:t xml:space="preserve">Section II.B.1 Eligible Projects </w:t>
            </w:r>
            <w:r w:rsidRPr="00C95272">
              <w:rPr>
                <w:rFonts w:ascii="Tahoma" w:eastAsia="Times New Roman" w:hAnsi="Tahoma" w:cs="Tahoma"/>
                <w:color w:val="000000" w:themeColor="text1"/>
                <w:sz w:val="24"/>
                <w:szCs w:val="24"/>
              </w:rPr>
              <w:t xml:space="preserve">has been changed in Addendum 1 to state that </w:t>
            </w:r>
            <w:r w:rsidRPr="674DD299">
              <w:rPr>
                <w:rFonts w:ascii="Tahoma" w:eastAsia="Times New Roman" w:hAnsi="Tahoma" w:cs="Tahoma"/>
                <w:color w:val="000000" w:themeColor="text1"/>
                <w:sz w:val="24"/>
                <w:szCs w:val="24"/>
              </w:rPr>
              <w:t>“</w:t>
            </w:r>
            <w:r w:rsidRPr="00C95272">
              <w:rPr>
                <w:rFonts w:ascii="Tahoma" w:eastAsia="Times New Roman" w:hAnsi="Tahoma" w:cs="Tahoma"/>
                <w:color w:val="000000" w:themeColor="text1"/>
                <w:sz w:val="24"/>
                <w:szCs w:val="24"/>
              </w:rPr>
              <w:t>All projects must deploy and demonstrate EV charging infrastructure with capabilities for bi-directional power flow at two or more locations that support school districts in California.</w:t>
            </w:r>
            <w:r w:rsidRPr="674DD299">
              <w:rPr>
                <w:rFonts w:ascii="Tahoma" w:eastAsia="Times New Roman" w:hAnsi="Tahoma" w:cs="Tahoma"/>
                <w:color w:val="000000" w:themeColor="text1"/>
                <w:sz w:val="24"/>
                <w:szCs w:val="24"/>
              </w:rPr>
              <w:t>”</w:t>
            </w:r>
            <w:r w:rsidRPr="00C95272">
              <w:rPr>
                <w:rFonts w:ascii="Tahoma" w:eastAsia="Times New Roman" w:hAnsi="Tahoma" w:cs="Tahoma"/>
                <w:color w:val="000000" w:themeColor="text1"/>
                <w:sz w:val="24"/>
                <w:szCs w:val="24"/>
              </w:rPr>
              <w:t xml:space="preserve"> </w:t>
            </w:r>
          </w:p>
        </w:tc>
      </w:tr>
      <w:tr w:rsidR="00945D55" w:rsidRPr="00271E52" w14:paraId="06927B2D" w14:textId="77777777" w:rsidTr="00644C4D">
        <w:trPr>
          <w:trHeight w:val="413"/>
        </w:trPr>
        <w:tc>
          <w:tcPr>
            <w:tcW w:w="549" w:type="dxa"/>
            <w:shd w:val="clear" w:color="auto" w:fill="auto"/>
            <w:noWrap/>
          </w:tcPr>
          <w:p w14:paraId="48C0D976" w14:textId="77777777" w:rsidR="00945D55" w:rsidRPr="00C95272" w:rsidRDefault="00945D55" w:rsidP="00945D55">
            <w:pPr>
              <w:widowControl w:val="0"/>
              <w:rPr>
                <w:rFonts w:ascii="Tahoma" w:eastAsia="Times New Roman" w:hAnsi="Tahoma" w:cs="Tahoma"/>
                <w:color w:val="000000" w:themeColor="text1"/>
                <w:sz w:val="24"/>
                <w:szCs w:val="24"/>
              </w:rPr>
            </w:pPr>
          </w:p>
        </w:tc>
        <w:tc>
          <w:tcPr>
            <w:tcW w:w="5296" w:type="dxa"/>
            <w:shd w:val="clear" w:color="auto" w:fill="B4C6E7" w:themeFill="accent1" w:themeFillTint="66"/>
          </w:tcPr>
          <w:p w14:paraId="29635C36" w14:textId="3C8C3415" w:rsidR="00945D55" w:rsidRPr="00C95272" w:rsidRDefault="00945D55" w:rsidP="00945D55">
            <w:pPr>
              <w:widowControl w:val="0"/>
              <w:rPr>
                <w:rFonts w:ascii="Tahoma" w:eastAsia="Times New Roman" w:hAnsi="Tahoma" w:cs="Tahoma"/>
                <w:color w:val="000000"/>
                <w:sz w:val="24"/>
                <w:szCs w:val="24"/>
              </w:rPr>
            </w:pPr>
            <w:r w:rsidRPr="00C95272">
              <w:rPr>
                <w:rFonts w:ascii="Tahoma" w:eastAsia="Times New Roman" w:hAnsi="Tahoma" w:cs="Tahoma"/>
                <w:b/>
                <w:color w:val="000000"/>
                <w:sz w:val="24"/>
                <w:szCs w:val="24"/>
              </w:rPr>
              <w:t>Evaluation</w:t>
            </w:r>
          </w:p>
        </w:tc>
        <w:tc>
          <w:tcPr>
            <w:tcW w:w="8465" w:type="dxa"/>
            <w:shd w:val="clear" w:color="auto" w:fill="B4C6E7" w:themeFill="accent1" w:themeFillTint="66"/>
          </w:tcPr>
          <w:p w14:paraId="63D53D03" w14:textId="77777777" w:rsidR="00945D55" w:rsidRPr="674DD299" w:rsidRDefault="00945D55" w:rsidP="00945D55">
            <w:pPr>
              <w:rPr>
                <w:rFonts w:ascii="Tahoma" w:eastAsia="Times New Roman" w:hAnsi="Tahoma" w:cs="Tahoma"/>
                <w:color w:val="000000" w:themeColor="text1"/>
                <w:sz w:val="24"/>
                <w:szCs w:val="24"/>
              </w:rPr>
            </w:pPr>
          </w:p>
        </w:tc>
      </w:tr>
      <w:tr w:rsidR="00945D55" w:rsidRPr="00271E52" w14:paraId="1ECC94F4" w14:textId="77777777" w:rsidTr="00FD59DE">
        <w:trPr>
          <w:trHeight w:val="1160"/>
        </w:trPr>
        <w:tc>
          <w:tcPr>
            <w:tcW w:w="549" w:type="dxa"/>
            <w:shd w:val="clear" w:color="auto" w:fill="auto"/>
            <w:noWrap/>
          </w:tcPr>
          <w:p w14:paraId="634835CA" w14:textId="297B232B" w:rsidR="00945D55" w:rsidRPr="00C95272" w:rsidRDefault="00945D55" w:rsidP="00945D55">
            <w:pPr>
              <w:widowControl w:val="0"/>
              <w:rPr>
                <w:rFonts w:ascii="Tahoma" w:eastAsia="Times New Roman" w:hAnsi="Tahoma" w:cs="Tahoma"/>
                <w:color w:val="000000" w:themeColor="text1"/>
                <w:sz w:val="24"/>
                <w:szCs w:val="24"/>
              </w:rPr>
            </w:pPr>
            <w:r w:rsidRPr="00C95272">
              <w:rPr>
                <w:rFonts w:ascii="Tahoma" w:eastAsia="Times New Roman" w:hAnsi="Tahoma" w:cs="Tahoma"/>
                <w:color w:val="000000" w:themeColor="text1"/>
                <w:sz w:val="24"/>
                <w:szCs w:val="24"/>
              </w:rPr>
              <w:t>13</w:t>
            </w:r>
          </w:p>
        </w:tc>
        <w:tc>
          <w:tcPr>
            <w:tcW w:w="5296" w:type="dxa"/>
            <w:shd w:val="clear" w:color="auto" w:fill="auto"/>
          </w:tcPr>
          <w:p w14:paraId="6444774C" w14:textId="7400E9E1" w:rsidR="00945D55" w:rsidRPr="00C95272" w:rsidRDefault="00945D55" w:rsidP="00945D55">
            <w:pPr>
              <w:widowControl w:val="0"/>
              <w:rPr>
                <w:rFonts w:ascii="Tahoma" w:eastAsia="Times New Roman" w:hAnsi="Tahoma" w:cs="Tahoma"/>
                <w:b/>
                <w:color w:val="000000"/>
                <w:sz w:val="24"/>
                <w:szCs w:val="24"/>
              </w:rPr>
            </w:pPr>
            <w:r w:rsidRPr="00C95272">
              <w:rPr>
                <w:rFonts w:ascii="Tahoma" w:eastAsia="Times New Roman" w:hAnsi="Tahoma" w:cs="Tahoma"/>
                <w:color w:val="000000"/>
                <w:sz w:val="24"/>
                <w:szCs w:val="24"/>
              </w:rPr>
              <w:t>How does CEC evaluate the plan and design of the project? Would microgrid management software score well?</w:t>
            </w:r>
          </w:p>
        </w:tc>
        <w:tc>
          <w:tcPr>
            <w:tcW w:w="8465" w:type="dxa"/>
            <w:shd w:val="clear" w:color="auto" w:fill="auto"/>
          </w:tcPr>
          <w:p w14:paraId="31A1948C" w14:textId="3278744C" w:rsidR="00945D55" w:rsidRPr="674DD299" w:rsidRDefault="00945D55" w:rsidP="00945D55">
            <w:pPr>
              <w:rPr>
                <w:rFonts w:ascii="Tahoma" w:eastAsia="Times New Roman" w:hAnsi="Tahoma" w:cs="Tahoma"/>
                <w:color w:val="000000" w:themeColor="text1"/>
                <w:sz w:val="24"/>
                <w:szCs w:val="24"/>
              </w:rPr>
            </w:pPr>
            <w:r w:rsidRPr="00C95272">
              <w:rPr>
                <w:rFonts w:ascii="Tahoma" w:eastAsia="Times New Roman" w:hAnsi="Tahoma" w:cs="Tahoma"/>
                <w:color w:val="000000"/>
                <w:sz w:val="24"/>
                <w:szCs w:val="24"/>
              </w:rPr>
              <w:t xml:space="preserve">Please review the </w:t>
            </w:r>
            <w:r w:rsidR="00373F1B">
              <w:rPr>
                <w:rFonts w:ascii="Tahoma" w:eastAsia="Times New Roman" w:hAnsi="Tahoma" w:cs="Tahoma"/>
                <w:color w:val="000000"/>
                <w:sz w:val="24"/>
                <w:szCs w:val="24"/>
              </w:rPr>
              <w:t>evaluation</w:t>
            </w:r>
            <w:r w:rsidR="00373F1B" w:rsidRPr="00C95272">
              <w:rPr>
                <w:rFonts w:ascii="Tahoma" w:eastAsia="Times New Roman" w:hAnsi="Tahoma" w:cs="Tahoma"/>
                <w:color w:val="000000"/>
                <w:sz w:val="24"/>
                <w:szCs w:val="24"/>
              </w:rPr>
              <w:t xml:space="preserve"> </w:t>
            </w:r>
            <w:r w:rsidRPr="00C95272">
              <w:rPr>
                <w:rFonts w:ascii="Tahoma" w:eastAsia="Times New Roman" w:hAnsi="Tahoma" w:cs="Tahoma"/>
                <w:color w:val="000000"/>
                <w:sz w:val="24"/>
                <w:szCs w:val="24"/>
              </w:rPr>
              <w:t xml:space="preserve">criteria in Section IV.E. The applicant should describe the benefit of the software to the project in relation to the </w:t>
            </w:r>
            <w:r w:rsidR="00373F1B">
              <w:rPr>
                <w:rFonts w:ascii="Tahoma" w:eastAsia="Times New Roman" w:hAnsi="Tahoma" w:cs="Tahoma"/>
                <w:color w:val="000000"/>
                <w:sz w:val="24"/>
                <w:szCs w:val="24"/>
              </w:rPr>
              <w:t>evaluation</w:t>
            </w:r>
            <w:r w:rsidR="00373F1B" w:rsidRPr="00C95272">
              <w:rPr>
                <w:rFonts w:ascii="Tahoma" w:eastAsia="Times New Roman" w:hAnsi="Tahoma" w:cs="Tahoma"/>
                <w:color w:val="000000"/>
                <w:sz w:val="24"/>
                <w:szCs w:val="24"/>
              </w:rPr>
              <w:t xml:space="preserve"> </w:t>
            </w:r>
            <w:r w:rsidRPr="00C95272">
              <w:rPr>
                <w:rFonts w:ascii="Tahoma" w:eastAsia="Times New Roman" w:hAnsi="Tahoma" w:cs="Tahoma"/>
                <w:color w:val="000000"/>
                <w:sz w:val="24"/>
                <w:szCs w:val="24"/>
              </w:rPr>
              <w:t>criteria.</w:t>
            </w:r>
          </w:p>
        </w:tc>
      </w:tr>
      <w:tr w:rsidR="00945D55" w:rsidRPr="00271E52" w14:paraId="156E2195" w14:textId="77777777" w:rsidTr="00FD59DE">
        <w:trPr>
          <w:trHeight w:val="1160"/>
        </w:trPr>
        <w:tc>
          <w:tcPr>
            <w:tcW w:w="549" w:type="dxa"/>
            <w:shd w:val="clear" w:color="auto" w:fill="auto"/>
            <w:noWrap/>
          </w:tcPr>
          <w:p w14:paraId="65E0E257" w14:textId="3D0B1C6F" w:rsidR="00945D55" w:rsidRPr="00C95272" w:rsidRDefault="00945D55" w:rsidP="00945D55">
            <w:pPr>
              <w:widowControl w:val="0"/>
              <w:rPr>
                <w:rFonts w:ascii="Tahoma" w:eastAsia="Times New Roman" w:hAnsi="Tahoma" w:cs="Tahoma"/>
                <w:color w:val="000000" w:themeColor="text1"/>
                <w:sz w:val="24"/>
                <w:szCs w:val="24"/>
              </w:rPr>
            </w:pPr>
            <w:r w:rsidRPr="00C95272">
              <w:rPr>
                <w:rFonts w:ascii="Tahoma" w:eastAsia="Times New Roman" w:hAnsi="Tahoma" w:cs="Tahoma"/>
                <w:color w:val="000000" w:themeColor="text1"/>
                <w:sz w:val="24"/>
                <w:szCs w:val="24"/>
              </w:rPr>
              <w:t>14</w:t>
            </w:r>
          </w:p>
        </w:tc>
        <w:tc>
          <w:tcPr>
            <w:tcW w:w="5296" w:type="dxa"/>
            <w:shd w:val="clear" w:color="auto" w:fill="auto"/>
          </w:tcPr>
          <w:p w14:paraId="7F581A23" w14:textId="6E4E96DA" w:rsidR="00945D55" w:rsidRPr="00C95272" w:rsidRDefault="00945D55" w:rsidP="00945D55">
            <w:pPr>
              <w:widowControl w:val="0"/>
              <w:rPr>
                <w:rFonts w:ascii="Tahoma" w:eastAsia="Times New Roman" w:hAnsi="Tahoma" w:cs="Tahoma"/>
                <w:color w:val="000000"/>
                <w:sz w:val="24"/>
                <w:szCs w:val="24"/>
              </w:rPr>
            </w:pPr>
            <w:r w:rsidRPr="00C95272">
              <w:rPr>
                <w:rFonts w:ascii="Tahoma" w:eastAsia="Times New Roman" w:hAnsi="Tahoma" w:cs="Tahoma"/>
                <w:color w:val="000000"/>
                <w:sz w:val="24"/>
                <w:szCs w:val="24"/>
              </w:rPr>
              <w:t>What are the technical criteria for project readiness?</w:t>
            </w:r>
          </w:p>
        </w:tc>
        <w:tc>
          <w:tcPr>
            <w:tcW w:w="8465" w:type="dxa"/>
            <w:shd w:val="clear" w:color="auto" w:fill="auto"/>
          </w:tcPr>
          <w:p w14:paraId="71EFBE8D" w14:textId="52125ED3" w:rsidR="00945D55" w:rsidRPr="00C95272" w:rsidRDefault="00945D55" w:rsidP="00945D55">
            <w:pPr>
              <w:rPr>
                <w:rFonts w:ascii="Tahoma" w:eastAsia="Times New Roman" w:hAnsi="Tahoma" w:cs="Tahoma"/>
                <w:color w:val="000000"/>
                <w:sz w:val="24"/>
                <w:szCs w:val="24"/>
              </w:rPr>
            </w:pPr>
            <w:r w:rsidRPr="00C95272">
              <w:rPr>
                <w:rFonts w:ascii="Tahoma" w:eastAsia="Times New Roman" w:hAnsi="Tahoma" w:cs="Tahoma"/>
                <w:color w:val="000000"/>
                <w:sz w:val="24"/>
                <w:szCs w:val="24"/>
              </w:rPr>
              <w:t xml:space="preserve">Please review the </w:t>
            </w:r>
            <w:r w:rsidR="004C7BA2">
              <w:rPr>
                <w:rFonts w:ascii="Tahoma" w:eastAsia="Times New Roman" w:hAnsi="Tahoma" w:cs="Tahoma"/>
                <w:color w:val="000000"/>
                <w:sz w:val="24"/>
                <w:szCs w:val="24"/>
              </w:rPr>
              <w:t>evaluation</w:t>
            </w:r>
            <w:r w:rsidR="004C7BA2" w:rsidRPr="00C95272">
              <w:rPr>
                <w:rFonts w:ascii="Tahoma" w:eastAsia="Times New Roman" w:hAnsi="Tahoma" w:cs="Tahoma"/>
                <w:color w:val="000000"/>
                <w:sz w:val="24"/>
                <w:szCs w:val="24"/>
              </w:rPr>
              <w:t xml:space="preserve"> </w:t>
            </w:r>
            <w:r w:rsidRPr="00C95272">
              <w:rPr>
                <w:rFonts w:ascii="Tahoma" w:eastAsia="Times New Roman" w:hAnsi="Tahoma" w:cs="Tahoma"/>
                <w:color w:val="000000"/>
                <w:sz w:val="24"/>
                <w:szCs w:val="24"/>
              </w:rPr>
              <w:t xml:space="preserve">criteria in Section </w:t>
            </w:r>
            <w:proofErr w:type="spellStart"/>
            <w:r w:rsidRPr="00C95272">
              <w:rPr>
                <w:rFonts w:ascii="Tahoma" w:eastAsia="Times New Roman" w:hAnsi="Tahoma" w:cs="Tahoma"/>
                <w:color w:val="000000"/>
                <w:sz w:val="24"/>
                <w:szCs w:val="24"/>
              </w:rPr>
              <w:t>IV.E.b</w:t>
            </w:r>
            <w:proofErr w:type="spellEnd"/>
            <w:r w:rsidRPr="00C95272">
              <w:rPr>
                <w:rFonts w:ascii="Tahoma" w:eastAsia="Times New Roman" w:hAnsi="Tahoma" w:cs="Tahoma"/>
                <w:color w:val="000000"/>
                <w:sz w:val="24"/>
                <w:szCs w:val="24"/>
              </w:rPr>
              <w:t>.</w:t>
            </w:r>
            <w:r>
              <w:rPr>
                <w:rFonts w:ascii="Tahoma" w:eastAsia="Times New Roman" w:hAnsi="Tahoma" w:cs="Tahoma"/>
                <w:color w:val="000000"/>
                <w:sz w:val="24"/>
                <w:szCs w:val="24"/>
              </w:rPr>
              <w:t xml:space="preserve"> for Project Readiness.</w:t>
            </w:r>
          </w:p>
        </w:tc>
      </w:tr>
      <w:tr w:rsidR="00945D55" w:rsidRPr="00271E52" w14:paraId="33DC67AA" w14:textId="77777777" w:rsidTr="00C81730">
        <w:trPr>
          <w:trHeight w:val="404"/>
        </w:trPr>
        <w:tc>
          <w:tcPr>
            <w:tcW w:w="549" w:type="dxa"/>
            <w:shd w:val="clear" w:color="auto" w:fill="auto"/>
            <w:noWrap/>
          </w:tcPr>
          <w:p w14:paraId="5BD81307" w14:textId="77777777" w:rsidR="00945D55" w:rsidRPr="00C95272" w:rsidRDefault="00945D55" w:rsidP="00945D55">
            <w:pPr>
              <w:widowControl w:val="0"/>
              <w:rPr>
                <w:rFonts w:ascii="Tahoma" w:eastAsia="Times New Roman" w:hAnsi="Tahoma" w:cs="Tahoma"/>
                <w:color w:val="000000" w:themeColor="text1"/>
                <w:sz w:val="24"/>
                <w:szCs w:val="24"/>
              </w:rPr>
            </w:pPr>
          </w:p>
        </w:tc>
        <w:tc>
          <w:tcPr>
            <w:tcW w:w="5296" w:type="dxa"/>
            <w:shd w:val="clear" w:color="auto" w:fill="B4C6E7" w:themeFill="accent1" w:themeFillTint="66"/>
          </w:tcPr>
          <w:p w14:paraId="0B5ECB70" w14:textId="5668D167" w:rsidR="00945D55" w:rsidRPr="00C95272" w:rsidRDefault="00945D55" w:rsidP="00945D55">
            <w:pPr>
              <w:widowControl w:val="0"/>
              <w:rPr>
                <w:rFonts w:ascii="Tahoma" w:eastAsia="Times New Roman" w:hAnsi="Tahoma" w:cs="Tahoma"/>
                <w:color w:val="000000"/>
                <w:sz w:val="24"/>
                <w:szCs w:val="24"/>
              </w:rPr>
            </w:pPr>
            <w:r w:rsidRPr="00E72F24">
              <w:rPr>
                <w:rFonts w:ascii="Tahoma" w:eastAsia="Times New Roman" w:hAnsi="Tahoma" w:cs="Tahoma"/>
                <w:b/>
                <w:color w:val="000000"/>
                <w:sz w:val="24"/>
                <w:szCs w:val="24"/>
              </w:rPr>
              <w:t>Match</w:t>
            </w:r>
          </w:p>
        </w:tc>
        <w:tc>
          <w:tcPr>
            <w:tcW w:w="8465" w:type="dxa"/>
            <w:shd w:val="clear" w:color="auto" w:fill="B4C6E7" w:themeFill="accent1" w:themeFillTint="66"/>
          </w:tcPr>
          <w:p w14:paraId="4EAF3DA3" w14:textId="77777777" w:rsidR="00945D55" w:rsidRPr="00C95272" w:rsidRDefault="00945D55" w:rsidP="00945D55">
            <w:pPr>
              <w:rPr>
                <w:rFonts w:ascii="Tahoma" w:eastAsia="Times New Roman" w:hAnsi="Tahoma" w:cs="Tahoma"/>
                <w:color w:val="000000"/>
                <w:sz w:val="24"/>
                <w:szCs w:val="24"/>
              </w:rPr>
            </w:pPr>
          </w:p>
        </w:tc>
      </w:tr>
      <w:tr w:rsidR="00945D55" w:rsidRPr="00271E52" w14:paraId="3661DFBD" w14:textId="77777777" w:rsidTr="00FD59DE">
        <w:trPr>
          <w:trHeight w:val="1160"/>
        </w:trPr>
        <w:tc>
          <w:tcPr>
            <w:tcW w:w="549" w:type="dxa"/>
            <w:shd w:val="clear" w:color="auto" w:fill="auto"/>
            <w:noWrap/>
          </w:tcPr>
          <w:p w14:paraId="7494663D" w14:textId="0E364818" w:rsidR="00945D55" w:rsidRPr="00C95272" w:rsidRDefault="00945D55" w:rsidP="00945D55">
            <w:pPr>
              <w:widowControl w:val="0"/>
              <w:rPr>
                <w:rFonts w:ascii="Tahoma" w:eastAsia="Times New Roman" w:hAnsi="Tahoma" w:cs="Tahoma"/>
                <w:color w:val="000000" w:themeColor="text1"/>
                <w:sz w:val="24"/>
                <w:szCs w:val="24"/>
              </w:rPr>
            </w:pPr>
            <w:r w:rsidRPr="00E72F24">
              <w:rPr>
                <w:rFonts w:ascii="Tahoma" w:eastAsia="Times New Roman" w:hAnsi="Tahoma" w:cs="Tahoma"/>
                <w:color w:val="000000" w:themeColor="text1"/>
                <w:sz w:val="24"/>
                <w:szCs w:val="24"/>
              </w:rPr>
              <w:t>1</w:t>
            </w:r>
            <w:r>
              <w:rPr>
                <w:rFonts w:ascii="Tahoma" w:eastAsia="Times New Roman" w:hAnsi="Tahoma" w:cs="Tahoma"/>
                <w:color w:val="000000" w:themeColor="text1"/>
                <w:sz w:val="24"/>
                <w:szCs w:val="24"/>
              </w:rPr>
              <w:t>5</w:t>
            </w:r>
          </w:p>
        </w:tc>
        <w:tc>
          <w:tcPr>
            <w:tcW w:w="5296" w:type="dxa"/>
            <w:shd w:val="clear" w:color="auto" w:fill="auto"/>
          </w:tcPr>
          <w:p w14:paraId="537874DE" w14:textId="77777777" w:rsidR="00945D55" w:rsidRPr="00E72F24" w:rsidRDefault="00945D55" w:rsidP="00945D55">
            <w:pPr>
              <w:rPr>
                <w:rFonts w:ascii="Tahoma" w:eastAsia="Times New Roman" w:hAnsi="Tahoma" w:cs="Tahoma"/>
                <w:color w:val="000000" w:themeColor="text1"/>
                <w:sz w:val="24"/>
                <w:szCs w:val="24"/>
              </w:rPr>
            </w:pPr>
            <w:r w:rsidRPr="00E72F24">
              <w:rPr>
                <w:rFonts w:ascii="Tahoma" w:eastAsia="Times New Roman" w:hAnsi="Tahoma" w:cs="Tahoma"/>
                <w:color w:val="000000" w:themeColor="text1"/>
                <w:sz w:val="24"/>
                <w:szCs w:val="24"/>
              </w:rPr>
              <w:t>Is the 10% match required as an upfront fee before being awarded? Can the 10% cost share be contributed by the applicant only once they have been awarded?</w:t>
            </w:r>
          </w:p>
          <w:p w14:paraId="7C231FED" w14:textId="77777777" w:rsidR="00945D55" w:rsidRPr="00C95272" w:rsidRDefault="00945D55" w:rsidP="00945D55">
            <w:pPr>
              <w:widowControl w:val="0"/>
              <w:rPr>
                <w:rFonts w:ascii="Tahoma" w:eastAsia="Times New Roman" w:hAnsi="Tahoma" w:cs="Tahoma"/>
                <w:color w:val="000000"/>
                <w:sz w:val="24"/>
                <w:szCs w:val="24"/>
              </w:rPr>
            </w:pPr>
          </w:p>
        </w:tc>
        <w:tc>
          <w:tcPr>
            <w:tcW w:w="8465" w:type="dxa"/>
            <w:shd w:val="clear" w:color="auto" w:fill="auto"/>
          </w:tcPr>
          <w:p w14:paraId="6A8CCB58" w14:textId="38617CFF" w:rsidR="00945D55" w:rsidRPr="00C95272" w:rsidRDefault="00945D55" w:rsidP="00945D55">
            <w:pPr>
              <w:rPr>
                <w:rFonts w:ascii="Tahoma" w:eastAsia="Times New Roman" w:hAnsi="Tahoma" w:cs="Tahoma"/>
                <w:color w:val="000000"/>
                <w:sz w:val="24"/>
                <w:szCs w:val="24"/>
              </w:rPr>
            </w:pPr>
            <w:r w:rsidRPr="00E72F24">
              <w:rPr>
                <w:rFonts w:ascii="Tahoma" w:eastAsia="Times New Roman" w:hAnsi="Tahoma" w:cs="Tahoma"/>
                <w:color w:val="000000" w:themeColor="text1"/>
                <w:sz w:val="24"/>
                <w:szCs w:val="24"/>
              </w:rPr>
              <w:t xml:space="preserve">No, the 10% match requirement is not an upfront fee. Match is funding, in addition to the </w:t>
            </w:r>
            <w:r w:rsidR="00296F5F">
              <w:rPr>
                <w:rFonts w:ascii="Tahoma" w:eastAsia="Times New Roman" w:hAnsi="Tahoma" w:cs="Tahoma"/>
                <w:color w:val="000000" w:themeColor="text1"/>
                <w:sz w:val="24"/>
                <w:szCs w:val="24"/>
              </w:rPr>
              <w:t>CEC</w:t>
            </w:r>
            <w:r w:rsidRPr="00E72F24">
              <w:rPr>
                <w:rFonts w:ascii="Tahoma" w:eastAsia="Times New Roman" w:hAnsi="Tahoma" w:cs="Tahoma"/>
                <w:color w:val="000000" w:themeColor="text1"/>
                <w:sz w:val="24"/>
                <w:szCs w:val="24"/>
              </w:rPr>
              <w:t xml:space="preserve"> award amount, that is being provided by the </w:t>
            </w:r>
            <w:r w:rsidR="007B1C96">
              <w:rPr>
                <w:rFonts w:ascii="Tahoma" w:eastAsia="Times New Roman" w:hAnsi="Tahoma" w:cs="Tahoma"/>
                <w:color w:val="000000" w:themeColor="text1"/>
                <w:sz w:val="24"/>
                <w:szCs w:val="24"/>
              </w:rPr>
              <w:t>applicant</w:t>
            </w:r>
            <w:r w:rsidR="007B1C96" w:rsidRPr="00E72F24">
              <w:rPr>
                <w:rFonts w:ascii="Tahoma" w:eastAsia="Times New Roman" w:hAnsi="Tahoma" w:cs="Tahoma"/>
                <w:color w:val="000000" w:themeColor="text1"/>
                <w:sz w:val="24"/>
                <w:szCs w:val="24"/>
              </w:rPr>
              <w:t xml:space="preserve"> </w:t>
            </w:r>
            <w:r w:rsidRPr="00E72F24">
              <w:rPr>
                <w:rFonts w:ascii="Tahoma" w:eastAsia="Times New Roman" w:hAnsi="Tahoma" w:cs="Tahoma"/>
                <w:color w:val="000000" w:themeColor="text1"/>
                <w:sz w:val="24"/>
                <w:szCs w:val="24"/>
              </w:rPr>
              <w:t>to support the project. It should be documented in the budget documents, application form, and letters of support. Please review Section II. D. for more information on match.</w:t>
            </w:r>
          </w:p>
        </w:tc>
      </w:tr>
      <w:tr w:rsidR="00945D55" w:rsidRPr="00271E52" w14:paraId="4C32D235" w14:textId="77777777" w:rsidTr="00FD59DE">
        <w:trPr>
          <w:trHeight w:val="1160"/>
        </w:trPr>
        <w:tc>
          <w:tcPr>
            <w:tcW w:w="549" w:type="dxa"/>
            <w:shd w:val="clear" w:color="auto" w:fill="auto"/>
            <w:noWrap/>
          </w:tcPr>
          <w:p w14:paraId="58F86B25" w14:textId="77777777" w:rsidR="00945D55" w:rsidRPr="00E72F24" w:rsidRDefault="00945D55" w:rsidP="00945D55">
            <w:pPr>
              <w:rPr>
                <w:rFonts w:ascii="Tahoma" w:eastAsia="Times New Roman" w:hAnsi="Tahoma" w:cs="Tahoma"/>
                <w:color w:val="000000"/>
                <w:sz w:val="24"/>
                <w:szCs w:val="24"/>
              </w:rPr>
            </w:pPr>
            <w:r w:rsidRPr="00E72F24">
              <w:rPr>
                <w:rFonts w:ascii="Tahoma" w:eastAsia="Times New Roman" w:hAnsi="Tahoma" w:cs="Tahoma"/>
                <w:color w:val="000000" w:themeColor="text1"/>
                <w:sz w:val="24"/>
                <w:szCs w:val="24"/>
              </w:rPr>
              <w:t>1</w:t>
            </w:r>
            <w:r>
              <w:rPr>
                <w:rFonts w:ascii="Tahoma" w:eastAsia="Times New Roman" w:hAnsi="Tahoma" w:cs="Tahoma"/>
                <w:color w:val="000000" w:themeColor="text1"/>
                <w:sz w:val="24"/>
                <w:szCs w:val="24"/>
              </w:rPr>
              <w:t>6</w:t>
            </w:r>
          </w:p>
          <w:p w14:paraId="3ACF3CF4" w14:textId="77777777" w:rsidR="00945D55" w:rsidRPr="00C95272" w:rsidRDefault="00945D55" w:rsidP="00945D55">
            <w:pPr>
              <w:widowControl w:val="0"/>
              <w:rPr>
                <w:rFonts w:ascii="Tahoma" w:eastAsia="Times New Roman" w:hAnsi="Tahoma" w:cs="Tahoma"/>
                <w:color w:val="000000" w:themeColor="text1"/>
                <w:sz w:val="24"/>
                <w:szCs w:val="24"/>
              </w:rPr>
            </w:pPr>
          </w:p>
        </w:tc>
        <w:tc>
          <w:tcPr>
            <w:tcW w:w="5296" w:type="dxa"/>
            <w:shd w:val="clear" w:color="auto" w:fill="auto"/>
          </w:tcPr>
          <w:p w14:paraId="3B622792" w14:textId="4D336267" w:rsidR="00945D55" w:rsidRPr="00C95272" w:rsidRDefault="00945D55" w:rsidP="00945D55">
            <w:pPr>
              <w:widowControl w:val="0"/>
              <w:rPr>
                <w:rFonts w:ascii="Tahoma" w:eastAsia="Times New Roman" w:hAnsi="Tahoma" w:cs="Tahoma"/>
                <w:color w:val="000000"/>
                <w:sz w:val="24"/>
                <w:szCs w:val="24"/>
              </w:rPr>
            </w:pPr>
            <w:r w:rsidRPr="00E72F24">
              <w:rPr>
                <w:rFonts w:ascii="Tahoma" w:eastAsia="Times New Roman" w:hAnsi="Tahoma" w:cs="Tahoma"/>
                <w:color w:val="000000" w:themeColor="text1"/>
                <w:sz w:val="24"/>
                <w:szCs w:val="24"/>
              </w:rPr>
              <w:t>What type of document</w:t>
            </w:r>
            <w:r>
              <w:rPr>
                <w:rFonts w:ascii="Tahoma" w:eastAsia="Times New Roman" w:hAnsi="Tahoma" w:cs="Tahoma"/>
                <w:color w:val="000000" w:themeColor="text1"/>
                <w:sz w:val="24"/>
                <w:szCs w:val="24"/>
              </w:rPr>
              <w:t>ation</w:t>
            </w:r>
            <w:r w:rsidRPr="00E72F24">
              <w:rPr>
                <w:rFonts w:ascii="Tahoma" w:eastAsia="Times New Roman" w:hAnsi="Tahoma" w:cs="Tahoma"/>
                <w:color w:val="000000" w:themeColor="text1"/>
                <w:sz w:val="24"/>
                <w:szCs w:val="24"/>
              </w:rPr>
              <w:t xml:space="preserve"> would be eligible to demonstrate voluntary work for the equivalent amount of money?</w:t>
            </w:r>
          </w:p>
        </w:tc>
        <w:tc>
          <w:tcPr>
            <w:tcW w:w="8465" w:type="dxa"/>
            <w:shd w:val="clear" w:color="auto" w:fill="auto"/>
          </w:tcPr>
          <w:p w14:paraId="3F94D817" w14:textId="4752DBD7" w:rsidR="00945D55" w:rsidRPr="00C95272" w:rsidRDefault="00945D55" w:rsidP="00945D55">
            <w:pPr>
              <w:rPr>
                <w:rFonts w:ascii="Tahoma" w:eastAsia="Times New Roman" w:hAnsi="Tahoma" w:cs="Tahoma"/>
                <w:color w:val="000000"/>
                <w:sz w:val="24"/>
                <w:szCs w:val="24"/>
              </w:rPr>
            </w:pPr>
            <w:r w:rsidRPr="0F80E347">
              <w:rPr>
                <w:rFonts w:ascii="Tahoma" w:eastAsia="Tahoma" w:hAnsi="Tahoma" w:cs="Tahoma"/>
                <w:sz w:val="24"/>
                <w:szCs w:val="24"/>
              </w:rPr>
              <w:t xml:space="preserve">Applicant in-kind match share can be in the form of volunteer labor, real property, existing equipment, existing supplies, services provided by a third-party or </w:t>
            </w:r>
            <w:r>
              <w:rPr>
                <w:rFonts w:ascii="Tahoma" w:eastAsia="Tahoma" w:hAnsi="Tahoma" w:cs="Tahoma"/>
                <w:sz w:val="24"/>
                <w:szCs w:val="24"/>
              </w:rPr>
              <w:t>subrecipient</w:t>
            </w:r>
            <w:r w:rsidRPr="0F80E347">
              <w:rPr>
                <w:rFonts w:ascii="Tahoma" w:eastAsia="Tahoma" w:hAnsi="Tahoma" w:cs="Tahoma"/>
                <w:sz w:val="24"/>
                <w:szCs w:val="24"/>
              </w:rPr>
              <w:t>, and other expendable property. The value of in-kind match is based on the fair market value of the goods and services provided at the time it is claimed as match. In-kind match share must be included in the approved agreement budget and supported with appropriate documentation. Cost allocations must be reasonable and allocable to the proposed project.</w:t>
            </w:r>
            <w:r>
              <w:rPr>
                <w:rFonts w:ascii="Tahoma" w:eastAsia="Tahoma" w:hAnsi="Tahoma" w:cs="Tahoma"/>
                <w:sz w:val="24"/>
                <w:szCs w:val="24"/>
              </w:rPr>
              <w:t xml:space="preserve"> </w:t>
            </w:r>
            <w:r w:rsidRPr="00E72F24">
              <w:rPr>
                <w:rFonts w:ascii="Tahoma" w:eastAsia="Times New Roman" w:hAnsi="Tahoma" w:cs="Tahoma"/>
                <w:color w:val="000000" w:themeColor="text1"/>
                <w:sz w:val="24"/>
                <w:szCs w:val="24"/>
              </w:rPr>
              <w:t xml:space="preserve">More information on Direct Labor Budget Considerations can be found on the ECAMS Budget Category Guidance at </w:t>
            </w:r>
            <w:hyperlink r:id="rId13" w:history="1">
              <w:r w:rsidRPr="00E72F24">
                <w:rPr>
                  <w:rStyle w:val="Hyperlink"/>
                  <w:rFonts w:ascii="Tahoma" w:eastAsia="Times New Roman" w:hAnsi="Tahoma" w:cs="Tahoma"/>
                  <w:sz w:val="24"/>
                  <w:szCs w:val="24"/>
                </w:rPr>
                <w:t>https://www.energy.ca.gov/funding-opportunities/funding-resources/ecams-resources</w:t>
              </w:r>
            </w:hyperlink>
            <w:r w:rsidRPr="00E72F24">
              <w:rPr>
                <w:rStyle w:val="Hyperlink"/>
                <w:rFonts w:ascii="Tahoma" w:eastAsia="Times New Roman" w:hAnsi="Tahoma" w:cs="Tahoma"/>
                <w:color w:val="auto"/>
                <w:sz w:val="24"/>
                <w:szCs w:val="24"/>
                <w:u w:val="none"/>
              </w:rPr>
              <w:t>.</w:t>
            </w:r>
          </w:p>
        </w:tc>
      </w:tr>
      <w:tr w:rsidR="00945D55" w:rsidRPr="00271E52" w14:paraId="031C26B8" w14:textId="77777777" w:rsidTr="00644C4D">
        <w:trPr>
          <w:trHeight w:val="386"/>
        </w:trPr>
        <w:tc>
          <w:tcPr>
            <w:tcW w:w="549" w:type="dxa"/>
            <w:shd w:val="clear" w:color="auto" w:fill="auto"/>
            <w:noWrap/>
          </w:tcPr>
          <w:p w14:paraId="3292946E" w14:textId="77777777" w:rsidR="00945D55" w:rsidRPr="00C95272" w:rsidRDefault="00945D55" w:rsidP="00945D55">
            <w:pPr>
              <w:widowControl w:val="0"/>
              <w:rPr>
                <w:rFonts w:ascii="Tahoma" w:eastAsia="Times New Roman" w:hAnsi="Tahoma" w:cs="Tahoma"/>
                <w:color w:val="000000" w:themeColor="text1"/>
                <w:sz w:val="24"/>
                <w:szCs w:val="24"/>
              </w:rPr>
            </w:pPr>
          </w:p>
        </w:tc>
        <w:tc>
          <w:tcPr>
            <w:tcW w:w="5296" w:type="dxa"/>
            <w:shd w:val="clear" w:color="auto" w:fill="B4C6E7" w:themeFill="accent1" w:themeFillTint="66"/>
          </w:tcPr>
          <w:p w14:paraId="3C550B7D" w14:textId="50C89973" w:rsidR="00945D55" w:rsidRPr="00C95272" w:rsidRDefault="00945D55" w:rsidP="00945D55">
            <w:pPr>
              <w:widowControl w:val="0"/>
              <w:rPr>
                <w:rFonts w:ascii="Tahoma" w:eastAsia="Times New Roman" w:hAnsi="Tahoma" w:cs="Tahoma"/>
                <w:color w:val="000000"/>
                <w:sz w:val="24"/>
                <w:szCs w:val="24"/>
              </w:rPr>
            </w:pPr>
            <w:r w:rsidRPr="00E72F24">
              <w:rPr>
                <w:rFonts w:ascii="Tahoma" w:eastAsia="Times New Roman" w:hAnsi="Tahoma" w:cs="Tahoma"/>
                <w:b/>
                <w:color w:val="000000"/>
                <w:sz w:val="24"/>
                <w:szCs w:val="24"/>
              </w:rPr>
              <w:t>Mechanics</w:t>
            </w:r>
          </w:p>
        </w:tc>
        <w:tc>
          <w:tcPr>
            <w:tcW w:w="8465" w:type="dxa"/>
            <w:shd w:val="clear" w:color="auto" w:fill="B4C6E7" w:themeFill="accent1" w:themeFillTint="66"/>
          </w:tcPr>
          <w:p w14:paraId="25A697D9" w14:textId="77777777" w:rsidR="00945D55" w:rsidRPr="00C95272" w:rsidRDefault="00945D55" w:rsidP="00945D55">
            <w:pPr>
              <w:rPr>
                <w:rFonts w:ascii="Tahoma" w:eastAsia="Times New Roman" w:hAnsi="Tahoma" w:cs="Tahoma"/>
                <w:color w:val="000000"/>
                <w:sz w:val="24"/>
                <w:szCs w:val="24"/>
              </w:rPr>
            </w:pPr>
          </w:p>
        </w:tc>
      </w:tr>
      <w:tr w:rsidR="00945D55" w:rsidRPr="00271E52" w14:paraId="4CF642B0" w14:textId="77777777" w:rsidTr="00FD59DE">
        <w:trPr>
          <w:trHeight w:val="1160"/>
        </w:trPr>
        <w:tc>
          <w:tcPr>
            <w:tcW w:w="549" w:type="dxa"/>
            <w:shd w:val="clear" w:color="auto" w:fill="auto"/>
            <w:noWrap/>
          </w:tcPr>
          <w:p w14:paraId="7D4CF15D" w14:textId="1E693CC5" w:rsidR="00945D55" w:rsidRPr="00C95272" w:rsidRDefault="00945D55" w:rsidP="00945D55">
            <w:pPr>
              <w:widowControl w:val="0"/>
              <w:rPr>
                <w:rFonts w:ascii="Tahoma" w:eastAsia="Times New Roman" w:hAnsi="Tahoma" w:cs="Tahoma"/>
                <w:color w:val="000000" w:themeColor="text1"/>
                <w:sz w:val="24"/>
                <w:szCs w:val="24"/>
              </w:rPr>
            </w:pPr>
            <w:r w:rsidRPr="00E72F24">
              <w:rPr>
                <w:rFonts w:ascii="Tahoma" w:eastAsia="Times New Roman" w:hAnsi="Tahoma" w:cs="Tahoma"/>
                <w:color w:val="000000" w:themeColor="text1"/>
                <w:sz w:val="24"/>
                <w:szCs w:val="24"/>
              </w:rPr>
              <w:t>18</w:t>
            </w:r>
          </w:p>
        </w:tc>
        <w:tc>
          <w:tcPr>
            <w:tcW w:w="5296" w:type="dxa"/>
            <w:shd w:val="clear" w:color="auto" w:fill="auto"/>
          </w:tcPr>
          <w:p w14:paraId="0BD48A67" w14:textId="464D1B72" w:rsidR="00945D55" w:rsidRPr="00E72F24" w:rsidRDefault="00945D55" w:rsidP="00945D55">
            <w:pPr>
              <w:widowControl w:val="0"/>
              <w:rPr>
                <w:rFonts w:ascii="Tahoma" w:eastAsia="Times New Roman" w:hAnsi="Tahoma" w:cs="Tahoma"/>
                <w:b/>
                <w:color w:val="000000"/>
                <w:sz w:val="24"/>
                <w:szCs w:val="24"/>
              </w:rPr>
            </w:pPr>
            <w:r w:rsidRPr="00E72F24">
              <w:rPr>
                <w:rFonts w:ascii="Tahoma" w:eastAsia="Times New Roman" w:hAnsi="Tahoma" w:cs="Tahoma"/>
                <w:color w:val="000000"/>
                <w:sz w:val="24"/>
                <w:szCs w:val="24"/>
              </w:rPr>
              <w:t>When will the presentation be posted?</w:t>
            </w:r>
          </w:p>
        </w:tc>
        <w:tc>
          <w:tcPr>
            <w:tcW w:w="8465" w:type="dxa"/>
            <w:shd w:val="clear" w:color="auto" w:fill="auto"/>
          </w:tcPr>
          <w:p w14:paraId="73CE5094" w14:textId="611F7ABE" w:rsidR="00945D55" w:rsidRPr="00C95272" w:rsidRDefault="71CFFC77" w:rsidP="00945D55">
            <w:pPr>
              <w:rPr>
                <w:rFonts w:ascii="Tahoma" w:eastAsia="Times New Roman" w:hAnsi="Tahoma" w:cs="Tahoma"/>
                <w:color w:val="000000"/>
                <w:sz w:val="24"/>
                <w:szCs w:val="24"/>
              </w:rPr>
            </w:pPr>
            <w:r w:rsidRPr="77993016">
              <w:rPr>
                <w:rFonts w:ascii="Tahoma" w:eastAsia="Times New Roman" w:hAnsi="Tahoma" w:cs="Tahoma"/>
                <w:color w:val="000000" w:themeColor="text1"/>
                <w:sz w:val="24"/>
                <w:szCs w:val="24"/>
              </w:rPr>
              <w:t xml:space="preserve">The presentation was posted on April 25, 2023, and can be found at </w:t>
            </w:r>
            <w:hyperlink r:id="rId14" w:history="1">
              <w:r w:rsidR="5CF972C5" w:rsidRPr="77993016">
                <w:rPr>
                  <w:rStyle w:val="Hyperlink"/>
                  <w:rFonts w:ascii="Tahoma" w:eastAsia="Times New Roman" w:hAnsi="Tahoma" w:cs="Tahoma"/>
                  <w:sz w:val="24"/>
                  <w:szCs w:val="24"/>
                </w:rPr>
                <w:t>https://www.energy.ca.gov/event/funding-workshop/2023-04/pre-application-workshop-gfo-22-612-electric-school-bus-bi</w:t>
              </w:r>
            </w:hyperlink>
            <w:r w:rsidR="5CF972C5" w:rsidRPr="77993016">
              <w:rPr>
                <w:rFonts w:ascii="Tahoma" w:eastAsia="Times New Roman" w:hAnsi="Tahoma" w:cs="Tahoma"/>
                <w:color w:val="000000" w:themeColor="text1"/>
                <w:sz w:val="24"/>
                <w:szCs w:val="24"/>
              </w:rPr>
              <w:t xml:space="preserve"> </w:t>
            </w:r>
            <w:r w:rsidRPr="77993016">
              <w:rPr>
                <w:rStyle w:val="Hyperlink"/>
                <w:rFonts w:ascii="Tahoma" w:eastAsia="Times New Roman" w:hAnsi="Tahoma" w:cs="Tahoma"/>
                <w:color w:val="auto"/>
                <w:sz w:val="24"/>
                <w:szCs w:val="24"/>
                <w:u w:val="none"/>
              </w:rPr>
              <w:t>.</w:t>
            </w:r>
            <w:r w:rsidRPr="77993016">
              <w:rPr>
                <w:rFonts w:ascii="Tahoma" w:eastAsia="Times New Roman" w:hAnsi="Tahoma" w:cs="Tahoma"/>
                <w:sz w:val="24"/>
                <w:szCs w:val="24"/>
              </w:rPr>
              <w:t xml:space="preserve"> </w:t>
            </w:r>
          </w:p>
        </w:tc>
      </w:tr>
      <w:tr w:rsidR="00945D55" w:rsidRPr="00271E52" w14:paraId="195607C9" w14:textId="77777777" w:rsidTr="00FD59DE">
        <w:trPr>
          <w:trHeight w:val="1160"/>
        </w:trPr>
        <w:tc>
          <w:tcPr>
            <w:tcW w:w="549" w:type="dxa"/>
            <w:shd w:val="clear" w:color="auto" w:fill="auto"/>
            <w:noWrap/>
          </w:tcPr>
          <w:p w14:paraId="4A47D937" w14:textId="14757566" w:rsidR="00945D55" w:rsidRPr="00E72F24" w:rsidRDefault="00945D55" w:rsidP="00945D55">
            <w:pPr>
              <w:widowControl w:val="0"/>
              <w:rPr>
                <w:rFonts w:ascii="Tahoma" w:eastAsia="Times New Roman" w:hAnsi="Tahoma" w:cs="Tahoma"/>
                <w:color w:val="000000" w:themeColor="text1"/>
                <w:sz w:val="24"/>
                <w:szCs w:val="24"/>
              </w:rPr>
            </w:pPr>
            <w:r w:rsidRPr="00E72F24">
              <w:rPr>
                <w:rFonts w:ascii="Tahoma" w:eastAsia="Times New Roman" w:hAnsi="Tahoma" w:cs="Tahoma"/>
                <w:color w:val="000000" w:themeColor="text1"/>
                <w:sz w:val="24"/>
                <w:szCs w:val="24"/>
              </w:rPr>
              <w:t>19</w:t>
            </w:r>
          </w:p>
        </w:tc>
        <w:tc>
          <w:tcPr>
            <w:tcW w:w="5296" w:type="dxa"/>
            <w:shd w:val="clear" w:color="auto" w:fill="auto"/>
          </w:tcPr>
          <w:p w14:paraId="4164E494" w14:textId="7925998D" w:rsidR="00945D55" w:rsidRPr="00E72F24" w:rsidRDefault="00945D55" w:rsidP="00945D55">
            <w:pPr>
              <w:widowControl w:val="0"/>
              <w:rPr>
                <w:rFonts w:ascii="Tahoma" w:eastAsia="Times New Roman" w:hAnsi="Tahoma" w:cs="Tahoma"/>
                <w:color w:val="000000"/>
                <w:sz w:val="24"/>
                <w:szCs w:val="24"/>
              </w:rPr>
            </w:pPr>
            <w:r w:rsidRPr="00E72F24">
              <w:rPr>
                <w:rFonts w:ascii="Tahoma" w:eastAsia="Times New Roman" w:hAnsi="Tahoma" w:cs="Tahoma"/>
                <w:color w:val="000000"/>
                <w:sz w:val="24"/>
                <w:szCs w:val="24"/>
              </w:rPr>
              <w:t>Is there a list of installers that school districts can contact and coordinate with?</w:t>
            </w:r>
          </w:p>
        </w:tc>
        <w:tc>
          <w:tcPr>
            <w:tcW w:w="8465" w:type="dxa"/>
            <w:shd w:val="clear" w:color="auto" w:fill="auto"/>
          </w:tcPr>
          <w:p w14:paraId="3280ABB6" w14:textId="22E00488" w:rsidR="00945D55" w:rsidRPr="00E72F24" w:rsidRDefault="40567E1A" w:rsidP="00945D55">
            <w:pPr>
              <w:rPr>
                <w:rFonts w:ascii="Tahoma" w:eastAsia="Times New Roman" w:hAnsi="Tahoma" w:cs="Tahoma"/>
                <w:color w:val="000000"/>
                <w:sz w:val="24"/>
                <w:szCs w:val="24"/>
              </w:rPr>
            </w:pPr>
            <w:r w:rsidRPr="77993016">
              <w:rPr>
                <w:rFonts w:ascii="Tahoma" w:eastAsia="Times New Roman" w:hAnsi="Tahoma" w:cs="Tahoma"/>
                <w:color w:val="000000" w:themeColor="text1"/>
                <w:sz w:val="24"/>
                <w:szCs w:val="24"/>
              </w:rPr>
              <w:t xml:space="preserve">The participant list for this workshop is located at </w:t>
            </w:r>
            <w:hyperlink r:id="rId15" w:history="1">
              <w:r w:rsidR="5EE0CDE1" w:rsidRPr="77993016">
                <w:rPr>
                  <w:rStyle w:val="Hyperlink"/>
                  <w:rFonts w:ascii="Tahoma" w:eastAsia="Times New Roman" w:hAnsi="Tahoma" w:cs="Tahoma"/>
                  <w:sz w:val="24"/>
                  <w:szCs w:val="24"/>
                </w:rPr>
                <w:t>https://www.energy.ca.gov/event/funding-workshop/2023-04/pre-application-workshop-gfo-22-612-electric-school-bus-bi</w:t>
              </w:r>
            </w:hyperlink>
            <w:r w:rsidR="5EE0CDE1" w:rsidRPr="77993016">
              <w:rPr>
                <w:rFonts w:ascii="Tahoma" w:eastAsia="Times New Roman" w:hAnsi="Tahoma" w:cs="Tahoma"/>
                <w:color w:val="000000" w:themeColor="text1"/>
                <w:sz w:val="24"/>
                <w:szCs w:val="24"/>
              </w:rPr>
              <w:t xml:space="preserve"> </w:t>
            </w:r>
            <w:r w:rsidRPr="77993016">
              <w:rPr>
                <w:rFonts w:ascii="Tahoma" w:eastAsia="Times New Roman" w:hAnsi="Tahoma" w:cs="Tahoma"/>
                <w:color w:val="000000" w:themeColor="text1"/>
                <w:sz w:val="24"/>
                <w:szCs w:val="24"/>
              </w:rPr>
              <w:t>.</w:t>
            </w:r>
            <w:r w:rsidR="00945D55">
              <w:br/>
            </w:r>
          </w:p>
          <w:p w14:paraId="0D4837C4" w14:textId="77777777" w:rsidR="00945D55" w:rsidRPr="00E72F24" w:rsidRDefault="00945D55" w:rsidP="00945D55">
            <w:pPr>
              <w:rPr>
                <w:rFonts w:ascii="Tahoma" w:eastAsia="Times New Roman" w:hAnsi="Tahoma" w:cs="Tahoma"/>
                <w:color w:val="000000"/>
                <w:sz w:val="24"/>
                <w:szCs w:val="24"/>
              </w:rPr>
            </w:pPr>
            <w:r w:rsidRPr="00E72F24">
              <w:rPr>
                <w:rFonts w:ascii="Tahoma" w:eastAsia="Times New Roman" w:hAnsi="Tahoma" w:cs="Tahoma"/>
                <w:color w:val="000000"/>
                <w:sz w:val="24"/>
                <w:szCs w:val="24"/>
              </w:rPr>
              <w:t xml:space="preserve">The Empower Innovation platform, available at  </w:t>
            </w:r>
            <w:hyperlink r:id="rId16" w:history="1">
              <w:r w:rsidRPr="00E72F24">
                <w:rPr>
                  <w:rStyle w:val="Hyperlink"/>
                  <w:rFonts w:ascii="Tahoma" w:eastAsia="Times New Roman" w:hAnsi="Tahoma" w:cs="Tahoma"/>
                  <w:sz w:val="24"/>
                  <w:szCs w:val="24"/>
                </w:rPr>
                <w:t>www.empowerinnovation.net</w:t>
              </w:r>
            </w:hyperlink>
            <w:r w:rsidRPr="00E72F24">
              <w:rPr>
                <w:rStyle w:val="Hyperlink"/>
                <w:rFonts w:ascii="Tahoma" w:eastAsia="Times New Roman" w:hAnsi="Tahoma" w:cs="Tahoma"/>
                <w:color w:val="auto"/>
                <w:sz w:val="24"/>
                <w:szCs w:val="24"/>
                <w:u w:val="none"/>
              </w:rPr>
              <w:t>,</w:t>
            </w:r>
            <w:r w:rsidRPr="00E72F24">
              <w:rPr>
                <w:rFonts w:ascii="Tahoma" w:eastAsia="Times New Roman" w:hAnsi="Tahoma" w:cs="Tahoma"/>
                <w:color w:val="000000"/>
                <w:sz w:val="24"/>
                <w:szCs w:val="24"/>
              </w:rPr>
              <w:t xml:space="preserve"> provides opportunities for networking and finding project partners.</w:t>
            </w:r>
            <w:r>
              <w:rPr>
                <w:rFonts w:ascii="Tahoma" w:eastAsia="Times New Roman" w:hAnsi="Tahoma" w:cs="Tahoma"/>
                <w:color w:val="000000"/>
                <w:sz w:val="24"/>
                <w:szCs w:val="24"/>
              </w:rPr>
              <w:br/>
            </w:r>
          </w:p>
          <w:p w14:paraId="56A1D430" w14:textId="26901B18" w:rsidR="00945D55" w:rsidRPr="00E72F24" w:rsidRDefault="00945D55" w:rsidP="00945D55">
            <w:pPr>
              <w:rPr>
                <w:rFonts w:ascii="Tahoma" w:eastAsia="Times New Roman" w:hAnsi="Tahoma" w:cs="Tahoma"/>
                <w:color w:val="000000"/>
                <w:sz w:val="24"/>
                <w:szCs w:val="24"/>
              </w:rPr>
            </w:pPr>
            <w:r w:rsidRPr="00E72F24">
              <w:rPr>
                <w:rFonts w:ascii="Tahoma" w:eastAsia="Times New Roman" w:hAnsi="Tahoma" w:cs="Tahoma"/>
                <w:color w:val="000000"/>
                <w:sz w:val="24"/>
                <w:szCs w:val="24"/>
              </w:rPr>
              <w:t xml:space="preserve">The </w:t>
            </w:r>
            <w:proofErr w:type="spellStart"/>
            <w:r w:rsidRPr="00E72F24">
              <w:rPr>
                <w:rFonts w:ascii="Tahoma" w:eastAsia="Times New Roman" w:hAnsi="Tahoma" w:cs="Tahoma"/>
                <w:color w:val="000000"/>
                <w:sz w:val="24"/>
                <w:szCs w:val="24"/>
              </w:rPr>
              <w:t>EnergIIZE</w:t>
            </w:r>
            <w:proofErr w:type="spellEnd"/>
            <w:r w:rsidRPr="00E72F24">
              <w:rPr>
                <w:rFonts w:ascii="Tahoma" w:eastAsia="Times New Roman" w:hAnsi="Tahoma" w:cs="Tahoma"/>
                <w:color w:val="000000"/>
                <w:sz w:val="24"/>
                <w:szCs w:val="24"/>
              </w:rPr>
              <w:t xml:space="preserve"> infrastructure program also provides resources for infrastructure installers and vendors, available at </w:t>
            </w:r>
            <w:hyperlink r:id="rId17" w:history="1">
              <w:r w:rsidRPr="00E72F24">
                <w:rPr>
                  <w:rStyle w:val="Hyperlink"/>
                  <w:rFonts w:ascii="Tahoma" w:eastAsia="Times New Roman" w:hAnsi="Tahoma" w:cs="Tahoma"/>
                  <w:sz w:val="24"/>
                  <w:szCs w:val="24"/>
                </w:rPr>
                <w:t>https://energiize.org/partners?section=vendor.vendor-types.preferred</w:t>
              </w:r>
            </w:hyperlink>
            <w:r w:rsidRPr="00E72F24">
              <w:rPr>
                <w:rStyle w:val="Hyperlink"/>
                <w:rFonts w:ascii="Tahoma" w:eastAsia="Times New Roman" w:hAnsi="Tahoma" w:cs="Tahoma"/>
                <w:color w:val="auto"/>
                <w:sz w:val="24"/>
                <w:szCs w:val="24"/>
                <w:u w:val="none"/>
              </w:rPr>
              <w:t>.</w:t>
            </w:r>
            <w:r w:rsidRPr="00E72F24">
              <w:rPr>
                <w:rFonts w:ascii="Tahoma" w:eastAsia="Times New Roman" w:hAnsi="Tahoma" w:cs="Tahoma"/>
                <w:color w:val="000000"/>
                <w:sz w:val="24"/>
                <w:szCs w:val="24"/>
              </w:rPr>
              <w:t xml:space="preserve"> </w:t>
            </w:r>
          </w:p>
        </w:tc>
      </w:tr>
      <w:tr w:rsidR="00945D55" w:rsidRPr="00271E52" w14:paraId="2C0ECA2C" w14:textId="77777777" w:rsidTr="00FD59DE">
        <w:trPr>
          <w:trHeight w:val="1160"/>
        </w:trPr>
        <w:tc>
          <w:tcPr>
            <w:tcW w:w="549" w:type="dxa"/>
            <w:shd w:val="clear" w:color="auto" w:fill="auto"/>
            <w:noWrap/>
          </w:tcPr>
          <w:p w14:paraId="10A71E4F" w14:textId="4E6EB7A6" w:rsidR="00945D55" w:rsidRPr="00E72F24" w:rsidRDefault="00945D55" w:rsidP="00945D55">
            <w:pPr>
              <w:widowControl w:val="0"/>
              <w:rPr>
                <w:rFonts w:ascii="Tahoma" w:eastAsia="Times New Roman" w:hAnsi="Tahoma" w:cs="Tahoma"/>
                <w:color w:val="000000" w:themeColor="text1"/>
                <w:sz w:val="24"/>
                <w:szCs w:val="24"/>
              </w:rPr>
            </w:pPr>
            <w:r w:rsidRPr="00E72F24">
              <w:rPr>
                <w:rFonts w:ascii="Tahoma" w:eastAsia="Times New Roman" w:hAnsi="Tahoma" w:cs="Tahoma"/>
                <w:color w:val="000000" w:themeColor="text1"/>
                <w:sz w:val="24"/>
                <w:szCs w:val="24"/>
              </w:rPr>
              <w:t>20</w:t>
            </w:r>
          </w:p>
        </w:tc>
        <w:tc>
          <w:tcPr>
            <w:tcW w:w="5296" w:type="dxa"/>
            <w:shd w:val="clear" w:color="auto" w:fill="auto"/>
          </w:tcPr>
          <w:p w14:paraId="76426B74" w14:textId="088847F4" w:rsidR="00945D55" w:rsidRPr="00E72F24" w:rsidRDefault="00945D55" w:rsidP="00945D55">
            <w:pPr>
              <w:widowControl w:val="0"/>
              <w:rPr>
                <w:rFonts w:ascii="Tahoma" w:eastAsia="Times New Roman" w:hAnsi="Tahoma" w:cs="Tahoma"/>
                <w:color w:val="000000"/>
                <w:sz w:val="24"/>
                <w:szCs w:val="24"/>
              </w:rPr>
            </w:pPr>
            <w:r w:rsidRPr="00E72F24">
              <w:rPr>
                <w:rFonts w:ascii="Tahoma" w:eastAsia="Times New Roman" w:hAnsi="Tahoma" w:cs="Tahoma"/>
                <w:color w:val="000000"/>
                <w:sz w:val="24"/>
                <w:szCs w:val="24"/>
              </w:rPr>
              <w:t>Are there any additional fees that the applicant must contribute before being awarded?</w:t>
            </w:r>
          </w:p>
        </w:tc>
        <w:tc>
          <w:tcPr>
            <w:tcW w:w="8465" w:type="dxa"/>
            <w:shd w:val="clear" w:color="auto" w:fill="auto"/>
          </w:tcPr>
          <w:p w14:paraId="6D21282A" w14:textId="6F3D1DA6" w:rsidR="00945D55" w:rsidRPr="00E72F24" w:rsidRDefault="00945D55" w:rsidP="00945D55">
            <w:pPr>
              <w:rPr>
                <w:rFonts w:ascii="Tahoma" w:eastAsia="Times New Roman" w:hAnsi="Tahoma" w:cs="Tahoma"/>
                <w:color w:val="000000"/>
                <w:sz w:val="24"/>
                <w:szCs w:val="24"/>
              </w:rPr>
            </w:pPr>
            <w:r w:rsidRPr="00E72F24">
              <w:rPr>
                <w:rFonts w:ascii="Tahoma" w:eastAsia="Times New Roman" w:hAnsi="Tahoma" w:cs="Tahoma"/>
                <w:color w:val="000000"/>
                <w:sz w:val="24"/>
                <w:szCs w:val="24"/>
              </w:rPr>
              <w:t>There are no application fees.</w:t>
            </w:r>
          </w:p>
        </w:tc>
      </w:tr>
    </w:tbl>
    <w:p w14:paraId="636A6D71" w14:textId="3D685A8F" w:rsidR="00525E75" w:rsidRPr="00B44C66" w:rsidRDefault="00525E75" w:rsidP="000D46AE">
      <w:pPr>
        <w:widowControl w:val="0"/>
        <w:spacing w:after="0"/>
        <w:rPr>
          <w:rFonts w:ascii="Tahoma" w:hAnsi="Tahoma" w:cs="Tahoma"/>
          <w:sz w:val="24"/>
          <w:szCs w:val="24"/>
        </w:rPr>
      </w:pPr>
    </w:p>
    <w:p w14:paraId="4200AEEC" w14:textId="77777777" w:rsidR="00901BC8" w:rsidRDefault="00901BC8">
      <w:pPr>
        <w:rPr>
          <w:rFonts w:ascii="Tahoma" w:hAnsi="Tahoma" w:cs="Tahoma"/>
          <w:sz w:val="24"/>
          <w:szCs w:val="24"/>
        </w:rPr>
      </w:pPr>
    </w:p>
    <w:p w14:paraId="62DF521A" w14:textId="7667AD47" w:rsidR="00C777C2" w:rsidRPr="00E72F24" w:rsidRDefault="00C777C2" w:rsidP="0052635D">
      <w:pPr>
        <w:rPr>
          <w:rFonts w:ascii="Tahoma" w:hAnsi="Tahoma" w:cs="Tahoma"/>
          <w:sz w:val="24"/>
          <w:szCs w:val="24"/>
        </w:rPr>
      </w:pPr>
    </w:p>
    <w:sectPr w:rsidR="00C777C2" w:rsidRPr="00E72F24" w:rsidSect="00C41799">
      <w:headerReference w:type="default" r:id="rId18"/>
      <w:footerReference w:type="even" r:id="rId19"/>
      <w:footerReference w:type="default" r:id="rId20"/>
      <w:headerReference w:type="first" r:id="rId21"/>
      <w:footerReference w:type="first" r:id="rId2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BC8A" w14:textId="77777777" w:rsidR="00A27D13" w:rsidRDefault="00A27D13" w:rsidP="005D66A7">
      <w:pPr>
        <w:spacing w:after="0" w:line="240" w:lineRule="auto"/>
      </w:pPr>
      <w:r>
        <w:separator/>
      </w:r>
    </w:p>
  </w:endnote>
  <w:endnote w:type="continuationSeparator" w:id="0">
    <w:p w14:paraId="76933B1A" w14:textId="77777777" w:rsidR="00A27D13" w:rsidRDefault="00A27D13" w:rsidP="005D66A7">
      <w:pPr>
        <w:spacing w:after="0" w:line="240" w:lineRule="auto"/>
      </w:pPr>
      <w:r>
        <w:continuationSeparator/>
      </w:r>
    </w:p>
  </w:endnote>
  <w:endnote w:type="continuationNotice" w:id="1">
    <w:p w14:paraId="42FC3B3A" w14:textId="77777777" w:rsidR="00A27D13" w:rsidRDefault="00A27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C311" w14:textId="3C4FC2CC" w:rsidR="005D66A7" w:rsidRDefault="005D6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4A8F" w14:textId="5AF0E9D8" w:rsidR="005D66A7" w:rsidRDefault="005D6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B8CA" w14:textId="4C5801FB" w:rsidR="005D66A7" w:rsidRDefault="005D6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5EE6" w14:textId="77777777" w:rsidR="00A27D13" w:rsidRDefault="00A27D13" w:rsidP="005D66A7">
      <w:pPr>
        <w:spacing w:after="0" w:line="240" w:lineRule="auto"/>
      </w:pPr>
      <w:r>
        <w:separator/>
      </w:r>
    </w:p>
  </w:footnote>
  <w:footnote w:type="continuationSeparator" w:id="0">
    <w:p w14:paraId="32B13890" w14:textId="77777777" w:rsidR="00A27D13" w:rsidRDefault="00A27D13" w:rsidP="005D66A7">
      <w:pPr>
        <w:spacing w:after="0" w:line="240" w:lineRule="auto"/>
      </w:pPr>
      <w:r>
        <w:continuationSeparator/>
      </w:r>
    </w:p>
  </w:footnote>
  <w:footnote w:type="continuationNotice" w:id="1">
    <w:p w14:paraId="7D2F25CE" w14:textId="77777777" w:rsidR="00A27D13" w:rsidRDefault="00A27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53ED" w14:textId="63D9F9C4" w:rsidR="005D66A7" w:rsidRDefault="005D66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BBAF" w14:textId="6747E639" w:rsidR="005D66A7" w:rsidRDefault="005D6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DB00"/>
    <w:multiLevelType w:val="hybridMultilevel"/>
    <w:tmpl w:val="1F30BB42"/>
    <w:lvl w:ilvl="0" w:tplc="5226CBEA">
      <w:start w:val="1"/>
      <w:numFmt w:val="decimal"/>
      <w:lvlText w:val="%1."/>
      <w:lvlJc w:val="left"/>
      <w:pPr>
        <w:ind w:left="720" w:hanging="360"/>
      </w:pPr>
    </w:lvl>
    <w:lvl w:ilvl="1" w:tplc="72EE9D24">
      <w:start w:val="1"/>
      <w:numFmt w:val="lowerLetter"/>
      <w:lvlText w:val="%2."/>
      <w:lvlJc w:val="left"/>
      <w:pPr>
        <w:ind w:left="1440" w:hanging="360"/>
      </w:pPr>
    </w:lvl>
    <w:lvl w:ilvl="2" w:tplc="DD0EE9B8">
      <w:start w:val="1"/>
      <w:numFmt w:val="lowerRoman"/>
      <w:lvlText w:val="%3."/>
      <w:lvlJc w:val="right"/>
      <w:pPr>
        <w:ind w:left="2160" w:hanging="180"/>
      </w:pPr>
    </w:lvl>
    <w:lvl w:ilvl="3" w:tplc="ED1E423C">
      <w:start w:val="1"/>
      <w:numFmt w:val="decimal"/>
      <w:lvlText w:val="%4."/>
      <w:lvlJc w:val="left"/>
      <w:pPr>
        <w:ind w:left="2880" w:hanging="360"/>
      </w:pPr>
    </w:lvl>
    <w:lvl w:ilvl="4" w:tplc="7A5A4104">
      <w:start w:val="1"/>
      <w:numFmt w:val="lowerLetter"/>
      <w:lvlText w:val="%5."/>
      <w:lvlJc w:val="left"/>
      <w:pPr>
        <w:ind w:left="3600" w:hanging="360"/>
      </w:pPr>
    </w:lvl>
    <w:lvl w:ilvl="5" w:tplc="8C9E22D2">
      <w:start w:val="1"/>
      <w:numFmt w:val="lowerRoman"/>
      <w:lvlText w:val="%6."/>
      <w:lvlJc w:val="right"/>
      <w:pPr>
        <w:ind w:left="4320" w:hanging="180"/>
      </w:pPr>
    </w:lvl>
    <w:lvl w:ilvl="6" w:tplc="269A3CDA">
      <w:start w:val="1"/>
      <w:numFmt w:val="decimal"/>
      <w:lvlText w:val="%7."/>
      <w:lvlJc w:val="left"/>
      <w:pPr>
        <w:ind w:left="5040" w:hanging="360"/>
      </w:pPr>
    </w:lvl>
    <w:lvl w:ilvl="7" w:tplc="DC2ACEC0">
      <w:start w:val="1"/>
      <w:numFmt w:val="lowerLetter"/>
      <w:lvlText w:val="%8."/>
      <w:lvlJc w:val="left"/>
      <w:pPr>
        <w:ind w:left="5760" w:hanging="360"/>
      </w:pPr>
    </w:lvl>
    <w:lvl w:ilvl="8" w:tplc="2C122D9E">
      <w:start w:val="1"/>
      <w:numFmt w:val="lowerRoman"/>
      <w:lvlText w:val="%9."/>
      <w:lvlJc w:val="right"/>
      <w:pPr>
        <w:ind w:left="6480" w:hanging="180"/>
      </w:pPr>
    </w:lvl>
  </w:abstractNum>
  <w:abstractNum w:abstractNumId="1" w15:restartNumberingAfterBreak="0">
    <w:nsid w:val="36EF214C"/>
    <w:multiLevelType w:val="hybridMultilevel"/>
    <w:tmpl w:val="2A72E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9E859"/>
    <w:multiLevelType w:val="hybridMultilevel"/>
    <w:tmpl w:val="1F9267D0"/>
    <w:lvl w:ilvl="0" w:tplc="2ADEECD6">
      <w:start w:val="1"/>
      <w:numFmt w:val="decimal"/>
      <w:lvlText w:val="%1."/>
      <w:lvlJc w:val="left"/>
      <w:pPr>
        <w:ind w:left="720" w:hanging="360"/>
      </w:pPr>
    </w:lvl>
    <w:lvl w:ilvl="1" w:tplc="622A8410">
      <w:start w:val="1"/>
      <w:numFmt w:val="lowerLetter"/>
      <w:lvlText w:val="%2."/>
      <w:lvlJc w:val="left"/>
      <w:pPr>
        <w:ind w:left="1440" w:hanging="360"/>
      </w:pPr>
    </w:lvl>
    <w:lvl w:ilvl="2" w:tplc="CE88DA0E">
      <w:start w:val="1"/>
      <w:numFmt w:val="lowerRoman"/>
      <w:lvlText w:val="%3."/>
      <w:lvlJc w:val="right"/>
      <w:pPr>
        <w:ind w:left="2160" w:hanging="180"/>
      </w:pPr>
    </w:lvl>
    <w:lvl w:ilvl="3" w:tplc="C990561C">
      <w:start w:val="1"/>
      <w:numFmt w:val="decimal"/>
      <w:lvlText w:val="%4."/>
      <w:lvlJc w:val="left"/>
      <w:pPr>
        <w:ind w:left="2880" w:hanging="360"/>
      </w:pPr>
    </w:lvl>
    <w:lvl w:ilvl="4" w:tplc="C0228CB6">
      <w:start w:val="1"/>
      <w:numFmt w:val="lowerLetter"/>
      <w:lvlText w:val="%5."/>
      <w:lvlJc w:val="left"/>
      <w:pPr>
        <w:ind w:left="3600" w:hanging="360"/>
      </w:pPr>
    </w:lvl>
    <w:lvl w:ilvl="5" w:tplc="99A87160">
      <w:start w:val="1"/>
      <w:numFmt w:val="lowerRoman"/>
      <w:lvlText w:val="%6."/>
      <w:lvlJc w:val="right"/>
      <w:pPr>
        <w:ind w:left="4320" w:hanging="180"/>
      </w:pPr>
    </w:lvl>
    <w:lvl w:ilvl="6" w:tplc="E528D66A">
      <w:start w:val="1"/>
      <w:numFmt w:val="decimal"/>
      <w:lvlText w:val="%7."/>
      <w:lvlJc w:val="left"/>
      <w:pPr>
        <w:ind w:left="5040" w:hanging="360"/>
      </w:pPr>
    </w:lvl>
    <w:lvl w:ilvl="7" w:tplc="4F8E8AC0">
      <w:start w:val="1"/>
      <w:numFmt w:val="lowerLetter"/>
      <w:lvlText w:val="%8."/>
      <w:lvlJc w:val="left"/>
      <w:pPr>
        <w:ind w:left="5760" w:hanging="360"/>
      </w:pPr>
    </w:lvl>
    <w:lvl w:ilvl="8" w:tplc="53D46536">
      <w:start w:val="1"/>
      <w:numFmt w:val="lowerRoman"/>
      <w:lvlText w:val="%9."/>
      <w:lvlJc w:val="right"/>
      <w:pPr>
        <w:ind w:left="6480" w:hanging="180"/>
      </w:pPr>
    </w:lvl>
  </w:abstractNum>
  <w:abstractNum w:abstractNumId="3" w15:restartNumberingAfterBreak="0">
    <w:nsid w:val="7C5222F4"/>
    <w:multiLevelType w:val="hybridMultilevel"/>
    <w:tmpl w:val="0A1421AC"/>
    <w:lvl w:ilvl="0" w:tplc="387433EA">
      <w:start w:val="1"/>
      <w:numFmt w:val="bullet"/>
      <w:lvlText w:val=""/>
      <w:lvlJc w:val="left"/>
      <w:pPr>
        <w:ind w:left="720" w:hanging="360"/>
      </w:pPr>
      <w:rPr>
        <w:rFonts w:ascii="Symbol" w:hAnsi="Symbol" w:hint="default"/>
      </w:rPr>
    </w:lvl>
    <w:lvl w:ilvl="1" w:tplc="0820F242">
      <w:start w:val="1"/>
      <w:numFmt w:val="bullet"/>
      <w:lvlText w:val="o"/>
      <w:lvlJc w:val="left"/>
      <w:pPr>
        <w:ind w:left="1440" w:hanging="360"/>
      </w:pPr>
      <w:rPr>
        <w:rFonts w:ascii="Courier New" w:hAnsi="Courier New" w:hint="default"/>
      </w:rPr>
    </w:lvl>
    <w:lvl w:ilvl="2" w:tplc="84EE254C">
      <w:start w:val="1"/>
      <w:numFmt w:val="bullet"/>
      <w:lvlText w:val=""/>
      <w:lvlJc w:val="left"/>
      <w:pPr>
        <w:ind w:left="2160" w:hanging="360"/>
      </w:pPr>
      <w:rPr>
        <w:rFonts w:ascii="Wingdings" w:hAnsi="Wingdings" w:hint="default"/>
      </w:rPr>
    </w:lvl>
    <w:lvl w:ilvl="3" w:tplc="1A883556">
      <w:start w:val="1"/>
      <w:numFmt w:val="bullet"/>
      <w:lvlText w:val=""/>
      <w:lvlJc w:val="left"/>
      <w:pPr>
        <w:ind w:left="2880" w:hanging="360"/>
      </w:pPr>
      <w:rPr>
        <w:rFonts w:ascii="Symbol" w:hAnsi="Symbol" w:hint="default"/>
      </w:rPr>
    </w:lvl>
    <w:lvl w:ilvl="4" w:tplc="9C6C4E24">
      <w:start w:val="1"/>
      <w:numFmt w:val="bullet"/>
      <w:lvlText w:val="o"/>
      <w:lvlJc w:val="left"/>
      <w:pPr>
        <w:ind w:left="3600" w:hanging="360"/>
      </w:pPr>
      <w:rPr>
        <w:rFonts w:ascii="Courier New" w:hAnsi="Courier New" w:hint="default"/>
      </w:rPr>
    </w:lvl>
    <w:lvl w:ilvl="5" w:tplc="365847FE">
      <w:start w:val="1"/>
      <w:numFmt w:val="bullet"/>
      <w:lvlText w:val=""/>
      <w:lvlJc w:val="left"/>
      <w:pPr>
        <w:ind w:left="4320" w:hanging="360"/>
      </w:pPr>
      <w:rPr>
        <w:rFonts w:ascii="Wingdings" w:hAnsi="Wingdings" w:hint="default"/>
      </w:rPr>
    </w:lvl>
    <w:lvl w:ilvl="6" w:tplc="48DECDCC">
      <w:start w:val="1"/>
      <w:numFmt w:val="bullet"/>
      <w:lvlText w:val=""/>
      <w:lvlJc w:val="left"/>
      <w:pPr>
        <w:ind w:left="5040" w:hanging="360"/>
      </w:pPr>
      <w:rPr>
        <w:rFonts w:ascii="Symbol" w:hAnsi="Symbol" w:hint="default"/>
      </w:rPr>
    </w:lvl>
    <w:lvl w:ilvl="7" w:tplc="B62C5EF8">
      <w:start w:val="1"/>
      <w:numFmt w:val="bullet"/>
      <w:lvlText w:val="o"/>
      <w:lvlJc w:val="left"/>
      <w:pPr>
        <w:ind w:left="5760" w:hanging="360"/>
      </w:pPr>
      <w:rPr>
        <w:rFonts w:ascii="Courier New" w:hAnsi="Courier New" w:hint="default"/>
      </w:rPr>
    </w:lvl>
    <w:lvl w:ilvl="8" w:tplc="AEAA546E">
      <w:start w:val="1"/>
      <w:numFmt w:val="bullet"/>
      <w:lvlText w:val=""/>
      <w:lvlJc w:val="left"/>
      <w:pPr>
        <w:ind w:left="6480" w:hanging="360"/>
      </w:pPr>
      <w:rPr>
        <w:rFonts w:ascii="Wingdings" w:hAnsi="Wingdings" w:hint="default"/>
      </w:rPr>
    </w:lvl>
  </w:abstractNum>
  <w:num w:numId="1" w16cid:durableId="724452442">
    <w:abstractNumId w:val="3"/>
  </w:num>
  <w:num w:numId="2" w16cid:durableId="987711100">
    <w:abstractNumId w:val="1"/>
  </w:num>
  <w:num w:numId="3" w16cid:durableId="476722430">
    <w:abstractNumId w:val="0"/>
  </w:num>
  <w:num w:numId="4" w16cid:durableId="89477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99"/>
    <w:rsid w:val="000035F1"/>
    <w:rsid w:val="00007DD5"/>
    <w:rsid w:val="00014B39"/>
    <w:rsid w:val="0001554C"/>
    <w:rsid w:val="000252F1"/>
    <w:rsid w:val="00025CBC"/>
    <w:rsid w:val="00026046"/>
    <w:rsid w:val="00027551"/>
    <w:rsid w:val="00030CFA"/>
    <w:rsid w:val="00033B17"/>
    <w:rsid w:val="00036FA0"/>
    <w:rsid w:val="000435CE"/>
    <w:rsid w:val="0005000A"/>
    <w:rsid w:val="000502CD"/>
    <w:rsid w:val="00051EE1"/>
    <w:rsid w:val="00052536"/>
    <w:rsid w:val="0005261F"/>
    <w:rsid w:val="000621E2"/>
    <w:rsid w:val="00070AB0"/>
    <w:rsid w:val="00070D90"/>
    <w:rsid w:val="00071B27"/>
    <w:rsid w:val="0007327C"/>
    <w:rsid w:val="000739A8"/>
    <w:rsid w:val="00077BD1"/>
    <w:rsid w:val="0008285B"/>
    <w:rsid w:val="00090CA6"/>
    <w:rsid w:val="00094E21"/>
    <w:rsid w:val="00096E4E"/>
    <w:rsid w:val="000A33A4"/>
    <w:rsid w:val="000B15D5"/>
    <w:rsid w:val="000B2586"/>
    <w:rsid w:val="000B3E73"/>
    <w:rsid w:val="000B752D"/>
    <w:rsid w:val="000C1D99"/>
    <w:rsid w:val="000C5E9D"/>
    <w:rsid w:val="000C7EEF"/>
    <w:rsid w:val="000D1CF8"/>
    <w:rsid w:val="000D2BDF"/>
    <w:rsid w:val="000D418E"/>
    <w:rsid w:val="000D46AE"/>
    <w:rsid w:val="000D4C0F"/>
    <w:rsid w:val="000D4CDC"/>
    <w:rsid w:val="000E49EF"/>
    <w:rsid w:val="000F0872"/>
    <w:rsid w:val="000F750E"/>
    <w:rsid w:val="00100F4D"/>
    <w:rsid w:val="0010683D"/>
    <w:rsid w:val="00112976"/>
    <w:rsid w:val="0012134C"/>
    <w:rsid w:val="0012159D"/>
    <w:rsid w:val="00122D95"/>
    <w:rsid w:val="00122ED2"/>
    <w:rsid w:val="00125697"/>
    <w:rsid w:val="00126876"/>
    <w:rsid w:val="00131A0F"/>
    <w:rsid w:val="00132B41"/>
    <w:rsid w:val="00136202"/>
    <w:rsid w:val="00137624"/>
    <w:rsid w:val="00141DA7"/>
    <w:rsid w:val="001501AA"/>
    <w:rsid w:val="00150BC1"/>
    <w:rsid w:val="001516D9"/>
    <w:rsid w:val="00157C6A"/>
    <w:rsid w:val="001600E5"/>
    <w:rsid w:val="00161F34"/>
    <w:rsid w:val="00163133"/>
    <w:rsid w:val="00164EFB"/>
    <w:rsid w:val="0016673B"/>
    <w:rsid w:val="00170276"/>
    <w:rsid w:val="0017108F"/>
    <w:rsid w:val="00172756"/>
    <w:rsid w:val="00176678"/>
    <w:rsid w:val="0017754F"/>
    <w:rsid w:val="001846D2"/>
    <w:rsid w:val="0018E2E5"/>
    <w:rsid w:val="001A60FC"/>
    <w:rsid w:val="001A79B2"/>
    <w:rsid w:val="001B2B1F"/>
    <w:rsid w:val="001C157A"/>
    <w:rsid w:val="001C5AEF"/>
    <w:rsid w:val="001C7C1F"/>
    <w:rsid w:val="001D037C"/>
    <w:rsid w:val="001D56E6"/>
    <w:rsid w:val="001D59D3"/>
    <w:rsid w:val="001D7A76"/>
    <w:rsid w:val="001E125A"/>
    <w:rsid w:val="001E19ED"/>
    <w:rsid w:val="001E689F"/>
    <w:rsid w:val="001F1C86"/>
    <w:rsid w:val="001F29F5"/>
    <w:rsid w:val="001F49E3"/>
    <w:rsid w:val="001F4E46"/>
    <w:rsid w:val="001F5F5B"/>
    <w:rsid w:val="0020300C"/>
    <w:rsid w:val="002103CF"/>
    <w:rsid w:val="00216E60"/>
    <w:rsid w:val="00216EB4"/>
    <w:rsid w:val="002171DE"/>
    <w:rsid w:val="00220D09"/>
    <w:rsid w:val="002214C1"/>
    <w:rsid w:val="00224E73"/>
    <w:rsid w:val="00226481"/>
    <w:rsid w:val="0023532D"/>
    <w:rsid w:val="002362D9"/>
    <w:rsid w:val="00236711"/>
    <w:rsid w:val="00243B85"/>
    <w:rsid w:val="00261FFA"/>
    <w:rsid w:val="002716E1"/>
    <w:rsid w:val="00271AEB"/>
    <w:rsid w:val="00271E52"/>
    <w:rsid w:val="00273827"/>
    <w:rsid w:val="00275497"/>
    <w:rsid w:val="002812DD"/>
    <w:rsid w:val="002813EC"/>
    <w:rsid w:val="002837FD"/>
    <w:rsid w:val="00285886"/>
    <w:rsid w:val="00293714"/>
    <w:rsid w:val="00296F5F"/>
    <w:rsid w:val="00297D16"/>
    <w:rsid w:val="002A30AE"/>
    <w:rsid w:val="002B11D7"/>
    <w:rsid w:val="002B22AA"/>
    <w:rsid w:val="002B5F85"/>
    <w:rsid w:val="002B7BBF"/>
    <w:rsid w:val="002C098D"/>
    <w:rsid w:val="002C4B5F"/>
    <w:rsid w:val="002D1F21"/>
    <w:rsid w:val="002D2014"/>
    <w:rsid w:val="002D2F20"/>
    <w:rsid w:val="002D34F4"/>
    <w:rsid w:val="002D5071"/>
    <w:rsid w:val="002E2D85"/>
    <w:rsid w:val="002F147A"/>
    <w:rsid w:val="002F2BB7"/>
    <w:rsid w:val="002F6B9A"/>
    <w:rsid w:val="003009A3"/>
    <w:rsid w:val="00305A8F"/>
    <w:rsid w:val="003130B5"/>
    <w:rsid w:val="00314B14"/>
    <w:rsid w:val="00314B62"/>
    <w:rsid w:val="00321E97"/>
    <w:rsid w:val="00325837"/>
    <w:rsid w:val="00327069"/>
    <w:rsid w:val="00330393"/>
    <w:rsid w:val="00330FE1"/>
    <w:rsid w:val="00336B7A"/>
    <w:rsid w:val="003428C7"/>
    <w:rsid w:val="00345CCD"/>
    <w:rsid w:val="0034701C"/>
    <w:rsid w:val="00354511"/>
    <w:rsid w:val="00355C97"/>
    <w:rsid w:val="00356B6C"/>
    <w:rsid w:val="00370A83"/>
    <w:rsid w:val="00372C78"/>
    <w:rsid w:val="00373F1B"/>
    <w:rsid w:val="00374D1D"/>
    <w:rsid w:val="00380D8E"/>
    <w:rsid w:val="003828AC"/>
    <w:rsid w:val="00382A11"/>
    <w:rsid w:val="00387240"/>
    <w:rsid w:val="00391940"/>
    <w:rsid w:val="00392027"/>
    <w:rsid w:val="00392BDB"/>
    <w:rsid w:val="00397677"/>
    <w:rsid w:val="003B3329"/>
    <w:rsid w:val="003B3896"/>
    <w:rsid w:val="003C3F47"/>
    <w:rsid w:val="003D060E"/>
    <w:rsid w:val="003D0F16"/>
    <w:rsid w:val="003D1730"/>
    <w:rsid w:val="003D1905"/>
    <w:rsid w:val="003D2249"/>
    <w:rsid w:val="003D2970"/>
    <w:rsid w:val="003D635A"/>
    <w:rsid w:val="003D6C5A"/>
    <w:rsid w:val="003D6E19"/>
    <w:rsid w:val="003E2E67"/>
    <w:rsid w:val="003E3549"/>
    <w:rsid w:val="003E5A4A"/>
    <w:rsid w:val="003F487E"/>
    <w:rsid w:val="003F6660"/>
    <w:rsid w:val="003F6786"/>
    <w:rsid w:val="003F6AFF"/>
    <w:rsid w:val="003F7166"/>
    <w:rsid w:val="003F76FD"/>
    <w:rsid w:val="0040337C"/>
    <w:rsid w:val="00411A2E"/>
    <w:rsid w:val="0041447F"/>
    <w:rsid w:val="00415D43"/>
    <w:rsid w:val="0041701A"/>
    <w:rsid w:val="004220D9"/>
    <w:rsid w:val="00427546"/>
    <w:rsid w:val="0043258E"/>
    <w:rsid w:val="004336DB"/>
    <w:rsid w:val="00442FA1"/>
    <w:rsid w:val="0044368B"/>
    <w:rsid w:val="00445C94"/>
    <w:rsid w:val="00447E44"/>
    <w:rsid w:val="00453190"/>
    <w:rsid w:val="0045566F"/>
    <w:rsid w:val="004616C2"/>
    <w:rsid w:val="00465A80"/>
    <w:rsid w:val="004664F1"/>
    <w:rsid w:val="004707B5"/>
    <w:rsid w:val="00470C2B"/>
    <w:rsid w:val="00473D93"/>
    <w:rsid w:val="004762B8"/>
    <w:rsid w:val="00476587"/>
    <w:rsid w:val="00476CB6"/>
    <w:rsid w:val="004828F9"/>
    <w:rsid w:val="00484449"/>
    <w:rsid w:val="00484966"/>
    <w:rsid w:val="00487E53"/>
    <w:rsid w:val="00493B2C"/>
    <w:rsid w:val="004A288C"/>
    <w:rsid w:val="004A443E"/>
    <w:rsid w:val="004A6AD5"/>
    <w:rsid w:val="004B1361"/>
    <w:rsid w:val="004B27B5"/>
    <w:rsid w:val="004B2CFE"/>
    <w:rsid w:val="004B441D"/>
    <w:rsid w:val="004B5E30"/>
    <w:rsid w:val="004C44D3"/>
    <w:rsid w:val="004C46F4"/>
    <w:rsid w:val="004C5DDA"/>
    <w:rsid w:val="004C6B5E"/>
    <w:rsid w:val="004C7BA2"/>
    <w:rsid w:val="004D00DD"/>
    <w:rsid w:val="004D0488"/>
    <w:rsid w:val="004D2846"/>
    <w:rsid w:val="004D4875"/>
    <w:rsid w:val="004D5BDF"/>
    <w:rsid w:val="004E0E50"/>
    <w:rsid w:val="004E0F4B"/>
    <w:rsid w:val="004E1E09"/>
    <w:rsid w:val="004E59B8"/>
    <w:rsid w:val="004F4557"/>
    <w:rsid w:val="004F4F16"/>
    <w:rsid w:val="00500C59"/>
    <w:rsid w:val="00502A88"/>
    <w:rsid w:val="005032D6"/>
    <w:rsid w:val="00505830"/>
    <w:rsid w:val="0051100C"/>
    <w:rsid w:val="00511DEF"/>
    <w:rsid w:val="0051483F"/>
    <w:rsid w:val="00515E82"/>
    <w:rsid w:val="00517E19"/>
    <w:rsid w:val="00523C14"/>
    <w:rsid w:val="00525E75"/>
    <w:rsid w:val="0052635D"/>
    <w:rsid w:val="005263B7"/>
    <w:rsid w:val="00526C6A"/>
    <w:rsid w:val="005302F4"/>
    <w:rsid w:val="00531228"/>
    <w:rsid w:val="00531449"/>
    <w:rsid w:val="00534784"/>
    <w:rsid w:val="00536EDA"/>
    <w:rsid w:val="00540E36"/>
    <w:rsid w:val="005410A5"/>
    <w:rsid w:val="00542B4A"/>
    <w:rsid w:val="00542D82"/>
    <w:rsid w:val="00545AF1"/>
    <w:rsid w:val="00545E62"/>
    <w:rsid w:val="005476F7"/>
    <w:rsid w:val="00551D81"/>
    <w:rsid w:val="00553F2F"/>
    <w:rsid w:val="00555A1F"/>
    <w:rsid w:val="005617F0"/>
    <w:rsid w:val="005631E7"/>
    <w:rsid w:val="005631E9"/>
    <w:rsid w:val="00572BB5"/>
    <w:rsid w:val="0057342A"/>
    <w:rsid w:val="005742F9"/>
    <w:rsid w:val="00574CDB"/>
    <w:rsid w:val="00576015"/>
    <w:rsid w:val="00576CE0"/>
    <w:rsid w:val="00576D5A"/>
    <w:rsid w:val="00576FEE"/>
    <w:rsid w:val="00577538"/>
    <w:rsid w:val="00580F0C"/>
    <w:rsid w:val="005842D5"/>
    <w:rsid w:val="00587C6A"/>
    <w:rsid w:val="005910BC"/>
    <w:rsid w:val="0059367A"/>
    <w:rsid w:val="00596655"/>
    <w:rsid w:val="005A3BCC"/>
    <w:rsid w:val="005A47A0"/>
    <w:rsid w:val="005B0AB4"/>
    <w:rsid w:val="005B2A42"/>
    <w:rsid w:val="005C15A4"/>
    <w:rsid w:val="005C4E89"/>
    <w:rsid w:val="005D430D"/>
    <w:rsid w:val="005D4443"/>
    <w:rsid w:val="005D57AE"/>
    <w:rsid w:val="005D65B5"/>
    <w:rsid w:val="005D66A7"/>
    <w:rsid w:val="005E3404"/>
    <w:rsid w:val="005E3B20"/>
    <w:rsid w:val="005E45B2"/>
    <w:rsid w:val="005F4045"/>
    <w:rsid w:val="005F7978"/>
    <w:rsid w:val="00600B95"/>
    <w:rsid w:val="0060142A"/>
    <w:rsid w:val="00602DED"/>
    <w:rsid w:val="00607F3E"/>
    <w:rsid w:val="00611669"/>
    <w:rsid w:val="0061C227"/>
    <w:rsid w:val="00620CA2"/>
    <w:rsid w:val="00621D4E"/>
    <w:rsid w:val="006251C3"/>
    <w:rsid w:val="00627A95"/>
    <w:rsid w:val="00631934"/>
    <w:rsid w:val="00632634"/>
    <w:rsid w:val="006356CD"/>
    <w:rsid w:val="00636190"/>
    <w:rsid w:val="0063636D"/>
    <w:rsid w:val="006426D3"/>
    <w:rsid w:val="00643F3A"/>
    <w:rsid w:val="00644C4D"/>
    <w:rsid w:val="00656EE4"/>
    <w:rsid w:val="00657FF3"/>
    <w:rsid w:val="006619FA"/>
    <w:rsid w:val="006658F3"/>
    <w:rsid w:val="00671691"/>
    <w:rsid w:val="00673CCB"/>
    <w:rsid w:val="0067438A"/>
    <w:rsid w:val="0067751F"/>
    <w:rsid w:val="00677F6E"/>
    <w:rsid w:val="006819A9"/>
    <w:rsid w:val="00683E6C"/>
    <w:rsid w:val="00684527"/>
    <w:rsid w:val="0068528A"/>
    <w:rsid w:val="00685726"/>
    <w:rsid w:val="00687DEC"/>
    <w:rsid w:val="00690839"/>
    <w:rsid w:val="00691D28"/>
    <w:rsid w:val="006933D2"/>
    <w:rsid w:val="006A12C3"/>
    <w:rsid w:val="006A4844"/>
    <w:rsid w:val="006A54CE"/>
    <w:rsid w:val="006A6380"/>
    <w:rsid w:val="006B4486"/>
    <w:rsid w:val="006C03DE"/>
    <w:rsid w:val="006C2CB7"/>
    <w:rsid w:val="006C49F3"/>
    <w:rsid w:val="006D1752"/>
    <w:rsid w:val="006D1963"/>
    <w:rsid w:val="006D1BAE"/>
    <w:rsid w:val="006D45C6"/>
    <w:rsid w:val="006D6011"/>
    <w:rsid w:val="006E05EC"/>
    <w:rsid w:val="006E086F"/>
    <w:rsid w:val="006F1608"/>
    <w:rsid w:val="006F495A"/>
    <w:rsid w:val="006F514B"/>
    <w:rsid w:val="0070092E"/>
    <w:rsid w:val="00710026"/>
    <w:rsid w:val="00712B95"/>
    <w:rsid w:val="007149CC"/>
    <w:rsid w:val="0072042D"/>
    <w:rsid w:val="007215B8"/>
    <w:rsid w:val="0072214C"/>
    <w:rsid w:val="0072747C"/>
    <w:rsid w:val="00731631"/>
    <w:rsid w:val="00733591"/>
    <w:rsid w:val="007336C9"/>
    <w:rsid w:val="0073748C"/>
    <w:rsid w:val="007435E7"/>
    <w:rsid w:val="007441DE"/>
    <w:rsid w:val="0074471D"/>
    <w:rsid w:val="007479F7"/>
    <w:rsid w:val="00747EFC"/>
    <w:rsid w:val="00751782"/>
    <w:rsid w:val="00753375"/>
    <w:rsid w:val="007544F6"/>
    <w:rsid w:val="00754A7B"/>
    <w:rsid w:val="00761433"/>
    <w:rsid w:val="00761C0A"/>
    <w:rsid w:val="0076350D"/>
    <w:rsid w:val="0076404E"/>
    <w:rsid w:val="00766EEC"/>
    <w:rsid w:val="0076757E"/>
    <w:rsid w:val="007706B5"/>
    <w:rsid w:val="00770F4E"/>
    <w:rsid w:val="00774816"/>
    <w:rsid w:val="00776559"/>
    <w:rsid w:val="007819FA"/>
    <w:rsid w:val="00781A4B"/>
    <w:rsid w:val="007838BD"/>
    <w:rsid w:val="0079071D"/>
    <w:rsid w:val="0079549D"/>
    <w:rsid w:val="007A4827"/>
    <w:rsid w:val="007B1C96"/>
    <w:rsid w:val="007B3BCE"/>
    <w:rsid w:val="007B4AC7"/>
    <w:rsid w:val="007B5A92"/>
    <w:rsid w:val="007B7EB0"/>
    <w:rsid w:val="007C3ABA"/>
    <w:rsid w:val="007C3C4B"/>
    <w:rsid w:val="007C6CED"/>
    <w:rsid w:val="007C7F0E"/>
    <w:rsid w:val="007E0F2A"/>
    <w:rsid w:val="007E2ECE"/>
    <w:rsid w:val="007E76FC"/>
    <w:rsid w:val="007E77FB"/>
    <w:rsid w:val="007F64A3"/>
    <w:rsid w:val="0080049E"/>
    <w:rsid w:val="008035F0"/>
    <w:rsid w:val="00805AAB"/>
    <w:rsid w:val="00812572"/>
    <w:rsid w:val="008129BF"/>
    <w:rsid w:val="00812AF4"/>
    <w:rsid w:val="00814847"/>
    <w:rsid w:val="008216F4"/>
    <w:rsid w:val="0082183E"/>
    <w:rsid w:val="008272B6"/>
    <w:rsid w:val="008320C0"/>
    <w:rsid w:val="00833830"/>
    <w:rsid w:val="00842646"/>
    <w:rsid w:val="008448F7"/>
    <w:rsid w:val="00847B81"/>
    <w:rsid w:val="00851803"/>
    <w:rsid w:val="00853B77"/>
    <w:rsid w:val="0085742C"/>
    <w:rsid w:val="008578A2"/>
    <w:rsid w:val="00862C83"/>
    <w:rsid w:val="00863339"/>
    <w:rsid w:val="00865DDC"/>
    <w:rsid w:val="008721E8"/>
    <w:rsid w:val="0087382C"/>
    <w:rsid w:val="0087689F"/>
    <w:rsid w:val="0088294A"/>
    <w:rsid w:val="00885391"/>
    <w:rsid w:val="00886D58"/>
    <w:rsid w:val="008876BC"/>
    <w:rsid w:val="0089053C"/>
    <w:rsid w:val="00891F91"/>
    <w:rsid w:val="00895DA0"/>
    <w:rsid w:val="00896CFC"/>
    <w:rsid w:val="008A0442"/>
    <w:rsid w:val="008A0FA5"/>
    <w:rsid w:val="008A2D98"/>
    <w:rsid w:val="008B460B"/>
    <w:rsid w:val="008B5BA4"/>
    <w:rsid w:val="008B7508"/>
    <w:rsid w:val="008B751D"/>
    <w:rsid w:val="008C7438"/>
    <w:rsid w:val="008D0321"/>
    <w:rsid w:val="008D5BAF"/>
    <w:rsid w:val="008E18A7"/>
    <w:rsid w:val="008E2BBB"/>
    <w:rsid w:val="008E48E1"/>
    <w:rsid w:val="008E6ADC"/>
    <w:rsid w:val="008F173B"/>
    <w:rsid w:val="008F20BD"/>
    <w:rsid w:val="008F356D"/>
    <w:rsid w:val="008F6A83"/>
    <w:rsid w:val="00900A3F"/>
    <w:rsid w:val="00901BC8"/>
    <w:rsid w:val="00901D1F"/>
    <w:rsid w:val="00904F1A"/>
    <w:rsid w:val="00905572"/>
    <w:rsid w:val="00906DCD"/>
    <w:rsid w:val="00907B4D"/>
    <w:rsid w:val="009130A9"/>
    <w:rsid w:val="009143B5"/>
    <w:rsid w:val="009145C9"/>
    <w:rsid w:val="00914EDB"/>
    <w:rsid w:val="0091709A"/>
    <w:rsid w:val="0091783B"/>
    <w:rsid w:val="0091787B"/>
    <w:rsid w:val="009202EA"/>
    <w:rsid w:val="0092544D"/>
    <w:rsid w:val="00925522"/>
    <w:rsid w:val="0093079B"/>
    <w:rsid w:val="009328A9"/>
    <w:rsid w:val="00932A07"/>
    <w:rsid w:val="0093607A"/>
    <w:rsid w:val="009408CD"/>
    <w:rsid w:val="0094129A"/>
    <w:rsid w:val="009423B2"/>
    <w:rsid w:val="0094331C"/>
    <w:rsid w:val="00945D55"/>
    <w:rsid w:val="00954C60"/>
    <w:rsid w:val="00954D1E"/>
    <w:rsid w:val="00954F7F"/>
    <w:rsid w:val="00956844"/>
    <w:rsid w:val="009632D0"/>
    <w:rsid w:val="00963D80"/>
    <w:rsid w:val="00972F04"/>
    <w:rsid w:val="0097687D"/>
    <w:rsid w:val="00980174"/>
    <w:rsid w:val="0098441E"/>
    <w:rsid w:val="00986A60"/>
    <w:rsid w:val="00991234"/>
    <w:rsid w:val="00993AED"/>
    <w:rsid w:val="00997B7C"/>
    <w:rsid w:val="009A0EB1"/>
    <w:rsid w:val="009A267C"/>
    <w:rsid w:val="009A531F"/>
    <w:rsid w:val="009A5E75"/>
    <w:rsid w:val="009B07A9"/>
    <w:rsid w:val="009B32E9"/>
    <w:rsid w:val="009B36C4"/>
    <w:rsid w:val="009B534F"/>
    <w:rsid w:val="009C0630"/>
    <w:rsid w:val="009C127E"/>
    <w:rsid w:val="009C74AE"/>
    <w:rsid w:val="009C75C4"/>
    <w:rsid w:val="009D6B17"/>
    <w:rsid w:val="009E2D60"/>
    <w:rsid w:val="009F0F0E"/>
    <w:rsid w:val="009F11A3"/>
    <w:rsid w:val="009F54A5"/>
    <w:rsid w:val="009F7F8C"/>
    <w:rsid w:val="00A04706"/>
    <w:rsid w:val="00A055DF"/>
    <w:rsid w:val="00A05F2A"/>
    <w:rsid w:val="00A07266"/>
    <w:rsid w:val="00A135CF"/>
    <w:rsid w:val="00A14491"/>
    <w:rsid w:val="00A17F8D"/>
    <w:rsid w:val="00A217CA"/>
    <w:rsid w:val="00A23276"/>
    <w:rsid w:val="00A27D13"/>
    <w:rsid w:val="00A33EE3"/>
    <w:rsid w:val="00A45113"/>
    <w:rsid w:val="00A5014E"/>
    <w:rsid w:val="00A53E8A"/>
    <w:rsid w:val="00A543B7"/>
    <w:rsid w:val="00A55506"/>
    <w:rsid w:val="00A557B4"/>
    <w:rsid w:val="00A5632E"/>
    <w:rsid w:val="00A5731B"/>
    <w:rsid w:val="00A64B8A"/>
    <w:rsid w:val="00A65863"/>
    <w:rsid w:val="00A70582"/>
    <w:rsid w:val="00A7224E"/>
    <w:rsid w:val="00A7259C"/>
    <w:rsid w:val="00A8047A"/>
    <w:rsid w:val="00A80637"/>
    <w:rsid w:val="00A8354F"/>
    <w:rsid w:val="00A83A18"/>
    <w:rsid w:val="00A842C3"/>
    <w:rsid w:val="00A84D1D"/>
    <w:rsid w:val="00A8636B"/>
    <w:rsid w:val="00A873DC"/>
    <w:rsid w:val="00A90EAE"/>
    <w:rsid w:val="00A92F89"/>
    <w:rsid w:val="00A97CF0"/>
    <w:rsid w:val="00AA7CE6"/>
    <w:rsid w:val="00AB47B1"/>
    <w:rsid w:val="00AB4EB4"/>
    <w:rsid w:val="00AB7DDD"/>
    <w:rsid w:val="00AC5A35"/>
    <w:rsid w:val="00AC65F4"/>
    <w:rsid w:val="00AC7FC8"/>
    <w:rsid w:val="00AD5D02"/>
    <w:rsid w:val="00AD5D36"/>
    <w:rsid w:val="00AD6A14"/>
    <w:rsid w:val="00AE21F1"/>
    <w:rsid w:val="00AE6A64"/>
    <w:rsid w:val="00AE7731"/>
    <w:rsid w:val="00B12437"/>
    <w:rsid w:val="00B17B92"/>
    <w:rsid w:val="00B24822"/>
    <w:rsid w:val="00B2786B"/>
    <w:rsid w:val="00B27A30"/>
    <w:rsid w:val="00B31CDC"/>
    <w:rsid w:val="00B336E3"/>
    <w:rsid w:val="00B3403C"/>
    <w:rsid w:val="00B44C66"/>
    <w:rsid w:val="00B46708"/>
    <w:rsid w:val="00B51D24"/>
    <w:rsid w:val="00B53A73"/>
    <w:rsid w:val="00B625D4"/>
    <w:rsid w:val="00B66042"/>
    <w:rsid w:val="00B67E80"/>
    <w:rsid w:val="00B67F9B"/>
    <w:rsid w:val="00B7562C"/>
    <w:rsid w:val="00B76035"/>
    <w:rsid w:val="00B76D68"/>
    <w:rsid w:val="00B80014"/>
    <w:rsid w:val="00B80042"/>
    <w:rsid w:val="00B8043B"/>
    <w:rsid w:val="00B856F4"/>
    <w:rsid w:val="00B93B2C"/>
    <w:rsid w:val="00B941C5"/>
    <w:rsid w:val="00B9628E"/>
    <w:rsid w:val="00B96DD2"/>
    <w:rsid w:val="00BA01F1"/>
    <w:rsid w:val="00BB052E"/>
    <w:rsid w:val="00BB504A"/>
    <w:rsid w:val="00BC0739"/>
    <w:rsid w:val="00BC08A7"/>
    <w:rsid w:val="00BC3810"/>
    <w:rsid w:val="00BC3FF1"/>
    <w:rsid w:val="00BC5DF0"/>
    <w:rsid w:val="00BD09B9"/>
    <w:rsid w:val="00BD1465"/>
    <w:rsid w:val="00BD2BC8"/>
    <w:rsid w:val="00BD79F5"/>
    <w:rsid w:val="00BE69EF"/>
    <w:rsid w:val="00BF1604"/>
    <w:rsid w:val="00BF274E"/>
    <w:rsid w:val="00BF39FB"/>
    <w:rsid w:val="00C00203"/>
    <w:rsid w:val="00C0750E"/>
    <w:rsid w:val="00C13C34"/>
    <w:rsid w:val="00C13D66"/>
    <w:rsid w:val="00C140BA"/>
    <w:rsid w:val="00C16562"/>
    <w:rsid w:val="00C17C75"/>
    <w:rsid w:val="00C2105D"/>
    <w:rsid w:val="00C21C51"/>
    <w:rsid w:val="00C2321D"/>
    <w:rsid w:val="00C24F80"/>
    <w:rsid w:val="00C4112B"/>
    <w:rsid w:val="00C41799"/>
    <w:rsid w:val="00C42A0A"/>
    <w:rsid w:val="00C42A84"/>
    <w:rsid w:val="00C43803"/>
    <w:rsid w:val="00C53457"/>
    <w:rsid w:val="00C54B0F"/>
    <w:rsid w:val="00C55D61"/>
    <w:rsid w:val="00C564A1"/>
    <w:rsid w:val="00C5675C"/>
    <w:rsid w:val="00C56E7B"/>
    <w:rsid w:val="00C6052D"/>
    <w:rsid w:val="00C661E0"/>
    <w:rsid w:val="00C712A2"/>
    <w:rsid w:val="00C716E4"/>
    <w:rsid w:val="00C777C2"/>
    <w:rsid w:val="00C8002A"/>
    <w:rsid w:val="00C81730"/>
    <w:rsid w:val="00C85815"/>
    <w:rsid w:val="00C90D33"/>
    <w:rsid w:val="00C91032"/>
    <w:rsid w:val="00C95272"/>
    <w:rsid w:val="00C96BD9"/>
    <w:rsid w:val="00C97C87"/>
    <w:rsid w:val="00CA0788"/>
    <w:rsid w:val="00CA2A42"/>
    <w:rsid w:val="00CA2E3C"/>
    <w:rsid w:val="00CA73C5"/>
    <w:rsid w:val="00CB4322"/>
    <w:rsid w:val="00CB77EA"/>
    <w:rsid w:val="00CC263D"/>
    <w:rsid w:val="00CC5C2F"/>
    <w:rsid w:val="00CC7C53"/>
    <w:rsid w:val="00CD10C2"/>
    <w:rsid w:val="00CD182B"/>
    <w:rsid w:val="00CD23AC"/>
    <w:rsid w:val="00CD3180"/>
    <w:rsid w:val="00CE28EE"/>
    <w:rsid w:val="00CE2C90"/>
    <w:rsid w:val="00CE651C"/>
    <w:rsid w:val="00CE6E7D"/>
    <w:rsid w:val="00CF217E"/>
    <w:rsid w:val="00CF4FB4"/>
    <w:rsid w:val="00CF5775"/>
    <w:rsid w:val="00D033D5"/>
    <w:rsid w:val="00D05313"/>
    <w:rsid w:val="00D05785"/>
    <w:rsid w:val="00D12B10"/>
    <w:rsid w:val="00D26F39"/>
    <w:rsid w:val="00D33B0F"/>
    <w:rsid w:val="00D34370"/>
    <w:rsid w:val="00D35742"/>
    <w:rsid w:val="00D35773"/>
    <w:rsid w:val="00D36AAB"/>
    <w:rsid w:val="00D430C9"/>
    <w:rsid w:val="00D43F95"/>
    <w:rsid w:val="00D501D6"/>
    <w:rsid w:val="00D526ED"/>
    <w:rsid w:val="00D52ABE"/>
    <w:rsid w:val="00D56A75"/>
    <w:rsid w:val="00D61A41"/>
    <w:rsid w:val="00D61E1F"/>
    <w:rsid w:val="00D64343"/>
    <w:rsid w:val="00D73293"/>
    <w:rsid w:val="00D779B8"/>
    <w:rsid w:val="00D81EC7"/>
    <w:rsid w:val="00D8584E"/>
    <w:rsid w:val="00D877C2"/>
    <w:rsid w:val="00D90B73"/>
    <w:rsid w:val="00D9101A"/>
    <w:rsid w:val="00D96BB2"/>
    <w:rsid w:val="00DB7F9D"/>
    <w:rsid w:val="00DC0A59"/>
    <w:rsid w:val="00DC2FD1"/>
    <w:rsid w:val="00DC665D"/>
    <w:rsid w:val="00DD2254"/>
    <w:rsid w:val="00DD43E0"/>
    <w:rsid w:val="00DD67AB"/>
    <w:rsid w:val="00DD746F"/>
    <w:rsid w:val="00DE0E38"/>
    <w:rsid w:val="00DE1D55"/>
    <w:rsid w:val="00DF040A"/>
    <w:rsid w:val="00DF6D2A"/>
    <w:rsid w:val="00E01B56"/>
    <w:rsid w:val="00E03008"/>
    <w:rsid w:val="00E03674"/>
    <w:rsid w:val="00E05B9D"/>
    <w:rsid w:val="00E11799"/>
    <w:rsid w:val="00E11A82"/>
    <w:rsid w:val="00E14059"/>
    <w:rsid w:val="00E16B20"/>
    <w:rsid w:val="00E17B97"/>
    <w:rsid w:val="00E20C7F"/>
    <w:rsid w:val="00E21FBF"/>
    <w:rsid w:val="00E22CB7"/>
    <w:rsid w:val="00E239C5"/>
    <w:rsid w:val="00E23EDC"/>
    <w:rsid w:val="00E27276"/>
    <w:rsid w:val="00E309C9"/>
    <w:rsid w:val="00E35B3A"/>
    <w:rsid w:val="00E43572"/>
    <w:rsid w:val="00E51AB3"/>
    <w:rsid w:val="00E52BAD"/>
    <w:rsid w:val="00E53C3F"/>
    <w:rsid w:val="00E54FA2"/>
    <w:rsid w:val="00E565DE"/>
    <w:rsid w:val="00E56D92"/>
    <w:rsid w:val="00E57ACE"/>
    <w:rsid w:val="00E6109D"/>
    <w:rsid w:val="00E6269C"/>
    <w:rsid w:val="00E62E59"/>
    <w:rsid w:val="00E6387F"/>
    <w:rsid w:val="00E646F6"/>
    <w:rsid w:val="00E6513B"/>
    <w:rsid w:val="00E72F24"/>
    <w:rsid w:val="00E75931"/>
    <w:rsid w:val="00E80B80"/>
    <w:rsid w:val="00E81C35"/>
    <w:rsid w:val="00E81D5E"/>
    <w:rsid w:val="00E86A53"/>
    <w:rsid w:val="00E874FD"/>
    <w:rsid w:val="00E96474"/>
    <w:rsid w:val="00EA336C"/>
    <w:rsid w:val="00EA58D6"/>
    <w:rsid w:val="00EB1755"/>
    <w:rsid w:val="00EB369C"/>
    <w:rsid w:val="00EB7652"/>
    <w:rsid w:val="00EC1201"/>
    <w:rsid w:val="00EC1ED2"/>
    <w:rsid w:val="00EC2FC8"/>
    <w:rsid w:val="00EC66DB"/>
    <w:rsid w:val="00ED3A41"/>
    <w:rsid w:val="00ED5EE5"/>
    <w:rsid w:val="00EE6E00"/>
    <w:rsid w:val="00EE747B"/>
    <w:rsid w:val="00EF1D66"/>
    <w:rsid w:val="00EF5F10"/>
    <w:rsid w:val="00F0159E"/>
    <w:rsid w:val="00F01E32"/>
    <w:rsid w:val="00F04328"/>
    <w:rsid w:val="00F056AA"/>
    <w:rsid w:val="00F06827"/>
    <w:rsid w:val="00F072DB"/>
    <w:rsid w:val="00F12668"/>
    <w:rsid w:val="00F14AED"/>
    <w:rsid w:val="00F156C8"/>
    <w:rsid w:val="00F32B10"/>
    <w:rsid w:val="00F375A6"/>
    <w:rsid w:val="00F402C4"/>
    <w:rsid w:val="00F40D5F"/>
    <w:rsid w:val="00F43B78"/>
    <w:rsid w:val="00F463F7"/>
    <w:rsid w:val="00F502C4"/>
    <w:rsid w:val="00F50718"/>
    <w:rsid w:val="00F54A61"/>
    <w:rsid w:val="00F55135"/>
    <w:rsid w:val="00F70CBA"/>
    <w:rsid w:val="00F710F8"/>
    <w:rsid w:val="00F72A9F"/>
    <w:rsid w:val="00F76F29"/>
    <w:rsid w:val="00F77E8C"/>
    <w:rsid w:val="00F804E9"/>
    <w:rsid w:val="00F81339"/>
    <w:rsid w:val="00F8576E"/>
    <w:rsid w:val="00F9016F"/>
    <w:rsid w:val="00F90BCE"/>
    <w:rsid w:val="00F965F6"/>
    <w:rsid w:val="00F96A50"/>
    <w:rsid w:val="00F96FA8"/>
    <w:rsid w:val="00FA1E0E"/>
    <w:rsid w:val="00FA23B3"/>
    <w:rsid w:val="00FA330F"/>
    <w:rsid w:val="00FA413C"/>
    <w:rsid w:val="00FA5FE0"/>
    <w:rsid w:val="00FA630B"/>
    <w:rsid w:val="00FA7D90"/>
    <w:rsid w:val="00FB0456"/>
    <w:rsid w:val="00FB0F6B"/>
    <w:rsid w:val="00FB12FA"/>
    <w:rsid w:val="00FB218F"/>
    <w:rsid w:val="00FB60B4"/>
    <w:rsid w:val="00FB7016"/>
    <w:rsid w:val="00FC22AF"/>
    <w:rsid w:val="00FD0ADE"/>
    <w:rsid w:val="00FD17AB"/>
    <w:rsid w:val="00FD3B7A"/>
    <w:rsid w:val="00FD59DE"/>
    <w:rsid w:val="00FD59E8"/>
    <w:rsid w:val="00FE045D"/>
    <w:rsid w:val="00FF3063"/>
    <w:rsid w:val="00FF78CB"/>
    <w:rsid w:val="0121D940"/>
    <w:rsid w:val="01A88234"/>
    <w:rsid w:val="01F298BB"/>
    <w:rsid w:val="02069619"/>
    <w:rsid w:val="024BEFAD"/>
    <w:rsid w:val="0262A5C0"/>
    <w:rsid w:val="02991292"/>
    <w:rsid w:val="029E3396"/>
    <w:rsid w:val="02C4064A"/>
    <w:rsid w:val="02E6D7E2"/>
    <w:rsid w:val="02EC7B7A"/>
    <w:rsid w:val="03066175"/>
    <w:rsid w:val="0321DD24"/>
    <w:rsid w:val="0341EA49"/>
    <w:rsid w:val="0360D422"/>
    <w:rsid w:val="041C606F"/>
    <w:rsid w:val="042F2E97"/>
    <w:rsid w:val="0465E82F"/>
    <w:rsid w:val="0488604D"/>
    <w:rsid w:val="04ADE476"/>
    <w:rsid w:val="053092F2"/>
    <w:rsid w:val="053FD50A"/>
    <w:rsid w:val="059A4E58"/>
    <w:rsid w:val="059F9F13"/>
    <w:rsid w:val="0638EEDD"/>
    <w:rsid w:val="06B47248"/>
    <w:rsid w:val="06D42BA2"/>
    <w:rsid w:val="071743DB"/>
    <w:rsid w:val="0721CB4A"/>
    <w:rsid w:val="08594FA0"/>
    <w:rsid w:val="0862B65A"/>
    <w:rsid w:val="087F03D8"/>
    <w:rsid w:val="08DB0FB8"/>
    <w:rsid w:val="096366B9"/>
    <w:rsid w:val="09A45612"/>
    <w:rsid w:val="09D2226D"/>
    <w:rsid w:val="09DBD2E5"/>
    <w:rsid w:val="0A31508D"/>
    <w:rsid w:val="0A71F74D"/>
    <w:rsid w:val="0AC1F8F5"/>
    <w:rsid w:val="0ADCD3EA"/>
    <w:rsid w:val="0B57AD71"/>
    <w:rsid w:val="0B635350"/>
    <w:rsid w:val="0B9B851A"/>
    <w:rsid w:val="0BCBC314"/>
    <w:rsid w:val="0BE40CB4"/>
    <w:rsid w:val="0BF0217D"/>
    <w:rsid w:val="0C5627DD"/>
    <w:rsid w:val="0C6E3DF0"/>
    <w:rsid w:val="0CAB144A"/>
    <w:rsid w:val="0CE144AB"/>
    <w:rsid w:val="0D38FDEC"/>
    <w:rsid w:val="0D43F0F2"/>
    <w:rsid w:val="0D98300B"/>
    <w:rsid w:val="0D989A71"/>
    <w:rsid w:val="0ECBF0C4"/>
    <w:rsid w:val="0F1A27D9"/>
    <w:rsid w:val="0F21F658"/>
    <w:rsid w:val="0FC8813C"/>
    <w:rsid w:val="0FE6623A"/>
    <w:rsid w:val="1067C125"/>
    <w:rsid w:val="10AD1AB9"/>
    <w:rsid w:val="10AD5A24"/>
    <w:rsid w:val="11074A90"/>
    <w:rsid w:val="1186BC2D"/>
    <w:rsid w:val="11FA5548"/>
    <w:rsid w:val="12039186"/>
    <w:rsid w:val="1248EB1A"/>
    <w:rsid w:val="12A77FD7"/>
    <w:rsid w:val="1333F4BB"/>
    <w:rsid w:val="144AC954"/>
    <w:rsid w:val="14C5E71C"/>
    <w:rsid w:val="15584B21"/>
    <w:rsid w:val="1616BA44"/>
    <w:rsid w:val="169D253C"/>
    <w:rsid w:val="16E5EA99"/>
    <w:rsid w:val="17B642D4"/>
    <w:rsid w:val="180E8B69"/>
    <w:rsid w:val="181DBFBB"/>
    <w:rsid w:val="1869EF03"/>
    <w:rsid w:val="18927B99"/>
    <w:rsid w:val="18E762A8"/>
    <w:rsid w:val="194775E1"/>
    <w:rsid w:val="19CF26F2"/>
    <w:rsid w:val="19E82BD0"/>
    <w:rsid w:val="19FEE119"/>
    <w:rsid w:val="1A1BCD03"/>
    <w:rsid w:val="1B1CAD01"/>
    <w:rsid w:val="1B4896D5"/>
    <w:rsid w:val="1BBEEC30"/>
    <w:rsid w:val="1BF4F5E0"/>
    <w:rsid w:val="1C13914D"/>
    <w:rsid w:val="1CE39053"/>
    <w:rsid w:val="1CEC53C1"/>
    <w:rsid w:val="1D6A5BEA"/>
    <w:rsid w:val="1DA9DB17"/>
    <w:rsid w:val="1DE95C7C"/>
    <w:rsid w:val="1E43DF55"/>
    <w:rsid w:val="1EDF60DF"/>
    <w:rsid w:val="1FE92444"/>
    <w:rsid w:val="202FAF8D"/>
    <w:rsid w:val="205199B8"/>
    <w:rsid w:val="2054E093"/>
    <w:rsid w:val="208346EF"/>
    <w:rsid w:val="21620752"/>
    <w:rsid w:val="2206AA18"/>
    <w:rsid w:val="228C73AE"/>
    <w:rsid w:val="22BF4212"/>
    <w:rsid w:val="22D115E6"/>
    <w:rsid w:val="22E56D5F"/>
    <w:rsid w:val="234B64A8"/>
    <w:rsid w:val="234F1BE8"/>
    <w:rsid w:val="235CE0DB"/>
    <w:rsid w:val="23827350"/>
    <w:rsid w:val="23946549"/>
    <w:rsid w:val="23BB2ED4"/>
    <w:rsid w:val="2428440F"/>
    <w:rsid w:val="24B39083"/>
    <w:rsid w:val="24C38CF8"/>
    <w:rsid w:val="24E499A9"/>
    <w:rsid w:val="251FABE6"/>
    <w:rsid w:val="258D9F2A"/>
    <w:rsid w:val="25A65656"/>
    <w:rsid w:val="263F3D6B"/>
    <w:rsid w:val="268494BC"/>
    <w:rsid w:val="26BB7C47"/>
    <w:rsid w:val="26C3AEEC"/>
    <w:rsid w:val="26D9F78E"/>
    <w:rsid w:val="2753E30A"/>
    <w:rsid w:val="276F325E"/>
    <w:rsid w:val="27BE84CB"/>
    <w:rsid w:val="286421D1"/>
    <w:rsid w:val="286DED24"/>
    <w:rsid w:val="28DB702C"/>
    <w:rsid w:val="28FBB532"/>
    <w:rsid w:val="2929DF5F"/>
    <w:rsid w:val="29559B6C"/>
    <w:rsid w:val="295A552C"/>
    <w:rsid w:val="29740A64"/>
    <w:rsid w:val="29990EF3"/>
    <w:rsid w:val="29D90579"/>
    <w:rsid w:val="29FC1014"/>
    <w:rsid w:val="2AA94213"/>
    <w:rsid w:val="2AB8D840"/>
    <w:rsid w:val="2AC2D8AF"/>
    <w:rsid w:val="2AC8143E"/>
    <w:rsid w:val="2AEA3010"/>
    <w:rsid w:val="2BD21359"/>
    <w:rsid w:val="2BFBD50C"/>
    <w:rsid w:val="2C6CF24D"/>
    <w:rsid w:val="2C79C797"/>
    <w:rsid w:val="2D38091D"/>
    <w:rsid w:val="2D6CB8BD"/>
    <w:rsid w:val="2DE0E091"/>
    <w:rsid w:val="2E76A14A"/>
    <w:rsid w:val="2F7635C9"/>
    <w:rsid w:val="2FCBE321"/>
    <w:rsid w:val="2FFEC9B9"/>
    <w:rsid w:val="311C6F71"/>
    <w:rsid w:val="31356083"/>
    <w:rsid w:val="31E8209E"/>
    <w:rsid w:val="31E8C726"/>
    <w:rsid w:val="32216B62"/>
    <w:rsid w:val="3226B6F2"/>
    <w:rsid w:val="3238926C"/>
    <w:rsid w:val="326C74F1"/>
    <w:rsid w:val="329ED78F"/>
    <w:rsid w:val="32AB804B"/>
    <w:rsid w:val="32D081C8"/>
    <w:rsid w:val="330383E3"/>
    <w:rsid w:val="34A2039D"/>
    <w:rsid w:val="351A9662"/>
    <w:rsid w:val="35228F06"/>
    <w:rsid w:val="357D235A"/>
    <w:rsid w:val="35A78150"/>
    <w:rsid w:val="35C3CBBA"/>
    <w:rsid w:val="35E50124"/>
    <w:rsid w:val="35E952F6"/>
    <w:rsid w:val="361E7A71"/>
    <w:rsid w:val="36A70F54"/>
    <w:rsid w:val="37177019"/>
    <w:rsid w:val="3718F3BB"/>
    <w:rsid w:val="374571C7"/>
    <w:rsid w:val="37D1B53E"/>
    <w:rsid w:val="38735506"/>
    <w:rsid w:val="38F79D7D"/>
    <w:rsid w:val="3931FCEF"/>
    <w:rsid w:val="3962D757"/>
    <w:rsid w:val="39C6FC4E"/>
    <w:rsid w:val="39E33C53"/>
    <w:rsid w:val="3AAC6E80"/>
    <w:rsid w:val="3AB596E3"/>
    <w:rsid w:val="3AEBA7AF"/>
    <w:rsid w:val="3AFBDFB2"/>
    <w:rsid w:val="3B179781"/>
    <w:rsid w:val="3B6515A4"/>
    <w:rsid w:val="3B72F74C"/>
    <w:rsid w:val="3BDB115C"/>
    <w:rsid w:val="3C0A6B0D"/>
    <w:rsid w:val="3C516744"/>
    <w:rsid w:val="3C5EF007"/>
    <w:rsid w:val="3C72C8B3"/>
    <w:rsid w:val="3C7FABCA"/>
    <w:rsid w:val="3C9C0C36"/>
    <w:rsid w:val="3CCD2453"/>
    <w:rsid w:val="3CD837ED"/>
    <w:rsid w:val="3D3717BC"/>
    <w:rsid w:val="3D9ABC9B"/>
    <w:rsid w:val="3DA08601"/>
    <w:rsid w:val="3DB9A02C"/>
    <w:rsid w:val="3DF4DD81"/>
    <w:rsid w:val="3E3EF954"/>
    <w:rsid w:val="3E4019A9"/>
    <w:rsid w:val="3EDAD2DB"/>
    <w:rsid w:val="3EFD98FA"/>
    <w:rsid w:val="3F3D9046"/>
    <w:rsid w:val="40567E1A"/>
    <w:rsid w:val="409C4BAB"/>
    <w:rsid w:val="40D6DE11"/>
    <w:rsid w:val="410B927A"/>
    <w:rsid w:val="42217411"/>
    <w:rsid w:val="4225C740"/>
    <w:rsid w:val="4233AFC3"/>
    <w:rsid w:val="429A039B"/>
    <w:rsid w:val="42D5AA98"/>
    <w:rsid w:val="42F6B3FB"/>
    <w:rsid w:val="43C9AC9A"/>
    <w:rsid w:val="442314B0"/>
    <w:rsid w:val="443E6A2F"/>
    <w:rsid w:val="443FEC44"/>
    <w:rsid w:val="445138A3"/>
    <w:rsid w:val="44717AF9"/>
    <w:rsid w:val="44D53629"/>
    <w:rsid w:val="450241C6"/>
    <w:rsid w:val="45312A66"/>
    <w:rsid w:val="45A4B26E"/>
    <w:rsid w:val="45D9DB77"/>
    <w:rsid w:val="463FE7FE"/>
    <w:rsid w:val="4758B5FB"/>
    <w:rsid w:val="47C7D508"/>
    <w:rsid w:val="481B9EB2"/>
    <w:rsid w:val="483B5B0E"/>
    <w:rsid w:val="4944C684"/>
    <w:rsid w:val="4A1BE85B"/>
    <w:rsid w:val="4A1C59BB"/>
    <w:rsid w:val="4A283352"/>
    <w:rsid w:val="4AB001DC"/>
    <w:rsid w:val="4ADAE6A4"/>
    <w:rsid w:val="4C0DE7B0"/>
    <w:rsid w:val="4C1FAC9A"/>
    <w:rsid w:val="4C7A9646"/>
    <w:rsid w:val="4CD357C2"/>
    <w:rsid w:val="4D6E2EFA"/>
    <w:rsid w:val="4D80D1C8"/>
    <w:rsid w:val="4D9B2489"/>
    <w:rsid w:val="4DEEFDD0"/>
    <w:rsid w:val="4E7D1811"/>
    <w:rsid w:val="4ECA8D26"/>
    <w:rsid w:val="4EFEA2D0"/>
    <w:rsid w:val="4F53B38D"/>
    <w:rsid w:val="4FA5DA9C"/>
    <w:rsid w:val="4FB28602"/>
    <w:rsid w:val="4FBA2FAC"/>
    <w:rsid w:val="4FD7E5AF"/>
    <w:rsid w:val="4FDBF56C"/>
    <w:rsid w:val="501AA8B8"/>
    <w:rsid w:val="50ADF3E9"/>
    <w:rsid w:val="50FC56C0"/>
    <w:rsid w:val="51A47D13"/>
    <w:rsid w:val="51EDB5AF"/>
    <w:rsid w:val="5215DBC8"/>
    <w:rsid w:val="522419C6"/>
    <w:rsid w:val="523084ED"/>
    <w:rsid w:val="523AFC85"/>
    <w:rsid w:val="524989B4"/>
    <w:rsid w:val="52628535"/>
    <w:rsid w:val="52EC6C77"/>
    <w:rsid w:val="53475C60"/>
    <w:rsid w:val="53BB2384"/>
    <w:rsid w:val="550D9BAD"/>
    <w:rsid w:val="553E975C"/>
    <w:rsid w:val="55732A93"/>
    <w:rsid w:val="55A028B8"/>
    <w:rsid w:val="55C7F157"/>
    <w:rsid w:val="55CC2584"/>
    <w:rsid w:val="56449F60"/>
    <w:rsid w:val="5653E971"/>
    <w:rsid w:val="56715921"/>
    <w:rsid w:val="5689575D"/>
    <w:rsid w:val="576430E5"/>
    <w:rsid w:val="5765B5B3"/>
    <w:rsid w:val="576B430A"/>
    <w:rsid w:val="57F02CA9"/>
    <w:rsid w:val="58282C2F"/>
    <w:rsid w:val="5884D84B"/>
    <w:rsid w:val="58855752"/>
    <w:rsid w:val="58C6B55E"/>
    <w:rsid w:val="5949BA50"/>
    <w:rsid w:val="59C3FC90"/>
    <w:rsid w:val="5A8884E4"/>
    <w:rsid w:val="5AD7ED7C"/>
    <w:rsid w:val="5B4B9CC2"/>
    <w:rsid w:val="5BAC11BF"/>
    <w:rsid w:val="5BBF704B"/>
    <w:rsid w:val="5C0D3727"/>
    <w:rsid w:val="5C29F402"/>
    <w:rsid w:val="5C3DCCEE"/>
    <w:rsid w:val="5CF972C5"/>
    <w:rsid w:val="5CFDB6F2"/>
    <w:rsid w:val="5D278CA7"/>
    <w:rsid w:val="5D6C895F"/>
    <w:rsid w:val="5DA1DE11"/>
    <w:rsid w:val="5E03C9C4"/>
    <w:rsid w:val="5E0D922E"/>
    <w:rsid w:val="5EA999C9"/>
    <w:rsid w:val="5EC52E08"/>
    <w:rsid w:val="5EE0CDE1"/>
    <w:rsid w:val="5EE4458F"/>
    <w:rsid w:val="5EFF11C4"/>
    <w:rsid w:val="5F0048B2"/>
    <w:rsid w:val="5F029D13"/>
    <w:rsid w:val="5F091B9F"/>
    <w:rsid w:val="5FFBECF2"/>
    <w:rsid w:val="60085F97"/>
    <w:rsid w:val="600D0B84"/>
    <w:rsid w:val="60238817"/>
    <w:rsid w:val="6027B34A"/>
    <w:rsid w:val="60486EE1"/>
    <w:rsid w:val="6056AE09"/>
    <w:rsid w:val="6101402B"/>
    <w:rsid w:val="61017E47"/>
    <w:rsid w:val="6135B2CD"/>
    <w:rsid w:val="615AB9AB"/>
    <w:rsid w:val="61E5EA1A"/>
    <w:rsid w:val="62394A7A"/>
    <w:rsid w:val="626288E0"/>
    <w:rsid w:val="62F8E6E2"/>
    <w:rsid w:val="6355F4CE"/>
    <w:rsid w:val="637AD9AA"/>
    <w:rsid w:val="6402AD0F"/>
    <w:rsid w:val="6449A80D"/>
    <w:rsid w:val="64A42583"/>
    <w:rsid w:val="64DAFE0A"/>
    <w:rsid w:val="64E21569"/>
    <w:rsid w:val="64E52E6D"/>
    <w:rsid w:val="6561E0AF"/>
    <w:rsid w:val="65708AC5"/>
    <w:rsid w:val="6698810C"/>
    <w:rsid w:val="66EDA1FA"/>
    <w:rsid w:val="66F99C6A"/>
    <w:rsid w:val="6725F4C9"/>
    <w:rsid w:val="674DD299"/>
    <w:rsid w:val="67BA2D7C"/>
    <w:rsid w:val="67C42878"/>
    <w:rsid w:val="68274C30"/>
    <w:rsid w:val="684D6790"/>
    <w:rsid w:val="685637F7"/>
    <w:rsid w:val="6877EAA8"/>
    <w:rsid w:val="687A3AA6"/>
    <w:rsid w:val="6941FD88"/>
    <w:rsid w:val="6967FB97"/>
    <w:rsid w:val="69F20858"/>
    <w:rsid w:val="6A23C355"/>
    <w:rsid w:val="6A46263E"/>
    <w:rsid w:val="6A5C8DBC"/>
    <w:rsid w:val="6A801B8D"/>
    <w:rsid w:val="6ACF3F91"/>
    <w:rsid w:val="6B0BDE2F"/>
    <w:rsid w:val="6B5D2E00"/>
    <w:rsid w:val="6B95F26E"/>
    <w:rsid w:val="6BF0F3C8"/>
    <w:rsid w:val="6CE9EA13"/>
    <w:rsid w:val="6D118768"/>
    <w:rsid w:val="6D96D79C"/>
    <w:rsid w:val="6DEF0193"/>
    <w:rsid w:val="6E7F1006"/>
    <w:rsid w:val="6EE0293D"/>
    <w:rsid w:val="701A9AD2"/>
    <w:rsid w:val="701FDCD1"/>
    <w:rsid w:val="712CDE36"/>
    <w:rsid w:val="715004FD"/>
    <w:rsid w:val="716D50C3"/>
    <w:rsid w:val="719B6F4C"/>
    <w:rsid w:val="71CFFC77"/>
    <w:rsid w:val="71D69D49"/>
    <w:rsid w:val="71E87AFA"/>
    <w:rsid w:val="72D7D77A"/>
    <w:rsid w:val="7308D2A0"/>
    <w:rsid w:val="732E3571"/>
    <w:rsid w:val="73317AC1"/>
    <w:rsid w:val="735495A6"/>
    <w:rsid w:val="73D792EE"/>
    <w:rsid w:val="73EBF133"/>
    <w:rsid w:val="73EC3EB8"/>
    <w:rsid w:val="73FDA59E"/>
    <w:rsid w:val="74137370"/>
    <w:rsid w:val="7452AF5E"/>
    <w:rsid w:val="745B9D36"/>
    <w:rsid w:val="74C3ACDE"/>
    <w:rsid w:val="751A49F0"/>
    <w:rsid w:val="7544816C"/>
    <w:rsid w:val="7574E9C3"/>
    <w:rsid w:val="757AA6EB"/>
    <w:rsid w:val="766B0CF0"/>
    <w:rsid w:val="768C1102"/>
    <w:rsid w:val="76D594D5"/>
    <w:rsid w:val="76EDD66B"/>
    <w:rsid w:val="771B4EBF"/>
    <w:rsid w:val="77993016"/>
    <w:rsid w:val="782BCA87"/>
    <w:rsid w:val="786A95B5"/>
    <w:rsid w:val="787800D4"/>
    <w:rsid w:val="78BD7814"/>
    <w:rsid w:val="78ECFDB7"/>
    <w:rsid w:val="792D846F"/>
    <w:rsid w:val="798F3612"/>
    <w:rsid w:val="7AA5BF42"/>
    <w:rsid w:val="7AFD9D56"/>
    <w:rsid w:val="7B32FAEA"/>
    <w:rsid w:val="7BDAB4AD"/>
    <w:rsid w:val="7BF51C7D"/>
    <w:rsid w:val="7C05FC55"/>
    <w:rsid w:val="7C265C4D"/>
    <w:rsid w:val="7C3D5E31"/>
    <w:rsid w:val="7D2F3660"/>
    <w:rsid w:val="7DA4B58F"/>
    <w:rsid w:val="7DDB6E22"/>
    <w:rsid w:val="7E52120C"/>
    <w:rsid w:val="7E7BEDD0"/>
    <w:rsid w:val="7E8C32C0"/>
    <w:rsid w:val="7E93BBF2"/>
    <w:rsid w:val="7F79DD08"/>
    <w:rsid w:val="7F8D1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F170"/>
  <w15:chartTrackingRefBased/>
  <w15:docId w15:val="{2AE93C6F-F99E-4586-8D51-0378F23C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799"/>
    <w:rPr>
      <w:color w:val="0563C1" w:themeColor="hyperlink"/>
      <w:u w:val="single"/>
    </w:rPr>
  </w:style>
  <w:style w:type="character" w:styleId="UnresolvedMention">
    <w:name w:val="Unresolved Mention"/>
    <w:basedOn w:val="DefaultParagraphFont"/>
    <w:uiPriority w:val="99"/>
    <w:semiHidden/>
    <w:unhideWhenUsed/>
    <w:rsid w:val="00C41799"/>
    <w:rPr>
      <w:color w:val="605E5C"/>
      <w:shd w:val="clear" w:color="auto" w:fill="E1DFDD"/>
    </w:rPr>
  </w:style>
  <w:style w:type="character" w:styleId="FollowedHyperlink">
    <w:name w:val="FollowedHyperlink"/>
    <w:basedOn w:val="DefaultParagraphFont"/>
    <w:uiPriority w:val="99"/>
    <w:semiHidden/>
    <w:unhideWhenUsed/>
    <w:rsid w:val="00C41799"/>
    <w:rPr>
      <w:color w:val="954F72" w:themeColor="followedHyperlink"/>
      <w:u w:val="single"/>
    </w:rPr>
  </w:style>
  <w:style w:type="paragraph" w:styleId="ListParagraph">
    <w:name w:val="List Paragraph"/>
    <w:basedOn w:val="Normal"/>
    <w:uiPriority w:val="34"/>
    <w:qFormat/>
    <w:rsid w:val="00A45113"/>
    <w:pPr>
      <w:ind w:left="720"/>
      <w:contextualSpacing/>
    </w:pPr>
  </w:style>
  <w:style w:type="character" w:styleId="CommentReference">
    <w:name w:val="annotation reference"/>
    <w:basedOn w:val="DefaultParagraphFont"/>
    <w:uiPriority w:val="99"/>
    <w:semiHidden/>
    <w:unhideWhenUsed/>
    <w:rsid w:val="0040337C"/>
    <w:rPr>
      <w:sz w:val="16"/>
      <w:szCs w:val="16"/>
    </w:rPr>
  </w:style>
  <w:style w:type="paragraph" w:styleId="CommentText">
    <w:name w:val="annotation text"/>
    <w:basedOn w:val="Normal"/>
    <w:link w:val="CommentTextChar"/>
    <w:uiPriority w:val="99"/>
    <w:unhideWhenUsed/>
    <w:rsid w:val="0040337C"/>
    <w:pPr>
      <w:spacing w:line="240" w:lineRule="auto"/>
    </w:pPr>
    <w:rPr>
      <w:sz w:val="20"/>
      <w:szCs w:val="20"/>
    </w:rPr>
  </w:style>
  <w:style w:type="character" w:customStyle="1" w:styleId="CommentTextChar">
    <w:name w:val="Comment Text Char"/>
    <w:basedOn w:val="DefaultParagraphFont"/>
    <w:link w:val="CommentText"/>
    <w:uiPriority w:val="99"/>
    <w:rsid w:val="0040337C"/>
    <w:rPr>
      <w:sz w:val="20"/>
      <w:szCs w:val="20"/>
    </w:rPr>
  </w:style>
  <w:style w:type="paragraph" w:styleId="CommentSubject">
    <w:name w:val="annotation subject"/>
    <w:basedOn w:val="CommentText"/>
    <w:next w:val="CommentText"/>
    <w:link w:val="CommentSubjectChar"/>
    <w:uiPriority w:val="99"/>
    <w:semiHidden/>
    <w:unhideWhenUsed/>
    <w:rsid w:val="0040337C"/>
    <w:rPr>
      <w:b/>
      <w:bCs/>
    </w:rPr>
  </w:style>
  <w:style w:type="character" w:customStyle="1" w:styleId="CommentSubjectChar">
    <w:name w:val="Comment Subject Char"/>
    <w:basedOn w:val="CommentTextChar"/>
    <w:link w:val="CommentSubject"/>
    <w:uiPriority w:val="99"/>
    <w:semiHidden/>
    <w:rsid w:val="0040337C"/>
    <w:rPr>
      <w:b/>
      <w:bCs/>
      <w:sz w:val="20"/>
      <w:szCs w:val="20"/>
    </w:rPr>
  </w:style>
  <w:style w:type="paragraph" w:styleId="Revision">
    <w:name w:val="Revision"/>
    <w:hidden/>
    <w:uiPriority w:val="99"/>
    <w:semiHidden/>
    <w:rsid w:val="00D64343"/>
    <w:pPr>
      <w:spacing w:after="0" w:line="240" w:lineRule="auto"/>
    </w:pPr>
  </w:style>
  <w:style w:type="character" w:styleId="Mention">
    <w:name w:val="Mention"/>
    <w:basedOn w:val="DefaultParagraphFont"/>
    <w:uiPriority w:val="99"/>
    <w:unhideWhenUsed/>
    <w:rsid w:val="004A288C"/>
    <w:rPr>
      <w:color w:val="2B579A"/>
      <w:shd w:val="clear" w:color="auto" w:fill="E1DFDD"/>
    </w:rPr>
  </w:style>
  <w:style w:type="paragraph" w:styleId="Header">
    <w:name w:val="header"/>
    <w:basedOn w:val="Normal"/>
    <w:link w:val="HeaderChar"/>
    <w:uiPriority w:val="99"/>
    <w:unhideWhenUsed/>
    <w:rsid w:val="005D6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6A7"/>
  </w:style>
  <w:style w:type="paragraph" w:styleId="Footer">
    <w:name w:val="footer"/>
    <w:basedOn w:val="Normal"/>
    <w:link w:val="FooterChar"/>
    <w:uiPriority w:val="99"/>
    <w:unhideWhenUsed/>
    <w:rsid w:val="005D6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6A7"/>
  </w:style>
  <w:style w:type="table" w:styleId="TableGridLight">
    <w:name w:val="Grid Table Light"/>
    <w:basedOn w:val="TableNormal"/>
    <w:uiPriority w:val="40"/>
    <w:rsid w:val="00297D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8920">
      <w:bodyDiv w:val="1"/>
      <w:marLeft w:val="0"/>
      <w:marRight w:val="0"/>
      <w:marTop w:val="0"/>
      <w:marBottom w:val="0"/>
      <w:divBdr>
        <w:top w:val="none" w:sz="0" w:space="0" w:color="auto"/>
        <w:left w:val="none" w:sz="0" w:space="0" w:color="auto"/>
        <w:bottom w:val="none" w:sz="0" w:space="0" w:color="auto"/>
        <w:right w:val="none" w:sz="0" w:space="0" w:color="auto"/>
      </w:divBdr>
    </w:div>
    <w:div w:id="203295473">
      <w:bodyDiv w:val="1"/>
      <w:marLeft w:val="0"/>
      <w:marRight w:val="0"/>
      <w:marTop w:val="0"/>
      <w:marBottom w:val="0"/>
      <w:divBdr>
        <w:top w:val="none" w:sz="0" w:space="0" w:color="auto"/>
        <w:left w:val="none" w:sz="0" w:space="0" w:color="auto"/>
        <w:bottom w:val="none" w:sz="0" w:space="0" w:color="auto"/>
        <w:right w:val="none" w:sz="0" w:space="0" w:color="auto"/>
      </w:divBdr>
    </w:div>
    <w:div w:id="250480109">
      <w:bodyDiv w:val="1"/>
      <w:marLeft w:val="0"/>
      <w:marRight w:val="0"/>
      <w:marTop w:val="0"/>
      <w:marBottom w:val="0"/>
      <w:divBdr>
        <w:top w:val="none" w:sz="0" w:space="0" w:color="auto"/>
        <w:left w:val="none" w:sz="0" w:space="0" w:color="auto"/>
        <w:bottom w:val="none" w:sz="0" w:space="0" w:color="auto"/>
        <w:right w:val="none" w:sz="0" w:space="0" w:color="auto"/>
      </w:divBdr>
    </w:div>
    <w:div w:id="268508608">
      <w:bodyDiv w:val="1"/>
      <w:marLeft w:val="0"/>
      <w:marRight w:val="0"/>
      <w:marTop w:val="0"/>
      <w:marBottom w:val="0"/>
      <w:divBdr>
        <w:top w:val="none" w:sz="0" w:space="0" w:color="auto"/>
        <w:left w:val="none" w:sz="0" w:space="0" w:color="auto"/>
        <w:bottom w:val="none" w:sz="0" w:space="0" w:color="auto"/>
        <w:right w:val="none" w:sz="0" w:space="0" w:color="auto"/>
      </w:divBdr>
    </w:div>
    <w:div w:id="355355921">
      <w:bodyDiv w:val="1"/>
      <w:marLeft w:val="0"/>
      <w:marRight w:val="0"/>
      <w:marTop w:val="0"/>
      <w:marBottom w:val="0"/>
      <w:divBdr>
        <w:top w:val="none" w:sz="0" w:space="0" w:color="auto"/>
        <w:left w:val="none" w:sz="0" w:space="0" w:color="auto"/>
        <w:bottom w:val="none" w:sz="0" w:space="0" w:color="auto"/>
        <w:right w:val="none" w:sz="0" w:space="0" w:color="auto"/>
      </w:divBdr>
    </w:div>
    <w:div w:id="357505740">
      <w:bodyDiv w:val="1"/>
      <w:marLeft w:val="0"/>
      <w:marRight w:val="0"/>
      <w:marTop w:val="0"/>
      <w:marBottom w:val="0"/>
      <w:divBdr>
        <w:top w:val="none" w:sz="0" w:space="0" w:color="auto"/>
        <w:left w:val="none" w:sz="0" w:space="0" w:color="auto"/>
        <w:bottom w:val="none" w:sz="0" w:space="0" w:color="auto"/>
        <w:right w:val="none" w:sz="0" w:space="0" w:color="auto"/>
      </w:divBdr>
    </w:div>
    <w:div w:id="390925542">
      <w:bodyDiv w:val="1"/>
      <w:marLeft w:val="0"/>
      <w:marRight w:val="0"/>
      <w:marTop w:val="0"/>
      <w:marBottom w:val="0"/>
      <w:divBdr>
        <w:top w:val="none" w:sz="0" w:space="0" w:color="auto"/>
        <w:left w:val="none" w:sz="0" w:space="0" w:color="auto"/>
        <w:bottom w:val="none" w:sz="0" w:space="0" w:color="auto"/>
        <w:right w:val="none" w:sz="0" w:space="0" w:color="auto"/>
      </w:divBdr>
    </w:div>
    <w:div w:id="514004902">
      <w:bodyDiv w:val="1"/>
      <w:marLeft w:val="0"/>
      <w:marRight w:val="0"/>
      <w:marTop w:val="0"/>
      <w:marBottom w:val="0"/>
      <w:divBdr>
        <w:top w:val="none" w:sz="0" w:space="0" w:color="auto"/>
        <w:left w:val="none" w:sz="0" w:space="0" w:color="auto"/>
        <w:bottom w:val="none" w:sz="0" w:space="0" w:color="auto"/>
        <w:right w:val="none" w:sz="0" w:space="0" w:color="auto"/>
      </w:divBdr>
    </w:div>
    <w:div w:id="519662262">
      <w:bodyDiv w:val="1"/>
      <w:marLeft w:val="0"/>
      <w:marRight w:val="0"/>
      <w:marTop w:val="0"/>
      <w:marBottom w:val="0"/>
      <w:divBdr>
        <w:top w:val="none" w:sz="0" w:space="0" w:color="auto"/>
        <w:left w:val="none" w:sz="0" w:space="0" w:color="auto"/>
        <w:bottom w:val="none" w:sz="0" w:space="0" w:color="auto"/>
        <w:right w:val="none" w:sz="0" w:space="0" w:color="auto"/>
      </w:divBdr>
    </w:div>
    <w:div w:id="554200883">
      <w:bodyDiv w:val="1"/>
      <w:marLeft w:val="0"/>
      <w:marRight w:val="0"/>
      <w:marTop w:val="0"/>
      <w:marBottom w:val="0"/>
      <w:divBdr>
        <w:top w:val="none" w:sz="0" w:space="0" w:color="auto"/>
        <w:left w:val="none" w:sz="0" w:space="0" w:color="auto"/>
        <w:bottom w:val="none" w:sz="0" w:space="0" w:color="auto"/>
        <w:right w:val="none" w:sz="0" w:space="0" w:color="auto"/>
      </w:divBdr>
    </w:div>
    <w:div w:id="567805427">
      <w:bodyDiv w:val="1"/>
      <w:marLeft w:val="0"/>
      <w:marRight w:val="0"/>
      <w:marTop w:val="0"/>
      <w:marBottom w:val="0"/>
      <w:divBdr>
        <w:top w:val="none" w:sz="0" w:space="0" w:color="auto"/>
        <w:left w:val="none" w:sz="0" w:space="0" w:color="auto"/>
        <w:bottom w:val="none" w:sz="0" w:space="0" w:color="auto"/>
        <w:right w:val="none" w:sz="0" w:space="0" w:color="auto"/>
      </w:divBdr>
    </w:div>
    <w:div w:id="573513132">
      <w:bodyDiv w:val="1"/>
      <w:marLeft w:val="0"/>
      <w:marRight w:val="0"/>
      <w:marTop w:val="0"/>
      <w:marBottom w:val="0"/>
      <w:divBdr>
        <w:top w:val="none" w:sz="0" w:space="0" w:color="auto"/>
        <w:left w:val="none" w:sz="0" w:space="0" w:color="auto"/>
        <w:bottom w:val="none" w:sz="0" w:space="0" w:color="auto"/>
        <w:right w:val="none" w:sz="0" w:space="0" w:color="auto"/>
      </w:divBdr>
      <w:divsChild>
        <w:div w:id="944340274">
          <w:marLeft w:val="0"/>
          <w:marRight w:val="0"/>
          <w:marTop w:val="0"/>
          <w:marBottom w:val="0"/>
          <w:divBdr>
            <w:top w:val="none" w:sz="0" w:space="0" w:color="auto"/>
            <w:left w:val="none" w:sz="0" w:space="0" w:color="auto"/>
            <w:bottom w:val="none" w:sz="0" w:space="0" w:color="auto"/>
            <w:right w:val="none" w:sz="0" w:space="0" w:color="auto"/>
          </w:divBdr>
        </w:div>
      </w:divsChild>
    </w:div>
    <w:div w:id="575938489">
      <w:bodyDiv w:val="1"/>
      <w:marLeft w:val="0"/>
      <w:marRight w:val="0"/>
      <w:marTop w:val="0"/>
      <w:marBottom w:val="0"/>
      <w:divBdr>
        <w:top w:val="none" w:sz="0" w:space="0" w:color="auto"/>
        <w:left w:val="none" w:sz="0" w:space="0" w:color="auto"/>
        <w:bottom w:val="none" w:sz="0" w:space="0" w:color="auto"/>
        <w:right w:val="none" w:sz="0" w:space="0" w:color="auto"/>
      </w:divBdr>
    </w:div>
    <w:div w:id="729420752">
      <w:bodyDiv w:val="1"/>
      <w:marLeft w:val="0"/>
      <w:marRight w:val="0"/>
      <w:marTop w:val="0"/>
      <w:marBottom w:val="0"/>
      <w:divBdr>
        <w:top w:val="none" w:sz="0" w:space="0" w:color="auto"/>
        <w:left w:val="none" w:sz="0" w:space="0" w:color="auto"/>
        <w:bottom w:val="none" w:sz="0" w:space="0" w:color="auto"/>
        <w:right w:val="none" w:sz="0" w:space="0" w:color="auto"/>
      </w:divBdr>
    </w:div>
    <w:div w:id="789324107">
      <w:bodyDiv w:val="1"/>
      <w:marLeft w:val="0"/>
      <w:marRight w:val="0"/>
      <w:marTop w:val="0"/>
      <w:marBottom w:val="0"/>
      <w:divBdr>
        <w:top w:val="none" w:sz="0" w:space="0" w:color="auto"/>
        <w:left w:val="none" w:sz="0" w:space="0" w:color="auto"/>
        <w:bottom w:val="none" w:sz="0" w:space="0" w:color="auto"/>
        <w:right w:val="none" w:sz="0" w:space="0" w:color="auto"/>
      </w:divBdr>
    </w:div>
    <w:div w:id="796993315">
      <w:bodyDiv w:val="1"/>
      <w:marLeft w:val="0"/>
      <w:marRight w:val="0"/>
      <w:marTop w:val="0"/>
      <w:marBottom w:val="0"/>
      <w:divBdr>
        <w:top w:val="none" w:sz="0" w:space="0" w:color="auto"/>
        <w:left w:val="none" w:sz="0" w:space="0" w:color="auto"/>
        <w:bottom w:val="none" w:sz="0" w:space="0" w:color="auto"/>
        <w:right w:val="none" w:sz="0" w:space="0" w:color="auto"/>
      </w:divBdr>
    </w:div>
    <w:div w:id="798035142">
      <w:bodyDiv w:val="1"/>
      <w:marLeft w:val="0"/>
      <w:marRight w:val="0"/>
      <w:marTop w:val="0"/>
      <w:marBottom w:val="0"/>
      <w:divBdr>
        <w:top w:val="none" w:sz="0" w:space="0" w:color="auto"/>
        <w:left w:val="none" w:sz="0" w:space="0" w:color="auto"/>
        <w:bottom w:val="none" w:sz="0" w:space="0" w:color="auto"/>
        <w:right w:val="none" w:sz="0" w:space="0" w:color="auto"/>
      </w:divBdr>
    </w:div>
    <w:div w:id="809859930">
      <w:bodyDiv w:val="1"/>
      <w:marLeft w:val="0"/>
      <w:marRight w:val="0"/>
      <w:marTop w:val="0"/>
      <w:marBottom w:val="0"/>
      <w:divBdr>
        <w:top w:val="none" w:sz="0" w:space="0" w:color="auto"/>
        <w:left w:val="none" w:sz="0" w:space="0" w:color="auto"/>
        <w:bottom w:val="none" w:sz="0" w:space="0" w:color="auto"/>
        <w:right w:val="none" w:sz="0" w:space="0" w:color="auto"/>
      </w:divBdr>
    </w:div>
    <w:div w:id="848107027">
      <w:bodyDiv w:val="1"/>
      <w:marLeft w:val="0"/>
      <w:marRight w:val="0"/>
      <w:marTop w:val="0"/>
      <w:marBottom w:val="0"/>
      <w:divBdr>
        <w:top w:val="none" w:sz="0" w:space="0" w:color="auto"/>
        <w:left w:val="none" w:sz="0" w:space="0" w:color="auto"/>
        <w:bottom w:val="none" w:sz="0" w:space="0" w:color="auto"/>
        <w:right w:val="none" w:sz="0" w:space="0" w:color="auto"/>
      </w:divBdr>
    </w:div>
    <w:div w:id="935796028">
      <w:bodyDiv w:val="1"/>
      <w:marLeft w:val="0"/>
      <w:marRight w:val="0"/>
      <w:marTop w:val="0"/>
      <w:marBottom w:val="0"/>
      <w:divBdr>
        <w:top w:val="none" w:sz="0" w:space="0" w:color="auto"/>
        <w:left w:val="none" w:sz="0" w:space="0" w:color="auto"/>
        <w:bottom w:val="none" w:sz="0" w:space="0" w:color="auto"/>
        <w:right w:val="none" w:sz="0" w:space="0" w:color="auto"/>
      </w:divBdr>
      <w:divsChild>
        <w:div w:id="1478570779">
          <w:marLeft w:val="0"/>
          <w:marRight w:val="0"/>
          <w:marTop w:val="0"/>
          <w:marBottom w:val="0"/>
          <w:divBdr>
            <w:top w:val="none" w:sz="0" w:space="0" w:color="auto"/>
            <w:left w:val="none" w:sz="0" w:space="0" w:color="auto"/>
            <w:bottom w:val="none" w:sz="0" w:space="0" w:color="auto"/>
            <w:right w:val="none" w:sz="0" w:space="0" w:color="auto"/>
          </w:divBdr>
        </w:div>
      </w:divsChild>
    </w:div>
    <w:div w:id="1027877820">
      <w:bodyDiv w:val="1"/>
      <w:marLeft w:val="0"/>
      <w:marRight w:val="0"/>
      <w:marTop w:val="0"/>
      <w:marBottom w:val="0"/>
      <w:divBdr>
        <w:top w:val="none" w:sz="0" w:space="0" w:color="auto"/>
        <w:left w:val="none" w:sz="0" w:space="0" w:color="auto"/>
        <w:bottom w:val="none" w:sz="0" w:space="0" w:color="auto"/>
        <w:right w:val="none" w:sz="0" w:space="0" w:color="auto"/>
      </w:divBdr>
    </w:div>
    <w:div w:id="1074163431">
      <w:bodyDiv w:val="1"/>
      <w:marLeft w:val="0"/>
      <w:marRight w:val="0"/>
      <w:marTop w:val="0"/>
      <w:marBottom w:val="0"/>
      <w:divBdr>
        <w:top w:val="none" w:sz="0" w:space="0" w:color="auto"/>
        <w:left w:val="none" w:sz="0" w:space="0" w:color="auto"/>
        <w:bottom w:val="none" w:sz="0" w:space="0" w:color="auto"/>
        <w:right w:val="none" w:sz="0" w:space="0" w:color="auto"/>
      </w:divBdr>
    </w:div>
    <w:div w:id="1116631425">
      <w:bodyDiv w:val="1"/>
      <w:marLeft w:val="0"/>
      <w:marRight w:val="0"/>
      <w:marTop w:val="0"/>
      <w:marBottom w:val="0"/>
      <w:divBdr>
        <w:top w:val="none" w:sz="0" w:space="0" w:color="auto"/>
        <w:left w:val="none" w:sz="0" w:space="0" w:color="auto"/>
        <w:bottom w:val="none" w:sz="0" w:space="0" w:color="auto"/>
        <w:right w:val="none" w:sz="0" w:space="0" w:color="auto"/>
      </w:divBdr>
    </w:div>
    <w:div w:id="1288854463">
      <w:bodyDiv w:val="1"/>
      <w:marLeft w:val="0"/>
      <w:marRight w:val="0"/>
      <w:marTop w:val="0"/>
      <w:marBottom w:val="0"/>
      <w:divBdr>
        <w:top w:val="none" w:sz="0" w:space="0" w:color="auto"/>
        <w:left w:val="none" w:sz="0" w:space="0" w:color="auto"/>
        <w:bottom w:val="none" w:sz="0" w:space="0" w:color="auto"/>
        <w:right w:val="none" w:sz="0" w:space="0" w:color="auto"/>
      </w:divBdr>
    </w:div>
    <w:div w:id="1291783236">
      <w:bodyDiv w:val="1"/>
      <w:marLeft w:val="0"/>
      <w:marRight w:val="0"/>
      <w:marTop w:val="0"/>
      <w:marBottom w:val="0"/>
      <w:divBdr>
        <w:top w:val="none" w:sz="0" w:space="0" w:color="auto"/>
        <w:left w:val="none" w:sz="0" w:space="0" w:color="auto"/>
        <w:bottom w:val="none" w:sz="0" w:space="0" w:color="auto"/>
        <w:right w:val="none" w:sz="0" w:space="0" w:color="auto"/>
      </w:divBdr>
    </w:div>
    <w:div w:id="1338655487">
      <w:bodyDiv w:val="1"/>
      <w:marLeft w:val="0"/>
      <w:marRight w:val="0"/>
      <w:marTop w:val="0"/>
      <w:marBottom w:val="0"/>
      <w:divBdr>
        <w:top w:val="none" w:sz="0" w:space="0" w:color="auto"/>
        <w:left w:val="none" w:sz="0" w:space="0" w:color="auto"/>
        <w:bottom w:val="none" w:sz="0" w:space="0" w:color="auto"/>
        <w:right w:val="none" w:sz="0" w:space="0" w:color="auto"/>
      </w:divBdr>
    </w:div>
    <w:div w:id="1358307818">
      <w:bodyDiv w:val="1"/>
      <w:marLeft w:val="0"/>
      <w:marRight w:val="0"/>
      <w:marTop w:val="0"/>
      <w:marBottom w:val="0"/>
      <w:divBdr>
        <w:top w:val="none" w:sz="0" w:space="0" w:color="auto"/>
        <w:left w:val="none" w:sz="0" w:space="0" w:color="auto"/>
        <w:bottom w:val="none" w:sz="0" w:space="0" w:color="auto"/>
        <w:right w:val="none" w:sz="0" w:space="0" w:color="auto"/>
      </w:divBdr>
    </w:div>
    <w:div w:id="1565144205">
      <w:bodyDiv w:val="1"/>
      <w:marLeft w:val="0"/>
      <w:marRight w:val="0"/>
      <w:marTop w:val="0"/>
      <w:marBottom w:val="0"/>
      <w:divBdr>
        <w:top w:val="none" w:sz="0" w:space="0" w:color="auto"/>
        <w:left w:val="none" w:sz="0" w:space="0" w:color="auto"/>
        <w:bottom w:val="none" w:sz="0" w:space="0" w:color="auto"/>
        <w:right w:val="none" w:sz="0" w:space="0" w:color="auto"/>
      </w:divBdr>
    </w:div>
    <w:div w:id="1579173760">
      <w:bodyDiv w:val="1"/>
      <w:marLeft w:val="0"/>
      <w:marRight w:val="0"/>
      <w:marTop w:val="0"/>
      <w:marBottom w:val="0"/>
      <w:divBdr>
        <w:top w:val="none" w:sz="0" w:space="0" w:color="auto"/>
        <w:left w:val="none" w:sz="0" w:space="0" w:color="auto"/>
        <w:bottom w:val="none" w:sz="0" w:space="0" w:color="auto"/>
        <w:right w:val="none" w:sz="0" w:space="0" w:color="auto"/>
      </w:divBdr>
    </w:div>
    <w:div w:id="1597908491">
      <w:bodyDiv w:val="1"/>
      <w:marLeft w:val="0"/>
      <w:marRight w:val="0"/>
      <w:marTop w:val="0"/>
      <w:marBottom w:val="0"/>
      <w:divBdr>
        <w:top w:val="none" w:sz="0" w:space="0" w:color="auto"/>
        <w:left w:val="none" w:sz="0" w:space="0" w:color="auto"/>
        <w:bottom w:val="none" w:sz="0" w:space="0" w:color="auto"/>
        <w:right w:val="none" w:sz="0" w:space="0" w:color="auto"/>
      </w:divBdr>
    </w:div>
    <w:div w:id="1630092570">
      <w:bodyDiv w:val="1"/>
      <w:marLeft w:val="0"/>
      <w:marRight w:val="0"/>
      <w:marTop w:val="0"/>
      <w:marBottom w:val="0"/>
      <w:divBdr>
        <w:top w:val="none" w:sz="0" w:space="0" w:color="auto"/>
        <w:left w:val="none" w:sz="0" w:space="0" w:color="auto"/>
        <w:bottom w:val="none" w:sz="0" w:space="0" w:color="auto"/>
        <w:right w:val="none" w:sz="0" w:space="0" w:color="auto"/>
      </w:divBdr>
    </w:div>
    <w:div w:id="1688171969">
      <w:bodyDiv w:val="1"/>
      <w:marLeft w:val="0"/>
      <w:marRight w:val="0"/>
      <w:marTop w:val="0"/>
      <w:marBottom w:val="0"/>
      <w:divBdr>
        <w:top w:val="none" w:sz="0" w:space="0" w:color="auto"/>
        <w:left w:val="none" w:sz="0" w:space="0" w:color="auto"/>
        <w:bottom w:val="none" w:sz="0" w:space="0" w:color="auto"/>
        <w:right w:val="none" w:sz="0" w:space="0" w:color="auto"/>
      </w:divBdr>
    </w:div>
    <w:div w:id="1697536088">
      <w:bodyDiv w:val="1"/>
      <w:marLeft w:val="0"/>
      <w:marRight w:val="0"/>
      <w:marTop w:val="0"/>
      <w:marBottom w:val="0"/>
      <w:divBdr>
        <w:top w:val="none" w:sz="0" w:space="0" w:color="auto"/>
        <w:left w:val="none" w:sz="0" w:space="0" w:color="auto"/>
        <w:bottom w:val="none" w:sz="0" w:space="0" w:color="auto"/>
        <w:right w:val="none" w:sz="0" w:space="0" w:color="auto"/>
      </w:divBdr>
    </w:div>
    <w:div w:id="1731419135">
      <w:bodyDiv w:val="1"/>
      <w:marLeft w:val="0"/>
      <w:marRight w:val="0"/>
      <w:marTop w:val="0"/>
      <w:marBottom w:val="0"/>
      <w:divBdr>
        <w:top w:val="none" w:sz="0" w:space="0" w:color="auto"/>
        <w:left w:val="none" w:sz="0" w:space="0" w:color="auto"/>
        <w:bottom w:val="none" w:sz="0" w:space="0" w:color="auto"/>
        <w:right w:val="none" w:sz="0" w:space="0" w:color="auto"/>
      </w:divBdr>
    </w:div>
    <w:div w:id="1775318693">
      <w:bodyDiv w:val="1"/>
      <w:marLeft w:val="0"/>
      <w:marRight w:val="0"/>
      <w:marTop w:val="0"/>
      <w:marBottom w:val="0"/>
      <w:divBdr>
        <w:top w:val="none" w:sz="0" w:space="0" w:color="auto"/>
        <w:left w:val="none" w:sz="0" w:space="0" w:color="auto"/>
        <w:bottom w:val="none" w:sz="0" w:space="0" w:color="auto"/>
        <w:right w:val="none" w:sz="0" w:space="0" w:color="auto"/>
      </w:divBdr>
    </w:div>
    <w:div w:id="1809080851">
      <w:bodyDiv w:val="1"/>
      <w:marLeft w:val="0"/>
      <w:marRight w:val="0"/>
      <w:marTop w:val="0"/>
      <w:marBottom w:val="0"/>
      <w:divBdr>
        <w:top w:val="none" w:sz="0" w:space="0" w:color="auto"/>
        <w:left w:val="none" w:sz="0" w:space="0" w:color="auto"/>
        <w:bottom w:val="none" w:sz="0" w:space="0" w:color="auto"/>
        <w:right w:val="none" w:sz="0" w:space="0" w:color="auto"/>
      </w:divBdr>
    </w:div>
    <w:div w:id="1853176829">
      <w:bodyDiv w:val="1"/>
      <w:marLeft w:val="0"/>
      <w:marRight w:val="0"/>
      <w:marTop w:val="0"/>
      <w:marBottom w:val="0"/>
      <w:divBdr>
        <w:top w:val="none" w:sz="0" w:space="0" w:color="auto"/>
        <w:left w:val="none" w:sz="0" w:space="0" w:color="auto"/>
        <w:bottom w:val="none" w:sz="0" w:space="0" w:color="auto"/>
        <w:right w:val="none" w:sz="0" w:space="0" w:color="auto"/>
      </w:divBdr>
      <w:divsChild>
        <w:div w:id="557668448">
          <w:marLeft w:val="0"/>
          <w:marRight w:val="0"/>
          <w:marTop w:val="0"/>
          <w:marBottom w:val="0"/>
          <w:divBdr>
            <w:top w:val="none" w:sz="0" w:space="0" w:color="auto"/>
            <w:left w:val="none" w:sz="0" w:space="0" w:color="auto"/>
            <w:bottom w:val="none" w:sz="0" w:space="0" w:color="auto"/>
            <w:right w:val="none" w:sz="0" w:space="0" w:color="auto"/>
          </w:divBdr>
        </w:div>
      </w:divsChild>
    </w:div>
    <w:div w:id="1916545047">
      <w:bodyDiv w:val="1"/>
      <w:marLeft w:val="0"/>
      <w:marRight w:val="0"/>
      <w:marTop w:val="0"/>
      <w:marBottom w:val="0"/>
      <w:divBdr>
        <w:top w:val="none" w:sz="0" w:space="0" w:color="auto"/>
        <w:left w:val="none" w:sz="0" w:space="0" w:color="auto"/>
        <w:bottom w:val="none" w:sz="0" w:space="0" w:color="auto"/>
        <w:right w:val="none" w:sz="0" w:space="0" w:color="auto"/>
      </w:divBdr>
    </w:div>
    <w:div w:id="2009596132">
      <w:bodyDiv w:val="1"/>
      <w:marLeft w:val="0"/>
      <w:marRight w:val="0"/>
      <w:marTop w:val="0"/>
      <w:marBottom w:val="0"/>
      <w:divBdr>
        <w:top w:val="none" w:sz="0" w:space="0" w:color="auto"/>
        <w:left w:val="none" w:sz="0" w:space="0" w:color="auto"/>
        <w:bottom w:val="none" w:sz="0" w:space="0" w:color="auto"/>
        <w:right w:val="none" w:sz="0" w:space="0" w:color="auto"/>
      </w:divBdr>
    </w:div>
    <w:div w:id="2017227294">
      <w:bodyDiv w:val="1"/>
      <w:marLeft w:val="0"/>
      <w:marRight w:val="0"/>
      <w:marTop w:val="0"/>
      <w:marBottom w:val="0"/>
      <w:divBdr>
        <w:top w:val="none" w:sz="0" w:space="0" w:color="auto"/>
        <w:left w:val="none" w:sz="0" w:space="0" w:color="auto"/>
        <w:bottom w:val="none" w:sz="0" w:space="0" w:color="auto"/>
        <w:right w:val="none" w:sz="0" w:space="0" w:color="auto"/>
      </w:divBdr>
    </w:div>
    <w:div w:id="2070686616">
      <w:bodyDiv w:val="1"/>
      <w:marLeft w:val="0"/>
      <w:marRight w:val="0"/>
      <w:marTop w:val="0"/>
      <w:marBottom w:val="0"/>
      <w:divBdr>
        <w:top w:val="none" w:sz="0" w:space="0" w:color="auto"/>
        <w:left w:val="none" w:sz="0" w:space="0" w:color="auto"/>
        <w:bottom w:val="none" w:sz="0" w:space="0" w:color="auto"/>
        <w:right w:val="none" w:sz="0" w:space="0" w:color="auto"/>
      </w:divBdr>
    </w:div>
    <w:div w:id="21440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ecams-resourc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bizfileonline.sos.ca.gov/forms/business" TargetMode="External"/><Relationship Id="rId17" Type="http://schemas.openxmlformats.org/officeDocument/2006/relationships/hyperlink" Target="https://energiize.org/partners?section=vendor.vendor-types.preferred" TargetMode="Externa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solicitations/2023-04/gfo-22-612-electric-school-bus-bi-directional-infrastructur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ergy.ca.gov/event/funding-workshop/2023-04/pre-application-workshop-gfo-22-612-electric-school-bus-b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event/funding-workshop/2023-04/pre-application-workshop-gfo-22-612-electric-school-bus-b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Seth Reimers</DisplayName>
        <AccountId>161</AccountId>
        <AccountType/>
      </UserInfo>
      <UserInfo>
        <DisplayName>bnl</DisplayName>
        <AccountId>848</AccountId>
        <AccountType/>
      </UserInfo>
      <UserInfo>
        <DisplayName>Yakshina, Tatyana@Energy</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787CD-054C-4573-8603-D41C70126B57}">
  <ds:schemaRefs>
    <ds:schemaRef ds:uri="http://schemas.openxmlformats.org/officeDocument/2006/bibliography"/>
  </ds:schemaRefs>
</ds:datastoreItem>
</file>

<file path=customXml/itemProps2.xml><?xml version="1.0" encoding="utf-8"?>
<ds:datastoreItem xmlns:ds="http://schemas.openxmlformats.org/officeDocument/2006/customXml" ds:itemID="{B8B47A29-537B-4FBB-BB11-28816C79357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9AD444AD-4013-46D5-A42A-50AF9E84170F}">
  <ds:schemaRefs>
    <ds:schemaRef ds:uri="http://schemas.microsoft.com/sharepoint/v3/contenttype/forms"/>
  </ds:schemaRefs>
</ds:datastoreItem>
</file>

<file path=customXml/itemProps4.xml><?xml version="1.0" encoding="utf-8"?>
<ds:datastoreItem xmlns:ds="http://schemas.openxmlformats.org/officeDocument/2006/customXml" ds:itemID="{982373C2-1B00-464A-BAA3-1245F0119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Jeffrey@Energy</dc:creator>
  <cp:keywords/>
  <dc:description/>
  <cp:lastModifiedBy>Willis, Crystal@Energy</cp:lastModifiedBy>
  <cp:revision>196</cp:revision>
  <dcterms:created xsi:type="dcterms:W3CDTF">2023-04-27T17:27:00Z</dcterms:created>
  <dcterms:modified xsi:type="dcterms:W3CDTF">2023-05-30T20:16:00Z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