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5795E0AF"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B058A3" w:rsidRPr="00B4492B">
        <w:rPr>
          <w:rFonts w:ascii="Arial" w:eastAsia="Times New Roman" w:hAnsi="Arial" w:cs="Arial"/>
          <w:sz w:val="24"/>
          <w:szCs w:val="24"/>
        </w:rPr>
        <w:t>2</w:t>
      </w:r>
      <w:r w:rsidR="00253929">
        <w:rPr>
          <w:rFonts w:ascii="Arial" w:eastAsia="Times New Roman" w:hAnsi="Arial" w:cs="Arial"/>
          <w:sz w:val="24"/>
          <w:szCs w:val="24"/>
        </w:rPr>
        <w:t>2</w:t>
      </w:r>
      <w:r w:rsidR="006259F3">
        <w:rPr>
          <w:rFonts w:ascii="Arial" w:eastAsia="Times New Roman" w:hAnsi="Arial" w:cs="Arial"/>
          <w:sz w:val="24"/>
          <w:szCs w:val="24"/>
        </w:rPr>
        <w:t>-</w:t>
      </w:r>
      <w:r w:rsidR="00253929">
        <w:rPr>
          <w:rFonts w:ascii="Arial" w:eastAsia="Times New Roman" w:hAnsi="Arial" w:cs="Arial"/>
          <w:sz w:val="24"/>
          <w:szCs w:val="24"/>
        </w:rPr>
        <w:t>308</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72F3" w14:textId="77777777" w:rsidR="00257B4A" w:rsidRDefault="00257B4A" w:rsidP="00FF5B20">
      <w:pPr>
        <w:spacing w:after="0" w:line="240" w:lineRule="auto"/>
      </w:pPr>
      <w:r>
        <w:separator/>
      </w:r>
    </w:p>
  </w:endnote>
  <w:endnote w:type="continuationSeparator" w:id="0">
    <w:p w14:paraId="3B147816" w14:textId="77777777" w:rsidR="00257B4A" w:rsidRDefault="00257B4A"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1840CA78" w:rsidR="00B4492B" w:rsidRPr="00B4492B" w:rsidRDefault="00253929" w:rsidP="00B4492B">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June</w:t>
    </w:r>
    <w:r w:rsidR="002C64C1">
      <w:rPr>
        <w:rFonts w:ascii="Arial" w:eastAsia="Times New Roman" w:hAnsi="Arial" w:cs="Arial"/>
        <w:sz w:val="16"/>
        <w:szCs w:val="16"/>
      </w:rPr>
      <w:t xml:space="preserve"> 2023</w:t>
    </w:r>
    <w:r w:rsidR="00B4492B" w:rsidRPr="00B4492B">
      <w:rPr>
        <w:rFonts w:ascii="Arial" w:eastAsia="Times New Roman" w:hAnsi="Arial" w:cs="Arial"/>
        <w:sz w:val="20"/>
        <w:szCs w:val="20"/>
      </w:rPr>
      <w:tab/>
    </w:r>
    <w:r w:rsidR="00B4492B" w:rsidRPr="00B4492B">
      <w:rPr>
        <w:rFonts w:ascii="Arial" w:eastAsia="Times New Roman" w:hAnsi="Arial" w:cs="Arial"/>
        <w:sz w:val="16"/>
        <w:szCs w:val="16"/>
      </w:rPr>
      <w:t xml:space="preserve">Page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PAGE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1</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 xml:space="preserve"> of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NUMPAGES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4</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ab/>
      <w:t>GFO-2</w:t>
    </w:r>
    <w:r w:rsidR="0094244B">
      <w:rPr>
        <w:rFonts w:ascii="Arial" w:eastAsia="Times New Roman" w:hAnsi="Arial" w:cs="Arial"/>
        <w:sz w:val="16"/>
        <w:szCs w:val="16"/>
      </w:rPr>
      <w:t>2</w:t>
    </w:r>
    <w:r w:rsidR="006259F3">
      <w:rPr>
        <w:rFonts w:ascii="Arial" w:eastAsia="Times New Roman" w:hAnsi="Arial" w:cs="Arial"/>
        <w:sz w:val="16"/>
        <w:szCs w:val="16"/>
      </w:rPr>
      <w:t>-</w:t>
    </w:r>
    <w:r w:rsidR="002E4520">
      <w:rPr>
        <w:rFonts w:ascii="Arial" w:eastAsia="Times New Roman" w:hAnsi="Arial" w:cs="Arial"/>
        <w:sz w:val="16"/>
        <w:szCs w:val="16"/>
      </w:rPr>
      <w:t>308</w:t>
    </w:r>
  </w:p>
  <w:p w14:paraId="2ACB584F" w14:textId="2042BCE8" w:rsidR="0021786C" w:rsidRPr="00B4492B"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Rev.0</w:t>
    </w:r>
    <w:r>
      <w:rPr>
        <w:rFonts w:ascii="Arial" w:eastAsia="Times New Roman" w:hAnsi="Arial" w:cs="Arial"/>
        <w:sz w:val="16"/>
        <w:szCs w:val="16"/>
      </w:rPr>
      <w:t>4</w:t>
    </w:r>
    <w:r w:rsidRPr="00B4492B">
      <w:rPr>
        <w:rFonts w:ascii="Arial" w:eastAsia="Times New Roman" w:hAnsi="Arial" w:cs="Arial"/>
        <w:sz w:val="16"/>
        <w:szCs w:val="16"/>
      </w:rPr>
      <w:t>/202</w:t>
    </w:r>
    <w:r>
      <w:rPr>
        <w:rFonts w:ascii="Arial" w:eastAsia="Times New Roman" w:hAnsi="Arial" w:cs="Arial"/>
        <w:sz w:val="16"/>
        <w:szCs w:val="16"/>
      </w:rPr>
      <w:t>2</w:t>
    </w:r>
    <w:r w:rsidRPr="00B4492B">
      <w:rPr>
        <w:rFonts w:ascii="Arial" w:eastAsia="Times New Roman" w:hAnsi="Arial" w:cs="Arial"/>
        <w:sz w:val="16"/>
        <w:szCs w:val="16"/>
      </w:rPr>
      <w:tab/>
    </w:r>
    <w:r w:rsidRPr="00B4492B">
      <w:rPr>
        <w:rFonts w:ascii="Arial" w:eastAsia="Times New Roman" w:hAnsi="Arial" w:cs="Arial"/>
        <w:sz w:val="16"/>
        <w:szCs w:val="16"/>
      </w:rPr>
      <w:tab/>
    </w:r>
    <w:r w:rsidR="006259F3" w:rsidRPr="006259F3">
      <w:rPr>
        <w:rFonts w:ascii="Arial" w:eastAsia="Times New Roman" w:hAnsi="Arial" w:cs="Arial"/>
        <w:sz w:val="16"/>
        <w:szCs w:val="16"/>
      </w:rPr>
      <w:t>HVAC Decarbonization for Large Buildings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9CD9" w14:textId="77777777" w:rsidR="00257B4A" w:rsidRDefault="00257B4A" w:rsidP="00FF5B20">
      <w:pPr>
        <w:spacing w:after="0" w:line="240" w:lineRule="auto"/>
      </w:pPr>
      <w:r>
        <w:separator/>
      </w:r>
    </w:p>
  </w:footnote>
  <w:footnote w:type="continuationSeparator" w:id="0">
    <w:p w14:paraId="60DBCD4B" w14:textId="77777777" w:rsidR="00257B4A" w:rsidRDefault="00257B4A"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51F8"/>
    <w:rsid w:val="001701AC"/>
    <w:rsid w:val="00192B05"/>
    <w:rsid w:val="00194AD2"/>
    <w:rsid w:val="001E786F"/>
    <w:rsid w:val="00212D0F"/>
    <w:rsid w:val="0021786C"/>
    <w:rsid w:val="00253929"/>
    <w:rsid w:val="00257B4A"/>
    <w:rsid w:val="002618BD"/>
    <w:rsid w:val="00284B09"/>
    <w:rsid w:val="002C64C1"/>
    <w:rsid w:val="002E4520"/>
    <w:rsid w:val="00303D38"/>
    <w:rsid w:val="003141B4"/>
    <w:rsid w:val="003320A9"/>
    <w:rsid w:val="003915F8"/>
    <w:rsid w:val="003C610A"/>
    <w:rsid w:val="00460A4D"/>
    <w:rsid w:val="004672AB"/>
    <w:rsid w:val="0046789F"/>
    <w:rsid w:val="004E01BE"/>
    <w:rsid w:val="00504F1B"/>
    <w:rsid w:val="00524698"/>
    <w:rsid w:val="00554049"/>
    <w:rsid w:val="005633D3"/>
    <w:rsid w:val="00593496"/>
    <w:rsid w:val="005B797B"/>
    <w:rsid w:val="006259F3"/>
    <w:rsid w:val="00651442"/>
    <w:rsid w:val="006B3C52"/>
    <w:rsid w:val="006F12C7"/>
    <w:rsid w:val="0078221F"/>
    <w:rsid w:val="007A15A3"/>
    <w:rsid w:val="007A6EC7"/>
    <w:rsid w:val="007F32C9"/>
    <w:rsid w:val="0080389F"/>
    <w:rsid w:val="00817F2E"/>
    <w:rsid w:val="008736A9"/>
    <w:rsid w:val="008743E9"/>
    <w:rsid w:val="00875525"/>
    <w:rsid w:val="008875C6"/>
    <w:rsid w:val="008A43C6"/>
    <w:rsid w:val="008B29AE"/>
    <w:rsid w:val="008D39BA"/>
    <w:rsid w:val="008E2CB0"/>
    <w:rsid w:val="0094244B"/>
    <w:rsid w:val="0096368E"/>
    <w:rsid w:val="009A6943"/>
    <w:rsid w:val="00A644AA"/>
    <w:rsid w:val="00A7599C"/>
    <w:rsid w:val="00A76CC6"/>
    <w:rsid w:val="00AA7880"/>
    <w:rsid w:val="00B058A3"/>
    <w:rsid w:val="00B4492B"/>
    <w:rsid w:val="00B46C5D"/>
    <w:rsid w:val="00B61913"/>
    <w:rsid w:val="00BE79FD"/>
    <w:rsid w:val="00C00A1B"/>
    <w:rsid w:val="00C801FF"/>
    <w:rsid w:val="00CC7120"/>
    <w:rsid w:val="00D21B5C"/>
    <w:rsid w:val="00D47AD9"/>
    <w:rsid w:val="00D50A5B"/>
    <w:rsid w:val="00D520A5"/>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2.xml><?xml version="1.0" encoding="utf-8"?>
<ds:datastoreItem xmlns:ds="http://schemas.openxmlformats.org/officeDocument/2006/customXml" ds:itemID="{AEFF9B04-8853-4A27-8F07-5D9250FC2C1A}">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5067c814-4b34-462c-a21d-c185ff6548d2"/>
    <ds:schemaRef ds:uri="785685f2-c2e1-4352-89aa-3faca8eaba5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14353E-105B-416F-A7D5-EC24A0C3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12_GFO-22-308_Att_12_Applicant_Declaration_ada</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Cary, Eilene@Energy</cp:lastModifiedBy>
  <cp:revision>8</cp:revision>
  <dcterms:created xsi:type="dcterms:W3CDTF">2023-03-01T23:01:00Z</dcterms:created>
  <dcterms:modified xsi:type="dcterms:W3CDTF">2023-06-16T17:24:00Z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