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0C33" w14:textId="77777777" w:rsidR="00472D2F" w:rsidRDefault="00472D2F" w:rsidP="384D0256">
      <w:pPr>
        <w:spacing w:after="0" w:line="240" w:lineRule="auto"/>
        <w:ind w:left="720" w:hanging="720"/>
        <w:jc w:val="center"/>
        <w:rPr>
          <w:rFonts w:ascii="Tahoma" w:hAnsi="Tahoma" w:cs="Tahoma"/>
          <w:b/>
          <w:bCs/>
          <w:sz w:val="24"/>
          <w:szCs w:val="24"/>
        </w:rPr>
      </w:pPr>
      <w:r w:rsidRPr="384D0256">
        <w:rPr>
          <w:rFonts w:ascii="Tahoma" w:hAnsi="Tahoma" w:cs="Tahoma"/>
          <w:b/>
          <w:bCs/>
          <w:sz w:val="24"/>
          <w:szCs w:val="24"/>
        </w:rPr>
        <w:t>Questions and Answers</w:t>
      </w:r>
    </w:p>
    <w:p w14:paraId="0FDE2A45" w14:textId="15B02127" w:rsidR="002D68AA" w:rsidRDefault="002D68AA" w:rsidP="00B4351B">
      <w:pPr>
        <w:spacing w:after="0" w:line="240" w:lineRule="auto"/>
        <w:ind w:left="720" w:hanging="720"/>
        <w:jc w:val="center"/>
        <w:rPr>
          <w:rFonts w:ascii="Tahoma" w:hAnsi="Tahoma" w:cs="Tahoma"/>
          <w:b/>
          <w:sz w:val="24"/>
          <w:szCs w:val="24"/>
        </w:rPr>
      </w:pPr>
      <w:r>
        <w:rPr>
          <w:rFonts w:ascii="Tahoma" w:hAnsi="Tahoma" w:cs="Tahoma"/>
          <w:b/>
          <w:sz w:val="24"/>
          <w:szCs w:val="24"/>
        </w:rPr>
        <w:t xml:space="preserve">Signage and Other Measures to Increase </w:t>
      </w:r>
      <w:r w:rsidR="002644ED">
        <w:rPr>
          <w:rFonts w:ascii="Tahoma" w:hAnsi="Tahoma" w:cs="Tahoma"/>
          <w:b/>
          <w:sz w:val="24"/>
          <w:szCs w:val="24"/>
        </w:rPr>
        <w:t xml:space="preserve">the Visibility of Electric Vehicle Charging and Hydrogen Refueling Stations </w:t>
      </w:r>
    </w:p>
    <w:p w14:paraId="736A5FDF" w14:textId="3D8E8ABB" w:rsidR="002D68AA" w:rsidRPr="00A62F65" w:rsidRDefault="002D68AA" w:rsidP="00B4351B">
      <w:pPr>
        <w:spacing w:after="0" w:line="240" w:lineRule="auto"/>
        <w:ind w:left="720" w:hanging="720"/>
        <w:jc w:val="center"/>
        <w:rPr>
          <w:rFonts w:ascii="Tahoma" w:hAnsi="Tahoma" w:cs="Tahoma"/>
          <w:b/>
          <w:sz w:val="24"/>
          <w:szCs w:val="24"/>
        </w:rPr>
      </w:pPr>
      <w:r>
        <w:rPr>
          <w:rFonts w:ascii="Tahoma" w:hAnsi="Tahoma" w:cs="Tahoma"/>
          <w:b/>
          <w:sz w:val="24"/>
          <w:szCs w:val="24"/>
        </w:rPr>
        <w:t>GFO-22-613</w:t>
      </w:r>
    </w:p>
    <w:p w14:paraId="7F36A8FA" w14:textId="6BD0D48E" w:rsidR="00A62F65" w:rsidRPr="00A62F65" w:rsidRDefault="0023750E" w:rsidP="00B4351B">
      <w:pPr>
        <w:spacing w:after="0" w:line="240" w:lineRule="auto"/>
        <w:ind w:left="720" w:hanging="720"/>
        <w:jc w:val="center"/>
        <w:rPr>
          <w:rFonts w:ascii="Tahoma" w:hAnsi="Tahoma" w:cs="Tahoma"/>
          <w:b/>
          <w:sz w:val="24"/>
          <w:szCs w:val="24"/>
        </w:rPr>
      </w:pPr>
      <w:r>
        <w:rPr>
          <w:rFonts w:ascii="Tahoma" w:hAnsi="Tahoma" w:cs="Tahoma"/>
          <w:b/>
          <w:sz w:val="24"/>
          <w:szCs w:val="24"/>
        </w:rPr>
        <w:t>June</w:t>
      </w:r>
      <w:r w:rsidR="002D68AA" w:rsidRPr="002D68AA">
        <w:rPr>
          <w:rFonts w:ascii="Tahoma" w:hAnsi="Tahoma" w:cs="Tahoma"/>
          <w:b/>
          <w:sz w:val="24"/>
          <w:szCs w:val="24"/>
        </w:rPr>
        <w:t xml:space="preserve"> </w:t>
      </w:r>
      <w:r>
        <w:rPr>
          <w:rFonts w:ascii="Tahoma" w:hAnsi="Tahoma" w:cs="Tahoma"/>
          <w:b/>
          <w:sz w:val="24"/>
          <w:szCs w:val="24"/>
        </w:rPr>
        <w:t>16</w:t>
      </w:r>
      <w:r w:rsidR="002D68AA" w:rsidRPr="002D68AA">
        <w:rPr>
          <w:rFonts w:ascii="Tahoma" w:hAnsi="Tahoma" w:cs="Tahoma"/>
          <w:b/>
          <w:sz w:val="24"/>
          <w:szCs w:val="24"/>
        </w:rPr>
        <w:t>, 2023</w:t>
      </w:r>
    </w:p>
    <w:p w14:paraId="6EFD7521" w14:textId="77777777" w:rsidR="00472D2F" w:rsidRDefault="00472D2F" w:rsidP="00B4351B">
      <w:pPr>
        <w:spacing w:after="0" w:line="240" w:lineRule="auto"/>
        <w:ind w:left="720" w:hanging="720"/>
      </w:pPr>
    </w:p>
    <w:p w14:paraId="0C836C00" w14:textId="77777777" w:rsidR="00B4351B" w:rsidRDefault="00B4351B" w:rsidP="00B4351B">
      <w:pPr>
        <w:spacing w:after="0" w:line="240" w:lineRule="auto"/>
        <w:ind w:left="720" w:hanging="720"/>
      </w:pPr>
    </w:p>
    <w:p w14:paraId="28D2FCF7" w14:textId="77777777" w:rsidR="00A62F65" w:rsidRDefault="00A62F65" w:rsidP="00A62F65">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413F55B7" w14:textId="77777777" w:rsidR="00A62F65" w:rsidRDefault="00A62F65" w:rsidP="00A62F65">
      <w:pPr>
        <w:spacing w:after="0" w:line="240" w:lineRule="auto"/>
        <w:rPr>
          <w:highlight w:val="yellow"/>
        </w:rPr>
      </w:pPr>
    </w:p>
    <w:p w14:paraId="58999D7B" w14:textId="77777777" w:rsidR="00B4351B" w:rsidRPr="00A62F65" w:rsidRDefault="00B4351B" w:rsidP="00B4351B">
      <w:pPr>
        <w:spacing w:after="0" w:line="240" w:lineRule="auto"/>
        <w:ind w:left="720" w:hanging="720"/>
        <w:rPr>
          <w:rFonts w:ascii="Tahoma" w:hAnsi="Tahoma" w:cs="Tahoma"/>
          <w:sz w:val="24"/>
          <w:szCs w:val="24"/>
        </w:rPr>
      </w:pPr>
    </w:p>
    <w:p w14:paraId="789D22D7" w14:textId="11585B0A" w:rsidR="002D68AA" w:rsidRPr="002D68AA" w:rsidRDefault="00472D2F" w:rsidP="00B4351B">
      <w:pPr>
        <w:spacing w:after="0" w:line="240" w:lineRule="auto"/>
        <w:ind w:left="720" w:hanging="720"/>
        <w:rPr>
          <w:rFonts w:ascii="Tahoma" w:hAnsi="Tahoma" w:cs="Tahoma"/>
          <w:b/>
          <w:bCs/>
          <w:sz w:val="24"/>
          <w:szCs w:val="24"/>
        </w:rPr>
      </w:pPr>
      <w:r w:rsidRPr="00A62F65">
        <w:rPr>
          <w:rFonts w:ascii="Tahoma" w:hAnsi="Tahoma" w:cs="Tahoma"/>
          <w:b/>
          <w:sz w:val="24"/>
          <w:szCs w:val="24"/>
        </w:rPr>
        <w:t>Q1</w:t>
      </w:r>
      <w:r w:rsidR="00A62F65">
        <w:rPr>
          <w:rFonts w:ascii="Tahoma" w:hAnsi="Tahoma" w:cs="Tahoma"/>
          <w:b/>
          <w:sz w:val="24"/>
          <w:szCs w:val="24"/>
        </w:rPr>
        <w:t>.</w:t>
      </w:r>
      <w:r>
        <w:tab/>
      </w:r>
      <w:r w:rsidR="002D68AA" w:rsidRPr="002D68AA">
        <w:rPr>
          <w:rFonts w:ascii="Tahoma" w:hAnsi="Tahoma" w:cs="Tahoma"/>
          <w:b/>
          <w:bCs/>
          <w:sz w:val="24"/>
          <w:szCs w:val="24"/>
        </w:rPr>
        <w:t>Is there a set size and picture for the signs?</w:t>
      </w:r>
    </w:p>
    <w:p w14:paraId="4050607C" w14:textId="77777777" w:rsidR="002D68AA" w:rsidRDefault="002D68AA" w:rsidP="00B4351B">
      <w:pPr>
        <w:spacing w:after="0" w:line="240" w:lineRule="auto"/>
        <w:ind w:left="720" w:hanging="720"/>
        <w:rPr>
          <w:rFonts w:ascii="Tahoma" w:hAnsi="Tahoma" w:cs="Tahoma"/>
          <w:b/>
          <w:sz w:val="24"/>
          <w:szCs w:val="24"/>
        </w:rPr>
      </w:pPr>
    </w:p>
    <w:p w14:paraId="18C9E587" w14:textId="0B6D628D" w:rsidR="002D68AA" w:rsidRDefault="00472D2F" w:rsidP="00CF129F">
      <w:pPr>
        <w:pStyle w:val="Default"/>
        <w:ind w:left="720" w:hanging="720"/>
        <w:rPr>
          <w:color w:val="001F5F"/>
        </w:rPr>
      </w:pPr>
      <w:r w:rsidRPr="00A62F65">
        <w:t>A1</w:t>
      </w:r>
      <w:r w:rsidR="00A62F65">
        <w:t>.</w:t>
      </w:r>
      <w:r w:rsidRPr="00A62F65">
        <w:tab/>
      </w:r>
      <w:r w:rsidR="002D68AA" w:rsidRPr="00CF129F">
        <w:rPr>
          <w:color w:val="auto"/>
        </w:rPr>
        <w:t xml:space="preserve">Yes. The </w:t>
      </w:r>
      <w:r w:rsidR="00691A32">
        <w:rPr>
          <w:color w:val="auto"/>
        </w:rPr>
        <w:t>Solicitation</w:t>
      </w:r>
      <w:r w:rsidR="00691A32" w:rsidRPr="00CF129F">
        <w:rPr>
          <w:color w:val="auto"/>
        </w:rPr>
        <w:t xml:space="preserve"> </w:t>
      </w:r>
      <w:r w:rsidR="002D68AA" w:rsidRPr="00CF129F">
        <w:rPr>
          <w:color w:val="auto"/>
        </w:rPr>
        <w:t xml:space="preserve">Manual </w:t>
      </w:r>
      <w:r w:rsidR="00E2155F">
        <w:rPr>
          <w:color w:val="auto"/>
        </w:rPr>
        <w:t xml:space="preserve">Section II.B.1. </w:t>
      </w:r>
      <w:r w:rsidR="00442988">
        <w:rPr>
          <w:color w:val="auto"/>
        </w:rPr>
        <w:t>identifies</w:t>
      </w:r>
      <w:r w:rsidR="00442988" w:rsidRPr="00CF129F">
        <w:rPr>
          <w:color w:val="auto"/>
        </w:rPr>
        <w:t xml:space="preserve"> </w:t>
      </w:r>
      <w:r w:rsidR="00442988">
        <w:rPr>
          <w:color w:val="auto"/>
        </w:rPr>
        <w:t>signage proposals</w:t>
      </w:r>
      <w:r w:rsidR="00442988" w:rsidRPr="00CF129F">
        <w:rPr>
          <w:color w:val="auto"/>
        </w:rPr>
        <w:t xml:space="preserve"> </w:t>
      </w:r>
      <w:r w:rsidR="00042EC4">
        <w:rPr>
          <w:color w:val="auto"/>
        </w:rPr>
        <w:t xml:space="preserve">that are </w:t>
      </w:r>
      <w:r w:rsidR="002D68AA" w:rsidRPr="00CF129F">
        <w:rPr>
          <w:color w:val="auto"/>
        </w:rPr>
        <w:t xml:space="preserve">eligible for funding. </w:t>
      </w:r>
      <w:r w:rsidR="00042EC4">
        <w:rPr>
          <w:color w:val="auto"/>
        </w:rPr>
        <w:t>Signage projects that include the planning and installation of General Service or Specific Service Signs</w:t>
      </w:r>
      <w:r w:rsidR="001E29F4">
        <w:rPr>
          <w:color w:val="auto"/>
        </w:rPr>
        <w:t xml:space="preserve"> </w:t>
      </w:r>
      <w:r w:rsidR="00DA594D">
        <w:rPr>
          <w:color w:val="auto"/>
        </w:rPr>
        <w:t>must</w:t>
      </w:r>
      <w:r w:rsidR="003F5671">
        <w:rPr>
          <w:color w:val="auto"/>
        </w:rPr>
        <w:t xml:space="preserve"> </w:t>
      </w:r>
      <w:r w:rsidR="002D68AA" w:rsidRPr="00CF129F">
        <w:rPr>
          <w:color w:val="auto"/>
        </w:rPr>
        <w:t xml:space="preserve">conform to </w:t>
      </w:r>
      <w:r w:rsidR="000630B0">
        <w:rPr>
          <w:color w:val="auto"/>
        </w:rPr>
        <w:t xml:space="preserve">the </w:t>
      </w:r>
      <w:r w:rsidR="002D68AA" w:rsidRPr="00CF129F">
        <w:rPr>
          <w:color w:val="auto"/>
        </w:rPr>
        <w:t>California Manual on Uniform Traffic Control Devices (CA MUTCD), chapters 2I and 2J</w:t>
      </w:r>
      <w:r w:rsidR="00217EA8">
        <w:rPr>
          <w:color w:val="auto"/>
        </w:rPr>
        <w:t>.</w:t>
      </w:r>
      <w:r w:rsidR="002D68AA" w:rsidRPr="00CF129F">
        <w:rPr>
          <w:color w:val="auto"/>
        </w:rPr>
        <w:t xml:space="preserve"> </w:t>
      </w:r>
      <w:hyperlink r:id="rId10" w:history="1">
        <w:r w:rsidR="00CF129F" w:rsidRPr="00896C9F">
          <w:rPr>
            <w:rStyle w:val="Hyperlink"/>
          </w:rPr>
          <w:t>https://dot.ca.gov/programs/safety-programs/camutcd</w:t>
        </w:r>
      </w:hyperlink>
    </w:p>
    <w:p w14:paraId="6D90882A" w14:textId="64C27363" w:rsidR="002D68AA" w:rsidRDefault="0095344C" w:rsidP="00CF129F">
      <w:pPr>
        <w:spacing w:after="0" w:line="240" w:lineRule="auto"/>
        <w:ind w:left="720"/>
        <w:rPr>
          <w:rFonts w:ascii="Tahoma" w:hAnsi="Tahoma" w:cs="Tahoma"/>
          <w:sz w:val="24"/>
          <w:szCs w:val="24"/>
        </w:rPr>
      </w:pPr>
      <w:r w:rsidRPr="0023750E">
        <w:rPr>
          <w:rFonts w:ascii="Tahoma" w:hAnsi="Tahoma" w:cs="Tahoma"/>
          <w:sz w:val="24"/>
          <w:szCs w:val="24"/>
        </w:rPr>
        <w:t>These signs</w:t>
      </w:r>
      <w:r w:rsidR="002D68AA">
        <w:rPr>
          <w:rFonts w:ascii="Tahoma" w:hAnsi="Tahoma" w:cs="Tahoma"/>
          <w:sz w:val="24"/>
          <w:szCs w:val="24"/>
        </w:rPr>
        <w:t xml:space="preserve"> are:</w:t>
      </w:r>
    </w:p>
    <w:p w14:paraId="6E3C9612" w14:textId="3A8EFA67" w:rsidR="002D68AA" w:rsidRDefault="002D68AA" w:rsidP="002D68AA">
      <w:pPr>
        <w:numPr>
          <w:ilvl w:val="0"/>
          <w:numId w:val="1"/>
        </w:numPr>
        <w:spacing w:after="0" w:line="240" w:lineRule="auto"/>
        <w:rPr>
          <w:rFonts w:ascii="Tahoma" w:hAnsi="Tahoma" w:cs="Tahoma"/>
          <w:sz w:val="24"/>
          <w:szCs w:val="24"/>
        </w:rPr>
      </w:pPr>
      <w:r>
        <w:rPr>
          <w:rFonts w:ascii="Tahoma" w:hAnsi="Tahoma" w:cs="Tahoma"/>
          <w:sz w:val="24"/>
          <w:szCs w:val="24"/>
        </w:rPr>
        <w:t>Caltrans General Service Sign</w:t>
      </w:r>
    </w:p>
    <w:p w14:paraId="4D0F6E56" w14:textId="64B4BF22" w:rsidR="00CF129F" w:rsidRDefault="00CF129F" w:rsidP="002D68AA">
      <w:pPr>
        <w:numPr>
          <w:ilvl w:val="0"/>
          <w:numId w:val="1"/>
        </w:numPr>
        <w:spacing w:after="0" w:line="240" w:lineRule="auto"/>
        <w:rPr>
          <w:rFonts w:ascii="Tahoma" w:hAnsi="Tahoma" w:cs="Tahoma"/>
          <w:sz w:val="24"/>
          <w:szCs w:val="24"/>
        </w:rPr>
      </w:pPr>
      <w:r>
        <w:rPr>
          <w:rFonts w:ascii="Tahoma" w:hAnsi="Tahoma" w:cs="Tahoma"/>
          <w:sz w:val="24"/>
          <w:szCs w:val="24"/>
        </w:rPr>
        <w:t>Caltrans-approved Wayfaring Sign</w:t>
      </w:r>
    </w:p>
    <w:p w14:paraId="2209E117" w14:textId="4AEBFB27" w:rsidR="00CF129F" w:rsidRDefault="00CF129F" w:rsidP="002D68AA">
      <w:pPr>
        <w:numPr>
          <w:ilvl w:val="0"/>
          <w:numId w:val="1"/>
        </w:numPr>
        <w:spacing w:after="0" w:line="240" w:lineRule="auto"/>
        <w:rPr>
          <w:rFonts w:ascii="Tahoma" w:hAnsi="Tahoma" w:cs="Tahoma"/>
          <w:sz w:val="24"/>
          <w:szCs w:val="24"/>
        </w:rPr>
      </w:pPr>
      <w:r>
        <w:rPr>
          <w:rFonts w:ascii="Tahoma" w:hAnsi="Tahoma" w:cs="Tahoma"/>
          <w:sz w:val="24"/>
          <w:szCs w:val="24"/>
        </w:rPr>
        <w:t>Caltrans Specific Service Logo Sign</w:t>
      </w:r>
    </w:p>
    <w:p w14:paraId="398F0469" w14:textId="77777777" w:rsidR="00CF129F" w:rsidRDefault="00CF129F" w:rsidP="00CF129F">
      <w:pPr>
        <w:spacing w:after="0" w:line="240" w:lineRule="auto"/>
        <w:ind w:left="1440"/>
        <w:rPr>
          <w:rFonts w:ascii="Tahoma" w:hAnsi="Tahoma" w:cs="Tahoma"/>
          <w:sz w:val="24"/>
          <w:szCs w:val="24"/>
        </w:rPr>
      </w:pPr>
    </w:p>
    <w:p w14:paraId="58C9EFB0" w14:textId="3EBA6A49" w:rsidR="008F0378" w:rsidRDefault="0095344C" w:rsidP="00CF129F">
      <w:pPr>
        <w:pStyle w:val="Default"/>
        <w:ind w:left="720"/>
      </w:pPr>
      <w:r>
        <w:t>S</w:t>
      </w:r>
      <w:r w:rsidR="00CF129F">
        <w:t>ign</w:t>
      </w:r>
      <w:r w:rsidR="008F0378">
        <w:t>s</w:t>
      </w:r>
      <w:r w:rsidR="00CF129F">
        <w:t xml:space="preserve"> </w:t>
      </w:r>
      <w:r>
        <w:t xml:space="preserve">that are </w:t>
      </w:r>
      <w:r w:rsidR="00CF129F">
        <w:t xml:space="preserve">not subject to the </w:t>
      </w:r>
      <w:r w:rsidR="007E4354">
        <w:t xml:space="preserve">requirements of </w:t>
      </w:r>
      <w:r w:rsidR="00CF129F">
        <w:t>CA MUTCD</w:t>
      </w:r>
      <w:r w:rsidR="008F0378">
        <w:t xml:space="preserve"> are:</w:t>
      </w:r>
    </w:p>
    <w:p w14:paraId="1F0B5E66" w14:textId="4AFF780E" w:rsidR="00092C83" w:rsidRDefault="00CF129F" w:rsidP="00092C83">
      <w:pPr>
        <w:numPr>
          <w:ilvl w:val="0"/>
          <w:numId w:val="1"/>
        </w:numPr>
        <w:spacing w:after="0" w:line="240" w:lineRule="auto"/>
        <w:rPr>
          <w:rFonts w:ascii="Tahoma" w:hAnsi="Tahoma" w:cs="Tahoma"/>
          <w:sz w:val="24"/>
          <w:szCs w:val="24"/>
        </w:rPr>
      </w:pPr>
      <w:r w:rsidRPr="00092C83">
        <w:rPr>
          <w:rFonts w:ascii="Tahoma" w:hAnsi="Tahoma" w:cs="Tahoma"/>
          <w:sz w:val="24"/>
          <w:szCs w:val="24"/>
        </w:rPr>
        <w:t xml:space="preserve">EV </w:t>
      </w:r>
      <w:r w:rsidR="00023857" w:rsidRPr="00092C83">
        <w:rPr>
          <w:rFonts w:ascii="Tahoma" w:hAnsi="Tahoma" w:cs="Tahoma"/>
          <w:sz w:val="24"/>
          <w:szCs w:val="24"/>
        </w:rPr>
        <w:t>c</w:t>
      </w:r>
      <w:r w:rsidRPr="00092C83">
        <w:rPr>
          <w:rFonts w:ascii="Tahoma" w:hAnsi="Tahoma" w:cs="Tahoma"/>
          <w:sz w:val="24"/>
          <w:szCs w:val="24"/>
        </w:rPr>
        <w:t xml:space="preserve">harging </w:t>
      </w:r>
      <w:r w:rsidR="00023857" w:rsidRPr="00092C83">
        <w:rPr>
          <w:rFonts w:ascii="Tahoma" w:hAnsi="Tahoma" w:cs="Tahoma"/>
          <w:sz w:val="24"/>
          <w:szCs w:val="24"/>
        </w:rPr>
        <w:t>s</w:t>
      </w:r>
      <w:r w:rsidRPr="00092C83">
        <w:rPr>
          <w:rFonts w:ascii="Tahoma" w:hAnsi="Tahoma" w:cs="Tahoma"/>
          <w:sz w:val="24"/>
          <w:szCs w:val="24"/>
        </w:rPr>
        <w:t xml:space="preserve">ign </w:t>
      </w:r>
      <w:r w:rsidR="00023857" w:rsidRPr="00092C83">
        <w:rPr>
          <w:rFonts w:ascii="Tahoma" w:hAnsi="Tahoma" w:cs="Tahoma"/>
          <w:sz w:val="24"/>
          <w:szCs w:val="24"/>
        </w:rPr>
        <w:t>d</w:t>
      </w:r>
      <w:r w:rsidRPr="00092C83">
        <w:rPr>
          <w:rFonts w:ascii="Tahoma" w:hAnsi="Tahoma" w:cs="Tahoma"/>
          <w:sz w:val="24"/>
          <w:szCs w:val="24"/>
        </w:rPr>
        <w:t xml:space="preserve">isplayed </w:t>
      </w:r>
      <w:r w:rsidR="00023857" w:rsidRPr="00092C83">
        <w:rPr>
          <w:rFonts w:ascii="Tahoma" w:hAnsi="Tahoma" w:cs="Tahoma"/>
          <w:sz w:val="24"/>
          <w:szCs w:val="24"/>
        </w:rPr>
        <w:t>c</w:t>
      </w:r>
      <w:r w:rsidRPr="00092C83">
        <w:rPr>
          <w:rFonts w:ascii="Tahoma" w:hAnsi="Tahoma" w:cs="Tahoma"/>
          <w:sz w:val="24"/>
          <w:szCs w:val="24"/>
        </w:rPr>
        <w:t>o-</w:t>
      </w:r>
      <w:r w:rsidR="00023857" w:rsidRPr="00092C83">
        <w:rPr>
          <w:rFonts w:ascii="Tahoma" w:hAnsi="Tahoma" w:cs="Tahoma"/>
          <w:sz w:val="24"/>
          <w:szCs w:val="24"/>
        </w:rPr>
        <w:t>e</w:t>
      </w:r>
      <w:r w:rsidRPr="00092C83">
        <w:rPr>
          <w:rFonts w:ascii="Tahoma" w:hAnsi="Tahoma" w:cs="Tahoma"/>
          <w:sz w:val="24"/>
          <w:szCs w:val="24"/>
        </w:rPr>
        <w:t xml:space="preserve">qually with </w:t>
      </w:r>
      <w:r w:rsidR="00023857" w:rsidRPr="00092C83">
        <w:rPr>
          <w:rFonts w:ascii="Tahoma" w:hAnsi="Tahoma" w:cs="Tahoma"/>
          <w:sz w:val="24"/>
          <w:szCs w:val="24"/>
        </w:rPr>
        <w:t>f</w:t>
      </w:r>
      <w:r w:rsidRPr="00092C83">
        <w:rPr>
          <w:rFonts w:ascii="Tahoma" w:hAnsi="Tahoma" w:cs="Tahoma"/>
          <w:sz w:val="24"/>
          <w:szCs w:val="24"/>
        </w:rPr>
        <w:t xml:space="preserve">ossil </w:t>
      </w:r>
      <w:r w:rsidR="00023857" w:rsidRPr="00092C83">
        <w:rPr>
          <w:rFonts w:ascii="Tahoma" w:hAnsi="Tahoma" w:cs="Tahoma"/>
          <w:sz w:val="24"/>
          <w:szCs w:val="24"/>
        </w:rPr>
        <w:t>f</w:t>
      </w:r>
      <w:r w:rsidRPr="00092C83">
        <w:rPr>
          <w:rFonts w:ascii="Tahoma" w:hAnsi="Tahoma" w:cs="Tahoma"/>
          <w:sz w:val="24"/>
          <w:szCs w:val="24"/>
        </w:rPr>
        <w:t xml:space="preserve">ueling </w:t>
      </w:r>
      <w:r w:rsidR="00023857" w:rsidRPr="00092C83">
        <w:rPr>
          <w:rFonts w:ascii="Tahoma" w:hAnsi="Tahoma" w:cs="Tahoma"/>
          <w:sz w:val="24"/>
          <w:szCs w:val="24"/>
        </w:rPr>
        <w:t>s</w:t>
      </w:r>
      <w:r w:rsidRPr="00092C83">
        <w:rPr>
          <w:rFonts w:ascii="Tahoma" w:hAnsi="Tahoma" w:cs="Tahoma"/>
          <w:sz w:val="24"/>
          <w:szCs w:val="24"/>
        </w:rPr>
        <w:t xml:space="preserve">igns at a </w:t>
      </w:r>
      <w:r w:rsidR="00023857" w:rsidRPr="00092C83">
        <w:rPr>
          <w:rFonts w:ascii="Tahoma" w:hAnsi="Tahoma" w:cs="Tahoma"/>
          <w:sz w:val="24"/>
          <w:szCs w:val="24"/>
        </w:rPr>
        <w:t>b</w:t>
      </w:r>
      <w:r w:rsidRPr="00092C83">
        <w:rPr>
          <w:rFonts w:ascii="Tahoma" w:hAnsi="Tahoma" w:cs="Tahoma"/>
          <w:sz w:val="24"/>
          <w:szCs w:val="24"/>
        </w:rPr>
        <w:t xml:space="preserve">randed </w:t>
      </w:r>
      <w:r w:rsidR="00023857" w:rsidRPr="00092C83">
        <w:rPr>
          <w:rFonts w:ascii="Tahoma" w:hAnsi="Tahoma" w:cs="Tahoma"/>
          <w:sz w:val="24"/>
          <w:szCs w:val="24"/>
        </w:rPr>
        <w:t>p</w:t>
      </w:r>
      <w:r w:rsidRPr="00092C83">
        <w:rPr>
          <w:rFonts w:ascii="Tahoma" w:hAnsi="Tahoma" w:cs="Tahoma"/>
          <w:sz w:val="24"/>
          <w:szCs w:val="24"/>
        </w:rPr>
        <w:t xml:space="preserve">etroleum </w:t>
      </w:r>
      <w:r w:rsidR="00023857" w:rsidRPr="00092C83">
        <w:rPr>
          <w:rFonts w:ascii="Tahoma" w:hAnsi="Tahoma" w:cs="Tahoma"/>
          <w:sz w:val="24"/>
          <w:szCs w:val="24"/>
        </w:rPr>
        <w:t>f</w:t>
      </w:r>
      <w:r w:rsidRPr="00092C83">
        <w:rPr>
          <w:rFonts w:ascii="Tahoma" w:hAnsi="Tahoma" w:cs="Tahoma"/>
          <w:sz w:val="24"/>
          <w:szCs w:val="24"/>
        </w:rPr>
        <w:t xml:space="preserve">ueling </w:t>
      </w:r>
      <w:r w:rsidR="00023857" w:rsidRPr="00092C83">
        <w:rPr>
          <w:rFonts w:ascii="Tahoma" w:hAnsi="Tahoma" w:cs="Tahoma"/>
          <w:sz w:val="24"/>
          <w:szCs w:val="24"/>
        </w:rPr>
        <w:t>s</w:t>
      </w:r>
      <w:r w:rsidRPr="00092C83">
        <w:rPr>
          <w:rFonts w:ascii="Tahoma" w:hAnsi="Tahoma" w:cs="Tahoma"/>
          <w:sz w:val="24"/>
          <w:szCs w:val="24"/>
        </w:rPr>
        <w:t>tation</w:t>
      </w:r>
    </w:p>
    <w:p w14:paraId="4F2E8011" w14:textId="6F22AAB9" w:rsidR="008F0378" w:rsidRPr="00092C83" w:rsidRDefault="008F0378" w:rsidP="00092C83">
      <w:pPr>
        <w:numPr>
          <w:ilvl w:val="0"/>
          <w:numId w:val="1"/>
        </w:numPr>
        <w:spacing w:after="0" w:line="240" w:lineRule="auto"/>
        <w:rPr>
          <w:rFonts w:ascii="Tahoma" w:hAnsi="Tahoma" w:cs="Tahoma"/>
          <w:sz w:val="24"/>
          <w:szCs w:val="24"/>
        </w:rPr>
      </w:pPr>
      <w:r w:rsidRPr="00092C83">
        <w:rPr>
          <w:rFonts w:ascii="Tahoma" w:hAnsi="Tahoma" w:cs="Tahoma"/>
          <w:sz w:val="24"/>
          <w:szCs w:val="24"/>
        </w:rPr>
        <w:t>Informational wayfaring and locator signs installed under the jurisdiction</w:t>
      </w:r>
      <w:r w:rsidR="00162E86" w:rsidRPr="00092C83">
        <w:rPr>
          <w:rFonts w:ascii="Tahoma" w:hAnsi="Tahoma" w:cs="Tahoma"/>
          <w:sz w:val="24"/>
          <w:szCs w:val="24"/>
        </w:rPr>
        <w:t xml:space="preserve"> </w:t>
      </w:r>
      <w:r w:rsidRPr="00092C83">
        <w:rPr>
          <w:rFonts w:ascii="Tahoma" w:hAnsi="Tahoma" w:cs="Tahoma"/>
          <w:sz w:val="24"/>
          <w:szCs w:val="24"/>
        </w:rPr>
        <w:t>of local or regional government on boulevards and expressways not subject to Caltrans jurisdiction</w:t>
      </w:r>
    </w:p>
    <w:p w14:paraId="7DEF6C99" w14:textId="427FF1D6" w:rsidR="002D68AA" w:rsidRDefault="00CF129F" w:rsidP="000630B0">
      <w:pPr>
        <w:spacing w:after="0" w:line="240" w:lineRule="auto"/>
        <w:ind w:left="720"/>
        <w:rPr>
          <w:rFonts w:ascii="Tahoma" w:hAnsi="Tahoma" w:cs="Tahoma"/>
          <w:sz w:val="24"/>
          <w:szCs w:val="24"/>
        </w:rPr>
      </w:pPr>
      <w:r>
        <w:rPr>
          <w:rFonts w:ascii="Tahoma" w:hAnsi="Tahoma" w:cs="Tahoma"/>
          <w:sz w:val="24"/>
          <w:szCs w:val="24"/>
        </w:rPr>
        <w:t xml:space="preserve"> </w:t>
      </w:r>
    </w:p>
    <w:p w14:paraId="40B5B65A" w14:textId="16217AFB" w:rsidR="00CF129F"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Q2</w:t>
      </w:r>
      <w:r w:rsidR="00A62F65">
        <w:rPr>
          <w:rFonts w:ascii="Tahoma" w:hAnsi="Tahoma" w:cs="Tahoma"/>
          <w:b/>
          <w:sz w:val="24"/>
          <w:szCs w:val="24"/>
        </w:rPr>
        <w:t>.</w:t>
      </w:r>
      <w:r w:rsidRPr="00CF129F">
        <w:rPr>
          <w:rFonts w:ascii="Tahoma" w:hAnsi="Tahoma" w:cs="Tahoma"/>
          <w:b/>
          <w:sz w:val="24"/>
          <w:szCs w:val="24"/>
        </w:rPr>
        <w:tab/>
      </w:r>
      <w:r w:rsidR="00CF129F" w:rsidRPr="00CF129F">
        <w:rPr>
          <w:rFonts w:ascii="Tahoma" w:hAnsi="Tahoma" w:cs="Tahoma"/>
          <w:b/>
          <w:bCs/>
          <w:sz w:val="24"/>
          <w:szCs w:val="24"/>
        </w:rPr>
        <w:t>Is there a recording of the pre-application workshop to listen to?</w:t>
      </w:r>
    </w:p>
    <w:p w14:paraId="219778D2" w14:textId="77777777" w:rsidR="00B4351B" w:rsidRPr="00A62F65" w:rsidRDefault="00B4351B" w:rsidP="00B4351B">
      <w:pPr>
        <w:spacing w:after="0" w:line="240" w:lineRule="auto"/>
        <w:ind w:left="720" w:hanging="720"/>
        <w:rPr>
          <w:rFonts w:ascii="Tahoma" w:hAnsi="Tahoma" w:cs="Tahoma"/>
          <w:sz w:val="24"/>
          <w:szCs w:val="24"/>
        </w:rPr>
      </w:pPr>
    </w:p>
    <w:p w14:paraId="49640B17" w14:textId="6B109DCC" w:rsidR="00B4351B" w:rsidRDefault="00472D2F" w:rsidP="00B4351B">
      <w:pPr>
        <w:spacing w:after="0" w:line="240" w:lineRule="auto"/>
        <w:ind w:left="720" w:hanging="720"/>
        <w:rPr>
          <w:rFonts w:ascii="Tahoma" w:hAnsi="Tahoma" w:cs="Tahoma"/>
          <w:sz w:val="24"/>
          <w:szCs w:val="24"/>
        </w:rPr>
      </w:pPr>
      <w:r w:rsidRPr="00A62F65">
        <w:rPr>
          <w:rFonts w:ascii="Tahoma" w:hAnsi="Tahoma" w:cs="Tahoma"/>
          <w:sz w:val="24"/>
          <w:szCs w:val="24"/>
        </w:rPr>
        <w:t>A2</w:t>
      </w:r>
      <w:r w:rsidR="00A62F65">
        <w:rPr>
          <w:rFonts w:ascii="Tahoma" w:hAnsi="Tahoma" w:cs="Tahoma"/>
          <w:sz w:val="24"/>
          <w:szCs w:val="24"/>
        </w:rPr>
        <w:t>.</w:t>
      </w:r>
      <w:r w:rsidRPr="00A62F65">
        <w:rPr>
          <w:rFonts w:ascii="Tahoma" w:hAnsi="Tahoma" w:cs="Tahoma"/>
          <w:sz w:val="24"/>
          <w:szCs w:val="24"/>
        </w:rPr>
        <w:tab/>
      </w:r>
      <w:r w:rsidR="00CF129F">
        <w:rPr>
          <w:rFonts w:ascii="Tahoma" w:hAnsi="Tahoma" w:cs="Tahoma"/>
          <w:sz w:val="24"/>
          <w:szCs w:val="24"/>
        </w:rPr>
        <w:t xml:space="preserve">Yes. It can be found on the CEC </w:t>
      </w:r>
      <w:r w:rsidR="00217EA8">
        <w:rPr>
          <w:rFonts w:ascii="Tahoma" w:hAnsi="Tahoma" w:cs="Tahoma"/>
          <w:sz w:val="24"/>
          <w:szCs w:val="24"/>
        </w:rPr>
        <w:t>w</w:t>
      </w:r>
      <w:r w:rsidR="00CF129F">
        <w:rPr>
          <w:rFonts w:ascii="Tahoma" w:hAnsi="Tahoma" w:cs="Tahoma"/>
          <w:sz w:val="24"/>
          <w:szCs w:val="24"/>
        </w:rPr>
        <w:t xml:space="preserve">ebsite: </w:t>
      </w:r>
      <w:hyperlink r:id="rId11" w:history="1">
        <w:r w:rsidR="00CF129F" w:rsidRPr="00896C9F">
          <w:rPr>
            <w:rStyle w:val="Hyperlink"/>
            <w:rFonts w:ascii="Tahoma" w:hAnsi="Tahoma" w:cs="Tahoma"/>
            <w:sz w:val="24"/>
            <w:szCs w:val="24"/>
          </w:rPr>
          <w:t>https://www.energy.ca.gov/event/funding-workshop/2023-04/pre-application-workshop-gfo-22-613-signage-and-other-measures</w:t>
        </w:r>
      </w:hyperlink>
    </w:p>
    <w:p w14:paraId="14519134" w14:textId="77777777" w:rsidR="00CF129F" w:rsidRDefault="00CF129F" w:rsidP="00B4351B">
      <w:pPr>
        <w:spacing w:after="0" w:line="240" w:lineRule="auto"/>
        <w:ind w:left="720" w:hanging="720"/>
        <w:rPr>
          <w:rFonts w:ascii="Tahoma" w:hAnsi="Tahoma" w:cs="Tahoma"/>
          <w:sz w:val="24"/>
          <w:szCs w:val="24"/>
        </w:rPr>
      </w:pPr>
    </w:p>
    <w:p w14:paraId="4AF0992E" w14:textId="45AD9C15" w:rsidR="00D71765" w:rsidRDefault="00D71765" w:rsidP="00697B78">
      <w:pPr>
        <w:spacing w:after="0" w:line="240" w:lineRule="auto"/>
        <w:rPr>
          <w:rFonts w:ascii="Tahoma" w:hAnsi="Tahoma" w:cs="Tahoma"/>
          <w:b/>
          <w:sz w:val="24"/>
          <w:szCs w:val="24"/>
        </w:rPr>
      </w:pPr>
      <w:r>
        <w:rPr>
          <w:rFonts w:ascii="Tahoma" w:hAnsi="Tahoma" w:cs="Tahoma"/>
          <w:b/>
          <w:sz w:val="24"/>
          <w:szCs w:val="24"/>
        </w:rPr>
        <w:t>Q3.</w:t>
      </w:r>
      <w:r>
        <w:rPr>
          <w:rFonts w:ascii="Tahoma" w:hAnsi="Tahoma" w:cs="Tahoma"/>
          <w:b/>
          <w:sz w:val="24"/>
          <w:szCs w:val="24"/>
        </w:rPr>
        <w:tab/>
      </w:r>
      <w:r w:rsidR="000630B0" w:rsidRPr="00045E0E">
        <w:rPr>
          <w:rFonts w:ascii="Tahoma" w:hAnsi="Tahoma" w:cs="Tahoma"/>
          <w:b/>
          <w:sz w:val="24"/>
          <w:szCs w:val="24"/>
        </w:rPr>
        <w:t>If we are submitting an electronic proposal, are there</w:t>
      </w:r>
      <w:r w:rsidR="000630B0" w:rsidRPr="00697B78">
        <w:rPr>
          <w:rFonts w:ascii="Tahoma" w:hAnsi="Tahoma" w:cs="Tahoma"/>
          <w:b/>
          <w:sz w:val="24"/>
          <w:szCs w:val="24"/>
        </w:rPr>
        <w:t xml:space="preserve"> </w:t>
      </w:r>
      <w:r>
        <w:rPr>
          <w:rFonts w:ascii="Tahoma" w:hAnsi="Tahoma" w:cs="Tahoma"/>
          <w:b/>
          <w:sz w:val="24"/>
          <w:szCs w:val="24"/>
        </w:rPr>
        <w:t>specific</w:t>
      </w:r>
    </w:p>
    <w:p w14:paraId="2C653167" w14:textId="2606C1F3" w:rsidR="000630B0" w:rsidRPr="00697B78" w:rsidRDefault="000630B0" w:rsidP="222290D7">
      <w:pPr>
        <w:spacing w:after="0" w:line="240" w:lineRule="auto"/>
        <w:ind w:firstLine="720"/>
        <w:rPr>
          <w:rFonts w:ascii="Tahoma" w:hAnsi="Tahoma" w:cs="Tahoma"/>
          <w:b/>
          <w:bCs/>
          <w:sz w:val="24"/>
          <w:szCs w:val="24"/>
        </w:rPr>
      </w:pPr>
      <w:r w:rsidRPr="76D7ADB8">
        <w:rPr>
          <w:rFonts w:ascii="Tahoma" w:hAnsi="Tahoma" w:cs="Tahoma"/>
          <w:b/>
          <w:bCs/>
          <w:sz w:val="24"/>
          <w:szCs w:val="24"/>
        </w:rPr>
        <w:t>considerations regarding electronic signage?</w:t>
      </w:r>
    </w:p>
    <w:p w14:paraId="15A5F77D" w14:textId="77777777" w:rsidR="00B4351B" w:rsidRPr="00A62F65" w:rsidRDefault="00B4351B" w:rsidP="0023750E">
      <w:pPr>
        <w:spacing w:after="0" w:line="240" w:lineRule="auto"/>
        <w:rPr>
          <w:rFonts w:ascii="Tahoma" w:hAnsi="Tahoma" w:cs="Tahoma"/>
          <w:sz w:val="24"/>
          <w:szCs w:val="24"/>
        </w:rPr>
      </w:pPr>
    </w:p>
    <w:p w14:paraId="52050A7F" w14:textId="77777777" w:rsidR="008F0378" w:rsidRDefault="00472D2F" w:rsidP="00B4351B">
      <w:pPr>
        <w:spacing w:after="0" w:line="240" w:lineRule="auto"/>
        <w:ind w:left="720" w:hanging="720"/>
        <w:rPr>
          <w:rFonts w:ascii="Tahoma" w:hAnsi="Tahoma" w:cs="Tahoma"/>
          <w:sz w:val="24"/>
          <w:szCs w:val="24"/>
        </w:rPr>
      </w:pPr>
      <w:r w:rsidRPr="00A62F65">
        <w:rPr>
          <w:rFonts w:ascii="Tahoma" w:hAnsi="Tahoma" w:cs="Tahoma"/>
          <w:sz w:val="24"/>
          <w:szCs w:val="24"/>
        </w:rPr>
        <w:t>A3</w:t>
      </w:r>
      <w:r w:rsidR="00A62F65">
        <w:rPr>
          <w:rFonts w:ascii="Tahoma" w:hAnsi="Tahoma" w:cs="Tahoma"/>
          <w:sz w:val="24"/>
          <w:szCs w:val="24"/>
        </w:rPr>
        <w:t>.</w:t>
      </w:r>
      <w:r w:rsidRPr="00A62F65">
        <w:rPr>
          <w:rFonts w:ascii="Tahoma" w:hAnsi="Tahoma" w:cs="Tahoma"/>
          <w:sz w:val="24"/>
          <w:szCs w:val="24"/>
        </w:rPr>
        <w:tab/>
      </w:r>
      <w:r w:rsidR="000630B0">
        <w:rPr>
          <w:rFonts w:ascii="Tahoma" w:hAnsi="Tahoma" w:cs="Tahoma"/>
          <w:sz w:val="24"/>
          <w:szCs w:val="24"/>
        </w:rPr>
        <w:t>It is not clear what is intended with the term “electronic signage.”</w:t>
      </w:r>
    </w:p>
    <w:p w14:paraId="46CE709F" w14:textId="77777777" w:rsidR="008F0378" w:rsidRDefault="008F0378" w:rsidP="00B4351B">
      <w:pPr>
        <w:spacing w:after="0" w:line="240" w:lineRule="auto"/>
        <w:ind w:left="720" w:hanging="720"/>
        <w:rPr>
          <w:rFonts w:ascii="Tahoma" w:hAnsi="Tahoma" w:cs="Tahoma"/>
          <w:sz w:val="24"/>
          <w:szCs w:val="24"/>
        </w:rPr>
      </w:pPr>
    </w:p>
    <w:p w14:paraId="1B142EFC" w14:textId="177752EC" w:rsidR="00472D2F" w:rsidRDefault="008F0378" w:rsidP="00496866">
      <w:pPr>
        <w:spacing w:after="0" w:line="240" w:lineRule="auto"/>
        <w:ind w:left="720"/>
        <w:rPr>
          <w:rFonts w:ascii="Tahoma" w:hAnsi="Tahoma" w:cs="Tahoma"/>
          <w:sz w:val="24"/>
          <w:szCs w:val="24"/>
        </w:rPr>
      </w:pPr>
      <w:r>
        <w:rPr>
          <w:rFonts w:ascii="Tahoma" w:hAnsi="Tahoma" w:cs="Tahoma"/>
          <w:sz w:val="24"/>
          <w:szCs w:val="24"/>
        </w:rPr>
        <w:t>If the sign denotes electric</w:t>
      </w:r>
      <w:r w:rsidR="000142A6">
        <w:rPr>
          <w:rFonts w:ascii="Tahoma" w:hAnsi="Tahoma" w:cs="Tahoma"/>
          <w:sz w:val="24"/>
          <w:szCs w:val="24"/>
        </w:rPr>
        <w:t xml:space="preserve"> vehicle</w:t>
      </w:r>
      <w:r>
        <w:rPr>
          <w:rFonts w:ascii="Tahoma" w:hAnsi="Tahoma" w:cs="Tahoma"/>
          <w:sz w:val="24"/>
          <w:szCs w:val="24"/>
        </w:rPr>
        <w:t xml:space="preserve"> charging availability at a branded fossil fuel station in a co-equal manner to the fossil fuel signage, then it would be an eligible project. The </w:t>
      </w:r>
      <w:r w:rsidR="00940B9C">
        <w:rPr>
          <w:rFonts w:ascii="Tahoma" w:hAnsi="Tahoma" w:cs="Tahoma"/>
          <w:sz w:val="24"/>
          <w:szCs w:val="24"/>
        </w:rPr>
        <w:t>electric vehicle</w:t>
      </w:r>
      <w:r>
        <w:rPr>
          <w:rFonts w:ascii="Tahoma" w:hAnsi="Tahoma" w:cs="Tahoma"/>
          <w:sz w:val="24"/>
          <w:szCs w:val="24"/>
        </w:rPr>
        <w:t xml:space="preserve"> charging sign at the Chevron station shown </w:t>
      </w:r>
      <w:r w:rsidR="007739D5">
        <w:rPr>
          <w:rFonts w:ascii="Tahoma" w:hAnsi="Tahoma" w:cs="Tahoma"/>
          <w:sz w:val="24"/>
          <w:szCs w:val="24"/>
        </w:rPr>
        <w:t>in Section II.B.1 of the Solicitation Manual</w:t>
      </w:r>
      <w:r>
        <w:rPr>
          <w:rFonts w:ascii="Tahoma" w:hAnsi="Tahoma" w:cs="Tahoma"/>
          <w:sz w:val="24"/>
          <w:szCs w:val="24"/>
        </w:rPr>
        <w:t xml:space="preserve"> is one example of such signage.</w:t>
      </w:r>
    </w:p>
    <w:p w14:paraId="2DCA634F" w14:textId="14A7144D" w:rsidR="008F0378" w:rsidRDefault="008F0378" w:rsidP="00496866">
      <w:pPr>
        <w:spacing w:after="0" w:line="240" w:lineRule="auto"/>
        <w:ind w:left="720"/>
        <w:rPr>
          <w:rFonts w:ascii="Tahoma" w:hAnsi="Tahoma" w:cs="Tahoma"/>
          <w:sz w:val="24"/>
          <w:szCs w:val="24"/>
        </w:rPr>
      </w:pPr>
    </w:p>
    <w:p w14:paraId="7445722D" w14:textId="4DEEBFE1" w:rsidR="002D68AA" w:rsidRDefault="008F0378" w:rsidP="00591F47">
      <w:pPr>
        <w:spacing w:after="0" w:line="240" w:lineRule="auto"/>
        <w:ind w:left="720"/>
        <w:rPr>
          <w:rFonts w:ascii="Tahoma" w:hAnsi="Tahoma" w:cs="Tahoma"/>
          <w:sz w:val="24"/>
          <w:szCs w:val="24"/>
        </w:rPr>
      </w:pPr>
      <w:r>
        <w:rPr>
          <w:rFonts w:ascii="Tahoma" w:hAnsi="Tahoma" w:cs="Tahoma"/>
          <w:sz w:val="24"/>
          <w:szCs w:val="24"/>
        </w:rPr>
        <w:t>If the “electronic signage” is installed along boulevards and expressways not subject to Caltrans jurisdiction and conform to the standards of the local permitting authority</w:t>
      </w:r>
      <w:r w:rsidR="00162E86">
        <w:rPr>
          <w:rFonts w:ascii="Tahoma" w:hAnsi="Tahoma" w:cs="Tahoma"/>
          <w:sz w:val="24"/>
          <w:szCs w:val="24"/>
        </w:rPr>
        <w:t>, then it could be an eligible project.</w:t>
      </w:r>
    </w:p>
    <w:p w14:paraId="52437080" w14:textId="77777777" w:rsidR="00D7684E" w:rsidRPr="00D7684E" w:rsidRDefault="00D7684E" w:rsidP="00D7684E">
      <w:pPr>
        <w:rPr>
          <w:rFonts w:ascii="Tahoma" w:hAnsi="Tahoma" w:cs="Tahoma"/>
          <w:sz w:val="24"/>
          <w:szCs w:val="24"/>
        </w:rPr>
      </w:pPr>
    </w:p>
    <w:p w14:paraId="2744F6A4" w14:textId="77777777" w:rsidR="00D7684E" w:rsidRPr="00D7684E" w:rsidRDefault="00D7684E" w:rsidP="00D7684E">
      <w:pPr>
        <w:rPr>
          <w:rFonts w:ascii="Tahoma" w:hAnsi="Tahoma" w:cs="Tahoma"/>
          <w:sz w:val="24"/>
          <w:szCs w:val="24"/>
        </w:rPr>
      </w:pPr>
    </w:p>
    <w:p w14:paraId="4D64B66A" w14:textId="77777777" w:rsidR="00D7684E" w:rsidRPr="00D7684E" w:rsidRDefault="00D7684E" w:rsidP="00D7684E">
      <w:pPr>
        <w:rPr>
          <w:rFonts w:ascii="Tahoma" w:hAnsi="Tahoma" w:cs="Tahoma"/>
          <w:sz w:val="24"/>
          <w:szCs w:val="24"/>
        </w:rPr>
      </w:pPr>
    </w:p>
    <w:p w14:paraId="204820FD" w14:textId="77777777" w:rsidR="00D7684E" w:rsidRPr="00D7684E" w:rsidRDefault="00D7684E" w:rsidP="00D7684E">
      <w:pPr>
        <w:rPr>
          <w:rFonts w:ascii="Tahoma" w:hAnsi="Tahoma" w:cs="Tahoma"/>
          <w:sz w:val="24"/>
          <w:szCs w:val="24"/>
        </w:rPr>
      </w:pPr>
    </w:p>
    <w:p w14:paraId="7C971C63" w14:textId="77777777" w:rsidR="00D7684E" w:rsidRPr="00D7684E" w:rsidRDefault="00D7684E" w:rsidP="00D7684E">
      <w:pPr>
        <w:rPr>
          <w:rFonts w:ascii="Tahoma" w:hAnsi="Tahoma" w:cs="Tahoma"/>
          <w:sz w:val="24"/>
          <w:szCs w:val="24"/>
        </w:rPr>
      </w:pPr>
    </w:p>
    <w:p w14:paraId="59E95886" w14:textId="77777777" w:rsidR="00D7684E" w:rsidRPr="00D7684E" w:rsidRDefault="00D7684E" w:rsidP="00D7684E">
      <w:pPr>
        <w:rPr>
          <w:rFonts w:ascii="Tahoma" w:hAnsi="Tahoma" w:cs="Tahoma"/>
          <w:sz w:val="24"/>
          <w:szCs w:val="24"/>
        </w:rPr>
      </w:pPr>
    </w:p>
    <w:p w14:paraId="63C97DBF" w14:textId="77777777" w:rsidR="00D7684E" w:rsidRPr="00D7684E" w:rsidRDefault="00D7684E" w:rsidP="00D7684E">
      <w:pPr>
        <w:rPr>
          <w:rFonts w:ascii="Tahoma" w:hAnsi="Tahoma" w:cs="Tahoma"/>
          <w:sz w:val="24"/>
          <w:szCs w:val="24"/>
        </w:rPr>
      </w:pPr>
    </w:p>
    <w:p w14:paraId="03E27FD5" w14:textId="77777777" w:rsidR="00D7684E" w:rsidRPr="00D7684E" w:rsidRDefault="00D7684E" w:rsidP="00D7684E">
      <w:pPr>
        <w:rPr>
          <w:rFonts w:ascii="Tahoma" w:hAnsi="Tahoma" w:cs="Tahoma"/>
          <w:sz w:val="24"/>
          <w:szCs w:val="24"/>
        </w:rPr>
      </w:pPr>
    </w:p>
    <w:p w14:paraId="21B1863D" w14:textId="77777777" w:rsidR="00D7684E" w:rsidRPr="00D7684E" w:rsidRDefault="00D7684E" w:rsidP="00D7684E">
      <w:pPr>
        <w:rPr>
          <w:rFonts w:ascii="Tahoma" w:hAnsi="Tahoma" w:cs="Tahoma"/>
          <w:sz w:val="24"/>
          <w:szCs w:val="24"/>
        </w:rPr>
      </w:pPr>
    </w:p>
    <w:p w14:paraId="309615A3" w14:textId="77777777" w:rsidR="00D7684E" w:rsidRPr="00D7684E" w:rsidRDefault="00D7684E" w:rsidP="00D7684E">
      <w:pPr>
        <w:jc w:val="center"/>
        <w:rPr>
          <w:rFonts w:ascii="Tahoma" w:hAnsi="Tahoma" w:cs="Tahoma"/>
          <w:sz w:val="24"/>
          <w:szCs w:val="24"/>
        </w:rPr>
      </w:pPr>
    </w:p>
    <w:sectPr w:rsidR="00D7684E" w:rsidRPr="00D7684E" w:rsidSect="00940B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7EAD" w14:textId="77777777" w:rsidR="00D74E91" w:rsidRDefault="00D74E91" w:rsidP="00B4351B">
      <w:pPr>
        <w:spacing w:after="0" w:line="240" w:lineRule="auto"/>
      </w:pPr>
      <w:r>
        <w:separator/>
      </w:r>
    </w:p>
  </w:endnote>
  <w:endnote w:type="continuationSeparator" w:id="0">
    <w:p w14:paraId="6853E42B" w14:textId="77777777" w:rsidR="00D74E91" w:rsidRDefault="00D74E91" w:rsidP="00B4351B">
      <w:pPr>
        <w:spacing w:after="0" w:line="240" w:lineRule="auto"/>
      </w:pPr>
      <w:r>
        <w:continuationSeparator/>
      </w:r>
    </w:p>
  </w:endnote>
  <w:endnote w:type="continuationNotice" w:id="1">
    <w:p w14:paraId="444C59D7" w14:textId="77777777" w:rsidR="00D74E91" w:rsidRDefault="00D74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AAB1" w14:textId="77777777" w:rsidR="0023750E" w:rsidRDefault="00237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7583" w14:textId="2F8BBB77" w:rsidR="003D496B" w:rsidRDefault="003D496B" w:rsidP="00B47087">
    <w:pPr>
      <w:pStyle w:val="Footer"/>
      <w:spacing w:after="0" w:line="240" w:lineRule="auto"/>
      <w:ind w:left="2880" w:hanging="2880"/>
      <w:rPr>
        <w:rFonts w:ascii="Tahoma" w:hAnsi="Tahoma" w:cs="Tahoma"/>
        <w:noProof/>
      </w:rPr>
    </w:pPr>
    <w:r>
      <w:rPr>
        <w:rFonts w:ascii="Tahoma" w:hAnsi="Tahoma" w:cs="Tahoma"/>
        <w:noProof/>
      </w:rPr>
      <w:t>June 2023</w:t>
    </w:r>
    <w:r w:rsidR="00E46496" w:rsidRPr="00A62F65">
      <w:rPr>
        <w:rFonts w:ascii="Tahoma" w:hAnsi="Tahoma" w:cs="Tahoma"/>
        <w:noProof/>
      </w:rPr>
      <w:tab/>
    </w:r>
    <w:r w:rsidR="00B47087">
      <w:rPr>
        <w:rFonts w:ascii="Tahoma" w:hAnsi="Tahoma" w:cs="Tahoma"/>
        <w:noProof/>
      </w:rPr>
      <w:tab/>
    </w:r>
    <w:r w:rsidR="00AC78F3">
      <w:rPr>
        <w:rFonts w:ascii="Tahoma" w:hAnsi="Tahoma" w:cs="Tahoma"/>
        <w:noProof/>
      </w:rPr>
      <w:t>3</w:t>
    </w:r>
    <w:r>
      <w:rPr>
        <w:rFonts w:ascii="Tahoma" w:hAnsi="Tahoma" w:cs="Tahoma"/>
        <w:noProof/>
      </w:rPr>
      <w:tab/>
      <w:t>GFO-22-613</w:t>
    </w:r>
  </w:p>
  <w:p w14:paraId="1B3BFE7D" w14:textId="5337BD98" w:rsidR="00B47087" w:rsidRDefault="003D496B" w:rsidP="00B47087">
    <w:pPr>
      <w:pStyle w:val="Footer"/>
      <w:spacing w:after="0" w:line="240" w:lineRule="auto"/>
      <w:ind w:left="2880" w:hanging="2880"/>
      <w:rPr>
        <w:rFonts w:ascii="Tahoma" w:hAnsi="Tahoma" w:cs="Tahoma"/>
        <w:noProof/>
      </w:rPr>
    </w:pPr>
    <w:r>
      <w:rPr>
        <w:rFonts w:ascii="Tahoma" w:hAnsi="Tahoma" w:cs="Tahoma"/>
        <w:noProof/>
      </w:rPr>
      <w:tab/>
    </w:r>
    <w:r>
      <w:rPr>
        <w:rFonts w:ascii="Tahoma" w:hAnsi="Tahoma" w:cs="Tahoma"/>
        <w:noProof/>
      </w:rPr>
      <w:tab/>
    </w:r>
    <w:r>
      <w:rPr>
        <w:rFonts w:ascii="Tahoma" w:hAnsi="Tahoma" w:cs="Tahoma"/>
        <w:noProof/>
      </w:rPr>
      <w:tab/>
      <w:t>S</w:t>
    </w:r>
    <w:r w:rsidR="00B541D1">
      <w:rPr>
        <w:rFonts w:ascii="Tahoma" w:hAnsi="Tahoma" w:cs="Tahoma"/>
        <w:noProof/>
      </w:rPr>
      <w:t xml:space="preserve">ignage and Other Measures to </w:t>
    </w:r>
  </w:p>
  <w:p w14:paraId="6A71414E" w14:textId="05C9B096" w:rsidR="00B47087" w:rsidRDefault="00B47087" w:rsidP="00B47087">
    <w:pPr>
      <w:pStyle w:val="Footer"/>
      <w:spacing w:after="0" w:line="240" w:lineRule="auto"/>
      <w:ind w:left="2880" w:hanging="2880"/>
      <w:rPr>
        <w:rFonts w:ascii="Tahoma" w:hAnsi="Tahoma" w:cs="Tahoma"/>
        <w:noProof/>
      </w:rPr>
    </w:pPr>
    <w:r>
      <w:rPr>
        <w:rFonts w:ascii="Tahoma" w:hAnsi="Tahoma" w:cs="Tahoma"/>
        <w:noProof/>
      </w:rPr>
      <w:tab/>
    </w:r>
    <w:r>
      <w:rPr>
        <w:rFonts w:ascii="Tahoma" w:hAnsi="Tahoma" w:cs="Tahoma"/>
        <w:noProof/>
      </w:rPr>
      <w:tab/>
    </w:r>
    <w:r>
      <w:rPr>
        <w:rFonts w:ascii="Tahoma" w:hAnsi="Tahoma" w:cs="Tahoma"/>
        <w:noProof/>
      </w:rPr>
      <w:tab/>
    </w:r>
    <w:r w:rsidR="00B541D1">
      <w:rPr>
        <w:rFonts w:ascii="Tahoma" w:hAnsi="Tahoma" w:cs="Tahoma"/>
        <w:noProof/>
      </w:rPr>
      <w:t>Increase the Visibility of E</w:t>
    </w:r>
    <w:r w:rsidR="00D7684E">
      <w:rPr>
        <w:rFonts w:ascii="Tahoma" w:hAnsi="Tahoma" w:cs="Tahoma"/>
        <w:noProof/>
      </w:rPr>
      <w:t xml:space="preserve">lectric </w:t>
    </w:r>
    <w:r w:rsidR="00B541D1">
      <w:rPr>
        <w:rFonts w:ascii="Tahoma" w:hAnsi="Tahoma" w:cs="Tahoma"/>
        <w:noProof/>
      </w:rPr>
      <w:t>V</w:t>
    </w:r>
    <w:r w:rsidR="00D7684E">
      <w:rPr>
        <w:rFonts w:ascii="Tahoma" w:hAnsi="Tahoma" w:cs="Tahoma"/>
        <w:noProof/>
      </w:rPr>
      <w:t>ehicle</w:t>
    </w:r>
    <w:r w:rsidR="00B541D1">
      <w:rPr>
        <w:rFonts w:ascii="Tahoma" w:hAnsi="Tahoma" w:cs="Tahoma"/>
        <w:noProof/>
      </w:rPr>
      <w:t xml:space="preserve"> </w:t>
    </w:r>
  </w:p>
  <w:p w14:paraId="081B4918" w14:textId="4677416F" w:rsidR="00E46496" w:rsidRPr="00A62F65" w:rsidRDefault="00B47087" w:rsidP="00B47087">
    <w:pPr>
      <w:pStyle w:val="Footer"/>
      <w:spacing w:after="0" w:line="240" w:lineRule="auto"/>
      <w:ind w:left="2880" w:hanging="2880"/>
      <w:rPr>
        <w:rFonts w:ascii="Tahoma" w:hAnsi="Tahoma" w:cs="Tahoma"/>
        <w:noProof/>
      </w:rPr>
    </w:pPr>
    <w:r>
      <w:rPr>
        <w:rFonts w:ascii="Tahoma" w:hAnsi="Tahoma" w:cs="Tahoma"/>
        <w:noProof/>
      </w:rPr>
      <w:tab/>
    </w:r>
    <w:r>
      <w:rPr>
        <w:rFonts w:ascii="Tahoma" w:hAnsi="Tahoma" w:cs="Tahoma"/>
        <w:noProof/>
      </w:rPr>
      <w:tab/>
    </w:r>
    <w:r>
      <w:rPr>
        <w:rFonts w:ascii="Tahoma" w:hAnsi="Tahoma" w:cs="Tahoma"/>
        <w:noProof/>
      </w:rPr>
      <w:tab/>
    </w:r>
    <w:r w:rsidR="00B541D1">
      <w:rPr>
        <w:rFonts w:ascii="Tahoma" w:hAnsi="Tahoma" w:cs="Tahoma"/>
        <w:noProof/>
      </w:rPr>
      <w:t xml:space="preserve">Charging and Hydrogen Refueling Stations </w:t>
    </w:r>
  </w:p>
  <w:p w14:paraId="778D6489" w14:textId="16A899B2" w:rsidR="00F574C9" w:rsidRPr="00B47087" w:rsidRDefault="00E46496" w:rsidP="00B47087">
    <w:pPr>
      <w:pStyle w:val="Footer"/>
      <w:spacing w:after="0" w:line="240" w:lineRule="auto"/>
      <w:rPr>
        <w:rFonts w:ascii="Tahoma" w:hAnsi="Tahoma" w:cs="Tahoma"/>
      </w:rPr>
    </w:pPr>
    <w:r>
      <w:rPr>
        <w:rFonts w:ascii="Tahoma" w:hAnsi="Tahoma" w:cs="Tahoma"/>
        <w:noProof/>
      </w:rPr>
      <w:tab/>
    </w:r>
    <w:r>
      <w:rPr>
        <w:rFonts w:ascii="Tahoma" w:hAnsi="Tahoma" w:cs="Tahoma"/>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2AAC" w14:textId="77777777" w:rsidR="0023750E" w:rsidRDefault="00237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BAE0" w14:textId="77777777" w:rsidR="00D74E91" w:rsidRDefault="00D74E91" w:rsidP="00B4351B">
      <w:pPr>
        <w:spacing w:after="0" w:line="240" w:lineRule="auto"/>
      </w:pPr>
      <w:r>
        <w:separator/>
      </w:r>
    </w:p>
  </w:footnote>
  <w:footnote w:type="continuationSeparator" w:id="0">
    <w:p w14:paraId="497A466B" w14:textId="77777777" w:rsidR="00D74E91" w:rsidRDefault="00D74E91" w:rsidP="00B4351B">
      <w:pPr>
        <w:spacing w:after="0" w:line="240" w:lineRule="auto"/>
      </w:pPr>
      <w:r>
        <w:continuationSeparator/>
      </w:r>
    </w:p>
  </w:footnote>
  <w:footnote w:type="continuationNotice" w:id="1">
    <w:p w14:paraId="6DF85243" w14:textId="77777777" w:rsidR="00D74E91" w:rsidRDefault="00D74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C1CE" w14:textId="77777777" w:rsidR="0023750E" w:rsidRDefault="00237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4D19" w14:textId="77777777" w:rsidR="0023750E" w:rsidRDefault="00237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60FD" w14:textId="77777777" w:rsidR="0023750E" w:rsidRDefault="00237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855"/>
    <w:multiLevelType w:val="hybridMultilevel"/>
    <w:tmpl w:val="486CA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B50BEF"/>
    <w:multiLevelType w:val="hybridMultilevel"/>
    <w:tmpl w:val="0EE6EF36"/>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7E5C6494"/>
    <w:multiLevelType w:val="hybridMultilevel"/>
    <w:tmpl w:val="B8ECBDDE"/>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num w:numId="1" w16cid:durableId="1948803732">
    <w:abstractNumId w:val="0"/>
  </w:num>
  <w:num w:numId="2" w16cid:durableId="17433751">
    <w:abstractNumId w:val="1"/>
  </w:num>
  <w:num w:numId="3" w16cid:durableId="181216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34FD"/>
    <w:rsid w:val="0001332E"/>
    <w:rsid w:val="000142A6"/>
    <w:rsid w:val="00023857"/>
    <w:rsid w:val="00042EC4"/>
    <w:rsid w:val="00045E0E"/>
    <w:rsid w:val="00051829"/>
    <w:rsid w:val="000630B0"/>
    <w:rsid w:val="00072A3F"/>
    <w:rsid w:val="0007343B"/>
    <w:rsid w:val="0007761F"/>
    <w:rsid w:val="00092C83"/>
    <w:rsid w:val="000B41A9"/>
    <w:rsid w:val="000D2CF7"/>
    <w:rsid w:val="000D7B78"/>
    <w:rsid w:val="000E000D"/>
    <w:rsid w:val="001354A6"/>
    <w:rsid w:val="001441B3"/>
    <w:rsid w:val="00162E86"/>
    <w:rsid w:val="001713F6"/>
    <w:rsid w:val="001973A2"/>
    <w:rsid w:val="001C53DE"/>
    <w:rsid w:val="001D5AFB"/>
    <w:rsid w:val="001E29F4"/>
    <w:rsid w:val="00217EA8"/>
    <w:rsid w:val="002313BA"/>
    <w:rsid w:val="00231C60"/>
    <w:rsid w:val="0023750E"/>
    <w:rsid w:val="002644ED"/>
    <w:rsid w:val="002D68AA"/>
    <w:rsid w:val="00320494"/>
    <w:rsid w:val="00344F2F"/>
    <w:rsid w:val="00394070"/>
    <w:rsid w:val="003C0B73"/>
    <w:rsid w:val="003C57C0"/>
    <w:rsid w:val="003D496B"/>
    <w:rsid w:val="003F5671"/>
    <w:rsid w:val="00412F54"/>
    <w:rsid w:val="00415C91"/>
    <w:rsid w:val="00442988"/>
    <w:rsid w:val="00447087"/>
    <w:rsid w:val="00472D2F"/>
    <w:rsid w:val="00496866"/>
    <w:rsid w:val="004A30BF"/>
    <w:rsid w:val="005146CE"/>
    <w:rsid w:val="0053700D"/>
    <w:rsid w:val="00591F47"/>
    <w:rsid w:val="00592410"/>
    <w:rsid w:val="005A0F9D"/>
    <w:rsid w:val="005B3138"/>
    <w:rsid w:val="005B488D"/>
    <w:rsid w:val="005B5294"/>
    <w:rsid w:val="00614F40"/>
    <w:rsid w:val="00626DE4"/>
    <w:rsid w:val="0068775F"/>
    <w:rsid w:val="00691A32"/>
    <w:rsid w:val="00693F39"/>
    <w:rsid w:val="00697B78"/>
    <w:rsid w:val="00733618"/>
    <w:rsid w:val="007739D5"/>
    <w:rsid w:val="00794BF9"/>
    <w:rsid w:val="007A011C"/>
    <w:rsid w:val="007B19D0"/>
    <w:rsid w:val="007B769E"/>
    <w:rsid w:val="007C0B8E"/>
    <w:rsid w:val="007E4354"/>
    <w:rsid w:val="00850385"/>
    <w:rsid w:val="00873481"/>
    <w:rsid w:val="008F0378"/>
    <w:rsid w:val="00940B9C"/>
    <w:rsid w:val="0095344C"/>
    <w:rsid w:val="00A41F62"/>
    <w:rsid w:val="00A62F65"/>
    <w:rsid w:val="00A96B56"/>
    <w:rsid w:val="00AC78F3"/>
    <w:rsid w:val="00B4351B"/>
    <w:rsid w:val="00B47087"/>
    <w:rsid w:val="00B541D1"/>
    <w:rsid w:val="00B74C33"/>
    <w:rsid w:val="00BC7EAD"/>
    <w:rsid w:val="00C60604"/>
    <w:rsid w:val="00C6519F"/>
    <w:rsid w:val="00CF129F"/>
    <w:rsid w:val="00CF211C"/>
    <w:rsid w:val="00D71765"/>
    <w:rsid w:val="00D74E91"/>
    <w:rsid w:val="00D7684E"/>
    <w:rsid w:val="00DA594D"/>
    <w:rsid w:val="00DB0B8A"/>
    <w:rsid w:val="00E115F1"/>
    <w:rsid w:val="00E2155F"/>
    <w:rsid w:val="00E46496"/>
    <w:rsid w:val="00E55A24"/>
    <w:rsid w:val="00EA69F4"/>
    <w:rsid w:val="00F261F6"/>
    <w:rsid w:val="00F35329"/>
    <w:rsid w:val="00F574C9"/>
    <w:rsid w:val="00F63CE2"/>
    <w:rsid w:val="00FB72D7"/>
    <w:rsid w:val="07616DF7"/>
    <w:rsid w:val="15FCC9EB"/>
    <w:rsid w:val="1813D824"/>
    <w:rsid w:val="222290D7"/>
    <w:rsid w:val="2BDE128B"/>
    <w:rsid w:val="384D0256"/>
    <w:rsid w:val="6526E98C"/>
    <w:rsid w:val="666855F3"/>
    <w:rsid w:val="68FE1A62"/>
    <w:rsid w:val="6B9ED453"/>
    <w:rsid w:val="6EE68B39"/>
    <w:rsid w:val="72755F4F"/>
    <w:rsid w:val="76D7ADB8"/>
    <w:rsid w:val="7C37A221"/>
    <w:rsid w:val="7E137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C4A59"/>
  <w15:chartTrackingRefBased/>
  <w15:docId w15:val="{71C2872A-A66A-4B3F-94F1-A745F9EB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paragraph" w:customStyle="1" w:styleId="xmsonormal">
    <w:name w:val="x_msonormal"/>
    <w:basedOn w:val="Normal"/>
    <w:rsid w:val="002D68AA"/>
    <w:pPr>
      <w:spacing w:after="0" w:line="240" w:lineRule="auto"/>
    </w:pPr>
    <w:rPr>
      <w:rFonts w:eastAsia="Calibri" w:cs="Calibri"/>
    </w:rPr>
  </w:style>
  <w:style w:type="paragraph" w:customStyle="1" w:styleId="Default">
    <w:name w:val="Default"/>
    <w:rsid w:val="002D68AA"/>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unhideWhenUsed/>
    <w:rsid w:val="00CF129F"/>
    <w:rPr>
      <w:color w:val="0563C1" w:themeColor="hyperlink"/>
      <w:u w:val="single"/>
    </w:rPr>
  </w:style>
  <w:style w:type="character" w:styleId="UnresolvedMention">
    <w:name w:val="Unresolved Mention"/>
    <w:basedOn w:val="DefaultParagraphFont"/>
    <w:uiPriority w:val="99"/>
    <w:semiHidden/>
    <w:unhideWhenUsed/>
    <w:rsid w:val="00CF129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7087"/>
    <w:rPr>
      <w:sz w:val="22"/>
      <w:szCs w:val="22"/>
    </w:rPr>
  </w:style>
  <w:style w:type="paragraph" w:styleId="CommentSubject">
    <w:name w:val="annotation subject"/>
    <w:basedOn w:val="CommentText"/>
    <w:next w:val="CommentText"/>
    <w:link w:val="CommentSubjectChar"/>
    <w:uiPriority w:val="99"/>
    <w:semiHidden/>
    <w:unhideWhenUsed/>
    <w:rsid w:val="0007761F"/>
    <w:pPr>
      <w:spacing w:line="240" w:lineRule="auto"/>
    </w:pPr>
    <w:rPr>
      <w:b/>
      <w:bCs/>
    </w:rPr>
  </w:style>
  <w:style w:type="character" w:customStyle="1" w:styleId="CommentSubjectChar">
    <w:name w:val="Comment Subject Char"/>
    <w:basedOn w:val="CommentTextChar"/>
    <w:link w:val="CommentSubject"/>
    <w:uiPriority w:val="99"/>
    <w:semiHidden/>
    <w:rsid w:val="00077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event/funding-workshop/2023-04/pre-application-workshop-gfo-22-613-signage-and-other-measur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ot.ca.gov/programs/safety-programs/camutc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5D86F51-6D3C-4B11-9BD4-00F506A8C0F1}">
    <t:Anchor>
      <t:Comment id="1026360560"/>
    </t:Anchor>
    <t:History>
      <t:Event id="{FED7BE4E-C989-4051-BE52-041E10E5E275}" time="2023-05-24T00:18:46.906Z">
        <t:Attribution userId="S::melanie.vail@energy.ca.gov::a48645c7-9aea-4dfb-9ab4-d8f547cd166a" userProvider="AD" userName="Vail, Melanie@Energy"/>
        <t:Anchor>
          <t:Comment id="672625654"/>
        </t:Anchor>
        <t:Create/>
      </t:Event>
      <t:Event id="{F7CF6B3A-F19A-4FA7-BA85-19721376F327}" time="2023-05-24T00:18:46.906Z">
        <t:Attribution userId="S::melanie.vail@energy.ca.gov::a48645c7-9aea-4dfb-9ab4-d8f547cd166a" userProvider="AD" userName="Vail, Melanie@Energy"/>
        <t:Anchor>
          <t:Comment id="672625654"/>
        </t:Anchor>
        <t:Assign userId="S::Alyssa.Bartholomew@Energy.ca.gov::604fa400-abe4-4ea8-93e6-bfdc1cd10164" userProvider="AD" userName="Bartholomew, Alyssa@Energy"/>
      </t:Event>
      <t:Event id="{17BA8A17-D107-4B48-B69E-90F2A9729126}" time="2023-05-24T00:18:46.906Z">
        <t:Attribution userId="S::melanie.vail@energy.ca.gov::a48645c7-9aea-4dfb-9ab4-d8f547cd166a" userProvider="AD" userName="Vail, Melanie@Energy"/>
        <t:Anchor>
          <t:Comment id="672625654"/>
        </t:Anchor>
        <t:SetTitle title="@Bartholomew, Alyssa@Energy Approved with edits. @McKinney, Jim@Energy was there an attorney assigned to this solicitation? If so, it should go to legal for review and then to CG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Ward, Allan@Energy</DisplayName>
        <AccountId>115</AccountId>
        <AccountType/>
      </UserInfo>
      <UserInfo>
        <DisplayName>Barrera, Linda@Energy</DisplayName>
        <AccountId>824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60E7F-464E-4E20-9090-AD5EE37946E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7CB2DAF9-5D41-4C6C-A2B7-39AE0150D20D}">
  <ds:schemaRefs>
    <ds:schemaRef ds:uri="http://schemas.microsoft.com/sharepoint/v3/contenttype/forms"/>
  </ds:schemaRefs>
</ds:datastoreItem>
</file>

<file path=customXml/itemProps3.xml><?xml version="1.0" encoding="utf-8"?>
<ds:datastoreItem xmlns:ds="http://schemas.openxmlformats.org/officeDocument/2006/customXml" ds:itemID="{0AB7C8DA-01B3-44AE-A4FD-0F495A78D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2303</Characters>
  <Application>Microsoft Office Word</Application>
  <DocSecurity>0</DocSecurity>
  <Lines>19</Lines>
  <Paragraphs>5</Paragraphs>
  <ScaleCrop>false</ScaleCrop>
  <Company>California Energy Commission</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Johnson, Natalie@Energy</cp:lastModifiedBy>
  <cp:revision>3</cp:revision>
  <dcterms:created xsi:type="dcterms:W3CDTF">2023-06-16T17:50:00Z</dcterms:created>
  <dcterms:modified xsi:type="dcterms:W3CDTF">2023-06-16T21:07:00Z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fced6db922dc3d7daf7faf1c6e3169923289759b0adcb5acd6de0aa85f58a6a0</vt:lpwstr>
  </property>
</Properties>
</file>