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126A4" w14:textId="6462E3D3" w:rsidR="009E6C35" w:rsidRDefault="0050279B" w:rsidP="00B33F69">
      <w:pPr>
        <w:pStyle w:val="paragraph"/>
        <w:ind w:left="4320"/>
        <w:jc w:val="right"/>
        <w:textAlignment w:val="baseline"/>
        <w:rPr>
          <w:rStyle w:val="normaltextrun"/>
          <w:rFonts w:ascii="Arial" w:hAnsi="Arial" w:cs="Arial"/>
        </w:rPr>
      </w:pPr>
      <w:r>
        <w:rPr>
          <w:rStyle w:val="normaltextrun"/>
          <w:rFonts w:ascii="Arial" w:hAnsi="Arial" w:cs="Arial"/>
        </w:rPr>
        <w:t xml:space="preserve">June </w:t>
      </w:r>
      <w:r w:rsidR="00074E58">
        <w:rPr>
          <w:rStyle w:val="normaltextrun"/>
          <w:rFonts w:ascii="Arial" w:hAnsi="Arial" w:cs="Arial"/>
        </w:rPr>
        <w:t>23</w:t>
      </w:r>
      <w:r w:rsidR="0079120A">
        <w:rPr>
          <w:rStyle w:val="normaltextrun"/>
          <w:rFonts w:ascii="Arial" w:hAnsi="Arial" w:cs="Arial"/>
        </w:rPr>
        <w:t>, 2023</w:t>
      </w:r>
    </w:p>
    <w:p w14:paraId="3049D69B" w14:textId="4512B29A" w:rsidR="00B1122A" w:rsidRPr="00B1122A" w:rsidRDefault="00B1122A" w:rsidP="00B1122A">
      <w:pPr>
        <w:jc w:val="center"/>
        <w:rPr>
          <w:rFonts w:ascii="Arial" w:hAnsi="Arial" w:cs="Arial"/>
          <w:b/>
          <w:bCs/>
        </w:rPr>
      </w:pPr>
      <w:r w:rsidRPr="00B1122A">
        <w:rPr>
          <w:rFonts w:ascii="Arial" w:hAnsi="Arial" w:cs="Arial"/>
          <w:b/>
          <w:bCs/>
        </w:rPr>
        <w:t>GFO-22-</w:t>
      </w:r>
      <w:r w:rsidR="0050279B">
        <w:rPr>
          <w:rFonts w:ascii="Arial" w:hAnsi="Arial" w:cs="Arial"/>
          <w:b/>
          <w:bCs/>
        </w:rPr>
        <w:t>615</w:t>
      </w:r>
    </w:p>
    <w:p w14:paraId="1BBABA3F" w14:textId="2026FF2B" w:rsidR="00B1122A" w:rsidRPr="00B1122A" w:rsidRDefault="0050279B" w:rsidP="00B1122A">
      <w:pPr>
        <w:autoSpaceDE w:val="0"/>
        <w:autoSpaceDN w:val="0"/>
        <w:adjustRightInd w:val="0"/>
        <w:jc w:val="center"/>
        <w:rPr>
          <w:rFonts w:ascii="Arial" w:eastAsia="Calibri" w:hAnsi="Arial" w:cs="Arial"/>
          <w:b/>
          <w:bCs/>
          <w:color w:val="000000"/>
        </w:rPr>
      </w:pPr>
      <w:r>
        <w:rPr>
          <w:rFonts w:ascii="Arial" w:eastAsia="Calibri" w:hAnsi="Arial" w:cs="Arial"/>
          <w:b/>
          <w:bCs/>
          <w:color w:val="000000"/>
        </w:rPr>
        <w:t>Innovative Charging Solutions for Medium- and Heavy-Duty Electric Vehicles</w:t>
      </w:r>
    </w:p>
    <w:p w14:paraId="6587D6BB" w14:textId="5C784ACB" w:rsidR="00B1122A" w:rsidRPr="00B1122A" w:rsidRDefault="00B1122A" w:rsidP="00B1122A">
      <w:pPr>
        <w:autoSpaceDE w:val="0"/>
        <w:autoSpaceDN w:val="0"/>
        <w:adjustRightInd w:val="0"/>
        <w:jc w:val="center"/>
        <w:rPr>
          <w:rFonts w:ascii="Arial" w:eastAsia="Calibri" w:hAnsi="Arial" w:cs="Arial"/>
          <w:b/>
          <w:bCs/>
          <w:color w:val="000000"/>
        </w:rPr>
      </w:pPr>
      <w:r w:rsidRPr="00B1122A">
        <w:rPr>
          <w:rFonts w:ascii="Arial" w:eastAsia="Calibri" w:hAnsi="Arial" w:cs="Arial"/>
          <w:b/>
          <w:bCs/>
          <w:color w:val="000000"/>
        </w:rPr>
        <w:t xml:space="preserve">Addendum </w:t>
      </w:r>
      <w:r w:rsidR="00B33F69">
        <w:rPr>
          <w:rFonts w:ascii="Arial" w:eastAsia="Calibri" w:hAnsi="Arial" w:cs="Arial"/>
          <w:b/>
          <w:bCs/>
          <w:color w:val="000000"/>
        </w:rPr>
        <w:t>1</w:t>
      </w:r>
    </w:p>
    <w:p w14:paraId="363B15A9" w14:textId="77777777" w:rsidR="00B1122A" w:rsidRPr="00B1122A" w:rsidRDefault="00B1122A" w:rsidP="00B1122A">
      <w:pPr>
        <w:autoSpaceDE w:val="0"/>
        <w:autoSpaceDN w:val="0"/>
        <w:adjustRightInd w:val="0"/>
        <w:jc w:val="center"/>
        <w:rPr>
          <w:rFonts w:ascii="Arial" w:eastAsia="Calibri" w:hAnsi="Arial" w:cs="Arial"/>
          <w:b/>
          <w:bCs/>
          <w:color w:val="000000"/>
        </w:rPr>
      </w:pPr>
    </w:p>
    <w:p w14:paraId="28220DB1" w14:textId="0B383FBA" w:rsidR="00FD441B" w:rsidRDefault="00B1122A" w:rsidP="00B1122A">
      <w:pPr>
        <w:autoSpaceDE w:val="0"/>
        <w:autoSpaceDN w:val="0"/>
        <w:adjustRightInd w:val="0"/>
        <w:rPr>
          <w:rFonts w:ascii="Arial" w:eastAsia="Calibri" w:hAnsi="Arial" w:cs="Arial"/>
          <w:color w:val="000000"/>
        </w:rPr>
      </w:pPr>
      <w:r w:rsidRPr="00B1122A">
        <w:rPr>
          <w:rFonts w:ascii="Arial" w:eastAsia="Calibri" w:hAnsi="Arial" w:cs="Arial"/>
          <w:color w:val="000000"/>
        </w:rPr>
        <w:t>The purpose of this addendum is to notify potential applicants of changes that have been made to GFO-22-</w:t>
      </w:r>
      <w:r w:rsidR="00B33F69">
        <w:rPr>
          <w:rFonts w:ascii="Arial" w:eastAsia="Calibri" w:hAnsi="Arial" w:cs="Arial"/>
          <w:color w:val="000000"/>
        </w:rPr>
        <w:t>61</w:t>
      </w:r>
      <w:r w:rsidR="0050279B">
        <w:rPr>
          <w:rFonts w:ascii="Arial" w:eastAsia="Calibri" w:hAnsi="Arial" w:cs="Arial"/>
          <w:color w:val="000000"/>
        </w:rPr>
        <w:t>5</w:t>
      </w:r>
      <w:r w:rsidRPr="00B1122A">
        <w:rPr>
          <w:rFonts w:ascii="Arial" w:eastAsia="Calibri" w:hAnsi="Arial" w:cs="Arial"/>
          <w:color w:val="000000"/>
        </w:rPr>
        <w:t xml:space="preserve">. </w:t>
      </w:r>
      <w:r w:rsidR="00A71CE9" w:rsidRPr="00A71CE9">
        <w:rPr>
          <w:rFonts w:ascii="Arial" w:eastAsia="Calibri" w:hAnsi="Arial" w:cs="Arial"/>
          <w:color w:val="000000"/>
        </w:rPr>
        <w:t xml:space="preserve">If a Pre-Application Abstract was submitted to the Grant Solicitation System (GSS) before this addendum #1 was posted on June </w:t>
      </w:r>
      <w:r w:rsidR="002C3A9E">
        <w:rPr>
          <w:rFonts w:ascii="Arial" w:eastAsia="Calibri" w:hAnsi="Arial" w:cs="Arial"/>
          <w:color w:val="000000"/>
        </w:rPr>
        <w:t>23</w:t>
      </w:r>
      <w:r w:rsidR="00A71CE9" w:rsidRPr="00A71CE9">
        <w:rPr>
          <w:rFonts w:ascii="Arial" w:eastAsia="Calibri" w:hAnsi="Arial" w:cs="Arial"/>
          <w:color w:val="000000"/>
        </w:rPr>
        <w:t>, 2023, Applicants will be eligible to resubmit the Pre-Application Abstract should edits</w:t>
      </w:r>
      <w:r w:rsidR="00D903C5">
        <w:rPr>
          <w:rFonts w:ascii="Arial" w:eastAsia="Calibri" w:hAnsi="Arial" w:cs="Arial"/>
          <w:color w:val="000000"/>
        </w:rPr>
        <w:t xml:space="preserve"> </w:t>
      </w:r>
      <w:r w:rsidR="00A71CE9" w:rsidRPr="00A71CE9">
        <w:rPr>
          <w:rFonts w:ascii="Arial" w:eastAsia="Calibri" w:hAnsi="Arial" w:cs="Arial"/>
          <w:color w:val="000000"/>
        </w:rPr>
        <w:t xml:space="preserve">be needed based on this addendum and the Questions &amp; Answers document posted on June </w:t>
      </w:r>
      <w:r w:rsidR="00074E58">
        <w:rPr>
          <w:rFonts w:ascii="Arial" w:eastAsia="Calibri" w:hAnsi="Arial" w:cs="Arial"/>
          <w:color w:val="000000"/>
        </w:rPr>
        <w:t>23</w:t>
      </w:r>
      <w:r w:rsidR="00A71CE9" w:rsidRPr="00A71CE9">
        <w:rPr>
          <w:rFonts w:ascii="Arial" w:eastAsia="Calibri" w:hAnsi="Arial" w:cs="Arial"/>
          <w:color w:val="000000"/>
        </w:rPr>
        <w:t>, 2023. </w:t>
      </w:r>
    </w:p>
    <w:p w14:paraId="24A5A8EC" w14:textId="77777777" w:rsidR="00FD441B" w:rsidRDefault="00FD441B" w:rsidP="00B1122A">
      <w:pPr>
        <w:autoSpaceDE w:val="0"/>
        <w:autoSpaceDN w:val="0"/>
        <w:adjustRightInd w:val="0"/>
        <w:rPr>
          <w:rFonts w:ascii="Arial" w:eastAsia="Calibri" w:hAnsi="Arial" w:cs="Arial"/>
          <w:color w:val="000000"/>
        </w:rPr>
      </w:pPr>
    </w:p>
    <w:p w14:paraId="13BACB04" w14:textId="3D73F5B3" w:rsidR="00B1122A" w:rsidRPr="00B1122A" w:rsidRDefault="00B1122A" w:rsidP="00B1122A">
      <w:pPr>
        <w:autoSpaceDE w:val="0"/>
        <w:autoSpaceDN w:val="0"/>
        <w:adjustRightInd w:val="0"/>
        <w:rPr>
          <w:rFonts w:ascii="Arial" w:eastAsia="Calibri" w:hAnsi="Arial" w:cs="Arial"/>
          <w:color w:val="000000"/>
        </w:rPr>
      </w:pPr>
      <w:r w:rsidRPr="00B1122A">
        <w:rPr>
          <w:rFonts w:ascii="Arial" w:eastAsia="Calibri" w:hAnsi="Arial" w:cs="Arial"/>
          <w:color w:val="000000"/>
        </w:rPr>
        <w:t xml:space="preserve">The addendum includes the following revisions to the Solicitation Manual. Added language appears in </w:t>
      </w:r>
      <w:r w:rsidRPr="00B1122A">
        <w:rPr>
          <w:rFonts w:ascii="Arial" w:eastAsia="Calibri" w:hAnsi="Arial" w:cs="Arial"/>
          <w:b/>
          <w:bCs/>
          <w:color w:val="000000"/>
          <w:u w:val="single"/>
        </w:rPr>
        <w:t>bold underline</w:t>
      </w:r>
      <w:r w:rsidRPr="00B1122A">
        <w:rPr>
          <w:rFonts w:ascii="Arial" w:eastAsia="Calibri" w:hAnsi="Arial" w:cs="Arial"/>
          <w:color w:val="000000"/>
        </w:rPr>
        <w:t>, and deleted language appears in [</w:t>
      </w:r>
      <w:r w:rsidRPr="00B1122A">
        <w:rPr>
          <w:rFonts w:ascii="Arial" w:eastAsia="Calibri" w:hAnsi="Arial" w:cs="Arial"/>
          <w:strike/>
          <w:color w:val="000000"/>
        </w:rPr>
        <w:t>strikethrough</w:t>
      </w:r>
      <w:r w:rsidRPr="0004705D">
        <w:rPr>
          <w:rFonts w:ascii="Arial" w:eastAsia="Calibri" w:hAnsi="Arial" w:cs="Arial"/>
          <w:color w:val="000000"/>
        </w:rPr>
        <w:t>]</w:t>
      </w:r>
      <w:r w:rsidRPr="00B1122A">
        <w:rPr>
          <w:rFonts w:ascii="Arial" w:eastAsia="Calibri" w:hAnsi="Arial" w:cs="Arial"/>
          <w:color w:val="000000"/>
        </w:rPr>
        <w:t xml:space="preserve"> and within square brackets.</w:t>
      </w:r>
    </w:p>
    <w:p w14:paraId="000B0B09" w14:textId="77777777" w:rsidR="00B1122A" w:rsidRPr="00B1122A" w:rsidRDefault="00B1122A" w:rsidP="00B1122A">
      <w:pPr>
        <w:autoSpaceDE w:val="0"/>
        <w:autoSpaceDN w:val="0"/>
        <w:adjustRightInd w:val="0"/>
        <w:jc w:val="center"/>
        <w:rPr>
          <w:rFonts w:ascii="Arial" w:eastAsia="Calibri" w:hAnsi="Arial" w:cs="Arial"/>
          <w:color w:val="000000"/>
        </w:rPr>
      </w:pPr>
    </w:p>
    <w:p w14:paraId="42B2FCAF" w14:textId="77777777" w:rsidR="00B1122A" w:rsidRPr="00B1122A" w:rsidRDefault="00B1122A" w:rsidP="00B1122A">
      <w:pPr>
        <w:keepNext/>
        <w:keepLines/>
        <w:spacing w:after="240"/>
        <w:outlineLvl w:val="1"/>
        <w:rPr>
          <w:rFonts w:ascii="Arial" w:eastAsiaTheme="majorEastAsia" w:hAnsi="Arial" w:cs="Arial"/>
          <w:b/>
        </w:rPr>
      </w:pPr>
      <w:r w:rsidRPr="00B1122A">
        <w:rPr>
          <w:rFonts w:ascii="Arial" w:eastAsiaTheme="majorEastAsia" w:hAnsi="Arial" w:cs="Arial"/>
          <w:b/>
        </w:rPr>
        <w:t xml:space="preserve">Solicitation Manual </w:t>
      </w:r>
    </w:p>
    <w:p w14:paraId="751649D6" w14:textId="186DBC45" w:rsidR="001261BE" w:rsidRPr="000F5BE1" w:rsidRDefault="001261BE" w:rsidP="001261BE">
      <w:pPr>
        <w:keepNext/>
        <w:keepLines/>
        <w:numPr>
          <w:ilvl w:val="0"/>
          <w:numId w:val="2"/>
        </w:numPr>
        <w:spacing w:before="40"/>
        <w:ind w:left="360"/>
        <w:outlineLvl w:val="2"/>
        <w:rPr>
          <w:color w:val="000000" w:themeColor="text1"/>
        </w:rPr>
      </w:pPr>
      <w:r w:rsidRPr="00B1122A">
        <w:rPr>
          <w:rFonts w:ascii="Arial" w:eastAsiaTheme="majorEastAsia" w:hAnsi="Arial" w:cs="Arial"/>
          <w:b/>
          <w:bCs/>
        </w:rPr>
        <w:t xml:space="preserve">Page </w:t>
      </w:r>
      <w:r w:rsidR="00E420B6">
        <w:rPr>
          <w:rFonts w:ascii="Arial" w:eastAsiaTheme="majorEastAsia" w:hAnsi="Arial" w:cs="Arial"/>
          <w:b/>
          <w:bCs/>
        </w:rPr>
        <w:t>7</w:t>
      </w:r>
      <w:r w:rsidRPr="00B1122A">
        <w:rPr>
          <w:rFonts w:ascii="Arial" w:eastAsiaTheme="majorEastAsia" w:hAnsi="Arial" w:cs="Arial"/>
          <w:b/>
          <w:bCs/>
        </w:rPr>
        <w:t xml:space="preserve">, Section </w:t>
      </w:r>
      <w:r w:rsidR="00BD77BE">
        <w:rPr>
          <w:rFonts w:ascii="Arial" w:eastAsiaTheme="majorEastAsia" w:hAnsi="Arial" w:cs="Arial"/>
          <w:b/>
          <w:bCs/>
        </w:rPr>
        <w:t>I.</w:t>
      </w:r>
      <w:r w:rsidR="00B33F69">
        <w:rPr>
          <w:rFonts w:ascii="Arial" w:eastAsiaTheme="majorEastAsia" w:hAnsi="Arial" w:cs="Arial"/>
          <w:b/>
          <w:bCs/>
        </w:rPr>
        <w:t>D</w:t>
      </w:r>
      <w:r w:rsidRPr="00B1122A">
        <w:rPr>
          <w:rFonts w:ascii="Arial" w:eastAsiaTheme="majorEastAsia" w:hAnsi="Arial" w:cs="Arial"/>
          <w:b/>
          <w:bCs/>
        </w:rPr>
        <w:t xml:space="preserve">. </w:t>
      </w:r>
      <w:r>
        <w:rPr>
          <w:rFonts w:ascii="Arial" w:eastAsiaTheme="majorEastAsia" w:hAnsi="Arial" w:cs="Arial"/>
          <w:b/>
          <w:bCs/>
        </w:rPr>
        <w:t xml:space="preserve">Key Activities </w:t>
      </w:r>
      <w:r w:rsidR="00B33F69">
        <w:rPr>
          <w:rFonts w:ascii="Arial" w:eastAsiaTheme="majorEastAsia" w:hAnsi="Arial" w:cs="Arial"/>
          <w:b/>
          <w:bCs/>
        </w:rPr>
        <w:t>and Dates</w:t>
      </w:r>
    </w:p>
    <w:tbl>
      <w:tblPr>
        <w:tblW w:w="88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Activity and Action Date"/>
        <w:tblDescription w:val="Phase 1 activity then due date for that activity in two columns, right to left."/>
      </w:tblPr>
      <w:tblGrid>
        <w:gridCol w:w="6187"/>
        <w:gridCol w:w="2633"/>
      </w:tblGrid>
      <w:tr w:rsidR="007B3F87" w:rsidRPr="007B3F87" w14:paraId="01588AF1" w14:textId="77777777" w:rsidTr="00C85257">
        <w:trPr>
          <w:trHeight w:hRule="exact" w:val="288"/>
        </w:trPr>
        <w:tc>
          <w:tcPr>
            <w:tcW w:w="6187" w:type="dxa"/>
            <w:shd w:val="clear" w:color="auto" w:fill="D9D9D9"/>
          </w:tcPr>
          <w:p w14:paraId="4E9C95BA" w14:textId="77777777" w:rsidR="007B3F87" w:rsidRPr="007B3F87" w:rsidRDefault="007B3F87" w:rsidP="007B3F87">
            <w:pPr>
              <w:jc w:val="center"/>
              <w:rPr>
                <w:rFonts w:ascii="Arial" w:eastAsia="Times New Roman" w:hAnsi="Arial" w:cs="Arial"/>
                <w:b/>
                <w:szCs w:val="22"/>
              </w:rPr>
            </w:pPr>
            <w:r w:rsidRPr="007B3F87">
              <w:rPr>
                <w:rFonts w:ascii="Arial" w:eastAsia="Times New Roman" w:hAnsi="Arial" w:cs="Arial"/>
                <w:b/>
                <w:szCs w:val="22"/>
              </w:rPr>
              <w:t>ACTIVITY</w:t>
            </w:r>
          </w:p>
        </w:tc>
        <w:tc>
          <w:tcPr>
            <w:tcW w:w="2633" w:type="dxa"/>
            <w:shd w:val="clear" w:color="auto" w:fill="D9D9D9"/>
          </w:tcPr>
          <w:p w14:paraId="6828D3F7" w14:textId="77777777" w:rsidR="007B3F87" w:rsidRPr="007B3F87" w:rsidRDefault="007B3F87" w:rsidP="007B3F87">
            <w:pPr>
              <w:jc w:val="center"/>
              <w:rPr>
                <w:rFonts w:ascii="Arial" w:eastAsia="Times New Roman" w:hAnsi="Arial" w:cs="Arial"/>
                <w:b/>
                <w:szCs w:val="22"/>
              </w:rPr>
            </w:pPr>
            <w:r w:rsidRPr="007B3F87">
              <w:rPr>
                <w:rFonts w:ascii="Arial" w:eastAsia="Times New Roman" w:hAnsi="Arial" w:cs="Arial"/>
                <w:b/>
                <w:szCs w:val="22"/>
              </w:rPr>
              <w:t>ACTION DATE</w:t>
            </w:r>
          </w:p>
        </w:tc>
      </w:tr>
      <w:tr w:rsidR="007B3F87" w:rsidRPr="007B3F87" w14:paraId="1E839637" w14:textId="77777777" w:rsidTr="00C85257">
        <w:trPr>
          <w:trHeight w:hRule="exact" w:val="288"/>
        </w:trPr>
        <w:tc>
          <w:tcPr>
            <w:tcW w:w="8820" w:type="dxa"/>
            <w:gridSpan w:val="2"/>
            <w:shd w:val="clear" w:color="auto" w:fill="D9D9D9"/>
          </w:tcPr>
          <w:p w14:paraId="3CD6FBB8" w14:textId="77777777" w:rsidR="007B3F87" w:rsidRPr="007B3F87" w:rsidRDefault="007B3F87" w:rsidP="007B3F87">
            <w:pPr>
              <w:jc w:val="center"/>
              <w:rPr>
                <w:rFonts w:ascii="Arial" w:eastAsia="Times New Roman" w:hAnsi="Arial" w:cs="Arial"/>
                <w:b/>
                <w:szCs w:val="22"/>
              </w:rPr>
            </w:pPr>
            <w:r w:rsidRPr="007B3F87">
              <w:rPr>
                <w:rFonts w:ascii="Arial" w:eastAsia="Times New Roman" w:hAnsi="Arial" w:cs="Arial"/>
                <w:b/>
                <w:szCs w:val="22"/>
              </w:rPr>
              <w:t>Phase 1 Activity</w:t>
            </w:r>
          </w:p>
        </w:tc>
      </w:tr>
      <w:tr w:rsidR="007B3F87" w:rsidRPr="007B3F87" w14:paraId="3CEF687D" w14:textId="77777777" w:rsidTr="00C85257">
        <w:trPr>
          <w:trHeight w:hRule="exact" w:val="288"/>
        </w:trPr>
        <w:tc>
          <w:tcPr>
            <w:tcW w:w="6187" w:type="dxa"/>
            <w:vAlign w:val="center"/>
          </w:tcPr>
          <w:p w14:paraId="39268F27" w14:textId="77777777" w:rsidR="007B3F87" w:rsidRPr="007B3F87" w:rsidRDefault="007B3F87" w:rsidP="007B3F87">
            <w:pPr>
              <w:rPr>
                <w:rFonts w:ascii="Arial" w:eastAsia="Times New Roman" w:hAnsi="Arial" w:cs="Arial"/>
                <w:szCs w:val="22"/>
              </w:rPr>
            </w:pPr>
            <w:r w:rsidRPr="007B3F87">
              <w:rPr>
                <w:rFonts w:ascii="Arial" w:eastAsia="Times New Roman" w:hAnsi="Arial" w:cs="Arial"/>
                <w:szCs w:val="22"/>
              </w:rPr>
              <w:t>Solicitation Release</w:t>
            </w:r>
          </w:p>
        </w:tc>
        <w:tc>
          <w:tcPr>
            <w:tcW w:w="2633" w:type="dxa"/>
            <w:vAlign w:val="center"/>
          </w:tcPr>
          <w:p w14:paraId="174E9679" w14:textId="77777777" w:rsidR="007B3F87" w:rsidRPr="007B3F87" w:rsidRDefault="007B3F87" w:rsidP="007B3F87">
            <w:pPr>
              <w:rPr>
                <w:rFonts w:ascii="Arial" w:eastAsia="Times New Roman" w:hAnsi="Arial" w:cs="Arial"/>
                <w:szCs w:val="22"/>
              </w:rPr>
            </w:pPr>
            <w:r w:rsidRPr="007B3F87">
              <w:rPr>
                <w:rFonts w:ascii="Arial" w:eastAsia="Times New Roman" w:hAnsi="Arial" w:cs="Arial"/>
                <w:szCs w:val="22"/>
              </w:rPr>
              <w:t>May 8, 2023</w:t>
            </w:r>
          </w:p>
        </w:tc>
      </w:tr>
      <w:tr w:rsidR="007B3F87" w:rsidRPr="007B3F87" w14:paraId="17499DC0" w14:textId="77777777" w:rsidTr="00C85257">
        <w:trPr>
          <w:trHeight w:hRule="exact" w:val="723"/>
        </w:trPr>
        <w:tc>
          <w:tcPr>
            <w:tcW w:w="6187" w:type="dxa"/>
            <w:vAlign w:val="center"/>
          </w:tcPr>
          <w:p w14:paraId="478856A8" w14:textId="77777777" w:rsidR="007B3F87" w:rsidRPr="007B3F87" w:rsidRDefault="007B3F87" w:rsidP="007B3F87">
            <w:pPr>
              <w:rPr>
                <w:rFonts w:ascii="Arial" w:eastAsia="Times New Roman" w:hAnsi="Arial" w:cs="Arial"/>
                <w:szCs w:val="22"/>
              </w:rPr>
            </w:pPr>
            <w:r w:rsidRPr="007B3F87">
              <w:rPr>
                <w:rFonts w:ascii="Arial" w:eastAsia="Times New Roman" w:hAnsi="Arial" w:cs="Arial"/>
                <w:szCs w:val="22"/>
              </w:rPr>
              <w:t xml:space="preserve">Pre-Application Workshop* </w:t>
            </w:r>
          </w:p>
        </w:tc>
        <w:tc>
          <w:tcPr>
            <w:tcW w:w="2633" w:type="dxa"/>
            <w:vAlign w:val="center"/>
          </w:tcPr>
          <w:p w14:paraId="54713D4D" w14:textId="77777777" w:rsidR="007B3F87" w:rsidRPr="007B3F87" w:rsidRDefault="007B3F87" w:rsidP="007B3F87">
            <w:pPr>
              <w:rPr>
                <w:rFonts w:ascii="Arial" w:eastAsia="Times New Roman" w:hAnsi="Arial" w:cs="Arial"/>
                <w:szCs w:val="22"/>
              </w:rPr>
            </w:pPr>
            <w:r w:rsidRPr="007B3F87">
              <w:rPr>
                <w:rFonts w:ascii="Arial" w:eastAsia="Times New Roman" w:hAnsi="Arial" w:cs="Arial"/>
                <w:szCs w:val="22"/>
              </w:rPr>
              <w:t>May 18, 2023</w:t>
            </w:r>
          </w:p>
        </w:tc>
      </w:tr>
      <w:tr w:rsidR="007B3F87" w:rsidRPr="007B3F87" w14:paraId="796E498F" w14:textId="77777777" w:rsidTr="00C85257">
        <w:trPr>
          <w:trHeight w:hRule="exact" w:val="288"/>
        </w:trPr>
        <w:tc>
          <w:tcPr>
            <w:tcW w:w="6187" w:type="dxa"/>
            <w:vAlign w:val="center"/>
          </w:tcPr>
          <w:p w14:paraId="7E357C01" w14:textId="77777777" w:rsidR="007B3F87" w:rsidRPr="007B3F87" w:rsidRDefault="007B3F87" w:rsidP="007B3F87">
            <w:pPr>
              <w:rPr>
                <w:rFonts w:ascii="Arial" w:eastAsia="Times New Roman" w:hAnsi="Arial" w:cs="Arial"/>
                <w:szCs w:val="22"/>
              </w:rPr>
            </w:pPr>
            <w:r w:rsidRPr="007B3F87">
              <w:rPr>
                <w:rFonts w:ascii="Arial" w:eastAsia="Times New Roman" w:hAnsi="Arial" w:cs="Arial"/>
                <w:szCs w:val="22"/>
              </w:rPr>
              <w:t>Deadline for Written Questions*</w:t>
            </w:r>
          </w:p>
        </w:tc>
        <w:tc>
          <w:tcPr>
            <w:tcW w:w="2633" w:type="dxa"/>
            <w:vAlign w:val="center"/>
          </w:tcPr>
          <w:p w14:paraId="64E32779" w14:textId="77777777" w:rsidR="007B3F87" w:rsidRPr="007B3F87" w:rsidRDefault="007B3F87" w:rsidP="007B3F87">
            <w:pPr>
              <w:rPr>
                <w:rFonts w:ascii="Arial" w:eastAsia="Times New Roman" w:hAnsi="Arial" w:cs="Arial"/>
                <w:szCs w:val="22"/>
              </w:rPr>
            </w:pPr>
            <w:r w:rsidRPr="007B3F87">
              <w:rPr>
                <w:rFonts w:ascii="Arial" w:eastAsia="Times New Roman" w:hAnsi="Arial" w:cs="Arial"/>
                <w:szCs w:val="22"/>
              </w:rPr>
              <w:t>May 26, 2023</w:t>
            </w:r>
          </w:p>
        </w:tc>
      </w:tr>
      <w:tr w:rsidR="0072006A" w:rsidRPr="007B3F87" w14:paraId="51B1DBD8" w14:textId="77777777" w:rsidTr="00C85257">
        <w:trPr>
          <w:trHeight w:hRule="exact" w:val="288"/>
        </w:trPr>
        <w:tc>
          <w:tcPr>
            <w:tcW w:w="6187" w:type="dxa"/>
            <w:vAlign w:val="center"/>
          </w:tcPr>
          <w:p w14:paraId="424EA459" w14:textId="77777777" w:rsidR="0072006A" w:rsidRPr="007B3F87" w:rsidRDefault="0072006A" w:rsidP="007B3F87">
            <w:pPr>
              <w:rPr>
                <w:rFonts w:ascii="Arial" w:eastAsia="Times New Roman" w:hAnsi="Arial" w:cs="Arial"/>
                <w:szCs w:val="22"/>
              </w:rPr>
            </w:pPr>
          </w:p>
        </w:tc>
        <w:tc>
          <w:tcPr>
            <w:tcW w:w="2633" w:type="dxa"/>
            <w:vAlign w:val="center"/>
          </w:tcPr>
          <w:p w14:paraId="5E03C538" w14:textId="77777777" w:rsidR="0072006A" w:rsidRPr="007B3F87" w:rsidRDefault="0072006A" w:rsidP="007B3F87">
            <w:pPr>
              <w:rPr>
                <w:rFonts w:ascii="Arial" w:eastAsia="Times New Roman" w:hAnsi="Arial" w:cs="Arial"/>
                <w:szCs w:val="22"/>
              </w:rPr>
            </w:pPr>
          </w:p>
        </w:tc>
      </w:tr>
      <w:tr w:rsidR="007B3F87" w:rsidRPr="007B3F87" w14:paraId="481E7B69" w14:textId="77777777" w:rsidTr="00C85257">
        <w:trPr>
          <w:trHeight w:hRule="exact" w:val="291"/>
        </w:trPr>
        <w:tc>
          <w:tcPr>
            <w:tcW w:w="6187" w:type="dxa"/>
            <w:vAlign w:val="center"/>
          </w:tcPr>
          <w:p w14:paraId="1708F5C7" w14:textId="77777777" w:rsidR="007B3F87" w:rsidRPr="007B3F87" w:rsidRDefault="007B3F87" w:rsidP="007B3F87">
            <w:pPr>
              <w:rPr>
                <w:rFonts w:ascii="Arial" w:eastAsia="Times New Roman" w:hAnsi="Arial" w:cs="Arial"/>
                <w:szCs w:val="22"/>
              </w:rPr>
            </w:pPr>
            <w:r w:rsidRPr="007B3F87">
              <w:rPr>
                <w:rFonts w:ascii="Arial" w:eastAsia="Times New Roman" w:hAnsi="Arial" w:cs="Arial"/>
                <w:szCs w:val="22"/>
              </w:rPr>
              <w:t>Anticipated Distribution of Questions/Answers</w:t>
            </w:r>
          </w:p>
        </w:tc>
        <w:tc>
          <w:tcPr>
            <w:tcW w:w="2633" w:type="dxa"/>
            <w:vAlign w:val="center"/>
          </w:tcPr>
          <w:p w14:paraId="4DC98C76" w14:textId="77777777" w:rsidR="007B3F87" w:rsidRPr="007B3F87" w:rsidRDefault="007B3F87" w:rsidP="007B3F87">
            <w:pPr>
              <w:rPr>
                <w:rFonts w:ascii="Arial" w:eastAsia="Times New Roman" w:hAnsi="Arial" w:cs="Arial"/>
                <w:szCs w:val="22"/>
              </w:rPr>
            </w:pPr>
            <w:r w:rsidRPr="007B3F87">
              <w:rPr>
                <w:rFonts w:ascii="Arial" w:eastAsia="Times New Roman" w:hAnsi="Arial" w:cs="Arial"/>
                <w:szCs w:val="22"/>
              </w:rPr>
              <w:t>Week of June 5, 2023</w:t>
            </w:r>
          </w:p>
        </w:tc>
      </w:tr>
      <w:tr w:rsidR="007B3F87" w:rsidRPr="007B3F87" w14:paraId="7D284245" w14:textId="77777777" w:rsidTr="00C85257">
        <w:trPr>
          <w:trHeight w:hRule="exact" w:val="678"/>
        </w:trPr>
        <w:tc>
          <w:tcPr>
            <w:tcW w:w="6187" w:type="dxa"/>
            <w:vAlign w:val="center"/>
          </w:tcPr>
          <w:p w14:paraId="54713E3D" w14:textId="77777777" w:rsidR="007B3F87" w:rsidRPr="007B3F87" w:rsidRDefault="007B3F87" w:rsidP="007B3F87">
            <w:pPr>
              <w:rPr>
                <w:rFonts w:ascii="Arial" w:eastAsia="Times New Roman" w:hAnsi="Arial" w:cs="Arial"/>
                <w:b/>
                <w:szCs w:val="22"/>
              </w:rPr>
            </w:pPr>
            <w:r w:rsidRPr="007B3F87">
              <w:rPr>
                <w:rFonts w:ascii="Arial" w:eastAsia="Times New Roman" w:hAnsi="Arial" w:cs="Arial"/>
                <w:b/>
                <w:szCs w:val="22"/>
              </w:rPr>
              <w:t>Deadline to Submit Pre-Application Abstracts by 11:59 p.m.*</w:t>
            </w:r>
          </w:p>
        </w:tc>
        <w:tc>
          <w:tcPr>
            <w:tcW w:w="2633" w:type="dxa"/>
            <w:vAlign w:val="center"/>
          </w:tcPr>
          <w:p w14:paraId="176D94DC" w14:textId="77777777" w:rsidR="007B3F87" w:rsidRPr="007B3F87" w:rsidRDefault="007B3F87" w:rsidP="007B3F87">
            <w:pPr>
              <w:rPr>
                <w:rFonts w:ascii="Arial" w:eastAsia="Times New Roman" w:hAnsi="Arial" w:cs="Arial"/>
              </w:rPr>
            </w:pPr>
            <w:r w:rsidRPr="007B3F87">
              <w:rPr>
                <w:rFonts w:ascii="Arial" w:eastAsia="Times New Roman" w:hAnsi="Arial" w:cs="Arial"/>
                <w:strike/>
              </w:rPr>
              <w:t>[June 23, 2023]</w:t>
            </w:r>
            <w:r w:rsidRPr="007B3F87">
              <w:rPr>
                <w:rFonts w:ascii="Arial" w:eastAsia="Times New Roman" w:hAnsi="Arial" w:cs="Arial"/>
              </w:rPr>
              <w:t xml:space="preserve"> </w:t>
            </w:r>
          </w:p>
          <w:p w14:paraId="61F48892" w14:textId="77777777" w:rsidR="007B3F87" w:rsidRPr="007B3F87" w:rsidRDefault="007B3F87" w:rsidP="007B3F87">
            <w:pPr>
              <w:rPr>
                <w:rFonts w:ascii="Arial" w:eastAsia="Times New Roman" w:hAnsi="Arial" w:cs="Arial"/>
                <w:b/>
                <w:u w:val="single"/>
              </w:rPr>
            </w:pPr>
            <w:r w:rsidRPr="007B3F87">
              <w:rPr>
                <w:rFonts w:ascii="Arial" w:eastAsia="Times New Roman" w:hAnsi="Arial" w:cs="Arial"/>
                <w:b/>
                <w:u w:val="single"/>
              </w:rPr>
              <w:t>July 14, 2023</w:t>
            </w:r>
          </w:p>
        </w:tc>
      </w:tr>
      <w:tr w:rsidR="007B3F87" w:rsidRPr="007B3F87" w14:paraId="204838E4" w14:textId="77777777" w:rsidTr="00C85257">
        <w:trPr>
          <w:trHeight w:hRule="exact" w:val="885"/>
        </w:trPr>
        <w:tc>
          <w:tcPr>
            <w:tcW w:w="6187" w:type="dxa"/>
            <w:tcBorders>
              <w:top w:val="single" w:sz="4" w:space="0" w:color="auto"/>
              <w:left w:val="single" w:sz="4" w:space="0" w:color="auto"/>
              <w:bottom w:val="single" w:sz="4" w:space="0" w:color="auto"/>
              <w:right w:val="single" w:sz="4" w:space="0" w:color="auto"/>
            </w:tcBorders>
            <w:vAlign w:val="center"/>
          </w:tcPr>
          <w:p w14:paraId="0C834D3A" w14:textId="77777777" w:rsidR="007B3F87" w:rsidRPr="007B3F87" w:rsidRDefault="007B3F87" w:rsidP="007B3F87">
            <w:pPr>
              <w:rPr>
                <w:rFonts w:ascii="Arial" w:eastAsia="Times New Roman" w:hAnsi="Arial" w:cs="Arial"/>
                <w:b/>
                <w:szCs w:val="22"/>
              </w:rPr>
            </w:pPr>
            <w:r w:rsidRPr="007B3F87">
              <w:rPr>
                <w:rFonts w:ascii="Arial" w:eastAsia="Times New Roman" w:hAnsi="Arial" w:cs="Arial"/>
              </w:rPr>
              <w:t>Anticipated Notice of Pre-Application Abstracts Results Posting</w:t>
            </w:r>
          </w:p>
        </w:tc>
        <w:tc>
          <w:tcPr>
            <w:tcW w:w="2633" w:type="dxa"/>
            <w:tcBorders>
              <w:top w:val="single" w:sz="4" w:space="0" w:color="auto"/>
              <w:left w:val="single" w:sz="4" w:space="0" w:color="auto"/>
              <w:bottom w:val="single" w:sz="4" w:space="0" w:color="auto"/>
              <w:right w:val="single" w:sz="4" w:space="0" w:color="auto"/>
            </w:tcBorders>
            <w:vAlign w:val="center"/>
          </w:tcPr>
          <w:p w14:paraId="24365CCC" w14:textId="77777777" w:rsidR="007B3F87" w:rsidRPr="007B3F87" w:rsidRDefault="007B3F87" w:rsidP="007B3F87">
            <w:pPr>
              <w:rPr>
                <w:rFonts w:ascii="Arial" w:eastAsia="Times New Roman" w:hAnsi="Arial" w:cs="Arial"/>
                <w:b/>
                <w:szCs w:val="22"/>
              </w:rPr>
            </w:pPr>
            <w:r w:rsidRPr="007B3F87">
              <w:rPr>
                <w:rFonts w:ascii="Arial" w:eastAsia="Times New Roman" w:hAnsi="Arial" w:cs="Arial"/>
                <w:bCs/>
                <w:szCs w:val="22"/>
              </w:rPr>
              <w:t>[</w:t>
            </w:r>
            <w:r w:rsidRPr="007B3F87">
              <w:rPr>
                <w:rFonts w:ascii="Arial" w:eastAsia="Times New Roman" w:hAnsi="Arial" w:cs="Arial"/>
                <w:bCs/>
                <w:strike/>
                <w:szCs w:val="22"/>
              </w:rPr>
              <w:t>July 28, 2023</w:t>
            </w:r>
            <w:r w:rsidRPr="007B3F87">
              <w:rPr>
                <w:rFonts w:ascii="Arial" w:eastAsia="Times New Roman" w:hAnsi="Arial" w:cs="Arial"/>
                <w:bCs/>
                <w:szCs w:val="22"/>
              </w:rPr>
              <w:t>]</w:t>
            </w:r>
          </w:p>
          <w:p w14:paraId="5492D6D3" w14:textId="77777777" w:rsidR="007B3F87" w:rsidRPr="007B3F87" w:rsidRDefault="007B3F87" w:rsidP="007B3F87">
            <w:pPr>
              <w:rPr>
                <w:rFonts w:ascii="Arial" w:eastAsia="Times New Roman" w:hAnsi="Arial" w:cs="Arial"/>
                <w:b/>
                <w:szCs w:val="22"/>
              </w:rPr>
            </w:pPr>
            <w:r w:rsidRPr="007B3F87">
              <w:rPr>
                <w:rFonts w:ascii="Arial" w:eastAsia="Times New Roman" w:hAnsi="Arial" w:cs="Arial"/>
                <w:b/>
                <w:szCs w:val="22"/>
                <w:u w:val="single"/>
              </w:rPr>
              <w:t>Week of August 28, 2023</w:t>
            </w:r>
          </w:p>
        </w:tc>
      </w:tr>
      <w:tr w:rsidR="007B3F87" w:rsidRPr="007B3F87" w14:paraId="3C106960" w14:textId="77777777" w:rsidTr="00C85257">
        <w:trPr>
          <w:trHeight w:hRule="exact" w:val="678"/>
        </w:trPr>
        <w:tc>
          <w:tcPr>
            <w:tcW w:w="6187" w:type="dxa"/>
            <w:vAlign w:val="center"/>
          </w:tcPr>
          <w:p w14:paraId="0DBB4D4F" w14:textId="77777777" w:rsidR="007B3F87" w:rsidRPr="007B3F87" w:rsidRDefault="007B3F87" w:rsidP="007B3F87">
            <w:pPr>
              <w:rPr>
                <w:rFonts w:ascii="Arial" w:eastAsia="Times New Roman" w:hAnsi="Arial" w:cs="Arial"/>
              </w:rPr>
            </w:pPr>
            <w:r w:rsidRPr="007B3F87">
              <w:rPr>
                <w:rFonts w:ascii="Arial" w:eastAsia="Times New Roman" w:hAnsi="Arial" w:cs="Arial"/>
                <w:b/>
                <w:bCs/>
              </w:rPr>
              <w:t>Deadline to Submit Full Applications by 11:59 p.m.*</w:t>
            </w:r>
          </w:p>
        </w:tc>
        <w:tc>
          <w:tcPr>
            <w:tcW w:w="2633" w:type="dxa"/>
            <w:vAlign w:val="center"/>
          </w:tcPr>
          <w:p w14:paraId="6591984E" w14:textId="77777777" w:rsidR="007B3F87" w:rsidRPr="007B3F87" w:rsidRDefault="007B3F87" w:rsidP="007B3F87">
            <w:pPr>
              <w:rPr>
                <w:rFonts w:ascii="Arial" w:eastAsia="Times New Roman" w:hAnsi="Arial" w:cs="Arial"/>
                <w:bCs/>
                <w:szCs w:val="22"/>
              </w:rPr>
            </w:pPr>
            <w:r w:rsidRPr="007B3F87">
              <w:rPr>
                <w:rFonts w:ascii="Arial" w:eastAsia="Times New Roman" w:hAnsi="Arial" w:cs="Arial"/>
                <w:bCs/>
                <w:szCs w:val="22"/>
              </w:rPr>
              <w:t>[</w:t>
            </w:r>
            <w:r w:rsidRPr="007B3F87">
              <w:rPr>
                <w:rFonts w:ascii="Arial" w:eastAsia="Times New Roman" w:hAnsi="Arial" w:cs="Arial"/>
                <w:bCs/>
                <w:strike/>
                <w:szCs w:val="22"/>
              </w:rPr>
              <w:t>September 8, 2023</w:t>
            </w:r>
            <w:r w:rsidRPr="007B3F87">
              <w:rPr>
                <w:rFonts w:ascii="Arial" w:eastAsia="Times New Roman" w:hAnsi="Arial" w:cs="Arial"/>
                <w:bCs/>
                <w:szCs w:val="22"/>
              </w:rPr>
              <w:t>]</w:t>
            </w:r>
          </w:p>
          <w:p w14:paraId="1D8CC28D" w14:textId="77777777" w:rsidR="007B3F87" w:rsidRPr="007B3F87" w:rsidRDefault="007B3F87" w:rsidP="007B3F87">
            <w:pPr>
              <w:rPr>
                <w:rFonts w:ascii="Arial" w:eastAsia="Times New Roman" w:hAnsi="Arial" w:cs="Arial"/>
                <w:b/>
                <w:szCs w:val="22"/>
                <w:u w:val="single"/>
              </w:rPr>
            </w:pPr>
            <w:r w:rsidRPr="007B3F87">
              <w:rPr>
                <w:rFonts w:ascii="Arial" w:eastAsia="Times New Roman" w:hAnsi="Arial" w:cs="Arial"/>
                <w:b/>
                <w:szCs w:val="22"/>
                <w:u w:val="single"/>
              </w:rPr>
              <w:t>October 13, 2023</w:t>
            </w:r>
          </w:p>
        </w:tc>
      </w:tr>
      <w:tr w:rsidR="007B3F87" w:rsidRPr="007B3F87" w14:paraId="68DA1332" w14:textId="77777777" w:rsidTr="00C85257">
        <w:trPr>
          <w:trHeight w:hRule="exact" w:val="1218"/>
        </w:trPr>
        <w:tc>
          <w:tcPr>
            <w:tcW w:w="6187" w:type="dxa"/>
            <w:tcBorders>
              <w:top w:val="single" w:sz="4" w:space="0" w:color="auto"/>
              <w:left w:val="single" w:sz="4" w:space="0" w:color="auto"/>
              <w:bottom w:val="single" w:sz="4" w:space="0" w:color="auto"/>
              <w:right w:val="single" w:sz="4" w:space="0" w:color="auto"/>
            </w:tcBorders>
            <w:vAlign w:val="center"/>
          </w:tcPr>
          <w:p w14:paraId="5CA74CA8" w14:textId="77777777" w:rsidR="007B3F87" w:rsidRPr="007B3F87" w:rsidRDefault="007B3F87" w:rsidP="007B3F87">
            <w:pPr>
              <w:rPr>
                <w:rFonts w:ascii="Arial" w:eastAsia="Times New Roman" w:hAnsi="Arial" w:cs="Arial"/>
                <w:szCs w:val="22"/>
              </w:rPr>
            </w:pPr>
            <w:r w:rsidRPr="007B3F87">
              <w:rPr>
                <w:rFonts w:ascii="Arial" w:eastAsia="Times New Roman" w:hAnsi="Arial" w:cs="Arial"/>
                <w:szCs w:val="22"/>
              </w:rPr>
              <w:t xml:space="preserve">Anticipated Notice of Proposed Awards Posting </w:t>
            </w:r>
          </w:p>
        </w:tc>
        <w:tc>
          <w:tcPr>
            <w:tcW w:w="2633" w:type="dxa"/>
            <w:tcBorders>
              <w:top w:val="single" w:sz="4" w:space="0" w:color="auto"/>
              <w:left w:val="single" w:sz="4" w:space="0" w:color="auto"/>
              <w:bottom w:val="single" w:sz="4" w:space="0" w:color="auto"/>
              <w:right w:val="single" w:sz="4" w:space="0" w:color="auto"/>
            </w:tcBorders>
            <w:vAlign w:val="center"/>
          </w:tcPr>
          <w:p w14:paraId="1934BF7F" w14:textId="77777777" w:rsidR="007B3F87" w:rsidRPr="007B3F87" w:rsidRDefault="007B3F87" w:rsidP="007B3F87">
            <w:pPr>
              <w:rPr>
                <w:rFonts w:ascii="Arial" w:eastAsia="Times New Roman" w:hAnsi="Arial" w:cs="Arial"/>
                <w:szCs w:val="22"/>
              </w:rPr>
            </w:pPr>
            <w:r w:rsidRPr="007B3F87">
              <w:rPr>
                <w:rFonts w:ascii="Arial" w:eastAsia="Times New Roman" w:hAnsi="Arial" w:cs="Arial"/>
                <w:szCs w:val="22"/>
              </w:rPr>
              <w:t>[</w:t>
            </w:r>
            <w:r w:rsidRPr="007B3F87">
              <w:rPr>
                <w:rFonts w:ascii="Arial" w:eastAsia="Times New Roman" w:hAnsi="Arial" w:cs="Arial"/>
                <w:strike/>
                <w:szCs w:val="22"/>
              </w:rPr>
              <w:t>Week of October 23, 2023</w:t>
            </w:r>
            <w:r w:rsidRPr="007B3F87">
              <w:rPr>
                <w:rFonts w:ascii="Arial" w:eastAsia="Times New Roman" w:hAnsi="Arial" w:cs="Arial"/>
                <w:szCs w:val="22"/>
              </w:rPr>
              <w:t>]</w:t>
            </w:r>
          </w:p>
          <w:p w14:paraId="17A32549" w14:textId="77777777" w:rsidR="007B3F87" w:rsidRPr="007B3F87" w:rsidRDefault="007B3F87" w:rsidP="007B3F87">
            <w:pPr>
              <w:rPr>
                <w:rFonts w:ascii="Arial" w:eastAsia="Times New Roman" w:hAnsi="Arial" w:cs="Arial"/>
                <w:b/>
                <w:bCs/>
                <w:szCs w:val="22"/>
                <w:u w:val="single"/>
              </w:rPr>
            </w:pPr>
            <w:r w:rsidRPr="007B3F87">
              <w:rPr>
                <w:rFonts w:ascii="Arial" w:eastAsia="Times New Roman" w:hAnsi="Arial" w:cs="Arial"/>
                <w:b/>
                <w:bCs/>
                <w:szCs w:val="22"/>
                <w:u w:val="single"/>
              </w:rPr>
              <w:t>Week of November 27, 2023</w:t>
            </w:r>
          </w:p>
        </w:tc>
      </w:tr>
      <w:tr w:rsidR="007B3F87" w:rsidRPr="007B3F87" w14:paraId="35DC57B7" w14:textId="77777777" w:rsidTr="00C85257">
        <w:trPr>
          <w:trHeight w:hRule="exact" w:val="288"/>
        </w:trPr>
        <w:tc>
          <w:tcPr>
            <w:tcW w:w="6187" w:type="dxa"/>
            <w:vAlign w:val="center"/>
          </w:tcPr>
          <w:p w14:paraId="111F4F6A" w14:textId="77777777" w:rsidR="007B3F87" w:rsidRPr="007B3F87" w:rsidRDefault="007B3F87" w:rsidP="007B3F87">
            <w:pPr>
              <w:rPr>
                <w:rFonts w:ascii="Arial" w:eastAsia="Times New Roman" w:hAnsi="Arial" w:cs="Arial"/>
                <w:szCs w:val="22"/>
              </w:rPr>
            </w:pPr>
            <w:r w:rsidRPr="007B3F87">
              <w:rPr>
                <w:rFonts w:ascii="Arial" w:eastAsia="Times New Roman" w:hAnsi="Arial" w:cs="Arial"/>
                <w:szCs w:val="22"/>
              </w:rPr>
              <w:t xml:space="preserve">Anticipated CEC Business Meeting </w:t>
            </w:r>
          </w:p>
        </w:tc>
        <w:tc>
          <w:tcPr>
            <w:tcW w:w="2633" w:type="dxa"/>
            <w:vAlign w:val="center"/>
          </w:tcPr>
          <w:p w14:paraId="79365EB6" w14:textId="77777777" w:rsidR="007B3F87" w:rsidRPr="007B3F87" w:rsidRDefault="007B3F87" w:rsidP="007B3F87">
            <w:pPr>
              <w:rPr>
                <w:rFonts w:ascii="Arial" w:eastAsia="Times New Roman" w:hAnsi="Arial" w:cs="Arial"/>
                <w:szCs w:val="22"/>
              </w:rPr>
            </w:pPr>
            <w:r w:rsidRPr="007B3F87">
              <w:rPr>
                <w:rFonts w:ascii="Arial" w:eastAsia="Times New Roman" w:hAnsi="Arial" w:cs="Arial"/>
                <w:szCs w:val="22"/>
              </w:rPr>
              <w:t>[</w:t>
            </w:r>
            <w:r w:rsidRPr="007B3F87">
              <w:rPr>
                <w:rFonts w:ascii="Arial" w:eastAsia="Times New Roman" w:hAnsi="Arial" w:cs="Arial"/>
                <w:strike/>
                <w:szCs w:val="22"/>
              </w:rPr>
              <w:t>January</w:t>
            </w:r>
            <w:r w:rsidRPr="007B3F87">
              <w:rPr>
                <w:rFonts w:ascii="Arial" w:eastAsia="Times New Roman" w:hAnsi="Arial" w:cs="Arial"/>
                <w:szCs w:val="22"/>
              </w:rPr>
              <w:t xml:space="preserve">] </w:t>
            </w:r>
            <w:r w:rsidRPr="007B3F87">
              <w:rPr>
                <w:rFonts w:ascii="Arial" w:eastAsia="Times New Roman" w:hAnsi="Arial" w:cs="Arial"/>
                <w:b/>
                <w:bCs/>
                <w:szCs w:val="22"/>
                <w:u w:val="single"/>
              </w:rPr>
              <w:t>March</w:t>
            </w:r>
            <w:r w:rsidRPr="007B3F87">
              <w:rPr>
                <w:rFonts w:ascii="Arial" w:eastAsia="Times New Roman" w:hAnsi="Arial" w:cs="Arial"/>
                <w:szCs w:val="22"/>
              </w:rPr>
              <w:t xml:space="preserve"> 2024</w:t>
            </w:r>
          </w:p>
        </w:tc>
      </w:tr>
      <w:tr w:rsidR="007B3F87" w:rsidRPr="007B3F87" w14:paraId="2CB74171" w14:textId="77777777" w:rsidTr="00C85257">
        <w:trPr>
          <w:trHeight w:hRule="exact" w:val="705"/>
        </w:trPr>
        <w:tc>
          <w:tcPr>
            <w:tcW w:w="6187" w:type="dxa"/>
            <w:tcBorders>
              <w:top w:val="single" w:sz="4" w:space="0" w:color="auto"/>
              <w:left w:val="single" w:sz="4" w:space="0" w:color="auto"/>
              <w:bottom w:val="single" w:sz="4" w:space="0" w:color="auto"/>
              <w:right w:val="single" w:sz="4" w:space="0" w:color="auto"/>
            </w:tcBorders>
            <w:vAlign w:val="center"/>
          </w:tcPr>
          <w:p w14:paraId="611DDB06" w14:textId="77777777" w:rsidR="007B3F87" w:rsidRPr="007B3F87" w:rsidRDefault="007B3F87" w:rsidP="007B3F87">
            <w:pPr>
              <w:rPr>
                <w:rFonts w:ascii="Arial" w:eastAsia="Times New Roman" w:hAnsi="Arial" w:cs="Arial"/>
                <w:szCs w:val="22"/>
              </w:rPr>
            </w:pPr>
            <w:r w:rsidRPr="007B3F87">
              <w:rPr>
                <w:rFonts w:ascii="Arial" w:eastAsia="Times New Roman" w:hAnsi="Arial" w:cs="Arial"/>
                <w:szCs w:val="22"/>
              </w:rPr>
              <w:lastRenderedPageBreak/>
              <w:t>Anticipated Agreement Start Date</w:t>
            </w:r>
          </w:p>
        </w:tc>
        <w:tc>
          <w:tcPr>
            <w:tcW w:w="2633" w:type="dxa"/>
            <w:tcBorders>
              <w:top w:val="single" w:sz="4" w:space="0" w:color="auto"/>
              <w:left w:val="single" w:sz="4" w:space="0" w:color="auto"/>
              <w:bottom w:val="single" w:sz="4" w:space="0" w:color="auto"/>
              <w:right w:val="single" w:sz="4" w:space="0" w:color="auto"/>
            </w:tcBorders>
            <w:vAlign w:val="center"/>
          </w:tcPr>
          <w:p w14:paraId="51686353" w14:textId="77777777" w:rsidR="007B3F87" w:rsidRPr="007B3F87" w:rsidRDefault="007B3F87" w:rsidP="007B3F87">
            <w:pPr>
              <w:rPr>
                <w:rFonts w:ascii="Arial" w:eastAsia="Times New Roman" w:hAnsi="Arial" w:cs="Arial"/>
                <w:szCs w:val="22"/>
              </w:rPr>
            </w:pPr>
            <w:r w:rsidRPr="007B3F87">
              <w:rPr>
                <w:rFonts w:ascii="Arial" w:eastAsia="Times New Roman" w:hAnsi="Arial" w:cs="Arial"/>
                <w:szCs w:val="22"/>
              </w:rPr>
              <w:t>[</w:t>
            </w:r>
            <w:r w:rsidRPr="007B3F87">
              <w:rPr>
                <w:rFonts w:ascii="Arial" w:eastAsia="Times New Roman" w:hAnsi="Arial" w:cs="Arial"/>
                <w:strike/>
                <w:szCs w:val="22"/>
              </w:rPr>
              <w:t>January</w:t>
            </w:r>
            <w:r w:rsidRPr="007B3F87">
              <w:rPr>
                <w:rFonts w:ascii="Arial" w:eastAsia="Times New Roman" w:hAnsi="Arial" w:cs="Arial"/>
                <w:szCs w:val="22"/>
              </w:rPr>
              <w:t xml:space="preserve">] </w:t>
            </w:r>
            <w:r w:rsidRPr="007B3F87">
              <w:rPr>
                <w:rFonts w:ascii="Arial" w:eastAsia="Times New Roman" w:hAnsi="Arial" w:cs="Arial"/>
                <w:b/>
                <w:bCs/>
                <w:szCs w:val="22"/>
                <w:u w:val="single"/>
              </w:rPr>
              <w:t xml:space="preserve">March </w:t>
            </w:r>
            <w:r w:rsidRPr="007B3F87">
              <w:rPr>
                <w:rFonts w:ascii="Arial" w:eastAsia="Times New Roman" w:hAnsi="Arial" w:cs="Arial"/>
                <w:szCs w:val="22"/>
              </w:rPr>
              <w:t>31, 2024</w:t>
            </w:r>
          </w:p>
        </w:tc>
      </w:tr>
      <w:tr w:rsidR="007B3F87" w:rsidRPr="007B3F87" w14:paraId="6DABD1C6" w14:textId="77777777" w:rsidTr="00C85257">
        <w:trPr>
          <w:trHeight w:hRule="exact" w:val="288"/>
        </w:trPr>
        <w:tc>
          <w:tcPr>
            <w:tcW w:w="6187" w:type="dxa"/>
            <w:vAlign w:val="center"/>
          </w:tcPr>
          <w:p w14:paraId="0D56612C" w14:textId="77777777" w:rsidR="007B3F87" w:rsidRPr="007B3F87" w:rsidRDefault="007B3F87" w:rsidP="007B3F87">
            <w:pPr>
              <w:rPr>
                <w:rFonts w:ascii="Arial" w:eastAsia="Times New Roman" w:hAnsi="Arial" w:cs="Arial"/>
                <w:szCs w:val="22"/>
              </w:rPr>
            </w:pPr>
            <w:r w:rsidRPr="007B3F87">
              <w:rPr>
                <w:rFonts w:ascii="Arial" w:eastAsia="Times New Roman" w:hAnsi="Arial" w:cs="Arial"/>
                <w:szCs w:val="22"/>
              </w:rPr>
              <w:t>Anticipated Agreement End Date</w:t>
            </w:r>
          </w:p>
        </w:tc>
        <w:tc>
          <w:tcPr>
            <w:tcW w:w="2633" w:type="dxa"/>
            <w:vAlign w:val="center"/>
          </w:tcPr>
          <w:p w14:paraId="45DA95A6" w14:textId="77777777" w:rsidR="007B3F87" w:rsidRPr="007B3F87" w:rsidRDefault="007B3F87" w:rsidP="007B3F87">
            <w:pPr>
              <w:rPr>
                <w:rFonts w:ascii="Arial" w:eastAsia="Times New Roman" w:hAnsi="Arial" w:cs="Arial"/>
                <w:szCs w:val="22"/>
              </w:rPr>
            </w:pPr>
            <w:r w:rsidRPr="007B3F87">
              <w:rPr>
                <w:rFonts w:ascii="Arial" w:eastAsia="Times New Roman" w:hAnsi="Arial" w:cs="Arial"/>
                <w:szCs w:val="22"/>
              </w:rPr>
              <w:t>March 31, 2026</w:t>
            </w:r>
          </w:p>
        </w:tc>
      </w:tr>
    </w:tbl>
    <w:p w14:paraId="6075BD79" w14:textId="77777777" w:rsidR="001261BE" w:rsidRDefault="001261BE" w:rsidP="00860A6B">
      <w:pPr>
        <w:keepNext/>
        <w:keepLines/>
        <w:spacing w:before="40"/>
        <w:outlineLvl w:val="2"/>
        <w:rPr>
          <w:color w:val="000000" w:themeColor="text1"/>
        </w:rPr>
      </w:pPr>
    </w:p>
    <w:p w14:paraId="21939E6D" w14:textId="30F6E2AC" w:rsidR="00306AA9" w:rsidRDefault="00306AA9" w:rsidP="00926356">
      <w:pPr>
        <w:pStyle w:val="ListParagraph"/>
        <w:numPr>
          <w:ilvl w:val="0"/>
          <w:numId w:val="2"/>
        </w:numPr>
        <w:ind w:left="360"/>
        <w:rPr>
          <w:rFonts w:ascii="Arial" w:eastAsiaTheme="majorEastAsia" w:hAnsi="Arial" w:cs="Arial"/>
          <w:b/>
          <w:bCs/>
        </w:rPr>
      </w:pPr>
      <w:r w:rsidRPr="00D87C37">
        <w:rPr>
          <w:rFonts w:ascii="Arial" w:eastAsiaTheme="majorEastAsia" w:hAnsi="Arial" w:cs="Arial"/>
          <w:b/>
          <w:bCs/>
        </w:rPr>
        <w:t xml:space="preserve">Page </w:t>
      </w:r>
      <w:r w:rsidR="004E72B5" w:rsidRPr="00D87C37">
        <w:rPr>
          <w:rFonts w:ascii="Arial" w:eastAsiaTheme="majorEastAsia" w:hAnsi="Arial" w:cs="Arial"/>
          <w:b/>
          <w:bCs/>
        </w:rPr>
        <w:t>14</w:t>
      </w:r>
      <w:r w:rsidRPr="00D87C37">
        <w:rPr>
          <w:rFonts w:ascii="Arial" w:eastAsiaTheme="majorEastAsia" w:hAnsi="Arial" w:cs="Arial"/>
          <w:b/>
          <w:bCs/>
        </w:rPr>
        <w:t xml:space="preserve">, Section </w:t>
      </w:r>
      <w:r w:rsidR="00432FB1">
        <w:rPr>
          <w:rFonts w:ascii="Arial" w:eastAsiaTheme="majorEastAsia" w:hAnsi="Arial" w:cs="Arial"/>
          <w:b/>
          <w:bCs/>
        </w:rPr>
        <w:t>II.</w:t>
      </w:r>
      <w:r w:rsidR="004E72B5" w:rsidRPr="00D87C37">
        <w:rPr>
          <w:rFonts w:ascii="Arial" w:eastAsiaTheme="majorEastAsia" w:hAnsi="Arial" w:cs="Arial"/>
          <w:b/>
          <w:bCs/>
        </w:rPr>
        <w:t>B.1</w:t>
      </w:r>
      <w:r w:rsidRPr="00D87C37">
        <w:rPr>
          <w:rFonts w:ascii="Arial" w:eastAsiaTheme="majorEastAsia" w:hAnsi="Arial" w:cs="Arial"/>
          <w:b/>
          <w:bCs/>
        </w:rPr>
        <w:t xml:space="preserve"> </w:t>
      </w:r>
      <w:r w:rsidR="00D87C37" w:rsidRPr="00D87C37">
        <w:rPr>
          <w:rFonts w:ascii="Arial" w:eastAsiaTheme="majorEastAsia" w:hAnsi="Arial" w:cs="Arial"/>
          <w:b/>
          <w:bCs/>
        </w:rPr>
        <w:t>Eligible Projects</w:t>
      </w:r>
    </w:p>
    <w:p w14:paraId="7B455A59" w14:textId="58C6FC5B" w:rsidR="00F329E8" w:rsidRPr="000F5BE1" w:rsidRDefault="00F329E8" w:rsidP="00926356">
      <w:pPr>
        <w:ind w:left="360"/>
        <w:rPr>
          <w:rFonts w:ascii="Arial" w:hAnsi="Arial" w:cs="Arial"/>
        </w:rPr>
      </w:pPr>
      <w:r w:rsidRPr="000F5BE1">
        <w:rPr>
          <w:rFonts w:ascii="Arial" w:hAnsi="Arial" w:cs="Arial"/>
          <w:b/>
        </w:rPr>
        <w:t xml:space="preserve">Projects must include the deployment </w:t>
      </w:r>
      <w:r w:rsidRPr="000F5BE1">
        <w:rPr>
          <w:rFonts w:ascii="Arial" w:hAnsi="Arial" w:cs="Arial"/>
          <w:b/>
          <w:bCs/>
        </w:rPr>
        <w:t xml:space="preserve">and installation </w:t>
      </w:r>
      <w:r w:rsidRPr="000F5BE1">
        <w:rPr>
          <w:rFonts w:ascii="Arial" w:hAnsi="Arial" w:cs="Arial"/>
          <w:b/>
        </w:rPr>
        <w:t>of chargers.</w:t>
      </w:r>
      <w:r w:rsidRPr="000F5BE1">
        <w:rPr>
          <w:rFonts w:ascii="Arial" w:hAnsi="Arial" w:cs="Arial"/>
        </w:rPr>
        <w:t xml:space="preserve"> Innovative Business Model projects must install at least 25 MD/HD chargers</w:t>
      </w:r>
      <w:r w:rsidRPr="000F5BE1">
        <w:rPr>
          <w:rFonts w:ascii="Arial" w:hAnsi="Arial" w:cs="Arial"/>
          <w:b/>
          <w:bCs/>
          <w:u w:val="single"/>
        </w:rPr>
        <w:t xml:space="preserve"> at one site</w:t>
      </w:r>
      <w:r w:rsidRPr="000F5BE1">
        <w:rPr>
          <w:rFonts w:ascii="Arial" w:hAnsi="Arial" w:cs="Arial"/>
        </w:rPr>
        <w:t>, and Innovative Technology projects must install at least 10 MD/HD chargers</w:t>
      </w:r>
      <w:r w:rsidRPr="000F5BE1">
        <w:rPr>
          <w:rFonts w:ascii="Arial" w:hAnsi="Arial" w:cs="Arial"/>
          <w:b/>
          <w:bCs/>
          <w:u w:val="single"/>
        </w:rPr>
        <w:t xml:space="preserve"> at one site</w:t>
      </w:r>
      <w:r w:rsidRPr="000F5BE1">
        <w:rPr>
          <w:rFonts w:ascii="Arial" w:hAnsi="Arial" w:cs="Arial"/>
        </w:rPr>
        <w:t xml:space="preserve">. </w:t>
      </w:r>
      <w:r w:rsidRPr="000F5BE1">
        <w:rPr>
          <w:rFonts w:ascii="Arial" w:hAnsi="Arial" w:cs="Arial"/>
          <w:b/>
          <w:bCs/>
          <w:u w:val="single"/>
        </w:rPr>
        <w:t>For projects that supply power without chargers (e.g., battery swapping, wireless</w:t>
      </w:r>
      <w:r w:rsidRPr="000F5BE1">
        <w:rPr>
          <w:rFonts w:ascii="Arial" w:hAnsi="Arial" w:cs="Arial"/>
          <w:b/>
          <w:u w:val="single"/>
        </w:rPr>
        <w:t>/inductive</w:t>
      </w:r>
      <w:r w:rsidRPr="000F5BE1">
        <w:rPr>
          <w:rFonts w:ascii="Arial" w:hAnsi="Arial" w:cs="Arial"/>
          <w:b/>
          <w:bCs/>
          <w:u w:val="single"/>
        </w:rPr>
        <w:t xml:space="preserve"> charging, etc.), the installed equipment must </w:t>
      </w:r>
      <w:r w:rsidRPr="000F5BE1">
        <w:rPr>
          <w:rFonts w:ascii="Arial" w:hAnsi="Arial" w:cs="Arial"/>
          <w:b/>
          <w:u w:val="single"/>
        </w:rPr>
        <w:t xml:space="preserve">be installed at one site and </w:t>
      </w:r>
      <w:r w:rsidRPr="000F5BE1">
        <w:rPr>
          <w:rFonts w:ascii="Arial" w:hAnsi="Arial" w:cs="Arial"/>
          <w:b/>
          <w:bCs/>
          <w:u w:val="single"/>
        </w:rPr>
        <w:t xml:space="preserve">have the ability to bring at least 25 (for Innovative Business Model projects) </w:t>
      </w:r>
      <w:r w:rsidRPr="000F5BE1">
        <w:rPr>
          <w:rFonts w:ascii="Arial" w:hAnsi="Arial" w:cs="Arial"/>
          <w:b/>
          <w:u w:val="single"/>
        </w:rPr>
        <w:t xml:space="preserve">or at least 10 (for Innovative Technology projects) </w:t>
      </w:r>
      <w:r w:rsidRPr="000F5BE1">
        <w:rPr>
          <w:rFonts w:ascii="Arial" w:hAnsi="Arial" w:cs="Arial"/>
          <w:b/>
          <w:bCs/>
          <w:u w:val="single"/>
        </w:rPr>
        <w:t xml:space="preserve">MD/HD vehicles to a full charge or </w:t>
      </w:r>
      <w:r w:rsidRPr="000F5BE1">
        <w:rPr>
          <w:rFonts w:ascii="Arial" w:hAnsi="Arial" w:cs="Arial"/>
          <w:b/>
          <w:u w:val="single"/>
        </w:rPr>
        <w:t>a sufficient charge</w:t>
      </w:r>
      <w:r w:rsidRPr="000F5BE1">
        <w:rPr>
          <w:rFonts w:ascii="Arial" w:hAnsi="Arial" w:cs="Arial"/>
          <w:b/>
          <w:bCs/>
          <w:u w:val="single"/>
        </w:rPr>
        <w:t xml:space="preserve"> for real operating conditions.</w:t>
      </w:r>
      <w:r w:rsidRPr="000F5BE1">
        <w:rPr>
          <w:rFonts w:ascii="Arial" w:hAnsi="Arial" w:cs="Arial"/>
        </w:rPr>
        <w:t xml:space="preserve"> Projects may also include deployment of renewable distributed energy resources (DERs) or energy storage systems for supplying power to MD/HD </w:t>
      </w:r>
      <w:r w:rsidRPr="000F5BE1">
        <w:rPr>
          <w:rFonts w:ascii="Arial" w:hAnsi="Arial" w:cs="Arial"/>
          <w:bCs/>
        </w:rPr>
        <w:t>electric vehicle</w:t>
      </w:r>
      <w:r w:rsidRPr="000F5BE1">
        <w:rPr>
          <w:rFonts w:ascii="Arial" w:hAnsi="Arial" w:cs="Arial"/>
        </w:rPr>
        <w:t xml:space="preserve">s or </w:t>
      </w:r>
      <w:r w:rsidRPr="000F5BE1">
        <w:rPr>
          <w:rFonts w:ascii="Arial" w:hAnsi="Arial" w:cs="Arial"/>
          <w:bCs/>
        </w:rPr>
        <w:t>electric vehicle</w:t>
      </w:r>
      <w:r w:rsidRPr="000F5BE1">
        <w:rPr>
          <w:rFonts w:ascii="Arial" w:hAnsi="Arial" w:cs="Arial"/>
        </w:rPr>
        <w:t xml:space="preserve"> chargers provided the Applicant demonstrates that the DER is a component of the system necessary to address their designated Project Group. </w:t>
      </w:r>
    </w:p>
    <w:p w14:paraId="7BF6B50A" w14:textId="77777777" w:rsidR="00D87C37" w:rsidRDefault="00D87C37" w:rsidP="00F329E8"/>
    <w:p w14:paraId="170BCCAB" w14:textId="26837250" w:rsidR="00926356" w:rsidRPr="00926356" w:rsidRDefault="00926356" w:rsidP="00926356">
      <w:pPr>
        <w:pStyle w:val="ListParagraph"/>
        <w:numPr>
          <w:ilvl w:val="0"/>
          <w:numId w:val="2"/>
        </w:numPr>
        <w:ind w:left="360"/>
        <w:rPr>
          <w:rFonts w:ascii="Arial" w:hAnsi="Arial" w:cs="Arial"/>
          <w:b/>
          <w:bCs/>
        </w:rPr>
      </w:pPr>
      <w:r w:rsidRPr="00926356">
        <w:rPr>
          <w:rFonts w:ascii="Arial" w:hAnsi="Arial" w:cs="Arial"/>
          <w:b/>
          <w:bCs/>
        </w:rPr>
        <w:t xml:space="preserve">Page 15, Section </w:t>
      </w:r>
      <w:r w:rsidR="00640BB6">
        <w:rPr>
          <w:rFonts w:ascii="Arial" w:hAnsi="Arial" w:cs="Arial"/>
          <w:b/>
          <w:bCs/>
        </w:rPr>
        <w:t>II.</w:t>
      </w:r>
      <w:r w:rsidRPr="00926356">
        <w:rPr>
          <w:rFonts w:ascii="Arial" w:hAnsi="Arial" w:cs="Arial"/>
          <w:b/>
          <w:bCs/>
        </w:rPr>
        <w:t>B.1 Eligible Projects</w:t>
      </w:r>
    </w:p>
    <w:p w14:paraId="451D5169" w14:textId="77777777" w:rsidR="00926356" w:rsidRPr="00926356" w:rsidRDefault="00926356" w:rsidP="00926356">
      <w:pPr>
        <w:ind w:left="360"/>
        <w:rPr>
          <w:rFonts w:ascii="Arial" w:hAnsi="Arial" w:cs="Arial"/>
        </w:rPr>
      </w:pPr>
      <w:r w:rsidRPr="00926356">
        <w:rPr>
          <w:rFonts w:ascii="Arial" w:hAnsi="Arial" w:cs="Arial"/>
        </w:rPr>
        <w:t xml:space="preserve">Examples of project types within each of the two Project Groups include, but are not limited to: </w:t>
      </w:r>
    </w:p>
    <w:p w14:paraId="10C907A2" w14:textId="77777777" w:rsidR="00926356" w:rsidRPr="00926356" w:rsidRDefault="00926356" w:rsidP="00926356">
      <w:pPr>
        <w:rPr>
          <w:rFonts w:ascii="Arial" w:hAnsi="Arial" w:cs="Arial"/>
        </w:rPr>
      </w:pPr>
    </w:p>
    <w:p w14:paraId="0ECB0C2A" w14:textId="77777777" w:rsidR="00FE31AA" w:rsidRPr="00FE31AA" w:rsidRDefault="00926356" w:rsidP="00B453C1">
      <w:pPr>
        <w:pStyle w:val="ListParagraph"/>
        <w:numPr>
          <w:ilvl w:val="0"/>
          <w:numId w:val="3"/>
        </w:numPr>
        <w:spacing w:after="120"/>
        <w:ind w:left="1080" w:hanging="720"/>
        <w:contextualSpacing w:val="0"/>
        <w:rPr>
          <w:b/>
        </w:rPr>
      </w:pPr>
      <w:r w:rsidRPr="00FE31AA">
        <w:rPr>
          <w:rFonts w:ascii="Arial" w:hAnsi="Arial" w:cs="Arial"/>
          <w:b/>
        </w:rPr>
        <w:t>Innovative Business Models (Requires i</w:t>
      </w:r>
      <w:r w:rsidRPr="00FE31AA">
        <w:rPr>
          <w:rFonts w:ascii="Arial" w:hAnsi="Arial" w:cs="Arial"/>
          <w:b/>
          <w:bCs/>
        </w:rPr>
        <w:t xml:space="preserve">nstallation of and deployment of 25 or more </w:t>
      </w:r>
      <w:r w:rsidRPr="00FE31AA">
        <w:rPr>
          <w:rFonts w:ascii="Arial" w:hAnsi="Arial" w:cs="Arial"/>
          <w:b/>
          <w:bCs/>
          <w:u w:val="single"/>
        </w:rPr>
        <w:t xml:space="preserve">NEW </w:t>
      </w:r>
      <w:r w:rsidRPr="00FE31AA">
        <w:rPr>
          <w:rFonts w:ascii="Arial" w:hAnsi="Arial" w:cs="Arial"/>
          <w:b/>
          <w:bCs/>
        </w:rPr>
        <w:t>chargers)</w:t>
      </w:r>
    </w:p>
    <w:p w14:paraId="412882E3" w14:textId="16BDC2A5" w:rsidR="00FE31AA" w:rsidRPr="00B965DF" w:rsidRDefault="00FE31AA" w:rsidP="00561990">
      <w:pPr>
        <w:pStyle w:val="ListParagraph"/>
        <w:numPr>
          <w:ilvl w:val="0"/>
          <w:numId w:val="3"/>
        </w:numPr>
        <w:ind w:left="1080" w:hanging="720"/>
        <w:contextualSpacing w:val="0"/>
        <w:rPr>
          <w:rFonts w:ascii="Arial" w:hAnsi="Arial" w:cs="Arial"/>
          <w:b/>
        </w:rPr>
      </w:pPr>
      <w:r w:rsidRPr="00FE31AA">
        <w:rPr>
          <w:rFonts w:ascii="Arial" w:hAnsi="Arial" w:cs="Arial"/>
          <w:b/>
        </w:rPr>
        <w:t>Innovative Technologies (Requires i</w:t>
      </w:r>
      <w:r w:rsidRPr="00FE31AA">
        <w:rPr>
          <w:rFonts w:ascii="Arial" w:hAnsi="Arial" w:cs="Arial"/>
          <w:b/>
          <w:bCs/>
        </w:rPr>
        <w:t xml:space="preserve">nstallation of and deployment of 10 or more </w:t>
      </w:r>
      <w:r w:rsidRPr="00FE31AA">
        <w:rPr>
          <w:rFonts w:ascii="Arial" w:hAnsi="Arial" w:cs="Arial"/>
          <w:b/>
          <w:bCs/>
          <w:u w:val="single"/>
        </w:rPr>
        <w:t xml:space="preserve">NEW </w:t>
      </w:r>
      <w:r w:rsidRPr="00FE31AA">
        <w:rPr>
          <w:rFonts w:ascii="Arial" w:hAnsi="Arial" w:cs="Arial"/>
          <w:b/>
          <w:bCs/>
        </w:rPr>
        <w:t>chargers)</w:t>
      </w:r>
    </w:p>
    <w:p w14:paraId="33889BF9" w14:textId="77777777" w:rsidR="00561990" w:rsidRDefault="00561990" w:rsidP="00561990">
      <w:pPr>
        <w:pStyle w:val="ListParagraph"/>
        <w:spacing w:after="120"/>
        <w:ind w:left="360"/>
        <w:rPr>
          <w:rFonts w:ascii="Arial" w:hAnsi="Arial" w:cs="Arial"/>
          <w:b/>
        </w:rPr>
      </w:pPr>
    </w:p>
    <w:p w14:paraId="1CD66D7D" w14:textId="5F64210A" w:rsidR="00B965DF" w:rsidRPr="00B965DF" w:rsidRDefault="00B965DF" w:rsidP="00561990">
      <w:pPr>
        <w:pStyle w:val="ListParagraph"/>
        <w:numPr>
          <w:ilvl w:val="0"/>
          <w:numId w:val="2"/>
        </w:numPr>
        <w:ind w:left="360"/>
        <w:rPr>
          <w:rFonts w:ascii="Arial" w:hAnsi="Arial" w:cs="Arial"/>
          <w:b/>
        </w:rPr>
      </w:pPr>
      <w:r>
        <w:rPr>
          <w:rFonts w:ascii="Arial" w:hAnsi="Arial" w:cs="Arial"/>
          <w:b/>
        </w:rPr>
        <w:t xml:space="preserve">Page 22, Section </w:t>
      </w:r>
      <w:r w:rsidR="00640BB6">
        <w:rPr>
          <w:rFonts w:ascii="Arial" w:hAnsi="Arial" w:cs="Arial"/>
          <w:b/>
        </w:rPr>
        <w:t>II.</w:t>
      </w:r>
      <w:r>
        <w:rPr>
          <w:rFonts w:ascii="Arial" w:hAnsi="Arial" w:cs="Arial"/>
          <w:b/>
        </w:rPr>
        <w:t>C</w:t>
      </w:r>
      <w:r w:rsidR="00974BB8">
        <w:rPr>
          <w:rFonts w:ascii="Arial" w:hAnsi="Arial" w:cs="Arial"/>
          <w:b/>
        </w:rPr>
        <w:t xml:space="preserve"> Eligible Project Costs</w:t>
      </w:r>
    </w:p>
    <w:p w14:paraId="1005CC80" w14:textId="3A9E3604" w:rsidR="00561990" w:rsidRPr="00561990" w:rsidRDefault="00561990" w:rsidP="00561990">
      <w:pPr>
        <w:ind w:left="360"/>
        <w:rPr>
          <w:rFonts w:ascii="Arial" w:eastAsia="Tahoma" w:hAnsi="Arial" w:cs="Arial"/>
          <w:b/>
          <w:iCs/>
        </w:rPr>
      </w:pPr>
      <w:r w:rsidRPr="00561990">
        <w:rPr>
          <w:rFonts w:ascii="Arial" w:eastAsia="Tahoma" w:hAnsi="Arial" w:cs="Arial"/>
          <w:b/>
          <w:iCs/>
        </w:rPr>
        <w:t xml:space="preserve">NOTE: </w:t>
      </w:r>
      <w:r w:rsidRPr="00561990">
        <w:rPr>
          <w:rFonts w:ascii="Arial" w:eastAsia="Tahoma" w:hAnsi="Arial" w:cs="Arial"/>
          <w:b/>
          <w:iCs/>
          <w:u w:val="single"/>
        </w:rPr>
        <w:t>Costs incurred for operation of the facility, such as feedstock purchases, cost for transportation of feedstock, cost for transportation of fuel, costs of off-site fueling infrastructure, costs of electricity/power, and vehicle purchases and vehicle-related expenses are ineligible for reimbursement and match share cost.</w:t>
      </w:r>
      <w:r w:rsidRPr="00561990">
        <w:rPr>
          <w:rFonts w:ascii="Arial" w:eastAsia="Tahoma" w:hAnsi="Arial" w:cs="Arial"/>
          <w:b/>
          <w:u w:val="single"/>
        </w:rPr>
        <w:t xml:space="preserve"> </w:t>
      </w:r>
      <w:r w:rsidRPr="00561990">
        <w:rPr>
          <w:rFonts w:ascii="Arial" w:eastAsia="Tahoma" w:hAnsi="Arial" w:cs="Arial"/>
          <w:b/>
          <w:iCs/>
          <w:u w:val="single"/>
        </w:rPr>
        <w:t xml:space="preserve">Only the vehicle costs explicitly listed in Section II.C are allowable items of cost and match share. </w:t>
      </w:r>
      <w:r w:rsidRPr="00561990">
        <w:rPr>
          <w:rFonts w:ascii="Arial" w:eastAsia="Tahoma" w:hAnsi="Arial" w:cs="Arial"/>
          <w:b/>
          <w:iCs/>
        </w:rPr>
        <w:t>Costs incurred prior to executing an agreement will not be reimbursed by the CEC.</w:t>
      </w:r>
    </w:p>
    <w:p w14:paraId="6351685B" w14:textId="77777777" w:rsidR="00926356" w:rsidRPr="00926356" w:rsidRDefault="00926356" w:rsidP="00926356">
      <w:pPr>
        <w:pStyle w:val="ListParagraph"/>
        <w:ind w:left="360"/>
        <w:rPr>
          <w:rFonts w:ascii="Arial" w:hAnsi="Arial" w:cs="Arial"/>
        </w:rPr>
      </w:pPr>
    </w:p>
    <w:p w14:paraId="0C61CBAA" w14:textId="6ECE67B1" w:rsidR="00306AA9" w:rsidRPr="00B51D4C" w:rsidRDefault="00434A01" w:rsidP="00934FF9">
      <w:pPr>
        <w:pStyle w:val="ListParagraph"/>
        <w:keepNext/>
        <w:keepLines/>
        <w:numPr>
          <w:ilvl w:val="0"/>
          <w:numId w:val="2"/>
        </w:numPr>
        <w:spacing w:before="40"/>
        <w:ind w:left="360"/>
        <w:outlineLvl w:val="2"/>
        <w:rPr>
          <w:rFonts w:ascii="Arial" w:hAnsi="Arial" w:cs="Arial"/>
          <w:b/>
          <w:bCs/>
          <w:color w:val="000000" w:themeColor="text1"/>
        </w:rPr>
      </w:pPr>
      <w:r w:rsidRPr="00B51D4C">
        <w:rPr>
          <w:rFonts w:ascii="Arial" w:hAnsi="Arial" w:cs="Arial"/>
          <w:b/>
          <w:bCs/>
          <w:color w:val="000000" w:themeColor="text1"/>
        </w:rPr>
        <w:t>Page 32, Section IV.</w:t>
      </w:r>
      <w:r w:rsidR="00934FF9" w:rsidRPr="00B51D4C">
        <w:rPr>
          <w:rFonts w:ascii="Arial" w:hAnsi="Arial" w:cs="Arial"/>
          <w:b/>
          <w:bCs/>
          <w:color w:val="000000" w:themeColor="text1"/>
        </w:rPr>
        <w:t>D.2.d Project Benefits and Cost Effectiveness</w:t>
      </w:r>
    </w:p>
    <w:p w14:paraId="5C39A626" w14:textId="4E251C4B" w:rsidR="00445151" w:rsidRDefault="00B51D4C" w:rsidP="00445151">
      <w:pPr>
        <w:pStyle w:val="NumberedStyle"/>
        <w:ind w:left="360" w:firstLine="0"/>
        <w:jc w:val="left"/>
        <w:rPr>
          <w:rFonts w:cs="Arial"/>
          <w:b/>
          <w:bCs/>
          <w:sz w:val="24"/>
          <w:szCs w:val="24"/>
          <w:u w:val="single"/>
        </w:rPr>
      </w:pPr>
      <w:r w:rsidRPr="00FE311C">
        <w:rPr>
          <w:rFonts w:cs="Arial"/>
          <w:sz w:val="24"/>
          <w:szCs w:val="24"/>
        </w:rPr>
        <w:t xml:space="preserve">Time utilized – The </w:t>
      </w:r>
      <w:r>
        <w:rPr>
          <w:rFonts w:cs="Arial"/>
          <w:sz w:val="24"/>
          <w:szCs w:val="24"/>
        </w:rPr>
        <w:t>[</w:t>
      </w:r>
      <w:r w:rsidRPr="00A469C2">
        <w:rPr>
          <w:rFonts w:cs="Arial"/>
          <w:strike/>
          <w:sz w:val="24"/>
          <w:szCs w:val="24"/>
        </w:rPr>
        <w:t>portion of hours per day the charger is used (utilization rate) multiplied by the total number of days the charger is used at that rate during the two designated time periods denoted below.</w:t>
      </w:r>
      <w:r w:rsidRPr="00FC4187">
        <w:rPr>
          <w:rFonts w:cs="Arial"/>
          <w:sz w:val="24"/>
          <w:szCs w:val="24"/>
        </w:rPr>
        <w:t xml:space="preserve">] </w:t>
      </w:r>
      <w:r>
        <w:rPr>
          <w:rFonts w:cs="Arial"/>
          <w:b/>
          <w:bCs/>
          <w:sz w:val="24"/>
          <w:szCs w:val="24"/>
          <w:u w:val="single"/>
        </w:rPr>
        <w:t xml:space="preserve">time in hours that the charger </w:t>
      </w:r>
      <w:r>
        <w:rPr>
          <w:rFonts w:cs="Arial"/>
          <w:b/>
          <w:bCs/>
          <w:sz w:val="24"/>
          <w:szCs w:val="24"/>
          <w:u w:val="single"/>
        </w:rPr>
        <w:lastRenderedPageBreak/>
        <w:t xml:space="preserve">could be utilized, per documentation of previously-measured use or projected use. </w:t>
      </w:r>
    </w:p>
    <w:p w14:paraId="6D44348C" w14:textId="77777777" w:rsidR="00445151" w:rsidRPr="00445151" w:rsidRDefault="00445151" w:rsidP="00445151">
      <w:pPr>
        <w:pStyle w:val="NumberedStyle"/>
        <w:ind w:left="360" w:firstLine="0"/>
        <w:jc w:val="left"/>
        <w:rPr>
          <w:rFonts w:cs="Arial"/>
          <w:b/>
          <w:bCs/>
          <w:sz w:val="24"/>
          <w:szCs w:val="24"/>
          <w:u w:val="single"/>
        </w:rPr>
      </w:pPr>
    </w:p>
    <w:p w14:paraId="0D12E64F" w14:textId="0E55A8F5" w:rsidR="00934FF9" w:rsidRDefault="00983FF2" w:rsidP="00445151">
      <w:pPr>
        <w:pStyle w:val="ListParagraph"/>
        <w:keepNext/>
        <w:keepLines/>
        <w:numPr>
          <w:ilvl w:val="0"/>
          <w:numId w:val="2"/>
        </w:numPr>
        <w:spacing w:before="40"/>
        <w:ind w:left="360"/>
        <w:outlineLvl w:val="2"/>
        <w:rPr>
          <w:rFonts w:ascii="Arial" w:hAnsi="Arial" w:cs="Arial"/>
          <w:color w:val="000000" w:themeColor="text1"/>
        </w:rPr>
      </w:pPr>
      <w:r>
        <w:rPr>
          <w:rFonts w:ascii="Arial" w:hAnsi="Arial" w:cs="Arial"/>
          <w:color w:val="000000" w:themeColor="text1"/>
        </w:rPr>
        <w:t>Page 59, Section VII.E.</w:t>
      </w:r>
    </w:p>
    <w:tbl>
      <w:tblPr>
        <w:tblStyle w:val="TableGrid"/>
        <w:tblW w:w="0" w:type="auto"/>
        <w:tblLook w:val="04A0" w:firstRow="1" w:lastRow="0" w:firstColumn="1" w:lastColumn="0" w:noHBand="0" w:noVBand="1"/>
      </w:tblPr>
      <w:tblGrid>
        <w:gridCol w:w="7824"/>
      </w:tblGrid>
      <w:tr w:rsidR="00BE7A05" w:rsidRPr="00FE311C" w14:paraId="532A2D7E" w14:textId="77777777" w:rsidTr="00B5781C">
        <w:tc>
          <w:tcPr>
            <w:tcW w:w="7824" w:type="dxa"/>
          </w:tcPr>
          <w:p w14:paraId="28E2D25A" w14:textId="77777777" w:rsidR="00BE7A05" w:rsidRPr="00BE7A05" w:rsidRDefault="00BE7A05" w:rsidP="00BE7A05">
            <w:pPr>
              <w:numPr>
                <w:ilvl w:val="6"/>
                <w:numId w:val="7"/>
              </w:numPr>
              <w:ind w:left="697" w:hanging="697"/>
              <w:rPr>
                <w:rFonts w:ascii="Arial" w:hAnsi="Arial" w:cs="Arial"/>
                <w:b/>
              </w:rPr>
            </w:pPr>
            <w:r w:rsidRPr="00BE7A05">
              <w:rPr>
                <w:rFonts w:ascii="Arial" w:hAnsi="Arial" w:cs="Arial"/>
                <w:b/>
              </w:rPr>
              <w:t>Project Readiness and Implementation</w:t>
            </w:r>
          </w:p>
          <w:p w14:paraId="20AC8C3B" w14:textId="77777777" w:rsidR="00BE7A05" w:rsidRPr="00BE7A05" w:rsidRDefault="00BE7A05" w:rsidP="00FC4CB8">
            <w:pPr>
              <w:rPr>
                <w:rFonts w:ascii="Arial" w:hAnsi="Arial" w:cs="Arial"/>
              </w:rPr>
            </w:pPr>
            <w:r w:rsidRPr="00BE7A05">
              <w:rPr>
                <w:rFonts w:ascii="Arial" w:hAnsi="Arial" w:cs="Arial"/>
              </w:rPr>
              <w:t>Applications will be evaluated on the degree to which:</w:t>
            </w:r>
          </w:p>
          <w:p w14:paraId="168C7C7E" w14:textId="77777777" w:rsidR="00BE7A05" w:rsidRPr="00BE7A05" w:rsidRDefault="00BE7A05" w:rsidP="00BE7A05">
            <w:pPr>
              <w:numPr>
                <w:ilvl w:val="0"/>
                <w:numId w:val="6"/>
              </w:numPr>
              <w:spacing w:after="120"/>
              <w:ind w:left="697" w:hanging="630"/>
              <w:rPr>
                <w:rFonts w:ascii="Arial" w:hAnsi="Arial" w:cs="Arial"/>
              </w:rPr>
            </w:pPr>
            <w:r w:rsidRPr="00BE7A05">
              <w:rPr>
                <w:rFonts w:ascii="Arial" w:hAnsi="Arial" w:cs="Arial"/>
              </w:rPr>
              <w:t xml:space="preserve">The proposed project will address and overcome critical barriers to successful demonstration and/or commercialization. </w:t>
            </w:r>
          </w:p>
          <w:p w14:paraId="2690A513" w14:textId="77777777" w:rsidR="00BE7A05" w:rsidRPr="00BE7A05" w:rsidRDefault="00BE7A05" w:rsidP="00BE7A05">
            <w:pPr>
              <w:numPr>
                <w:ilvl w:val="0"/>
                <w:numId w:val="6"/>
              </w:numPr>
              <w:spacing w:after="120"/>
              <w:ind w:left="697" w:hanging="630"/>
              <w:rPr>
                <w:rFonts w:ascii="Arial" w:hAnsi="Arial" w:cs="Arial"/>
              </w:rPr>
            </w:pPr>
            <w:r w:rsidRPr="00BE7A05">
              <w:rPr>
                <w:rFonts w:ascii="Arial" w:hAnsi="Arial" w:cs="Arial"/>
              </w:rPr>
              <w:t>The proposed project maximizes the dissemination of data, results and lessons learned from the project for knowledge advancement.</w:t>
            </w:r>
          </w:p>
          <w:p w14:paraId="16197F54" w14:textId="77777777" w:rsidR="00BE7A05" w:rsidRPr="00BE7A05" w:rsidRDefault="00BE7A05" w:rsidP="00BE7A05">
            <w:pPr>
              <w:numPr>
                <w:ilvl w:val="0"/>
                <w:numId w:val="6"/>
              </w:numPr>
              <w:spacing w:after="120"/>
              <w:ind w:left="697" w:hanging="630"/>
              <w:rPr>
                <w:rFonts w:ascii="Arial" w:hAnsi="Arial" w:cs="Arial"/>
              </w:rPr>
            </w:pPr>
            <w:r w:rsidRPr="00BE7A05">
              <w:rPr>
                <w:rFonts w:ascii="Arial" w:hAnsi="Arial" w:cs="Arial"/>
              </w:rPr>
              <w:t>The proposed project has an aggressive but achievable schedule for completing all tasks. </w:t>
            </w:r>
          </w:p>
          <w:p w14:paraId="6B36808C" w14:textId="77777777" w:rsidR="00BE7A05" w:rsidRPr="00BE7A05" w:rsidRDefault="00BE7A05" w:rsidP="00BE7A05">
            <w:pPr>
              <w:numPr>
                <w:ilvl w:val="0"/>
                <w:numId w:val="5"/>
              </w:numPr>
              <w:spacing w:after="120"/>
              <w:ind w:hanging="653"/>
              <w:rPr>
                <w:rFonts w:ascii="Arial" w:hAnsi="Arial" w:cs="Arial"/>
              </w:rPr>
            </w:pPr>
            <w:r w:rsidRPr="00BE7A05">
              <w:rPr>
                <w:rFonts w:ascii="Arial" w:hAnsi="Arial" w:cs="Arial"/>
              </w:rPr>
              <w:t xml:space="preserve">The proposed project will work with local utilities, permitting agencies, and/or other stakeholders to ensure the project progresses in a smooth and timely manner.  </w:t>
            </w:r>
          </w:p>
          <w:p w14:paraId="24EE5C31" w14:textId="77777777" w:rsidR="00BE7A05" w:rsidRPr="00BE7A05" w:rsidRDefault="00BE7A05" w:rsidP="00BE7A05">
            <w:pPr>
              <w:numPr>
                <w:ilvl w:val="0"/>
                <w:numId w:val="5"/>
              </w:numPr>
              <w:spacing w:after="120"/>
              <w:ind w:hanging="653"/>
              <w:rPr>
                <w:rFonts w:ascii="Arial" w:hAnsi="Arial" w:cs="Arial"/>
              </w:rPr>
            </w:pPr>
            <w:r w:rsidRPr="00BE7A05">
              <w:rPr>
                <w:rFonts w:ascii="Arial" w:hAnsi="Arial" w:cs="Arial"/>
              </w:rPr>
              <w:t xml:space="preserve">Support or commitment letters (from site hosts, project partners, match funding, or others) indicate a strong level of support or commitment for the proposed project.  </w:t>
            </w:r>
          </w:p>
          <w:p w14:paraId="67539BD7" w14:textId="77777777" w:rsidR="00BE7A05" w:rsidRPr="00BE7A05" w:rsidRDefault="00BE7A05" w:rsidP="00BE7A05">
            <w:pPr>
              <w:numPr>
                <w:ilvl w:val="0"/>
                <w:numId w:val="5"/>
              </w:numPr>
              <w:spacing w:after="120"/>
              <w:ind w:hanging="653"/>
              <w:rPr>
                <w:rFonts w:ascii="Arial" w:hAnsi="Arial" w:cs="Arial"/>
              </w:rPr>
            </w:pPr>
            <w:r w:rsidRPr="00BE7A05">
              <w:rPr>
                <w:rFonts w:ascii="Arial" w:hAnsi="Arial" w:cs="Arial"/>
              </w:rPr>
              <w:t>The required permitting for the proposed project has been completed.</w:t>
            </w:r>
          </w:p>
          <w:p w14:paraId="0D8E715B" w14:textId="77777777" w:rsidR="00BE7A05" w:rsidRPr="00BE7A05" w:rsidRDefault="00BE7A05" w:rsidP="00BE7A05">
            <w:pPr>
              <w:numPr>
                <w:ilvl w:val="0"/>
                <w:numId w:val="5"/>
              </w:numPr>
              <w:spacing w:after="120"/>
              <w:ind w:hanging="653"/>
              <w:rPr>
                <w:rFonts w:ascii="Arial" w:hAnsi="Arial" w:cs="Arial"/>
              </w:rPr>
            </w:pPr>
            <w:r w:rsidRPr="00BE7A05">
              <w:rPr>
                <w:rFonts w:ascii="Arial" w:hAnsi="Arial" w:cs="Arial"/>
              </w:rPr>
              <w:t xml:space="preserve">The proposed project is prepared to address risks, barriers, and limitations that are critical for project success (e.g., loss of demonstration site). </w:t>
            </w:r>
          </w:p>
          <w:p w14:paraId="2C9F7944" w14:textId="77777777" w:rsidR="00BE7A05" w:rsidRPr="00BE7A05" w:rsidRDefault="00BE7A05" w:rsidP="00BE7A05">
            <w:pPr>
              <w:numPr>
                <w:ilvl w:val="0"/>
                <w:numId w:val="5"/>
              </w:numPr>
              <w:spacing w:after="120"/>
              <w:ind w:hanging="653"/>
              <w:rPr>
                <w:rFonts w:ascii="Arial" w:hAnsi="Arial" w:cs="Arial"/>
              </w:rPr>
            </w:pPr>
            <w:r w:rsidRPr="00BE7A05">
              <w:rPr>
                <w:rFonts w:ascii="Arial" w:hAnsi="Arial" w:cs="Arial"/>
              </w:rPr>
              <w:t xml:space="preserve">The proposed project and equipment are expected to operate beyond the term of the CEC’s funding agreement.  </w:t>
            </w:r>
          </w:p>
          <w:p w14:paraId="7CFBEAEF" w14:textId="77777777" w:rsidR="00BE7A05" w:rsidRPr="00BE7A05" w:rsidRDefault="00BE7A05" w:rsidP="00BE7A05">
            <w:pPr>
              <w:numPr>
                <w:ilvl w:val="0"/>
                <w:numId w:val="5"/>
              </w:numPr>
              <w:spacing w:after="120"/>
              <w:ind w:hanging="653"/>
              <w:rPr>
                <w:rFonts w:ascii="Arial" w:hAnsi="Arial" w:cs="Arial"/>
              </w:rPr>
            </w:pPr>
            <w:r w:rsidRPr="00BE7A05">
              <w:rPr>
                <w:rFonts w:ascii="Arial" w:hAnsi="Arial" w:cs="Arial"/>
              </w:rPr>
              <w:t xml:space="preserve">The proposed project has documented progress towards achieving compliance under CEQA. </w:t>
            </w:r>
          </w:p>
          <w:p w14:paraId="6770CCBB" w14:textId="77777777" w:rsidR="00BE7A05" w:rsidRPr="00BE7A05" w:rsidRDefault="00BE7A05" w:rsidP="00BE7A05">
            <w:pPr>
              <w:numPr>
                <w:ilvl w:val="0"/>
                <w:numId w:val="5"/>
              </w:numPr>
              <w:spacing w:after="120"/>
              <w:ind w:hanging="653"/>
              <w:rPr>
                <w:rFonts w:ascii="Arial" w:hAnsi="Arial" w:cs="Arial"/>
                <w:b/>
                <w:u w:val="single"/>
              </w:rPr>
            </w:pPr>
            <w:r w:rsidRPr="00BE7A05">
              <w:rPr>
                <w:rFonts w:ascii="Arial" w:hAnsi="Arial" w:cs="Arial"/>
              </w:rPr>
              <w:t>The Scope of Work is complete and demonstrates a clear path to successful implementation of the proposed project.</w:t>
            </w:r>
          </w:p>
          <w:p w14:paraId="6D6B1027" w14:textId="77777777" w:rsidR="00BE7A05" w:rsidRPr="00BE7A05" w:rsidRDefault="00BE7A05" w:rsidP="00BE7A05">
            <w:pPr>
              <w:numPr>
                <w:ilvl w:val="0"/>
                <w:numId w:val="5"/>
              </w:numPr>
              <w:spacing w:after="120"/>
              <w:ind w:hanging="653"/>
              <w:rPr>
                <w:rFonts w:ascii="Arial" w:hAnsi="Arial" w:cs="Arial"/>
                <w:b/>
                <w:u w:val="single"/>
              </w:rPr>
            </w:pPr>
            <w:r w:rsidRPr="00BE7A05">
              <w:rPr>
                <w:rFonts w:ascii="Arial" w:hAnsi="Arial" w:cs="Arial"/>
                <w:b/>
                <w:u w:val="single"/>
              </w:rPr>
              <w:t>The proposed project is prepared to demonstrate a complete system under real operating conditions during the term of the CEC’s funding agreement AND to ensure that charger uptime for each charger installed in the project is at least 97 percent for each year for six years after beginning operation.</w:t>
            </w:r>
          </w:p>
          <w:p w14:paraId="3F57896D" w14:textId="77777777" w:rsidR="00BE7A05" w:rsidRPr="00BE7A05" w:rsidRDefault="00BE7A05" w:rsidP="00BE7A05">
            <w:pPr>
              <w:numPr>
                <w:ilvl w:val="0"/>
                <w:numId w:val="5"/>
              </w:numPr>
              <w:spacing w:after="120"/>
              <w:ind w:hanging="653"/>
              <w:rPr>
                <w:rFonts w:ascii="Arial" w:hAnsi="Arial" w:cs="Arial"/>
                <w:b/>
                <w:u w:val="single"/>
              </w:rPr>
            </w:pPr>
            <w:r w:rsidRPr="00BE7A05">
              <w:rPr>
                <w:rFonts w:ascii="Arial" w:hAnsi="Arial" w:cs="Arial"/>
                <w:b/>
                <w:u w:val="single"/>
              </w:rPr>
              <w:t xml:space="preserve">The Applicant has conducted due diligence on the viability of the selected site(s), including consistency with local land </w:t>
            </w:r>
            <w:r w:rsidRPr="00BE7A05">
              <w:rPr>
                <w:rFonts w:ascii="Arial" w:hAnsi="Arial" w:cs="Arial"/>
                <w:b/>
                <w:u w:val="single"/>
              </w:rPr>
              <w:lastRenderedPageBreak/>
              <w:t>use regulations, planning documents, leases, ownership, access rights.</w:t>
            </w:r>
          </w:p>
          <w:p w14:paraId="1C3FEBBF" w14:textId="77777777" w:rsidR="00BE7A05" w:rsidRPr="00BE7A05" w:rsidRDefault="00BE7A05" w:rsidP="00BE7A05">
            <w:pPr>
              <w:numPr>
                <w:ilvl w:val="0"/>
                <w:numId w:val="5"/>
              </w:numPr>
              <w:spacing w:after="120"/>
              <w:ind w:hanging="653"/>
              <w:rPr>
                <w:rFonts w:ascii="Arial" w:hAnsi="Arial" w:cs="Arial"/>
              </w:rPr>
            </w:pPr>
            <w:r w:rsidRPr="00BE7A05">
              <w:rPr>
                <w:rFonts w:ascii="Arial" w:hAnsi="Arial" w:cs="Arial"/>
                <w:b/>
                <w:u w:val="single"/>
              </w:rPr>
              <w:t>The Applicant can demonstrate that thorough safety, maintenance, and training procedures will be in place.</w:t>
            </w:r>
          </w:p>
          <w:p w14:paraId="5B43CD5C" w14:textId="77777777" w:rsidR="00BE7A05" w:rsidRPr="00FE311C" w:rsidRDefault="00BE7A05" w:rsidP="00FC4CB8">
            <w:r w:rsidRPr="00BE7A05">
              <w:rPr>
                <w:rFonts w:ascii="Arial" w:hAnsi="Arial" w:cs="Arial"/>
                <w:b/>
                <w:bCs/>
                <w:i/>
                <w:iCs/>
              </w:rPr>
              <w:t xml:space="preserve">NOTE: Full Applications </w:t>
            </w:r>
            <w:r w:rsidRPr="00BE7A05">
              <w:rPr>
                <w:rFonts w:ascii="Arial" w:hAnsi="Arial" w:cs="Arial"/>
                <w:b/>
                <w:i/>
                <w:u w:val="single"/>
              </w:rPr>
              <w:t>must</w:t>
            </w:r>
            <w:r w:rsidRPr="00BE7A05">
              <w:rPr>
                <w:rFonts w:ascii="Arial" w:hAnsi="Arial" w:cs="Arial"/>
                <w:b/>
                <w:bCs/>
                <w:i/>
                <w:iCs/>
              </w:rPr>
              <w:t xml:space="preserve"> obtain a minimum passing score of 14 points (70 percent) within this evaluation criterion to be eligible for funding.</w:t>
            </w:r>
          </w:p>
        </w:tc>
      </w:tr>
    </w:tbl>
    <w:p w14:paraId="5A432615" w14:textId="77777777" w:rsidR="00445151" w:rsidRDefault="00445151" w:rsidP="00B1122A">
      <w:pPr>
        <w:rPr>
          <w:rFonts w:ascii="Arial" w:hAnsi="Arial" w:cs="Arial"/>
          <w:b/>
          <w:bCs/>
        </w:rPr>
      </w:pPr>
    </w:p>
    <w:p w14:paraId="6F6CBF15" w14:textId="77777777" w:rsidR="00445151" w:rsidRDefault="00445151" w:rsidP="00B1122A">
      <w:pPr>
        <w:rPr>
          <w:rFonts w:ascii="Arial" w:hAnsi="Arial" w:cs="Arial"/>
          <w:b/>
          <w:bCs/>
        </w:rPr>
      </w:pPr>
    </w:p>
    <w:p w14:paraId="5303F674" w14:textId="6CA0C9DB" w:rsidR="00B1122A" w:rsidRPr="00B1122A" w:rsidRDefault="008D421C" w:rsidP="00B1122A">
      <w:pPr>
        <w:rPr>
          <w:rFonts w:ascii="Arial" w:hAnsi="Arial" w:cs="Arial"/>
          <w:b/>
          <w:bCs/>
        </w:rPr>
      </w:pPr>
      <w:r>
        <w:rPr>
          <w:rFonts w:ascii="Arial" w:hAnsi="Arial" w:cs="Arial"/>
          <w:b/>
          <w:bCs/>
        </w:rPr>
        <w:t>Eunice Lemos-Adair</w:t>
      </w:r>
      <w:r w:rsidR="00B1122A" w:rsidRPr="00B1122A">
        <w:rPr>
          <w:rFonts w:ascii="Arial" w:hAnsi="Arial" w:cs="Arial"/>
          <w:b/>
          <w:bCs/>
        </w:rPr>
        <w:t>,</w:t>
      </w:r>
    </w:p>
    <w:p w14:paraId="19B4D541" w14:textId="3DDE6849" w:rsidR="00B1122A" w:rsidRPr="00B1122A" w:rsidRDefault="00B1122A" w:rsidP="00B1122A">
      <w:pPr>
        <w:spacing w:after="480"/>
        <w:rPr>
          <w:rStyle w:val="normaltextrun"/>
          <w:rFonts w:ascii="Arial" w:hAnsi="Arial" w:cs="Arial"/>
          <w:b/>
          <w:bCs/>
        </w:rPr>
      </w:pPr>
      <w:r w:rsidRPr="00B1122A">
        <w:rPr>
          <w:rFonts w:ascii="Arial" w:hAnsi="Arial" w:cs="Arial"/>
          <w:b/>
          <w:bCs/>
        </w:rPr>
        <w:t>Commission Agreement Officer</w:t>
      </w:r>
    </w:p>
    <w:sectPr w:rsidR="00B1122A" w:rsidRPr="00B1122A" w:rsidSect="000D4A7B">
      <w:headerReference w:type="default" r:id="rId11"/>
      <w:footerReference w:type="default" r:id="rId12"/>
      <w:headerReference w:type="first" r:id="rId13"/>
      <w:footerReference w:type="first" r:id="rId14"/>
      <w:pgSz w:w="12240" w:h="15840"/>
      <w:pgMar w:top="2250" w:right="1620" w:bottom="1440" w:left="1620" w:header="36" w:footer="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09835" w14:textId="77777777" w:rsidR="00F20EAE" w:rsidRDefault="00F20EAE" w:rsidP="00F86D2B">
      <w:r>
        <w:separator/>
      </w:r>
    </w:p>
  </w:endnote>
  <w:endnote w:type="continuationSeparator" w:id="0">
    <w:p w14:paraId="1B2D3F02" w14:textId="77777777" w:rsidR="00F20EAE" w:rsidRDefault="00F20EAE" w:rsidP="00F86D2B">
      <w:r>
        <w:continuationSeparator/>
      </w:r>
    </w:p>
  </w:endnote>
  <w:endnote w:type="continuationNotice" w:id="1">
    <w:p w14:paraId="1F3B2C82" w14:textId="77777777" w:rsidR="00F20EAE" w:rsidRDefault="00F20E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2880"/>
      <w:gridCol w:w="2880"/>
      <w:gridCol w:w="2880"/>
    </w:tblGrid>
    <w:tr w:rsidR="4D7C6706" w14:paraId="4DCC657B" w14:textId="77777777" w:rsidTr="00544461">
      <w:tc>
        <w:tcPr>
          <w:tcW w:w="2880" w:type="dxa"/>
        </w:tcPr>
        <w:p w14:paraId="1C30F658" w14:textId="4FC5E23C" w:rsidR="4D7C6706" w:rsidRDefault="4D7C6706" w:rsidP="4D7C6706">
          <w:pPr>
            <w:pStyle w:val="Header"/>
            <w:ind w:left="-115"/>
          </w:pPr>
        </w:p>
      </w:tc>
      <w:tc>
        <w:tcPr>
          <w:tcW w:w="2880" w:type="dxa"/>
        </w:tcPr>
        <w:p w14:paraId="1D3F0B1C" w14:textId="217B9FC7" w:rsidR="4D7C6706" w:rsidRDefault="4D7C6706" w:rsidP="4D7C6706">
          <w:pPr>
            <w:pStyle w:val="Header"/>
            <w:jc w:val="center"/>
          </w:pPr>
        </w:p>
      </w:tc>
      <w:tc>
        <w:tcPr>
          <w:tcW w:w="2880" w:type="dxa"/>
        </w:tcPr>
        <w:p w14:paraId="5681F7D6" w14:textId="65144E5E" w:rsidR="4D7C6706" w:rsidRDefault="4D7C6706" w:rsidP="4D7C6706">
          <w:pPr>
            <w:pStyle w:val="Header"/>
            <w:ind w:right="-115"/>
            <w:jc w:val="right"/>
          </w:pPr>
        </w:p>
      </w:tc>
    </w:tr>
  </w:tbl>
  <w:p w14:paraId="01AFCF9C" w14:textId="46A281DD" w:rsidR="4D7C6706" w:rsidRDefault="4D7C6706" w:rsidP="00B112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C8CA5" w14:textId="1F81AC6B" w:rsidR="002D11A5" w:rsidRDefault="00E95AA9" w:rsidP="002D11A5">
    <w:pPr>
      <w:pStyle w:val="Footer"/>
      <w:ind w:hanging="1800"/>
    </w:pPr>
    <w:r>
      <w:rPr>
        <w:noProof/>
      </w:rPr>
      <w:drawing>
        <wp:inline distT="0" distB="0" distL="0" distR="0" wp14:anchorId="4CC05A24" wp14:editId="3B78DAB8">
          <wp:extent cx="7762875" cy="1033780"/>
          <wp:effectExtent l="0" t="0" r="9525" b="0"/>
          <wp:docPr id="10" name="Picture 10" descr="energy.ca.gov&#10;715 P Street, Sacramento, CA 95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gif"/>
                  <pic:cNvPicPr/>
                </pic:nvPicPr>
                <pic:blipFill>
                  <a:blip r:embed="rId1">
                    <a:extLst>
                      <a:ext uri="{28A0092B-C50C-407E-A947-70E740481C1C}">
                        <a14:useLocalDpi xmlns:a14="http://schemas.microsoft.com/office/drawing/2010/main" val="0"/>
                      </a:ext>
                    </a:extLst>
                  </a:blip>
                  <a:stretch>
                    <a:fillRect/>
                  </a:stretch>
                </pic:blipFill>
                <pic:spPr>
                  <a:xfrm>
                    <a:off x="0" y="0"/>
                    <a:ext cx="7762875" cy="103378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C1942" w14:textId="77777777" w:rsidR="00F20EAE" w:rsidRDefault="00F20EAE" w:rsidP="00F86D2B">
      <w:r>
        <w:separator/>
      </w:r>
    </w:p>
  </w:footnote>
  <w:footnote w:type="continuationSeparator" w:id="0">
    <w:p w14:paraId="7E75B833" w14:textId="77777777" w:rsidR="00F20EAE" w:rsidRDefault="00F20EAE" w:rsidP="00F86D2B">
      <w:r>
        <w:continuationSeparator/>
      </w:r>
    </w:p>
  </w:footnote>
  <w:footnote w:type="continuationNotice" w:id="1">
    <w:p w14:paraId="7C1AF120" w14:textId="77777777" w:rsidR="00F20EAE" w:rsidRDefault="00F20EA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2CEFA" w14:textId="77777777" w:rsidR="003E0D2D" w:rsidRDefault="003E0D2D" w:rsidP="00E210F6">
    <w:pPr>
      <w:rPr>
        <w:rFonts w:ascii="Arial" w:hAnsi="Arial" w:cs="Arial"/>
      </w:rPr>
    </w:pPr>
  </w:p>
  <w:p w14:paraId="736D9520" w14:textId="77777777" w:rsidR="003E0D2D" w:rsidRDefault="003E0D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1044F" w14:textId="77777777" w:rsidR="00C01C97" w:rsidRDefault="00C01C97" w:rsidP="002D11A5">
    <w:pPr>
      <w:pStyle w:val="Header"/>
      <w:ind w:hanging="1800"/>
    </w:pPr>
  </w:p>
  <w:p w14:paraId="0CC19A77" w14:textId="29A27D48" w:rsidR="00E210F6" w:rsidRDefault="00891410" w:rsidP="002D11A5">
    <w:pPr>
      <w:pStyle w:val="Header"/>
      <w:ind w:hanging="1800"/>
    </w:pPr>
    <w:r>
      <w:rPr>
        <w:noProof/>
      </w:rPr>
      <w:drawing>
        <wp:inline distT="0" distB="0" distL="0" distR="0" wp14:anchorId="59ACF5EB" wp14:editId="3FA489FF">
          <wp:extent cx="7465625" cy="978010"/>
          <wp:effectExtent l="0" t="0" r="2540" b="0"/>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stretch>
                    <a:fillRect/>
                  </a:stretch>
                </pic:blipFill>
                <pic:spPr>
                  <a:xfrm>
                    <a:off x="0" y="0"/>
                    <a:ext cx="7536182" cy="98725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42DE1"/>
    <w:multiLevelType w:val="multilevel"/>
    <w:tmpl w:val="F5B4C560"/>
    <w:lvl w:ilvl="0">
      <w:start w:val="1"/>
      <w:numFmt w:val="upperLetter"/>
      <w:lvlText w:val="%1."/>
      <w:lvlJc w:val="left"/>
      <w:pPr>
        <w:ind w:left="720" w:hanging="360"/>
      </w:pPr>
      <w:rPr>
        <w:rFonts w:hint="default"/>
        <w:b w:val="0"/>
      </w:rPr>
    </w:lvl>
    <w:lvl w:ilvl="1">
      <w:start w:val="5"/>
      <w:numFmt w:val="lowerLetter"/>
      <w:lvlText w:val="%2."/>
      <w:lvlJc w:val="left"/>
      <w:pPr>
        <w:ind w:left="1080" w:hanging="360"/>
      </w:pPr>
      <w:rPr>
        <w:rFonts w:hint="default"/>
        <w:b w:val="0"/>
        <w:i w:val="0"/>
      </w:rPr>
    </w:lvl>
    <w:lvl w:ilvl="2">
      <w:start w:val="1"/>
      <w:numFmt w:val="lowerLetter"/>
      <w:lvlText w:val="%3."/>
      <w:lvlJc w:val="right"/>
      <w:pPr>
        <w:ind w:left="1440" w:hanging="360"/>
      </w:pPr>
      <w:rPr>
        <w:rFonts w:hint="default"/>
      </w:rPr>
    </w:lvl>
    <w:lvl w:ilvl="3">
      <w:start w:val="1"/>
      <w:numFmt w:val="lowerRoman"/>
      <w:lvlText w:val="%4."/>
      <w:lvlJc w:val="left"/>
      <w:pPr>
        <w:ind w:left="180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2"/>
      <w:numFmt w:val="decimal"/>
      <w:lvlText w:val="%7."/>
      <w:lvlJc w:val="left"/>
      <w:pPr>
        <w:ind w:left="450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69E0B9A"/>
    <w:multiLevelType w:val="hybridMultilevel"/>
    <w:tmpl w:val="EB70A8DE"/>
    <w:lvl w:ilvl="0" w:tplc="C30A07A0">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DA03F3"/>
    <w:multiLevelType w:val="multilevel"/>
    <w:tmpl w:val="FC54B9D2"/>
    <w:lvl w:ilvl="0">
      <w:start w:val="1"/>
      <w:numFmt w:val="bullet"/>
      <w:lvlText w:val=""/>
      <w:lvlJc w:val="left"/>
      <w:pPr>
        <w:ind w:left="1080" w:hanging="360"/>
      </w:pPr>
      <w:rPr>
        <w:rFonts w:ascii="Symbol" w:hAnsi="Symbol" w:hint="default"/>
        <w:b w:val="0"/>
      </w:rPr>
    </w:lvl>
    <w:lvl w:ilvl="1">
      <w:start w:val="1"/>
      <w:numFmt w:val="decimal"/>
      <w:lvlText w:val="%2."/>
      <w:lvlJc w:val="left"/>
      <w:pPr>
        <w:ind w:left="1440" w:hanging="360"/>
      </w:pPr>
      <w:rPr>
        <w:b w:val="0"/>
      </w:rPr>
    </w:lvl>
    <w:lvl w:ilvl="2">
      <w:start w:val="1"/>
      <w:numFmt w:val="lowerLetter"/>
      <w:lvlText w:val="%3."/>
      <w:lvlJc w:val="right"/>
      <w:pPr>
        <w:ind w:left="1800" w:hanging="360"/>
      </w:pPr>
    </w:lvl>
    <w:lvl w:ilvl="3">
      <w:start w:val="1"/>
      <w:numFmt w:val="lowerRoman"/>
      <w:lvlText w:val="%4."/>
      <w:lvlJc w:val="left"/>
      <w:pPr>
        <w:ind w:left="216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36DB2BEC"/>
    <w:multiLevelType w:val="hybridMultilevel"/>
    <w:tmpl w:val="661CB7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3567EC"/>
    <w:multiLevelType w:val="hybridMultilevel"/>
    <w:tmpl w:val="F5A67CBC"/>
    <w:lvl w:ilvl="0" w:tplc="04090001">
      <w:start w:val="1"/>
      <w:numFmt w:val="bullet"/>
      <w:lvlText w:val=""/>
      <w:lvlJc w:val="left"/>
      <w:pPr>
        <w:ind w:left="2160" w:hanging="360"/>
      </w:pPr>
      <w:rPr>
        <w:rFonts w:ascii="Symbol" w:hAnsi="Symbol" w:hint="default"/>
      </w:rPr>
    </w:lvl>
    <w:lvl w:ilvl="1" w:tplc="C9E84DAE">
      <w:start w:val="1"/>
      <w:numFmt w:val="bullet"/>
      <w:lvlText w:val="o"/>
      <w:lvlJc w:val="left"/>
      <w:pPr>
        <w:ind w:left="2880" w:hanging="360"/>
      </w:pPr>
      <w:rPr>
        <w:rFonts w:ascii="Courier New" w:hAnsi="Courier New" w:cs="Courier New" w:hint="default"/>
        <w:color w:val="auto"/>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3F9C72F6"/>
    <w:multiLevelType w:val="hybridMultilevel"/>
    <w:tmpl w:val="A01E204C"/>
    <w:lvl w:ilvl="0" w:tplc="48A0AF40">
      <w:start w:val="1"/>
      <w:numFmt w:val="bullet"/>
      <w:lvlText w:val=""/>
      <w:lvlJc w:val="left"/>
      <w:pPr>
        <w:ind w:left="7200" w:hanging="720"/>
      </w:pPr>
      <w:rPr>
        <w:rFonts w:ascii="Symbol" w:hAnsi="Symbol" w:hint="default"/>
        <w:b w:val="0"/>
        <w:color w:val="auto"/>
      </w:rPr>
    </w:lvl>
    <w:lvl w:ilvl="1" w:tplc="04090003">
      <w:start w:val="1"/>
      <w:numFmt w:val="bullet"/>
      <w:lvlText w:val="o"/>
      <w:lvlJc w:val="left"/>
      <w:pPr>
        <w:ind w:left="5040" w:hanging="360"/>
      </w:pPr>
      <w:rPr>
        <w:rFonts w:ascii="Courier New" w:hAnsi="Courier New" w:cs="Courier New" w:hint="default"/>
      </w:rPr>
    </w:lvl>
    <w:lvl w:ilvl="2" w:tplc="04090005">
      <w:start w:val="1"/>
      <w:numFmt w:val="bullet"/>
      <w:lvlText w:val=""/>
      <w:lvlJc w:val="left"/>
      <w:pPr>
        <w:ind w:left="5760" w:hanging="360"/>
      </w:pPr>
      <w:rPr>
        <w:rFonts w:ascii="Wingdings" w:hAnsi="Wingdings" w:hint="default"/>
      </w:rPr>
    </w:lvl>
    <w:lvl w:ilvl="3" w:tplc="04090001">
      <w:start w:val="1"/>
      <w:numFmt w:val="bullet"/>
      <w:lvlText w:val=""/>
      <w:lvlJc w:val="left"/>
      <w:pPr>
        <w:ind w:left="6480" w:hanging="360"/>
      </w:pPr>
      <w:rPr>
        <w:rFonts w:ascii="Symbol" w:hAnsi="Symbol" w:hint="default"/>
      </w:rPr>
    </w:lvl>
    <w:lvl w:ilvl="4" w:tplc="0FD4902A">
      <w:start w:val="1"/>
      <w:numFmt w:val="bullet"/>
      <w:lvlText w:val=""/>
      <w:lvlJc w:val="left"/>
      <w:pPr>
        <w:ind w:left="7200" w:hanging="360"/>
      </w:pPr>
      <w:rPr>
        <w:rFonts w:ascii="Symbol" w:hAnsi="Symbol" w:hint="default"/>
        <w:b w:val="0"/>
        <w:color w:val="auto"/>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6" w15:restartNumberingAfterBreak="0">
    <w:nsid w:val="6DA510F5"/>
    <w:multiLevelType w:val="hybridMultilevel"/>
    <w:tmpl w:val="F1F60DD8"/>
    <w:lvl w:ilvl="0" w:tplc="766EDD80">
      <w:start w:val="1"/>
      <w:numFmt w:val="decimal"/>
      <w:lvlText w:val="%1."/>
      <w:lvlJc w:val="left"/>
      <w:pPr>
        <w:ind w:left="720" w:hanging="360"/>
      </w:pPr>
      <w:rPr>
        <w:rFonts w:ascii="Arial" w:hAnsi="Arial" w:cs="Arial"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0697836">
    <w:abstractNumId w:val="1"/>
  </w:num>
  <w:num w:numId="2" w16cid:durableId="413355859">
    <w:abstractNumId w:val="6"/>
  </w:num>
  <w:num w:numId="3" w16cid:durableId="788089280">
    <w:abstractNumId w:val="4"/>
  </w:num>
  <w:num w:numId="4" w16cid:durableId="117572321">
    <w:abstractNumId w:val="5"/>
  </w:num>
  <w:num w:numId="5" w16cid:durableId="1873495320">
    <w:abstractNumId w:val="3"/>
  </w:num>
  <w:num w:numId="6" w16cid:durableId="1962953226">
    <w:abstractNumId w:val="2"/>
  </w:num>
  <w:num w:numId="7" w16cid:durableId="8642966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yNjIxMDA0NjOwNDVU0lEKTi0uzszPAykwrAUA5DMOLSwAAAA="/>
  </w:docVars>
  <w:rsids>
    <w:rsidRoot w:val="00F86D2B"/>
    <w:rsid w:val="00015969"/>
    <w:rsid w:val="00027125"/>
    <w:rsid w:val="0004705B"/>
    <w:rsid w:val="0004705D"/>
    <w:rsid w:val="000557AC"/>
    <w:rsid w:val="00060591"/>
    <w:rsid w:val="000611BE"/>
    <w:rsid w:val="0006377F"/>
    <w:rsid w:val="00063B9D"/>
    <w:rsid w:val="00074E58"/>
    <w:rsid w:val="0009064B"/>
    <w:rsid w:val="000A6CE7"/>
    <w:rsid w:val="000C16AE"/>
    <w:rsid w:val="000D4A7B"/>
    <w:rsid w:val="000E31D6"/>
    <w:rsid w:val="000F5BE1"/>
    <w:rsid w:val="0012428F"/>
    <w:rsid w:val="001261BE"/>
    <w:rsid w:val="0014043C"/>
    <w:rsid w:val="0014731B"/>
    <w:rsid w:val="001477A0"/>
    <w:rsid w:val="001C3CDA"/>
    <w:rsid w:val="001F3152"/>
    <w:rsid w:val="001F62F3"/>
    <w:rsid w:val="00203587"/>
    <w:rsid w:val="00235167"/>
    <w:rsid w:val="002747CF"/>
    <w:rsid w:val="002A5F7A"/>
    <w:rsid w:val="002C3A9E"/>
    <w:rsid w:val="002D11A5"/>
    <w:rsid w:val="00300FB1"/>
    <w:rsid w:val="00306AA9"/>
    <w:rsid w:val="00306C82"/>
    <w:rsid w:val="00344417"/>
    <w:rsid w:val="003E0AD6"/>
    <w:rsid w:val="003E0D2D"/>
    <w:rsid w:val="003E404F"/>
    <w:rsid w:val="004076CF"/>
    <w:rsid w:val="00410AC7"/>
    <w:rsid w:val="00415DE9"/>
    <w:rsid w:val="004276CE"/>
    <w:rsid w:val="00430859"/>
    <w:rsid w:val="00432FB1"/>
    <w:rsid w:val="00434A01"/>
    <w:rsid w:val="004379A5"/>
    <w:rsid w:val="00437D5F"/>
    <w:rsid w:val="00445151"/>
    <w:rsid w:val="004504D5"/>
    <w:rsid w:val="0046003A"/>
    <w:rsid w:val="00463011"/>
    <w:rsid w:val="00475B35"/>
    <w:rsid w:val="004772EB"/>
    <w:rsid w:val="00493781"/>
    <w:rsid w:val="004A1AAA"/>
    <w:rsid w:val="004A4C18"/>
    <w:rsid w:val="004D0158"/>
    <w:rsid w:val="004D128F"/>
    <w:rsid w:val="004E72B5"/>
    <w:rsid w:val="0050279B"/>
    <w:rsid w:val="005100D5"/>
    <w:rsid w:val="00524EA9"/>
    <w:rsid w:val="00525E2C"/>
    <w:rsid w:val="00527817"/>
    <w:rsid w:val="00534797"/>
    <w:rsid w:val="00544461"/>
    <w:rsid w:val="005568CA"/>
    <w:rsid w:val="00561990"/>
    <w:rsid w:val="00566D9C"/>
    <w:rsid w:val="00577D95"/>
    <w:rsid w:val="0059609D"/>
    <w:rsid w:val="005E6FA2"/>
    <w:rsid w:val="00640BB6"/>
    <w:rsid w:val="006511D6"/>
    <w:rsid w:val="00654BE4"/>
    <w:rsid w:val="00693454"/>
    <w:rsid w:val="006A57AF"/>
    <w:rsid w:val="006B13F0"/>
    <w:rsid w:val="006D3827"/>
    <w:rsid w:val="006E146A"/>
    <w:rsid w:val="007134AE"/>
    <w:rsid w:val="0072006A"/>
    <w:rsid w:val="007211FC"/>
    <w:rsid w:val="00751C0F"/>
    <w:rsid w:val="00761F8B"/>
    <w:rsid w:val="0077265A"/>
    <w:rsid w:val="00777798"/>
    <w:rsid w:val="0078154A"/>
    <w:rsid w:val="00783717"/>
    <w:rsid w:val="0079120A"/>
    <w:rsid w:val="00794224"/>
    <w:rsid w:val="007B3F87"/>
    <w:rsid w:val="007C6C8A"/>
    <w:rsid w:val="007D545A"/>
    <w:rsid w:val="00803E15"/>
    <w:rsid w:val="0081533B"/>
    <w:rsid w:val="0081551E"/>
    <w:rsid w:val="00846985"/>
    <w:rsid w:val="00860A6B"/>
    <w:rsid w:val="00874988"/>
    <w:rsid w:val="00891290"/>
    <w:rsid w:val="00891410"/>
    <w:rsid w:val="008D421C"/>
    <w:rsid w:val="008E1433"/>
    <w:rsid w:val="008E3926"/>
    <w:rsid w:val="008E7852"/>
    <w:rsid w:val="008F7BB2"/>
    <w:rsid w:val="0090646F"/>
    <w:rsid w:val="00910710"/>
    <w:rsid w:val="00925908"/>
    <w:rsid w:val="00926356"/>
    <w:rsid w:val="00934FF9"/>
    <w:rsid w:val="009407F5"/>
    <w:rsid w:val="00950AF4"/>
    <w:rsid w:val="0097247B"/>
    <w:rsid w:val="00974BB8"/>
    <w:rsid w:val="00983FF2"/>
    <w:rsid w:val="009A0B3E"/>
    <w:rsid w:val="009E6C35"/>
    <w:rsid w:val="009E754B"/>
    <w:rsid w:val="00A15FA8"/>
    <w:rsid w:val="00A17202"/>
    <w:rsid w:val="00A3384C"/>
    <w:rsid w:val="00A36CF5"/>
    <w:rsid w:val="00A71CE9"/>
    <w:rsid w:val="00A73089"/>
    <w:rsid w:val="00A90DC6"/>
    <w:rsid w:val="00A96E09"/>
    <w:rsid w:val="00AD21FC"/>
    <w:rsid w:val="00AD5870"/>
    <w:rsid w:val="00AE05B9"/>
    <w:rsid w:val="00B03AD3"/>
    <w:rsid w:val="00B1122A"/>
    <w:rsid w:val="00B11AE4"/>
    <w:rsid w:val="00B33F69"/>
    <w:rsid w:val="00B51D4C"/>
    <w:rsid w:val="00B5781C"/>
    <w:rsid w:val="00B80E72"/>
    <w:rsid w:val="00B84D31"/>
    <w:rsid w:val="00B906E9"/>
    <w:rsid w:val="00B965DF"/>
    <w:rsid w:val="00BA1317"/>
    <w:rsid w:val="00BA3F4C"/>
    <w:rsid w:val="00BA55D6"/>
    <w:rsid w:val="00BB2CCD"/>
    <w:rsid w:val="00BB3B50"/>
    <w:rsid w:val="00BB5DCD"/>
    <w:rsid w:val="00BD77BE"/>
    <w:rsid w:val="00BE7A05"/>
    <w:rsid w:val="00C01C97"/>
    <w:rsid w:val="00C03527"/>
    <w:rsid w:val="00C2336E"/>
    <w:rsid w:val="00C67037"/>
    <w:rsid w:val="00C73A1F"/>
    <w:rsid w:val="00C85257"/>
    <w:rsid w:val="00C96BDD"/>
    <w:rsid w:val="00CA6B2B"/>
    <w:rsid w:val="00D17966"/>
    <w:rsid w:val="00D2465B"/>
    <w:rsid w:val="00D32C3D"/>
    <w:rsid w:val="00D33013"/>
    <w:rsid w:val="00D3336B"/>
    <w:rsid w:val="00D431C2"/>
    <w:rsid w:val="00D43B83"/>
    <w:rsid w:val="00D87C37"/>
    <w:rsid w:val="00D903C5"/>
    <w:rsid w:val="00DB53FE"/>
    <w:rsid w:val="00E210F6"/>
    <w:rsid w:val="00E420B6"/>
    <w:rsid w:val="00E62715"/>
    <w:rsid w:val="00E95AA9"/>
    <w:rsid w:val="00EA7BDE"/>
    <w:rsid w:val="00ED18F1"/>
    <w:rsid w:val="00F053EC"/>
    <w:rsid w:val="00F061A1"/>
    <w:rsid w:val="00F10DFF"/>
    <w:rsid w:val="00F20EAE"/>
    <w:rsid w:val="00F220FC"/>
    <w:rsid w:val="00F22AD4"/>
    <w:rsid w:val="00F329E8"/>
    <w:rsid w:val="00F7696E"/>
    <w:rsid w:val="00F86D2B"/>
    <w:rsid w:val="00F90F6B"/>
    <w:rsid w:val="00F92C5E"/>
    <w:rsid w:val="00F947AC"/>
    <w:rsid w:val="00F95D8D"/>
    <w:rsid w:val="00F967DF"/>
    <w:rsid w:val="00F97A78"/>
    <w:rsid w:val="00FD441B"/>
    <w:rsid w:val="00FE31AA"/>
    <w:rsid w:val="00FE5320"/>
    <w:rsid w:val="00FF7303"/>
    <w:rsid w:val="0CDE3617"/>
    <w:rsid w:val="1C1F3A18"/>
    <w:rsid w:val="2407BBC1"/>
    <w:rsid w:val="3340129D"/>
    <w:rsid w:val="4D7C6706"/>
    <w:rsid w:val="52521B09"/>
    <w:rsid w:val="5770E9BA"/>
    <w:rsid w:val="65B14D97"/>
    <w:rsid w:val="73241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B8D208C"/>
  <w14:defaultImageDpi w14:val="300"/>
  <w15:docId w15:val="{DA3AF7F7-D0E6-4FC6-AE47-FEE128B8E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4"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A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D2B"/>
    <w:pPr>
      <w:tabs>
        <w:tab w:val="center" w:pos="4320"/>
        <w:tab w:val="right" w:pos="8640"/>
      </w:tabs>
    </w:pPr>
  </w:style>
  <w:style w:type="character" w:customStyle="1" w:styleId="HeaderChar">
    <w:name w:val="Header Char"/>
    <w:basedOn w:val="DefaultParagraphFont"/>
    <w:link w:val="Header"/>
    <w:uiPriority w:val="99"/>
    <w:rsid w:val="00F86D2B"/>
  </w:style>
  <w:style w:type="paragraph" w:styleId="Footer">
    <w:name w:val="footer"/>
    <w:basedOn w:val="Normal"/>
    <w:link w:val="FooterChar"/>
    <w:uiPriority w:val="99"/>
    <w:unhideWhenUsed/>
    <w:rsid w:val="00F86D2B"/>
    <w:pPr>
      <w:tabs>
        <w:tab w:val="center" w:pos="4320"/>
        <w:tab w:val="right" w:pos="8640"/>
      </w:tabs>
    </w:pPr>
  </w:style>
  <w:style w:type="character" w:customStyle="1" w:styleId="FooterChar">
    <w:name w:val="Footer Char"/>
    <w:basedOn w:val="DefaultParagraphFont"/>
    <w:link w:val="Footer"/>
    <w:uiPriority w:val="99"/>
    <w:rsid w:val="00F86D2B"/>
  </w:style>
  <w:style w:type="paragraph" w:styleId="BalloonText">
    <w:name w:val="Balloon Text"/>
    <w:basedOn w:val="Normal"/>
    <w:link w:val="BalloonTextChar"/>
    <w:uiPriority w:val="99"/>
    <w:semiHidden/>
    <w:unhideWhenUsed/>
    <w:rsid w:val="00F86D2B"/>
    <w:rPr>
      <w:rFonts w:ascii="Lucida Grande" w:hAnsi="Lucida Grande"/>
      <w:sz w:val="18"/>
      <w:szCs w:val="18"/>
    </w:rPr>
  </w:style>
  <w:style w:type="character" w:customStyle="1" w:styleId="BalloonTextChar">
    <w:name w:val="Balloon Text Char"/>
    <w:basedOn w:val="DefaultParagraphFont"/>
    <w:link w:val="BalloonText"/>
    <w:uiPriority w:val="99"/>
    <w:semiHidden/>
    <w:rsid w:val="00F86D2B"/>
    <w:rPr>
      <w:rFonts w:ascii="Lucida Grande" w:hAnsi="Lucida Grande"/>
      <w:sz w:val="18"/>
      <w:szCs w:val="18"/>
    </w:rPr>
  </w:style>
  <w:style w:type="character" w:styleId="Hyperlink">
    <w:name w:val="Hyperlink"/>
    <w:basedOn w:val="DefaultParagraphFont"/>
    <w:uiPriority w:val="99"/>
    <w:unhideWhenUsed/>
    <w:rsid w:val="00C96BDD"/>
    <w:rPr>
      <w:color w:val="0000FF" w:themeColor="hyperlink"/>
      <w:u w:val="single"/>
    </w:rPr>
  </w:style>
  <w:style w:type="paragraph" w:styleId="Date">
    <w:name w:val="Date"/>
    <w:basedOn w:val="Normal"/>
    <w:next w:val="Normal"/>
    <w:link w:val="DateChar"/>
    <w:uiPriority w:val="1"/>
    <w:qFormat/>
    <w:rsid w:val="00524EA9"/>
    <w:pPr>
      <w:spacing w:after="280" w:line="288" w:lineRule="auto"/>
    </w:pPr>
    <w:rPr>
      <w:rFonts w:asciiTheme="majorHAnsi" w:eastAsiaTheme="minorHAnsi" w:hAnsiTheme="majorHAnsi"/>
      <w:color w:val="4F81BD" w:themeColor="accent1"/>
      <w:sz w:val="26"/>
      <w:szCs w:val="22"/>
    </w:rPr>
  </w:style>
  <w:style w:type="character" w:customStyle="1" w:styleId="DateChar">
    <w:name w:val="Date Char"/>
    <w:basedOn w:val="DefaultParagraphFont"/>
    <w:link w:val="Date"/>
    <w:uiPriority w:val="1"/>
    <w:rsid w:val="00524EA9"/>
    <w:rPr>
      <w:rFonts w:asciiTheme="majorHAnsi" w:eastAsiaTheme="minorHAnsi" w:hAnsiTheme="majorHAnsi"/>
      <w:color w:val="4F81BD" w:themeColor="accent1"/>
      <w:sz w:val="26"/>
      <w:szCs w:val="22"/>
    </w:rPr>
  </w:style>
  <w:style w:type="paragraph" w:customStyle="1" w:styleId="ContactInfo">
    <w:name w:val="Contact Info"/>
    <w:basedOn w:val="Normal"/>
    <w:uiPriority w:val="2"/>
    <w:qFormat/>
    <w:rsid w:val="00524EA9"/>
    <w:pPr>
      <w:spacing w:after="220" w:line="288" w:lineRule="auto"/>
      <w:contextualSpacing/>
    </w:pPr>
    <w:rPr>
      <w:rFonts w:eastAsiaTheme="minorHAnsi"/>
      <w:color w:val="3071C3" w:themeColor="text2" w:themeTint="BF"/>
      <w:sz w:val="22"/>
      <w:szCs w:val="22"/>
    </w:rPr>
  </w:style>
  <w:style w:type="paragraph" w:styleId="Closing">
    <w:name w:val="Closing"/>
    <w:basedOn w:val="Normal"/>
    <w:next w:val="Signature"/>
    <w:link w:val="ClosingChar"/>
    <w:uiPriority w:val="4"/>
    <w:unhideWhenUsed/>
    <w:qFormat/>
    <w:rsid w:val="00524EA9"/>
    <w:pPr>
      <w:spacing w:before="320" w:after="1000"/>
      <w:contextualSpacing/>
    </w:pPr>
    <w:rPr>
      <w:rFonts w:eastAsiaTheme="minorHAnsi"/>
      <w:color w:val="3071C3" w:themeColor="text2" w:themeTint="BF"/>
      <w:sz w:val="22"/>
      <w:szCs w:val="22"/>
    </w:rPr>
  </w:style>
  <w:style w:type="character" w:customStyle="1" w:styleId="ClosingChar">
    <w:name w:val="Closing Char"/>
    <w:basedOn w:val="DefaultParagraphFont"/>
    <w:link w:val="Closing"/>
    <w:uiPriority w:val="4"/>
    <w:rsid w:val="00524EA9"/>
    <w:rPr>
      <w:rFonts w:eastAsiaTheme="minorHAnsi"/>
      <w:color w:val="3071C3" w:themeColor="text2" w:themeTint="BF"/>
      <w:sz w:val="22"/>
      <w:szCs w:val="22"/>
    </w:rPr>
  </w:style>
  <w:style w:type="paragraph" w:styleId="Signature">
    <w:name w:val="Signature"/>
    <w:basedOn w:val="Normal"/>
    <w:next w:val="Normal"/>
    <w:link w:val="SignatureChar"/>
    <w:uiPriority w:val="7"/>
    <w:unhideWhenUsed/>
    <w:qFormat/>
    <w:rsid w:val="00524EA9"/>
    <w:pPr>
      <w:spacing w:after="220" w:line="288" w:lineRule="auto"/>
    </w:pPr>
    <w:rPr>
      <w:rFonts w:eastAsiaTheme="minorHAnsi"/>
      <w:color w:val="3071C3" w:themeColor="text2" w:themeTint="BF"/>
      <w:sz w:val="22"/>
      <w:szCs w:val="22"/>
    </w:rPr>
  </w:style>
  <w:style w:type="character" w:customStyle="1" w:styleId="SignatureChar">
    <w:name w:val="Signature Char"/>
    <w:basedOn w:val="DefaultParagraphFont"/>
    <w:link w:val="Signature"/>
    <w:uiPriority w:val="7"/>
    <w:rsid w:val="00524EA9"/>
    <w:rPr>
      <w:rFonts w:eastAsiaTheme="minorHAnsi"/>
      <w:color w:val="3071C3" w:themeColor="text2" w:themeTint="BF"/>
      <w:sz w:val="22"/>
      <w:szCs w:val="22"/>
    </w:rPr>
  </w:style>
  <w:style w:type="paragraph" w:customStyle="1" w:styleId="Default">
    <w:name w:val="Default"/>
    <w:rsid w:val="00C03527"/>
    <w:pPr>
      <w:autoSpaceDE w:val="0"/>
      <w:autoSpaceDN w:val="0"/>
      <w:adjustRightInd w:val="0"/>
    </w:pPr>
    <w:rPr>
      <w:rFonts w:ascii="Arial" w:eastAsia="Calibri" w:hAnsi="Arial" w:cs="Arial"/>
      <w:color w:val="000000"/>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D3301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D33013"/>
  </w:style>
  <w:style w:type="character" w:customStyle="1" w:styleId="eop">
    <w:name w:val="eop"/>
    <w:basedOn w:val="DefaultParagraphFont"/>
    <w:rsid w:val="00D33013"/>
  </w:style>
  <w:style w:type="table" w:customStyle="1" w:styleId="ListTable321">
    <w:name w:val="List Table 321"/>
    <w:basedOn w:val="TableNormal"/>
    <w:next w:val="ListTable3"/>
    <w:uiPriority w:val="48"/>
    <w:rsid w:val="00463011"/>
    <w:rPr>
      <w:rFonts w:ascii="Arial" w:eastAsia="Times New Roman" w:hAnsi="Arial" w:cs="Arial"/>
      <w:sz w:val="20"/>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
    <w:name w:val="List Table 3"/>
    <w:basedOn w:val="TableNormal"/>
    <w:uiPriority w:val="48"/>
    <w:rsid w:val="00463011"/>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FootnoteText">
    <w:name w:val="footnote text"/>
    <w:aliases w:val="Char1,Footnote Text1 Char,Footnote Text Char Ch,Footnote Text Char2 Char,Footnote Text Char1 Char Char,Footnote Text Char Char Char Char,Footnote Text Char2 Char Char Char Char,Footnote Text Char1 Char1 Char1 Char Char Char"/>
    <w:basedOn w:val="Normal"/>
    <w:link w:val="FootnoteTextChar"/>
    <w:uiPriority w:val="99"/>
    <w:qFormat/>
    <w:rsid w:val="0004705B"/>
    <w:pPr>
      <w:spacing w:after="120"/>
    </w:pPr>
    <w:rPr>
      <w:rFonts w:ascii="Arial" w:eastAsia="Times New Roman" w:hAnsi="Arial" w:cs="Arial"/>
      <w:sz w:val="20"/>
      <w:szCs w:val="20"/>
    </w:rPr>
  </w:style>
  <w:style w:type="character" w:customStyle="1" w:styleId="FootnoteTextChar">
    <w:name w:val="Footnote Text Char"/>
    <w:aliases w:val="Char1 Char,Footnote Text1 Char Char,Footnote Text Char Ch Char,Footnote Text Char2 Char Char,Footnote Text Char1 Char Char Char,Footnote Text Char Char Char Char Char,Footnote Text Char2 Char Char Char Char Char"/>
    <w:basedOn w:val="DefaultParagraphFont"/>
    <w:link w:val="FootnoteText"/>
    <w:uiPriority w:val="99"/>
    <w:rsid w:val="0004705B"/>
    <w:rPr>
      <w:rFonts w:ascii="Arial" w:eastAsia="Times New Roman" w:hAnsi="Arial" w:cs="Arial"/>
      <w:sz w:val="20"/>
      <w:szCs w:val="20"/>
    </w:rPr>
  </w:style>
  <w:style w:type="character" w:styleId="FootnoteReference">
    <w:name w:val="footnote reference"/>
    <w:aliases w:val="0 PIER Footnote Reference,o,fr,Style 3,o1,o2,o3,o4,o5,o6,o11,o21,o7,o + Times New Roman"/>
    <w:basedOn w:val="DefaultParagraphFont"/>
    <w:uiPriority w:val="99"/>
    <w:qFormat/>
    <w:rsid w:val="0004705B"/>
    <w:rPr>
      <w:rFonts w:cs="Times New Roman"/>
      <w:vertAlign w:val="superscript"/>
    </w:rPr>
  </w:style>
  <w:style w:type="paragraph" w:styleId="ListParagraph">
    <w:name w:val="List Paragraph"/>
    <w:basedOn w:val="Normal"/>
    <w:link w:val="ListParagraphChar"/>
    <w:uiPriority w:val="34"/>
    <w:qFormat/>
    <w:rsid w:val="00D87C37"/>
    <w:pPr>
      <w:ind w:left="720"/>
      <w:contextualSpacing/>
    </w:pPr>
  </w:style>
  <w:style w:type="character" w:styleId="CommentReference">
    <w:name w:val="annotation reference"/>
    <w:semiHidden/>
    <w:rsid w:val="00F329E8"/>
    <w:rPr>
      <w:sz w:val="16"/>
    </w:rPr>
  </w:style>
  <w:style w:type="paragraph" w:styleId="CommentText">
    <w:name w:val="annotation text"/>
    <w:basedOn w:val="Normal"/>
    <w:link w:val="CommentTextChar"/>
    <w:semiHidden/>
    <w:rsid w:val="00F329E8"/>
    <w:pPr>
      <w:spacing w:after="120"/>
    </w:pPr>
    <w:rPr>
      <w:rFonts w:ascii="Arial" w:eastAsia="Times New Roman" w:hAnsi="Arial" w:cs="Arial"/>
      <w:sz w:val="20"/>
      <w:szCs w:val="20"/>
    </w:rPr>
  </w:style>
  <w:style w:type="character" w:customStyle="1" w:styleId="CommentTextChar">
    <w:name w:val="Comment Text Char"/>
    <w:basedOn w:val="DefaultParagraphFont"/>
    <w:link w:val="CommentText"/>
    <w:semiHidden/>
    <w:rsid w:val="00F329E8"/>
    <w:rPr>
      <w:rFonts w:ascii="Arial" w:eastAsia="Times New Roman" w:hAnsi="Arial" w:cs="Arial"/>
      <w:sz w:val="20"/>
      <w:szCs w:val="20"/>
    </w:rPr>
  </w:style>
  <w:style w:type="character" w:customStyle="1" w:styleId="ListParagraphChar">
    <w:name w:val="List Paragraph Char"/>
    <w:basedOn w:val="DefaultParagraphFont"/>
    <w:link w:val="ListParagraph"/>
    <w:uiPriority w:val="34"/>
    <w:locked/>
    <w:rsid w:val="00926356"/>
  </w:style>
  <w:style w:type="character" w:styleId="Mention">
    <w:name w:val="Mention"/>
    <w:basedOn w:val="DefaultParagraphFont"/>
    <w:uiPriority w:val="99"/>
    <w:unhideWhenUsed/>
    <w:rsid w:val="00561990"/>
    <w:rPr>
      <w:color w:val="2B579A"/>
      <w:shd w:val="clear" w:color="auto" w:fill="E1DFDD"/>
    </w:rPr>
  </w:style>
  <w:style w:type="paragraph" w:customStyle="1" w:styleId="NumberedStyle">
    <w:name w:val="Numbered Style"/>
    <w:basedOn w:val="Normal"/>
    <w:qFormat/>
    <w:rsid w:val="00B51D4C"/>
    <w:pPr>
      <w:ind w:left="720" w:hanging="360"/>
      <w:jc w:val="both"/>
    </w:pPr>
    <w:rPr>
      <w:rFonts w:ascii="Arial" w:eastAsia="Times New Roman" w:hAnsi="Arial"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6228">
      <w:bodyDiv w:val="1"/>
      <w:marLeft w:val="0"/>
      <w:marRight w:val="0"/>
      <w:marTop w:val="0"/>
      <w:marBottom w:val="0"/>
      <w:divBdr>
        <w:top w:val="none" w:sz="0" w:space="0" w:color="auto"/>
        <w:left w:val="none" w:sz="0" w:space="0" w:color="auto"/>
        <w:bottom w:val="none" w:sz="0" w:space="0" w:color="auto"/>
        <w:right w:val="none" w:sz="0" w:space="0" w:color="auto"/>
      </w:divBdr>
      <w:divsChild>
        <w:div w:id="1708488669">
          <w:marLeft w:val="0"/>
          <w:marRight w:val="0"/>
          <w:marTop w:val="0"/>
          <w:marBottom w:val="0"/>
          <w:divBdr>
            <w:top w:val="none" w:sz="0" w:space="0" w:color="auto"/>
            <w:left w:val="none" w:sz="0" w:space="0" w:color="auto"/>
            <w:bottom w:val="none" w:sz="0" w:space="0" w:color="auto"/>
            <w:right w:val="none" w:sz="0" w:space="0" w:color="auto"/>
          </w:divBdr>
          <w:divsChild>
            <w:div w:id="165133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00976">
      <w:bodyDiv w:val="1"/>
      <w:marLeft w:val="0"/>
      <w:marRight w:val="0"/>
      <w:marTop w:val="0"/>
      <w:marBottom w:val="0"/>
      <w:divBdr>
        <w:top w:val="none" w:sz="0" w:space="0" w:color="auto"/>
        <w:left w:val="none" w:sz="0" w:space="0" w:color="auto"/>
        <w:bottom w:val="none" w:sz="0" w:space="0" w:color="auto"/>
        <w:right w:val="none" w:sz="0" w:space="0" w:color="auto"/>
      </w:divBdr>
    </w:div>
    <w:div w:id="1358776810">
      <w:bodyDiv w:val="1"/>
      <w:marLeft w:val="0"/>
      <w:marRight w:val="0"/>
      <w:marTop w:val="0"/>
      <w:marBottom w:val="0"/>
      <w:divBdr>
        <w:top w:val="none" w:sz="0" w:space="0" w:color="auto"/>
        <w:left w:val="none" w:sz="0" w:space="0" w:color="auto"/>
        <w:bottom w:val="none" w:sz="0" w:space="0" w:color="auto"/>
        <w:right w:val="none" w:sz="0" w:space="0" w:color="auto"/>
      </w:divBdr>
    </w:div>
    <w:div w:id="17331195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5" ma:contentTypeDescription="Create a new document." ma:contentTypeScope="" ma:versionID="76cb06975fc55ec80b2750197a625c68">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e36dc6544f457b7d34333989defc36d1"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element name="TaxCatchAll" ma:index="21" nillable="true" ma:displayName="Taxonomy Catch All Column" ma:hidden="true" ma:list="{56ce4c4a-7fe1-4beb-a9c7-54d9dfc92e85}"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1BF9D3-71D5-4BC5-BBD6-0A73FBBC3A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1B3591-85F7-4296-8681-810DCA9B2479}">
  <ds:schemaRefs>
    <ds:schemaRef ds:uri="http://schemas.microsoft.com/sharepoint/v3/contenttype/forms"/>
  </ds:schemaRefs>
</ds:datastoreItem>
</file>

<file path=customXml/itemProps3.xml><?xml version="1.0" encoding="utf-8"?>
<ds:datastoreItem xmlns:ds="http://schemas.openxmlformats.org/officeDocument/2006/customXml" ds:itemID="{74767D39-677C-45F0-A310-67C5BE75DAFE}">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4.xml><?xml version="1.0" encoding="utf-8"?>
<ds:datastoreItem xmlns:ds="http://schemas.openxmlformats.org/officeDocument/2006/customXml" ds:itemID="{DD9D46E3-B1C6-4A03-A8F1-133DE36FA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768</TotalTime>
  <Pages>4</Pages>
  <Words>891</Words>
  <Characters>5080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Wobschall Design</Company>
  <LinksUpToDate>false</LinksUpToDate>
  <CharactersWithSpaces>5960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Bailey Wobschall</dc:creator>
  <cp:keywords/>
  <dc:description/>
  <cp:lastModifiedBy>Reid, Kathryn@Energy</cp:lastModifiedBy>
  <cp:revision>48</cp:revision>
  <cp:lastPrinted>2019-04-08T16:38:00Z</cp:lastPrinted>
  <dcterms:created xsi:type="dcterms:W3CDTF">2023-06-20T22:18:00Z</dcterms:created>
  <dcterms:modified xsi:type="dcterms:W3CDTF">2023-06-23T14:09:00Z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y fmtid="{D5CDD505-2E9C-101B-9397-08002B2CF9AE}" pid="4" name="Order">
    <vt:r8>443100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ies>
</file>