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F3EA111" w:rsidR="009E6C35" w:rsidRDefault="6F07F6AA" w:rsidP="3A1426D0">
      <w:pPr>
        <w:pStyle w:val="paragraph"/>
        <w:ind w:left="4320"/>
        <w:jc w:val="right"/>
        <w:textAlignment w:val="baseline"/>
        <w:rPr>
          <w:rStyle w:val="normaltextrun"/>
          <w:rFonts w:ascii="Tahoma" w:eastAsia="Tahoma" w:hAnsi="Tahoma" w:cs="Tahoma"/>
        </w:rPr>
      </w:pPr>
      <w:r w:rsidRPr="44BD3DE1">
        <w:rPr>
          <w:rStyle w:val="normaltextrun"/>
          <w:rFonts w:ascii="Tahoma" w:eastAsia="Tahoma" w:hAnsi="Tahoma" w:cs="Tahoma"/>
        </w:rPr>
        <w:t>Ju</w:t>
      </w:r>
      <w:r w:rsidR="00A56900" w:rsidRPr="44BD3DE1">
        <w:rPr>
          <w:rStyle w:val="normaltextrun"/>
          <w:rFonts w:ascii="Tahoma" w:eastAsia="Tahoma" w:hAnsi="Tahoma" w:cs="Tahoma"/>
        </w:rPr>
        <w:t>ly</w:t>
      </w:r>
      <w:r w:rsidRPr="3A1426D0">
        <w:rPr>
          <w:rStyle w:val="normaltextrun"/>
          <w:rFonts w:ascii="Tahoma" w:eastAsia="Tahoma" w:hAnsi="Tahoma" w:cs="Tahoma"/>
        </w:rPr>
        <w:t xml:space="preserve"> </w:t>
      </w:r>
      <w:r w:rsidR="00D75BEE">
        <w:rPr>
          <w:rStyle w:val="normaltextrun"/>
          <w:rFonts w:ascii="Tahoma" w:eastAsia="Tahoma" w:hAnsi="Tahoma" w:cs="Tahoma"/>
        </w:rPr>
        <w:t>10</w:t>
      </w:r>
      <w:r w:rsidR="0079120A" w:rsidRPr="3A1426D0">
        <w:rPr>
          <w:rStyle w:val="normaltextrun"/>
          <w:rFonts w:ascii="Tahoma" w:eastAsia="Tahoma" w:hAnsi="Tahoma" w:cs="Tahoma"/>
        </w:rPr>
        <w:t>, 2023</w:t>
      </w:r>
    </w:p>
    <w:p w14:paraId="4B25D089" w14:textId="157DE487" w:rsidR="00B1122A" w:rsidRDefault="00B1122A" w:rsidP="00D96BD9">
      <w:pPr>
        <w:pStyle w:val="paragraph"/>
        <w:textAlignment w:val="baseline"/>
        <w:rPr>
          <w:rStyle w:val="normaltextrun"/>
          <w:rFonts w:ascii="Tahoma" w:eastAsia="Tahoma" w:hAnsi="Tahoma" w:cs="Tahoma"/>
        </w:rPr>
      </w:pPr>
    </w:p>
    <w:p w14:paraId="3049D69B" w14:textId="486A855B" w:rsidR="00B1122A" w:rsidRPr="00B1122A" w:rsidRDefault="00B1122A" w:rsidP="3A1426D0">
      <w:pPr>
        <w:jc w:val="center"/>
        <w:rPr>
          <w:rFonts w:ascii="Tahoma" w:eastAsia="Tahoma" w:hAnsi="Tahoma" w:cs="Tahoma"/>
          <w:b/>
          <w:bCs/>
        </w:rPr>
      </w:pPr>
      <w:r w:rsidRPr="3A1426D0">
        <w:rPr>
          <w:rFonts w:ascii="Tahoma" w:eastAsia="Tahoma" w:hAnsi="Tahoma" w:cs="Tahoma"/>
          <w:b/>
          <w:bCs/>
        </w:rPr>
        <w:t>GFO-22-</w:t>
      </w:r>
      <w:r w:rsidR="00B33F69" w:rsidRPr="3A1426D0">
        <w:rPr>
          <w:rFonts w:ascii="Tahoma" w:eastAsia="Tahoma" w:hAnsi="Tahoma" w:cs="Tahoma"/>
          <w:b/>
          <w:bCs/>
        </w:rPr>
        <w:t>61</w:t>
      </w:r>
      <w:r w:rsidR="008B513C" w:rsidRPr="3A1426D0">
        <w:rPr>
          <w:rFonts w:ascii="Tahoma" w:eastAsia="Tahoma" w:hAnsi="Tahoma" w:cs="Tahoma"/>
          <w:b/>
          <w:bCs/>
        </w:rPr>
        <w:t>4</w:t>
      </w:r>
    </w:p>
    <w:p w14:paraId="1BBABA3F" w14:textId="60763E65" w:rsidR="00B1122A" w:rsidRPr="00B1122A" w:rsidRDefault="008B513C" w:rsidP="3A1426D0">
      <w:pPr>
        <w:autoSpaceDE w:val="0"/>
        <w:autoSpaceDN w:val="0"/>
        <w:adjustRightInd w:val="0"/>
        <w:jc w:val="center"/>
        <w:rPr>
          <w:rFonts w:ascii="Tahoma" w:eastAsia="Tahoma" w:hAnsi="Tahoma" w:cs="Tahoma"/>
          <w:b/>
          <w:bCs/>
        </w:rPr>
      </w:pPr>
      <w:r w:rsidRPr="3A1426D0">
        <w:rPr>
          <w:rFonts w:ascii="Tahoma" w:eastAsia="Tahoma" w:hAnsi="Tahoma" w:cs="Tahoma"/>
          <w:b/>
          <w:bCs/>
        </w:rPr>
        <w:t>Reliable, Equitable, and Accessible Charging for Multi-family Housing 2.0 (REACH 2.0)</w:t>
      </w:r>
    </w:p>
    <w:p w14:paraId="6587D6BB" w14:textId="5C784ACB" w:rsidR="00B1122A" w:rsidRPr="00B1122A" w:rsidRDefault="00B1122A" w:rsidP="3A1426D0">
      <w:pPr>
        <w:autoSpaceDE w:val="0"/>
        <w:autoSpaceDN w:val="0"/>
        <w:adjustRightInd w:val="0"/>
        <w:jc w:val="center"/>
        <w:rPr>
          <w:rFonts w:ascii="Tahoma" w:eastAsia="Tahoma" w:hAnsi="Tahoma" w:cs="Tahoma"/>
          <w:b/>
          <w:bCs/>
        </w:rPr>
      </w:pPr>
      <w:r w:rsidRPr="3A1426D0">
        <w:rPr>
          <w:rFonts w:ascii="Tahoma" w:eastAsia="Tahoma" w:hAnsi="Tahoma" w:cs="Tahoma"/>
          <w:b/>
          <w:bCs/>
        </w:rPr>
        <w:t xml:space="preserve">Addendum </w:t>
      </w:r>
      <w:r w:rsidR="00B33F69" w:rsidRPr="3A1426D0">
        <w:rPr>
          <w:rFonts w:ascii="Tahoma" w:eastAsia="Tahoma" w:hAnsi="Tahoma" w:cs="Tahoma"/>
          <w:b/>
          <w:bCs/>
        </w:rPr>
        <w:t>1</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1C304B97" w:rsidR="00B1122A" w:rsidRPr="00B1122A" w:rsidRDefault="00B1122A" w:rsidP="3A1426D0">
      <w:pPr>
        <w:autoSpaceDE w:val="0"/>
        <w:autoSpaceDN w:val="0"/>
        <w:adjustRightInd w:val="0"/>
        <w:rPr>
          <w:rFonts w:ascii="Tahoma" w:eastAsia="Tahoma" w:hAnsi="Tahoma" w:cs="Tahoma"/>
        </w:rPr>
      </w:pPr>
      <w:r w:rsidRPr="3A1426D0">
        <w:rPr>
          <w:rFonts w:ascii="Tahoma" w:eastAsia="Tahoma" w:hAnsi="Tahoma" w:cs="Tahoma"/>
        </w:rPr>
        <w:t>The purpose of this addendum is to notify potential applicants of changes that have been made to GFO-22-</w:t>
      </w:r>
      <w:r w:rsidR="00B33F69" w:rsidRPr="3A1426D0">
        <w:rPr>
          <w:rFonts w:ascii="Tahoma" w:eastAsia="Tahoma" w:hAnsi="Tahoma" w:cs="Tahoma"/>
        </w:rPr>
        <w:t>61</w:t>
      </w:r>
      <w:r w:rsidR="008B513C" w:rsidRPr="3A1426D0">
        <w:rPr>
          <w:rFonts w:ascii="Tahoma" w:eastAsia="Tahoma" w:hAnsi="Tahoma" w:cs="Tahoma"/>
        </w:rPr>
        <w:t>4</w:t>
      </w:r>
      <w:r w:rsidRPr="3A1426D0">
        <w:rPr>
          <w:rFonts w:ascii="Tahoma" w:eastAsia="Tahoma" w:hAnsi="Tahoma" w:cs="Tahoma"/>
        </w:rPr>
        <w:t>. The addendum includes the following revisions to the Solicitation Manual</w:t>
      </w:r>
      <w:r w:rsidR="055B2C1A" w:rsidRPr="3A1426D0">
        <w:rPr>
          <w:rFonts w:ascii="Tahoma" w:eastAsia="Tahoma" w:hAnsi="Tahoma" w:cs="Tahoma"/>
        </w:rPr>
        <w:t xml:space="preserve"> and Scope of Work Template (Attachment 1)</w:t>
      </w:r>
      <w:r w:rsidRPr="3A1426D0">
        <w:rPr>
          <w:rFonts w:ascii="Tahoma" w:eastAsia="Tahoma" w:hAnsi="Tahoma" w:cs="Tahoma"/>
        </w:rPr>
        <w:t xml:space="preserve">. Added language appears in </w:t>
      </w:r>
      <w:r w:rsidRPr="3A1426D0">
        <w:rPr>
          <w:rFonts w:ascii="Tahoma" w:eastAsia="Tahoma" w:hAnsi="Tahoma" w:cs="Tahoma"/>
          <w:b/>
          <w:bCs/>
          <w:u w:val="single"/>
        </w:rPr>
        <w:t>bold underline</w:t>
      </w:r>
      <w:r w:rsidRPr="3A1426D0">
        <w:rPr>
          <w:rFonts w:ascii="Tahoma" w:eastAsia="Tahoma" w:hAnsi="Tahoma" w:cs="Tahoma"/>
        </w:rPr>
        <w:t>, and deleted language appears in [</w:t>
      </w:r>
      <w:r w:rsidRPr="3A1426D0">
        <w:rPr>
          <w:rFonts w:ascii="Tahoma" w:eastAsia="Tahoma" w:hAnsi="Tahoma" w:cs="Tahoma"/>
          <w:strike/>
        </w:rPr>
        <w:t>strikethrough</w:t>
      </w:r>
      <w:r w:rsidRPr="3A1426D0">
        <w:rPr>
          <w:rFonts w:ascii="Tahoma" w:eastAsia="Tahoma" w:hAnsi="Tahoma" w:cs="Tahoma"/>
        </w:rPr>
        <w:t>] and within square brackets.</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7FF77FD8" w14:textId="0BCB758B" w:rsidR="00B1122A" w:rsidRPr="00DE1276" w:rsidRDefault="00B1122A" w:rsidP="3A1426D0">
      <w:pPr>
        <w:keepNext/>
        <w:keepLines/>
        <w:spacing w:after="240"/>
        <w:outlineLvl w:val="1"/>
        <w:rPr>
          <w:rFonts w:ascii="Tahoma" w:eastAsia="Tahoma" w:hAnsi="Tahoma" w:cs="Tahoma"/>
          <w:b/>
          <w:bCs/>
          <w:i/>
          <w:iCs/>
        </w:rPr>
      </w:pPr>
      <w:r w:rsidRPr="00DE1276">
        <w:rPr>
          <w:rFonts w:ascii="Tahoma" w:eastAsia="Tahoma" w:hAnsi="Tahoma" w:cs="Tahoma"/>
          <w:b/>
          <w:bCs/>
          <w:i/>
          <w:iCs/>
        </w:rPr>
        <w:t xml:space="preserve">Solicitation Manual </w:t>
      </w:r>
    </w:p>
    <w:p w14:paraId="36583F8B" w14:textId="4A457BD3" w:rsidR="63B7266F" w:rsidRDefault="63B7266F" w:rsidP="2ACAA0A7">
      <w:pPr>
        <w:pStyle w:val="ListParagraph"/>
        <w:keepNext/>
        <w:keepLines/>
        <w:numPr>
          <w:ilvl w:val="0"/>
          <w:numId w:val="6"/>
        </w:numPr>
        <w:spacing w:before="40" w:after="0"/>
        <w:outlineLvl w:val="2"/>
        <w:rPr>
          <w:rFonts w:eastAsia="Tahoma" w:cs="Tahoma"/>
          <w:b/>
          <w:bCs/>
        </w:rPr>
      </w:pPr>
      <w:r w:rsidRPr="2ACAA0A7">
        <w:rPr>
          <w:rFonts w:eastAsia="Tahoma" w:cs="Tahoma"/>
          <w:b/>
          <w:bCs/>
        </w:rPr>
        <w:t>Page 3, Section D. Key Activities and Dates</w:t>
      </w:r>
    </w:p>
    <w:p w14:paraId="493E424F" w14:textId="21613991" w:rsidR="2ACAA0A7" w:rsidRDefault="2ACAA0A7" w:rsidP="2ACAA0A7">
      <w:pPr>
        <w:keepNext/>
        <w:keepLines/>
        <w:outlineLvl w:val="2"/>
        <w:rPr>
          <w:rFonts w:ascii="Tahoma" w:eastAsia="Times New Roman" w:hAnsi="Tahoma" w:cs="Arial"/>
          <w:b/>
          <w:bCs/>
        </w:rPr>
      </w:pPr>
    </w:p>
    <w:tbl>
      <w:tblPr>
        <w:tblW w:w="0" w:type="auto"/>
        <w:tblInd w:w="105" w:type="dxa"/>
        <w:tblLayout w:type="fixed"/>
        <w:tblLook w:val="06A0" w:firstRow="1" w:lastRow="0" w:firstColumn="1" w:lastColumn="0" w:noHBand="1" w:noVBand="1"/>
      </w:tblPr>
      <w:tblGrid>
        <w:gridCol w:w="5825"/>
        <w:gridCol w:w="3175"/>
      </w:tblGrid>
      <w:tr w:rsidR="2ACAA0A7" w14:paraId="533C3C5C" w14:textId="77777777" w:rsidTr="44BD3DE1">
        <w:trPr>
          <w:trHeight w:val="435"/>
        </w:trPr>
        <w:tc>
          <w:tcPr>
            <w:tcW w:w="5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DC7852" w14:textId="657DC467" w:rsidR="2ACAA0A7" w:rsidRDefault="2ACAA0A7" w:rsidP="2ACAA0A7">
            <w:pPr>
              <w:rPr>
                <w:rFonts w:ascii="Tahoma" w:eastAsia="Tahoma" w:hAnsi="Tahoma" w:cs="Tahoma"/>
              </w:rPr>
            </w:pPr>
            <w:r w:rsidRPr="2ACAA0A7">
              <w:rPr>
                <w:rFonts w:ascii="Tahoma" w:eastAsia="Tahoma" w:hAnsi="Tahoma" w:cs="Tahoma"/>
              </w:rPr>
              <w:t>Support for Application Submission in ECAMS until 5:00 p.m.</w:t>
            </w:r>
          </w:p>
        </w:tc>
        <w:tc>
          <w:tcPr>
            <w:tcW w:w="3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BD00DB" w14:textId="157E3A56" w:rsidR="2ACAA0A7" w:rsidRDefault="2ACAA0A7" w:rsidP="2ACAA0A7">
            <w:pPr>
              <w:spacing w:line="257" w:lineRule="auto"/>
              <w:rPr>
                <w:rFonts w:ascii="Tahoma" w:eastAsia="Tahoma" w:hAnsi="Tahoma" w:cs="Tahoma"/>
              </w:rPr>
            </w:pPr>
            <w:r w:rsidRPr="44BD3DE1">
              <w:rPr>
                <w:rFonts w:ascii="Tahoma" w:eastAsia="Tahoma" w:hAnsi="Tahoma" w:cs="Tahoma"/>
              </w:rPr>
              <w:t>Ongoing until August</w:t>
            </w:r>
            <w:r w:rsidR="790243A5" w:rsidRPr="44BD3DE1">
              <w:rPr>
                <w:rFonts w:ascii="Tahoma" w:eastAsia="Tahoma" w:hAnsi="Tahoma" w:cs="Tahoma"/>
              </w:rPr>
              <w:t xml:space="preserve"> [</w:t>
            </w:r>
            <w:r w:rsidR="790243A5" w:rsidRPr="44BD3DE1">
              <w:rPr>
                <w:rFonts w:ascii="Tahoma" w:eastAsia="Tahoma" w:hAnsi="Tahoma" w:cs="Tahoma"/>
                <w:strike/>
              </w:rPr>
              <w:t>2</w:t>
            </w:r>
            <w:r w:rsidR="790243A5" w:rsidRPr="44BD3DE1">
              <w:rPr>
                <w:rFonts w:ascii="Tahoma" w:eastAsia="Tahoma" w:hAnsi="Tahoma" w:cs="Tahoma"/>
              </w:rPr>
              <w:t>]</w:t>
            </w:r>
            <w:r w:rsidRPr="44BD3DE1">
              <w:rPr>
                <w:rFonts w:ascii="Tahoma" w:eastAsia="Tahoma" w:hAnsi="Tahoma" w:cs="Tahoma"/>
              </w:rPr>
              <w:t xml:space="preserve"> </w:t>
            </w:r>
            <w:r w:rsidR="156FE240" w:rsidRPr="005E73CF">
              <w:rPr>
                <w:rFonts w:ascii="Tahoma" w:eastAsia="Tahoma" w:hAnsi="Tahoma" w:cs="Tahoma"/>
                <w:b/>
                <w:bCs/>
                <w:u w:val="single"/>
              </w:rPr>
              <w:t>16</w:t>
            </w:r>
            <w:r w:rsidRPr="44BD3DE1">
              <w:rPr>
                <w:rFonts w:ascii="Tahoma" w:eastAsia="Tahoma" w:hAnsi="Tahoma" w:cs="Tahoma"/>
              </w:rPr>
              <w:t>, 2023</w:t>
            </w:r>
          </w:p>
        </w:tc>
      </w:tr>
      <w:tr w:rsidR="2ACAA0A7" w14:paraId="061C182C" w14:textId="77777777" w:rsidTr="44BD3DE1">
        <w:trPr>
          <w:trHeight w:val="435"/>
        </w:trPr>
        <w:tc>
          <w:tcPr>
            <w:tcW w:w="5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BCD337" w14:textId="1A6F6941" w:rsidR="2ACAA0A7" w:rsidRDefault="2ACAA0A7" w:rsidP="2ACAA0A7">
            <w:pPr>
              <w:rPr>
                <w:rFonts w:ascii="Tahoma" w:eastAsia="Tahoma" w:hAnsi="Tahoma" w:cs="Tahoma"/>
                <w:b/>
                <w:bCs/>
              </w:rPr>
            </w:pPr>
            <w:r w:rsidRPr="2ACAA0A7">
              <w:rPr>
                <w:rFonts w:ascii="Tahoma" w:eastAsia="Tahoma" w:hAnsi="Tahoma" w:cs="Tahoma"/>
                <w:b/>
                <w:bCs/>
              </w:rPr>
              <w:t>Deadline to Submit Applications by 11:59 p.m.*</w:t>
            </w:r>
          </w:p>
        </w:tc>
        <w:tc>
          <w:tcPr>
            <w:tcW w:w="3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D57B17" w14:textId="565A26E8" w:rsidR="2ACAA0A7" w:rsidRDefault="2ACAA0A7" w:rsidP="2ACAA0A7">
            <w:pPr>
              <w:spacing w:line="257" w:lineRule="auto"/>
              <w:rPr>
                <w:rFonts w:ascii="Tahoma" w:eastAsia="Tahoma" w:hAnsi="Tahoma" w:cs="Tahoma"/>
                <w:b/>
                <w:bCs/>
              </w:rPr>
            </w:pPr>
            <w:r w:rsidRPr="44BD3DE1">
              <w:rPr>
                <w:rFonts w:ascii="Tahoma" w:eastAsia="Tahoma" w:hAnsi="Tahoma" w:cs="Tahoma"/>
                <w:b/>
                <w:bCs/>
              </w:rPr>
              <w:t>August</w:t>
            </w:r>
            <w:r w:rsidR="720D86AB" w:rsidRPr="44BD3DE1">
              <w:rPr>
                <w:rFonts w:ascii="Tahoma" w:eastAsia="Tahoma" w:hAnsi="Tahoma" w:cs="Tahoma"/>
                <w:b/>
                <w:bCs/>
              </w:rPr>
              <w:t xml:space="preserve"> [</w:t>
            </w:r>
            <w:r w:rsidR="720D86AB" w:rsidRPr="44BD3DE1">
              <w:rPr>
                <w:rFonts w:ascii="Tahoma" w:eastAsia="Tahoma" w:hAnsi="Tahoma" w:cs="Tahoma"/>
                <w:b/>
                <w:bCs/>
                <w:strike/>
              </w:rPr>
              <w:t>2</w:t>
            </w:r>
            <w:r w:rsidR="720D86AB" w:rsidRPr="44BD3DE1">
              <w:rPr>
                <w:rFonts w:ascii="Tahoma" w:eastAsia="Tahoma" w:hAnsi="Tahoma" w:cs="Tahoma"/>
                <w:b/>
                <w:bCs/>
              </w:rPr>
              <w:t>]</w:t>
            </w:r>
            <w:r w:rsidRPr="44BD3DE1">
              <w:rPr>
                <w:rFonts w:ascii="Tahoma" w:eastAsia="Tahoma" w:hAnsi="Tahoma" w:cs="Tahoma"/>
                <w:b/>
                <w:bCs/>
              </w:rPr>
              <w:t xml:space="preserve"> </w:t>
            </w:r>
            <w:r w:rsidR="476102B9" w:rsidRPr="005E73CF">
              <w:rPr>
                <w:rFonts w:ascii="Tahoma" w:eastAsia="Tahoma" w:hAnsi="Tahoma" w:cs="Tahoma"/>
                <w:b/>
                <w:bCs/>
                <w:u w:val="single"/>
              </w:rPr>
              <w:t>16</w:t>
            </w:r>
            <w:r w:rsidRPr="44BD3DE1">
              <w:rPr>
                <w:rFonts w:ascii="Tahoma" w:eastAsia="Tahoma" w:hAnsi="Tahoma" w:cs="Tahoma"/>
                <w:b/>
                <w:bCs/>
              </w:rPr>
              <w:t>, 2023</w:t>
            </w:r>
          </w:p>
        </w:tc>
      </w:tr>
    </w:tbl>
    <w:p w14:paraId="1B312DEE" w14:textId="20D14DE5" w:rsidR="2ACAA0A7" w:rsidRDefault="2ACAA0A7" w:rsidP="2ACAA0A7">
      <w:pPr>
        <w:keepNext/>
        <w:keepLines/>
        <w:spacing w:before="40"/>
        <w:outlineLvl w:val="2"/>
        <w:rPr>
          <w:rFonts w:ascii="Tahoma" w:eastAsia="Times New Roman" w:hAnsi="Tahoma" w:cs="Arial"/>
          <w:b/>
          <w:bCs/>
        </w:rPr>
      </w:pPr>
    </w:p>
    <w:p w14:paraId="05E67286" w14:textId="1C7D2AAF" w:rsidR="7439253F" w:rsidRDefault="7439253F" w:rsidP="1B182E41">
      <w:pPr>
        <w:pStyle w:val="ListParagraph"/>
        <w:keepNext/>
        <w:keepLines/>
        <w:numPr>
          <w:ilvl w:val="0"/>
          <w:numId w:val="6"/>
        </w:numPr>
        <w:spacing w:before="40"/>
        <w:outlineLvl w:val="2"/>
        <w:rPr>
          <w:rFonts w:eastAsia="Tahoma" w:cs="Tahoma"/>
          <w:b/>
          <w:bCs/>
          <w:szCs w:val="24"/>
        </w:rPr>
      </w:pPr>
      <w:r w:rsidRPr="2ACAA0A7">
        <w:rPr>
          <w:rFonts w:eastAsia="Tahoma" w:cs="Tahoma"/>
          <w:b/>
        </w:rPr>
        <w:t>Page 4, Section I.G. Minimum and Maximum Award Amounts</w:t>
      </w:r>
    </w:p>
    <w:p w14:paraId="7412221F" w14:textId="070BBE04" w:rsidR="477ACF8A" w:rsidRDefault="477ACF8A" w:rsidP="68398FAC">
      <w:pPr>
        <w:ind w:firstLine="720"/>
        <w:rPr>
          <w:rFonts w:ascii="Tahoma" w:eastAsia="Tahoma" w:hAnsi="Tahoma" w:cs="Tahoma"/>
        </w:rPr>
      </w:pPr>
      <w:r w:rsidRPr="68398FAC">
        <w:rPr>
          <w:rFonts w:ascii="Tahoma" w:eastAsia="Tahoma" w:hAnsi="Tahoma" w:cs="Tahoma"/>
        </w:rPr>
        <w:t>Funding eligibility will be as follows:</w:t>
      </w:r>
    </w:p>
    <w:p w14:paraId="55CA8323" w14:textId="632D7628" w:rsidR="477ACF8A" w:rsidRDefault="477ACF8A" w:rsidP="68398FAC">
      <w:pPr>
        <w:pStyle w:val="ListParagraph"/>
        <w:numPr>
          <w:ilvl w:val="0"/>
          <w:numId w:val="16"/>
        </w:numPr>
        <w:rPr>
          <w:rFonts w:eastAsia="Tahoma" w:cs="Tahoma"/>
          <w:szCs w:val="24"/>
        </w:rPr>
      </w:pPr>
      <w:r w:rsidRPr="68398FAC">
        <w:rPr>
          <w:rFonts w:eastAsia="Tahoma" w:cs="Tahoma"/>
          <w:szCs w:val="24"/>
        </w:rPr>
        <w:t xml:space="preserve">All projects are eligible for up to 100 percent of the total project costs or up to $5,000,000, whichever is less. See section II.C-D for details on match share requirements. </w:t>
      </w:r>
      <w:r w:rsidRPr="68398FAC">
        <w:rPr>
          <w:rFonts w:eastAsia="Tahoma" w:cs="Tahoma"/>
          <w:b/>
          <w:bCs/>
          <w:szCs w:val="24"/>
          <w:u w:val="single"/>
        </w:rPr>
        <w:t xml:space="preserve">In no case may the total grant funds and </w:t>
      </w:r>
      <w:r w:rsidR="00585A30">
        <w:rPr>
          <w:rFonts w:eastAsia="Tahoma" w:cs="Tahoma"/>
          <w:b/>
          <w:bCs/>
          <w:szCs w:val="24"/>
          <w:u w:val="single"/>
        </w:rPr>
        <w:t>any applicable</w:t>
      </w:r>
      <w:r w:rsidRPr="68398FAC">
        <w:rPr>
          <w:rFonts w:eastAsia="Tahoma" w:cs="Tahoma"/>
          <w:b/>
          <w:bCs/>
          <w:szCs w:val="24"/>
          <w:u w:val="single"/>
        </w:rPr>
        <w:t xml:space="preserve"> incentives exceed the total project cost</w:t>
      </w:r>
      <w:r w:rsidRPr="008B35D7">
        <w:rPr>
          <w:rFonts w:eastAsia="Tahoma" w:cs="Tahoma"/>
          <w:szCs w:val="24"/>
          <w:u w:val="single"/>
        </w:rPr>
        <w:t>.</w:t>
      </w:r>
    </w:p>
    <w:p w14:paraId="373E6AF9" w14:textId="6F6A9603" w:rsidR="7439253F" w:rsidRDefault="7439253F" w:rsidP="1B182E41">
      <w:pPr>
        <w:pStyle w:val="ListParagraph"/>
        <w:keepNext/>
        <w:keepLines/>
        <w:numPr>
          <w:ilvl w:val="1"/>
          <w:numId w:val="6"/>
        </w:numPr>
        <w:spacing w:before="40"/>
        <w:outlineLvl w:val="2"/>
      </w:pPr>
      <w:r w:rsidRPr="2ACAA0A7">
        <w:rPr>
          <w:rFonts w:eastAsia="Tahoma" w:cs="Tahoma"/>
        </w:rPr>
        <w:t>There will be no minimum project award. However, projects are expected to meet the minimum [</w:t>
      </w:r>
      <w:r w:rsidRPr="2ACAA0A7">
        <w:rPr>
          <w:rFonts w:eastAsia="Tahoma" w:cs="Tahoma"/>
          <w:strike/>
        </w:rPr>
        <w:t>charger</w:t>
      </w:r>
      <w:r w:rsidRPr="2ACAA0A7">
        <w:rPr>
          <w:rFonts w:eastAsia="Tahoma" w:cs="Tahoma"/>
        </w:rPr>
        <w:t xml:space="preserve">] </w:t>
      </w:r>
      <w:r w:rsidRPr="2ACAA0A7">
        <w:rPr>
          <w:rFonts w:eastAsia="Tahoma" w:cs="Tahoma"/>
          <w:b/>
          <w:u w:val="single"/>
        </w:rPr>
        <w:t>charging port</w:t>
      </w:r>
      <w:r w:rsidRPr="2ACAA0A7">
        <w:rPr>
          <w:rFonts w:eastAsia="Tahoma" w:cs="Tahoma"/>
          <w:b/>
        </w:rPr>
        <w:t xml:space="preserve"> </w:t>
      </w:r>
      <w:r w:rsidRPr="2ACAA0A7">
        <w:rPr>
          <w:rFonts w:eastAsia="Tahoma" w:cs="Tahoma"/>
        </w:rPr>
        <w:t>count of 100 and serve at least 100 MFH units.</w:t>
      </w:r>
    </w:p>
    <w:p w14:paraId="49ABCBD8" w14:textId="73A0D817" w:rsidR="7D1C5A30" w:rsidRDefault="7D1C5A30" w:rsidP="3A1426D0">
      <w:pPr>
        <w:pStyle w:val="ListParagraph"/>
        <w:keepNext/>
        <w:keepLines/>
        <w:numPr>
          <w:ilvl w:val="0"/>
          <w:numId w:val="6"/>
        </w:numPr>
        <w:spacing w:before="40"/>
        <w:outlineLvl w:val="2"/>
        <w:rPr>
          <w:rFonts w:eastAsia="Tahoma" w:cs="Tahoma"/>
          <w:b/>
          <w:bCs/>
          <w:szCs w:val="24"/>
        </w:rPr>
      </w:pPr>
      <w:r w:rsidRPr="2ACAA0A7">
        <w:rPr>
          <w:rFonts w:eastAsia="Tahoma" w:cs="Tahoma"/>
          <w:b/>
        </w:rPr>
        <w:t>Page 8, Section II.A.1. Eligibility</w:t>
      </w:r>
    </w:p>
    <w:p w14:paraId="6233419E" w14:textId="1FCC413C" w:rsidR="3A1426D0" w:rsidRPr="00FF4A14" w:rsidRDefault="7D1C5A30" w:rsidP="00FF4A14">
      <w:pPr>
        <w:pStyle w:val="ListParagraph"/>
        <w:numPr>
          <w:ilvl w:val="1"/>
          <w:numId w:val="6"/>
        </w:numPr>
        <w:spacing w:line="259" w:lineRule="auto"/>
        <w:rPr>
          <w:rFonts w:eastAsia="Tahoma" w:cs="Tahoma"/>
          <w:szCs w:val="24"/>
          <w:u w:val="single"/>
        </w:rPr>
      </w:pPr>
      <w:r w:rsidRPr="2ACAA0A7">
        <w:rPr>
          <w:rFonts w:eastAsia="Tahoma" w:cs="Tahoma"/>
          <w:b/>
          <w:u w:val="single"/>
        </w:rPr>
        <w:t xml:space="preserve">The </w:t>
      </w:r>
      <w:r w:rsidR="00F622F2">
        <w:rPr>
          <w:rFonts w:eastAsia="Tahoma" w:cs="Tahoma"/>
          <w:b/>
          <w:u w:val="single"/>
        </w:rPr>
        <w:t>entity</w:t>
      </w:r>
      <w:r w:rsidR="00F622F2" w:rsidRPr="2ACAA0A7">
        <w:rPr>
          <w:rFonts w:eastAsia="Tahoma" w:cs="Tahoma"/>
          <w:b/>
          <w:u w:val="single"/>
        </w:rPr>
        <w:t xml:space="preserve"> applying</w:t>
      </w:r>
      <w:r w:rsidRPr="2ACAA0A7">
        <w:rPr>
          <w:rFonts w:eastAsia="Tahoma" w:cs="Tahoma"/>
          <w:b/>
          <w:u w:val="single"/>
        </w:rPr>
        <w:t xml:space="preserve"> to the Solicitation (the Applicant) will become the Recipient, if awarded.</w:t>
      </w:r>
    </w:p>
    <w:p w14:paraId="22B700E8" w14:textId="401DA453" w:rsidR="7D1C5A30" w:rsidRDefault="7D1C5A30" w:rsidP="3A1426D0">
      <w:pPr>
        <w:pStyle w:val="ListParagraph"/>
        <w:keepNext/>
        <w:keepLines/>
        <w:numPr>
          <w:ilvl w:val="0"/>
          <w:numId w:val="6"/>
        </w:numPr>
        <w:spacing w:before="40"/>
        <w:outlineLvl w:val="2"/>
        <w:rPr>
          <w:rFonts w:eastAsia="Tahoma" w:cs="Tahoma"/>
          <w:b/>
          <w:bCs/>
          <w:szCs w:val="24"/>
        </w:rPr>
      </w:pPr>
      <w:r w:rsidRPr="2ACAA0A7">
        <w:rPr>
          <w:rFonts w:eastAsia="Tahoma" w:cs="Tahoma"/>
          <w:b/>
        </w:rPr>
        <w:lastRenderedPageBreak/>
        <w:t>Page 10, Section II.B.1. Eligible Projects</w:t>
      </w:r>
    </w:p>
    <w:p w14:paraId="41DA5259" w14:textId="3846505B" w:rsidR="7D1C5A30" w:rsidRDefault="7D1C5A30" w:rsidP="1B182E41">
      <w:pPr>
        <w:pStyle w:val="ListParagraph"/>
        <w:numPr>
          <w:ilvl w:val="1"/>
          <w:numId w:val="6"/>
        </w:numPr>
        <w:rPr>
          <w:rFonts w:eastAsia="Tahoma" w:cs="Tahoma"/>
          <w:b/>
          <w:bCs/>
          <w:szCs w:val="24"/>
          <w:u w:val="single"/>
        </w:rPr>
      </w:pPr>
      <w:r w:rsidRPr="2ACAA0A7">
        <w:rPr>
          <w:rFonts w:eastAsia="Tahoma" w:cs="Tahoma"/>
          <w:b/>
          <w:u w:val="single"/>
        </w:rPr>
        <w:t>A project that receives incentive funding from another CEC grant funding opportunity (GFO) or block grant incentive project is not eligible for this GFO.</w:t>
      </w:r>
    </w:p>
    <w:p w14:paraId="446AE084" w14:textId="5C7EF5F9" w:rsidR="3B731FF2" w:rsidRDefault="3B731FF2" w:rsidP="1B182E41">
      <w:pPr>
        <w:pStyle w:val="ListParagraph"/>
        <w:numPr>
          <w:ilvl w:val="0"/>
          <w:numId w:val="6"/>
        </w:numPr>
        <w:rPr>
          <w:rFonts w:eastAsia="Tahoma" w:cs="Tahoma"/>
          <w:b/>
          <w:bCs/>
          <w:szCs w:val="24"/>
          <w:u w:val="single"/>
        </w:rPr>
      </w:pPr>
      <w:r w:rsidRPr="2ACAA0A7">
        <w:rPr>
          <w:rFonts w:eastAsia="Tahoma" w:cs="Tahoma"/>
          <w:b/>
        </w:rPr>
        <w:t>Page 11, Section II.B.1. Eligible Projects</w:t>
      </w:r>
    </w:p>
    <w:p w14:paraId="10B98229" w14:textId="5ADA4AE5" w:rsidR="00F80D3B" w:rsidRPr="00F80D3B" w:rsidRDefault="00F80D3B" w:rsidP="68398FAC">
      <w:pPr>
        <w:pStyle w:val="ListParagraph"/>
        <w:numPr>
          <w:ilvl w:val="1"/>
          <w:numId w:val="6"/>
        </w:numPr>
        <w:rPr>
          <w:b/>
          <w:bCs/>
          <w:u w:val="single"/>
        </w:rPr>
      </w:pPr>
      <w:r w:rsidRPr="2ACAA0A7">
        <w:rPr>
          <w:rFonts w:eastAsia="Tahoma" w:cs="Tahoma"/>
        </w:rPr>
        <w:t>Level 1 Chargers: Projects [</w:t>
      </w:r>
      <w:r w:rsidRPr="2ACAA0A7">
        <w:rPr>
          <w:rFonts w:eastAsia="Tahoma" w:cs="Tahoma"/>
          <w:strike/>
        </w:rPr>
        <w:t>should</w:t>
      </w:r>
      <w:r w:rsidRPr="2ACAA0A7">
        <w:rPr>
          <w:rFonts w:eastAsia="Tahoma" w:cs="Tahoma"/>
        </w:rPr>
        <w:t xml:space="preserve">] </w:t>
      </w:r>
      <w:r w:rsidRPr="2ACAA0A7">
        <w:rPr>
          <w:rFonts w:eastAsia="Tahoma" w:cs="Tahoma"/>
          <w:b/>
          <w:bCs/>
          <w:u w:val="single"/>
        </w:rPr>
        <w:t>may</w:t>
      </w:r>
      <w:r w:rsidRPr="2ACAA0A7">
        <w:rPr>
          <w:rFonts w:eastAsia="Tahoma" w:cs="Tahoma"/>
        </w:rPr>
        <w:t xml:space="preserve"> average no more than $6,250 in CEC funds per Level 1 charging </w:t>
      </w:r>
      <w:r w:rsidR="00241792" w:rsidRPr="2ACAA0A7">
        <w:rPr>
          <w:rFonts w:eastAsia="Tahoma" w:cs="Tahoma"/>
        </w:rPr>
        <w:t>[</w:t>
      </w:r>
      <w:r w:rsidRPr="2ACAA0A7">
        <w:rPr>
          <w:rFonts w:eastAsia="Tahoma" w:cs="Tahoma"/>
          <w:strike/>
        </w:rPr>
        <w:t>station</w:t>
      </w:r>
      <w:r w:rsidR="00241792" w:rsidRPr="2ACAA0A7">
        <w:rPr>
          <w:rFonts w:eastAsia="Tahoma" w:cs="Tahoma"/>
        </w:rPr>
        <w:t>]</w:t>
      </w:r>
      <w:r w:rsidRPr="2ACAA0A7">
        <w:rPr>
          <w:rFonts w:eastAsia="Tahoma" w:cs="Tahoma"/>
        </w:rPr>
        <w:t xml:space="preserve"> </w:t>
      </w:r>
      <w:r w:rsidR="00241792" w:rsidRPr="2ACAA0A7">
        <w:rPr>
          <w:rFonts w:eastAsia="Tahoma" w:cs="Tahoma"/>
          <w:b/>
          <w:bCs/>
          <w:u w:val="single"/>
        </w:rPr>
        <w:t>port</w:t>
      </w:r>
      <w:r w:rsidR="00241792" w:rsidRPr="2ACAA0A7">
        <w:rPr>
          <w:rFonts w:eastAsia="Tahoma" w:cs="Tahoma"/>
        </w:rPr>
        <w:t xml:space="preserve"> </w:t>
      </w:r>
      <w:r w:rsidRPr="2ACAA0A7">
        <w:rPr>
          <w:rFonts w:eastAsia="Tahoma" w:cs="Tahoma"/>
        </w:rPr>
        <w:t>installed. This cost cap includes all CEC funded costs associated with installing a charging station.</w:t>
      </w:r>
    </w:p>
    <w:p w14:paraId="1FB7579E" w14:textId="2524299A" w:rsidR="13AF8D4C" w:rsidRDefault="13AF8D4C" w:rsidP="68398FAC">
      <w:pPr>
        <w:pStyle w:val="ListParagraph"/>
        <w:numPr>
          <w:ilvl w:val="1"/>
          <w:numId w:val="6"/>
        </w:numPr>
        <w:rPr>
          <w:b/>
          <w:bCs/>
          <w:u w:val="single"/>
        </w:rPr>
      </w:pPr>
      <w:r w:rsidRPr="2ACAA0A7">
        <w:rPr>
          <w:rFonts w:eastAsia="Tahoma" w:cs="Tahoma"/>
        </w:rPr>
        <w:t xml:space="preserve">Level 2 Chargers: Projects </w:t>
      </w:r>
      <w:r w:rsidR="00F80D3B" w:rsidRPr="2ACAA0A7">
        <w:rPr>
          <w:rFonts w:eastAsia="Tahoma" w:cs="Tahoma"/>
        </w:rPr>
        <w:t>[</w:t>
      </w:r>
      <w:r w:rsidRPr="2ACAA0A7">
        <w:rPr>
          <w:rFonts w:eastAsia="Tahoma" w:cs="Tahoma"/>
          <w:strike/>
        </w:rPr>
        <w:t>should</w:t>
      </w:r>
      <w:r w:rsidR="00F80D3B" w:rsidRPr="2ACAA0A7">
        <w:rPr>
          <w:rFonts w:eastAsia="Tahoma" w:cs="Tahoma"/>
        </w:rPr>
        <w:t>]</w:t>
      </w:r>
      <w:r w:rsidRPr="2ACAA0A7">
        <w:rPr>
          <w:rFonts w:eastAsia="Tahoma" w:cs="Tahoma"/>
        </w:rPr>
        <w:t xml:space="preserve"> </w:t>
      </w:r>
      <w:r w:rsidR="00F80D3B" w:rsidRPr="2ACAA0A7">
        <w:rPr>
          <w:rFonts w:eastAsia="Tahoma" w:cs="Tahoma"/>
          <w:b/>
          <w:bCs/>
          <w:u w:val="single"/>
        </w:rPr>
        <w:t>may</w:t>
      </w:r>
      <w:r w:rsidR="00F80D3B" w:rsidRPr="2ACAA0A7">
        <w:rPr>
          <w:rFonts w:eastAsia="Tahoma" w:cs="Tahoma"/>
        </w:rPr>
        <w:t xml:space="preserve"> </w:t>
      </w:r>
      <w:r w:rsidRPr="2ACAA0A7">
        <w:rPr>
          <w:rFonts w:eastAsia="Tahoma" w:cs="Tahoma"/>
        </w:rPr>
        <w:t>average no more than [</w:t>
      </w:r>
      <w:r w:rsidRPr="2ACAA0A7">
        <w:rPr>
          <w:rFonts w:eastAsia="Tahoma" w:cs="Tahoma"/>
          <w:strike/>
        </w:rPr>
        <w:t>$25,000</w:t>
      </w:r>
      <w:r w:rsidRPr="2ACAA0A7">
        <w:rPr>
          <w:rFonts w:eastAsia="Tahoma" w:cs="Tahoma"/>
        </w:rPr>
        <w:t xml:space="preserve">] </w:t>
      </w:r>
      <w:r w:rsidRPr="2ACAA0A7">
        <w:rPr>
          <w:rFonts w:eastAsia="Tahoma" w:cs="Tahoma"/>
          <w:b/>
          <w:bCs/>
          <w:u w:val="single"/>
        </w:rPr>
        <w:t>$12,500</w:t>
      </w:r>
      <w:r w:rsidRPr="2ACAA0A7">
        <w:rPr>
          <w:rFonts w:eastAsia="Tahoma" w:cs="Tahoma"/>
        </w:rPr>
        <w:t xml:space="preserve"> in CEC funds per </w:t>
      </w:r>
      <w:r w:rsidRPr="2ACAA0A7">
        <w:rPr>
          <w:rFonts w:eastAsia="Tahoma" w:cs="Tahoma"/>
          <w:b/>
          <w:bCs/>
          <w:u w:val="single"/>
        </w:rPr>
        <w:t>charging port</w:t>
      </w:r>
      <w:r w:rsidRPr="00F02416">
        <w:rPr>
          <w:rFonts w:eastAsia="Tahoma" w:cs="Tahoma"/>
          <w:b/>
          <w:bCs/>
        </w:rPr>
        <w:t xml:space="preserve"> </w:t>
      </w:r>
      <w:r w:rsidRPr="2ACAA0A7">
        <w:rPr>
          <w:rFonts w:eastAsia="Tahoma" w:cs="Tahoma"/>
        </w:rPr>
        <w:t>[</w:t>
      </w:r>
      <w:r w:rsidRPr="2ACAA0A7">
        <w:rPr>
          <w:rFonts w:eastAsia="Tahoma" w:cs="Tahoma"/>
          <w:strike/>
        </w:rPr>
        <w:t>Level 2 charging station</w:t>
      </w:r>
      <w:r w:rsidRPr="2ACAA0A7">
        <w:rPr>
          <w:rFonts w:eastAsia="Tahoma" w:cs="Tahoma"/>
        </w:rPr>
        <w:t>] installed. This cost cap includes all CEC funded costs associated with installing a charging station.</w:t>
      </w:r>
    </w:p>
    <w:p w14:paraId="288BC7DB" w14:textId="5EAC61D8" w:rsidR="3B731FF2" w:rsidRDefault="3B731FF2" w:rsidP="1B182E41">
      <w:pPr>
        <w:pStyle w:val="ListParagraph"/>
        <w:numPr>
          <w:ilvl w:val="0"/>
          <w:numId w:val="6"/>
        </w:numPr>
        <w:rPr>
          <w:b/>
        </w:rPr>
      </w:pPr>
      <w:r w:rsidRPr="2ACAA0A7">
        <w:rPr>
          <w:rFonts w:eastAsia="Tahoma" w:cs="Tahoma"/>
          <w:b/>
        </w:rPr>
        <w:t>Page 12, Section II.B.2. Project Size</w:t>
      </w:r>
    </w:p>
    <w:p w14:paraId="066F6365" w14:textId="59126AD4" w:rsidR="3B731FF2" w:rsidRDefault="3B731FF2" w:rsidP="1B182E41">
      <w:pPr>
        <w:pStyle w:val="ListParagraph"/>
        <w:numPr>
          <w:ilvl w:val="1"/>
          <w:numId w:val="6"/>
        </w:numPr>
        <w:rPr>
          <w:b/>
          <w:bCs/>
          <w:szCs w:val="24"/>
          <w:u w:val="single"/>
        </w:rPr>
      </w:pPr>
      <w:r w:rsidRPr="2ACAA0A7">
        <w:rPr>
          <w:rFonts w:eastAsia="Tahoma" w:cs="Tahoma"/>
        </w:rPr>
        <w:t>Projects must install a minimum of 100 [</w:t>
      </w:r>
      <w:r w:rsidRPr="2ACAA0A7">
        <w:rPr>
          <w:rFonts w:eastAsia="Tahoma" w:cs="Tahoma"/>
          <w:strike/>
        </w:rPr>
        <w:t>chargers</w:t>
      </w:r>
      <w:r w:rsidRPr="2ACAA0A7">
        <w:rPr>
          <w:rFonts w:eastAsia="Tahoma" w:cs="Tahoma"/>
        </w:rPr>
        <w:t xml:space="preserve">] </w:t>
      </w:r>
      <w:r w:rsidRPr="2ACAA0A7">
        <w:rPr>
          <w:rFonts w:eastAsia="Tahoma" w:cs="Tahoma"/>
          <w:b/>
          <w:u w:val="single"/>
        </w:rPr>
        <w:t>charging ports</w:t>
      </w:r>
      <w:r w:rsidRPr="2ACAA0A7">
        <w:rPr>
          <w:rFonts w:eastAsia="Tahoma" w:cs="Tahoma"/>
        </w:rPr>
        <w:t xml:space="preserve"> (can include L1 or L2 chargers). </w:t>
      </w:r>
    </w:p>
    <w:p w14:paraId="254FD70D" w14:textId="68DEAD68" w:rsidR="3B731FF2" w:rsidRDefault="3B731FF2" w:rsidP="1B182E41">
      <w:pPr>
        <w:pStyle w:val="ListParagraph"/>
        <w:numPr>
          <w:ilvl w:val="1"/>
          <w:numId w:val="6"/>
        </w:numPr>
        <w:rPr>
          <w:rFonts w:eastAsia="Tahoma" w:cs="Tahoma"/>
        </w:rPr>
      </w:pPr>
      <w:r w:rsidRPr="2ACAA0A7">
        <w:rPr>
          <w:rFonts w:eastAsia="Tahoma" w:cs="Tahoma"/>
        </w:rPr>
        <w:t xml:space="preserve">For the purposes of this solicitation, </w:t>
      </w:r>
      <w:r w:rsidR="189B800A" w:rsidRPr="2ACAA0A7">
        <w:rPr>
          <w:rFonts w:eastAsia="Tahoma" w:cs="Tahoma"/>
        </w:rPr>
        <w:t xml:space="preserve">serving a MFH residential unit means that at least one resident in the unit can access and use a charger with regular frequency to meet reasonable travel needs. For the purposes of this solicitation, a </w:t>
      </w:r>
      <w:r w:rsidRPr="2ACAA0A7">
        <w:rPr>
          <w:rFonts w:eastAsia="Tahoma" w:cs="Tahoma"/>
        </w:rPr>
        <w:t xml:space="preserve">public or shared-private Level 2 </w:t>
      </w:r>
      <w:r w:rsidR="002440BB" w:rsidRPr="2ACAA0A7">
        <w:rPr>
          <w:rFonts w:eastAsia="Tahoma" w:cs="Tahoma"/>
        </w:rPr>
        <w:t>[</w:t>
      </w:r>
      <w:r w:rsidR="189B800A" w:rsidRPr="2ACAA0A7">
        <w:rPr>
          <w:rFonts w:eastAsia="Tahoma" w:cs="Tahoma"/>
          <w:strike/>
        </w:rPr>
        <w:t>charger</w:t>
      </w:r>
      <w:r w:rsidR="002440BB" w:rsidRPr="2ACAA0A7">
        <w:rPr>
          <w:rFonts w:eastAsia="Tahoma" w:cs="Tahoma"/>
        </w:rPr>
        <w:t xml:space="preserve">] </w:t>
      </w:r>
      <w:r w:rsidR="002440BB" w:rsidRPr="2ACAA0A7">
        <w:rPr>
          <w:rFonts w:eastAsia="Tahoma" w:cs="Tahoma"/>
          <w:b/>
          <w:bCs/>
          <w:u w:val="single"/>
        </w:rPr>
        <w:t>charging port</w:t>
      </w:r>
      <w:r w:rsidR="189B800A" w:rsidRPr="2ACAA0A7">
        <w:rPr>
          <w:rFonts w:eastAsia="Tahoma" w:cs="Tahoma"/>
        </w:rPr>
        <w:t xml:space="preserve"> </w:t>
      </w:r>
      <w:r w:rsidRPr="2ACAA0A7">
        <w:rPr>
          <w:rFonts w:eastAsia="Tahoma" w:cs="Tahoma"/>
        </w:rPr>
        <w:t>can be assumed to serve up to three MFH residential units</w:t>
      </w:r>
      <w:r w:rsidR="189B800A" w:rsidRPr="2ACAA0A7">
        <w:rPr>
          <w:rFonts w:eastAsia="Tahoma" w:cs="Tahoma"/>
          <w:u w:val="single"/>
        </w:rPr>
        <w:t xml:space="preserve"> </w:t>
      </w:r>
      <w:r w:rsidR="189B800A" w:rsidRPr="2ACAA0A7">
        <w:rPr>
          <w:rFonts w:eastAsia="Tahoma" w:cs="Tahoma"/>
          <w:b/>
          <w:bCs/>
          <w:u w:val="single"/>
        </w:rPr>
        <w:t>in unassigned parking spaces or up to three assigned parking spaces if the equipment, including the cord, can reach and serve those assigned spaces</w:t>
      </w:r>
      <w:r w:rsidR="189B800A" w:rsidRPr="2ACAA0A7">
        <w:rPr>
          <w:rFonts w:eastAsia="Tahoma" w:cs="Tahoma"/>
        </w:rPr>
        <w:t>.</w:t>
      </w:r>
      <w:r w:rsidR="189B800A" w:rsidRPr="2ACAA0A7">
        <w:rPr>
          <w:rFonts w:eastAsia="Tahoma" w:cs="Tahoma"/>
          <w:b/>
          <w:bCs/>
        </w:rPr>
        <w:t xml:space="preserve"> </w:t>
      </w:r>
      <w:r w:rsidRPr="2ACAA0A7">
        <w:rPr>
          <w:rFonts w:eastAsia="Tahoma" w:cs="Tahoma"/>
        </w:rPr>
        <w:t xml:space="preserve"> </w:t>
      </w:r>
    </w:p>
    <w:p w14:paraId="48EA78E4" w14:textId="64D86E37" w:rsidR="3B731FF2" w:rsidRDefault="3B731FF2" w:rsidP="1B182E41">
      <w:pPr>
        <w:pStyle w:val="ListParagraph"/>
        <w:numPr>
          <w:ilvl w:val="0"/>
          <w:numId w:val="6"/>
        </w:numPr>
        <w:rPr>
          <w:b/>
          <w:bCs/>
          <w:szCs w:val="24"/>
        </w:rPr>
      </w:pPr>
      <w:r w:rsidRPr="2ACAA0A7">
        <w:rPr>
          <w:rFonts w:eastAsia="Tahoma" w:cs="Tahoma"/>
          <w:b/>
        </w:rPr>
        <w:t>Page 12, Section II.B.</w:t>
      </w:r>
      <w:r w:rsidR="009A6EF8">
        <w:rPr>
          <w:rFonts w:eastAsia="Tahoma" w:cs="Tahoma"/>
          <w:b/>
          <w:bCs/>
        </w:rPr>
        <w:t>3</w:t>
      </w:r>
      <w:r w:rsidRPr="2ACAA0A7">
        <w:rPr>
          <w:rFonts w:eastAsia="Tahoma" w:cs="Tahoma"/>
          <w:b/>
        </w:rPr>
        <w:t>. Serving Underserved Communities</w:t>
      </w:r>
    </w:p>
    <w:p w14:paraId="00A7B526" w14:textId="0F3E05D1" w:rsidR="3B731FF2" w:rsidRDefault="3B731FF2" w:rsidP="1B182E41">
      <w:pPr>
        <w:pStyle w:val="ListParagraph"/>
        <w:numPr>
          <w:ilvl w:val="1"/>
          <w:numId w:val="6"/>
        </w:numPr>
        <w:rPr>
          <w:b/>
          <w:bCs/>
          <w:szCs w:val="24"/>
        </w:rPr>
      </w:pPr>
      <w:r w:rsidRPr="2ACAA0A7">
        <w:rPr>
          <w:rFonts w:eastAsia="Tahoma" w:cs="Tahoma"/>
        </w:rPr>
        <w:t>A minimum of 50 percent of a project’s EV [</w:t>
      </w:r>
      <w:r w:rsidRPr="2ACAA0A7">
        <w:rPr>
          <w:rFonts w:eastAsia="Tahoma" w:cs="Tahoma"/>
          <w:strike/>
        </w:rPr>
        <w:t>chargers</w:t>
      </w:r>
      <w:r w:rsidRPr="2ACAA0A7">
        <w:rPr>
          <w:rFonts w:eastAsia="Tahoma" w:cs="Tahoma"/>
        </w:rPr>
        <w:t xml:space="preserve">] </w:t>
      </w:r>
      <w:r w:rsidRPr="2ACAA0A7">
        <w:rPr>
          <w:rFonts w:eastAsia="Tahoma" w:cs="Tahoma"/>
          <w:b/>
          <w:u w:val="single"/>
        </w:rPr>
        <w:t>charging ports</w:t>
      </w:r>
      <w:r w:rsidRPr="2ACAA0A7">
        <w:rPr>
          <w:rFonts w:eastAsia="Tahoma" w:cs="Tahoma"/>
        </w:rPr>
        <w:t xml:space="preserve"> must be installed within disadvantaged communities and/or low-income communities.</w:t>
      </w:r>
    </w:p>
    <w:p w14:paraId="53A1FCD9" w14:textId="125EBAEE" w:rsidR="7D1C5A30" w:rsidRDefault="7D1C5A30" w:rsidP="3A1426D0">
      <w:pPr>
        <w:pStyle w:val="ListParagraph"/>
        <w:keepNext/>
        <w:keepLines/>
        <w:numPr>
          <w:ilvl w:val="0"/>
          <w:numId w:val="6"/>
        </w:numPr>
        <w:spacing w:before="40"/>
        <w:outlineLvl w:val="2"/>
        <w:rPr>
          <w:rFonts w:eastAsia="Tahoma" w:cs="Tahoma"/>
          <w:b/>
        </w:rPr>
      </w:pPr>
      <w:r w:rsidRPr="2ACAA0A7">
        <w:rPr>
          <w:rFonts w:eastAsia="Tahoma" w:cs="Tahoma"/>
          <w:b/>
        </w:rPr>
        <w:t>Page 14, Section II.B.5</w:t>
      </w:r>
      <w:r w:rsidRPr="2ACAA0A7">
        <w:rPr>
          <w:rFonts w:eastAsia="Tahoma" w:cs="Tahoma"/>
          <w:b/>
          <w:bCs/>
        </w:rPr>
        <w:t>.</w:t>
      </w:r>
      <w:r w:rsidRPr="2ACAA0A7">
        <w:rPr>
          <w:rFonts w:eastAsia="Tahoma" w:cs="Tahoma"/>
          <w:b/>
        </w:rPr>
        <w:t xml:space="preserve"> Charging Equipment</w:t>
      </w:r>
    </w:p>
    <w:p w14:paraId="73B53C55" w14:textId="4D33720C" w:rsidR="404B0E3E" w:rsidRDefault="404B0E3E" w:rsidP="1B182E41">
      <w:pPr>
        <w:pStyle w:val="ListParagraph"/>
        <w:numPr>
          <w:ilvl w:val="1"/>
          <w:numId w:val="6"/>
        </w:numPr>
        <w:spacing w:line="259" w:lineRule="auto"/>
        <w:rPr>
          <w:b/>
          <w:bCs/>
          <w:u w:val="single"/>
        </w:rPr>
      </w:pPr>
      <w:r w:rsidRPr="1B182E41">
        <w:t xml:space="preserve">Networked EVSE installed prior to </w:t>
      </w:r>
      <w:r w:rsidR="00FA3E72">
        <w:t>[</w:t>
      </w:r>
      <w:r w:rsidRPr="2ACAA0A7">
        <w:rPr>
          <w:strike/>
        </w:rPr>
        <w:t>July 1, 2023</w:t>
      </w:r>
      <w:r w:rsidR="00FA3E72">
        <w:t xml:space="preserve">] </w:t>
      </w:r>
      <w:r w:rsidR="00FA3E72" w:rsidRPr="2ACAA0A7">
        <w:rPr>
          <w:b/>
          <w:bCs/>
          <w:u w:val="single"/>
        </w:rPr>
        <w:t>January 1, 2024</w:t>
      </w:r>
      <w:r w:rsidRPr="1B182E41">
        <w:t xml:space="preserve">, shall support Open Charge Point Protocol (OCPP) 1.6 or newer. EVSE installed after </w:t>
      </w:r>
      <w:r w:rsidR="00FA3E72">
        <w:t>[</w:t>
      </w:r>
      <w:r w:rsidRPr="2ACAA0A7">
        <w:rPr>
          <w:strike/>
        </w:rPr>
        <w:t>July 1, 2023</w:t>
      </w:r>
      <w:r w:rsidR="00FA3E72">
        <w:t xml:space="preserve">] </w:t>
      </w:r>
      <w:r w:rsidR="00FA3E72" w:rsidRPr="2ACAA0A7">
        <w:rPr>
          <w:b/>
          <w:bCs/>
          <w:u w:val="single"/>
        </w:rPr>
        <w:t>January 1, 2024</w:t>
      </w:r>
      <w:r w:rsidRPr="1B182E41">
        <w:t>, shall be certified for OCPP 1.6 or newer by the Open Charge Alliance (Core and Safety certificates</w:t>
      </w:r>
      <w:r w:rsidR="00FA3E72" w:rsidRPr="00705E5E">
        <w:t>)</w:t>
      </w:r>
      <w:r w:rsidR="00FA3E72" w:rsidRPr="00705E5E">
        <w:rPr>
          <w:b/>
          <w:bCs/>
          <w:u w:val="single"/>
        </w:rPr>
        <w:t xml:space="preserve">, or have </w:t>
      </w:r>
      <w:r w:rsidR="00FA3E72" w:rsidRPr="00705E5E">
        <w:rPr>
          <w:rFonts w:cs="Tahoma"/>
          <w:b/>
          <w:bCs/>
          <w:u w:val="single"/>
        </w:rPr>
        <w:t>OCPP 2.0.1 certification proof of payment, or have an OCPP 2.0.1 test tool report showing compliance for Core</w:t>
      </w:r>
      <w:r w:rsidRPr="00705E5E">
        <w:rPr>
          <w:rFonts w:cs="Tahoma"/>
          <w:b/>
          <w:u w:val="single"/>
        </w:rPr>
        <w:t xml:space="preserve"> and </w:t>
      </w:r>
      <w:r w:rsidR="00FA3E72" w:rsidRPr="00705E5E">
        <w:rPr>
          <w:rFonts w:cs="Tahoma"/>
          <w:b/>
          <w:bCs/>
          <w:u w:val="single"/>
        </w:rPr>
        <w:t>Security</w:t>
      </w:r>
      <w:r w:rsidRPr="1B182E41">
        <w:rPr>
          <w:b/>
          <w:bCs/>
          <w:u w:val="single"/>
        </w:rPr>
        <w:t>.</w:t>
      </w:r>
    </w:p>
    <w:p w14:paraId="2A14D173" w14:textId="567E8F24" w:rsidR="00B33F69" w:rsidRPr="00B1122A" w:rsidRDefault="001261BE" w:rsidP="2ACAA0A7">
      <w:pPr>
        <w:pStyle w:val="ListParagraph"/>
        <w:keepNext/>
        <w:keepLines/>
        <w:numPr>
          <w:ilvl w:val="0"/>
          <w:numId w:val="6"/>
        </w:numPr>
        <w:spacing w:before="40" w:line="259" w:lineRule="auto"/>
        <w:rPr>
          <w:rFonts w:eastAsia="Tahoma" w:cs="Tahoma"/>
          <w:b/>
          <w:bCs/>
          <w:color w:val="000000" w:themeColor="text1"/>
        </w:rPr>
      </w:pPr>
      <w:r w:rsidRPr="1B182E41">
        <w:rPr>
          <w:rFonts w:eastAsia="Tahoma" w:cs="Tahoma"/>
          <w:b/>
          <w:bCs/>
        </w:rPr>
        <w:lastRenderedPageBreak/>
        <w:t xml:space="preserve">Page </w:t>
      </w:r>
      <w:r w:rsidR="008B513C" w:rsidRPr="1B182E41">
        <w:rPr>
          <w:rFonts w:eastAsia="Tahoma" w:cs="Tahoma"/>
          <w:b/>
          <w:bCs/>
        </w:rPr>
        <w:t>17</w:t>
      </w:r>
      <w:r w:rsidRPr="1B182E41">
        <w:rPr>
          <w:rFonts w:eastAsia="Tahoma" w:cs="Tahoma"/>
          <w:b/>
          <w:bCs/>
        </w:rPr>
        <w:t xml:space="preserve">, Section </w:t>
      </w:r>
      <w:r w:rsidR="008B513C" w:rsidRPr="1B182E41">
        <w:rPr>
          <w:rFonts w:eastAsia="Tahoma" w:cs="Tahoma"/>
          <w:b/>
          <w:bCs/>
        </w:rPr>
        <w:t>II.B.12</w:t>
      </w:r>
      <w:r w:rsidRPr="1B182E41">
        <w:rPr>
          <w:rFonts w:eastAsia="Tahoma" w:cs="Tahoma"/>
          <w:b/>
          <w:bCs/>
        </w:rPr>
        <w:t xml:space="preserve">. </w:t>
      </w:r>
      <w:r w:rsidR="008B513C" w:rsidRPr="1B182E41">
        <w:rPr>
          <w:rFonts w:eastAsia="Tahoma" w:cs="Tahoma"/>
          <w:b/>
          <w:bCs/>
        </w:rPr>
        <w:t>Eligible Project Costs</w:t>
      </w:r>
    </w:p>
    <w:p w14:paraId="3C215EB9" w14:textId="63AB9C28" w:rsidR="5977C115" w:rsidRDefault="5977C115" w:rsidP="1B182E41">
      <w:pPr>
        <w:pStyle w:val="ListParagraph"/>
        <w:numPr>
          <w:ilvl w:val="1"/>
          <w:numId w:val="6"/>
        </w:numPr>
        <w:rPr>
          <w:b/>
          <w:bCs/>
          <w:u w:val="single"/>
        </w:rPr>
      </w:pPr>
      <w:r w:rsidRPr="1B182E41">
        <w:t>Equipment warranties for [</w:t>
      </w:r>
      <w:r w:rsidRPr="1B182E41">
        <w:rPr>
          <w:strike/>
        </w:rPr>
        <w:t>during the term of the agreement</w:t>
      </w:r>
      <w:r w:rsidRPr="1B182E41">
        <w:t xml:space="preserve">] </w:t>
      </w:r>
      <w:r w:rsidR="006A2DB4" w:rsidRPr="2ACAA0A7">
        <w:rPr>
          <w:b/>
          <w:bCs/>
          <w:u w:val="single"/>
        </w:rPr>
        <w:t xml:space="preserve">up to </w:t>
      </w:r>
      <w:r w:rsidRPr="1B182E41">
        <w:rPr>
          <w:b/>
          <w:bCs/>
          <w:u w:val="single"/>
        </w:rPr>
        <w:t xml:space="preserve">six years following the </w:t>
      </w:r>
      <w:r w:rsidR="0030036E" w:rsidRPr="2ACAA0A7">
        <w:rPr>
          <w:b/>
          <w:bCs/>
          <w:u w:val="single"/>
        </w:rPr>
        <w:t>beginning of operation</w:t>
      </w:r>
      <w:r w:rsidRPr="1B182E41">
        <w:rPr>
          <w:b/>
          <w:bCs/>
          <w:u w:val="single"/>
        </w:rPr>
        <w:t>.</w:t>
      </w:r>
    </w:p>
    <w:p w14:paraId="560769AD" w14:textId="5E0847BA" w:rsidR="1B182E41" w:rsidRDefault="1B182E41" w:rsidP="1B182E41">
      <w:pPr>
        <w:rPr>
          <w:rFonts w:ascii="Tahoma" w:eastAsia="Times New Roman" w:hAnsi="Tahoma" w:cs="Arial"/>
          <w:b/>
          <w:bCs/>
          <w:u w:val="single"/>
        </w:rPr>
      </w:pPr>
    </w:p>
    <w:p w14:paraId="4FD38B2B" w14:textId="2AC1BC10" w:rsidR="67BA17E7" w:rsidRDefault="67BA17E7" w:rsidP="3A1426D0">
      <w:pPr>
        <w:pStyle w:val="ListParagraph"/>
        <w:numPr>
          <w:ilvl w:val="1"/>
          <w:numId w:val="6"/>
        </w:numPr>
        <w:rPr>
          <w:rFonts w:eastAsia="Tahoma" w:cs="Tahoma"/>
          <w:b/>
          <w:bCs/>
          <w:szCs w:val="24"/>
          <w:u w:val="single"/>
        </w:rPr>
      </w:pPr>
      <w:r w:rsidRPr="2ACAA0A7">
        <w:rPr>
          <w:rFonts w:eastAsia="Tahoma" w:cs="Tahoma"/>
          <w:b/>
          <w:u w:val="single"/>
        </w:rPr>
        <w:t>Data collection and analysis</w:t>
      </w:r>
      <w:r>
        <w:tab/>
      </w:r>
    </w:p>
    <w:p w14:paraId="6524C8FD" w14:textId="28712D14" w:rsidR="001261BE" w:rsidRPr="001261BE" w:rsidRDefault="0C7AFAE4" w:rsidP="1B182E41">
      <w:pPr>
        <w:pStyle w:val="ListParagraph"/>
        <w:keepNext/>
        <w:keepLines/>
        <w:numPr>
          <w:ilvl w:val="1"/>
          <w:numId w:val="6"/>
        </w:numPr>
        <w:spacing w:before="40"/>
        <w:rPr>
          <w:rFonts w:eastAsia="Tahoma" w:cs="Tahoma"/>
        </w:rPr>
      </w:pPr>
      <w:r w:rsidRPr="1B182E41">
        <w:rPr>
          <w:rFonts w:eastAsia="Tahoma" w:cs="Tahoma"/>
        </w:rPr>
        <w:t xml:space="preserve">Engagement and outreach to property owners, residents, and potential users. The following restrictions apply to funds applied towards engagement and outreach: </w:t>
      </w:r>
    </w:p>
    <w:p w14:paraId="6075BD79" w14:textId="37A67A5D" w:rsidR="001261BE" w:rsidRPr="001261BE" w:rsidRDefault="0C7AFAE4" w:rsidP="1B182E41">
      <w:pPr>
        <w:pStyle w:val="ListParagraph"/>
        <w:keepNext/>
        <w:keepLines/>
        <w:numPr>
          <w:ilvl w:val="2"/>
          <w:numId w:val="6"/>
        </w:numPr>
        <w:spacing w:before="40"/>
        <w:rPr>
          <w:color w:val="000000" w:themeColor="text1"/>
        </w:rPr>
      </w:pPr>
      <w:r w:rsidRPr="1B182E41">
        <w:rPr>
          <w:rFonts w:eastAsia="Tahoma" w:cs="Tahoma"/>
        </w:rPr>
        <w:t>Costs are limited to $300 per [</w:t>
      </w:r>
      <w:r w:rsidRPr="1B182E41">
        <w:rPr>
          <w:rFonts w:eastAsia="Tahoma" w:cs="Tahoma"/>
          <w:strike/>
        </w:rPr>
        <w:t>residential unit to be served</w:t>
      </w:r>
      <w:r w:rsidRPr="1B182E41">
        <w:rPr>
          <w:rFonts w:eastAsia="Tahoma" w:cs="Tahoma"/>
        </w:rPr>
        <w:t xml:space="preserve">] </w:t>
      </w:r>
      <w:r w:rsidRPr="1B182E41">
        <w:rPr>
          <w:rFonts w:eastAsia="Tahoma" w:cs="Tahoma"/>
          <w:b/>
          <w:bCs/>
          <w:u w:val="single"/>
        </w:rPr>
        <w:t>charging port</w:t>
      </w:r>
      <w:r w:rsidRPr="1B182E41">
        <w:rPr>
          <w:rFonts w:eastAsia="Tahoma" w:cs="Tahoma"/>
        </w:rPr>
        <w:t>, as described in the Project Narrative (Section III.D.2).</w:t>
      </w:r>
    </w:p>
    <w:p w14:paraId="2504D077" w14:textId="2797F942" w:rsidR="00F92C5E" w:rsidRPr="00B1122A" w:rsidRDefault="0C7AFAE4" w:rsidP="1B182E41">
      <w:pPr>
        <w:pStyle w:val="ListParagraph"/>
        <w:numPr>
          <w:ilvl w:val="0"/>
          <w:numId w:val="6"/>
        </w:numPr>
        <w:rPr>
          <w:b/>
          <w:bCs/>
        </w:rPr>
      </w:pPr>
      <w:r w:rsidRPr="1B182E41">
        <w:rPr>
          <w:rFonts w:eastAsia="Tahoma" w:cs="Tahoma"/>
          <w:b/>
          <w:bCs/>
        </w:rPr>
        <w:t>Page 18, Section II.B.12. Eligible Project Costs</w:t>
      </w:r>
    </w:p>
    <w:p w14:paraId="6EB8ABDA" w14:textId="07EC39C0" w:rsidR="00B50E6C" w:rsidRPr="00B50E6C" w:rsidRDefault="0C7AFAE4" w:rsidP="00B50E6C">
      <w:pPr>
        <w:pStyle w:val="ListParagraph"/>
        <w:numPr>
          <w:ilvl w:val="1"/>
          <w:numId w:val="6"/>
        </w:numPr>
        <w:rPr>
          <w:rFonts w:eastAsia="Tahoma" w:cs="Tahoma"/>
          <w:b/>
          <w:bCs/>
        </w:rPr>
      </w:pPr>
      <w:r w:rsidRPr="1B182E41">
        <w:rPr>
          <w:rFonts w:eastAsia="Tahoma" w:cs="Tahoma"/>
        </w:rPr>
        <w:t>Outreach [</w:t>
      </w:r>
      <w:r w:rsidRPr="1B182E41">
        <w:rPr>
          <w:rFonts w:eastAsia="Tahoma" w:cs="Tahoma"/>
          <w:strike/>
        </w:rPr>
        <w:t>should</w:t>
      </w:r>
      <w:r w:rsidRPr="1B182E41">
        <w:rPr>
          <w:rFonts w:eastAsia="Tahoma" w:cs="Tahoma"/>
        </w:rPr>
        <w:t xml:space="preserve">] </w:t>
      </w:r>
      <w:r w:rsidRPr="1B182E41">
        <w:rPr>
          <w:rFonts w:eastAsia="Tahoma" w:cs="Tahoma"/>
          <w:b/>
          <w:bCs/>
          <w:u w:val="single"/>
        </w:rPr>
        <w:t>is encouraged</w:t>
      </w:r>
      <w:r w:rsidRPr="2ACAA0A7">
        <w:rPr>
          <w:rFonts w:eastAsia="Tahoma" w:cs="Tahoma"/>
        </w:rPr>
        <w:t xml:space="preserve"> </w:t>
      </w:r>
      <w:r w:rsidR="2D3CEC22" w:rsidRPr="2ACAA0A7">
        <w:rPr>
          <w:rFonts w:eastAsia="Tahoma" w:cs="Tahoma"/>
        </w:rPr>
        <w:t>[</w:t>
      </w:r>
      <w:r w:rsidRPr="2ACAA0A7">
        <w:rPr>
          <w:rFonts w:eastAsia="Tahoma" w:cs="Tahoma"/>
          <w:strike/>
        </w:rPr>
        <w:t>to be conducted</w:t>
      </w:r>
      <w:r w:rsidR="2D3CEC22" w:rsidRPr="2ACAA0A7">
        <w:rPr>
          <w:rFonts w:eastAsia="Tahoma" w:cs="Tahoma"/>
        </w:rPr>
        <w:t>]</w:t>
      </w:r>
      <w:r w:rsidRPr="1B182E41">
        <w:rPr>
          <w:rFonts w:eastAsia="Tahoma" w:cs="Tahoma"/>
        </w:rPr>
        <w:t xml:space="preserve"> prior to </w:t>
      </w:r>
      <w:proofErr w:type="gramStart"/>
      <w:r w:rsidRPr="1B182E41">
        <w:rPr>
          <w:rFonts w:eastAsia="Tahoma" w:cs="Tahoma"/>
        </w:rPr>
        <w:t>submitting an application</w:t>
      </w:r>
      <w:proofErr w:type="gramEnd"/>
      <w:r w:rsidRPr="1B182E41">
        <w:rPr>
          <w:rFonts w:eastAsia="Tahoma" w:cs="Tahoma"/>
        </w:rPr>
        <w:t xml:space="preserve"> in order to understand the anticipated number of residential units that either have an EV or plan to obtain an EV with increased access to at-home or near-home charging.</w:t>
      </w:r>
    </w:p>
    <w:p w14:paraId="0FA29870" w14:textId="77777777" w:rsidR="00B50E6C" w:rsidRPr="00B50E6C" w:rsidRDefault="00B50E6C" w:rsidP="00B50E6C">
      <w:pPr>
        <w:pStyle w:val="ListParagraph"/>
        <w:numPr>
          <w:ilvl w:val="0"/>
          <w:numId w:val="0"/>
        </w:numPr>
        <w:ind w:left="1440"/>
        <w:rPr>
          <w:rFonts w:eastAsia="Tahoma" w:cs="Tahoma"/>
          <w:b/>
          <w:bCs/>
        </w:rPr>
      </w:pPr>
    </w:p>
    <w:p w14:paraId="7EFA4595" w14:textId="0407D694" w:rsidR="00F92C5E" w:rsidRPr="00B50E6C" w:rsidRDefault="6443E915" w:rsidP="00B50E6C">
      <w:pPr>
        <w:pStyle w:val="ListParagraph"/>
        <w:numPr>
          <w:ilvl w:val="0"/>
          <w:numId w:val="6"/>
        </w:numPr>
        <w:rPr>
          <w:rFonts w:eastAsia="Tahoma" w:cs="Tahoma"/>
          <w:b/>
          <w:bCs/>
        </w:rPr>
      </w:pPr>
      <w:r w:rsidRPr="00B50E6C">
        <w:rPr>
          <w:rFonts w:eastAsia="Tahoma" w:cs="Tahoma"/>
          <w:b/>
          <w:bCs/>
        </w:rPr>
        <w:t xml:space="preserve">Page </w:t>
      </w:r>
      <w:r w:rsidR="006A2DB4" w:rsidRPr="2ACAA0A7">
        <w:rPr>
          <w:rFonts w:eastAsia="Tahoma" w:cs="Tahoma"/>
          <w:b/>
          <w:bCs/>
        </w:rPr>
        <w:t>2</w:t>
      </w:r>
      <w:r w:rsidR="001F009D">
        <w:rPr>
          <w:rFonts w:eastAsia="Tahoma" w:cs="Tahoma"/>
          <w:b/>
          <w:bCs/>
        </w:rPr>
        <w:t>3</w:t>
      </w:r>
      <w:r w:rsidRPr="00B50E6C">
        <w:rPr>
          <w:rFonts w:eastAsia="Tahoma" w:cs="Tahoma"/>
          <w:b/>
          <w:bCs/>
        </w:rPr>
        <w:t>,</w:t>
      </w:r>
      <w:r w:rsidR="7D22C6B1" w:rsidRPr="00B50E6C">
        <w:rPr>
          <w:rFonts w:eastAsia="Tahoma" w:cs="Tahoma"/>
          <w:b/>
          <w:bCs/>
        </w:rPr>
        <w:t xml:space="preserve"> Section III.B. Method for Delivery</w:t>
      </w:r>
    </w:p>
    <w:p w14:paraId="615113AE" w14:textId="79802B0A" w:rsidR="46FA0996" w:rsidRDefault="46FA0996" w:rsidP="1B182E41">
      <w:pPr>
        <w:pStyle w:val="ListParagraph"/>
        <w:numPr>
          <w:ilvl w:val="1"/>
          <w:numId w:val="6"/>
        </w:numPr>
        <w:rPr>
          <w:rFonts w:eastAsia="Tahoma" w:cs="Tahoma"/>
          <w:b/>
          <w:bCs/>
          <w:szCs w:val="24"/>
          <w:u w:val="single"/>
        </w:rPr>
      </w:pPr>
      <w:r w:rsidRPr="2ACAA0A7">
        <w:rPr>
          <w:rFonts w:eastAsia="Tahoma" w:cs="Tahoma"/>
          <w:b/>
          <w:u w:val="single"/>
        </w:rPr>
        <w:t>If an Applicant upload</w:t>
      </w:r>
      <w:r w:rsidR="76A6C572" w:rsidRPr="2ACAA0A7">
        <w:rPr>
          <w:rFonts w:eastAsia="Tahoma" w:cs="Tahoma"/>
          <w:b/>
          <w:u w:val="single"/>
        </w:rPr>
        <w:t>s</w:t>
      </w:r>
      <w:r w:rsidRPr="2ACAA0A7">
        <w:rPr>
          <w:rFonts w:eastAsia="Tahoma" w:cs="Tahoma"/>
          <w:b/>
          <w:u w:val="single"/>
        </w:rPr>
        <w:t xml:space="preserve"> the Budget Template (Attachment 4) and keys Major Recipient budget information into ECAMS and there are discre</w:t>
      </w:r>
      <w:r w:rsidR="646D2F3E" w:rsidRPr="2ACAA0A7">
        <w:rPr>
          <w:rFonts w:eastAsia="Tahoma" w:cs="Tahoma"/>
          <w:b/>
          <w:u w:val="single"/>
        </w:rPr>
        <w:t>pancies between the Major Recipient budget information, the Budget Template (Attachment 4) will be used in scoring.</w:t>
      </w:r>
    </w:p>
    <w:p w14:paraId="117699E0" w14:textId="77777777" w:rsidR="00B50E6C" w:rsidRPr="00113707" w:rsidRDefault="00B50E6C" w:rsidP="00B50E6C">
      <w:pPr>
        <w:pStyle w:val="ListParagraph"/>
        <w:numPr>
          <w:ilvl w:val="0"/>
          <w:numId w:val="0"/>
        </w:numPr>
        <w:ind w:left="1440"/>
        <w:rPr>
          <w:rFonts w:eastAsia="Tahoma" w:cs="Tahoma"/>
          <w:b/>
          <w:bCs/>
          <w:szCs w:val="24"/>
        </w:rPr>
      </w:pPr>
    </w:p>
    <w:p w14:paraId="165CAD41" w14:textId="419A0553" w:rsidR="1B182E41" w:rsidRDefault="00B50E6C" w:rsidP="00D50B7B">
      <w:pPr>
        <w:pStyle w:val="ListParagraph"/>
        <w:numPr>
          <w:ilvl w:val="0"/>
          <w:numId w:val="6"/>
        </w:numPr>
        <w:rPr>
          <w:b/>
          <w:bCs/>
          <w:szCs w:val="24"/>
        </w:rPr>
      </w:pPr>
      <w:r w:rsidRPr="2ACAA0A7">
        <w:rPr>
          <w:b/>
        </w:rPr>
        <w:t xml:space="preserve">Page </w:t>
      </w:r>
      <w:r w:rsidR="00514F53" w:rsidRPr="2ACAA0A7">
        <w:rPr>
          <w:b/>
        </w:rPr>
        <w:t>26</w:t>
      </w:r>
      <w:r w:rsidR="00113707" w:rsidRPr="2ACAA0A7">
        <w:rPr>
          <w:b/>
        </w:rPr>
        <w:t xml:space="preserve">, </w:t>
      </w:r>
      <w:r w:rsidR="003C10D8" w:rsidRPr="2ACAA0A7">
        <w:rPr>
          <w:b/>
        </w:rPr>
        <w:t xml:space="preserve">Section </w:t>
      </w:r>
      <w:r w:rsidR="006F39C6" w:rsidRPr="2ACAA0A7">
        <w:rPr>
          <w:b/>
        </w:rPr>
        <w:t>III.D.2.a.2</w:t>
      </w:r>
      <w:r w:rsidR="004617E3" w:rsidRPr="2ACAA0A7">
        <w:rPr>
          <w:b/>
        </w:rPr>
        <w:t>. Project Implementation</w:t>
      </w:r>
    </w:p>
    <w:p w14:paraId="0C1CF645" w14:textId="7C8FB6CB" w:rsidR="004617E3" w:rsidRDefault="003C10D8" w:rsidP="003C10D8">
      <w:pPr>
        <w:pStyle w:val="ListParagraph"/>
        <w:numPr>
          <w:ilvl w:val="1"/>
          <w:numId w:val="6"/>
        </w:numPr>
      </w:pPr>
      <w:r>
        <w:t>Clearly describe how many [</w:t>
      </w:r>
      <w:r w:rsidRPr="00A754D8">
        <w:rPr>
          <w:strike/>
        </w:rPr>
        <w:t>chargers</w:t>
      </w:r>
      <w:r>
        <w:t xml:space="preserve">] </w:t>
      </w:r>
      <w:r w:rsidRPr="00A754D8">
        <w:rPr>
          <w:b/>
          <w:bCs/>
          <w:u w:val="single"/>
        </w:rPr>
        <w:t>charging ports</w:t>
      </w:r>
      <w:r>
        <w:t xml:space="preserve"> and the types of chargers that will be installed </w:t>
      </w:r>
      <w:r w:rsidRPr="00B90D78">
        <w:t>(100</w:t>
      </w:r>
      <w:r>
        <w:t xml:space="preserve"> </w:t>
      </w:r>
      <w:r w:rsidRPr="002B6EF3">
        <w:rPr>
          <w:b/>
          <w:u w:val="single"/>
        </w:rPr>
        <w:t>ports</w:t>
      </w:r>
      <w:r w:rsidRPr="00B90D78">
        <w:t xml:space="preserve"> or greater).</w:t>
      </w:r>
    </w:p>
    <w:p w14:paraId="1AD0CF41" w14:textId="7874B66F" w:rsidR="003C10D8" w:rsidRDefault="003C10D8" w:rsidP="003C10D8">
      <w:pPr>
        <w:pStyle w:val="ListParagraph"/>
        <w:numPr>
          <w:ilvl w:val="0"/>
          <w:numId w:val="6"/>
        </w:numPr>
        <w:rPr>
          <w:b/>
          <w:bCs/>
        </w:rPr>
      </w:pPr>
      <w:r w:rsidRPr="003C10D8">
        <w:rPr>
          <w:b/>
          <w:bCs/>
        </w:rPr>
        <w:t>Page 27, Section III.D.2.b.4. Project Location and Benefits</w:t>
      </w:r>
    </w:p>
    <w:p w14:paraId="25676480" w14:textId="43159DF0" w:rsidR="003C10D8" w:rsidRPr="009B64D6" w:rsidRDefault="009B64D6" w:rsidP="003C10D8">
      <w:pPr>
        <w:pStyle w:val="ListParagraph"/>
        <w:numPr>
          <w:ilvl w:val="1"/>
          <w:numId w:val="6"/>
        </w:numPr>
        <w:rPr>
          <w:b/>
          <w:bCs/>
        </w:rPr>
      </w:pPr>
      <w:r>
        <w:t>Describe the project plan to meet or exceed the requirement that 50 percent of [</w:t>
      </w:r>
      <w:r w:rsidRPr="00A754D8">
        <w:rPr>
          <w:strike/>
        </w:rPr>
        <w:t>chargers</w:t>
      </w:r>
      <w:r>
        <w:t xml:space="preserve">] </w:t>
      </w:r>
      <w:r w:rsidRPr="002B6EF3">
        <w:rPr>
          <w:b/>
          <w:u w:val="single"/>
        </w:rPr>
        <w:t>charging ports</w:t>
      </w:r>
      <w:r>
        <w:t xml:space="preserve"> be installed within disadvantaged communities or low-income communities as defined in Section II.B.3 of this solicitation.</w:t>
      </w:r>
    </w:p>
    <w:p w14:paraId="72DF516B" w14:textId="5259F736" w:rsidR="009B64D6" w:rsidRPr="005C25A4" w:rsidRDefault="009B64D6" w:rsidP="00984095">
      <w:pPr>
        <w:pStyle w:val="ListParagraph"/>
        <w:keepNext/>
        <w:keepLines/>
        <w:numPr>
          <w:ilvl w:val="0"/>
          <w:numId w:val="6"/>
        </w:numPr>
        <w:rPr>
          <w:rFonts w:cs="Tahoma"/>
          <w:b/>
          <w:bCs/>
        </w:rPr>
      </w:pPr>
      <w:r w:rsidRPr="005C25A4">
        <w:rPr>
          <w:rFonts w:cs="Tahoma"/>
          <w:b/>
          <w:bCs/>
        </w:rPr>
        <w:lastRenderedPageBreak/>
        <w:t>Page 29, Section</w:t>
      </w:r>
      <w:r w:rsidR="003C4BA4" w:rsidRPr="005C25A4">
        <w:rPr>
          <w:rFonts w:cs="Tahoma"/>
          <w:b/>
          <w:bCs/>
        </w:rPr>
        <w:t xml:space="preserve"> III.D.2.e.4. Project Budget</w:t>
      </w:r>
    </w:p>
    <w:p w14:paraId="6CF079FB" w14:textId="020FEAB1" w:rsidR="003C4BA4" w:rsidRDefault="005C25A4" w:rsidP="00984095">
      <w:pPr>
        <w:keepNext/>
        <w:keepLines/>
        <w:numPr>
          <w:ilvl w:val="1"/>
          <w:numId w:val="6"/>
        </w:numPr>
        <w:spacing w:after="120"/>
        <w:rPr>
          <w:rFonts w:ascii="Tahoma" w:hAnsi="Tahoma" w:cs="Tahoma"/>
        </w:rPr>
      </w:pPr>
      <w:r w:rsidRPr="005C25A4">
        <w:rPr>
          <w:rFonts w:ascii="Tahoma" w:hAnsi="Tahoma" w:cs="Tahoma"/>
        </w:rPr>
        <w:t xml:space="preserve">Explain how the costs for engagement and outreach (maximum </w:t>
      </w:r>
      <w:r w:rsidR="00767BD5" w:rsidRPr="2ACAA0A7">
        <w:rPr>
          <w:rFonts w:ascii="Tahoma" w:hAnsi="Tahoma" w:cs="Tahoma"/>
        </w:rPr>
        <w:t>[</w:t>
      </w:r>
      <w:r w:rsidRPr="2ACAA0A7">
        <w:rPr>
          <w:rFonts w:ascii="Tahoma" w:hAnsi="Tahoma" w:cs="Tahoma"/>
          <w:strike/>
        </w:rPr>
        <w:t>10 percent of overall project costs and</w:t>
      </w:r>
      <w:r w:rsidR="00767BD5" w:rsidRPr="000D6802">
        <w:rPr>
          <w:rFonts w:ascii="Tahoma" w:hAnsi="Tahoma" w:cs="Tahoma"/>
        </w:rPr>
        <w:t>]</w:t>
      </w:r>
      <w:r w:rsidRPr="005C25A4">
        <w:rPr>
          <w:rFonts w:ascii="Tahoma" w:hAnsi="Tahoma" w:cs="Tahoma"/>
        </w:rPr>
        <w:t xml:space="preserve"> $300 per [</w:t>
      </w:r>
      <w:r w:rsidRPr="005C25A4">
        <w:rPr>
          <w:rFonts w:ascii="Tahoma" w:hAnsi="Tahoma" w:cs="Tahoma"/>
          <w:strike/>
        </w:rPr>
        <w:t>charger</w:t>
      </w:r>
      <w:r w:rsidRPr="005C25A4">
        <w:rPr>
          <w:rFonts w:ascii="Tahoma" w:hAnsi="Tahoma" w:cs="Tahoma"/>
        </w:rPr>
        <w:t xml:space="preserve">] </w:t>
      </w:r>
      <w:r w:rsidRPr="005C25A4">
        <w:rPr>
          <w:rFonts w:ascii="Tahoma" w:hAnsi="Tahoma" w:cs="Tahoma"/>
          <w:b/>
          <w:bCs/>
          <w:u w:val="single"/>
        </w:rPr>
        <w:t>charging port</w:t>
      </w:r>
      <w:r w:rsidRPr="005C25A4">
        <w:rPr>
          <w:rFonts w:ascii="Tahoma" w:hAnsi="Tahoma" w:cs="Tahoma"/>
        </w:rPr>
        <w:t>) were budgeted and how they will benefit the project.</w:t>
      </w:r>
    </w:p>
    <w:p w14:paraId="42DF0780" w14:textId="7340867A" w:rsidR="005C25A4" w:rsidRDefault="005C25A4" w:rsidP="005C25A4">
      <w:pPr>
        <w:numPr>
          <w:ilvl w:val="0"/>
          <w:numId w:val="6"/>
        </w:numPr>
        <w:spacing w:after="120"/>
        <w:rPr>
          <w:rFonts w:ascii="Tahoma" w:hAnsi="Tahoma" w:cs="Tahoma"/>
          <w:b/>
          <w:bCs/>
        </w:rPr>
      </w:pPr>
      <w:r w:rsidRPr="005C25A4">
        <w:rPr>
          <w:rFonts w:ascii="Tahoma" w:hAnsi="Tahoma" w:cs="Tahoma"/>
          <w:b/>
          <w:bCs/>
        </w:rPr>
        <w:t xml:space="preserve">Page 42, Section </w:t>
      </w:r>
      <w:r w:rsidR="007F5A8E">
        <w:rPr>
          <w:rFonts w:ascii="Tahoma" w:hAnsi="Tahoma" w:cs="Tahoma"/>
          <w:b/>
          <w:bCs/>
        </w:rPr>
        <w:t>IV.</w:t>
      </w:r>
      <w:r w:rsidRPr="005C25A4">
        <w:rPr>
          <w:rFonts w:ascii="Tahoma" w:hAnsi="Tahoma" w:cs="Tahoma"/>
          <w:b/>
          <w:bCs/>
        </w:rPr>
        <w:t>E.1. Project Implementation</w:t>
      </w:r>
    </w:p>
    <w:p w14:paraId="600CA7F1" w14:textId="77777777" w:rsidR="009375BB" w:rsidRDefault="009375BB" w:rsidP="009375BB">
      <w:pPr>
        <w:numPr>
          <w:ilvl w:val="1"/>
          <w:numId w:val="6"/>
        </w:numPr>
        <w:rPr>
          <w:rFonts w:ascii="Tahoma" w:hAnsi="Tahoma" w:cs="Tahoma"/>
        </w:rPr>
      </w:pPr>
      <w:r w:rsidRPr="009375BB">
        <w:rPr>
          <w:rFonts w:ascii="Tahoma" w:hAnsi="Tahoma" w:cs="Tahoma"/>
        </w:rPr>
        <w:t>The project will install more than the minimum number of [</w:t>
      </w:r>
      <w:r w:rsidRPr="009375BB">
        <w:rPr>
          <w:rFonts w:ascii="Tahoma" w:hAnsi="Tahoma" w:cs="Tahoma"/>
          <w:strike/>
        </w:rPr>
        <w:t>charging stations</w:t>
      </w:r>
      <w:r w:rsidRPr="009375BB">
        <w:rPr>
          <w:rFonts w:ascii="Tahoma" w:hAnsi="Tahoma" w:cs="Tahoma"/>
        </w:rPr>
        <w:t>]</w:t>
      </w:r>
      <w:r w:rsidRPr="009F3382">
        <w:rPr>
          <w:rFonts w:ascii="Tahoma" w:hAnsi="Tahoma" w:cs="Tahoma"/>
          <w:b/>
        </w:rPr>
        <w:t xml:space="preserve"> </w:t>
      </w:r>
      <w:r w:rsidRPr="009375BB">
        <w:rPr>
          <w:rFonts w:ascii="Tahoma" w:hAnsi="Tahoma" w:cs="Tahoma"/>
          <w:b/>
          <w:bCs/>
          <w:u w:val="single"/>
        </w:rPr>
        <w:t>charging ports</w:t>
      </w:r>
      <w:r w:rsidRPr="009375BB">
        <w:rPr>
          <w:rFonts w:ascii="Tahoma" w:hAnsi="Tahoma" w:cs="Tahoma"/>
        </w:rPr>
        <w:t xml:space="preserve"> (100).</w:t>
      </w:r>
    </w:p>
    <w:p w14:paraId="1EDCC04D" w14:textId="77777777" w:rsidR="0080347E" w:rsidRDefault="0080347E" w:rsidP="0080347E">
      <w:pPr>
        <w:ind w:left="1440"/>
        <w:rPr>
          <w:rFonts w:ascii="Tahoma" w:hAnsi="Tahoma" w:cs="Tahoma"/>
        </w:rPr>
      </w:pPr>
    </w:p>
    <w:p w14:paraId="11D13DBB" w14:textId="4FF105BA" w:rsidR="009375BB" w:rsidRPr="009375BB" w:rsidRDefault="009375BB" w:rsidP="009375BB">
      <w:pPr>
        <w:numPr>
          <w:ilvl w:val="0"/>
          <w:numId w:val="6"/>
        </w:numPr>
        <w:rPr>
          <w:rFonts w:ascii="Tahoma" w:hAnsi="Tahoma" w:cs="Tahoma"/>
          <w:b/>
          <w:bCs/>
        </w:rPr>
      </w:pPr>
      <w:r w:rsidRPr="009375BB">
        <w:rPr>
          <w:rFonts w:ascii="Tahoma" w:hAnsi="Tahoma" w:cs="Tahoma"/>
          <w:b/>
          <w:bCs/>
        </w:rPr>
        <w:t xml:space="preserve">Page </w:t>
      </w:r>
      <w:r w:rsidR="005B4732" w:rsidRPr="2ACAA0A7">
        <w:rPr>
          <w:rFonts w:ascii="Tahoma" w:hAnsi="Tahoma" w:cs="Tahoma"/>
          <w:b/>
          <w:bCs/>
        </w:rPr>
        <w:t>4</w:t>
      </w:r>
      <w:r w:rsidR="00661D9B">
        <w:rPr>
          <w:rFonts w:ascii="Tahoma" w:hAnsi="Tahoma" w:cs="Tahoma"/>
          <w:b/>
          <w:bCs/>
        </w:rPr>
        <w:t>3,</w:t>
      </w:r>
      <w:r w:rsidRPr="009375BB">
        <w:rPr>
          <w:rFonts w:ascii="Tahoma" w:hAnsi="Tahoma" w:cs="Tahoma"/>
          <w:b/>
          <w:bCs/>
        </w:rPr>
        <w:t xml:space="preserve"> Section </w:t>
      </w:r>
      <w:r w:rsidR="002E6F17">
        <w:rPr>
          <w:rFonts w:ascii="Tahoma" w:hAnsi="Tahoma" w:cs="Tahoma"/>
          <w:b/>
          <w:bCs/>
        </w:rPr>
        <w:t>IV.</w:t>
      </w:r>
      <w:r w:rsidRPr="009375BB">
        <w:rPr>
          <w:rFonts w:ascii="Tahoma" w:hAnsi="Tahoma" w:cs="Tahoma"/>
          <w:b/>
          <w:bCs/>
        </w:rPr>
        <w:t>E.2. Project Location and Benefit</w:t>
      </w:r>
      <w:r w:rsidR="00D22B62">
        <w:rPr>
          <w:rFonts w:ascii="Tahoma" w:hAnsi="Tahoma" w:cs="Tahoma"/>
          <w:b/>
          <w:bCs/>
        </w:rPr>
        <w:t>s</w:t>
      </w:r>
    </w:p>
    <w:p w14:paraId="495855AD" w14:textId="7B209ED1" w:rsidR="009375BB" w:rsidRDefault="004C2BB9" w:rsidP="005653EE">
      <w:pPr>
        <w:numPr>
          <w:ilvl w:val="1"/>
          <w:numId w:val="6"/>
        </w:numPr>
        <w:rPr>
          <w:rFonts w:ascii="Tahoma" w:hAnsi="Tahoma" w:cs="Tahoma"/>
        </w:rPr>
      </w:pPr>
      <w:r w:rsidRPr="004C2BB9">
        <w:rPr>
          <w:rFonts w:ascii="Tahoma" w:hAnsi="Tahoma" w:cs="Tahoma"/>
        </w:rPr>
        <w:t>The project will exceed the required minimum of 50 percent of [</w:t>
      </w:r>
      <w:r w:rsidRPr="2ACAA0A7">
        <w:rPr>
          <w:rFonts w:ascii="Tahoma" w:hAnsi="Tahoma" w:cs="Tahoma"/>
          <w:strike/>
        </w:rPr>
        <w:t>chargers</w:t>
      </w:r>
      <w:r w:rsidRPr="004C2BB9">
        <w:rPr>
          <w:rFonts w:ascii="Tahoma" w:hAnsi="Tahoma" w:cs="Tahoma"/>
        </w:rPr>
        <w:t xml:space="preserve">] </w:t>
      </w:r>
      <w:r w:rsidRPr="004C2BB9">
        <w:rPr>
          <w:rFonts w:ascii="Tahoma" w:hAnsi="Tahoma" w:cs="Tahoma"/>
          <w:b/>
          <w:bCs/>
          <w:u w:val="single"/>
        </w:rPr>
        <w:t>charging ports</w:t>
      </w:r>
      <w:r w:rsidRPr="004C2BB9">
        <w:rPr>
          <w:rFonts w:ascii="Tahoma" w:hAnsi="Tahoma" w:cs="Tahoma"/>
        </w:rPr>
        <w:t xml:space="preserve"> installed in disadvantaged communities or low-income communities and maximize project benefits to these communities.</w:t>
      </w:r>
    </w:p>
    <w:p w14:paraId="5105A2CE" w14:textId="77777777" w:rsidR="0080347E" w:rsidRDefault="0080347E" w:rsidP="0080347E">
      <w:pPr>
        <w:ind w:left="1440"/>
        <w:rPr>
          <w:rFonts w:ascii="Tahoma" w:hAnsi="Tahoma" w:cs="Tahoma"/>
        </w:rPr>
      </w:pPr>
    </w:p>
    <w:p w14:paraId="30438B0D" w14:textId="6AEDD3E5" w:rsidR="005653EE" w:rsidRPr="000A6936" w:rsidRDefault="005653EE" w:rsidP="005653EE">
      <w:pPr>
        <w:numPr>
          <w:ilvl w:val="0"/>
          <w:numId w:val="6"/>
        </w:numPr>
        <w:rPr>
          <w:rFonts w:ascii="Tahoma" w:hAnsi="Tahoma" w:cs="Tahoma"/>
          <w:b/>
          <w:bCs/>
        </w:rPr>
      </w:pPr>
      <w:r w:rsidRPr="000A6936">
        <w:rPr>
          <w:rFonts w:ascii="Tahoma" w:hAnsi="Tahoma" w:cs="Tahoma"/>
          <w:b/>
          <w:bCs/>
        </w:rPr>
        <w:t xml:space="preserve">Page </w:t>
      </w:r>
      <w:r w:rsidR="00BA3B0E" w:rsidRPr="2ACAA0A7">
        <w:rPr>
          <w:rFonts w:ascii="Tahoma" w:hAnsi="Tahoma" w:cs="Tahoma"/>
          <w:b/>
          <w:bCs/>
        </w:rPr>
        <w:t>4</w:t>
      </w:r>
      <w:r w:rsidR="00BA3B0E">
        <w:rPr>
          <w:rFonts w:ascii="Tahoma" w:hAnsi="Tahoma" w:cs="Tahoma"/>
          <w:b/>
          <w:bCs/>
        </w:rPr>
        <w:t>4</w:t>
      </w:r>
      <w:r w:rsidRPr="000A6936">
        <w:rPr>
          <w:rFonts w:ascii="Tahoma" w:hAnsi="Tahoma" w:cs="Tahoma"/>
          <w:b/>
          <w:bCs/>
        </w:rPr>
        <w:t xml:space="preserve">, Section </w:t>
      </w:r>
      <w:r w:rsidR="002E6F17">
        <w:rPr>
          <w:rFonts w:ascii="Tahoma" w:hAnsi="Tahoma" w:cs="Tahoma"/>
          <w:b/>
          <w:bCs/>
        </w:rPr>
        <w:t>IV.</w:t>
      </w:r>
      <w:r w:rsidRPr="000A6936">
        <w:rPr>
          <w:rFonts w:ascii="Tahoma" w:hAnsi="Tahoma" w:cs="Tahoma"/>
          <w:b/>
          <w:bCs/>
        </w:rPr>
        <w:t>E.5. Project Budget</w:t>
      </w:r>
    </w:p>
    <w:p w14:paraId="7AD5FE55" w14:textId="77777777" w:rsidR="000A6936" w:rsidRDefault="000A6936" w:rsidP="000A6936">
      <w:pPr>
        <w:numPr>
          <w:ilvl w:val="1"/>
          <w:numId w:val="6"/>
        </w:numPr>
        <w:rPr>
          <w:rFonts w:ascii="Tahoma" w:hAnsi="Tahoma" w:cs="Tahoma"/>
        </w:rPr>
      </w:pPr>
      <w:r w:rsidRPr="000A6936">
        <w:rPr>
          <w:rFonts w:ascii="Tahoma" w:hAnsi="Tahoma" w:cs="Tahoma"/>
        </w:rPr>
        <w:t>Costs of engagement and outreach support successful project completion and fall within the $300 per [</w:t>
      </w:r>
      <w:r w:rsidRPr="000A6936">
        <w:rPr>
          <w:rFonts w:ascii="Tahoma" w:hAnsi="Tahoma" w:cs="Tahoma"/>
          <w:strike/>
        </w:rPr>
        <w:t>charger</w:t>
      </w:r>
      <w:r w:rsidRPr="000A6936">
        <w:rPr>
          <w:rFonts w:ascii="Tahoma" w:hAnsi="Tahoma" w:cs="Tahoma"/>
        </w:rPr>
        <w:t xml:space="preserve">] </w:t>
      </w:r>
      <w:r w:rsidRPr="000A6936">
        <w:rPr>
          <w:rFonts w:ascii="Tahoma" w:hAnsi="Tahoma" w:cs="Tahoma"/>
          <w:b/>
          <w:bCs/>
          <w:u w:val="single"/>
        </w:rPr>
        <w:t>charging port</w:t>
      </w:r>
      <w:r w:rsidRPr="000A6936">
        <w:rPr>
          <w:rFonts w:ascii="Tahoma" w:hAnsi="Tahoma" w:cs="Tahoma"/>
        </w:rPr>
        <w:t xml:space="preserve"> cost cap.</w:t>
      </w:r>
    </w:p>
    <w:p w14:paraId="78A455C8" w14:textId="77777777" w:rsidR="0080347E" w:rsidRPr="000A6936" w:rsidRDefault="0080347E" w:rsidP="0080347E">
      <w:pPr>
        <w:ind w:left="1440"/>
        <w:rPr>
          <w:rFonts w:ascii="Tahoma" w:hAnsi="Tahoma" w:cs="Tahoma"/>
        </w:rPr>
      </w:pPr>
    </w:p>
    <w:p w14:paraId="2313CD59" w14:textId="285336D0" w:rsidR="005C25A4" w:rsidRDefault="000A6936" w:rsidP="000A6936">
      <w:pPr>
        <w:numPr>
          <w:ilvl w:val="0"/>
          <w:numId w:val="6"/>
        </w:numPr>
        <w:spacing w:after="120"/>
        <w:rPr>
          <w:rFonts w:ascii="Tahoma" w:hAnsi="Tahoma" w:cs="Tahoma"/>
          <w:b/>
          <w:bCs/>
        </w:rPr>
      </w:pPr>
      <w:r>
        <w:rPr>
          <w:rFonts w:ascii="Tahoma" w:hAnsi="Tahoma" w:cs="Tahoma"/>
          <w:b/>
          <w:bCs/>
        </w:rPr>
        <w:t xml:space="preserve">Page </w:t>
      </w:r>
      <w:r w:rsidR="005472B4" w:rsidRPr="2ACAA0A7">
        <w:rPr>
          <w:rFonts w:ascii="Tahoma" w:hAnsi="Tahoma" w:cs="Tahoma"/>
          <w:b/>
          <w:bCs/>
        </w:rPr>
        <w:t>4</w:t>
      </w:r>
      <w:r w:rsidR="005472B4">
        <w:rPr>
          <w:rFonts w:ascii="Tahoma" w:hAnsi="Tahoma" w:cs="Tahoma"/>
          <w:b/>
          <w:bCs/>
        </w:rPr>
        <w:t>6</w:t>
      </w:r>
      <w:r>
        <w:rPr>
          <w:rFonts w:ascii="Tahoma" w:hAnsi="Tahoma" w:cs="Tahoma"/>
          <w:b/>
          <w:bCs/>
        </w:rPr>
        <w:t>, Section V.A. Definition of Key Words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2423CB" w14:paraId="731346EA" w14:textId="77777777" w:rsidTr="00A754D8">
        <w:trPr>
          <w:trHeight w:val="300"/>
        </w:trPr>
        <w:tc>
          <w:tcPr>
            <w:tcW w:w="2430" w:type="dxa"/>
            <w:vAlign w:val="center"/>
          </w:tcPr>
          <w:p w14:paraId="60C650C9" w14:textId="77777777" w:rsidR="002423CB" w:rsidRPr="002423CB" w:rsidRDefault="002423CB" w:rsidP="00A754D8">
            <w:pPr>
              <w:rPr>
                <w:rFonts w:ascii="Tahoma" w:hAnsi="Tahoma" w:cs="Tahoma"/>
              </w:rPr>
            </w:pPr>
            <w:r w:rsidRPr="002423CB">
              <w:rPr>
                <w:rFonts w:ascii="Tahoma" w:hAnsi="Tahoma" w:cs="Tahoma"/>
              </w:rPr>
              <w:t>Electric Vehicle Charging Station</w:t>
            </w:r>
          </w:p>
        </w:tc>
        <w:tc>
          <w:tcPr>
            <w:tcW w:w="6930" w:type="dxa"/>
            <w:vAlign w:val="center"/>
          </w:tcPr>
          <w:p w14:paraId="33162196" w14:textId="77777777" w:rsidR="002423CB" w:rsidRPr="002423CB" w:rsidRDefault="002423CB" w:rsidP="00A754D8">
            <w:pPr>
              <w:rPr>
                <w:rFonts w:ascii="Tahoma" w:hAnsi="Tahoma" w:cs="Tahoma"/>
              </w:rPr>
            </w:pPr>
            <w:r w:rsidRPr="002423CB">
              <w:rPr>
                <w:rFonts w:ascii="Tahoma" w:hAnsi="Tahoma" w:cs="Tahoma"/>
              </w:rPr>
              <w:t>[</w:t>
            </w:r>
            <w:r w:rsidRPr="0080347E">
              <w:rPr>
                <w:rFonts w:ascii="Tahoma" w:hAnsi="Tahoma" w:cs="Tahoma"/>
                <w:strike/>
              </w:rPr>
              <w:t>A location where one or more EVSEs are installed to charge EVs</w:t>
            </w:r>
            <w:r w:rsidRPr="002423CB">
              <w:rPr>
                <w:rFonts w:ascii="Tahoma" w:hAnsi="Tahoma" w:cs="Tahoma"/>
              </w:rPr>
              <w:t xml:space="preserve">] </w:t>
            </w:r>
            <w:r w:rsidRPr="00E33098">
              <w:rPr>
                <w:rFonts w:ascii="Tahoma" w:eastAsia="Arial" w:hAnsi="Tahoma" w:cs="Tahoma"/>
                <w:b/>
                <w:u w:val="single"/>
              </w:rPr>
              <w:t>The area in the immediate vicinity of a group of chargers and includes the chargers, supporting equipment, parking areas adjacent to the chargers, and lanes for vehicle ingress and egress. A charging station could comprise only part of the property on which it is located.</w:t>
            </w:r>
          </w:p>
        </w:tc>
      </w:tr>
    </w:tbl>
    <w:p w14:paraId="484C2DA8" w14:textId="77777777" w:rsidR="00B50E6C" w:rsidRPr="0080347E" w:rsidRDefault="00B50E6C" w:rsidP="0080347E">
      <w:pPr>
        <w:rPr>
          <w:b/>
          <w:bCs/>
          <w:u w:val="single"/>
        </w:rPr>
      </w:pPr>
    </w:p>
    <w:p w14:paraId="0DAADF76" w14:textId="7C704F8A" w:rsidR="00DE1276" w:rsidRPr="00DE1276" w:rsidRDefault="00DE1276" w:rsidP="00DE1276">
      <w:pPr>
        <w:pStyle w:val="ListParagraph"/>
        <w:numPr>
          <w:ilvl w:val="0"/>
          <w:numId w:val="0"/>
        </w:numPr>
        <w:spacing w:line="259" w:lineRule="auto"/>
        <w:rPr>
          <w:rFonts w:eastAsia="Tahoma" w:cs="Tahoma"/>
          <w:b/>
          <w:bCs/>
          <w:i/>
          <w:iCs/>
          <w:szCs w:val="24"/>
        </w:rPr>
      </w:pPr>
      <w:r w:rsidRPr="00DE1276">
        <w:rPr>
          <w:rFonts w:eastAsia="Tahoma" w:cs="Tahoma"/>
          <w:b/>
          <w:bCs/>
          <w:i/>
          <w:iCs/>
          <w:szCs w:val="24"/>
        </w:rPr>
        <w:t>Scope of Work Template (Attachment 1)</w:t>
      </w:r>
    </w:p>
    <w:p w14:paraId="39BED2A4" w14:textId="730DB528" w:rsidR="0F25D96E" w:rsidRDefault="0F25D96E" w:rsidP="1B182E41">
      <w:pPr>
        <w:pStyle w:val="ListParagraph"/>
        <w:numPr>
          <w:ilvl w:val="0"/>
          <w:numId w:val="6"/>
        </w:numPr>
        <w:spacing w:line="259" w:lineRule="auto"/>
        <w:rPr>
          <w:rFonts w:eastAsia="Tahoma" w:cs="Tahoma"/>
          <w:b/>
          <w:bCs/>
          <w:szCs w:val="24"/>
        </w:rPr>
      </w:pPr>
      <w:r w:rsidRPr="1B182E41">
        <w:rPr>
          <w:rFonts w:eastAsia="Tahoma" w:cs="Tahoma"/>
          <w:b/>
          <w:bCs/>
          <w:szCs w:val="24"/>
        </w:rPr>
        <w:t>Page 2</w:t>
      </w:r>
      <w:r w:rsidR="000211D9">
        <w:rPr>
          <w:rFonts w:eastAsia="Tahoma" w:cs="Tahoma"/>
          <w:b/>
          <w:bCs/>
          <w:szCs w:val="24"/>
        </w:rPr>
        <w:t>-3</w:t>
      </w:r>
      <w:r w:rsidRPr="1B182E41">
        <w:rPr>
          <w:rFonts w:eastAsia="Tahoma" w:cs="Tahoma"/>
          <w:b/>
          <w:bCs/>
          <w:szCs w:val="24"/>
        </w:rPr>
        <w:t>, G</w:t>
      </w:r>
      <w:r w:rsidR="5C7CD9DB" w:rsidRPr="1B182E41">
        <w:rPr>
          <w:rFonts w:eastAsia="Tahoma" w:cs="Tahoma"/>
          <w:b/>
          <w:bCs/>
          <w:szCs w:val="24"/>
        </w:rPr>
        <w:t xml:space="preserve">lossary </w:t>
      </w:r>
    </w:p>
    <w:tbl>
      <w:tblPr>
        <w:tblW w:w="9000" w:type="dxa"/>
        <w:tblLayout w:type="fixed"/>
        <w:tblLook w:val="04A0" w:firstRow="1" w:lastRow="0" w:firstColumn="1" w:lastColumn="0" w:noHBand="0" w:noVBand="1"/>
      </w:tblPr>
      <w:tblGrid>
        <w:gridCol w:w="1682"/>
        <w:gridCol w:w="7318"/>
      </w:tblGrid>
      <w:tr w:rsidR="1B182E41" w14:paraId="3450457F" w14:textId="77777777" w:rsidTr="2ACAA0A7">
        <w:trPr>
          <w:trHeight w:val="300"/>
        </w:trPr>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475E835A" w14:textId="11850A6D" w:rsidR="1B182E41" w:rsidRPr="00B92657" w:rsidRDefault="1B182E41" w:rsidP="1B182E41">
            <w:pPr>
              <w:rPr>
                <w:rFonts w:ascii="Tahoma" w:hAnsi="Tahoma" w:cs="Tahoma"/>
              </w:rPr>
            </w:pPr>
            <w:r w:rsidRPr="00B92657">
              <w:rPr>
                <w:rFonts w:ascii="Tahoma" w:eastAsia="Arial" w:hAnsi="Tahoma" w:cs="Tahoma"/>
              </w:rPr>
              <w:t>Charger</w:t>
            </w:r>
          </w:p>
        </w:tc>
        <w:tc>
          <w:tcPr>
            <w:tcW w:w="7318" w:type="dxa"/>
            <w:tcBorders>
              <w:top w:val="single" w:sz="8" w:space="0" w:color="auto"/>
              <w:left w:val="single" w:sz="8" w:space="0" w:color="auto"/>
              <w:bottom w:val="single" w:sz="8" w:space="0" w:color="auto"/>
              <w:right w:val="single" w:sz="8" w:space="0" w:color="auto"/>
            </w:tcBorders>
            <w:tcMar>
              <w:left w:w="108" w:type="dxa"/>
              <w:right w:w="108" w:type="dxa"/>
            </w:tcMar>
          </w:tcPr>
          <w:p w14:paraId="4D3464A5" w14:textId="1C5BE0B1" w:rsidR="1B182E41" w:rsidRPr="00B92657" w:rsidRDefault="1B182E41" w:rsidP="1B182E41">
            <w:pPr>
              <w:rPr>
                <w:rFonts w:ascii="Tahoma" w:hAnsi="Tahoma" w:cs="Tahoma"/>
              </w:rPr>
            </w:pPr>
            <w:r w:rsidRPr="00B92657">
              <w:rPr>
                <w:rFonts w:ascii="Tahoma" w:eastAsia="Arial" w:hAnsi="Tahoma" w:cs="Tahoma"/>
              </w:rPr>
              <w:t>[</w:t>
            </w:r>
            <w:r w:rsidRPr="00B92657">
              <w:rPr>
                <w:rFonts w:ascii="Tahoma" w:eastAsia="Arial" w:hAnsi="Tahoma" w:cs="Tahoma"/>
                <w:strike/>
              </w:rPr>
              <w:t>Any connector that can independently provide charge regardless of whether the other connectors associated with a Charge Point are simultaneously charging.</w:t>
            </w:r>
            <w:r w:rsidRPr="00B92657">
              <w:rPr>
                <w:rFonts w:ascii="Tahoma" w:eastAsia="Arial" w:hAnsi="Tahoma" w:cs="Tahoma"/>
              </w:rPr>
              <w:t xml:space="preserve">] </w:t>
            </w:r>
            <w:r w:rsidRPr="00B92657">
              <w:rPr>
                <w:rFonts w:ascii="Tahoma" w:eastAsia="Arial" w:hAnsi="Tahoma" w:cs="Tahoma"/>
                <w:b/>
                <w:u w:val="single"/>
              </w:rPr>
              <w:t>A device with one or more charging ports and connectors for charging EVs. Also referred to as Electric Vehicle Supply Equipment (EVSE).</w:t>
            </w:r>
          </w:p>
        </w:tc>
      </w:tr>
      <w:tr w:rsidR="1B182E41" w14:paraId="72F44FE9" w14:textId="77777777" w:rsidTr="2ACAA0A7">
        <w:trPr>
          <w:trHeight w:val="300"/>
        </w:trPr>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2D5670BE" w14:textId="27346B11" w:rsidR="1B182E41" w:rsidRPr="00B92657" w:rsidRDefault="1B182E41" w:rsidP="1B182E41">
            <w:pPr>
              <w:rPr>
                <w:rFonts w:ascii="Tahoma" w:hAnsi="Tahoma" w:cs="Tahoma"/>
              </w:rPr>
            </w:pPr>
            <w:r w:rsidRPr="00B92657">
              <w:rPr>
                <w:rFonts w:ascii="Tahoma" w:eastAsia="Arial" w:hAnsi="Tahoma" w:cs="Tahoma"/>
              </w:rPr>
              <w:t>[</w:t>
            </w:r>
            <w:r w:rsidRPr="00B92657">
              <w:rPr>
                <w:rFonts w:ascii="Tahoma" w:eastAsia="Arial" w:hAnsi="Tahoma" w:cs="Tahoma"/>
                <w:strike/>
              </w:rPr>
              <w:t>Central System</w:t>
            </w:r>
            <w:r w:rsidRPr="00B92657">
              <w:rPr>
                <w:rFonts w:ascii="Tahoma" w:eastAsia="Arial" w:hAnsi="Tahoma" w:cs="Tahoma"/>
              </w:rPr>
              <w:t xml:space="preserve">] </w:t>
            </w:r>
            <w:r w:rsidRPr="00B92657">
              <w:rPr>
                <w:rFonts w:ascii="Tahoma" w:eastAsia="Arial" w:hAnsi="Tahoma" w:cs="Tahoma"/>
                <w:b/>
                <w:u w:val="single"/>
              </w:rPr>
              <w:t>Charger Network</w:t>
            </w:r>
          </w:p>
        </w:tc>
        <w:tc>
          <w:tcPr>
            <w:tcW w:w="7318" w:type="dxa"/>
            <w:tcBorders>
              <w:top w:val="single" w:sz="8" w:space="0" w:color="auto"/>
              <w:left w:val="single" w:sz="8" w:space="0" w:color="auto"/>
              <w:bottom w:val="single" w:sz="8" w:space="0" w:color="auto"/>
              <w:right w:val="single" w:sz="8" w:space="0" w:color="auto"/>
            </w:tcBorders>
            <w:tcMar>
              <w:left w:w="108" w:type="dxa"/>
              <w:right w:w="108" w:type="dxa"/>
            </w:tcMar>
          </w:tcPr>
          <w:p w14:paraId="7031E567" w14:textId="5365FF66" w:rsidR="1B182E41" w:rsidRPr="00A86E81" w:rsidRDefault="1B182E41" w:rsidP="1B182E41">
            <w:pPr>
              <w:rPr>
                <w:rFonts w:ascii="Tahoma" w:hAnsi="Tahoma" w:cs="Tahoma"/>
              </w:rPr>
            </w:pPr>
            <w:r w:rsidRPr="00B92657">
              <w:rPr>
                <w:rFonts w:ascii="Tahoma" w:eastAsia="Arial" w:hAnsi="Tahoma" w:cs="Tahoma"/>
              </w:rPr>
              <w:t>[</w:t>
            </w:r>
            <w:r w:rsidRPr="00B92657">
              <w:rPr>
                <w:rFonts w:ascii="Tahoma" w:eastAsia="Arial" w:hAnsi="Tahoma" w:cs="Tahoma"/>
                <w:strike/>
              </w:rPr>
              <w:t>Charge Point Management System: the central system that manages Charge Points and has the information for authorizing users for using its Charge Points</w:t>
            </w:r>
            <w:r w:rsidRPr="00B92657">
              <w:rPr>
                <w:rFonts w:ascii="Tahoma" w:eastAsia="Arial" w:hAnsi="Tahoma" w:cs="Tahoma"/>
              </w:rPr>
              <w:t>]</w:t>
            </w:r>
            <w:r w:rsidRPr="00B92657">
              <w:rPr>
                <w:rFonts w:ascii="Tahoma" w:eastAsia="Tahoma" w:hAnsi="Tahoma" w:cs="Tahoma"/>
                <w:b/>
              </w:rPr>
              <w:t xml:space="preserve"> </w:t>
            </w:r>
            <w:r w:rsidRPr="00B92657">
              <w:rPr>
                <w:rFonts w:ascii="Tahoma" w:eastAsia="Arial" w:hAnsi="Tahoma" w:cs="Tahoma"/>
                <w:b/>
                <w:u w:val="single"/>
              </w:rPr>
              <w:t>A collection of chargers located on one or more property(</w:t>
            </w:r>
            <w:proofErr w:type="spellStart"/>
            <w:r w:rsidRPr="00B92657">
              <w:rPr>
                <w:rFonts w:ascii="Tahoma" w:eastAsia="Arial" w:hAnsi="Tahoma" w:cs="Tahoma"/>
                <w:b/>
                <w:u w:val="single"/>
              </w:rPr>
              <w:t>ies</w:t>
            </w:r>
            <w:proofErr w:type="spellEnd"/>
            <w:r w:rsidRPr="00B92657">
              <w:rPr>
                <w:rFonts w:ascii="Tahoma" w:eastAsia="Arial" w:hAnsi="Tahoma" w:cs="Tahoma"/>
                <w:b/>
                <w:u w:val="single"/>
              </w:rPr>
              <w:t xml:space="preserve">) that are connected </w:t>
            </w:r>
            <w:r w:rsidRPr="00B92657">
              <w:rPr>
                <w:rFonts w:ascii="Tahoma" w:eastAsia="Arial" w:hAnsi="Tahoma" w:cs="Tahoma"/>
                <w:b/>
                <w:u w:val="single"/>
              </w:rPr>
              <w:lastRenderedPageBreak/>
              <w:t>via digital communications to manage the facilitation of payment, the facilitation of electrical charging, and any related data requests.</w:t>
            </w:r>
          </w:p>
        </w:tc>
      </w:tr>
      <w:tr w:rsidR="1B182E41" w14:paraId="0D4F2D98" w14:textId="77777777" w:rsidTr="2ACAA0A7">
        <w:trPr>
          <w:trHeight w:val="300"/>
        </w:trPr>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4E7AAE2C" w14:textId="607FE4F3" w:rsidR="1B182E41" w:rsidRPr="00A86E81" w:rsidRDefault="1B182E41" w:rsidP="1B182E41">
            <w:pPr>
              <w:rPr>
                <w:rFonts w:ascii="Tahoma" w:hAnsi="Tahoma" w:cs="Tahoma"/>
              </w:rPr>
            </w:pPr>
            <w:r w:rsidRPr="00A86E81">
              <w:rPr>
                <w:rFonts w:ascii="Tahoma" w:eastAsia="Arial" w:hAnsi="Tahoma" w:cs="Tahoma"/>
              </w:rPr>
              <w:lastRenderedPageBreak/>
              <w:t>[</w:t>
            </w:r>
            <w:r w:rsidRPr="00A86E81">
              <w:rPr>
                <w:rFonts w:ascii="Tahoma" w:eastAsia="Arial" w:hAnsi="Tahoma" w:cs="Tahoma"/>
                <w:strike/>
              </w:rPr>
              <w:t>Chare Point</w:t>
            </w:r>
            <w:r w:rsidRPr="00A86E81">
              <w:rPr>
                <w:rFonts w:ascii="Tahoma" w:eastAsia="Arial" w:hAnsi="Tahoma" w:cs="Tahoma"/>
              </w:rPr>
              <w:t>]</w:t>
            </w:r>
          </w:p>
        </w:tc>
        <w:tc>
          <w:tcPr>
            <w:tcW w:w="7318" w:type="dxa"/>
            <w:tcBorders>
              <w:top w:val="single" w:sz="8" w:space="0" w:color="auto"/>
              <w:left w:val="single" w:sz="8" w:space="0" w:color="auto"/>
              <w:bottom w:val="single" w:sz="8" w:space="0" w:color="auto"/>
              <w:right w:val="single" w:sz="8" w:space="0" w:color="auto"/>
            </w:tcBorders>
            <w:tcMar>
              <w:left w:w="108" w:type="dxa"/>
              <w:right w:w="108" w:type="dxa"/>
            </w:tcMar>
          </w:tcPr>
          <w:p w14:paraId="70AA4CAC" w14:textId="47E35F08" w:rsidR="1B182E41" w:rsidRPr="00A86E81" w:rsidRDefault="1B182E41" w:rsidP="1B182E41">
            <w:pPr>
              <w:rPr>
                <w:rFonts w:ascii="Tahoma" w:hAnsi="Tahoma" w:cs="Tahoma"/>
              </w:rPr>
            </w:pPr>
            <w:r w:rsidRPr="00A86E81">
              <w:rPr>
                <w:rFonts w:ascii="Tahoma" w:eastAsia="Arial" w:hAnsi="Tahoma" w:cs="Tahoma"/>
              </w:rPr>
              <w:t>[</w:t>
            </w:r>
            <w:r w:rsidRPr="00A86E81">
              <w:rPr>
                <w:rFonts w:ascii="Tahoma" w:eastAsia="Arial" w:hAnsi="Tahoma" w:cs="Tahoma"/>
                <w:strike/>
              </w:rPr>
              <w:t>The Charge Point is the physical system where an electric vehicle (EV) can be charged. A Charge Point has one or more connectors.</w:t>
            </w:r>
            <w:r w:rsidRPr="00A86E81">
              <w:rPr>
                <w:rFonts w:ascii="Tahoma" w:eastAsia="Arial" w:hAnsi="Tahoma" w:cs="Tahoma"/>
              </w:rPr>
              <w:t>]</w:t>
            </w:r>
          </w:p>
        </w:tc>
      </w:tr>
      <w:tr w:rsidR="1B182E41" w14:paraId="45E43F99" w14:textId="77777777" w:rsidTr="2ACAA0A7">
        <w:trPr>
          <w:trHeight w:val="300"/>
        </w:trPr>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3CE774EE" w14:textId="0CCEBCBE" w:rsidR="1B182E41" w:rsidRPr="005E73CF" w:rsidRDefault="1B182E41" w:rsidP="1B182E41">
            <w:pPr>
              <w:rPr>
                <w:rFonts w:ascii="Tahoma" w:hAnsi="Tahoma" w:cs="Tahoma"/>
              </w:rPr>
            </w:pPr>
            <w:r w:rsidRPr="00A86E81">
              <w:rPr>
                <w:rFonts w:ascii="Tahoma" w:eastAsia="Arial" w:hAnsi="Tahoma" w:cs="Tahoma"/>
              </w:rPr>
              <w:t xml:space="preserve"> </w:t>
            </w:r>
          </w:p>
        </w:tc>
        <w:tc>
          <w:tcPr>
            <w:tcW w:w="7318" w:type="dxa"/>
            <w:tcBorders>
              <w:top w:val="single" w:sz="8" w:space="0" w:color="auto"/>
              <w:left w:val="single" w:sz="8" w:space="0" w:color="auto"/>
              <w:bottom w:val="single" w:sz="8" w:space="0" w:color="auto"/>
              <w:right w:val="single" w:sz="8" w:space="0" w:color="auto"/>
            </w:tcBorders>
            <w:tcMar>
              <w:left w:w="108" w:type="dxa"/>
              <w:right w:w="108" w:type="dxa"/>
            </w:tcMar>
          </w:tcPr>
          <w:p w14:paraId="261678DB" w14:textId="046FB77A" w:rsidR="1B182E41" w:rsidRPr="005E73CF" w:rsidRDefault="1B182E41" w:rsidP="1B182E41">
            <w:pPr>
              <w:rPr>
                <w:rFonts w:ascii="Tahoma" w:hAnsi="Tahoma" w:cs="Tahoma"/>
              </w:rPr>
            </w:pPr>
            <w:r w:rsidRPr="005E73CF">
              <w:rPr>
                <w:rFonts w:ascii="Tahoma" w:eastAsia="Arial" w:hAnsi="Tahoma" w:cs="Tahoma"/>
              </w:rPr>
              <w:t xml:space="preserve"> </w:t>
            </w:r>
          </w:p>
        </w:tc>
      </w:tr>
      <w:tr w:rsidR="1B182E41" w14:paraId="692EE051" w14:textId="77777777" w:rsidTr="2ACAA0A7">
        <w:trPr>
          <w:trHeight w:val="300"/>
        </w:trPr>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04E70D19" w14:textId="5E7CE469" w:rsidR="1B182E41" w:rsidRPr="005E73CF" w:rsidRDefault="1B182E41" w:rsidP="1B182E41">
            <w:pPr>
              <w:rPr>
                <w:rFonts w:ascii="Tahoma" w:hAnsi="Tahoma" w:cs="Tahoma"/>
              </w:rPr>
            </w:pPr>
            <w:r w:rsidRPr="005E73CF">
              <w:rPr>
                <w:rFonts w:ascii="Tahoma" w:eastAsia="Arial" w:hAnsi="Tahoma" w:cs="Tahoma"/>
              </w:rPr>
              <w:t>[</w:t>
            </w:r>
            <w:r w:rsidRPr="005E73CF">
              <w:rPr>
                <w:rFonts w:ascii="Tahoma" w:eastAsia="Arial" w:hAnsi="Tahoma" w:cs="Tahoma"/>
                <w:strike/>
              </w:rPr>
              <w:t>Connector</w:t>
            </w:r>
            <w:r w:rsidRPr="005E73CF">
              <w:rPr>
                <w:rFonts w:ascii="Tahoma" w:eastAsia="Arial" w:hAnsi="Tahoma" w:cs="Tahoma"/>
              </w:rPr>
              <w:t xml:space="preserve">] </w:t>
            </w:r>
            <w:r w:rsidRPr="005E73CF">
              <w:rPr>
                <w:rFonts w:ascii="Tahoma" w:eastAsia="Arial" w:hAnsi="Tahoma" w:cs="Tahoma"/>
                <w:b/>
                <w:u w:val="single"/>
              </w:rPr>
              <w:t>Charging Port</w:t>
            </w:r>
          </w:p>
        </w:tc>
        <w:tc>
          <w:tcPr>
            <w:tcW w:w="7318" w:type="dxa"/>
            <w:tcBorders>
              <w:top w:val="single" w:sz="8" w:space="0" w:color="auto"/>
              <w:left w:val="single" w:sz="8" w:space="0" w:color="auto"/>
              <w:bottom w:val="single" w:sz="8" w:space="0" w:color="auto"/>
              <w:right w:val="single" w:sz="8" w:space="0" w:color="auto"/>
            </w:tcBorders>
            <w:tcMar>
              <w:left w:w="108" w:type="dxa"/>
              <w:right w:w="108" w:type="dxa"/>
            </w:tcMar>
          </w:tcPr>
          <w:p w14:paraId="1FE1502B" w14:textId="25BC8EF6" w:rsidR="1B182E41" w:rsidRPr="005E73CF" w:rsidRDefault="1B182E41" w:rsidP="1B182E41">
            <w:pPr>
              <w:rPr>
                <w:rFonts w:ascii="Tahoma" w:hAnsi="Tahoma" w:cs="Tahoma"/>
              </w:rPr>
            </w:pPr>
            <w:r w:rsidRPr="005E73CF">
              <w:rPr>
                <w:rFonts w:ascii="Tahoma" w:eastAsia="Arial" w:hAnsi="Tahoma" w:cs="Tahoma"/>
              </w:rPr>
              <w:t>[</w:t>
            </w:r>
            <w:r w:rsidRPr="005E73CF">
              <w:rPr>
                <w:rFonts w:ascii="Tahoma" w:eastAsia="Arial" w:hAnsi="Tahoma" w:cs="Tahoma"/>
                <w:i/>
                <w:strike/>
              </w:rPr>
              <w:t>The term “Connector”, as used in this specification, refers to an independently operated and managed electrical outlet on a Charge Point. This usually corresponds to a single physical connector, but in some cases a single outlet may have multiple physical socket types and/or tethered cable/connector arrangements to facilitate different vehicle types (</w:t>
            </w:r>
            <w:proofErr w:type="gramStart"/>
            <w:r w:rsidRPr="005E73CF">
              <w:rPr>
                <w:rFonts w:ascii="Tahoma" w:eastAsia="Arial" w:hAnsi="Tahoma" w:cs="Tahoma"/>
                <w:i/>
                <w:strike/>
              </w:rPr>
              <w:t>e.g.</w:t>
            </w:r>
            <w:proofErr w:type="gramEnd"/>
            <w:r w:rsidRPr="005E73CF">
              <w:rPr>
                <w:rFonts w:ascii="Tahoma" w:eastAsia="Arial" w:hAnsi="Tahoma" w:cs="Tahoma"/>
                <w:i/>
                <w:strike/>
              </w:rPr>
              <w:t xml:space="preserve"> four-wheeled EVs and electric scooters).</w:t>
            </w:r>
            <w:r w:rsidRPr="005E73CF">
              <w:rPr>
                <w:rFonts w:ascii="Tahoma" w:eastAsia="Arial" w:hAnsi="Tahoma" w:cs="Tahoma"/>
              </w:rPr>
              <w:t>]</w:t>
            </w:r>
            <w:r w:rsidRPr="005E73CF">
              <w:rPr>
                <w:rFonts w:ascii="Tahoma" w:eastAsia="Calibri" w:hAnsi="Tahoma" w:cs="Tahoma"/>
                <w:i/>
              </w:rPr>
              <w:t xml:space="preserve"> </w:t>
            </w:r>
            <w:r w:rsidRPr="005E73CF">
              <w:rPr>
                <w:rFonts w:ascii="Tahoma" w:eastAsia="Arial" w:hAnsi="Tahoma" w:cs="Tahoma"/>
                <w:b/>
                <w:u w:val="single"/>
              </w:rPr>
              <w:t>The system within a charger that charges one EV. A charging port may have multiple connectors, but it can provide power to charge only one EV through one connector at a time.</w:t>
            </w:r>
          </w:p>
        </w:tc>
      </w:tr>
      <w:tr w:rsidR="000D7EFA" w:rsidRPr="00237FCE" w14:paraId="7F1B91D1" w14:textId="77777777" w:rsidTr="2ACAA0A7">
        <w:trPr>
          <w:trHeight w:val="300"/>
        </w:trPr>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5DA5DF92" w14:textId="4E4FCD72" w:rsidR="000D7EFA" w:rsidRPr="005E73CF" w:rsidRDefault="3C87E24D" w:rsidP="000D7EFA">
            <w:pPr>
              <w:rPr>
                <w:rFonts w:ascii="Tahoma" w:hAnsi="Tahoma" w:cs="Tahoma"/>
              </w:rPr>
            </w:pPr>
            <w:r w:rsidRPr="005E73CF">
              <w:rPr>
                <w:rFonts w:ascii="Tahoma" w:hAnsi="Tahoma" w:cs="Tahoma"/>
              </w:rPr>
              <w:t>Charging Session</w:t>
            </w:r>
          </w:p>
        </w:tc>
        <w:tc>
          <w:tcPr>
            <w:tcW w:w="7318" w:type="dxa"/>
            <w:tcBorders>
              <w:top w:val="single" w:sz="8" w:space="0" w:color="auto"/>
              <w:left w:val="single" w:sz="8" w:space="0" w:color="auto"/>
              <w:bottom w:val="single" w:sz="8" w:space="0" w:color="auto"/>
              <w:right w:val="single" w:sz="8" w:space="0" w:color="auto"/>
            </w:tcBorders>
            <w:tcMar>
              <w:left w:w="108" w:type="dxa"/>
              <w:right w:w="108" w:type="dxa"/>
            </w:tcMar>
          </w:tcPr>
          <w:p w14:paraId="3F7ED0C3" w14:textId="66895FC9" w:rsidR="000D7EFA" w:rsidRPr="005E73CF" w:rsidRDefault="3C87E24D" w:rsidP="000D7EFA">
            <w:pPr>
              <w:rPr>
                <w:rFonts w:ascii="Tahoma" w:hAnsi="Tahoma" w:cs="Tahoma"/>
              </w:rPr>
            </w:pPr>
            <w:r w:rsidRPr="005E73CF">
              <w:rPr>
                <w:rFonts w:ascii="Tahoma" w:hAnsi="Tahoma" w:cs="Tahoma"/>
              </w:rPr>
              <w:t>Part of a transaction during which the EV is allowed to request energy. </w:t>
            </w:r>
          </w:p>
        </w:tc>
      </w:tr>
      <w:tr w:rsidR="000D7EFA" w:rsidRPr="00237FCE" w14:paraId="74B93306" w14:textId="77777777" w:rsidTr="2ACAA0A7">
        <w:trPr>
          <w:trHeight w:val="300"/>
        </w:trPr>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45682732" w14:textId="7B6216B3" w:rsidR="000D7EFA" w:rsidRPr="005E73CF" w:rsidRDefault="3C87E24D" w:rsidP="000D7EFA">
            <w:pPr>
              <w:rPr>
                <w:rFonts w:ascii="Tahoma" w:eastAsia="Arial" w:hAnsi="Tahoma" w:cs="Tahoma"/>
              </w:rPr>
            </w:pPr>
            <w:r w:rsidRPr="005E73CF">
              <w:rPr>
                <w:rFonts w:ascii="Tahoma" w:hAnsi="Tahoma" w:cs="Tahoma"/>
              </w:rPr>
              <w:t>Charging Station</w:t>
            </w:r>
          </w:p>
        </w:tc>
        <w:tc>
          <w:tcPr>
            <w:tcW w:w="7318" w:type="dxa"/>
            <w:tcBorders>
              <w:top w:val="single" w:sz="8" w:space="0" w:color="auto"/>
              <w:left w:val="single" w:sz="8" w:space="0" w:color="auto"/>
              <w:bottom w:val="single" w:sz="8" w:space="0" w:color="auto"/>
              <w:right w:val="single" w:sz="8" w:space="0" w:color="auto"/>
            </w:tcBorders>
            <w:tcMar>
              <w:left w:w="108" w:type="dxa"/>
              <w:right w:w="108" w:type="dxa"/>
            </w:tcMar>
          </w:tcPr>
          <w:p w14:paraId="3EA22462" w14:textId="58516F23" w:rsidR="000D7EFA" w:rsidRPr="005E73CF" w:rsidRDefault="3C87E24D" w:rsidP="000D7EFA">
            <w:pPr>
              <w:rPr>
                <w:rFonts w:ascii="Tahoma" w:eastAsia="Arial" w:hAnsi="Tahoma" w:cs="Tahoma"/>
              </w:rPr>
            </w:pPr>
            <w:r w:rsidRPr="005E73CF">
              <w:rPr>
                <w:rFonts w:ascii="Tahoma" w:hAnsi="Tahoma" w:cs="Tahoma"/>
              </w:rPr>
              <w:t>[</w:t>
            </w:r>
            <w:r w:rsidRPr="005E73CF">
              <w:rPr>
                <w:rFonts w:ascii="Tahoma" w:hAnsi="Tahoma" w:cs="Tahoma"/>
                <w:i/>
                <w:iCs/>
                <w:strike/>
              </w:rPr>
              <w:t>A physical location with any number of Charge Point(s) and Connector(s) with a unique address. For a charger to be part of a charging station, it must not be further than 0.125 miles (660 feet) from any other charger that is also considered to be part of the same charging station.</w:t>
            </w:r>
            <w:r w:rsidRPr="005E73CF">
              <w:rPr>
                <w:rFonts w:ascii="Tahoma" w:hAnsi="Tahoma" w:cs="Tahoma"/>
              </w:rPr>
              <w:t xml:space="preserve">]  </w:t>
            </w:r>
            <w:r w:rsidRPr="005E73CF">
              <w:rPr>
                <w:rFonts w:ascii="Tahoma" w:eastAsia="Arial" w:hAnsi="Tahoma" w:cs="Tahoma"/>
                <w:b/>
                <w:bCs/>
                <w:u w:val="single"/>
              </w:rPr>
              <w:t>The area in the immediate vicinity of a group of chargers and includes the chargers, supporting equipment, parking areas adjacent to the chargers, and lanes for vehicle ingress and egress. A charging station could comprise only part of the property on which it is located.</w:t>
            </w:r>
          </w:p>
          <w:p w14:paraId="47B48E05" w14:textId="77777777" w:rsidR="000D7EFA" w:rsidRPr="005E73CF" w:rsidRDefault="000D7EFA" w:rsidP="2ACAA0A7">
            <w:pPr>
              <w:ind w:firstLine="720"/>
              <w:rPr>
                <w:rFonts w:ascii="Tahoma" w:eastAsia="Arial" w:hAnsi="Tahoma" w:cs="Tahoma"/>
              </w:rPr>
            </w:pPr>
          </w:p>
        </w:tc>
      </w:tr>
      <w:tr w:rsidR="000D7EFA" w:rsidRPr="00237FCE" w14:paraId="3D224BF4" w14:textId="77777777" w:rsidTr="2ACAA0A7">
        <w:trPr>
          <w:trHeight w:val="300"/>
        </w:trPr>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1D51C918" w14:textId="3A10C6F3" w:rsidR="000D7EFA" w:rsidRPr="005E73CF" w:rsidRDefault="3C87E24D" w:rsidP="000D7EFA">
            <w:pPr>
              <w:rPr>
                <w:rFonts w:ascii="Tahoma" w:hAnsi="Tahoma" w:cs="Tahoma"/>
              </w:rPr>
            </w:pPr>
            <w:r w:rsidRPr="005E73CF">
              <w:rPr>
                <w:rFonts w:ascii="Tahoma" w:eastAsia="Arial" w:hAnsi="Tahoma" w:cs="Tahoma"/>
              </w:rPr>
              <w:t>Connector</w:t>
            </w:r>
          </w:p>
        </w:tc>
        <w:tc>
          <w:tcPr>
            <w:tcW w:w="7318" w:type="dxa"/>
            <w:tcBorders>
              <w:top w:val="single" w:sz="8" w:space="0" w:color="auto"/>
              <w:left w:val="single" w:sz="8" w:space="0" w:color="auto"/>
              <w:bottom w:val="single" w:sz="8" w:space="0" w:color="auto"/>
              <w:right w:val="single" w:sz="8" w:space="0" w:color="auto"/>
            </w:tcBorders>
            <w:tcMar>
              <w:left w:w="108" w:type="dxa"/>
              <w:right w:w="108" w:type="dxa"/>
            </w:tcMar>
          </w:tcPr>
          <w:p w14:paraId="659C6D84" w14:textId="30AD2AA0" w:rsidR="000D7EFA" w:rsidRPr="005E73CF" w:rsidRDefault="3C87E24D" w:rsidP="000D7EFA">
            <w:pPr>
              <w:rPr>
                <w:rFonts w:ascii="Tahoma" w:hAnsi="Tahoma" w:cs="Tahoma"/>
              </w:rPr>
            </w:pPr>
            <w:r w:rsidRPr="005E73CF">
              <w:rPr>
                <w:rFonts w:ascii="Tahoma" w:eastAsia="Arial" w:hAnsi="Tahoma" w:cs="Tahoma"/>
              </w:rPr>
              <w:t>[</w:t>
            </w:r>
            <w:r w:rsidRPr="005E73CF">
              <w:rPr>
                <w:rFonts w:ascii="Tahoma" w:eastAsia="Arial" w:hAnsi="Tahoma" w:cs="Tahoma"/>
                <w:strike/>
              </w:rPr>
              <w:t>The term “Connector”, as used in this specification, refers to an independently operated and managed electrical outlet on a Charge Point. This usually corresponds to a single physical connector, but in some cases a single outlet may have multiple physical socket types and/or tethered cable/connector arrangements to facilitate different vehicle types (</w:t>
            </w:r>
            <w:proofErr w:type="gramStart"/>
            <w:r w:rsidRPr="005E73CF">
              <w:rPr>
                <w:rFonts w:ascii="Tahoma" w:eastAsia="Arial" w:hAnsi="Tahoma" w:cs="Tahoma"/>
                <w:strike/>
              </w:rPr>
              <w:t>e.g.</w:t>
            </w:r>
            <w:proofErr w:type="gramEnd"/>
            <w:r w:rsidRPr="005E73CF">
              <w:rPr>
                <w:rFonts w:ascii="Tahoma" w:eastAsia="Arial" w:hAnsi="Tahoma" w:cs="Tahoma"/>
                <w:strike/>
              </w:rPr>
              <w:t xml:space="preserve"> four-wheeled EVs and electric scooters).</w:t>
            </w:r>
            <w:r w:rsidRPr="005E73CF">
              <w:rPr>
                <w:rFonts w:ascii="Tahoma" w:eastAsia="Arial" w:hAnsi="Tahoma" w:cs="Tahoma"/>
              </w:rPr>
              <w:t xml:space="preserve">]  </w:t>
            </w:r>
            <w:r w:rsidRPr="005E73CF">
              <w:rPr>
                <w:rFonts w:ascii="Tahoma" w:eastAsia="Arial" w:hAnsi="Tahoma" w:cs="Tahoma"/>
                <w:b/>
                <w:bCs/>
              </w:rPr>
              <w:t xml:space="preserve"> </w:t>
            </w:r>
            <w:r w:rsidRPr="005E73CF">
              <w:rPr>
                <w:rFonts w:ascii="Tahoma" w:eastAsia="Arial" w:hAnsi="Tahoma" w:cs="Tahoma"/>
                <w:b/>
                <w:bCs/>
                <w:u w:val="single"/>
              </w:rPr>
              <w:t>The device that attaches an EV to a charging port in order to transfer electricity.</w:t>
            </w:r>
          </w:p>
        </w:tc>
      </w:tr>
      <w:tr w:rsidR="754ABC15" w14:paraId="403BCA24" w14:textId="77777777" w:rsidTr="754ABC15">
        <w:trPr>
          <w:trHeight w:val="1380"/>
        </w:trPr>
        <w:tc>
          <w:tcPr>
            <w:tcW w:w="1682" w:type="dxa"/>
            <w:tcBorders>
              <w:top w:val="single" w:sz="6" w:space="0" w:color="auto"/>
              <w:left w:val="single" w:sz="6" w:space="0" w:color="auto"/>
              <w:bottom w:val="single" w:sz="6" w:space="0" w:color="auto"/>
              <w:right w:val="single" w:sz="6" w:space="0" w:color="auto"/>
            </w:tcBorders>
            <w:tcMar>
              <w:left w:w="105" w:type="dxa"/>
              <w:right w:w="105" w:type="dxa"/>
            </w:tcMar>
          </w:tcPr>
          <w:p w14:paraId="7F8A5B11" w14:textId="2567A3B8" w:rsidR="754ABC15" w:rsidRDefault="754ABC15" w:rsidP="754ABC15">
            <w:pPr>
              <w:rPr>
                <w:rFonts w:ascii="Tahoma" w:eastAsia="Tahoma" w:hAnsi="Tahoma" w:cs="Tahoma"/>
                <w:b/>
                <w:bCs/>
                <w:i/>
                <w:iCs/>
                <w:u w:val="single"/>
              </w:rPr>
            </w:pPr>
            <w:r w:rsidRPr="754ABC15">
              <w:rPr>
                <w:rFonts w:ascii="Tahoma" w:eastAsia="Tahoma" w:hAnsi="Tahoma" w:cs="Tahoma"/>
                <w:b/>
                <w:bCs/>
                <w:u w:val="single"/>
              </w:rPr>
              <w:lastRenderedPageBreak/>
              <w:t>Electric Vehicle (EV)</w:t>
            </w:r>
          </w:p>
        </w:tc>
        <w:tc>
          <w:tcPr>
            <w:tcW w:w="7318" w:type="dxa"/>
            <w:tcBorders>
              <w:top w:val="single" w:sz="6" w:space="0" w:color="auto"/>
              <w:left w:val="single" w:sz="6" w:space="0" w:color="auto"/>
              <w:bottom w:val="single" w:sz="6" w:space="0" w:color="auto"/>
              <w:right w:val="single" w:sz="6" w:space="0" w:color="auto"/>
            </w:tcBorders>
            <w:tcMar>
              <w:left w:w="105" w:type="dxa"/>
              <w:right w:w="105" w:type="dxa"/>
            </w:tcMar>
          </w:tcPr>
          <w:p w14:paraId="418B2758" w14:textId="50F72DFB" w:rsidR="754ABC15" w:rsidRDefault="754ABC15" w:rsidP="754ABC15">
            <w:pPr>
              <w:rPr>
                <w:rFonts w:ascii="Tahoma" w:eastAsia="Tahoma" w:hAnsi="Tahoma" w:cs="Tahoma"/>
                <w:b/>
                <w:bCs/>
                <w:i/>
                <w:iCs/>
                <w:u w:val="single"/>
              </w:rPr>
            </w:pPr>
            <w:r w:rsidRPr="754ABC15">
              <w:rPr>
                <w:rFonts w:ascii="Tahoma" w:eastAsia="Tahoma" w:hAnsi="Tahoma" w:cs="Tahoma"/>
                <w:b/>
                <w:bCs/>
                <w:u w:val="single"/>
              </w:rPr>
              <w:t xml:space="preserve">A motor vehicle that is either partially or fully powered on electric power received from an external power source. For the purposes of this solicitation, this definition does not include golf carts, electric bicycles, or other </w:t>
            </w:r>
            <w:proofErr w:type="spellStart"/>
            <w:r w:rsidRPr="754ABC15">
              <w:rPr>
                <w:rFonts w:ascii="Tahoma" w:eastAsia="Tahoma" w:hAnsi="Tahoma" w:cs="Tahoma"/>
                <w:b/>
                <w:bCs/>
                <w:u w:val="single"/>
              </w:rPr>
              <w:t>micromobility</w:t>
            </w:r>
            <w:proofErr w:type="spellEnd"/>
            <w:r w:rsidRPr="754ABC15">
              <w:rPr>
                <w:rFonts w:ascii="Tahoma" w:eastAsia="Tahoma" w:hAnsi="Tahoma" w:cs="Tahoma"/>
                <w:b/>
                <w:bCs/>
                <w:u w:val="single"/>
              </w:rPr>
              <w:t xml:space="preserve"> devices.</w:t>
            </w:r>
          </w:p>
        </w:tc>
      </w:tr>
    </w:tbl>
    <w:p w14:paraId="2DBC8AC9" w14:textId="2A7AEEB9" w:rsidR="4AB95A3A" w:rsidRPr="00237FCE" w:rsidRDefault="4AB95A3A" w:rsidP="2ACAA0A7">
      <w:pPr>
        <w:spacing w:after="120" w:line="259" w:lineRule="auto"/>
        <w:rPr>
          <w:rFonts w:ascii="Tahoma" w:eastAsia="Times New Roman" w:hAnsi="Tahoma" w:cs="Tahoma"/>
          <w:b/>
        </w:rPr>
      </w:pPr>
    </w:p>
    <w:p w14:paraId="704D7153" w14:textId="26D41E8F" w:rsidR="005D3AC9" w:rsidRPr="005E73CF" w:rsidRDefault="69CCCA92" w:rsidP="2ACAA0A7">
      <w:pPr>
        <w:pStyle w:val="ListParagraph"/>
        <w:numPr>
          <w:ilvl w:val="0"/>
          <w:numId w:val="6"/>
        </w:numPr>
        <w:spacing w:line="259" w:lineRule="auto"/>
        <w:rPr>
          <w:rFonts w:eastAsia="Tahoma" w:cs="Tahoma"/>
          <w:b/>
          <w:bCs/>
          <w:szCs w:val="24"/>
        </w:rPr>
      </w:pPr>
      <w:r w:rsidRPr="00A87E10">
        <w:rPr>
          <w:rFonts w:eastAsia="Tahoma" w:cs="Tahoma"/>
          <w:b/>
          <w:szCs w:val="24"/>
        </w:rPr>
        <w:t xml:space="preserve">Page 13, Task </w:t>
      </w:r>
      <w:r w:rsidRPr="005E73CF">
        <w:rPr>
          <w:rFonts w:eastAsia="Tahoma" w:cs="Tahoma"/>
          <w:b/>
          <w:szCs w:val="24"/>
        </w:rPr>
        <w:t>&lt;Third to Last&gt;</w:t>
      </w:r>
      <w:r w:rsidRPr="00A87E10">
        <w:rPr>
          <w:rFonts w:eastAsia="Tahoma" w:cs="Tahoma"/>
          <w:b/>
          <w:szCs w:val="24"/>
        </w:rPr>
        <w:t>.</w:t>
      </w:r>
      <w:r w:rsidR="00037A4D" w:rsidRPr="005E73CF">
        <w:rPr>
          <w:rFonts w:eastAsia="Tahoma" w:cs="Tahoma"/>
          <w:b/>
          <w:bCs/>
          <w:szCs w:val="24"/>
        </w:rPr>
        <w:t>1</w:t>
      </w:r>
      <w:r w:rsidR="00202FA7" w:rsidRPr="005E73CF">
        <w:rPr>
          <w:rFonts w:eastAsia="Tahoma" w:cs="Tahoma"/>
          <w:b/>
          <w:bCs/>
          <w:szCs w:val="24"/>
        </w:rPr>
        <w:t xml:space="preserve"> Operations</w:t>
      </w:r>
    </w:p>
    <w:p w14:paraId="4AA50105" w14:textId="77777777" w:rsidR="008D62BC" w:rsidRPr="005E73CF" w:rsidRDefault="008D62BC" w:rsidP="2ACAA0A7">
      <w:pPr>
        <w:pStyle w:val="ListParagraph"/>
        <w:spacing w:line="259" w:lineRule="auto"/>
        <w:rPr>
          <w:rFonts w:eastAsia="Tahoma" w:cs="Tahoma"/>
          <w:b/>
          <w:bCs/>
          <w:szCs w:val="24"/>
        </w:rPr>
      </w:pPr>
      <w:r w:rsidRPr="005E73CF">
        <w:rPr>
          <w:rFonts w:eastAsia="Tahoma" w:cs="Tahoma"/>
          <w:b/>
          <w:bCs/>
          <w:szCs w:val="24"/>
        </w:rPr>
        <w:t xml:space="preserve">The Recipient shall: </w:t>
      </w:r>
    </w:p>
    <w:p w14:paraId="66B18514" w14:textId="3B953AF5" w:rsidR="008D62BC" w:rsidRPr="00237FCE" w:rsidRDefault="008D62BC" w:rsidP="2ACAA0A7">
      <w:pPr>
        <w:pStyle w:val="ListParagraph"/>
        <w:numPr>
          <w:ilvl w:val="1"/>
          <w:numId w:val="9"/>
        </w:numPr>
        <w:spacing w:line="259" w:lineRule="auto"/>
        <w:rPr>
          <w:rFonts w:eastAsia="Tahoma" w:cs="Tahoma"/>
          <w:szCs w:val="24"/>
        </w:rPr>
      </w:pPr>
      <w:r w:rsidRPr="00237FCE">
        <w:rPr>
          <w:rFonts w:eastAsia="Tahoma" w:cs="Tahoma"/>
          <w:szCs w:val="24"/>
        </w:rPr>
        <w:t xml:space="preserve">Operate the installed chargers during the term of this agreement. </w:t>
      </w:r>
    </w:p>
    <w:p w14:paraId="434B30EC" w14:textId="69E5AE27" w:rsidR="008D62BC" w:rsidRPr="00237FCE" w:rsidRDefault="008D62BC" w:rsidP="2ACAA0A7">
      <w:pPr>
        <w:pStyle w:val="ListParagraph"/>
        <w:numPr>
          <w:ilvl w:val="1"/>
          <w:numId w:val="9"/>
        </w:numPr>
        <w:spacing w:line="259" w:lineRule="auto"/>
        <w:rPr>
          <w:rFonts w:eastAsia="Tahoma" w:cs="Tahoma"/>
          <w:szCs w:val="24"/>
        </w:rPr>
      </w:pPr>
      <w:r w:rsidRPr="00237FCE">
        <w:rPr>
          <w:rFonts w:eastAsia="Tahoma" w:cs="Tahoma"/>
          <w:szCs w:val="24"/>
        </w:rPr>
        <w:t>For any charging station with fewer than 40 [</w:t>
      </w:r>
      <w:r w:rsidRPr="00237FCE">
        <w:rPr>
          <w:rFonts w:eastAsia="Tahoma" w:cs="Tahoma"/>
          <w:strike/>
          <w:szCs w:val="24"/>
        </w:rPr>
        <w:t>chargers</w:t>
      </w:r>
      <w:r w:rsidRPr="00237FCE">
        <w:rPr>
          <w:rFonts w:eastAsia="Tahoma" w:cs="Tahoma"/>
          <w:szCs w:val="24"/>
        </w:rPr>
        <w:t xml:space="preserve">] </w:t>
      </w:r>
      <w:r w:rsidRPr="00237FCE">
        <w:rPr>
          <w:rFonts w:eastAsia="Tahoma" w:cs="Tahoma"/>
          <w:b/>
          <w:bCs/>
          <w:szCs w:val="24"/>
          <w:u w:val="single"/>
        </w:rPr>
        <w:t>charging ports</w:t>
      </w:r>
      <w:r w:rsidRPr="00237FCE">
        <w:rPr>
          <w:rFonts w:eastAsia="Tahoma" w:cs="Tahoma"/>
          <w:szCs w:val="24"/>
        </w:rPr>
        <w:t xml:space="preserve"> at which chargers are installed and operated under this agreement, ensure that the charger uptime for each [</w:t>
      </w:r>
      <w:r w:rsidRPr="00237FCE">
        <w:rPr>
          <w:rFonts w:eastAsia="Tahoma" w:cs="Tahoma"/>
          <w:strike/>
          <w:szCs w:val="24"/>
        </w:rPr>
        <w:t>charger</w:t>
      </w:r>
      <w:r w:rsidRPr="00237FCE">
        <w:rPr>
          <w:rFonts w:eastAsia="Tahoma" w:cs="Tahoma"/>
          <w:szCs w:val="24"/>
        </w:rPr>
        <w:t xml:space="preserve">] </w:t>
      </w:r>
      <w:r w:rsidRPr="00237FCE">
        <w:rPr>
          <w:rFonts w:eastAsia="Tahoma" w:cs="Tahoma"/>
          <w:b/>
          <w:bCs/>
          <w:szCs w:val="24"/>
          <w:u w:val="single"/>
        </w:rPr>
        <w:t>charging port</w:t>
      </w:r>
      <w:r w:rsidRPr="00237FCE">
        <w:rPr>
          <w:rFonts w:eastAsia="Tahoma" w:cs="Tahoma"/>
          <w:szCs w:val="24"/>
        </w:rPr>
        <w:t xml:space="preserve"> installed in the project is at least 97 percent of each year for six years after the beginning of operation. </w:t>
      </w:r>
    </w:p>
    <w:p w14:paraId="1EE2FCA9" w14:textId="62A1A206" w:rsidR="00765810" w:rsidRPr="00237FCE" w:rsidRDefault="008D62BC" w:rsidP="2ACAA0A7">
      <w:pPr>
        <w:pStyle w:val="ListParagraph"/>
        <w:numPr>
          <w:ilvl w:val="1"/>
          <w:numId w:val="9"/>
        </w:numPr>
        <w:spacing w:line="259" w:lineRule="auto"/>
        <w:rPr>
          <w:rFonts w:eastAsia="Tahoma" w:cs="Tahoma"/>
          <w:szCs w:val="24"/>
        </w:rPr>
      </w:pPr>
      <w:r w:rsidRPr="00237FCE">
        <w:rPr>
          <w:rFonts w:eastAsia="Tahoma" w:cs="Tahoma"/>
          <w:szCs w:val="24"/>
        </w:rPr>
        <w:t>For any charging station with 40 or more chargers at which chargers are installed and operated under this agreement, ensure that the charger uptime for each [</w:t>
      </w:r>
      <w:r w:rsidRPr="00237FCE">
        <w:rPr>
          <w:rFonts w:eastAsia="Tahoma" w:cs="Tahoma"/>
          <w:strike/>
          <w:szCs w:val="24"/>
        </w:rPr>
        <w:t>charger</w:t>
      </w:r>
      <w:r w:rsidRPr="00237FCE">
        <w:rPr>
          <w:rFonts w:eastAsia="Tahoma" w:cs="Tahoma"/>
          <w:szCs w:val="24"/>
        </w:rPr>
        <w:t xml:space="preserve">] </w:t>
      </w:r>
      <w:r w:rsidRPr="00237FCE">
        <w:rPr>
          <w:rFonts w:eastAsia="Tahoma" w:cs="Tahoma"/>
          <w:b/>
          <w:bCs/>
          <w:szCs w:val="24"/>
          <w:u w:val="single"/>
        </w:rPr>
        <w:t>charging port</w:t>
      </w:r>
      <w:r w:rsidRPr="00237FCE">
        <w:rPr>
          <w:rFonts w:eastAsia="Tahoma" w:cs="Tahoma"/>
          <w:szCs w:val="24"/>
        </w:rPr>
        <w:t xml:space="preserve"> installed in the project is operational at least 80 percent of a charging site’s standard hours of operation of each year for six years after the beginning of operation, and ensure that station uptime is at least 97 percent.</w:t>
      </w:r>
    </w:p>
    <w:p w14:paraId="79E5AA4F" w14:textId="1D7636A7" w:rsidR="69CCCA92" w:rsidRDefault="69CCCA92" w:rsidP="3A1426D0">
      <w:pPr>
        <w:pStyle w:val="ListParagraph"/>
        <w:numPr>
          <w:ilvl w:val="0"/>
          <w:numId w:val="6"/>
        </w:numPr>
        <w:spacing w:line="259" w:lineRule="auto"/>
        <w:rPr>
          <w:rFonts w:eastAsia="Tahoma" w:cs="Tahoma"/>
          <w:b/>
          <w:bCs/>
          <w:szCs w:val="24"/>
          <w:u w:val="single"/>
        </w:rPr>
      </w:pPr>
      <w:r w:rsidRPr="00237FCE">
        <w:rPr>
          <w:rFonts w:eastAsia="Tahoma" w:cs="Tahoma"/>
          <w:b/>
          <w:bCs/>
          <w:szCs w:val="24"/>
        </w:rPr>
        <w:t>Page 1</w:t>
      </w:r>
      <w:r w:rsidR="00375E41">
        <w:rPr>
          <w:rFonts w:eastAsia="Tahoma" w:cs="Tahoma"/>
          <w:b/>
          <w:bCs/>
          <w:szCs w:val="24"/>
        </w:rPr>
        <w:t>4</w:t>
      </w:r>
      <w:r w:rsidRPr="00237FCE">
        <w:rPr>
          <w:rFonts w:eastAsia="Tahoma" w:cs="Tahoma"/>
          <w:b/>
          <w:bCs/>
          <w:szCs w:val="24"/>
        </w:rPr>
        <w:t xml:space="preserve">, Task </w:t>
      </w:r>
      <w:r w:rsidRPr="00237FCE">
        <w:rPr>
          <w:rFonts w:eastAsia="Tahoma" w:cs="Tahoma"/>
          <w:b/>
          <w:bCs/>
          <w:i/>
          <w:iCs/>
          <w:szCs w:val="24"/>
        </w:rPr>
        <w:t>&lt;Third to Last&gt;</w:t>
      </w:r>
      <w:r w:rsidRPr="00237FCE">
        <w:rPr>
          <w:rFonts w:eastAsia="Tahoma" w:cs="Tahoma"/>
          <w:b/>
          <w:bCs/>
          <w:szCs w:val="24"/>
        </w:rPr>
        <w:t>.</w:t>
      </w:r>
      <w:r w:rsidRPr="1B182E41">
        <w:rPr>
          <w:rFonts w:eastAsia="Tahoma" w:cs="Tahoma"/>
          <w:b/>
          <w:bCs/>
          <w:szCs w:val="24"/>
        </w:rPr>
        <w:t>2 Recordkeeping</w:t>
      </w:r>
    </w:p>
    <w:p w14:paraId="56805061" w14:textId="02029AF5" w:rsidR="275FC83B" w:rsidRDefault="275FC83B" w:rsidP="3A1426D0">
      <w:pPr>
        <w:pStyle w:val="ListParagraph"/>
        <w:numPr>
          <w:ilvl w:val="1"/>
          <w:numId w:val="6"/>
        </w:numPr>
        <w:spacing w:line="259" w:lineRule="auto"/>
        <w:rPr>
          <w:rFonts w:eastAsia="Tahoma" w:cs="Tahoma"/>
          <w:szCs w:val="24"/>
        </w:rPr>
      </w:pPr>
      <w:r w:rsidRPr="1B182E41">
        <w:rPr>
          <w:rFonts w:eastAsia="Tahoma" w:cs="Tahoma"/>
          <w:b/>
          <w:bCs/>
          <w:szCs w:val="24"/>
          <w:u w:val="single"/>
        </w:rPr>
        <w:t xml:space="preserve">The Recipient shall collect records for each charger installed and operated as part of this agreement for six years after the chargers </w:t>
      </w:r>
      <w:r w:rsidR="00080E73" w:rsidRPr="00237FCE">
        <w:rPr>
          <w:rFonts w:eastAsia="Tahoma" w:cs="Tahoma"/>
          <w:b/>
          <w:bCs/>
          <w:szCs w:val="24"/>
          <w:u w:val="single"/>
        </w:rPr>
        <w:t>begin operation</w:t>
      </w:r>
      <w:r w:rsidRPr="1B182E41">
        <w:rPr>
          <w:rFonts w:eastAsia="Tahoma" w:cs="Tahoma"/>
          <w:b/>
          <w:bCs/>
          <w:szCs w:val="24"/>
          <w:u w:val="single"/>
        </w:rPr>
        <w:t>.</w:t>
      </w:r>
    </w:p>
    <w:p w14:paraId="33CCCDE7" w14:textId="77777777" w:rsidR="00B1122A" w:rsidRPr="00B1122A" w:rsidRDefault="00B1122A" w:rsidP="3A1426D0">
      <w:pPr>
        <w:rPr>
          <w:rFonts w:ascii="Tahoma" w:eastAsia="Tahoma" w:hAnsi="Tahoma" w:cs="Tahoma"/>
          <w:b/>
          <w:bCs/>
        </w:rPr>
      </w:pPr>
    </w:p>
    <w:p w14:paraId="5303F674" w14:textId="299AF85A" w:rsidR="00B1122A" w:rsidRPr="00B1122A" w:rsidRDefault="008B513C" w:rsidP="3A1426D0">
      <w:pPr>
        <w:rPr>
          <w:rFonts w:ascii="Tahoma" w:eastAsia="Tahoma" w:hAnsi="Tahoma" w:cs="Tahoma"/>
          <w:b/>
          <w:bCs/>
        </w:rPr>
      </w:pPr>
      <w:r w:rsidRPr="3A1426D0">
        <w:rPr>
          <w:rFonts w:ascii="Tahoma" w:eastAsia="Tahoma" w:hAnsi="Tahoma" w:cs="Tahoma"/>
          <w:b/>
          <w:bCs/>
        </w:rPr>
        <w:t>Eilene Cary</w:t>
      </w:r>
      <w:r w:rsidR="00B1122A" w:rsidRPr="3A1426D0">
        <w:rPr>
          <w:rFonts w:ascii="Tahoma" w:eastAsia="Tahoma" w:hAnsi="Tahoma" w:cs="Tahoma"/>
          <w:b/>
          <w:bCs/>
        </w:rPr>
        <w:t>,</w:t>
      </w:r>
    </w:p>
    <w:p w14:paraId="19B4D541" w14:textId="3DDE6849" w:rsidR="00B1122A" w:rsidRPr="00B1122A" w:rsidRDefault="00B1122A" w:rsidP="3A1426D0">
      <w:pPr>
        <w:spacing w:after="480"/>
        <w:rPr>
          <w:rStyle w:val="normaltextrun"/>
          <w:rFonts w:ascii="Tahoma" w:eastAsia="Tahoma" w:hAnsi="Tahoma" w:cs="Tahoma"/>
          <w:b/>
          <w:bCs/>
        </w:rPr>
      </w:pPr>
      <w:r w:rsidRPr="3A1426D0">
        <w:rPr>
          <w:rFonts w:ascii="Tahoma" w:eastAsia="Tahoma" w:hAnsi="Tahoma" w:cs="Tahoma"/>
          <w:b/>
          <w:bCs/>
        </w:rPr>
        <w:t>Commission Agreement Officer</w:t>
      </w:r>
    </w:p>
    <w:sectPr w:rsidR="00B1122A" w:rsidRPr="00B1122A"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970E" w14:textId="77777777" w:rsidR="005935EC" w:rsidRDefault="005935EC" w:rsidP="00F86D2B">
      <w:r>
        <w:separator/>
      </w:r>
    </w:p>
  </w:endnote>
  <w:endnote w:type="continuationSeparator" w:id="0">
    <w:p w14:paraId="026894D6" w14:textId="77777777" w:rsidR="005935EC" w:rsidRDefault="005935EC" w:rsidP="00F86D2B">
      <w:r>
        <w:continuationSeparator/>
      </w:r>
    </w:p>
  </w:endnote>
  <w:endnote w:type="continuationNotice" w:id="1">
    <w:p w14:paraId="242DC413" w14:textId="77777777" w:rsidR="005935EC" w:rsidRDefault="00593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9906" w14:textId="77777777" w:rsidR="005935EC" w:rsidRDefault="005935EC" w:rsidP="00F86D2B">
      <w:r>
        <w:separator/>
      </w:r>
    </w:p>
  </w:footnote>
  <w:footnote w:type="continuationSeparator" w:id="0">
    <w:p w14:paraId="5BF8AD84" w14:textId="77777777" w:rsidR="005935EC" w:rsidRDefault="005935EC" w:rsidP="00F86D2B">
      <w:r>
        <w:continuationSeparator/>
      </w:r>
    </w:p>
  </w:footnote>
  <w:footnote w:type="continuationNotice" w:id="1">
    <w:p w14:paraId="316B5252" w14:textId="77777777" w:rsidR="005935EC" w:rsidRDefault="00593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3"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6"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7"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1"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2"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3"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4"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5"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6"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5"/>
  </w:num>
  <w:num w:numId="2" w16cid:durableId="2104446280">
    <w:abstractNumId w:val="15"/>
  </w:num>
  <w:num w:numId="3" w16cid:durableId="240332164">
    <w:abstractNumId w:val="6"/>
  </w:num>
  <w:num w:numId="4" w16cid:durableId="1098015283">
    <w:abstractNumId w:val="13"/>
  </w:num>
  <w:num w:numId="5" w16cid:durableId="1265114548">
    <w:abstractNumId w:val="0"/>
  </w:num>
  <w:num w:numId="6" w16cid:durableId="1238709476">
    <w:abstractNumId w:val="2"/>
  </w:num>
  <w:num w:numId="7" w16cid:durableId="280697836">
    <w:abstractNumId w:val="1"/>
  </w:num>
  <w:num w:numId="8" w16cid:durableId="413355859">
    <w:abstractNumId w:val="16"/>
  </w:num>
  <w:num w:numId="9" w16cid:durableId="1913268660">
    <w:abstractNumId w:val="7"/>
  </w:num>
  <w:num w:numId="10" w16cid:durableId="699628466">
    <w:abstractNumId w:val="4"/>
  </w:num>
  <w:num w:numId="11" w16cid:durableId="345250470">
    <w:abstractNumId w:val="3"/>
  </w:num>
  <w:num w:numId="12" w16cid:durableId="1469085168">
    <w:abstractNumId w:val="8"/>
  </w:num>
  <w:num w:numId="13" w16cid:durableId="1702894104">
    <w:abstractNumId w:val="9"/>
  </w:num>
  <w:num w:numId="14" w16cid:durableId="1109861117">
    <w:abstractNumId w:val="11"/>
  </w:num>
  <w:num w:numId="15" w16cid:durableId="1943873477">
    <w:abstractNumId w:val="10"/>
  </w:num>
  <w:num w:numId="16" w16cid:durableId="1775519359">
    <w:abstractNumId w:val="14"/>
  </w:num>
  <w:num w:numId="17" w16cid:durableId="1138646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7A4D"/>
    <w:rsid w:val="0004530F"/>
    <w:rsid w:val="0004705B"/>
    <w:rsid w:val="0004705D"/>
    <w:rsid w:val="00050144"/>
    <w:rsid w:val="000557AC"/>
    <w:rsid w:val="00060591"/>
    <w:rsid w:val="00063B9D"/>
    <w:rsid w:val="00070A57"/>
    <w:rsid w:val="00073AAB"/>
    <w:rsid w:val="00080E73"/>
    <w:rsid w:val="0009064B"/>
    <w:rsid w:val="000A3A4D"/>
    <w:rsid w:val="000A6936"/>
    <w:rsid w:val="000A6CE7"/>
    <w:rsid w:val="000C16AE"/>
    <w:rsid w:val="000D4A7B"/>
    <w:rsid w:val="000D6802"/>
    <w:rsid w:val="000D7EFA"/>
    <w:rsid w:val="000E31D6"/>
    <w:rsid w:val="00101FE3"/>
    <w:rsid w:val="00113707"/>
    <w:rsid w:val="0012428F"/>
    <w:rsid w:val="0012485D"/>
    <w:rsid w:val="001261BE"/>
    <w:rsid w:val="0014043C"/>
    <w:rsid w:val="0014731B"/>
    <w:rsid w:val="00155840"/>
    <w:rsid w:val="001A6899"/>
    <w:rsid w:val="001E3130"/>
    <w:rsid w:val="001F009D"/>
    <w:rsid w:val="001F62F3"/>
    <w:rsid w:val="00202FA7"/>
    <w:rsid w:val="00203587"/>
    <w:rsid w:val="00207F36"/>
    <w:rsid w:val="00217FFE"/>
    <w:rsid w:val="00235167"/>
    <w:rsid w:val="002360AF"/>
    <w:rsid w:val="00237FCE"/>
    <w:rsid w:val="00241792"/>
    <w:rsid w:val="002423CB"/>
    <w:rsid w:val="002440BB"/>
    <w:rsid w:val="002747CF"/>
    <w:rsid w:val="002A5F7A"/>
    <w:rsid w:val="002B6EF3"/>
    <w:rsid w:val="002C0604"/>
    <w:rsid w:val="002D11A5"/>
    <w:rsid w:val="002E6F17"/>
    <w:rsid w:val="0030036E"/>
    <w:rsid w:val="00300FB1"/>
    <w:rsid w:val="00306C82"/>
    <w:rsid w:val="00324B6A"/>
    <w:rsid w:val="003339E5"/>
    <w:rsid w:val="00344417"/>
    <w:rsid w:val="0035588C"/>
    <w:rsid w:val="00356181"/>
    <w:rsid w:val="00356C3F"/>
    <w:rsid w:val="00361958"/>
    <w:rsid w:val="00361F78"/>
    <w:rsid w:val="00375E41"/>
    <w:rsid w:val="003C0303"/>
    <w:rsid w:val="003C10D8"/>
    <w:rsid w:val="003C4BA4"/>
    <w:rsid w:val="003D1F0E"/>
    <w:rsid w:val="003D2D5A"/>
    <w:rsid w:val="003E0AD6"/>
    <w:rsid w:val="003E0D2D"/>
    <w:rsid w:val="003E404F"/>
    <w:rsid w:val="003E6DC4"/>
    <w:rsid w:val="00410AC7"/>
    <w:rsid w:val="00415DE9"/>
    <w:rsid w:val="00430859"/>
    <w:rsid w:val="004379A5"/>
    <w:rsid w:val="00437D5F"/>
    <w:rsid w:val="004450A4"/>
    <w:rsid w:val="004504D5"/>
    <w:rsid w:val="004552EF"/>
    <w:rsid w:val="004617E3"/>
    <w:rsid w:val="00463011"/>
    <w:rsid w:val="00475B35"/>
    <w:rsid w:val="0048053B"/>
    <w:rsid w:val="00493781"/>
    <w:rsid w:val="004A1AAA"/>
    <w:rsid w:val="004A4C18"/>
    <w:rsid w:val="004C2BB9"/>
    <w:rsid w:val="004D128F"/>
    <w:rsid w:val="005100D5"/>
    <w:rsid w:val="00514F53"/>
    <w:rsid w:val="00524EA9"/>
    <w:rsid w:val="00525E2C"/>
    <w:rsid w:val="00527817"/>
    <w:rsid w:val="00534797"/>
    <w:rsid w:val="00544461"/>
    <w:rsid w:val="005472B4"/>
    <w:rsid w:val="005568CA"/>
    <w:rsid w:val="005653EE"/>
    <w:rsid w:val="00566D9C"/>
    <w:rsid w:val="00577D95"/>
    <w:rsid w:val="00585A30"/>
    <w:rsid w:val="00586F20"/>
    <w:rsid w:val="00591CB7"/>
    <w:rsid w:val="005935EC"/>
    <w:rsid w:val="0059609D"/>
    <w:rsid w:val="005B4732"/>
    <w:rsid w:val="005C25A4"/>
    <w:rsid w:val="005C3765"/>
    <w:rsid w:val="005D3AC9"/>
    <w:rsid w:val="005E2A3F"/>
    <w:rsid w:val="005E6FA2"/>
    <w:rsid w:val="005E73CF"/>
    <w:rsid w:val="0061005A"/>
    <w:rsid w:val="00625D54"/>
    <w:rsid w:val="006511D6"/>
    <w:rsid w:val="00654BE4"/>
    <w:rsid w:val="00656EE0"/>
    <w:rsid w:val="00661D9B"/>
    <w:rsid w:val="0066339D"/>
    <w:rsid w:val="00680A36"/>
    <w:rsid w:val="00693454"/>
    <w:rsid w:val="006A2DB4"/>
    <w:rsid w:val="006A57AF"/>
    <w:rsid w:val="006B13F0"/>
    <w:rsid w:val="006D3827"/>
    <w:rsid w:val="006E146A"/>
    <w:rsid w:val="006F3469"/>
    <w:rsid w:val="006F39C6"/>
    <w:rsid w:val="006F54BC"/>
    <w:rsid w:val="00705E5E"/>
    <w:rsid w:val="007134AE"/>
    <w:rsid w:val="007211FC"/>
    <w:rsid w:val="00726394"/>
    <w:rsid w:val="00751C0F"/>
    <w:rsid w:val="00761F8B"/>
    <w:rsid w:val="00765810"/>
    <w:rsid w:val="00767BD5"/>
    <w:rsid w:val="0077265A"/>
    <w:rsid w:val="00777798"/>
    <w:rsid w:val="0078154A"/>
    <w:rsid w:val="00783717"/>
    <w:rsid w:val="0079120A"/>
    <w:rsid w:val="00795125"/>
    <w:rsid w:val="007C6C8A"/>
    <w:rsid w:val="007D545A"/>
    <w:rsid w:val="007E3E85"/>
    <w:rsid w:val="007F156D"/>
    <w:rsid w:val="007F2F5E"/>
    <w:rsid w:val="007F5A8E"/>
    <w:rsid w:val="007F633B"/>
    <w:rsid w:val="0080347E"/>
    <w:rsid w:val="00803E15"/>
    <w:rsid w:val="0081533B"/>
    <w:rsid w:val="0081551E"/>
    <w:rsid w:val="00815F24"/>
    <w:rsid w:val="00846985"/>
    <w:rsid w:val="00874988"/>
    <w:rsid w:val="00891290"/>
    <w:rsid w:val="00891410"/>
    <w:rsid w:val="008B35D7"/>
    <w:rsid w:val="008B513C"/>
    <w:rsid w:val="008C0DC2"/>
    <w:rsid w:val="008C462E"/>
    <w:rsid w:val="008D62BC"/>
    <w:rsid w:val="008E1433"/>
    <w:rsid w:val="008E14B6"/>
    <w:rsid w:val="008E3926"/>
    <w:rsid w:val="008E7852"/>
    <w:rsid w:val="008F7BB2"/>
    <w:rsid w:val="0090646F"/>
    <w:rsid w:val="009077DA"/>
    <w:rsid w:val="00910710"/>
    <w:rsid w:val="009273C8"/>
    <w:rsid w:val="009375BB"/>
    <w:rsid w:val="009407F5"/>
    <w:rsid w:val="00950AF4"/>
    <w:rsid w:val="00984095"/>
    <w:rsid w:val="00992483"/>
    <w:rsid w:val="009A0B3E"/>
    <w:rsid w:val="009A6EF8"/>
    <w:rsid w:val="009B64D6"/>
    <w:rsid w:val="009E6C35"/>
    <w:rsid w:val="009E754B"/>
    <w:rsid w:val="009F3382"/>
    <w:rsid w:val="00A13109"/>
    <w:rsid w:val="00A14685"/>
    <w:rsid w:val="00A15FA8"/>
    <w:rsid w:val="00A17202"/>
    <w:rsid w:val="00A3384C"/>
    <w:rsid w:val="00A36CF5"/>
    <w:rsid w:val="00A51684"/>
    <w:rsid w:val="00A5185E"/>
    <w:rsid w:val="00A55093"/>
    <w:rsid w:val="00A56900"/>
    <w:rsid w:val="00A71269"/>
    <w:rsid w:val="00A73089"/>
    <w:rsid w:val="00A86E81"/>
    <w:rsid w:val="00A87E10"/>
    <w:rsid w:val="00A90DC6"/>
    <w:rsid w:val="00AD21FC"/>
    <w:rsid w:val="00AD5870"/>
    <w:rsid w:val="00AE05B9"/>
    <w:rsid w:val="00B03AD3"/>
    <w:rsid w:val="00B04340"/>
    <w:rsid w:val="00B1122A"/>
    <w:rsid w:val="00B11AE4"/>
    <w:rsid w:val="00B30360"/>
    <w:rsid w:val="00B33F69"/>
    <w:rsid w:val="00B405AF"/>
    <w:rsid w:val="00B40921"/>
    <w:rsid w:val="00B50E6C"/>
    <w:rsid w:val="00B80E72"/>
    <w:rsid w:val="00B84D31"/>
    <w:rsid w:val="00B906E9"/>
    <w:rsid w:val="00B92657"/>
    <w:rsid w:val="00B95412"/>
    <w:rsid w:val="00BA1317"/>
    <w:rsid w:val="00BA3B0E"/>
    <w:rsid w:val="00BA3F4C"/>
    <w:rsid w:val="00BA55D6"/>
    <w:rsid w:val="00BB2CCD"/>
    <w:rsid w:val="00BB3B50"/>
    <w:rsid w:val="00BB5663"/>
    <w:rsid w:val="00BB5DCD"/>
    <w:rsid w:val="00BD4344"/>
    <w:rsid w:val="00C01C97"/>
    <w:rsid w:val="00C02FBD"/>
    <w:rsid w:val="00C03527"/>
    <w:rsid w:val="00C2336E"/>
    <w:rsid w:val="00C64455"/>
    <w:rsid w:val="00C67037"/>
    <w:rsid w:val="00C73A1F"/>
    <w:rsid w:val="00C96BDD"/>
    <w:rsid w:val="00CA6B2B"/>
    <w:rsid w:val="00CB056D"/>
    <w:rsid w:val="00CC5F6A"/>
    <w:rsid w:val="00CF73BF"/>
    <w:rsid w:val="00CF7E62"/>
    <w:rsid w:val="00D0089A"/>
    <w:rsid w:val="00D058BB"/>
    <w:rsid w:val="00D22B62"/>
    <w:rsid w:val="00D2427B"/>
    <w:rsid w:val="00D2465B"/>
    <w:rsid w:val="00D32C3D"/>
    <w:rsid w:val="00D33013"/>
    <w:rsid w:val="00D37E03"/>
    <w:rsid w:val="00D431C2"/>
    <w:rsid w:val="00D43B83"/>
    <w:rsid w:val="00D4532F"/>
    <w:rsid w:val="00D50B7B"/>
    <w:rsid w:val="00D65EA5"/>
    <w:rsid w:val="00D75BEE"/>
    <w:rsid w:val="00D96BD9"/>
    <w:rsid w:val="00D97F7F"/>
    <w:rsid w:val="00DB53FE"/>
    <w:rsid w:val="00DB5C18"/>
    <w:rsid w:val="00DD1BDC"/>
    <w:rsid w:val="00DE1276"/>
    <w:rsid w:val="00E210F6"/>
    <w:rsid w:val="00E33098"/>
    <w:rsid w:val="00E354EE"/>
    <w:rsid w:val="00E617CC"/>
    <w:rsid w:val="00E62715"/>
    <w:rsid w:val="00E95AA9"/>
    <w:rsid w:val="00EA7BDE"/>
    <w:rsid w:val="00EB2120"/>
    <w:rsid w:val="00EB669B"/>
    <w:rsid w:val="00ED18F1"/>
    <w:rsid w:val="00EF0AEE"/>
    <w:rsid w:val="00EF11B3"/>
    <w:rsid w:val="00F02416"/>
    <w:rsid w:val="00F053EC"/>
    <w:rsid w:val="00F05754"/>
    <w:rsid w:val="00F10DFF"/>
    <w:rsid w:val="00F220FC"/>
    <w:rsid w:val="00F22AD4"/>
    <w:rsid w:val="00F622F2"/>
    <w:rsid w:val="00F7696E"/>
    <w:rsid w:val="00F80D3B"/>
    <w:rsid w:val="00F86D2B"/>
    <w:rsid w:val="00F90F6B"/>
    <w:rsid w:val="00F921DF"/>
    <w:rsid w:val="00F92C5E"/>
    <w:rsid w:val="00F947AC"/>
    <w:rsid w:val="00F95D8D"/>
    <w:rsid w:val="00F967DF"/>
    <w:rsid w:val="00F97A78"/>
    <w:rsid w:val="00FA3E72"/>
    <w:rsid w:val="00FE5320"/>
    <w:rsid w:val="00FE7613"/>
    <w:rsid w:val="00FF4A14"/>
    <w:rsid w:val="00FF7303"/>
    <w:rsid w:val="02C011B5"/>
    <w:rsid w:val="03863AD3"/>
    <w:rsid w:val="044F58E5"/>
    <w:rsid w:val="04A83E66"/>
    <w:rsid w:val="055B2C1A"/>
    <w:rsid w:val="0766DBDC"/>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CB9717"/>
    <w:rsid w:val="23204D8A"/>
    <w:rsid w:val="23E10E14"/>
    <w:rsid w:val="2407BBC1"/>
    <w:rsid w:val="25E8229D"/>
    <w:rsid w:val="2603F4C9"/>
    <w:rsid w:val="260C380F"/>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F5ECBA"/>
    <w:rsid w:val="542E3444"/>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9D2B03"/>
    <w:rsid w:val="65B14D97"/>
    <w:rsid w:val="669DBF4B"/>
    <w:rsid w:val="6713FEFF"/>
    <w:rsid w:val="67BA17E7"/>
    <w:rsid w:val="68398FAC"/>
    <w:rsid w:val="69021CD1"/>
    <w:rsid w:val="69CCCA92"/>
    <w:rsid w:val="6B0616F6"/>
    <w:rsid w:val="6C980D1D"/>
    <w:rsid w:val="6D1B015D"/>
    <w:rsid w:val="6D87673D"/>
    <w:rsid w:val="6D9D12BA"/>
    <w:rsid w:val="6F07F6AA"/>
    <w:rsid w:val="70D4B37C"/>
    <w:rsid w:val="71092585"/>
    <w:rsid w:val="720D86AB"/>
    <w:rsid w:val="727083DD"/>
    <w:rsid w:val="73241326"/>
    <w:rsid w:val="742BDAE5"/>
    <w:rsid w:val="7439253F"/>
    <w:rsid w:val="74A60C4B"/>
    <w:rsid w:val="74F6544C"/>
    <w:rsid w:val="754ABC15"/>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67D39-677C-45F0-A310-67C5BE75DAFE}">
  <ds:schemaRefs>
    <ds:schemaRef ds:uri="785685f2-c2e1-4352-89aa-3faca8eaba52"/>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5067c814-4b34-462c-a21d-c185ff6548d2"/>
    <ds:schemaRef ds:uri="http://www.w3.org/XML/1998/namespace"/>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CF1BF9D3-71D5-4BC5-BBD6-0A73FBBC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GFO-22-614 Addendum 01 Cover Letter</vt:lpstr>
    </vt:vector>
  </TitlesOfParts>
  <Company>Wobschall Design</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GFO-22-614 Addendum 01 Cover Letter</dc:title>
  <dc:subject/>
  <dc:creator>Bailey Wobschall</dc:creator>
  <cp:keywords/>
  <dc:description/>
  <cp:lastModifiedBy>Cary, Eilene@Energy</cp:lastModifiedBy>
  <cp:revision>3</cp:revision>
  <cp:lastPrinted>2019-04-08T16:38:00Z</cp:lastPrinted>
  <dcterms:created xsi:type="dcterms:W3CDTF">2023-07-10T22:48:00Z</dcterms:created>
  <dcterms:modified xsi:type="dcterms:W3CDTF">2023-07-10T22:49:00Z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