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7C59" w14:textId="3F7F7267" w:rsidR="00177A40" w:rsidRPr="00702677" w:rsidRDefault="4D48488C" w:rsidP="00702677">
      <w:pPr>
        <w:pStyle w:val="Title"/>
        <w:jc w:val="center"/>
        <w:rPr>
          <w:rFonts w:ascii="Tahoma" w:hAnsi="Tahoma" w:cs="Tahoma"/>
          <w:sz w:val="40"/>
          <w:szCs w:val="40"/>
        </w:rPr>
      </w:pPr>
      <w:r w:rsidRPr="00702677">
        <w:rPr>
          <w:rFonts w:ascii="Tahoma" w:hAnsi="Tahoma" w:cs="Tahoma"/>
          <w:sz w:val="40"/>
          <w:szCs w:val="40"/>
        </w:rPr>
        <w:t>Questions and Answers</w:t>
      </w:r>
    </w:p>
    <w:p w14:paraId="6683C1AA" w14:textId="6A06BA7C" w:rsidR="00177A40" w:rsidRPr="00C62E90" w:rsidRDefault="4D48488C" w:rsidP="00702677">
      <w:pPr>
        <w:pStyle w:val="Subtitle"/>
        <w:jc w:val="center"/>
        <w:rPr>
          <w:rFonts w:ascii="Tahoma" w:hAnsi="Tahoma" w:cs="Tahoma"/>
          <w:b/>
          <w:bCs/>
          <w:color w:val="000000" w:themeColor="text1"/>
          <w:sz w:val="24"/>
          <w:szCs w:val="24"/>
        </w:rPr>
      </w:pPr>
      <w:r w:rsidRPr="00C62E90">
        <w:rPr>
          <w:rFonts w:ascii="Tahoma" w:hAnsi="Tahoma" w:cs="Tahoma"/>
          <w:b/>
          <w:bCs/>
          <w:color w:val="000000" w:themeColor="text1"/>
          <w:sz w:val="24"/>
          <w:szCs w:val="24"/>
        </w:rPr>
        <w:t>GFO-22-307</w:t>
      </w:r>
    </w:p>
    <w:p w14:paraId="41FFC99C" w14:textId="0D26F2BD" w:rsidR="00177A40" w:rsidRPr="00C62E90" w:rsidRDefault="6D517608" w:rsidP="00702677">
      <w:pPr>
        <w:pStyle w:val="Subtitle"/>
        <w:jc w:val="center"/>
        <w:rPr>
          <w:rFonts w:ascii="Tahoma" w:hAnsi="Tahoma" w:cs="Tahoma"/>
          <w:b/>
          <w:bCs/>
          <w:color w:val="000000" w:themeColor="text1"/>
          <w:sz w:val="24"/>
          <w:szCs w:val="24"/>
        </w:rPr>
      </w:pPr>
      <w:r w:rsidRPr="00C62E90">
        <w:rPr>
          <w:rFonts w:ascii="Tahoma" w:hAnsi="Tahoma" w:cs="Tahoma"/>
          <w:b/>
          <w:bCs/>
          <w:color w:val="000000" w:themeColor="text1"/>
          <w:sz w:val="24"/>
          <w:szCs w:val="24"/>
        </w:rPr>
        <w:t>Optimizing Long-Duration Energy Storage to Improve Resilience and Reliability in Disadvantaged and Low-Income Communities and Native American Tribes</w:t>
      </w:r>
    </w:p>
    <w:p w14:paraId="486AE860" w14:textId="35C2EC8B" w:rsidR="00177A40" w:rsidRPr="00702677" w:rsidRDefault="534393FF" w:rsidP="00702677">
      <w:pPr>
        <w:pStyle w:val="Subtitle"/>
        <w:jc w:val="center"/>
        <w:rPr>
          <w:rFonts w:ascii="Tahoma" w:hAnsi="Tahoma" w:cs="Tahoma"/>
          <w:color w:val="000000" w:themeColor="text1"/>
          <w:sz w:val="24"/>
          <w:szCs w:val="24"/>
        </w:rPr>
      </w:pPr>
      <w:r w:rsidRPr="00702677">
        <w:rPr>
          <w:rFonts w:ascii="Tahoma" w:hAnsi="Tahoma" w:cs="Tahoma"/>
          <w:color w:val="000000" w:themeColor="text1"/>
          <w:sz w:val="24"/>
          <w:szCs w:val="24"/>
        </w:rPr>
        <w:t xml:space="preserve">August </w:t>
      </w:r>
      <w:r w:rsidR="39E2302A" w:rsidRPr="00702677">
        <w:rPr>
          <w:rFonts w:ascii="Tahoma" w:hAnsi="Tahoma" w:cs="Tahoma"/>
          <w:color w:val="000000" w:themeColor="text1"/>
          <w:sz w:val="24"/>
          <w:szCs w:val="24"/>
        </w:rPr>
        <w:t>4</w:t>
      </w:r>
      <w:r w:rsidR="3509A737" w:rsidRPr="00702677">
        <w:rPr>
          <w:rFonts w:ascii="Tahoma" w:hAnsi="Tahoma" w:cs="Tahoma"/>
          <w:color w:val="000000" w:themeColor="text1"/>
          <w:sz w:val="24"/>
          <w:szCs w:val="24"/>
        </w:rPr>
        <w:t>, 2023</w:t>
      </w:r>
    </w:p>
    <w:p w14:paraId="512593E3" w14:textId="3DD53E0C" w:rsidR="00177A40" w:rsidRDefault="4D48488C" w:rsidP="25D41ABE">
      <w:pPr>
        <w:jc w:val="both"/>
        <w:rPr>
          <w:rFonts w:ascii="Tahoma" w:eastAsia="Tahoma" w:hAnsi="Tahoma" w:cs="Tahoma"/>
          <w:b/>
          <w:bCs/>
          <w:sz w:val="24"/>
          <w:szCs w:val="24"/>
        </w:rPr>
      </w:pPr>
      <w:r w:rsidRPr="34341375">
        <w:rPr>
          <w:rFonts w:ascii="Tahoma" w:eastAsia="Tahoma" w:hAnsi="Tahoma" w:cs="Tahoma"/>
          <w:b/>
          <w:bCs/>
          <w:sz w:val="24"/>
          <w:szCs w:val="24"/>
        </w:rPr>
        <w:t xml:space="preserve"> </w:t>
      </w:r>
    </w:p>
    <w:p w14:paraId="71DD3AF9" w14:textId="109E15DB" w:rsidR="00177A40" w:rsidRDefault="4D48488C" w:rsidP="00304287">
      <w:pPr>
        <w:rPr>
          <w:rFonts w:ascii="Tahoma" w:eastAsia="Tahoma" w:hAnsi="Tahoma" w:cs="Tahoma"/>
          <w:sz w:val="24"/>
          <w:szCs w:val="24"/>
        </w:rPr>
      </w:pPr>
      <w:r w:rsidRPr="34341375">
        <w:rPr>
          <w:rFonts w:ascii="Tahoma" w:eastAsia="Tahoma" w:hAnsi="Tahoma" w:cs="Tahoma"/>
          <w:sz w:val="24"/>
          <w:szCs w:val="24"/>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380570AD" w14:textId="5AC442AE" w:rsidR="00177A40" w:rsidRPr="00702677" w:rsidRDefault="4D48488C" w:rsidP="00702677">
      <w:pPr>
        <w:pStyle w:val="Heading1"/>
        <w:rPr>
          <w:rFonts w:ascii="Tahoma" w:hAnsi="Tahoma" w:cs="Tahoma"/>
          <w:b/>
          <w:bCs/>
          <w:color w:val="000000" w:themeColor="text1"/>
          <w:sz w:val="24"/>
          <w:szCs w:val="24"/>
        </w:rPr>
      </w:pPr>
      <w:r w:rsidRPr="00702677">
        <w:rPr>
          <w:rFonts w:ascii="Tahoma" w:hAnsi="Tahoma" w:cs="Tahoma"/>
          <w:b/>
          <w:bCs/>
          <w:color w:val="000000" w:themeColor="text1"/>
          <w:sz w:val="24"/>
          <w:szCs w:val="24"/>
        </w:rPr>
        <w:t>Section 1: Questions on Technical Requirements</w:t>
      </w:r>
      <w:r w:rsidR="00DE7060">
        <w:rPr>
          <w:rFonts w:ascii="Tahoma" w:hAnsi="Tahoma" w:cs="Tahoma"/>
          <w:b/>
          <w:bCs/>
          <w:color w:val="000000" w:themeColor="text1"/>
          <w:sz w:val="24"/>
          <w:szCs w:val="24"/>
        </w:rPr>
        <w:br/>
      </w:r>
    </w:p>
    <w:p w14:paraId="0E5493CA" w14:textId="09770E94" w:rsidR="36B30665" w:rsidRDefault="36B30665"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The solicitation specifically states that this funding opportunity is open to non–Li-ion, electrochemical or thermal LDES technologies, but does not explicitly deny technologies like flow batteries, compressed </w:t>
      </w:r>
      <w:proofErr w:type="gramStart"/>
      <w:r w:rsidRPr="34341375">
        <w:rPr>
          <w:rFonts w:ascii="Tahoma" w:eastAsia="Tahoma" w:hAnsi="Tahoma" w:cs="Tahoma"/>
          <w:sz w:val="24"/>
          <w:szCs w:val="24"/>
        </w:rPr>
        <w:t>air</w:t>
      </w:r>
      <w:proofErr w:type="gramEnd"/>
      <w:r w:rsidRPr="34341375">
        <w:rPr>
          <w:rFonts w:ascii="Tahoma" w:eastAsia="Tahoma" w:hAnsi="Tahoma" w:cs="Tahoma"/>
          <w:sz w:val="24"/>
          <w:szCs w:val="24"/>
        </w:rPr>
        <w:t xml:space="preserve"> and gravity systems. Thus, the question is – would these energy storage technologies qualify under the GFO?</w:t>
      </w:r>
    </w:p>
    <w:p w14:paraId="394DAFE0" w14:textId="67D25697" w:rsidR="36B30665" w:rsidRDefault="36B30665" w:rsidP="00DE7060">
      <w:pPr>
        <w:spacing w:line="257" w:lineRule="auto"/>
        <w:ind w:left="720"/>
        <w:rPr>
          <w:rFonts w:ascii="Tahoma" w:eastAsia="Tahoma" w:hAnsi="Tahoma" w:cs="Tahoma"/>
          <w:sz w:val="24"/>
          <w:szCs w:val="24"/>
        </w:rPr>
      </w:pPr>
      <w:r w:rsidRPr="31423267">
        <w:rPr>
          <w:rFonts w:ascii="Tahoma" w:eastAsia="Tahoma" w:hAnsi="Tahoma" w:cs="Tahoma"/>
          <w:b/>
          <w:bCs/>
          <w:sz w:val="24"/>
          <w:szCs w:val="24"/>
        </w:rPr>
        <w:t xml:space="preserve">A: </w:t>
      </w:r>
      <w:r w:rsidR="00E1C60B" w:rsidRPr="31423267">
        <w:rPr>
          <w:rFonts w:ascii="Tahoma" w:eastAsia="Tahoma" w:hAnsi="Tahoma" w:cs="Tahoma"/>
          <w:sz w:val="24"/>
          <w:szCs w:val="24"/>
        </w:rPr>
        <w:t xml:space="preserve">This GFO is </w:t>
      </w:r>
      <w:r w:rsidR="4203B4F2" w:rsidRPr="31423267">
        <w:rPr>
          <w:rFonts w:ascii="Tahoma" w:eastAsia="Tahoma" w:hAnsi="Tahoma" w:cs="Tahoma"/>
          <w:sz w:val="24"/>
          <w:szCs w:val="24"/>
        </w:rPr>
        <w:t xml:space="preserve">only open to </w:t>
      </w:r>
      <w:r w:rsidR="0BC957FA" w:rsidRPr="4CACCB5C">
        <w:rPr>
          <w:rFonts w:ascii="Tahoma" w:eastAsia="Tahoma" w:hAnsi="Tahoma" w:cs="Tahoma"/>
          <w:sz w:val="24"/>
          <w:szCs w:val="24"/>
        </w:rPr>
        <w:t xml:space="preserve">non-Li-ion </w:t>
      </w:r>
      <w:r w:rsidR="4203B4F2" w:rsidRPr="31423267">
        <w:rPr>
          <w:rFonts w:ascii="Tahoma" w:eastAsia="Tahoma" w:hAnsi="Tahoma" w:cs="Tahoma"/>
          <w:sz w:val="24"/>
          <w:szCs w:val="24"/>
        </w:rPr>
        <w:t xml:space="preserve">electrochemical or thermal </w:t>
      </w:r>
      <w:r w:rsidR="0CADA827" w:rsidRPr="4CACCB5C">
        <w:rPr>
          <w:rFonts w:ascii="Tahoma" w:eastAsia="Tahoma" w:hAnsi="Tahoma" w:cs="Tahoma"/>
          <w:sz w:val="24"/>
          <w:szCs w:val="24"/>
        </w:rPr>
        <w:t xml:space="preserve">long-duration storage </w:t>
      </w:r>
      <w:r w:rsidR="4203B4F2" w:rsidRPr="31423267">
        <w:rPr>
          <w:rFonts w:ascii="Tahoma" w:eastAsia="Tahoma" w:hAnsi="Tahoma" w:cs="Tahoma"/>
          <w:sz w:val="24"/>
          <w:szCs w:val="24"/>
        </w:rPr>
        <w:t xml:space="preserve">technologies and </w:t>
      </w:r>
      <w:r w:rsidR="00E1C60B" w:rsidRPr="31423267">
        <w:rPr>
          <w:rFonts w:ascii="Tahoma" w:eastAsia="Tahoma" w:hAnsi="Tahoma" w:cs="Tahoma"/>
          <w:sz w:val="24"/>
          <w:szCs w:val="24"/>
        </w:rPr>
        <w:t>is not open to</w:t>
      </w:r>
      <w:r w:rsidRPr="31423267">
        <w:rPr>
          <w:rFonts w:ascii="Tahoma" w:eastAsia="Tahoma" w:hAnsi="Tahoma" w:cs="Tahoma"/>
          <w:sz w:val="24"/>
          <w:szCs w:val="24"/>
        </w:rPr>
        <w:t xml:space="preserve"> mechanical energy storage like compressed air and gravity</w:t>
      </w:r>
      <w:r w:rsidR="300B7C15" w:rsidRPr="31423267">
        <w:rPr>
          <w:rFonts w:ascii="Tahoma" w:eastAsia="Tahoma" w:hAnsi="Tahoma" w:cs="Tahoma"/>
          <w:sz w:val="24"/>
          <w:szCs w:val="24"/>
        </w:rPr>
        <w:t xml:space="preserve"> technologies and systems</w:t>
      </w:r>
      <w:r w:rsidRPr="31423267">
        <w:rPr>
          <w:rFonts w:ascii="Tahoma" w:eastAsia="Tahoma" w:hAnsi="Tahoma" w:cs="Tahoma"/>
          <w:sz w:val="24"/>
          <w:szCs w:val="24"/>
        </w:rPr>
        <w:t xml:space="preserve">. </w:t>
      </w:r>
      <w:r w:rsidR="00490112" w:rsidRPr="31423267">
        <w:rPr>
          <w:rFonts w:ascii="Tahoma" w:eastAsia="Tahoma" w:hAnsi="Tahoma" w:cs="Tahoma"/>
          <w:sz w:val="24"/>
          <w:szCs w:val="24"/>
        </w:rPr>
        <w:t>Flow batteries are considered electrochemical, so those would be eligible for this funding.</w:t>
      </w:r>
    </w:p>
    <w:p w14:paraId="40B439A7" w14:textId="6338BA2C" w:rsidR="34341375" w:rsidRDefault="34341375" w:rsidP="00DE7060">
      <w:pPr>
        <w:spacing w:line="257" w:lineRule="auto"/>
        <w:ind w:hanging="720"/>
        <w:rPr>
          <w:rFonts w:ascii="Tahoma" w:eastAsia="Tahoma" w:hAnsi="Tahoma" w:cs="Tahoma"/>
          <w:sz w:val="24"/>
          <w:szCs w:val="24"/>
        </w:rPr>
      </w:pPr>
    </w:p>
    <w:p w14:paraId="4FA91D9F" w14:textId="338F98E6" w:rsidR="167B7206" w:rsidRDefault="167B7206"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What dataset should applicants use to demonstrate high PSPS impacts in a community?</w:t>
      </w:r>
    </w:p>
    <w:p w14:paraId="12A5D2F1" w14:textId="6C39299D" w:rsidR="167B7206" w:rsidRDefault="167B7206" w:rsidP="00DE7060">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36DD56C5" w:rsidRPr="6814AE1C">
        <w:rPr>
          <w:rFonts w:ascii="Tahoma" w:eastAsia="Tahoma" w:hAnsi="Tahoma" w:cs="Tahoma"/>
          <w:sz w:val="24"/>
          <w:szCs w:val="24"/>
        </w:rPr>
        <w:t>Th</w:t>
      </w:r>
      <w:r w:rsidR="00E35CD4">
        <w:rPr>
          <w:rFonts w:ascii="Tahoma" w:eastAsia="Tahoma" w:hAnsi="Tahoma" w:cs="Tahoma"/>
          <w:sz w:val="24"/>
          <w:szCs w:val="24"/>
        </w:rPr>
        <w:t>is</w:t>
      </w:r>
      <w:r w:rsidR="36DD56C5" w:rsidRPr="6814AE1C">
        <w:rPr>
          <w:rFonts w:ascii="Tahoma" w:eastAsia="Tahoma" w:hAnsi="Tahoma" w:cs="Tahoma"/>
          <w:sz w:val="24"/>
          <w:szCs w:val="24"/>
        </w:rPr>
        <w:t xml:space="preserve"> GF</w:t>
      </w:r>
      <w:r w:rsidR="33ADA3C2" w:rsidRPr="6814AE1C">
        <w:rPr>
          <w:rFonts w:ascii="Tahoma" w:eastAsia="Tahoma" w:hAnsi="Tahoma" w:cs="Tahoma"/>
          <w:sz w:val="24"/>
          <w:szCs w:val="24"/>
        </w:rPr>
        <w:t>O</w:t>
      </w:r>
      <w:r w:rsidR="36DD56C5" w:rsidRPr="6814AE1C">
        <w:rPr>
          <w:rFonts w:ascii="Tahoma" w:eastAsia="Tahoma" w:hAnsi="Tahoma" w:cs="Tahoma"/>
          <w:sz w:val="24"/>
          <w:szCs w:val="24"/>
        </w:rPr>
        <w:t xml:space="preserve"> does not define a specific dataset</w:t>
      </w:r>
      <w:r w:rsidR="007B5CB2">
        <w:rPr>
          <w:rFonts w:ascii="Tahoma" w:eastAsia="Tahoma" w:hAnsi="Tahoma" w:cs="Tahoma"/>
          <w:sz w:val="24"/>
          <w:szCs w:val="24"/>
        </w:rPr>
        <w:t>; it</w:t>
      </w:r>
      <w:r w:rsidR="6A78CA09" w:rsidRPr="6814AE1C">
        <w:rPr>
          <w:rFonts w:ascii="Tahoma" w:eastAsia="Tahoma" w:hAnsi="Tahoma" w:cs="Tahoma"/>
          <w:sz w:val="24"/>
          <w:szCs w:val="24"/>
        </w:rPr>
        <w:t xml:space="preserve"> is up to the applicant to use modeling tools, reports, etc., to describe the impact of power outages on the proposed demonstration site area.</w:t>
      </w:r>
      <w:r w:rsidRPr="34341375">
        <w:rPr>
          <w:rFonts w:ascii="Tahoma" w:eastAsia="Tahoma" w:hAnsi="Tahoma" w:cs="Tahoma"/>
          <w:sz w:val="24"/>
          <w:szCs w:val="24"/>
        </w:rPr>
        <w:t xml:space="preserve"> These could be from agencies like the </w:t>
      </w:r>
      <w:r w:rsidRPr="3C23F0F2">
        <w:rPr>
          <w:rFonts w:ascii="Tahoma" w:eastAsia="Tahoma" w:hAnsi="Tahoma" w:cs="Tahoma"/>
          <w:sz w:val="24"/>
          <w:szCs w:val="24"/>
        </w:rPr>
        <w:t>C</w:t>
      </w:r>
      <w:r w:rsidR="35698693" w:rsidRPr="3C23F0F2">
        <w:rPr>
          <w:rFonts w:ascii="Tahoma" w:eastAsia="Tahoma" w:hAnsi="Tahoma" w:cs="Tahoma"/>
          <w:sz w:val="24"/>
          <w:szCs w:val="24"/>
        </w:rPr>
        <w:t>alifornia Public Utilities Commission (</w:t>
      </w:r>
      <w:r w:rsidRPr="34341375">
        <w:rPr>
          <w:rFonts w:ascii="Tahoma" w:eastAsia="Tahoma" w:hAnsi="Tahoma" w:cs="Tahoma"/>
          <w:sz w:val="24"/>
          <w:szCs w:val="24"/>
        </w:rPr>
        <w:t>CPUC</w:t>
      </w:r>
      <w:r w:rsidR="21D76D5E" w:rsidRPr="245AFEC8">
        <w:rPr>
          <w:rFonts w:ascii="Tahoma" w:eastAsia="Tahoma" w:hAnsi="Tahoma" w:cs="Tahoma"/>
          <w:sz w:val="24"/>
          <w:szCs w:val="24"/>
        </w:rPr>
        <w:t>)</w:t>
      </w:r>
      <w:r w:rsidRPr="34341375">
        <w:rPr>
          <w:rFonts w:ascii="Tahoma" w:eastAsia="Tahoma" w:hAnsi="Tahoma" w:cs="Tahoma"/>
          <w:sz w:val="24"/>
          <w:szCs w:val="24"/>
        </w:rPr>
        <w:t xml:space="preserve"> or </w:t>
      </w:r>
      <w:r w:rsidR="7EC00B3C" w:rsidRPr="3C23F0F2">
        <w:rPr>
          <w:rFonts w:ascii="Tahoma" w:eastAsia="Tahoma" w:hAnsi="Tahoma" w:cs="Tahoma"/>
          <w:sz w:val="24"/>
          <w:szCs w:val="24"/>
        </w:rPr>
        <w:t>the California Air Resources Board (</w:t>
      </w:r>
      <w:r w:rsidRPr="34341375">
        <w:rPr>
          <w:rFonts w:ascii="Tahoma" w:eastAsia="Tahoma" w:hAnsi="Tahoma" w:cs="Tahoma"/>
          <w:sz w:val="24"/>
          <w:szCs w:val="24"/>
        </w:rPr>
        <w:t>CARB</w:t>
      </w:r>
      <w:r w:rsidR="4A47C405" w:rsidRPr="3C23F0F2">
        <w:rPr>
          <w:rFonts w:ascii="Tahoma" w:eastAsia="Tahoma" w:hAnsi="Tahoma" w:cs="Tahoma"/>
          <w:sz w:val="24"/>
          <w:szCs w:val="24"/>
        </w:rPr>
        <w:t>)</w:t>
      </w:r>
      <w:r w:rsidRPr="3C23F0F2">
        <w:rPr>
          <w:rFonts w:ascii="Tahoma" w:eastAsia="Tahoma" w:hAnsi="Tahoma" w:cs="Tahoma"/>
          <w:sz w:val="24"/>
          <w:szCs w:val="24"/>
        </w:rPr>
        <w:t>.</w:t>
      </w:r>
      <w:r w:rsidRPr="34341375">
        <w:rPr>
          <w:rFonts w:ascii="Tahoma" w:eastAsia="Tahoma" w:hAnsi="Tahoma" w:cs="Tahoma"/>
          <w:sz w:val="24"/>
          <w:szCs w:val="24"/>
        </w:rPr>
        <w:t xml:space="preserve"> CARB</w:t>
      </w:r>
      <w:r w:rsidRPr="34341375" w:rsidDel="00F349ED">
        <w:rPr>
          <w:rFonts w:ascii="Tahoma" w:eastAsia="Tahoma" w:hAnsi="Tahoma" w:cs="Tahoma"/>
          <w:sz w:val="24"/>
          <w:szCs w:val="24"/>
        </w:rPr>
        <w:t xml:space="preserve"> </w:t>
      </w:r>
      <w:r w:rsidRPr="34341375">
        <w:rPr>
          <w:rFonts w:ascii="Tahoma" w:eastAsia="Tahoma" w:hAnsi="Tahoma" w:cs="Tahoma"/>
          <w:sz w:val="24"/>
          <w:szCs w:val="24"/>
        </w:rPr>
        <w:t>reports on durations, locations, and frequency of</w:t>
      </w:r>
      <w:r w:rsidR="00F13879">
        <w:rPr>
          <w:rFonts w:ascii="Tahoma" w:eastAsia="Tahoma" w:hAnsi="Tahoma" w:cs="Tahoma"/>
          <w:sz w:val="24"/>
          <w:szCs w:val="24"/>
        </w:rPr>
        <w:t xml:space="preserve"> public safety power </w:t>
      </w:r>
      <w:r w:rsidR="00CE0553">
        <w:rPr>
          <w:rFonts w:ascii="Tahoma" w:eastAsia="Tahoma" w:hAnsi="Tahoma" w:cs="Tahoma"/>
          <w:sz w:val="24"/>
          <w:szCs w:val="24"/>
        </w:rPr>
        <w:t>shutoffs</w:t>
      </w:r>
      <w:r w:rsidRPr="34341375">
        <w:rPr>
          <w:rFonts w:ascii="Tahoma" w:eastAsia="Tahoma" w:hAnsi="Tahoma" w:cs="Tahoma"/>
          <w:sz w:val="24"/>
          <w:szCs w:val="24"/>
        </w:rPr>
        <w:t xml:space="preserve"> </w:t>
      </w:r>
      <w:r w:rsidR="00F13879">
        <w:rPr>
          <w:rFonts w:ascii="Tahoma" w:eastAsia="Tahoma" w:hAnsi="Tahoma" w:cs="Tahoma"/>
          <w:sz w:val="24"/>
          <w:szCs w:val="24"/>
        </w:rPr>
        <w:t>(</w:t>
      </w:r>
      <w:r w:rsidRPr="34341375">
        <w:rPr>
          <w:rFonts w:ascii="Tahoma" w:eastAsia="Tahoma" w:hAnsi="Tahoma" w:cs="Tahoma"/>
          <w:sz w:val="24"/>
          <w:szCs w:val="24"/>
        </w:rPr>
        <w:t>PSPS</w:t>
      </w:r>
      <w:r w:rsidR="00F13879">
        <w:rPr>
          <w:rFonts w:ascii="Tahoma" w:eastAsia="Tahoma" w:hAnsi="Tahoma" w:cs="Tahoma"/>
          <w:sz w:val="24"/>
          <w:szCs w:val="24"/>
        </w:rPr>
        <w:t>)</w:t>
      </w:r>
      <w:r w:rsidRPr="34341375">
        <w:rPr>
          <w:rFonts w:ascii="Tahoma" w:eastAsia="Tahoma" w:hAnsi="Tahoma" w:cs="Tahoma"/>
          <w:sz w:val="24"/>
          <w:szCs w:val="24"/>
        </w:rPr>
        <w:t xml:space="preserve">, so this might be a useful resource. </w:t>
      </w:r>
    </w:p>
    <w:p w14:paraId="7E68E91A" w14:textId="73D25F31" w:rsidR="34341375" w:rsidRDefault="34341375" w:rsidP="00DE7060">
      <w:pPr>
        <w:spacing w:line="257" w:lineRule="auto"/>
        <w:ind w:hanging="720"/>
        <w:rPr>
          <w:rFonts w:ascii="Tahoma" w:eastAsia="Tahoma" w:hAnsi="Tahoma" w:cs="Tahoma"/>
          <w:sz w:val="24"/>
          <w:szCs w:val="24"/>
        </w:rPr>
      </w:pPr>
    </w:p>
    <w:p w14:paraId="3C4EE54C" w14:textId="224598FB" w:rsidR="167B7206" w:rsidRDefault="167B7206"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lastRenderedPageBreak/>
        <w:t>Q:</w:t>
      </w:r>
      <w:r w:rsidRPr="34341375">
        <w:rPr>
          <w:rFonts w:ascii="Tahoma" w:eastAsia="Tahoma" w:hAnsi="Tahoma" w:cs="Tahoma"/>
          <w:sz w:val="24"/>
          <w:szCs w:val="24"/>
        </w:rPr>
        <w:t xml:space="preserve"> I wanted to learn more about the benefits that will be evaluated for the disadvantaged and low-income communities. Will reduction in environmental impacts, such as improvement to air quality be considered?</w:t>
      </w:r>
    </w:p>
    <w:p w14:paraId="4331DCBB" w14:textId="20AD8659" w:rsidR="167B7206" w:rsidRDefault="167B7206" w:rsidP="00DE7060">
      <w:pPr>
        <w:spacing w:line="257" w:lineRule="auto"/>
        <w:ind w:left="720"/>
        <w:rPr>
          <w:rFonts w:ascii="Tahoma" w:eastAsia="Tahoma" w:hAnsi="Tahoma" w:cs="Tahoma"/>
          <w:sz w:val="24"/>
          <w:szCs w:val="24"/>
        </w:rPr>
      </w:pPr>
      <w:r w:rsidRPr="6814AE1C">
        <w:rPr>
          <w:rFonts w:ascii="Tahoma" w:eastAsia="Tahoma" w:hAnsi="Tahoma" w:cs="Tahoma"/>
          <w:b/>
          <w:bCs/>
          <w:sz w:val="24"/>
          <w:szCs w:val="24"/>
        </w:rPr>
        <w:t xml:space="preserve">A: </w:t>
      </w:r>
      <w:r w:rsidR="7B684C38" w:rsidRPr="6814AE1C">
        <w:rPr>
          <w:rFonts w:ascii="Tahoma" w:eastAsia="Tahoma" w:hAnsi="Tahoma" w:cs="Tahoma"/>
          <w:sz w:val="24"/>
          <w:szCs w:val="24"/>
        </w:rPr>
        <w:t>Yes, r</w:t>
      </w:r>
      <w:r w:rsidR="3CC6EB65" w:rsidRPr="6814AE1C">
        <w:rPr>
          <w:rFonts w:ascii="Tahoma" w:eastAsia="Tahoma" w:hAnsi="Tahoma" w:cs="Tahoma"/>
          <w:sz w:val="24"/>
          <w:szCs w:val="24"/>
        </w:rPr>
        <w:t xml:space="preserve">eduction in environmental impacts, such as improvement to air quality will be considered, among other factors used by </w:t>
      </w:r>
      <w:proofErr w:type="spellStart"/>
      <w:r w:rsidR="3CC6EB65" w:rsidRPr="6814AE1C">
        <w:rPr>
          <w:rFonts w:ascii="Tahoma" w:eastAsia="Tahoma" w:hAnsi="Tahoma" w:cs="Tahoma"/>
          <w:sz w:val="24"/>
          <w:szCs w:val="24"/>
        </w:rPr>
        <w:t>CalEnviroScreen</w:t>
      </w:r>
      <w:proofErr w:type="spellEnd"/>
      <w:r w:rsidR="3CC6EB65" w:rsidRPr="6814AE1C">
        <w:rPr>
          <w:rFonts w:ascii="Tahoma" w:eastAsia="Tahoma" w:hAnsi="Tahoma" w:cs="Tahoma"/>
          <w:sz w:val="24"/>
          <w:szCs w:val="24"/>
        </w:rPr>
        <w:t xml:space="preserve">. </w:t>
      </w:r>
      <w:r w:rsidR="6DB62F49" w:rsidRPr="6814AE1C">
        <w:rPr>
          <w:rFonts w:ascii="Tahoma" w:eastAsia="Tahoma" w:hAnsi="Tahoma" w:cs="Tahoma"/>
          <w:sz w:val="24"/>
          <w:szCs w:val="24"/>
        </w:rPr>
        <w:t>Project evaluation u</w:t>
      </w:r>
      <w:r w:rsidR="19E3D625" w:rsidRPr="6814AE1C">
        <w:rPr>
          <w:rFonts w:ascii="Tahoma" w:eastAsia="Tahoma" w:hAnsi="Tahoma" w:cs="Tahoma"/>
          <w:sz w:val="24"/>
          <w:szCs w:val="24"/>
        </w:rPr>
        <w:t>nder</w:t>
      </w:r>
      <w:r w:rsidRPr="6814AE1C">
        <w:rPr>
          <w:rFonts w:ascii="Tahoma" w:eastAsia="Tahoma" w:hAnsi="Tahoma" w:cs="Tahoma"/>
          <w:sz w:val="24"/>
          <w:szCs w:val="24"/>
        </w:rPr>
        <w:t xml:space="preserve"> </w:t>
      </w:r>
      <w:r w:rsidR="001A0DF3" w:rsidRPr="6814AE1C">
        <w:rPr>
          <w:rFonts w:ascii="Tahoma" w:eastAsia="Tahoma" w:hAnsi="Tahoma" w:cs="Tahoma"/>
          <w:sz w:val="24"/>
          <w:szCs w:val="24"/>
        </w:rPr>
        <w:t>C</w:t>
      </w:r>
      <w:r w:rsidRPr="6814AE1C">
        <w:rPr>
          <w:rFonts w:ascii="Tahoma" w:eastAsia="Tahoma" w:hAnsi="Tahoma" w:cs="Tahoma"/>
          <w:sz w:val="24"/>
          <w:szCs w:val="24"/>
        </w:rPr>
        <w:t>riteria 8</w:t>
      </w:r>
      <w:r w:rsidR="048193DC" w:rsidRPr="6814AE1C">
        <w:rPr>
          <w:rFonts w:ascii="Tahoma" w:eastAsia="Tahoma" w:hAnsi="Tahoma" w:cs="Tahoma"/>
          <w:sz w:val="24"/>
          <w:szCs w:val="24"/>
        </w:rPr>
        <w:t>, sub-criterion 8.3</w:t>
      </w:r>
      <w:r w:rsidR="76801320" w:rsidRPr="6814AE1C">
        <w:rPr>
          <w:rFonts w:ascii="Tahoma" w:eastAsia="Tahoma" w:hAnsi="Tahoma" w:cs="Tahoma"/>
          <w:sz w:val="24"/>
          <w:szCs w:val="24"/>
        </w:rPr>
        <w:t xml:space="preserve"> “Localized Health Impacts”</w:t>
      </w:r>
      <w:r w:rsidR="08CE257B" w:rsidRPr="6814AE1C">
        <w:rPr>
          <w:rFonts w:ascii="Tahoma" w:eastAsia="Tahoma" w:hAnsi="Tahoma" w:cs="Tahoma"/>
          <w:sz w:val="24"/>
          <w:szCs w:val="24"/>
        </w:rPr>
        <w:t xml:space="preserve">, </w:t>
      </w:r>
      <w:r w:rsidR="555C8A4A" w:rsidRPr="6814AE1C">
        <w:rPr>
          <w:rFonts w:ascii="Tahoma" w:eastAsia="Tahoma" w:hAnsi="Tahoma" w:cs="Tahoma"/>
          <w:sz w:val="24"/>
          <w:szCs w:val="24"/>
        </w:rPr>
        <w:t>include</w:t>
      </w:r>
      <w:r w:rsidR="50757F94" w:rsidRPr="6814AE1C">
        <w:rPr>
          <w:rFonts w:ascii="Tahoma" w:eastAsia="Tahoma" w:hAnsi="Tahoma" w:cs="Tahoma"/>
          <w:sz w:val="24"/>
          <w:szCs w:val="24"/>
        </w:rPr>
        <w:t xml:space="preserve"> how a project will</w:t>
      </w:r>
      <w:r w:rsidR="555C8A4A" w:rsidRPr="6814AE1C">
        <w:rPr>
          <w:rFonts w:ascii="Tahoma" w:eastAsia="Tahoma" w:hAnsi="Tahoma" w:cs="Tahoma"/>
          <w:sz w:val="24"/>
          <w:szCs w:val="24"/>
        </w:rPr>
        <w:t xml:space="preserve"> </w:t>
      </w:r>
      <w:r w:rsidR="0831F4A3" w:rsidRPr="6814AE1C">
        <w:rPr>
          <w:rFonts w:ascii="Tahoma" w:eastAsia="Tahoma" w:hAnsi="Tahoma" w:cs="Tahoma"/>
          <w:sz w:val="24"/>
          <w:szCs w:val="24"/>
        </w:rPr>
        <w:t>“</w:t>
      </w:r>
      <w:r w:rsidR="0831F4A3" w:rsidRPr="6814AE1C">
        <w:rPr>
          <w:rFonts w:ascii="Arial" w:eastAsia="Arial" w:hAnsi="Arial" w:cs="Arial"/>
          <w:color w:val="000000" w:themeColor="text1"/>
          <w:sz w:val="24"/>
          <w:szCs w:val="24"/>
        </w:rPr>
        <w:t>reduce or not otherwise impact the community’s exposure to pollutants and the adverse environmental conditions caused by pollution and/or climate change.”</w:t>
      </w:r>
    </w:p>
    <w:p w14:paraId="72EC95B8" w14:textId="13B3D8A0" w:rsidR="34341375" w:rsidRDefault="34341375" w:rsidP="00DE7060">
      <w:pPr>
        <w:spacing w:line="257" w:lineRule="auto"/>
        <w:ind w:hanging="720"/>
        <w:rPr>
          <w:rFonts w:ascii="Tahoma" w:eastAsia="Tahoma" w:hAnsi="Tahoma" w:cs="Tahoma"/>
          <w:sz w:val="24"/>
          <w:szCs w:val="24"/>
        </w:rPr>
      </w:pPr>
    </w:p>
    <w:p w14:paraId="5E183CA0" w14:textId="0683E081" w:rsidR="167B7206" w:rsidRDefault="167B7206"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When would a project need to be online by? I'm not sure if that relates to the agreement start/end date.</w:t>
      </w:r>
    </w:p>
    <w:p w14:paraId="10EE102C" w14:textId="1078C3F8" w:rsidR="167B7206" w:rsidRDefault="167B7206" w:rsidP="00DE7060">
      <w:pPr>
        <w:spacing w:line="257" w:lineRule="auto"/>
        <w:ind w:left="720"/>
        <w:rPr>
          <w:rFonts w:ascii="Tahoma" w:eastAsia="Tahoma" w:hAnsi="Tahoma" w:cs="Tahoma"/>
          <w:sz w:val="24"/>
          <w:szCs w:val="24"/>
        </w:rPr>
      </w:pPr>
      <w:r w:rsidRPr="25D41ABE">
        <w:rPr>
          <w:rFonts w:ascii="Tahoma" w:eastAsia="Tahoma" w:hAnsi="Tahoma" w:cs="Tahoma"/>
          <w:b/>
          <w:bCs/>
          <w:sz w:val="24"/>
          <w:szCs w:val="24"/>
        </w:rPr>
        <w:t xml:space="preserve">A: </w:t>
      </w:r>
      <w:r w:rsidRPr="25D41ABE">
        <w:rPr>
          <w:rFonts w:ascii="Tahoma" w:eastAsia="Tahoma" w:hAnsi="Tahoma" w:cs="Tahoma"/>
          <w:sz w:val="24"/>
          <w:szCs w:val="24"/>
        </w:rPr>
        <w:t>T</w:t>
      </w:r>
      <w:r w:rsidR="00A20298">
        <w:rPr>
          <w:rFonts w:ascii="Tahoma" w:eastAsia="Tahoma" w:hAnsi="Tahoma" w:cs="Tahoma"/>
          <w:sz w:val="24"/>
          <w:szCs w:val="24"/>
        </w:rPr>
        <w:t xml:space="preserve">here is a </w:t>
      </w:r>
      <w:r w:rsidR="00846A84">
        <w:rPr>
          <w:rFonts w:ascii="Tahoma" w:eastAsia="Tahoma" w:hAnsi="Tahoma" w:cs="Tahoma"/>
          <w:sz w:val="24"/>
          <w:szCs w:val="24"/>
        </w:rPr>
        <w:t xml:space="preserve">length of </w:t>
      </w:r>
      <w:r w:rsidR="00A20298">
        <w:rPr>
          <w:rFonts w:ascii="Tahoma" w:eastAsia="Tahoma" w:hAnsi="Tahoma" w:cs="Tahoma"/>
          <w:sz w:val="24"/>
          <w:szCs w:val="24"/>
        </w:rPr>
        <w:t xml:space="preserve">duration and </w:t>
      </w:r>
      <w:r w:rsidR="00F15B22">
        <w:rPr>
          <w:rFonts w:ascii="Tahoma" w:eastAsia="Tahoma" w:hAnsi="Tahoma" w:cs="Tahoma"/>
          <w:sz w:val="24"/>
          <w:szCs w:val="24"/>
        </w:rPr>
        <w:t>completion</w:t>
      </w:r>
      <w:r w:rsidR="00A20298">
        <w:rPr>
          <w:rFonts w:ascii="Tahoma" w:eastAsia="Tahoma" w:hAnsi="Tahoma" w:cs="Tahoma"/>
          <w:sz w:val="24"/>
          <w:szCs w:val="24"/>
        </w:rPr>
        <w:t xml:space="preserve"> requirement</w:t>
      </w:r>
      <w:r w:rsidR="00B86E29">
        <w:rPr>
          <w:rFonts w:ascii="Tahoma" w:eastAsia="Tahoma" w:hAnsi="Tahoma" w:cs="Tahoma"/>
          <w:sz w:val="24"/>
          <w:szCs w:val="24"/>
        </w:rPr>
        <w:t>; however,</w:t>
      </w:r>
      <w:r w:rsidR="00A20298">
        <w:rPr>
          <w:rFonts w:ascii="Tahoma" w:eastAsia="Tahoma" w:hAnsi="Tahoma" w:cs="Tahoma"/>
          <w:sz w:val="24"/>
          <w:szCs w:val="24"/>
        </w:rPr>
        <w:t xml:space="preserve"> the </w:t>
      </w:r>
      <w:r w:rsidR="41C80B80" w:rsidRPr="6814AE1C">
        <w:rPr>
          <w:rFonts w:ascii="Tahoma" w:eastAsia="Tahoma" w:hAnsi="Tahoma" w:cs="Tahoma"/>
          <w:sz w:val="24"/>
          <w:szCs w:val="24"/>
        </w:rPr>
        <w:t>commissioning</w:t>
      </w:r>
      <w:r w:rsidR="00B86E29" w:rsidRPr="6814AE1C">
        <w:rPr>
          <w:rFonts w:ascii="Tahoma" w:eastAsia="Tahoma" w:hAnsi="Tahoma" w:cs="Tahoma"/>
          <w:sz w:val="24"/>
          <w:szCs w:val="24"/>
        </w:rPr>
        <w:t xml:space="preserve"> </w:t>
      </w:r>
      <w:r w:rsidR="3E270D59" w:rsidRPr="6814AE1C">
        <w:rPr>
          <w:rFonts w:ascii="Tahoma" w:eastAsia="Tahoma" w:hAnsi="Tahoma" w:cs="Tahoma"/>
          <w:sz w:val="24"/>
          <w:szCs w:val="24"/>
        </w:rPr>
        <w:t>of the storage system</w:t>
      </w:r>
      <w:r w:rsidR="00B86E29">
        <w:rPr>
          <w:rFonts w:ascii="Tahoma" w:eastAsia="Tahoma" w:hAnsi="Tahoma" w:cs="Tahoma"/>
          <w:sz w:val="24"/>
          <w:szCs w:val="24"/>
        </w:rPr>
        <w:t xml:space="preserve"> </w:t>
      </w:r>
      <w:r w:rsidR="00600C70" w:rsidRPr="0B53042F">
        <w:rPr>
          <w:rFonts w:ascii="Tahoma" w:eastAsia="Tahoma" w:hAnsi="Tahoma" w:cs="Tahoma"/>
          <w:sz w:val="24"/>
          <w:szCs w:val="24"/>
        </w:rPr>
        <w:t>depends</w:t>
      </w:r>
      <w:r w:rsidR="00600C70">
        <w:rPr>
          <w:rFonts w:ascii="Tahoma" w:eastAsia="Tahoma" w:hAnsi="Tahoma" w:cs="Tahoma"/>
          <w:sz w:val="24"/>
          <w:szCs w:val="24"/>
        </w:rPr>
        <w:t xml:space="preserve"> on</w:t>
      </w:r>
      <w:r w:rsidRPr="25D41ABE">
        <w:rPr>
          <w:rFonts w:ascii="Tahoma" w:eastAsia="Tahoma" w:hAnsi="Tahoma" w:cs="Tahoma"/>
          <w:sz w:val="24"/>
          <w:szCs w:val="24"/>
        </w:rPr>
        <w:t xml:space="preserve"> the </w:t>
      </w:r>
      <w:r w:rsidR="1D1FC108" w:rsidRPr="25D41ABE">
        <w:rPr>
          <w:rFonts w:ascii="Tahoma" w:eastAsia="Tahoma" w:hAnsi="Tahoma" w:cs="Tahoma"/>
          <w:sz w:val="24"/>
          <w:szCs w:val="24"/>
        </w:rPr>
        <w:t>Project Schedule</w:t>
      </w:r>
      <w:r w:rsidR="0511B782" w:rsidRPr="6814AE1C">
        <w:rPr>
          <w:rFonts w:ascii="Tahoma" w:eastAsia="Tahoma" w:hAnsi="Tahoma" w:cs="Tahoma"/>
          <w:sz w:val="24"/>
          <w:szCs w:val="24"/>
        </w:rPr>
        <w:t xml:space="preserve"> (Attachment 6)</w:t>
      </w:r>
      <w:r w:rsidR="7CB90B8C" w:rsidRPr="6814AE1C">
        <w:rPr>
          <w:rFonts w:ascii="Tahoma" w:eastAsia="Tahoma" w:hAnsi="Tahoma" w:cs="Tahoma"/>
          <w:sz w:val="24"/>
          <w:szCs w:val="24"/>
        </w:rPr>
        <w:t xml:space="preserve"> and should be within the agreement </w:t>
      </w:r>
      <w:r w:rsidR="44F0DB92" w:rsidRPr="6814AE1C">
        <w:rPr>
          <w:rFonts w:ascii="Tahoma" w:eastAsia="Tahoma" w:hAnsi="Tahoma" w:cs="Tahoma"/>
          <w:sz w:val="24"/>
          <w:szCs w:val="24"/>
        </w:rPr>
        <w:t>term start and end dates.</w:t>
      </w:r>
      <w:r w:rsidRPr="6814AE1C">
        <w:rPr>
          <w:rFonts w:ascii="Tahoma" w:eastAsia="Tahoma" w:hAnsi="Tahoma" w:cs="Tahoma"/>
          <w:sz w:val="24"/>
          <w:szCs w:val="24"/>
        </w:rPr>
        <w:t xml:space="preserve"> </w:t>
      </w:r>
      <w:r w:rsidR="7D736786" w:rsidRPr="6814AE1C">
        <w:rPr>
          <w:rFonts w:ascii="Tahoma" w:eastAsia="Tahoma" w:hAnsi="Tahoma" w:cs="Tahoma"/>
          <w:sz w:val="24"/>
          <w:szCs w:val="24"/>
        </w:rPr>
        <w:t>A</w:t>
      </w:r>
      <w:r w:rsidR="785CB3F8" w:rsidRPr="6814AE1C">
        <w:rPr>
          <w:rFonts w:ascii="Tahoma" w:eastAsia="Tahoma" w:hAnsi="Tahoma" w:cs="Tahoma"/>
          <w:sz w:val="24"/>
          <w:szCs w:val="24"/>
        </w:rPr>
        <w:t>s stated in</w:t>
      </w:r>
      <w:r w:rsidR="7D736786" w:rsidRPr="6814AE1C">
        <w:rPr>
          <w:rFonts w:ascii="Tahoma" w:eastAsia="Tahoma" w:hAnsi="Tahoma" w:cs="Tahoma"/>
          <w:sz w:val="24"/>
          <w:szCs w:val="24"/>
        </w:rPr>
        <w:t xml:space="preserve"> the </w:t>
      </w:r>
      <w:r w:rsidR="59554888" w:rsidRPr="6814AE1C">
        <w:rPr>
          <w:rFonts w:ascii="Tahoma" w:eastAsia="Tahoma" w:hAnsi="Tahoma" w:cs="Tahoma"/>
          <w:sz w:val="24"/>
          <w:szCs w:val="24"/>
        </w:rPr>
        <w:t>Project Focus section of</w:t>
      </w:r>
      <w:r w:rsidR="7D736786" w:rsidRPr="25D41ABE">
        <w:rPr>
          <w:rFonts w:ascii="Tahoma" w:eastAsia="Tahoma" w:hAnsi="Tahoma" w:cs="Tahoma"/>
          <w:sz w:val="24"/>
          <w:szCs w:val="24"/>
        </w:rPr>
        <w:t xml:space="preserve"> the solicitation manual, “The proposed LDES systems must stay in operation for at least one year before the end of the grant agreement, and the recipient must complete this period at least six months prior to the end of the agreement. This requirement ensures that sufficient data on the system's performance and capabilities can be gathered and analyzed to validate its performance.”</w:t>
      </w:r>
    </w:p>
    <w:p w14:paraId="56D98FBC" w14:textId="096323EB" w:rsidR="34341375" w:rsidRDefault="34341375" w:rsidP="00DE7060">
      <w:pPr>
        <w:spacing w:line="257" w:lineRule="auto"/>
        <w:ind w:hanging="720"/>
        <w:rPr>
          <w:rFonts w:ascii="Tahoma" w:eastAsia="Tahoma" w:hAnsi="Tahoma" w:cs="Tahoma"/>
          <w:sz w:val="24"/>
          <w:szCs w:val="24"/>
        </w:rPr>
      </w:pPr>
    </w:p>
    <w:p w14:paraId="7B028F4E" w14:textId="432C8BE9" w:rsidR="167B7206" w:rsidRDefault="167B7206"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How is ‘technology demonstration and deployment’ evaluated/determined in this FOA? Is there a pre-award demonstration scale?  Is there a during-award deployment scale (100 kW storage was mentioned) and how many of these demonstration projects will be expected?</w:t>
      </w:r>
    </w:p>
    <w:p w14:paraId="170CBE5D" w14:textId="5EF8972C" w:rsidR="167B7206" w:rsidRDefault="3B981042" w:rsidP="00DE7060">
      <w:pPr>
        <w:spacing w:line="257" w:lineRule="auto"/>
        <w:ind w:left="720"/>
        <w:rPr>
          <w:rFonts w:ascii="Arial" w:eastAsia="Arial" w:hAnsi="Arial" w:cs="Arial"/>
          <w:sz w:val="24"/>
          <w:szCs w:val="24"/>
        </w:rPr>
      </w:pPr>
      <w:r w:rsidRPr="4CACCB5C">
        <w:rPr>
          <w:rFonts w:ascii="Tahoma" w:eastAsia="Tahoma" w:hAnsi="Tahoma" w:cs="Tahoma"/>
          <w:b/>
          <w:bCs/>
          <w:sz w:val="24"/>
          <w:szCs w:val="24"/>
        </w:rPr>
        <w:t xml:space="preserve">A: </w:t>
      </w:r>
      <w:r w:rsidR="69811AE5" w:rsidRPr="4CACCB5C">
        <w:rPr>
          <w:rFonts w:ascii="Tahoma" w:eastAsia="Tahoma" w:hAnsi="Tahoma" w:cs="Tahoma"/>
          <w:sz w:val="24"/>
          <w:szCs w:val="24"/>
        </w:rPr>
        <w:t>Under this GFO, p</w:t>
      </w:r>
      <w:r w:rsidR="1F5CEA8D" w:rsidRPr="4CACCB5C">
        <w:rPr>
          <w:rFonts w:ascii="Tahoma" w:eastAsia="Tahoma" w:hAnsi="Tahoma" w:cs="Tahoma"/>
          <w:sz w:val="24"/>
          <w:szCs w:val="24"/>
        </w:rPr>
        <w:t>rojects are required to “fall within the</w:t>
      </w:r>
      <w:r w:rsidR="246BD8AA" w:rsidRPr="4CACCB5C">
        <w:rPr>
          <w:rFonts w:ascii="Tahoma" w:eastAsia="Tahoma" w:hAnsi="Tahoma" w:cs="Tahoma"/>
          <w:sz w:val="24"/>
          <w:szCs w:val="24"/>
        </w:rPr>
        <w:t xml:space="preserve"> </w:t>
      </w:r>
      <w:r w:rsidR="309B561D" w:rsidRPr="4CACCB5C">
        <w:rPr>
          <w:rFonts w:ascii="Tahoma" w:eastAsia="Tahoma" w:hAnsi="Tahoma" w:cs="Tahoma"/>
          <w:sz w:val="24"/>
          <w:szCs w:val="24"/>
        </w:rPr>
        <w:t>’</w:t>
      </w:r>
      <w:r w:rsidR="246BD8AA" w:rsidRPr="4CACCB5C">
        <w:rPr>
          <w:rFonts w:ascii="Tahoma" w:eastAsia="Tahoma" w:hAnsi="Tahoma" w:cs="Tahoma"/>
          <w:sz w:val="24"/>
          <w:szCs w:val="24"/>
        </w:rPr>
        <w:t>technology demonstration and deployment</w:t>
      </w:r>
      <w:r w:rsidR="415569EB" w:rsidRPr="4CACCB5C">
        <w:rPr>
          <w:rFonts w:ascii="Tahoma" w:eastAsia="Tahoma" w:hAnsi="Tahoma" w:cs="Tahoma"/>
          <w:sz w:val="24"/>
          <w:szCs w:val="24"/>
        </w:rPr>
        <w:t>’</w:t>
      </w:r>
      <w:r w:rsidR="246BD8AA" w:rsidRPr="4CACCB5C">
        <w:rPr>
          <w:rFonts w:ascii="Tahoma" w:eastAsia="Tahoma" w:hAnsi="Tahoma" w:cs="Tahoma"/>
          <w:sz w:val="24"/>
          <w:szCs w:val="24"/>
        </w:rPr>
        <w:t xml:space="preserve">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5BD350A1" w:rsidRPr="4CACCB5C">
        <w:rPr>
          <w:rFonts w:ascii="Tahoma" w:eastAsia="Tahoma" w:hAnsi="Tahoma" w:cs="Tahoma"/>
          <w:sz w:val="24"/>
          <w:szCs w:val="24"/>
        </w:rPr>
        <w:t>.”</w:t>
      </w:r>
      <w:r w:rsidR="167B7206" w:rsidRPr="4CACCB5C">
        <w:rPr>
          <w:rFonts w:ascii="Tahoma" w:eastAsia="Tahoma" w:hAnsi="Tahoma" w:cs="Tahoma"/>
          <w:sz w:val="24"/>
          <w:szCs w:val="24"/>
        </w:rPr>
        <w:t xml:space="preserve"> </w:t>
      </w:r>
      <w:r w:rsidR="00270730" w:rsidRPr="0B53042F">
        <w:rPr>
          <w:rFonts w:ascii="Tahoma" w:eastAsia="Tahoma" w:hAnsi="Tahoma" w:cs="Tahoma"/>
          <w:sz w:val="24"/>
          <w:szCs w:val="24"/>
        </w:rPr>
        <w:t>The</w:t>
      </w:r>
      <w:r w:rsidR="00270730">
        <w:rPr>
          <w:rFonts w:ascii="Tahoma" w:eastAsia="Tahoma" w:hAnsi="Tahoma" w:cs="Tahoma"/>
          <w:sz w:val="24"/>
          <w:szCs w:val="24"/>
        </w:rPr>
        <w:t xml:space="preserve"> total quantity of</w:t>
      </w:r>
      <w:r w:rsidR="167B7206" w:rsidRPr="34341375">
        <w:rPr>
          <w:rFonts w:ascii="Tahoma" w:eastAsia="Tahoma" w:hAnsi="Tahoma" w:cs="Tahoma"/>
          <w:sz w:val="24"/>
          <w:szCs w:val="24"/>
        </w:rPr>
        <w:t xml:space="preserve"> projects</w:t>
      </w:r>
      <w:r w:rsidR="00270730">
        <w:rPr>
          <w:rFonts w:ascii="Tahoma" w:eastAsia="Tahoma" w:hAnsi="Tahoma" w:cs="Tahoma"/>
          <w:sz w:val="24"/>
          <w:szCs w:val="24"/>
        </w:rPr>
        <w:t xml:space="preserve"> awarded will</w:t>
      </w:r>
      <w:r w:rsidR="167B7206" w:rsidRPr="34341375">
        <w:rPr>
          <w:rFonts w:ascii="Tahoma" w:eastAsia="Tahoma" w:hAnsi="Tahoma" w:cs="Tahoma"/>
          <w:sz w:val="24"/>
          <w:szCs w:val="24"/>
        </w:rPr>
        <w:t xml:space="preserve"> </w:t>
      </w:r>
      <w:r w:rsidR="167B7206" w:rsidRPr="0B53042F">
        <w:rPr>
          <w:rFonts w:ascii="Tahoma" w:eastAsia="Tahoma" w:hAnsi="Tahoma" w:cs="Tahoma"/>
          <w:sz w:val="24"/>
          <w:szCs w:val="24"/>
        </w:rPr>
        <w:t>depend</w:t>
      </w:r>
      <w:r w:rsidR="167B7206" w:rsidRPr="34341375">
        <w:rPr>
          <w:rFonts w:ascii="Tahoma" w:eastAsia="Tahoma" w:hAnsi="Tahoma" w:cs="Tahoma"/>
          <w:sz w:val="24"/>
          <w:szCs w:val="24"/>
        </w:rPr>
        <w:t xml:space="preserve"> on how much funding each project receives. </w:t>
      </w:r>
      <w:r w:rsidR="7B008577" w:rsidRPr="6814AE1C">
        <w:rPr>
          <w:rFonts w:ascii="Tahoma" w:eastAsia="Tahoma" w:hAnsi="Tahoma" w:cs="Tahoma"/>
          <w:sz w:val="24"/>
          <w:szCs w:val="24"/>
        </w:rPr>
        <w:t>Funding ranges from</w:t>
      </w:r>
      <w:r w:rsidR="167B7206" w:rsidRPr="34341375">
        <w:rPr>
          <w:rFonts w:ascii="Tahoma" w:eastAsia="Tahoma" w:hAnsi="Tahoma" w:cs="Tahoma"/>
          <w:sz w:val="24"/>
          <w:szCs w:val="24"/>
        </w:rPr>
        <w:t xml:space="preserve"> $4 million to $9 million for each awarded project. </w:t>
      </w:r>
      <w:r w:rsidR="0419CD1B" w:rsidRPr="6814AE1C">
        <w:rPr>
          <w:rFonts w:ascii="Tahoma" w:eastAsia="Tahoma" w:hAnsi="Tahoma" w:cs="Tahoma"/>
          <w:sz w:val="24"/>
          <w:szCs w:val="24"/>
        </w:rPr>
        <w:t>There is no p</w:t>
      </w:r>
      <w:r w:rsidR="167B7206" w:rsidRPr="6814AE1C">
        <w:rPr>
          <w:rFonts w:ascii="Tahoma" w:eastAsia="Tahoma" w:hAnsi="Tahoma" w:cs="Tahoma"/>
          <w:sz w:val="24"/>
          <w:szCs w:val="24"/>
        </w:rPr>
        <w:t>re-award demonstration scale</w:t>
      </w:r>
      <w:r w:rsidR="5FF9C0DD" w:rsidRPr="6814AE1C">
        <w:rPr>
          <w:rFonts w:ascii="Tahoma" w:eastAsia="Tahoma" w:hAnsi="Tahoma" w:cs="Tahoma"/>
          <w:sz w:val="24"/>
          <w:szCs w:val="24"/>
        </w:rPr>
        <w:t>, however</w:t>
      </w:r>
      <w:r w:rsidR="000E774D">
        <w:rPr>
          <w:rFonts w:ascii="Tahoma" w:eastAsia="Tahoma" w:hAnsi="Tahoma" w:cs="Tahoma"/>
          <w:sz w:val="24"/>
          <w:szCs w:val="24"/>
        </w:rPr>
        <w:t>,</w:t>
      </w:r>
      <w:r w:rsidR="5FF9C0DD" w:rsidRPr="6814AE1C">
        <w:rPr>
          <w:rFonts w:ascii="Tahoma" w:eastAsia="Tahoma" w:hAnsi="Tahoma" w:cs="Tahoma"/>
          <w:sz w:val="24"/>
          <w:szCs w:val="24"/>
        </w:rPr>
        <w:t xml:space="preserve"> applicants are required to “Describe what testing and validation has been done to ensure the technology is ready for a demonstration in a real-world environment. Explain who conducted the testing and when it took place</w:t>
      </w:r>
      <w:r w:rsidR="167B7206" w:rsidRPr="6814AE1C">
        <w:rPr>
          <w:rFonts w:ascii="Tahoma" w:eastAsia="Tahoma" w:hAnsi="Tahoma" w:cs="Tahoma"/>
          <w:sz w:val="24"/>
          <w:szCs w:val="24"/>
        </w:rPr>
        <w:t>.</w:t>
      </w:r>
      <w:r w:rsidR="09C2AB2D" w:rsidRPr="6814AE1C">
        <w:rPr>
          <w:rFonts w:ascii="Tahoma" w:eastAsia="Tahoma" w:hAnsi="Tahoma" w:cs="Tahoma"/>
          <w:sz w:val="24"/>
          <w:szCs w:val="24"/>
        </w:rPr>
        <w:t>”</w:t>
      </w:r>
      <w:r w:rsidR="167B7206" w:rsidRPr="6814AE1C">
        <w:rPr>
          <w:rFonts w:ascii="Tahoma" w:eastAsia="Tahoma" w:hAnsi="Tahoma" w:cs="Tahoma"/>
          <w:sz w:val="24"/>
          <w:szCs w:val="24"/>
        </w:rPr>
        <w:t xml:space="preserve"> The technology </w:t>
      </w:r>
      <w:r w:rsidR="3DB1D89E" w:rsidRPr="6814AE1C">
        <w:rPr>
          <w:rFonts w:ascii="Tahoma" w:eastAsia="Tahoma" w:hAnsi="Tahoma" w:cs="Tahoma"/>
          <w:sz w:val="24"/>
          <w:szCs w:val="24"/>
        </w:rPr>
        <w:t>must</w:t>
      </w:r>
      <w:r w:rsidR="167B7206" w:rsidRPr="6814AE1C">
        <w:rPr>
          <w:rFonts w:ascii="Tahoma" w:eastAsia="Tahoma" w:hAnsi="Tahoma" w:cs="Tahoma"/>
          <w:sz w:val="24"/>
          <w:szCs w:val="24"/>
        </w:rPr>
        <w:t xml:space="preserve"> </w:t>
      </w:r>
      <w:r w:rsidR="167B7206" w:rsidRPr="34341375">
        <w:rPr>
          <w:rFonts w:ascii="Tahoma" w:eastAsia="Tahoma" w:hAnsi="Tahoma" w:cs="Tahoma"/>
          <w:sz w:val="24"/>
          <w:szCs w:val="24"/>
        </w:rPr>
        <w:t xml:space="preserve">be </w:t>
      </w:r>
      <w:r w:rsidR="07F62AB9" w:rsidRPr="6814AE1C">
        <w:rPr>
          <w:rFonts w:ascii="Tahoma" w:eastAsia="Tahoma" w:hAnsi="Tahoma" w:cs="Tahoma"/>
          <w:sz w:val="24"/>
          <w:szCs w:val="24"/>
        </w:rPr>
        <w:t>able</w:t>
      </w:r>
      <w:r w:rsidR="167B7206" w:rsidRPr="6814AE1C">
        <w:rPr>
          <w:rFonts w:ascii="Tahoma" w:eastAsia="Tahoma" w:hAnsi="Tahoma" w:cs="Tahoma"/>
          <w:sz w:val="24"/>
          <w:szCs w:val="24"/>
        </w:rPr>
        <w:t xml:space="preserve"> to </w:t>
      </w:r>
      <w:r w:rsidR="253D1383" w:rsidRPr="6814AE1C">
        <w:rPr>
          <w:rFonts w:ascii="Tahoma" w:eastAsia="Tahoma" w:hAnsi="Tahoma" w:cs="Tahoma"/>
          <w:sz w:val="24"/>
          <w:szCs w:val="24"/>
        </w:rPr>
        <w:t>achieve</w:t>
      </w:r>
      <w:r w:rsidR="167B7206" w:rsidRPr="34341375">
        <w:rPr>
          <w:rFonts w:ascii="Tahoma" w:eastAsia="Tahoma" w:hAnsi="Tahoma" w:cs="Tahoma"/>
          <w:sz w:val="24"/>
          <w:szCs w:val="24"/>
        </w:rPr>
        <w:t xml:space="preserve"> 100</w:t>
      </w:r>
      <w:r w:rsidR="007144BE">
        <w:rPr>
          <w:rFonts w:ascii="Tahoma" w:eastAsia="Tahoma" w:hAnsi="Tahoma" w:cs="Tahoma"/>
          <w:sz w:val="24"/>
          <w:szCs w:val="24"/>
        </w:rPr>
        <w:t xml:space="preserve"> </w:t>
      </w:r>
      <w:r w:rsidR="167B7206" w:rsidRPr="34341375">
        <w:rPr>
          <w:rFonts w:ascii="Tahoma" w:eastAsia="Tahoma" w:hAnsi="Tahoma" w:cs="Tahoma"/>
          <w:sz w:val="24"/>
          <w:szCs w:val="24"/>
        </w:rPr>
        <w:t>kW with</w:t>
      </w:r>
      <w:r w:rsidR="004106EE">
        <w:rPr>
          <w:rFonts w:ascii="Tahoma" w:eastAsia="Tahoma" w:hAnsi="Tahoma" w:cs="Tahoma"/>
          <w:sz w:val="24"/>
          <w:szCs w:val="24"/>
        </w:rPr>
        <w:t xml:space="preserve"> a minimum duration of</w:t>
      </w:r>
      <w:r w:rsidR="167B7206" w:rsidRPr="34341375">
        <w:rPr>
          <w:rFonts w:ascii="Tahoma" w:eastAsia="Tahoma" w:hAnsi="Tahoma" w:cs="Tahoma"/>
          <w:sz w:val="24"/>
          <w:szCs w:val="24"/>
        </w:rPr>
        <w:t xml:space="preserve"> 24</w:t>
      </w:r>
      <w:r w:rsidR="004106EE">
        <w:rPr>
          <w:rFonts w:ascii="Tahoma" w:eastAsia="Tahoma" w:hAnsi="Tahoma" w:cs="Tahoma"/>
          <w:sz w:val="24"/>
          <w:szCs w:val="24"/>
        </w:rPr>
        <w:t xml:space="preserve"> </w:t>
      </w:r>
      <w:r w:rsidR="167B7206" w:rsidRPr="34341375">
        <w:rPr>
          <w:rFonts w:ascii="Tahoma" w:eastAsia="Tahoma" w:hAnsi="Tahoma" w:cs="Tahoma"/>
          <w:sz w:val="24"/>
          <w:szCs w:val="24"/>
        </w:rPr>
        <w:t>h</w:t>
      </w:r>
      <w:r w:rsidR="004106EE">
        <w:rPr>
          <w:rFonts w:ascii="Tahoma" w:eastAsia="Tahoma" w:hAnsi="Tahoma" w:cs="Tahoma"/>
          <w:sz w:val="24"/>
          <w:szCs w:val="24"/>
        </w:rPr>
        <w:t>ours</w:t>
      </w:r>
      <w:r w:rsidR="167B7206" w:rsidRPr="34341375">
        <w:rPr>
          <w:rFonts w:ascii="Tahoma" w:eastAsia="Tahoma" w:hAnsi="Tahoma" w:cs="Tahoma"/>
          <w:sz w:val="24"/>
          <w:szCs w:val="24"/>
        </w:rPr>
        <w:t xml:space="preserve"> within the deployment scale of this project. </w:t>
      </w:r>
    </w:p>
    <w:p w14:paraId="43846662" w14:textId="410EADE7" w:rsidR="34341375" w:rsidRDefault="34341375" w:rsidP="00DE7060">
      <w:pPr>
        <w:spacing w:line="257" w:lineRule="auto"/>
        <w:ind w:hanging="720"/>
        <w:rPr>
          <w:rFonts w:ascii="Tahoma" w:eastAsia="Tahoma" w:hAnsi="Tahoma" w:cs="Tahoma"/>
          <w:sz w:val="24"/>
          <w:szCs w:val="24"/>
        </w:rPr>
      </w:pPr>
    </w:p>
    <w:p w14:paraId="6FA7E867" w14:textId="76175A9E" w:rsidR="78FA1343" w:rsidRDefault="78FA1343"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This is a demonstration of storage technology for over 24 hours duration. Can you use California grid to demonstrate Electricity in and out? or it must be green electricity?</w:t>
      </w:r>
    </w:p>
    <w:p w14:paraId="7BA33206" w14:textId="3F8FFFA9" w:rsidR="78FA1343" w:rsidRDefault="78FA1343" w:rsidP="00DE7060">
      <w:pPr>
        <w:spacing w:line="257" w:lineRule="auto"/>
        <w:ind w:left="720"/>
        <w:rPr>
          <w:rFonts w:ascii="Tahoma" w:eastAsia="Tahoma" w:hAnsi="Tahoma" w:cs="Tahoma"/>
          <w:sz w:val="24"/>
          <w:szCs w:val="24"/>
        </w:rPr>
      </w:pPr>
      <w:r w:rsidRPr="09E2F14D">
        <w:rPr>
          <w:rFonts w:ascii="Tahoma" w:eastAsia="Tahoma" w:hAnsi="Tahoma" w:cs="Tahoma"/>
          <w:b/>
          <w:sz w:val="24"/>
          <w:szCs w:val="24"/>
        </w:rPr>
        <w:t xml:space="preserve">A: </w:t>
      </w:r>
      <w:r w:rsidR="39664AD6" w:rsidRPr="6814AE1C">
        <w:rPr>
          <w:rFonts w:ascii="Tahoma" w:eastAsia="Tahoma" w:hAnsi="Tahoma" w:cs="Tahoma"/>
          <w:sz w:val="24"/>
          <w:szCs w:val="24"/>
        </w:rPr>
        <w:t>Th</w:t>
      </w:r>
      <w:r w:rsidR="00E35CD4">
        <w:rPr>
          <w:rFonts w:ascii="Tahoma" w:eastAsia="Tahoma" w:hAnsi="Tahoma" w:cs="Tahoma"/>
          <w:sz w:val="24"/>
          <w:szCs w:val="24"/>
        </w:rPr>
        <w:t>is</w:t>
      </w:r>
      <w:r w:rsidR="39664AD6" w:rsidRPr="6814AE1C">
        <w:rPr>
          <w:rFonts w:ascii="Tahoma" w:eastAsia="Tahoma" w:hAnsi="Tahoma" w:cs="Tahoma"/>
          <w:sz w:val="24"/>
          <w:szCs w:val="24"/>
        </w:rPr>
        <w:t xml:space="preserve"> GFO does not </w:t>
      </w:r>
      <w:r w:rsidR="160287D2" w:rsidRPr="6814AE1C">
        <w:rPr>
          <w:rFonts w:ascii="Tahoma" w:eastAsia="Tahoma" w:hAnsi="Tahoma" w:cs="Tahoma"/>
          <w:sz w:val="24"/>
          <w:szCs w:val="24"/>
        </w:rPr>
        <w:t>limit</w:t>
      </w:r>
      <w:r w:rsidRPr="09E2F14D">
        <w:rPr>
          <w:rFonts w:ascii="Tahoma" w:eastAsia="Tahoma" w:hAnsi="Tahoma" w:cs="Tahoma"/>
          <w:sz w:val="24"/>
          <w:szCs w:val="24"/>
        </w:rPr>
        <w:t xml:space="preserve"> electricity </w:t>
      </w:r>
      <w:r w:rsidR="44B8C652" w:rsidRPr="6814AE1C">
        <w:rPr>
          <w:rFonts w:ascii="Tahoma" w:eastAsia="Tahoma" w:hAnsi="Tahoma" w:cs="Tahoma"/>
          <w:sz w:val="24"/>
          <w:szCs w:val="24"/>
        </w:rPr>
        <w:t>source</w:t>
      </w:r>
      <w:r w:rsidR="69857D2A" w:rsidRPr="6814AE1C">
        <w:rPr>
          <w:rFonts w:ascii="Tahoma" w:eastAsia="Tahoma" w:hAnsi="Tahoma" w:cs="Tahoma"/>
          <w:sz w:val="24"/>
          <w:szCs w:val="24"/>
        </w:rPr>
        <w:t>s</w:t>
      </w:r>
      <w:r w:rsidR="0007346D" w:rsidRPr="0B53042F">
        <w:rPr>
          <w:rFonts w:ascii="Tahoma" w:eastAsia="Tahoma" w:hAnsi="Tahoma" w:cs="Tahoma"/>
          <w:sz w:val="24"/>
          <w:szCs w:val="24"/>
        </w:rPr>
        <w:t>;</w:t>
      </w:r>
      <w:r w:rsidRPr="09E2F14D">
        <w:rPr>
          <w:rFonts w:ascii="Tahoma" w:eastAsia="Tahoma" w:hAnsi="Tahoma" w:cs="Tahoma"/>
          <w:sz w:val="24"/>
          <w:szCs w:val="24"/>
        </w:rPr>
        <w:t xml:space="preserve"> </w:t>
      </w:r>
      <w:r w:rsidR="521BD42B" w:rsidRPr="09E2F14D">
        <w:rPr>
          <w:rFonts w:ascii="Tahoma" w:eastAsia="Tahoma" w:hAnsi="Tahoma" w:cs="Tahoma"/>
          <w:sz w:val="24"/>
          <w:szCs w:val="24"/>
        </w:rPr>
        <w:t xml:space="preserve">applicants </w:t>
      </w:r>
      <w:r w:rsidRPr="6814AE1C">
        <w:rPr>
          <w:rFonts w:ascii="Tahoma" w:eastAsia="Tahoma" w:hAnsi="Tahoma" w:cs="Tahoma"/>
          <w:sz w:val="24"/>
          <w:szCs w:val="24"/>
        </w:rPr>
        <w:t>c</w:t>
      </w:r>
      <w:r w:rsidR="5AC8DA9E" w:rsidRPr="6814AE1C">
        <w:rPr>
          <w:rFonts w:ascii="Tahoma" w:eastAsia="Tahoma" w:hAnsi="Tahoma" w:cs="Tahoma"/>
          <w:sz w:val="24"/>
          <w:szCs w:val="24"/>
        </w:rPr>
        <w:t>an</w:t>
      </w:r>
      <w:r w:rsidRPr="09E2F14D">
        <w:rPr>
          <w:rFonts w:ascii="Tahoma" w:eastAsia="Tahoma" w:hAnsi="Tahoma" w:cs="Tahoma"/>
          <w:sz w:val="24"/>
          <w:szCs w:val="24"/>
        </w:rPr>
        <w:t xml:space="preserve"> use grid electricity</w:t>
      </w:r>
      <w:r w:rsidR="7EC2BCCF" w:rsidRPr="09E2F14D">
        <w:rPr>
          <w:rFonts w:ascii="Tahoma" w:eastAsia="Tahoma" w:hAnsi="Tahoma" w:cs="Tahoma"/>
          <w:sz w:val="24"/>
          <w:szCs w:val="24"/>
        </w:rPr>
        <w:t xml:space="preserve">, green electricity, or </w:t>
      </w:r>
      <w:r w:rsidR="79E60F04" w:rsidRPr="6814AE1C">
        <w:rPr>
          <w:rFonts w:ascii="Tahoma" w:eastAsia="Tahoma" w:hAnsi="Tahoma" w:cs="Tahoma"/>
          <w:sz w:val="24"/>
          <w:szCs w:val="24"/>
        </w:rPr>
        <w:t>any combination</w:t>
      </w:r>
      <w:r w:rsidRPr="6814AE1C">
        <w:rPr>
          <w:rFonts w:ascii="Tahoma" w:eastAsia="Tahoma" w:hAnsi="Tahoma" w:cs="Tahoma"/>
          <w:sz w:val="24"/>
          <w:szCs w:val="24"/>
        </w:rPr>
        <w:t>.</w:t>
      </w:r>
      <w:r w:rsidR="467473DA" w:rsidRPr="6814AE1C">
        <w:rPr>
          <w:rFonts w:ascii="Tahoma" w:eastAsia="Tahoma" w:hAnsi="Tahoma" w:cs="Tahoma"/>
          <w:sz w:val="24"/>
          <w:szCs w:val="24"/>
        </w:rPr>
        <w:t xml:space="preserve"> However, </w:t>
      </w:r>
      <w:r w:rsidR="19D841F7" w:rsidRPr="6814AE1C">
        <w:rPr>
          <w:rFonts w:ascii="Tahoma" w:eastAsia="Tahoma" w:hAnsi="Tahoma" w:cs="Tahoma"/>
          <w:sz w:val="24"/>
          <w:szCs w:val="24"/>
        </w:rPr>
        <w:t>Scoring Criteria consider</w:t>
      </w:r>
      <w:r w:rsidR="78EFF1B9" w:rsidRPr="6814AE1C">
        <w:rPr>
          <w:rFonts w:ascii="Tahoma" w:eastAsia="Tahoma" w:hAnsi="Tahoma" w:cs="Tahoma"/>
          <w:sz w:val="24"/>
          <w:szCs w:val="24"/>
        </w:rPr>
        <w:t>s</w:t>
      </w:r>
      <w:r w:rsidR="19D841F7" w:rsidRPr="6814AE1C">
        <w:rPr>
          <w:rFonts w:ascii="Tahoma" w:eastAsia="Tahoma" w:hAnsi="Tahoma" w:cs="Tahoma"/>
          <w:sz w:val="24"/>
          <w:szCs w:val="24"/>
        </w:rPr>
        <w:t xml:space="preserve"> environmental impacts </w:t>
      </w:r>
      <w:r w:rsidR="0A277AE0" w:rsidRPr="6814AE1C">
        <w:rPr>
          <w:rFonts w:ascii="Tahoma" w:eastAsia="Tahoma" w:hAnsi="Tahoma" w:cs="Tahoma"/>
          <w:sz w:val="24"/>
          <w:szCs w:val="24"/>
        </w:rPr>
        <w:t xml:space="preserve">and benefits, which may include </w:t>
      </w:r>
      <w:r w:rsidR="19D841F7" w:rsidRPr="6814AE1C">
        <w:rPr>
          <w:rFonts w:ascii="Tahoma" w:eastAsia="Tahoma" w:hAnsi="Tahoma" w:cs="Tahoma"/>
          <w:sz w:val="24"/>
          <w:szCs w:val="24"/>
        </w:rPr>
        <w:t>electricity sources</w:t>
      </w:r>
      <w:r w:rsidRPr="09E2F14D">
        <w:rPr>
          <w:rFonts w:ascii="Tahoma" w:eastAsia="Tahoma" w:hAnsi="Tahoma" w:cs="Tahoma"/>
          <w:sz w:val="24"/>
          <w:szCs w:val="24"/>
        </w:rPr>
        <w:t>.</w:t>
      </w:r>
    </w:p>
    <w:p w14:paraId="24930AFF" w14:textId="785014DC" w:rsidR="34341375" w:rsidRDefault="34341375" w:rsidP="00DE7060">
      <w:pPr>
        <w:spacing w:line="257" w:lineRule="auto"/>
        <w:ind w:hanging="720"/>
        <w:rPr>
          <w:rFonts w:ascii="Tahoma" w:eastAsia="Tahoma" w:hAnsi="Tahoma" w:cs="Tahoma"/>
          <w:sz w:val="24"/>
          <w:szCs w:val="24"/>
        </w:rPr>
      </w:pPr>
    </w:p>
    <w:p w14:paraId="4D7A31F6" w14:textId="03A74D28" w:rsidR="78FA1343" w:rsidRDefault="78FA1343"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Does the program include LDES that dispatches electricity on demand to the grid or the local community, but is charged directly from the sun and is not charged by electricity from the grid?  In other words, solar thermal input, electricity output.  I ask because the BIL LDES grant program excluded LDES that was not charged from the grid.</w:t>
      </w:r>
    </w:p>
    <w:p w14:paraId="54EC3D09" w14:textId="799B7071" w:rsidR="78FA1343" w:rsidRDefault="78FA1343" w:rsidP="00DE7060">
      <w:pPr>
        <w:spacing w:line="257" w:lineRule="auto"/>
        <w:ind w:left="720"/>
        <w:rPr>
          <w:rFonts w:ascii="Tahoma" w:eastAsia="Tahoma" w:hAnsi="Tahoma" w:cs="Tahoma"/>
          <w:sz w:val="24"/>
          <w:szCs w:val="24"/>
        </w:rPr>
      </w:pPr>
      <w:r w:rsidRPr="6814AE1C">
        <w:rPr>
          <w:rFonts w:ascii="Tahoma" w:eastAsia="Tahoma" w:hAnsi="Tahoma" w:cs="Tahoma"/>
          <w:b/>
          <w:bCs/>
          <w:sz w:val="24"/>
          <w:szCs w:val="24"/>
        </w:rPr>
        <w:t xml:space="preserve">A: </w:t>
      </w:r>
      <w:r w:rsidR="0D5BB4D9" w:rsidRPr="6814AE1C">
        <w:rPr>
          <w:rFonts w:ascii="Tahoma" w:eastAsia="Tahoma" w:hAnsi="Tahoma" w:cs="Tahoma"/>
          <w:sz w:val="24"/>
          <w:szCs w:val="24"/>
        </w:rPr>
        <w:t>Please refer to the answer from Question 6.</w:t>
      </w:r>
    </w:p>
    <w:p w14:paraId="5A846F1B" w14:textId="5B1A1ED3" w:rsidR="78FA1343" w:rsidRDefault="78FA1343" w:rsidP="00304287">
      <w:pPr>
        <w:spacing w:line="257" w:lineRule="auto"/>
        <w:rPr>
          <w:rFonts w:ascii="Tahoma" w:eastAsia="Tahoma" w:hAnsi="Tahoma" w:cs="Tahoma"/>
          <w:sz w:val="24"/>
          <w:szCs w:val="24"/>
        </w:rPr>
      </w:pPr>
      <w:r w:rsidRPr="34341375">
        <w:rPr>
          <w:rFonts w:ascii="Tahoma" w:eastAsia="Tahoma" w:hAnsi="Tahoma" w:cs="Tahoma"/>
          <w:sz w:val="24"/>
          <w:szCs w:val="24"/>
        </w:rPr>
        <w:t xml:space="preserve">  </w:t>
      </w:r>
    </w:p>
    <w:p w14:paraId="577B00DF" w14:textId="33565AD0" w:rsidR="78FA1343" w:rsidRDefault="78FA1343" w:rsidP="00965215">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Is there any resource the CEC would recommend for identifying areas of the grid that has the capacity to absorb this additional proposed capacity?</w:t>
      </w:r>
    </w:p>
    <w:p w14:paraId="3E3DF0C1" w14:textId="64551CDA" w:rsidR="4BE7FFD9" w:rsidRDefault="4BE7FFD9" w:rsidP="00304287">
      <w:pPr>
        <w:spacing w:line="257" w:lineRule="auto"/>
        <w:ind w:left="720"/>
        <w:rPr>
          <w:rFonts w:ascii="Tahoma" w:eastAsia="Tahoma" w:hAnsi="Tahoma" w:cs="Tahoma"/>
          <w:sz w:val="24"/>
          <w:szCs w:val="24"/>
        </w:rPr>
      </w:pPr>
      <w:r w:rsidRPr="4CACCB5C">
        <w:rPr>
          <w:rFonts w:ascii="Tahoma" w:eastAsia="Tahoma" w:hAnsi="Tahoma" w:cs="Tahoma"/>
          <w:b/>
          <w:bCs/>
          <w:sz w:val="24"/>
          <w:szCs w:val="24"/>
        </w:rPr>
        <w:t xml:space="preserve">A: </w:t>
      </w:r>
      <w:r w:rsidR="1993BC92" w:rsidRPr="4CACCB5C">
        <w:rPr>
          <w:rFonts w:ascii="Tahoma" w:eastAsia="Tahoma" w:hAnsi="Tahoma" w:cs="Tahoma"/>
          <w:sz w:val="24"/>
          <w:szCs w:val="24"/>
        </w:rPr>
        <w:t>Per page 6 of this GFO, “Demonstration/deployment sites must be located in a California electric IOU service territory”. This GFO defines Investor-owned utility or IOU as an electrical corporation as defined in Public Utilities Code section 218. For purposes of this GFO, it includes Pacific Gas and Electric Co.</w:t>
      </w:r>
      <w:r w:rsidR="60C8C18B" w:rsidRPr="4CACCB5C">
        <w:rPr>
          <w:rFonts w:ascii="Tahoma" w:eastAsia="Tahoma" w:hAnsi="Tahoma" w:cs="Tahoma"/>
          <w:sz w:val="24"/>
          <w:szCs w:val="24"/>
        </w:rPr>
        <w:t xml:space="preserve"> (PG&amp;E)</w:t>
      </w:r>
      <w:r w:rsidR="1993BC92" w:rsidRPr="4CACCB5C">
        <w:rPr>
          <w:rFonts w:ascii="Tahoma" w:eastAsia="Tahoma" w:hAnsi="Tahoma" w:cs="Tahoma"/>
          <w:sz w:val="24"/>
          <w:szCs w:val="24"/>
        </w:rPr>
        <w:t>, San Diego Gas and Electric Co.</w:t>
      </w:r>
      <w:r w:rsidR="22F8FCA3" w:rsidRPr="4CACCB5C">
        <w:rPr>
          <w:rFonts w:ascii="Tahoma" w:eastAsia="Tahoma" w:hAnsi="Tahoma" w:cs="Tahoma"/>
          <w:sz w:val="24"/>
          <w:szCs w:val="24"/>
        </w:rPr>
        <w:t xml:space="preserve"> (SDG&amp;E)</w:t>
      </w:r>
      <w:r w:rsidR="1993BC92" w:rsidRPr="4CACCB5C">
        <w:rPr>
          <w:rFonts w:ascii="Tahoma" w:eastAsia="Tahoma" w:hAnsi="Tahoma" w:cs="Tahoma"/>
          <w:sz w:val="24"/>
          <w:szCs w:val="24"/>
        </w:rPr>
        <w:t>, and Southern California Edison Co.</w:t>
      </w:r>
      <w:r w:rsidR="6042A489" w:rsidRPr="4CACCB5C">
        <w:rPr>
          <w:rFonts w:ascii="Tahoma" w:eastAsia="Tahoma" w:hAnsi="Tahoma" w:cs="Tahoma"/>
          <w:sz w:val="24"/>
          <w:szCs w:val="24"/>
        </w:rPr>
        <w:t xml:space="preserve"> (SCE).</w:t>
      </w:r>
    </w:p>
    <w:p w14:paraId="0DE896DD" w14:textId="21DB386C" w:rsidR="15723845" w:rsidRDefault="15723845" w:rsidP="00304287">
      <w:pPr>
        <w:spacing w:line="257" w:lineRule="auto"/>
        <w:ind w:left="720"/>
        <w:rPr>
          <w:rFonts w:ascii="Tahoma" w:eastAsia="Tahoma" w:hAnsi="Tahoma" w:cs="Tahoma"/>
          <w:sz w:val="24"/>
          <w:szCs w:val="24"/>
        </w:rPr>
      </w:pPr>
      <w:r w:rsidRPr="4CACCB5C">
        <w:rPr>
          <w:rFonts w:ascii="Tahoma" w:eastAsia="Tahoma" w:hAnsi="Tahoma" w:cs="Tahoma"/>
          <w:sz w:val="24"/>
          <w:szCs w:val="24"/>
        </w:rPr>
        <w:t>Th</w:t>
      </w:r>
      <w:r w:rsidR="7E44C6AA" w:rsidRPr="4CACCB5C">
        <w:rPr>
          <w:rFonts w:ascii="Tahoma" w:eastAsia="Tahoma" w:hAnsi="Tahoma" w:cs="Tahoma"/>
          <w:sz w:val="24"/>
          <w:szCs w:val="24"/>
        </w:rPr>
        <w:t>is</w:t>
      </w:r>
      <w:r w:rsidRPr="4CACCB5C">
        <w:rPr>
          <w:rFonts w:ascii="Tahoma" w:eastAsia="Tahoma" w:hAnsi="Tahoma" w:cs="Tahoma"/>
          <w:sz w:val="24"/>
          <w:szCs w:val="24"/>
        </w:rPr>
        <w:t xml:space="preserve"> GFO</w:t>
      </w:r>
      <w:r w:rsidR="4BE7FFD9" w:rsidRPr="4CACCB5C">
        <w:rPr>
          <w:rFonts w:ascii="Tahoma" w:eastAsia="Tahoma" w:hAnsi="Tahoma" w:cs="Tahoma"/>
          <w:sz w:val="24"/>
          <w:szCs w:val="24"/>
        </w:rPr>
        <w:t xml:space="preserve"> do</w:t>
      </w:r>
      <w:r w:rsidR="6BAFBCDB" w:rsidRPr="4CACCB5C">
        <w:rPr>
          <w:rFonts w:ascii="Tahoma" w:eastAsia="Tahoma" w:hAnsi="Tahoma" w:cs="Tahoma"/>
          <w:sz w:val="24"/>
          <w:szCs w:val="24"/>
        </w:rPr>
        <w:t>es</w:t>
      </w:r>
      <w:r w:rsidR="7A5AABFD" w:rsidRPr="4CACCB5C">
        <w:rPr>
          <w:rFonts w:ascii="Tahoma" w:eastAsia="Tahoma" w:hAnsi="Tahoma" w:cs="Tahoma"/>
          <w:sz w:val="24"/>
          <w:szCs w:val="24"/>
        </w:rPr>
        <w:t xml:space="preserve"> no</w:t>
      </w:r>
      <w:r w:rsidR="4BE7FFD9" w:rsidRPr="4CACCB5C">
        <w:rPr>
          <w:rFonts w:ascii="Tahoma" w:eastAsia="Tahoma" w:hAnsi="Tahoma" w:cs="Tahoma"/>
          <w:sz w:val="24"/>
          <w:szCs w:val="24"/>
        </w:rPr>
        <w:t>t have</w:t>
      </w:r>
      <w:r w:rsidR="27E56309" w:rsidRPr="4CACCB5C">
        <w:rPr>
          <w:rFonts w:ascii="Tahoma" w:eastAsia="Tahoma" w:hAnsi="Tahoma" w:cs="Tahoma"/>
          <w:sz w:val="24"/>
          <w:szCs w:val="24"/>
        </w:rPr>
        <w:t xml:space="preserve"> specific</w:t>
      </w:r>
      <w:r w:rsidR="096E8138" w:rsidRPr="4CACCB5C">
        <w:rPr>
          <w:rFonts w:ascii="Tahoma" w:eastAsia="Tahoma" w:hAnsi="Tahoma" w:cs="Tahoma"/>
          <w:sz w:val="24"/>
          <w:szCs w:val="24"/>
        </w:rPr>
        <w:t xml:space="preserve"> site</w:t>
      </w:r>
      <w:r w:rsidR="4BE7FFD9" w:rsidRPr="4CACCB5C">
        <w:rPr>
          <w:rFonts w:ascii="Tahoma" w:eastAsia="Tahoma" w:hAnsi="Tahoma" w:cs="Tahoma"/>
          <w:sz w:val="24"/>
          <w:szCs w:val="24"/>
        </w:rPr>
        <w:t xml:space="preserve"> recommendations/requirements. </w:t>
      </w:r>
      <w:r w:rsidR="02857736" w:rsidRPr="4CACCB5C">
        <w:rPr>
          <w:rFonts w:ascii="Tahoma" w:eastAsia="Tahoma" w:hAnsi="Tahoma" w:cs="Tahoma"/>
          <w:sz w:val="24"/>
          <w:szCs w:val="24"/>
        </w:rPr>
        <w:t>Provided that the</w:t>
      </w:r>
      <w:r w:rsidR="3FF6EBB0" w:rsidRPr="4CACCB5C">
        <w:rPr>
          <w:rFonts w:ascii="Tahoma" w:eastAsia="Tahoma" w:hAnsi="Tahoma" w:cs="Tahoma"/>
          <w:sz w:val="24"/>
          <w:szCs w:val="24"/>
        </w:rPr>
        <w:t xml:space="preserve"> project site </w:t>
      </w:r>
      <w:proofErr w:type="gramStart"/>
      <w:r w:rsidR="3FF6EBB0" w:rsidRPr="4CACCB5C">
        <w:rPr>
          <w:rFonts w:ascii="Tahoma" w:eastAsia="Tahoma" w:hAnsi="Tahoma" w:cs="Tahoma"/>
          <w:sz w:val="24"/>
          <w:szCs w:val="24"/>
        </w:rPr>
        <w:t>is located in</w:t>
      </w:r>
      <w:proofErr w:type="gramEnd"/>
      <w:r w:rsidR="3FF6EBB0" w:rsidRPr="4CACCB5C">
        <w:rPr>
          <w:rFonts w:ascii="Tahoma" w:eastAsia="Tahoma" w:hAnsi="Tahoma" w:cs="Tahoma"/>
          <w:sz w:val="24"/>
          <w:szCs w:val="24"/>
        </w:rPr>
        <w:t xml:space="preserve"> a California IOU service territory (i.e., PG&amp;E, SDG&amp;E, or SCE)</w:t>
      </w:r>
      <w:r w:rsidR="1C4BE752" w:rsidRPr="4CACCB5C">
        <w:rPr>
          <w:rFonts w:ascii="Tahoma" w:eastAsia="Tahoma" w:hAnsi="Tahoma" w:cs="Tahoma"/>
          <w:sz w:val="24"/>
          <w:szCs w:val="24"/>
        </w:rPr>
        <w:t xml:space="preserve"> and that the project benefits a disadvantaged (DAC), low income (LIC), or Tribal community</w:t>
      </w:r>
      <w:r w:rsidR="402CEFEC" w:rsidRPr="4CACCB5C">
        <w:rPr>
          <w:rFonts w:ascii="Tahoma" w:eastAsia="Tahoma" w:hAnsi="Tahoma" w:cs="Tahoma"/>
          <w:sz w:val="24"/>
          <w:szCs w:val="24"/>
        </w:rPr>
        <w:t xml:space="preserve">, it </w:t>
      </w:r>
      <w:r w:rsidR="42BD98D8" w:rsidRPr="4CACCB5C">
        <w:rPr>
          <w:rFonts w:ascii="Tahoma" w:eastAsia="Tahoma" w:hAnsi="Tahoma" w:cs="Tahoma"/>
          <w:sz w:val="24"/>
          <w:szCs w:val="24"/>
        </w:rPr>
        <w:t>i</w:t>
      </w:r>
      <w:r w:rsidR="4BE7FFD9" w:rsidRPr="4CACCB5C">
        <w:rPr>
          <w:rFonts w:ascii="Tahoma" w:eastAsia="Tahoma" w:hAnsi="Tahoma" w:cs="Tahoma"/>
          <w:sz w:val="24"/>
          <w:szCs w:val="24"/>
        </w:rPr>
        <w:t>s up to the applicant to locate the site</w:t>
      </w:r>
      <w:r w:rsidR="3AC071D4" w:rsidRPr="4CACCB5C">
        <w:rPr>
          <w:rFonts w:ascii="Tahoma" w:eastAsia="Tahoma" w:hAnsi="Tahoma" w:cs="Tahoma"/>
          <w:sz w:val="24"/>
          <w:szCs w:val="24"/>
        </w:rPr>
        <w:t>,</w:t>
      </w:r>
      <w:r w:rsidR="4BE7FFD9" w:rsidRPr="4CACCB5C">
        <w:rPr>
          <w:rFonts w:ascii="Tahoma" w:eastAsia="Tahoma" w:hAnsi="Tahoma" w:cs="Tahoma"/>
          <w:sz w:val="24"/>
          <w:szCs w:val="24"/>
        </w:rPr>
        <w:t xml:space="preserve"> </w:t>
      </w:r>
      <w:r w:rsidR="7D56C5D5" w:rsidRPr="4CACCB5C">
        <w:rPr>
          <w:rFonts w:ascii="Tahoma" w:eastAsia="Tahoma" w:hAnsi="Tahoma" w:cs="Tahoma"/>
          <w:sz w:val="24"/>
          <w:szCs w:val="24"/>
        </w:rPr>
        <w:t>determine</w:t>
      </w:r>
      <w:r w:rsidR="4BE7FFD9" w:rsidRPr="4CACCB5C">
        <w:rPr>
          <w:rFonts w:ascii="Tahoma" w:eastAsia="Tahoma" w:hAnsi="Tahoma" w:cs="Tahoma"/>
          <w:sz w:val="24"/>
          <w:szCs w:val="24"/>
        </w:rPr>
        <w:t xml:space="preserve"> the benefits</w:t>
      </w:r>
      <w:r w:rsidR="2B3233D4" w:rsidRPr="4CACCB5C">
        <w:rPr>
          <w:rFonts w:ascii="Tahoma" w:eastAsia="Tahoma" w:hAnsi="Tahoma" w:cs="Tahoma"/>
          <w:sz w:val="24"/>
          <w:szCs w:val="24"/>
        </w:rPr>
        <w:t>,</w:t>
      </w:r>
      <w:r w:rsidR="4BE7FFD9" w:rsidRPr="4CACCB5C">
        <w:rPr>
          <w:rFonts w:ascii="Tahoma" w:eastAsia="Tahoma" w:hAnsi="Tahoma" w:cs="Tahoma"/>
          <w:sz w:val="24"/>
          <w:szCs w:val="24"/>
        </w:rPr>
        <w:t xml:space="preserve"> and describe the approach </w:t>
      </w:r>
      <w:r w:rsidR="651E17D7" w:rsidRPr="4CACCB5C">
        <w:rPr>
          <w:rFonts w:ascii="Tahoma" w:eastAsia="Tahoma" w:hAnsi="Tahoma" w:cs="Tahoma"/>
          <w:sz w:val="24"/>
          <w:szCs w:val="24"/>
        </w:rPr>
        <w:t>in</w:t>
      </w:r>
      <w:r w:rsidR="4BE7FFD9" w:rsidRPr="4CACCB5C">
        <w:rPr>
          <w:rFonts w:ascii="Tahoma" w:eastAsia="Tahoma" w:hAnsi="Tahoma" w:cs="Tahoma"/>
          <w:sz w:val="24"/>
          <w:szCs w:val="24"/>
        </w:rPr>
        <w:t xml:space="preserve"> the </w:t>
      </w:r>
      <w:r w:rsidR="651E17D7" w:rsidRPr="4CACCB5C">
        <w:rPr>
          <w:rFonts w:ascii="Tahoma" w:eastAsia="Tahoma" w:hAnsi="Tahoma" w:cs="Tahoma"/>
          <w:sz w:val="24"/>
          <w:szCs w:val="24"/>
        </w:rPr>
        <w:t>application</w:t>
      </w:r>
      <w:r w:rsidR="4BE7FFD9" w:rsidRPr="4CACCB5C">
        <w:rPr>
          <w:rFonts w:ascii="Tahoma" w:eastAsia="Tahoma" w:hAnsi="Tahoma" w:cs="Tahoma"/>
          <w:sz w:val="24"/>
          <w:szCs w:val="24"/>
        </w:rPr>
        <w:t xml:space="preserve">. </w:t>
      </w:r>
    </w:p>
    <w:p w14:paraId="6D74C1A9" w14:textId="14952CC1" w:rsidR="34341375" w:rsidRDefault="34341375" w:rsidP="00304287">
      <w:pPr>
        <w:spacing w:line="257" w:lineRule="auto"/>
        <w:rPr>
          <w:rFonts w:ascii="Tahoma" w:eastAsia="Tahoma" w:hAnsi="Tahoma" w:cs="Tahoma"/>
          <w:sz w:val="24"/>
          <w:szCs w:val="24"/>
        </w:rPr>
      </w:pPr>
    </w:p>
    <w:p w14:paraId="31922012" w14:textId="360EE72A" w:rsidR="7BA94024" w:rsidRDefault="7BA94024" w:rsidP="00965215">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100 kW is your minimum target. Are there additional scoring points for a larger system than 100 kW?</w:t>
      </w:r>
    </w:p>
    <w:p w14:paraId="71A14C89" w14:textId="5434A672" w:rsidR="7BA94024" w:rsidRDefault="7BA94024" w:rsidP="00304287">
      <w:pPr>
        <w:spacing w:line="257" w:lineRule="auto"/>
        <w:ind w:left="720"/>
        <w:rPr>
          <w:rFonts w:ascii="Tahoma" w:eastAsia="Tahoma" w:hAnsi="Tahoma" w:cs="Tahoma"/>
          <w:sz w:val="24"/>
          <w:szCs w:val="24"/>
        </w:rPr>
      </w:pPr>
      <w:r w:rsidRPr="09E2F14D">
        <w:rPr>
          <w:rFonts w:ascii="Tahoma" w:eastAsia="Tahoma" w:hAnsi="Tahoma" w:cs="Tahoma"/>
          <w:b/>
          <w:sz w:val="24"/>
          <w:szCs w:val="24"/>
        </w:rPr>
        <w:t xml:space="preserve">A: </w:t>
      </w:r>
      <w:r w:rsidRPr="09E2F14D">
        <w:rPr>
          <w:rFonts w:ascii="Tahoma" w:eastAsia="Tahoma" w:hAnsi="Tahoma" w:cs="Tahoma"/>
          <w:sz w:val="24"/>
          <w:szCs w:val="24"/>
        </w:rPr>
        <w:t>There</w:t>
      </w:r>
      <w:r w:rsidR="00CE0553">
        <w:rPr>
          <w:rFonts w:ascii="Tahoma" w:eastAsia="Tahoma" w:hAnsi="Tahoma" w:cs="Tahoma"/>
          <w:sz w:val="24"/>
          <w:szCs w:val="24"/>
        </w:rPr>
        <w:t xml:space="preserve"> </w:t>
      </w:r>
      <w:r w:rsidR="00417485">
        <w:rPr>
          <w:rFonts w:ascii="Tahoma" w:eastAsia="Tahoma" w:hAnsi="Tahoma" w:cs="Tahoma"/>
          <w:sz w:val="24"/>
          <w:szCs w:val="24"/>
        </w:rPr>
        <w:t>are</w:t>
      </w:r>
      <w:r w:rsidRPr="09E2F14D">
        <w:rPr>
          <w:rFonts w:ascii="Tahoma" w:eastAsia="Tahoma" w:hAnsi="Tahoma" w:cs="Tahoma"/>
          <w:sz w:val="24"/>
          <w:szCs w:val="24"/>
        </w:rPr>
        <w:t xml:space="preserve"> no criteria that </w:t>
      </w:r>
      <w:r w:rsidR="00417485">
        <w:rPr>
          <w:rFonts w:ascii="Tahoma" w:eastAsia="Tahoma" w:hAnsi="Tahoma" w:cs="Tahoma"/>
          <w:sz w:val="24"/>
          <w:szCs w:val="24"/>
        </w:rPr>
        <w:t>give</w:t>
      </w:r>
      <w:r w:rsidRPr="09E2F14D">
        <w:rPr>
          <w:rFonts w:ascii="Tahoma" w:eastAsia="Tahoma" w:hAnsi="Tahoma" w:cs="Tahoma"/>
          <w:sz w:val="24"/>
          <w:szCs w:val="24"/>
        </w:rPr>
        <w:t xml:space="preserve"> preference for higher power</w:t>
      </w:r>
      <w:r w:rsidR="008E4787">
        <w:rPr>
          <w:rFonts w:ascii="Tahoma" w:eastAsia="Tahoma" w:hAnsi="Tahoma" w:cs="Tahoma"/>
          <w:sz w:val="24"/>
          <w:szCs w:val="24"/>
        </w:rPr>
        <w:t>; however,</w:t>
      </w:r>
      <w:r w:rsidRPr="09E2F14D">
        <w:rPr>
          <w:rFonts w:ascii="Tahoma" w:eastAsia="Tahoma" w:hAnsi="Tahoma" w:cs="Tahoma"/>
          <w:sz w:val="24"/>
          <w:szCs w:val="24"/>
        </w:rPr>
        <w:t xml:space="preserve"> </w:t>
      </w:r>
      <w:r w:rsidR="008E4787">
        <w:rPr>
          <w:rFonts w:ascii="Tahoma" w:eastAsia="Tahoma" w:hAnsi="Tahoma" w:cs="Tahoma"/>
          <w:sz w:val="24"/>
          <w:szCs w:val="24"/>
        </w:rPr>
        <w:t>i</w:t>
      </w:r>
      <w:r w:rsidR="00D83EA3">
        <w:rPr>
          <w:rFonts w:ascii="Tahoma" w:eastAsia="Tahoma" w:hAnsi="Tahoma" w:cs="Tahoma"/>
          <w:sz w:val="24"/>
          <w:szCs w:val="24"/>
        </w:rPr>
        <w:t xml:space="preserve">t </w:t>
      </w:r>
      <w:r w:rsidR="00D83EA3" w:rsidRPr="0B53042F">
        <w:rPr>
          <w:rFonts w:ascii="Tahoma" w:eastAsia="Tahoma" w:hAnsi="Tahoma" w:cs="Tahoma"/>
          <w:sz w:val="24"/>
          <w:szCs w:val="24"/>
        </w:rPr>
        <w:t>c</w:t>
      </w:r>
      <w:r w:rsidRPr="0B53042F">
        <w:rPr>
          <w:rFonts w:ascii="Tahoma" w:eastAsia="Tahoma" w:hAnsi="Tahoma" w:cs="Tahoma"/>
          <w:sz w:val="24"/>
          <w:szCs w:val="24"/>
        </w:rPr>
        <w:t>ould</w:t>
      </w:r>
      <w:r w:rsidR="00D6433B">
        <w:rPr>
          <w:rFonts w:ascii="Tahoma" w:eastAsia="Tahoma" w:hAnsi="Tahoma" w:cs="Tahoma"/>
          <w:sz w:val="24"/>
          <w:szCs w:val="24"/>
        </w:rPr>
        <w:t xml:space="preserve"> </w:t>
      </w:r>
      <w:r w:rsidRPr="09E2F14D">
        <w:rPr>
          <w:rFonts w:ascii="Tahoma" w:eastAsia="Tahoma" w:hAnsi="Tahoma" w:cs="Tahoma"/>
          <w:sz w:val="24"/>
          <w:szCs w:val="24"/>
        </w:rPr>
        <w:t>strengthen</w:t>
      </w:r>
      <w:r w:rsidR="008F0101">
        <w:rPr>
          <w:rFonts w:ascii="Tahoma" w:eastAsia="Tahoma" w:hAnsi="Tahoma" w:cs="Tahoma"/>
          <w:sz w:val="24"/>
          <w:szCs w:val="24"/>
        </w:rPr>
        <w:t xml:space="preserve"> the</w:t>
      </w:r>
      <w:r w:rsidR="008E4787">
        <w:rPr>
          <w:rFonts w:ascii="Tahoma" w:eastAsia="Tahoma" w:hAnsi="Tahoma" w:cs="Tahoma"/>
          <w:sz w:val="24"/>
          <w:szCs w:val="24"/>
        </w:rPr>
        <w:t xml:space="preserve"> project</w:t>
      </w:r>
      <w:r w:rsidR="008F0101">
        <w:rPr>
          <w:rFonts w:ascii="Tahoma" w:eastAsia="Tahoma" w:hAnsi="Tahoma" w:cs="Tahoma"/>
          <w:sz w:val="24"/>
          <w:szCs w:val="24"/>
        </w:rPr>
        <w:t xml:space="preserve"> benefits</w:t>
      </w:r>
      <w:r w:rsidRPr="09E2F14D">
        <w:rPr>
          <w:rFonts w:ascii="Tahoma" w:eastAsia="Tahoma" w:hAnsi="Tahoma" w:cs="Tahoma"/>
          <w:sz w:val="24"/>
          <w:szCs w:val="24"/>
        </w:rPr>
        <w:t>.</w:t>
      </w:r>
    </w:p>
    <w:p w14:paraId="53BC13E3" w14:textId="0955E121" w:rsidR="34341375" w:rsidRDefault="34341375" w:rsidP="00304287">
      <w:pPr>
        <w:spacing w:line="257" w:lineRule="auto"/>
        <w:rPr>
          <w:rFonts w:ascii="Tahoma" w:eastAsia="Tahoma" w:hAnsi="Tahoma" w:cs="Tahoma"/>
          <w:sz w:val="24"/>
          <w:szCs w:val="24"/>
        </w:rPr>
      </w:pPr>
    </w:p>
    <w:p w14:paraId="7280D452" w14:textId="105EA3A4" w:rsidR="7BA94024" w:rsidRDefault="7BA94024"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If the applicant can demonstrate a site that suffers from high outages, but those outages are not considered "PSPS", would that still count as being additionally beneficial in the scoring criteria?</w:t>
      </w:r>
    </w:p>
    <w:p w14:paraId="70291902" w14:textId="6142103A" w:rsidR="7BA94024" w:rsidRDefault="7BA94024" w:rsidP="00304287">
      <w:pPr>
        <w:spacing w:line="257" w:lineRule="auto"/>
        <w:ind w:left="720"/>
        <w:rPr>
          <w:rFonts w:ascii="Tahoma" w:eastAsia="Tahoma" w:hAnsi="Tahoma" w:cs="Tahoma"/>
          <w:sz w:val="24"/>
          <w:szCs w:val="24"/>
        </w:rPr>
      </w:pPr>
      <w:r w:rsidRPr="017DB1C2">
        <w:rPr>
          <w:rFonts w:ascii="Tahoma" w:eastAsia="Tahoma" w:hAnsi="Tahoma" w:cs="Tahoma"/>
          <w:b/>
          <w:bCs/>
          <w:sz w:val="24"/>
          <w:szCs w:val="24"/>
        </w:rPr>
        <w:t xml:space="preserve">A: </w:t>
      </w:r>
      <w:r w:rsidRPr="017DB1C2">
        <w:rPr>
          <w:rFonts w:ascii="Tahoma" w:eastAsia="Tahoma" w:hAnsi="Tahoma" w:cs="Tahoma"/>
          <w:sz w:val="24"/>
          <w:szCs w:val="24"/>
        </w:rPr>
        <w:t>PSPS is not a requirement</w:t>
      </w:r>
      <w:r w:rsidR="008E57AC" w:rsidRPr="017DB1C2">
        <w:rPr>
          <w:rFonts w:ascii="Tahoma" w:eastAsia="Tahoma" w:hAnsi="Tahoma" w:cs="Tahoma"/>
          <w:sz w:val="24"/>
          <w:szCs w:val="24"/>
        </w:rPr>
        <w:t xml:space="preserve"> </w:t>
      </w:r>
      <w:r w:rsidR="00BD4D9E" w:rsidRPr="017DB1C2">
        <w:rPr>
          <w:rFonts w:ascii="Tahoma" w:eastAsia="Tahoma" w:hAnsi="Tahoma" w:cs="Tahoma"/>
          <w:sz w:val="24"/>
          <w:szCs w:val="24"/>
        </w:rPr>
        <w:t xml:space="preserve">but rather </w:t>
      </w:r>
      <w:r w:rsidR="002C3062" w:rsidRPr="017DB1C2">
        <w:rPr>
          <w:rFonts w:ascii="Tahoma" w:eastAsia="Tahoma" w:hAnsi="Tahoma" w:cs="Tahoma"/>
          <w:sz w:val="24"/>
          <w:szCs w:val="24"/>
        </w:rPr>
        <w:t xml:space="preserve">one </w:t>
      </w:r>
      <w:r w:rsidR="007403C8" w:rsidRPr="017DB1C2">
        <w:rPr>
          <w:rFonts w:ascii="Tahoma" w:eastAsia="Tahoma" w:hAnsi="Tahoma" w:cs="Tahoma"/>
          <w:sz w:val="24"/>
          <w:szCs w:val="24"/>
        </w:rPr>
        <w:t>examp</w:t>
      </w:r>
      <w:r w:rsidR="00B55E53" w:rsidRPr="017DB1C2">
        <w:rPr>
          <w:rFonts w:ascii="Tahoma" w:eastAsia="Tahoma" w:hAnsi="Tahoma" w:cs="Tahoma"/>
          <w:sz w:val="24"/>
          <w:szCs w:val="24"/>
        </w:rPr>
        <w:t xml:space="preserve">le of </w:t>
      </w:r>
      <w:r w:rsidR="00BD4D9E" w:rsidRPr="017DB1C2">
        <w:rPr>
          <w:rFonts w:ascii="Tahoma" w:eastAsia="Tahoma" w:hAnsi="Tahoma" w:cs="Tahoma"/>
          <w:sz w:val="24"/>
          <w:szCs w:val="24"/>
        </w:rPr>
        <w:t xml:space="preserve">many motivating </w:t>
      </w:r>
      <w:r w:rsidR="00012CBB" w:rsidRPr="017DB1C2">
        <w:rPr>
          <w:rFonts w:ascii="Tahoma" w:eastAsia="Tahoma" w:hAnsi="Tahoma" w:cs="Tahoma"/>
          <w:sz w:val="24"/>
          <w:szCs w:val="24"/>
        </w:rPr>
        <w:t xml:space="preserve">grid impacting </w:t>
      </w:r>
      <w:r w:rsidR="00BD4D9E" w:rsidRPr="017DB1C2">
        <w:rPr>
          <w:rFonts w:ascii="Tahoma" w:eastAsia="Tahoma" w:hAnsi="Tahoma" w:cs="Tahoma"/>
          <w:sz w:val="24"/>
          <w:szCs w:val="24"/>
        </w:rPr>
        <w:t>factors</w:t>
      </w:r>
      <w:r w:rsidRPr="017DB1C2">
        <w:rPr>
          <w:rFonts w:ascii="Tahoma" w:eastAsia="Tahoma" w:hAnsi="Tahoma" w:cs="Tahoma"/>
          <w:sz w:val="24"/>
          <w:szCs w:val="24"/>
        </w:rPr>
        <w:t xml:space="preserve">. </w:t>
      </w:r>
      <w:r w:rsidR="00FB7536" w:rsidRPr="017DB1C2">
        <w:rPr>
          <w:rFonts w:ascii="Tahoma" w:eastAsia="Tahoma" w:hAnsi="Tahoma" w:cs="Tahoma"/>
          <w:sz w:val="24"/>
          <w:szCs w:val="24"/>
        </w:rPr>
        <w:t>Applicants</w:t>
      </w:r>
      <w:r w:rsidR="00322465" w:rsidRPr="017DB1C2">
        <w:rPr>
          <w:rFonts w:ascii="Tahoma" w:eastAsia="Tahoma" w:hAnsi="Tahoma" w:cs="Tahoma"/>
          <w:sz w:val="24"/>
          <w:szCs w:val="24"/>
        </w:rPr>
        <w:t xml:space="preserve"> </w:t>
      </w:r>
      <w:r w:rsidR="00BB55A1" w:rsidRPr="017DB1C2">
        <w:rPr>
          <w:rFonts w:ascii="Tahoma" w:eastAsia="Tahoma" w:hAnsi="Tahoma" w:cs="Tahoma"/>
          <w:sz w:val="24"/>
          <w:szCs w:val="24"/>
        </w:rPr>
        <w:t>can use PSPS or other grid impact examples</w:t>
      </w:r>
      <w:r w:rsidRPr="017DB1C2">
        <w:rPr>
          <w:rFonts w:ascii="Tahoma" w:eastAsia="Tahoma" w:hAnsi="Tahoma" w:cs="Tahoma"/>
          <w:sz w:val="24"/>
          <w:szCs w:val="24"/>
        </w:rPr>
        <w:t xml:space="preserve"> </w:t>
      </w:r>
      <w:r w:rsidR="00427F66" w:rsidRPr="017DB1C2">
        <w:rPr>
          <w:rFonts w:ascii="Tahoma" w:eastAsia="Tahoma" w:hAnsi="Tahoma" w:cs="Tahoma"/>
          <w:sz w:val="24"/>
          <w:szCs w:val="24"/>
        </w:rPr>
        <w:t xml:space="preserve">on </w:t>
      </w:r>
      <w:r w:rsidRPr="017DB1C2">
        <w:rPr>
          <w:rFonts w:ascii="Tahoma" w:eastAsia="Tahoma" w:hAnsi="Tahoma" w:cs="Tahoma"/>
          <w:sz w:val="24"/>
          <w:szCs w:val="24"/>
        </w:rPr>
        <w:t>power quality in the demonstrat</w:t>
      </w:r>
      <w:r w:rsidR="00C51398" w:rsidRPr="017DB1C2">
        <w:rPr>
          <w:rFonts w:ascii="Tahoma" w:eastAsia="Tahoma" w:hAnsi="Tahoma" w:cs="Tahoma"/>
          <w:sz w:val="24"/>
          <w:szCs w:val="24"/>
        </w:rPr>
        <w:t>ion</w:t>
      </w:r>
      <w:r w:rsidRPr="017DB1C2">
        <w:rPr>
          <w:rFonts w:ascii="Tahoma" w:eastAsia="Tahoma" w:hAnsi="Tahoma" w:cs="Tahoma"/>
          <w:sz w:val="24"/>
          <w:szCs w:val="24"/>
        </w:rPr>
        <w:t xml:space="preserve"> site area</w:t>
      </w:r>
      <w:r w:rsidR="00CA5390" w:rsidRPr="017DB1C2">
        <w:rPr>
          <w:rFonts w:ascii="Tahoma" w:eastAsia="Tahoma" w:hAnsi="Tahoma" w:cs="Tahoma"/>
          <w:sz w:val="24"/>
          <w:szCs w:val="24"/>
        </w:rPr>
        <w:t xml:space="preserve"> to describe grid conditions</w:t>
      </w:r>
      <w:r w:rsidR="00095639" w:rsidRPr="017DB1C2">
        <w:rPr>
          <w:rFonts w:ascii="Tahoma" w:eastAsia="Tahoma" w:hAnsi="Tahoma" w:cs="Tahoma"/>
          <w:sz w:val="24"/>
          <w:szCs w:val="24"/>
        </w:rPr>
        <w:t xml:space="preserve"> to be addressed</w:t>
      </w:r>
      <w:r w:rsidR="00F22F6F" w:rsidRPr="017DB1C2">
        <w:rPr>
          <w:rFonts w:ascii="Tahoma" w:eastAsia="Tahoma" w:hAnsi="Tahoma" w:cs="Tahoma"/>
          <w:sz w:val="24"/>
          <w:szCs w:val="24"/>
        </w:rPr>
        <w:t xml:space="preserve"> by the project</w:t>
      </w:r>
      <w:r w:rsidRPr="017DB1C2">
        <w:rPr>
          <w:rFonts w:ascii="Tahoma" w:eastAsia="Tahoma" w:hAnsi="Tahoma" w:cs="Tahoma"/>
          <w:sz w:val="24"/>
          <w:szCs w:val="24"/>
        </w:rPr>
        <w:t>.</w:t>
      </w:r>
    </w:p>
    <w:p w14:paraId="157458C7" w14:textId="21EAC590" w:rsidR="34341375" w:rsidRDefault="34341375" w:rsidP="00304287">
      <w:pPr>
        <w:spacing w:line="257" w:lineRule="auto"/>
        <w:rPr>
          <w:rFonts w:ascii="Tahoma" w:eastAsia="Tahoma" w:hAnsi="Tahoma" w:cs="Tahoma"/>
          <w:sz w:val="24"/>
          <w:szCs w:val="24"/>
        </w:rPr>
      </w:pPr>
    </w:p>
    <w:p w14:paraId="723F15CD" w14:textId="077F5AA4" w:rsidR="7BA94024" w:rsidRDefault="7BA94024" w:rsidP="00DE7060">
      <w:pPr>
        <w:pStyle w:val="ListParagraph"/>
        <w:numPr>
          <w:ilvl w:val="0"/>
          <w:numId w:val="3"/>
        </w:numPr>
        <w:spacing w:line="257" w:lineRule="auto"/>
        <w:ind w:hanging="720"/>
        <w:rPr>
          <w:rFonts w:ascii="Tahoma" w:eastAsia="Tahoma" w:hAnsi="Tahoma" w:cs="Tahoma"/>
          <w:b/>
          <w:bCs/>
          <w:sz w:val="24"/>
          <w:szCs w:val="24"/>
        </w:rPr>
      </w:pPr>
      <w:r w:rsidRPr="017DB1C2">
        <w:rPr>
          <w:rFonts w:ascii="Tahoma" w:eastAsia="Tahoma" w:hAnsi="Tahoma" w:cs="Tahoma"/>
          <w:b/>
          <w:bCs/>
          <w:sz w:val="24"/>
          <w:szCs w:val="24"/>
        </w:rPr>
        <w:t>Q:</w:t>
      </w:r>
      <w:r w:rsidRPr="017DB1C2">
        <w:rPr>
          <w:rFonts w:ascii="Tahoma" w:eastAsia="Tahoma" w:hAnsi="Tahoma" w:cs="Tahoma"/>
          <w:sz w:val="24"/>
          <w:szCs w:val="24"/>
        </w:rPr>
        <w:t xml:space="preserve"> Would a hospital serving an area that includes a low-income community, but not located in one, will it be considered as benefitting that community?</w:t>
      </w:r>
    </w:p>
    <w:p w14:paraId="1859F4FB" w14:textId="294757D4" w:rsidR="7BA94024" w:rsidRDefault="7BA94024" w:rsidP="00304287">
      <w:pPr>
        <w:spacing w:line="257" w:lineRule="auto"/>
        <w:ind w:left="720"/>
        <w:rPr>
          <w:rFonts w:ascii="Tahoma" w:eastAsia="Tahoma" w:hAnsi="Tahoma" w:cs="Tahoma"/>
          <w:sz w:val="24"/>
          <w:szCs w:val="24"/>
        </w:rPr>
      </w:pPr>
      <w:r w:rsidRPr="25D41ABE">
        <w:rPr>
          <w:rFonts w:ascii="Tahoma" w:eastAsia="Tahoma" w:hAnsi="Tahoma" w:cs="Tahoma"/>
          <w:b/>
          <w:bCs/>
          <w:sz w:val="24"/>
          <w:szCs w:val="24"/>
        </w:rPr>
        <w:t xml:space="preserve">A: </w:t>
      </w:r>
      <w:r w:rsidR="00BB16ED">
        <w:rPr>
          <w:rFonts w:ascii="Tahoma" w:eastAsia="Tahoma" w:hAnsi="Tahoma" w:cs="Tahoma"/>
          <w:sz w:val="24"/>
          <w:szCs w:val="24"/>
        </w:rPr>
        <w:t>Th</w:t>
      </w:r>
      <w:r w:rsidR="00E35CD4">
        <w:rPr>
          <w:rFonts w:ascii="Tahoma" w:eastAsia="Tahoma" w:hAnsi="Tahoma" w:cs="Tahoma"/>
          <w:sz w:val="24"/>
          <w:szCs w:val="24"/>
        </w:rPr>
        <w:t>is</w:t>
      </w:r>
      <w:r w:rsidR="00BB16ED">
        <w:rPr>
          <w:rFonts w:ascii="Tahoma" w:eastAsia="Tahoma" w:hAnsi="Tahoma" w:cs="Tahoma"/>
          <w:sz w:val="24"/>
          <w:szCs w:val="24"/>
        </w:rPr>
        <w:t xml:space="preserve"> GFO does not</w:t>
      </w:r>
      <w:r w:rsidR="00FC3A1F" w:rsidRPr="25D41ABE">
        <w:rPr>
          <w:rFonts w:ascii="Tahoma" w:eastAsia="Tahoma" w:hAnsi="Tahoma" w:cs="Tahoma"/>
          <w:sz w:val="24"/>
          <w:szCs w:val="24"/>
        </w:rPr>
        <w:t xml:space="preserve"> require the demonstration site to </w:t>
      </w:r>
      <w:proofErr w:type="gramStart"/>
      <w:r w:rsidR="00FC3A1F" w:rsidRPr="25D41ABE">
        <w:rPr>
          <w:rFonts w:ascii="Tahoma" w:eastAsia="Tahoma" w:hAnsi="Tahoma" w:cs="Tahoma"/>
          <w:sz w:val="24"/>
          <w:szCs w:val="24"/>
        </w:rPr>
        <w:t>be located in</w:t>
      </w:r>
      <w:proofErr w:type="gramEnd"/>
      <w:r w:rsidR="00FC3A1F" w:rsidRPr="25D41ABE">
        <w:rPr>
          <w:rFonts w:ascii="Tahoma" w:eastAsia="Tahoma" w:hAnsi="Tahoma" w:cs="Tahoma"/>
          <w:sz w:val="24"/>
          <w:szCs w:val="24"/>
        </w:rPr>
        <w:t xml:space="preserve"> a </w:t>
      </w:r>
      <w:r w:rsidR="00FF45B1">
        <w:rPr>
          <w:rFonts w:ascii="Tahoma" w:eastAsia="Tahoma" w:hAnsi="Tahoma" w:cs="Tahoma"/>
          <w:sz w:val="24"/>
          <w:szCs w:val="24"/>
        </w:rPr>
        <w:t>disadvantaged</w:t>
      </w:r>
      <w:r w:rsidR="00B44341">
        <w:rPr>
          <w:rFonts w:ascii="Tahoma" w:eastAsia="Tahoma" w:hAnsi="Tahoma" w:cs="Tahoma"/>
          <w:sz w:val="24"/>
          <w:szCs w:val="24"/>
        </w:rPr>
        <w:t>,</w:t>
      </w:r>
      <w:r w:rsidR="00FF45B1">
        <w:rPr>
          <w:rFonts w:ascii="Tahoma" w:eastAsia="Tahoma" w:hAnsi="Tahoma" w:cs="Tahoma"/>
          <w:sz w:val="24"/>
          <w:szCs w:val="24"/>
        </w:rPr>
        <w:t xml:space="preserve"> low-income</w:t>
      </w:r>
      <w:r w:rsidR="00B44341">
        <w:rPr>
          <w:rFonts w:ascii="Tahoma" w:eastAsia="Tahoma" w:hAnsi="Tahoma" w:cs="Tahoma"/>
          <w:sz w:val="24"/>
          <w:szCs w:val="24"/>
        </w:rPr>
        <w:t>,</w:t>
      </w:r>
      <w:r w:rsidR="00FF45B1">
        <w:rPr>
          <w:rFonts w:ascii="Tahoma" w:eastAsia="Tahoma" w:hAnsi="Tahoma" w:cs="Tahoma"/>
          <w:sz w:val="24"/>
          <w:szCs w:val="24"/>
        </w:rPr>
        <w:t xml:space="preserve"> or</w:t>
      </w:r>
      <w:r w:rsidR="00FC3A1F" w:rsidRPr="25D41ABE">
        <w:rPr>
          <w:rFonts w:ascii="Tahoma" w:eastAsia="Tahoma" w:hAnsi="Tahoma" w:cs="Tahoma"/>
          <w:sz w:val="24"/>
          <w:szCs w:val="24"/>
        </w:rPr>
        <w:t xml:space="preserve"> </w:t>
      </w:r>
      <w:r w:rsidR="00A31595">
        <w:rPr>
          <w:rFonts w:ascii="Tahoma" w:eastAsia="Tahoma" w:hAnsi="Tahoma" w:cs="Tahoma"/>
          <w:sz w:val="24"/>
          <w:szCs w:val="24"/>
        </w:rPr>
        <w:t>Tribal</w:t>
      </w:r>
      <w:r w:rsidR="00647401">
        <w:rPr>
          <w:rFonts w:ascii="Tahoma" w:eastAsia="Tahoma" w:hAnsi="Tahoma" w:cs="Tahoma"/>
          <w:sz w:val="24"/>
          <w:szCs w:val="24"/>
        </w:rPr>
        <w:t xml:space="preserve"> community</w:t>
      </w:r>
      <w:r w:rsidR="00FC3A1F" w:rsidRPr="25D41ABE">
        <w:rPr>
          <w:rFonts w:ascii="Tahoma" w:eastAsia="Tahoma" w:hAnsi="Tahoma" w:cs="Tahoma"/>
          <w:sz w:val="24"/>
          <w:szCs w:val="24"/>
        </w:rPr>
        <w:t>.</w:t>
      </w:r>
      <w:r w:rsidR="00FC3A1F">
        <w:rPr>
          <w:rFonts w:ascii="Tahoma" w:eastAsia="Tahoma" w:hAnsi="Tahoma" w:cs="Tahoma"/>
          <w:sz w:val="24"/>
          <w:szCs w:val="24"/>
        </w:rPr>
        <w:t xml:space="preserve"> </w:t>
      </w:r>
      <w:r w:rsidR="00F27D6F" w:rsidRPr="25D41ABE">
        <w:rPr>
          <w:rFonts w:ascii="Tahoma" w:eastAsia="Tahoma" w:hAnsi="Tahoma" w:cs="Tahoma"/>
          <w:sz w:val="24"/>
          <w:szCs w:val="24"/>
        </w:rPr>
        <w:t xml:space="preserve">Demonstration sites must </w:t>
      </w:r>
      <w:proofErr w:type="gramStart"/>
      <w:r w:rsidR="00F27D6F" w:rsidRPr="25D41ABE">
        <w:rPr>
          <w:rFonts w:ascii="Tahoma" w:eastAsia="Tahoma" w:hAnsi="Tahoma" w:cs="Tahoma"/>
          <w:sz w:val="24"/>
          <w:szCs w:val="24"/>
        </w:rPr>
        <w:t>be located in</w:t>
      </w:r>
      <w:proofErr w:type="gramEnd"/>
      <w:r w:rsidR="00F27D6F" w:rsidRPr="25D41ABE">
        <w:rPr>
          <w:rFonts w:ascii="Tahoma" w:eastAsia="Tahoma" w:hAnsi="Tahoma" w:cs="Tahoma"/>
          <w:sz w:val="24"/>
          <w:szCs w:val="24"/>
        </w:rPr>
        <w:t xml:space="preserve"> a California IOU service territory</w:t>
      </w:r>
      <w:r w:rsidR="00F27D6F">
        <w:rPr>
          <w:rFonts w:ascii="Tahoma" w:eastAsia="Tahoma" w:hAnsi="Tahoma" w:cs="Tahoma"/>
          <w:sz w:val="24"/>
          <w:szCs w:val="24"/>
        </w:rPr>
        <w:t>,</w:t>
      </w:r>
      <w:r w:rsidR="00F27D6F" w:rsidRPr="25D41ABE">
        <w:rPr>
          <w:rFonts w:ascii="Tahoma" w:eastAsia="Tahoma" w:hAnsi="Tahoma" w:cs="Tahoma"/>
          <w:sz w:val="24"/>
          <w:szCs w:val="24"/>
        </w:rPr>
        <w:t xml:space="preserve"> and proposed applications of LDES systems must provide direct benefits to the residents of the identified communities. </w:t>
      </w:r>
      <w:r w:rsidR="74677132" w:rsidRPr="25D41ABE">
        <w:rPr>
          <w:rFonts w:ascii="Tahoma" w:eastAsia="Tahoma" w:hAnsi="Tahoma" w:cs="Tahoma"/>
          <w:sz w:val="24"/>
          <w:szCs w:val="24"/>
        </w:rPr>
        <w:t xml:space="preserve">A hospital serving an area that includes a low-income community, but not located in one, could be considered as benefitting that community. </w:t>
      </w:r>
    </w:p>
    <w:p w14:paraId="0618D5F4" w14:textId="2CACA1ED" w:rsidR="34341375" w:rsidRDefault="34341375" w:rsidP="00304287">
      <w:pPr>
        <w:spacing w:line="257" w:lineRule="auto"/>
        <w:rPr>
          <w:rFonts w:ascii="Tahoma" w:eastAsia="Tahoma" w:hAnsi="Tahoma" w:cs="Tahoma"/>
          <w:b/>
          <w:bCs/>
          <w:sz w:val="24"/>
          <w:szCs w:val="24"/>
        </w:rPr>
      </w:pPr>
    </w:p>
    <w:p w14:paraId="52ECB6E6" w14:textId="6192E5E1" w:rsidR="18594F75" w:rsidRDefault="18594F75" w:rsidP="00DE7060">
      <w:pPr>
        <w:pStyle w:val="ListParagraph"/>
        <w:numPr>
          <w:ilvl w:val="0"/>
          <w:numId w:val="3"/>
        </w:numPr>
        <w:spacing w:line="257" w:lineRule="auto"/>
        <w:ind w:hanging="720"/>
        <w:rPr>
          <w:rFonts w:ascii="Tahoma" w:eastAsia="Tahoma" w:hAnsi="Tahoma" w:cs="Tahoma"/>
          <w:b/>
          <w:bCs/>
          <w:sz w:val="24"/>
          <w:szCs w:val="24"/>
        </w:rPr>
      </w:pPr>
      <w:r w:rsidRPr="4B7E8AE1">
        <w:rPr>
          <w:rFonts w:ascii="Tahoma" w:eastAsia="Tahoma" w:hAnsi="Tahoma" w:cs="Tahoma"/>
          <w:b/>
          <w:bCs/>
          <w:sz w:val="24"/>
          <w:szCs w:val="24"/>
        </w:rPr>
        <w:t xml:space="preserve">Q: </w:t>
      </w:r>
      <w:r w:rsidRPr="4B7E8AE1">
        <w:rPr>
          <w:rFonts w:ascii="Tahoma" w:eastAsia="Tahoma" w:hAnsi="Tahoma" w:cs="Tahoma"/>
          <w:sz w:val="24"/>
          <w:szCs w:val="24"/>
        </w:rPr>
        <w:t>Can the project be located on/in a brownfield (i.e., depleted oil and/or gas reservoir) and utilize the existing infrastructure (wells, well equipment, pipelines, roads, tools, and other facilities) at the site?</w:t>
      </w:r>
    </w:p>
    <w:p w14:paraId="39B87AFC" w14:textId="61BEC81B" w:rsidR="6D70A9A3" w:rsidRDefault="6D70A9A3" w:rsidP="00304287">
      <w:pPr>
        <w:spacing w:line="257" w:lineRule="auto"/>
        <w:ind w:left="720"/>
        <w:rPr>
          <w:rFonts w:ascii="Tahoma" w:eastAsia="Tahoma" w:hAnsi="Tahoma" w:cs="Tahoma"/>
          <w:sz w:val="24"/>
          <w:szCs w:val="24"/>
        </w:rPr>
      </w:pPr>
      <w:r w:rsidRPr="4CACCB5C">
        <w:rPr>
          <w:rFonts w:ascii="Tahoma" w:eastAsia="Tahoma" w:hAnsi="Tahoma" w:cs="Tahoma"/>
          <w:b/>
          <w:bCs/>
          <w:sz w:val="24"/>
          <w:szCs w:val="24"/>
        </w:rPr>
        <w:t>A:</w:t>
      </w:r>
      <w:r w:rsidR="6B8FB396" w:rsidRPr="4CACCB5C">
        <w:rPr>
          <w:rFonts w:ascii="Tahoma" w:eastAsia="Tahoma" w:hAnsi="Tahoma" w:cs="Tahoma"/>
          <w:sz w:val="24"/>
          <w:szCs w:val="24"/>
        </w:rPr>
        <w:t xml:space="preserve"> </w:t>
      </w:r>
      <w:r w:rsidR="079042AF" w:rsidRPr="4CACCB5C">
        <w:rPr>
          <w:rFonts w:ascii="Tahoma" w:eastAsia="Tahoma" w:hAnsi="Tahoma" w:cs="Tahoma"/>
          <w:sz w:val="24"/>
          <w:szCs w:val="24"/>
        </w:rPr>
        <w:t xml:space="preserve">Per page 6 of </w:t>
      </w:r>
      <w:r w:rsidR="673B5664" w:rsidRPr="4CACCB5C">
        <w:rPr>
          <w:rFonts w:ascii="Tahoma" w:eastAsia="Tahoma" w:hAnsi="Tahoma" w:cs="Tahoma"/>
          <w:sz w:val="24"/>
          <w:szCs w:val="24"/>
        </w:rPr>
        <w:t>this GFO</w:t>
      </w:r>
      <w:r w:rsidR="079042AF" w:rsidRPr="4CACCB5C">
        <w:rPr>
          <w:rFonts w:ascii="Tahoma" w:eastAsia="Tahoma" w:hAnsi="Tahoma" w:cs="Tahoma"/>
          <w:sz w:val="24"/>
          <w:szCs w:val="24"/>
        </w:rPr>
        <w:t>, “Demonstration/deployment sites must be located in a California electric IOU service territory”. Th</w:t>
      </w:r>
      <w:r w:rsidR="30B6536C" w:rsidRPr="4CACCB5C">
        <w:rPr>
          <w:rFonts w:ascii="Tahoma" w:eastAsia="Tahoma" w:hAnsi="Tahoma" w:cs="Tahoma"/>
          <w:sz w:val="24"/>
          <w:szCs w:val="24"/>
        </w:rPr>
        <w:t xml:space="preserve">is GFO </w:t>
      </w:r>
      <w:r w:rsidR="079042AF" w:rsidRPr="4CACCB5C">
        <w:rPr>
          <w:rFonts w:ascii="Tahoma" w:eastAsia="Tahoma" w:hAnsi="Tahoma" w:cs="Tahoma"/>
          <w:sz w:val="24"/>
          <w:szCs w:val="24"/>
        </w:rPr>
        <w:t xml:space="preserve">defines Investor-owned utility or IOU as an electrical corporation as defined in California Public Utilities Code section 218. For purposes of this </w:t>
      </w:r>
      <w:r w:rsidR="22236991" w:rsidRPr="4CACCB5C">
        <w:rPr>
          <w:rFonts w:ascii="Tahoma" w:eastAsia="Tahoma" w:hAnsi="Tahoma" w:cs="Tahoma"/>
          <w:sz w:val="24"/>
          <w:szCs w:val="24"/>
        </w:rPr>
        <w:t>GFO</w:t>
      </w:r>
      <w:r w:rsidR="079042AF" w:rsidRPr="4CACCB5C">
        <w:rPr>
          <w:rFonts w:ascii="Tahoma" w:eastAsia="Tahoma" w:hAnsi="Tahoma" w:cs="Tahoma"/>
          <w:sz w:val="24"/>
          <w:szCs w:val="24"/>
        </w:rPr>
        <w:t xml:space="preserve">, it includes </w:t>
      </w:r>
      <w:r w:rsidR="4138649E" w:rsidRPr="4CACCB5C">
        <w:rPr>
          <w:rFonts w:ascii="Tahoma" w:eastAsia="Tahoma" w:hAnsi="Tahoma" w:cs="Tahoma"/>
          <w:sz w:val="24"/>
          <w:szCs w:val="24"/>
        </w:rPr>
        <w:t>PG&amp;E</w:t>
      </w:r>
      <w:r w:rsidR="079042AF" w:rsidRPr="4CACCB5C">
        <w:rPr>
          <w:rFonts w:ascii="Tahoma" w:eastAsia="Tahoma" w:hAnsi="Tahoma" w:cs="Tahoma"/>
          <w:sz w:val="24"/>
          <w:szCs w:val="24"/>
        </w:rPr>
        <w:t xml:space="preserve">., </w:t>
      </w:r>
      <w:r w:rsidR="2CACC031" w:rsidRPr="4CACCB5C">
        <w:rPr>
          <w:rFonts w:ascii="Tahoma" w:eastAsia="Tahoma" w:hAnsi="Tahoma" w:cs="Tahoma"/>
          <w:sz w:val="24"/>
          <w:szCs w:val="24"/>
        </w:rPr>
        <w:t>SDG&amp;E</w:t>
      </w:r>
      <w:r w:rsidR="079042AF" w:rsidRPr="4CACCB5C">
        <w:rPr>
          <w:rFonts w:ascii="Tahoma" w:eastAsia="Tahoma" w:hAnsi="Tahoma" w:cs="Tahoma"/>
          <w:sz w:val="24"/>
          <w:szCs w:val="24"/>
        </w:rPr>
        <w:t xml:space="preserve">, and </w:t>
      </w:r>
      <w:r w:rsidR="40A78CFC" w:rsidRPr="4CACCB5C">
        <w:rPr>
          <w:rFonts w:ascii="Tahoma" w:eastAsia="Tahoma" w:hAnsi="Tahoma" w:cs="Tahoma"/>
          <w:sz w:val="24"/>
          <w:szCs w:val="24"/>
        </w:rPr>
        <w:t>SCE</w:t>
      </w:r>
      <w:r w:rsidR="079042AF" w:rsidRPr="4CACCB5C">
        <w:rPr>
          <w:rFonts w:ascii="Tahoma" w:eastAsia="Tahoma" w:hAnsi="Tahoma" w:cs="Tahoma"/>
          <w:sz w:val="24"/>
          <w:szCs w:val="24"/>
        </w:rPr>
        <w:t xml:space="preserve">. </w:t>
      </w:r>
      <w:proofErr w:type="gramStart"/>
      <w:r w:rsidR="079042AF" w:rsidRPr="4CACCB5C">
        <w:rPr>
          <w:rFonts w:ascii="Tahoma" w:eastAsia="Tahoma" w:hAnsi="Tahoma" w:cs="Tahoma"/>
          <w:sz w:val="24"/>
          <w:szCs w:val="24"/>
        </w:rPr>
        <w:t>As long as</w:t>
      </w:r>
      <w:proofErr w:type="gramEnd"/>
      <w:r w:rsidR="079042AF" w:rsidRPr="4CACCB5C">
        <w:rPr>
          <w:rFonts w:ascii="Tahoma" w:eastAsia="Tahoma" w:hAnsi="Tahoma" w:cs="Tahoma"/>
          <w:sz w:val="24"/>
          <w:szCs w:val="24"/>
        </w:rPr>
        <w:t xml:space="preserve"> the project site is located in a California IOU service territory (i.e., PG&amp;E, SDG&amp;E, or SCE)</w:t>
      </w:r>
      <w:r w:rsidR="1B54A2C3" w:rsidRPr="4CACCB5C">
        <w:rPr>
          <w:rFonts w:ascii="Tahoma" w:eastAsia="Tahoma" w:hAnsi="Tahoma" w:cs="Tahoma"/>
          <w:sz w:val="24"/>
          <w:szCs w:val="24"/>
        </w:rPr>
        <w:t xml:space="preserve"> and </w:t>
      </w:r>
      <w:r w:rsidR="02E87E07" w:rsidRPr="4CACCB5C">
        <w:rPr>
          <w:rFonts w:ascii="Tahoma" w:eastAsia="Tahoma" w:hAnsi="Tahoma" w:cs="Tahoma"/>
          <w:sz w:val="24"/>
          <w:szCs w:val="24"/>
        </w:rPr>
        <w:t xml:space="preserve">that the project </w:t>
      </w:r>
      <w:r w:rsidR="1B54A2C3" w:rsidRPr="4CACCB5C">
        <w:rPr>
          <w:rFonts w:ascii="Tahoma" w:eastAsia="Tahoma" w:hAnsi="Tahoma" w:cs="Tahoma"/>
          <w:sz w:val="24"/>
          <w:szCs w:val="24"/>
        </w:rPr>
        <w:t>benefits a disadvantaged (DAC), low income (LIC), or Tribal community</w:t>
      </w:r>
      <w:r w:rsidR="079042AF" w:rsidRPr="4CACCB5C">
        <w:rPr>
          <w:rFonts w:ascii="Tahoma" w:eastAsia="Tahoma" w:hAnsi="Tahoma" w:cs="Tahoma"/>
          <w:sz w:val="24"/>
          <w:szCs w:val="24"/>
        </w:rPr>
        <w:t>, nothing in th</w:t>
      </w:r>
      <w:r w:rsidR="38BD8512" w:rsidRPr="4CACCB5C">
        <w:rPr>
          <w:rFonts w:ascii="Tahoma" w:eastAsia="Tahoma" w:hAnsi="Tahoma" w:cs="Tahoma"/>
          <w:sz w:val="24"/>
          <w:szCs w:val="24"/>
        </w:rPr>
        <w:t xml:space="preserve">is GFO </w:t>
      </w:r>
      <w:r w:rsidR="079042AF" w:rsidRPr="4CACCB5C">
        <w:rPr>
          <w:rFonts w:ascii="Tahoma" w:eastAsia="Tahoma" w:hAnsi="Tahoma" w:cs="Tahoma"/>
          <w:sz w:val="24"/>
          <w:szCs w:val="24"/>
        </w:rPr>
        <w:t>prevent</w:t>
      </w:r>
      <w:r w:rsidR="68A4F540" w:rsidRPr="4CACCB5C">
        <w:rPr>
          <w:rFonts w:ascii="Tahoma" w:eastAsia="Tahoma" w:hAnsi="Tahoma" w:cs="Tahoma"/>
          <w:sz w:val="24"/>
          <w:szCs w:val="24"/>
        </w:rPr>
        <w:t>s</w:t>
      </w:r>
      <w:r w:rsidR="079042AF" w:rsidRPr="4CACCB5C">
        <w:rPr>
          <w:rFonts w:ascii="Tahoma" w:eastAsia="Tahoma" w:hAnsi="Tahoma" w:cs="Tahoma"/>
          <w:sz w:val="24"/>
          <w:szCs w:val="24"/>
        </w:rPr>
        <w:t xml:space="preserve"> the project to be located on/in a brownfield and utilize the existing infrastructure at the site.</w:t>
      </w:r>
    </w:p>
    <w:p w14:paraId="157B6C9E" w14:textId="342B56E3" w:rsidR="46370A8A" w:rsidRDefault="46370A8A" w:rsidP="00304287">
      <w:pPr>
        <w:spacing w:line="257" w:lineRule="auto"/>
        <w:ind w:left="720"/>
        <w:rPr>
          <w:rFonts w:ascii="Tahoma" w:eastAsia="Tahoma" w:hAnsi="Tahoma" w:cs="Tahoma"/>
          <w:sz w:val="24"/>
          <w:szCs w:val="24"/>
        </w:rPr>
      </w:pPr>
    </w:p>
    <w:p w14:paraId="0C3E0559" w14:textId="0C543CD5" w:rsidR="34341375" w:rsidRDefault="34341375" w:rsidP="00304287">
      <w:pPr>
        <w:spacing w:line="257" w:lineRule="auto"/>
        <w:rPr>
          <w:rFonts w:ascii="Tahoma" w:eastAsia="Tahoma" w:hAnsi="Tahoma" w:cs="Tahoma"/>
          <w:b/>
          <w:bCs/>
          <w:sz w:val="24"/>
          <w:szCs w:val="24"/>
        </w:rPr>
      </w:pPr>
    </w:p>
    <w:p w14:paraId="383F4A91" w14:textId="6F12A2E9"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There is a possibility that this project produces oil and/or gas due to the nature of the site. What is the project team allowed/supposed to do with any hydrocarbons that are a byproduct of this project?</w:t>
      </w:r>
    </w:p>
    <w:p w14:paraId="532BF59D" w14:textId="7DDC0BF3" w:rsidR="18594F75" w:rsidRDefault="18594F75" w:rsidP="00304287">
      <w:pPr>
        <w:spacing w:line="257" w:lineRule="auto"/>
        <w:ind w:left="720"/>
        <w:rPr>
          <w:rFonts w:ascii="Tahoma" w:eastAsia="Tahoma" w:hAnsi="Tahoma" w:cs="Tahoma"/>
          <w:sz w:val="24"/>
          <w:szCs w:val="24"/>
        </w:rPr>
      </w:pPr>
      <w:r w:rsidRPr="0B9BF21A">
        <w:rPr>
          <w:rFonts w:ascii="Tahoma" w:eastAsia="Tahoma" w:hAnsi="Tahoma" w:cs="Tahoma"/>
          <w:b/>
          <w:sz w:val="24"/>
          <w:szCs w:val="24"/>
        </w:rPr>
        <w:t>A:</w:t>
      </w:r>
      <w:r w:rsidR="3CB28582" w:rsidRPr="0B9BF21A">
        <w:rPr>
          <w:rFonts w:ascii="Tahoma" w:eastAsia="Tahoma" w:hAnsi="Tahoma" w:cs="Tahoma"/>
          <w:b/>
          <w:sz w:val="24"/>
          <w:szCs w:val="24"/>
        </w:rPr>
        <w:t xml:space="preserve"> </w:t>
      </w:r>
      <w:r w:rsidR="00E019C9" w:rsidRPr="0B9BF21A">
        <w:rPr>
          <w:rFonts w:ascii="Tahoma" w:eastAsia="Tahoma" w:hAnsi="Tahoma" w:cs="Tahoma"/>
          <w:sz w:val="24"/>
          <w:szCs w:val="24"/>
        </w:rPr>
        <w:t>A</w:t>
      </w:r>
      <w:r w:rsidR="3CB28582" w:rsidRPr="0B9BF21A">
        <w:rPr>
          <w:rFonts w:ascii="Tahoma" w:eastAsia="Tahoma" w:hAnsi="Tahoma" w:cs="Tahoma"/>
          <w:sz w:val="24"/>
          <w:szCs w:val="24"/>
        </w:rPr>
        <w:t xml:space="preserve">pplicants are expected to be knowledgeable about federal, state, and local environmental laws (including the California Environmental Quality Act or CEQA and any permitting requirements). The CEC makes CEQA determinations prior to awards. </w:t>
      </w:r>
      <w:r w:rsidR="00A97B7E" w:rsidRPr="0B9BF21A">
        <w:rPr>
          <w:rFonts w:ascii="Tahoma" w:eastAsia="Tahoma" w:hAnsi="Tahoma" w:cs="Tahoma"/>
          <w:sz w:val="24"/>
          <w:szCs w:val="24"/>
        </w:rPr>
        <w:t>If</w:t>
      </w:r>
      <w:r w:rsidR="3CB28582" w:rsidRPr="0B9BF21A">
        <w:rPr>
          <w:rFonts w:ascii="Tahoma" w:eastAsia="Tahoma" w:hAnsi="Tahoma" w:cs="Tahoma"/>
          <w:sz w:val="24"/>
          <w:szCs w:val="24"/>
        </w:rPr>
        <w:t xml:space="preserve"> the project triggers environmental impacts, applicants will need to demonstrate sufficient mitigation measures in accordance with the law to reduce or avoid </w:t>
      </w:r>
      <w:r w:rsidR="002015B8" w:rsidRPr="0B9BF21A">
        <w:rPr>
          <w:rFonts w:ascii="Tahoma" w:eastAsia="Tahoma" w:hAnsi="Tahoma" w:cs="Tahoma"/>
          <w:sz w:val="24"/>
          <w:szCs w:val="24"/>
        </w:rPr>
        <w:t xml:space="preserve">the </w:t>
      </w:r>
      <w:r w:rsidR="3CB28582" w:rsidRPr="0B9BF21A">
        <w:rPr>
          <w:rFonts w:ascii="Tahoma" w:eastAsia="Tahoma" w:hAnsi="Tahoma" w:cs="Tahoma"/>
          <w:sz w:val="24"/>
          <w:szCs w:val="24"/>
        </w:rPr>
        <w:t xml:space="preserve">impacts </w:t>
      </w:r>
      <w:r w:rsidR="002015B8" w:rsidRPr="0B9BF21A">
        <w:rPr>
          <w:rFonts w:ascii="Tahoma" w:eastAsia="Tahoma" w:hAnsi="Tahoma" w:cs="Tahoma"/>
          <w:sz w:val="24"/>
          <w:szCs w:val="24"/>
        </w:rPr>
        <w:t>caused by</w:t>
      </w:r>
      <w:r w:rsidR="3CB28582" w:rsidRPr="0B9BF21A">
        <w:rPr>
          <w:rFonts w:ascii="Tahoma" w:eastAsia="Tahoma" w:hAnsi="Tahoma" w:cs="Tahoma"/>
          <w:sz w:val="24"/>
          <w:szCs w:val="24"/>
        </w:rPr>
        <w:t xml:space="preserve"> the project.</w:t>
      </w:r>
    </w:p>
    <w:p w14:paraId="4EB1D541" w14:textId="51A14CA6" w:rsidR="34341375" w:rsidRDefault="34341375" w:rsidP="00304287">
      <w:pPr>
        <w:spacing w:line="257" w:lineRule="auto"/>
        <w:rPr>
          <w:rFonts w:ascii="Tahoma" w:eastAsia="Tahoma" w:hAnsi="Tahoma" w:cs="Tahoma"/>
          <w:sz w:val="24"/>
          <w:szCs w:val="24"/>
        </w:rPr>
      </w:pPr>
    </w:p>
    <w:p w14:paraId="4A3BFA8A" w14:textId="3230854B"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Is it acceptable to charge the energy storage using direct solar heat, or must the project be electricity in/electricity out?</w:t>
      </w:r>
    </w:p>
    <w:p w14:paraId="31A78860" w14:textId="6B5420A5" w:rsidR="18594F75" w:rsidRDefault="18594F75"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32039865" w:rsidRPr="2D2E91FD">
        <w:rPr>
          <w:rFonts w:ascii="Tahoma" w:eastAsia="Tahoma" w:hAnsi="Tahoma" w:cs="Tahoma"/>
          <w:sz w:val="24"/>
          <w:szCs w:val="24"/>
        </w:rPr>
        <w:t>Please refer to the answer from Question 6.</w:t>
      </w:r>
    </w:p>
    <w:p w14:paraId="747DE58E" w14:textId="2456A856" w:rsidR="34341375" w:rsidRDefault="34341375" w:rsidP="00304287">
      <w:pPr>
        <w:spacing w:line="257" w:lineRule="auto"/>
        <w:rPr>
          <w:rFonts w:ascii="Tahoma" w:eastAsia="Tahoma" w:hAnsi="Tahoma" w:cs="Tahoma"/>
          <w:sz w:val="24"/>
          <w:szCs w:val="24"/>
        </w:rPr>
      </w:pPr>
    </w:p>
    <w:p w14:paraId="1E67AEFA" w14:textId="23151487"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The solicitation calls for energy storage with "full rated power of at least 100 kW and a minimum duration of 24 hours</w:t>
      </w:r>
      <w:r w:rsidR="2802BC3E" w:rsidRPr="4CACCB5C">
        <w:rPr>
          <w:rFonts w:ascii="Tahoma" w:eastAsia="Tahoma" w:hAnsi="Tahoma" w:cs="Tahoma"/>
          <w:sz w:val="24"/>
          <w:szCs w:val="24"/>
        </w:rPr>
        <w:t>.</w:t>
      </w:r>
      <w:r w:rsidRPr="4CACCB5C">
        <w:rPr>
          <w:rFonts w:ascii="Tahoma" w:eastAsia="Tahoma" w:hAnsi="Tahoma" w:cs="Tahoma"/>
          <w:sz w:val="24"/>
          <w:szCs w:val="24"/>
        </w:rPr>
        <w:t>"</w:t>
      </w:r>
      <w:r w:rsidRPr="4B7E8AE1">
        <w:rPr>
          <w:rFonts w:ascii="Tahoma" w:eastAsia="Tahoma" w:hAnsi="Tahoma" w:cs="Tahoma"/>
          <w:sz w:val="24"/>
          <w:szCs w:val="24"/>
        </w:rPr>
        <w:t xml:space="preserve"> I assume this means 100 kW output power for continuous 24 hours. Is there a requirement for minimum or maximum duration of the charging power?</w:t>
      </w:r>
    </w:p>
    <w:p w14:paraId="3C7603A6" w14:textId="73011023" w:rsidR="18594F75" w:rsidRDefault="18594F75"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29688995" w:rsidRPr="2D2E91FD">
        <w:rPr>
          <w:rFonts w:ascii="Tahoma" w:eastAsia="Tahoma" w:hAnsi="Tahoma" w:cs="Tahoma"/>
          <w:sz w:val="24"/>
          <w:szCs w:val="24"/>
        </w:rPr>
        <w:t>Yes</w:t>
      </w:r>
      <w:r w:rsidR="343A574D" w:rsidRPr="2D2E91FD">
        <w:rPr>
          <w:rFonts w:ascii="Tahoma" w:eastAsia="Tahoma" w:hAnsi="Tahoma" w:cs="Tahoma"/>
          <w:sz w:val="24"/>
          <w:szCs w:val="24"/>
        </w:rPr>
        <w:t xml:space="preserve">, </w:t>
      </w:r>
      <w:r w:rsidRPr="2D2E91FD">
        <w:rPr>
          <w:rFonts w:ascii="Tahoma" w:eastAsia="Tahoma" w:hAnsi="Tahoma" w:cs="Tahoma"/>
          <w:sz w:val="24"/>
          <w:szCs w:val="24"/>
        </w:rPr>
        <w:t xml:space="preserve">"Full rated power of at least 100 kW and a minimum duration of 24 hours" </w:t>
      </w:r>
      <w:r w:rsidR="70457648" w:rsidRPr="2D2E91FD">
        <w:rPr>
          <w:rFonts w:ascii="Tahoma" w:eastAsia="Tahoma" w:hAnsi="Tahoma" w:cs="Tahoma"/>
          <w:sz w:val="24"/>
          <w:szCs w:val="24"/>
        </w:rPr>
        <w:t>refers to</w:t>
      </w:r>
      <w:r w:rsidRPr="2D2E91FD">
        <w:rPr>
          <w:rFonts w:ascii="Tahoma" w:eastAsia="Tahoma" w:hAnsi="Tahoma" w:cs="Tahoma"/>
          <w:sz w:val="24"/>
          <w:szCs w:val="24"/>
        </w:rPr>
        <w:t xml:space="preserve"> 100 kW output power for continuous 24 hours. Th</w:t>
      </w:r>
      <w:r w:rsidR="00E35CD4">
        <w:rPr>
          <w:rFonts w:ascii="Tahoma" w:eastAsia="Tahoma" w:hAnsi="Tahoma" w:cs="Tahoma"/>
          <w:sz w:val="24"/>
          <w:szCs w:val="24"/>
        </w:rPr>
        <w:t>is</w:t>
      </w:r>
      <w:r w:rsidR="67FF0A8B" w:rsidRPr="2D2E91FD">
        <w:rPr>
          <w:rFonts w:ascii="Tahoma" w:eastAsia="Tahoma" w:hAnsi="Tahoma" w:cs="Tahoma"/>
          <w:sz w:val="24"/>
          <w:szCs w:val="24"/>
        </w:rPr>
        <w:t xml:space="preserve"> GFO does no</w:t>
      </w:r>
      <w:r w:rsidR="5D1F0C2A" w:rsidRPr="2D2E91FD">
        <w:rPr>
          <w:rFonts w:ascii="Tahoma" w:eastAsia="Tahoma" w:hAnsi="Tahoma" w:cs="Tahoma"/>
          <w:sz w:val="24"/>
          <w:szCs w:val="24"/>
        </w:rPr>
        <w:t>t</w:t>
      </w:r>
      <w:r w:rsidRPr="2D2E91FD">
        <w:rPr>
          <w:rFonts w:ascii="Tahoma" w:eastAsia="Tahoma" w:hAnsi="Tahoma" w:cs="Tahoma"/>
          <w:sz w:val="24"/>
          <w:szCs w:val="24"/>
        </w:rPr>
        <w:t xml:space="preserve"> </w:t>
      </w:r>
      <w:r w:rsidR="0DB51A60" w:rsidRPr="2D2E91FD">
        <w:rPr>
          <w:rFonts w:ascii="Tahoma" w:eastAsia="Tahoma" w:hAnsi="Tahoma" w:cs="Tahoma"/>
          <w:sz w:val="24"/>
          <w:szCs w:val="24"/>
        </w:rPr>
        <w:t>specif</w:t>
      </w:r>
      <w:r w:rsidR="3C98D47C" w:rsidRPr="2D2E91FD">
        <w:rPr>
          <w:rFonts w:ascii="Tahoma" w:eastAsia="Tahoma" w:hAnsi="Tahoma" w:cs="Tahoma"/>
          <w:sz w:val="24"/>
          <w:szCs w:val="24"/>
        </w:rPr>
        <w:t>y</w:t>
      </w:r>
      <w:r w:rsidRPr="2D2E91FD">
        <w:rPr>
          <w:rFonts w:ascii="Tahoma" w:eastAsia="Tahoma" w:hAnsi="Tahoma" w:cs="Tahoma"/>
          <w:sz w:val="24"/>
          <w:szCs w:val="24"/>
        </w:rPr>
        <w:t xml:space="preserve"> </w:t>
      </w:r>
      <w:r w:rsidR="009853FA" w:rsidRPr="2D2E91FD">
        <w:rPr>
          <w:rFonts w:ascii="Tahoma" w:eastAsia="Tahoma" w:hAnsi="Tahoma" w:cs="Tahoma"/>
          <w:sz w:val="24"/>
          <w:szCs w:val="24"/>
        </w:rPr>
        <w:t xml:space="preserve">the </w:t>
      </w:r>
      <w:r w:rsidRPr="2D2E91FD">
        <w:rPr>
          <w:rFonts w:ascii="Tahoma" w:eastAsia="Tahoma" w:hAnsi="Tahoma" w:cs="Tahoma"/>
          <w:sz w:val="24"/>
          <w:szCs w:val="24"/>
        </w:rPr>
        <w:t>minimum or maximum duration</w:t>
      </w:r>
      <w:r w:rsidR="390F4920" w:rsidRPr="2D2E91FD">
        <w:rPr>
          <w:rFonts w:ascii="Tahoma" w:eastAsia="Tahoma" w:hAnsi="Tahoma" w:cs="Tahoma"/>
          <w:sz w:val="24"/>
          <w:szCs w:val="24"/>
        </w:rPr>
        <w:t xml:space="preserve"> for charging</w:t>
      </w:r>
      <w:r w:rsidRPr="2D2E91FD">
        <w:rPr>
          <w:rFonts w:ascii="Tahoma" w:eastAsia="Tahoma" w:hAnsi="Tahoma" w:cs="Tahoma"/>
          <w:sz w:val="24"/>
          <w:szCs w:val="24"/>
        </w:rPr>
        <w:t>.</w:t>
      </w:r>
    </w:p>
    <w:p w14:paraId="6EA6E12B" w14:textId="08A63A93" w:rsidR="34341375" w:rsidRDefault="34341375" w:rsidP="00304287">
      <w:pPr>
        <w:spacing w:line="257" w:lineRule="auto"/>
        <w:rPr>
          <w:rFonts w:ascii="Tahoma" w:eastAsia="Tahoma" w:hAnsi="Tahoma" w:cs="Tahoma"/>
          <w:sz w:val="24"/>
          <w:szCs w:val="24"/>
        </w:rPr>
      </w:pPr>
    </w:p>
    <w:p w14:paraId="4BB58C9D" w14:textId="023DE065"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Is the following language referring to current costs or future costs </w:t>
      </w:r>
      <w:r w:rsidR="1221DFB4" w:rsidRPr="4B7E8AE1">
        <w:rPr>
          <w:rFonts w:ascii="Tahoma" w:eastAsia="Tahoma" w:hAnsi="Tahoma" w:cs="Tahoma"/>
          <w:sz w:val="24"/>
          <w:szCs w:val="24"/>
        </w:rPr>
        <w:t>e.g.,</w:t>
      </w:r>
      <w:r w:rsidRPr="4B7E8AE1">
        <w:rPr>
          <w:rFonts w:ascii="Tahoma" w:eastAsia="Tahoma" w:hAnsi="Tahoma" w:cs="Tahoma"/>
          <w:sz w:val="24"/>
          <w:szCs w:val="24"/>
        </w:rPr>
        <w:t xml:space="preserve"> in 3-5 years or with scaling technology up? Also, what does "ability" mean here? “Proposed technologies under this solicitation should have the ability to achieve a Levelized Cost of Storage (LCOS) of 5 cents/kWh or less at scale consistent with ARPA-E </w:t>
      </w:r>
      <w:proofErr w:type="gramStart"/>
      <w:r w:rsidRPr="4B7E8AE1">
        <w:rPr>
          <w:rFonts w:ascii="Tahoma" w:eastAsia="Tahoma" w:hAnsi="Tahoma" w:cs="Tahoma"/>
          <w:sz w:val="24"/>
          <w:szCs w:val="24"/>
        </w:rPr>
        <w:t>goals</w:t>
      </w:r>
      <w:proofErr w:type="gramEnd"/>
      <w:r w:rsidRPr="4B7E8AE1">
        <w:rPr>
          <w:rFonts w:ascii="Tahoma" w:eastAsia="Tahoma" w:hAnsi="Tahoma" w:cs="Tahoma"/>
          <w:sz w:val="24"/>
          <w:szCs w:val="24"/>
        </w:rPr>
        <w:t>”</w:t>
      </w:r>
    </w:p>
    <w:p w14:paraId="699B2028" w14:textId="00CA2F51" w:rsidR="18594F75" w:rsidRDefault="18594F75"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Pr="2D2E91FD">
        <w:rPr>
          <w:rFonts w:ascii="Tahoma" w:eastAsia="Tahoma" w:hAnsi="Tahoma" w:cs="Tahoma"/>
          <w:sz w:val="24"/>
          <w:szCs w:val="24"/>
        </w:rPr>
        <w:t>“Proposed technologies under this solicitation should have the ability to achieve a Levelized Cost of Storage (LCOS) of 5 cents/kWh or less at scale consistent with ARPA-E goals” refers to the future costs of technology after scale-up.</w:t>
      </w:r>
      <w:r w:rsidR="769A5201" w:rsidRPr="2D2E91FD">
        <w:rPr>
          <w:rFonts w:ascii="Tahoma" w:eastAsia="Tahoma" w:hAnsi="Tahoma" w:cs="Tahoma"/>
          <w:sz w:val="24"/>
          <w:szCs w:val="24"/>
        </w:rPr>
        <w:t xml:space="preserve"> The term “ability” refers to a reasonable pathway.</w:t>
      </w:r>
    </w:p>
    <w:p w14:paraId="3F8A14C2" w14:textId="31266FC7" w:rsidR="34341375" w:rsidRDefault="34341375" w:rsidP="00304287">
      <w:pPr>
        <w:spacing w:line="257" w:lineRule="auto"/>
        <w:rPr>
          <w:rFonts w:ascii="Tahoma" w:eastAsia="Tahoma" w:hAnsi="Tahoma" w:cs="Tahoma"/>
          <w:sz w:val="24"/>
          <w:szCs w:val="24"/>
        </w:rPr>
      </w:pPr>
    </w:p>
    <w:p w14:paraId="0507F708" w14:textId="0D732DFF"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 xml:space="preserve">Q: </w:t>
      </w:r>
      <w:r w:rsidRPr="4B7E8AE1">
        <w:rPr>
          <w:rFonts w:ascii="Tahoma" w:eastAsia="Tahoma" w:hAnsi="Tahoma" w:cs="Tahoma"/>
          <w:sz w:val="24"/>
          <w:szCs w:val="24"/>
        </w:rPr>
        <w:t>Page 7 of th</w:t>
      </w:r>
      <w:r w:rsidR="00E35CD4">
        <w:rPr>
          <w:rFonts w:ascii="Tahoma" w:eastAsia="Tahoma" w:hAnsi="Tahoma" w:cs="Tahoma"/>
          <w:sz w:val="24"/>
          <w:szCs w:val="24"/>
        </w:rPr>
        <w:t>is</w:t>
      </w:r>
      <w:r w:rsidRPr="4B7E8AE1">
        <w:rPr>
          <w:rFonts w:ascii="Tahoma" w:eastAsia="Tahoma" w:hAnsi="Tahoma" w:cs="Tahoma"/>
          <w:sz w:val="24"/>
          <w:szCs w:val="24"/>
        </w:rPr>
        <w:t xml:space="preserve"> GFO has an “Optional” header. Which of the bullet points below the header are optional? Is it only the first two bullet points?</w:t>
      </w:r>
    </w:p>
    <w:p w14:paraId="1A419AC5" w14:textId="52B29CBC" w:rsidR="18594F75" w:rsidRDefault="18594F75" w:rsidP="00304287">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Pr="34341375">
        <w:rPr>
          <w:rFonts w:ascii="Tahoma" w:eastAsia="Tahoma" w:hAnsi="Tahoma" w:cs="Tahoma"/>
          <w:sz w:val="24"/>
          <w:szCs w:val="24"/>
        </w:rPr>
        <w:t>The “Optional” header on page 7 of the solicitation manual refers to the following two bullet points only:</w:t>
      </w:r>
      <w:r w:rsidR="4170F08F" w:rsidRPr="34341375">
        <w:rPr>
          <w:rFonts w:ascii="Tahoma" w:eastAsia="Tahoma" w:hAnsi="Tahoma" w:cs="Tahoma"/>
          <w:sz w:val="24"/>
          <w:szCs w:val="24"/>
        </w:rPr>
        <w:t xml:space="preserve"> </w:t>
      </w:r>
    </w:p>
    <w:p w14:paraId="3869EDDF" w14:textId="152BA923" w:rsidR="4170F08F" w:rsidRDefault="4170F08F" w:rsidP="00304287">
      <w:pPr>
        <w:pStyle w:val="ListParagraph"/>
        <w:numPr>
          <w:ilvl w:val="0"/>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Proposals should consider at least one “critical facility” (defined as either a public or private facility that provides critical services to its community in times of public emergency such as a natural disaster, power outage, disease epidemic, or chemical emergency). Some possible examples of critical facilities include:  </w:t>
      </w:r>
    </w:p>
    <w:p w14:paraId="59EEB436" w14:textId="395BFBDA"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Hospitals </w:t>
      </w:r>
    </w:p>
    <w:p w14:paraId="7BD47187" w14:textId="2041839D"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Emergency operation centers </w:t>
      </w:r>
    </w:p>
    <w:p w14:paraId="12BAF3F3" w14:textId="5455A286"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Care facilities </w:t>
      </w:r>
    </w:p>
    <w:p w14:paraId="2BD2A219" w14:textId="0493FB00"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Fire stations </w:t>
      </w:r>
    </w:p>
    <w:p w14:paraId="02C84DA6" w14:textId="0D6D810F"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Police stations </w:t>
      </w:r>
    </w:p>
    <w:p w14:paraId="43862EF2" w14:textId="7CC3E845"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Water and wastewater treatment plants </w:t>
      </w:r>
    </w:p>
    <w:p w14:paraId="3BA60BD6" w14:textId="68E6A9BA"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Fueling facilities </w:t>
      </w:r>
    </w:p>
    <w:p w14:paraId="2AAF20D2" w14:textId="18DE92B3"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Ports </w:t>
      </w:r>
    </w:p>
    <w:p w14:paraId="2D76480E" w14:textId="06769434"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Critical federal, state, and municipal facilities (e.g., courts and jails) </w:t>
      </w:r>
    </w:p>
    <w:p w14:paraId="5502CF0E" w14:textId="12203082"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Schools </w:t>
      </w:r>
    </w:p>
    <w:p w14:paraId="19DD001A" w14:textId="5F9E6D61"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Shelters (e.g., facilities that provide shelter to humans or animals during public emergencies) </w:t>
      </w:r>
    </w:p>
    <w:p w14:paraId="46D180E9" w14:textId="10DFC227" w:rsidR="4170F08F" w:rsidRDefault="4170F08F" w:rsidP="00304287">
      <w:pPr>
        <w:pStyle w:val="ListParagraph"/>
        <w:numPr>
          <w:ilvl w:val="1"/>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Supermarkets </w:t>
      </w:r>
    </w:p>
    <w:p w14:paraId="2069D2F7" w14:textId="42F35DC4" w:rsidR="4170F08F" w:rsidRDefault="4170F08F" w:rsidP="00304287">
      <w:pPr>
        <w:pStyle w:val="ListParagraph"/>
        <w:numPr>
          <w:ilvl w:val="0"/>
          <w:numId w:val="1"/>
        </w:numPr>
        <w:spacing w:line="257" w:lineRule="auto"/>
        <w:rPr>
          <w:rFonts w:ascii="Tahoma" w:eastAsia="Tahoma" w:hAnsi="Tahoma" w:cs="Tahoma"/>
          <w:sz w:val="24"/>
          <w:szCs w:val="24"/>
        </w:rPr>
      </w:pPr>
      <w:r w:rsidRPr="34341375">
        <w:rPr>
          <w:rFonts w:ascii="Tahoma" w:eastAsia="Tahoma" w:hAnsi="Tahoma" w:cs="Tahoma"/>
          <w:sz w:val="24"/>
          <w:szCs w:val="24"/>
        </w:rPr>
        <w:t xml:space="preserve">Proposals are encouraged to select demonstration sites highly impacted by PSPS events or located in a Tier 2 or 3 High Fire-Threat District (HFTD), as defined by the CPUC.7 Applicants should describe the impacts of PSPS events on their selected demonstration sites, including the number and durations of past outages.  </w:t>
      </w:r>
    </w:p>
    <w:p w14:paraId="35E5A761" w14:textId="0F4DD55D" w:rsidR="4170F08F" w:rsidRDefault="4170F08F"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Everything else under the Project Focus is required</w:t>
      </w:r>
      <w:r w:rsidR="0084ECBB" w:rsidRPr="25D41ABE">
        <w:rPr>
          <w:rFonts w:ascii="Tahoma" w:eastAsia="Tahoma" w:hAnsi="Tahoma" w:cs="Tahoma"/>
          <w:sz w:val="24"/>
          <w:szCs w:val="24"/>
        </w:rPr>
        <w:t xml:space="preserve"> and should be addressed in Attachment 3, the Project Narrative</w:t>
      </w:r>
      <w:r w:rsidRPr="34341375">
        <w:rPr>
          <w:rFonts w:ascii="Tahoma" w:eastAsia="Tahoma" w:hAnsi="Tahoma" w:cs="Tahoma"/>
          <w:sz w:val="24"/>
          <w:szCs w:val="24"/>
        </w:rPr>
        <w:t>.</w:t>
      </w:r>
    </w:p>
    <w:p w14:paraId="79B16D5A" w14:textId="2A123C87" w:rsidR="34341375" w:rsidRDefault="34341375" w:rsidP="00304287">
      <w:pPr>
        <w:spacing w:line="257" w:lineRule="auto"/>
        <w:rPr>
          <w:rFonts w:ascii="Tahoma" w:eastAsia="Tahoma" w:hAnsi="Tahoma" w:cs="Tahoma"/>
          <w:sz w:val="24"/>
          <w:szCs w:val="24"/>
        </w:rPr>
      </w:pPr>
    </w:p>
    <w:p w14:paraId="0CB2A7E1" w14:textId="1121A55C"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 xml:space="preserve">Q: </w:t>
      </w:r>
      <w:r w:rsidRPr="4B7E8AE1">
        <w:rPr>
          <w:rFonts w:ascii="Tahoma" w:eastAsia="Tahoma" w:hAnsi="Tahoma" w:cs="Tahoma"/>
          <w:sz w:val="24"/>
          <w:szCs w:val="24"/>
        </w:rPr>
        <w:t>The following requirement is listed in th</w:t>
      </w:r>
      <w:r w:rsidR="00E35CD4">
        <w:rPr>
          <w:rFonts w:ascii="Tahoma" w:eastAsia="Tahoma" w:hAnsi="Tahoma" w:cs="Tahoma"/>
          <w:sz w:val="24"/>
          <w:szCs w:val="24"/>
        </w:rPr>
        <w:t>is</w:t>
      </w:r>
      <w:r w:rsidRPr="4B7E8AE1">
        <w:rPr>
          <w:rFonts w:ascii="Tahoma" w:eastAsia="Tahoma" w:hAnsi="Tahoma" w:cs="Tahoma"/>
          <w:sz w:val="24"/>
          <w:szCs w:val="24"/>
        </w:rPr>
        <w:t xml:space="preserve"> GFO: “Describe the expected level of scale the technology needs to reach to be competitive with lithium-ion energy storage systems.” Can this statement about competitiveness be clarified? What regime does this apply to? Quoting the GFO text: “lithium-ion (Li-ion) technology, useful for shorter duration storage (i.e., less than 8 hours), but economically prohibitive at longer durations.” Li-Ion may not be competitive for long duration storage.</w:t>
      </w:r>
    </w:p>
    <w:p w14:paraId="6753806B" w14:textId="75B5E2EA" w:rsidR="18594F75" w:rsidRDefault="18594F75" w:rsidP="00304287">
      <w:pPr>
        <w:spacing w:line="257" w:lineRule="auto"/>
        <w:ind w:left="720"/>
        <w:rPr>
          <w:rFonts w:ascii="Tahoma" w:eastAsia="Tahoma" w:hAnsi="Tahoma" w:cs="Tahoma"/>
          <w:sz w:val="24"/>
          <w:szCs w:val="24"/>
        </w:rPr>
      </w:pPr>
      <w:r w:rsidRPr="017DB1C2">
        <w:rPr>
          <w:rFonts w:ascii="Tahoma" w:eastAsia="Tahoma" w:hAnsi="Tahoma" w:cs="Tahoma"/>
          <w:b/>
          <w:bCs/>
          <w:sz w:val="24"/>
          <w:szCs w:val="24"/>
        </w:rPr>
        <w:t xml:space="preserve">A: </w:t>
      </w:r>
      <w:r w:rsidRPr="017DB1C2">
        <w:rPr>
          <w:rFonts w:ascii="Tahoma" w:eastAsia="Tahoma" w:hAnsi="Tahoma" w:cs="Tahoma"/>
          <w:sz w:val="24"/>
          <w:szCs w:val="24"/>
        </w:rPr>
        <w:t>The competitiveness of the proposed technology</w:t>
      </w:r>
      <w:r w:rsidR="00CF2607" w:rsidRPr="017DB1C2">
        <w:rPr>
          <w:rFonts w:ascii="Tahoma" w:eastAsia="Tahoma" w:hAnsi="Tahoma" w:cs="Tahoma"/>
          <w:sz w:val="24"/>
          <w:szCs w:val="24"/>
        </w:rPr>
        <w:t>,</w:t>
      </w:r>
      <w:r w:rsidRPr="017DB1C2">
        <w:rPr>
          <w:rFonts w:ascii="Tahoma" w:eastAsia="Tahoma" w:hAnsi="Tahoma" w:cs="Tahoma"/>
          <w:sz w:val="24"/>
          <w:szCs w:val="24"/>
        </w:rPr>
        <w:t xml:space="preserve"> </w:t>
      </w:r>
      <w:r w:rsidR="00E81DD1" w:rsidRPr="017DB1C2">
        <w:rPr>
          <w:rFonts w:ascii="Tahoma" w:eastAsia="Tahoma" w:hAnsi="Tahoma" w:cs="Tahoma"/>
          <w:sz w:val="24"/>
          <w:szCs w:val="24"/>
        </w:rPr>
        <w:t xml:space="preserve">and </w:t>
      </w:r>
      <w:r w:rsidR="007A71BF" w:rsidRPr="017DB1C2">
        <w:rPr>
          <w:rFonts w:ascii="Tahoma" w:eastAsia="Tahoma" w:hAnsi="Tahoma" w:cs="Tahoma"/>
          <w:sz w:val="24"/>
          <w:szCs w:val="24"/>
        </w:rPr>
        <w:t xml:space="preserve">at </w:t>
      </w:r>
      <w:r w:rsidR="00E81DD1" w:rsidRPr="017DB1C2">
        <w:rPr>
          <w:rFonts w:ascii="Tahoma" w:eastAsia="Tahoma" w:hAnsi="Tahoma" w:cs="Tahoma"/>
          <w:sz w:val="24"/>
          <w:szCs w:val="24"/>
        </w:rPr>
        <w:t xml:space="preserve">what </w:t>
      </w:r>
      <w:r w:rsidR="007A71BF" w:rsidRPr="017DB1C2">
        <w:rPr>
          <w:rFonts w:ascii="Tahoma" w:eastAsia="Tahoma" w:hAnsi="Tahoma" w:cs="Tahoma"/>
          <w:sz w:val="24"/>
          <w:szCs w:val="24"/>
        </w:rPr>
        <w:t>scale</w:t>
      </w:r>
      <w:r w:rsidR="00CF2607" w:rsidRPr="017DB1C2">
        <w:rPr>
          <w:rFonts w:ascii="Tahoma" w:eastAsia="Tahoma" w:hAnsi="Tahoma" w:cs="Tahoma"/>
          <w:sz w:val="24"/>
          <w:szCs w:val="24"/>
        </w:rPr>
        <w:t>,</w:t>
      </w:r>
      <w:r w:rsidR="007A71BF" w:rsidRPr="017DB1C2">
        <w:rPr>
          <w:rFonts w:ascii="Tahoma" w:eastAsia="Tahoma" w:hAnsi="Tahoma" w:cs="Tahoma"/>
          <w:sz w:val="24"/>
          <w:szCs w:val="24"/>
        </w:rPr>
        <w:t xml:space="preserve"> </w:t>
      </w:r>
      <w:r w:rsidRPr="017DB1C2">
        <w:rPr>
          <w:rFonts w:ascii="Tahoma" w:eastAsia="Tahoma" w:hAnsi="Tahoma" w:cs="Tahoma"/>
          <w:sz w:val="24"/>
          <w:szCs w:val="24"/>
        </w:rPr>
        <w:t xml:space="preserve">can include but is not limited to </w:t>
      </w:r>
      <w:r w:rsidR="003109EF" w:rsidRPr="017DB1C2">
        <w:rPr>
          <w:rFonts w:ascii="Tahoma" w:eastAsia="Tahoma" w:hAnsi="Tahoma" w:cs="Tahoma"/>
          <w:sz w:val="24"/>
          <w:szCs w:val="24"/>
        </w:rPr>
        <w:t xml:space="preserve">factors such as </w:t>
      </w:r>
      <w:r w:rsidRPr="017DB1C2">
        <w:rPr>
          <w:rFonts w:ascii="Tahoma" w:eastAsia="Tahoma" w:hAnsi="Tahoma" w:cs="Tahoma"/>
          <w:sz w:val="24"/>
          <w:szCs w:val="24"/>
        </w:rPr>
        <w:t xml:space="preserve">cost, efficiency, </w:t>
      </w:r>
      <w:r w:rsidR="00C4462C" w:rsidRPr="017DB1C2">
        <w:rPr>
          <w:rFonts w:ascii="Tahoma" w:eastAsia="Tahoma" w:hAnsi="Tahoma" w:cs="Tahoma"/>
          <w:sz w:val="24"/>
          <w:szCs w:val="24"/>
        </w:rPr>
        <w:t xml:space="preserve">performance, </w:t>
      </w:r>
      <w:r w:rsidR="00C74DC5" w:rsidRPr="017DB1C2">
        <w:rPr>
          <w:rFonts w:ascii="Tahoma" w:eastAsia="Tahoma" w:hAnsi="Tahoma" w:cs="Tahoma"/>
          <w:sz w:val="24"/>
          <w:szCs w:val="24"/>
        </w:rPr>
        <w:t xml:space="preserve">and </w:t>
      </w:r>
      <w:r w:rsidRPr="017DB1C2">
        <w:rPr>
          <w:rFonts w:ascii="Tahoma" w:eastAsia="Tahoma" w:hAnsi="Tahoma" w:cs="Tahoma"/>
          <w:sz w:val="24"/>
          <w:szCs w:val="24"/>
        </w:rPr>
        <w:t>resource abundance.</w:t>
      </w:r>
    </w:p>
    <w:p w14:paraId="366E7411" w14:textId="11B628AA" w:rsidR="34341375" w:rsidRDefault="34341375" w:rsidP="00304287">
      <w:pPr>
        <w:spacing w:line="257" w:lineRule="auto"/>
        <w:rPr>
          <w:rFonts w:ascii="Tahoma" w:eastAsia="Tahoma" w:hAnsi="Tahoma" w:cs="Tahoma"/>
          <w:sz w:val="24"/>
          <w:szCs w:val="24"/>
        </w:rPr>
      </w:pPr>
    </w:p>
    <w:p w14:paraId="5246E550" w14:textId="4182A595" w:rsidR="18594F75" w:rsidRDefault="18594F75"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Will clean fuels (</w:t>
      </w:r>
      <w:r w:rsidR="132C84A9" w:rsidRPr="4B7E8AE1">
        <w:rPr>
          <w:rFonts w:ascii="Tahoma" w:eastAsia="Tahoma" w:hAnsi="Tahoma" w:cs="Tahoma"/>
          <w:sz w:val="24"/>
          <w:szCs w:val="24"/>
        </w:rPr>
        <w:t>e.g.,</w:t>
      </w:r>
      <w:r w:rsidRPr="4B7E8AE1">
        <w:rPr>
          <w:rFonts w:ascii="Tahoma" w:eastAsia="Tahoma" w:hAnsi="Tahoma" w:cs="Tahoma"/>
          <w:sz w:val="24"/>
          <w:szCs w:val="24"/>
        </w:rPr>
        <w:t xml:space="preserve"> clean hydrogen, clean ammonia, as well as biogas) be considered a form of non-battery long duration energy storage for the purposes of this solicitation? For example, renewable-powered electrolytic hydrogen represents a form of stored renewable energy that can be utilized for elongated periods (</w:t>
      </w:r>
      <w:proofErr w:type="gramStart"/>
      <w:r w:rsidRPr="4B7E8AE1">
        <w:rPr>
          <w:rFonts w:ascii="Tahoma" w:eastAsia="Tahoma" w:hAnsi="Tahoma" w:cs="Tahoma"/>
          <w:sz w:val="24"/>
          <w:szCs w:val="24"/>
        </w:rPr>
        <w:t>e.g.</w:t>
      </w:r>
      <w:proofErr w:type="gramEnd"/>
      <w:r w:rsidRPr="4B7E8AE1">
        <w:rPr>
          <w:rFonts w:ascii="Tahoma" w:eastAsia="Tahoma" w:hAnsi="Tahoma" w:cs="Tahoma"/>
          <w:sz w:val="24"/>
          <w:szCs w:val="24"/>
        </w:rPr>
        <w:t xml:space="preserve"> &gt; 24 hours), but is not mentioned in the solicitation materials.</w:t>
      </w:r>
    </w:p>
    <w:p w14:paraId="6BBB4938" w14:textId="17D75399" w:rsidR="18594F75" w:rsidRDefault="18594F75"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Pr="2D2E91FD">
        <w:rPr>
          <w:rFonts w:ascii="Tahoma" w:eastAsia="Tahoma" w:hAnsi="Tahoma" w:cs="Tahoma"/>
          <w:sz w:val="24"/>
          <w:szCs w:val="24"/>
        </w:rPr>
        <w:t xml:space="preserve"> This </w:t>
      </w:r>
      <w:r w:rsidR="376BFAB5" w:rsidRPr="2D2E91FD">
        <w:rPr>
          <w:rFonts w:ascii="Tahoma" w:eastAsia="Tahoma" w:hAnsi="Tahoma" w:cs="Tahoma"/>
          <w:sz w:val="24"/>
          <w:szCs w:val="24"/>
        </w:rPr>
        <w:t>GFO</w:t>
      </w:r>
      <w:r w:rsidRPr="2D2E91FD">
        <w:rPr>
          <w:rFonts w:ascii="Tahoma" w:eastAsia="Tahoma" w:hAnsi="Tahoma" w:cs="Tahoma"/>
          <w:sz w:val="24"/>
          <w:szCs w:val="24"/>
        </w:rPr>
        <w:t xml:space="preserve"> focuses on </w:t>
      </w:r>
      <w:r w:rsidR="644E6130" w:rsidRPr="4CACCB5C">
        <w:rPr>
          <w:rFonts w:ascii="Tahoma" w:eastAsia="Tahoma" w:hAnsi="Tahoma" w:cs="Tahoma"/>
          <w:sz w:val="24"/>
          <w:szCs w:val="24"/>
        </w:rPr>
        <w:t>non-L</w:t>
      </w:r>
      <w:r w:rsidR="075786BF" w:rsidRPr="4CACCB5C">
        <w:rPr>
          <w:rFonts w:ascii="Tahoma" w:eastAsia="Tahoma" w:hAnsi="Tahoma" w:cs="Tahoma"/>
          <w:sz w:val="24"/>
          <w:szCs w:val="24"/>
        </w:rPr>
        <w:t>i</w:t>
      </w:r>
      <w:r w:rsidR="644E6130" w:rsidRPr="4CACCB5C">
        <w:rPr>
          <w:rFonts w:ascii="Tahoma" w:eastAsia="Tahoma" w:hAnsi="Tahoma" w:cs="Tahoma"/>
          <w:sz w:val="24"/>
          <w:szCs w:val="24"/>
        </w:rPr>
        <w:t xml:space="preserve">-ion </w:t>
      </w:r>
      <w:r w:rsidRPr="2D2E91FD">
        <w:rPr>
          <w:rFonts w:ascii="Tahoma" w:eastAsia="Tahoma" w:hAnsi="Tahoma" w:cs="Tahoma"/>
          <w:sz w:val="24"/>
          <w:szCs w:val="24"/>
        </w:rPr>
        <w:t xml:space="preserve">electrochemical and thermal </w:t>
      </w:r>
      <w:r w:rsidR="093AE707" w:rsidRPr="4CACCB5C">
        <w:rPr>
          <w:rFonts w:ascii="Tahoma" w:eastAsia="Tahoma" w:hAnsi="Tahoma" w:cs="Tahoma"/>
          <w:sz w:val="24"/>
          <w:szCs w:val="24"/>
        </w:rPr>
        <w:t xml:space="preserve">long-duration </w:t>
      </w:r>
      <w:r w:rsidRPr="2D2E91FD">
        <w:rPr>
          <w:rFonts w:ascii="Tahoma" w:eastAsia="Tahoma" w:hAnsi="Tahoma" w:cs="Tahoma"/>
          <w:sz w:val="24"/>
          <w:szCs w:val="24"/>
        </w:rPr>
        <w:t xml:space="preserve">battery storage technologies. Clean hydrogen, clean ammonia, and biogas will not be considered a form of long-duration energy storage under this </w:t>
      </w:r>
      <w:r w:rsidR="677026AE" w:rsidRPr="2D2E91FD">
        <w:rPr>
          <w:rFonts w:ascii="Tahoma" w:eastAsia="Tahoma" w:hAnsi="Tahoma" w:cs="Tahoma"/>
          <w:sz w:val="24"/>
          <w:szCs w:val="24"/>
        </w:rPr>
        <w:t>GFO</w:t>
      </w:r>
      <w:r w:rsidRPr="2D2E91FD">
        <w:rPr>
          <w:rFonts w:ascii="Tahoma" w:eastAsia="Tahoma" w:hAnsi="Tahoma" w:cs="Tahoma"/>
          <w:sz w:val="24"/>
          <w:szCs w:val="24"/>
        </w:rPr>
        <w:t>.</w:t>
      </w:r>
    </w:p>
    <w:p w14:paraId="443F354D" w14:textId="25D6CE34" w:rsidR="34341375" w:rsidRDefault="34341375" w:rsidP="00304287">
      <w:pPr>
        <w:spacing w:line="257" w:lineRule="auto"/>
        <w:rPr>
          <w:rFonts w:ascii="Tahoma" w:eastAsia="Tahoma" w:hAnsi="Tahoma" w:cs="Tahoma"/>
          <w:sz w:val="24"/>
          <w:szCs w:val="24"/>
        </w:rPr>
      </w:pPr>
    </w:p>
    <w:p w14:paraId="3824F51A" w14:textId="792CEDF9" w:rsidR="462207EC" w:rsidRDefault="462207EC"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Can you confirm that the minimum energy storage capacity required would be 2400</w:t>
      </w:r>
      <w:r w:rsidR="4AA18CDB" w:rsidRPr="4B7E8AE1">
        <w:rPr>
          <w:rFonts w:ascii="Tahoma" w:eastAsia="Tahoma" w:hAnsi="Tahoma" w:cs="Tahoma"/>
          <w:sz w:val="24"/>
          <w:szCs w:val="24"/>
        </w:rPr>
        <w:t xml:space="preserve"> </w:t>
      </w:r>
      <w:r w:rsidRPr="4B7E8AE1">
        <w:rPr>
          <w:rFonts w:ascii="Tahoma" w:eastAsia="Tahoma" w:hAnsi="Tahoma" w:cs="Tahoma"/>
          <w:sz w:val="24"/>
          <w:szCs w:val="24"/>
        </w:rPr>
        <w:t>kWh available at a minimum rate of 100</w:t>
      </w:r>
      <w:r w:rsidR="2FF664CC" w:rsidRPr="4B7E8AE1">
        <w:rPr>
          <w:rFonts w:ascii="Tahoma" w:eastAsia="Tahoma" w:hAnsi="Tahoma" w:cs="Tahoma"/>
          <w:sz w:val="24"/>
          <w:szCs w:val="24"/>
        </w:rPr>
        <w:t xml:space="preserve"> </w:t>
      </w:r>
      <w:r w:rsidRPr="4B7E8AE1">
        <w:rPr>
          <w:rFonts w:ascii="Tahoma" w:eastAsia="Tahoma" w:hAnsi="Tahoma" w:cs="Tahoma"/>
          <w:sz w:val="24"/>
          <w:szCs w:val="24"/>
        </w:rPr>
        <w:t xml:space="preserve">kW for 24 hours? </w:t>
      </w:r>
    </w:p>
    <w:p w14:paraId="0111FCA8" w14:textId="40E58BB3" w:rsidR="462207EC" w:rsidRDefault="462207EC"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0F9E2D6A" w:rsidRPr="2D2E91FD">
        <w:rPr>
          <w:rFonts w:ascii="Tahoma" w:eastAsia="Tahoma" w:hAnsi="Tahoma" w:cs="Tahoma"/>
          <w:b/>
          <w:bCs/>
          <w:sz w:val="24"/>
          <w:szCs w:val="24"/>
        </w:rPr>
        <w:t xml:space="preserve"> </w:t>
      </w:r>
      <w:r w:rsidR="0F9E2D6A" w:rsidRPr="2D2E91FD">
        <w:rPr>
          <w:rFonts w:ascii="Tahoma" w:eastAsia="Tahoma" w:hAnsi="Tahoma" w:cs="Tahoma"/>
          <w:sz w:val="24"/>
          <w:szCs w:val="24"/>
        </w:rPr>
        <w:t>That is correct</w:t>
      </w:r>
      <w:r w:rsidR="00F52D30" w:rsidRPr="2D2E91FD">
        <w:rPr>
          <w:rFonts w:ascii="Tahoma" w:eastAsia="Tahoma" w:hAnsi="Tahoma" w:cs="Tahoma"/>
          <w:sz w:val="24"/>
          <w:szCs w:val="24"/>
        </w:rPr>
        <w:t>;</w:t>
      </w:r>
      <w:r w:rsidR="0F9E2D6A" w:rsidRPr="2D2E91FD">
        <w:rPr>
          <w:rFonts w:ascii="Tahoma" w:eastAsia="Tahoma" w:hAnsi="Tahoma" w:cs="Tahoma"/>
          <w:sz w:val="24"/>
          <w:szCs w:val="24"/>
        </w:rPr>
        <w:t xml:space="preserve"> the minimum energy storage capacity required for this </w:t>
      </w:r>
      <w:r w:rsidR="26FCE044" w:rsidRPr="2D2E91FD">
        <w:rPr>
          <w:rFonts w:ascii="Tahoma" w:eastAsia="Tahoma" w:hAnsi="Tahoma" w:cs="Tahoma"/>
          <w:sz w:val="24"/>
          <w:szCs w:val="24"/>
        </w:rPr>
        <w:t>GFO</w:t>
      </w:r>
      <w:r w:rsidR="0F9E2D6A" w:rsidRPr="2D2E91FD">
        <w:rPr>
          <w:rFonts w:ascii="Tahoma" w:eastAsia="Tahoma" w:hAnsi="Tahoma" w:cs="Tahoma"/>
          <w:sz w:val="24"/>
          <w:szCs w:val="24"/>
        </w:rPr>
        <w:t xml:space="preserve"> is 2400</w:t>
      </w:r>
      <w:r w:rsidR="5172BECB" w:rsidRPr="2D2E91FD">
        <w:rPr>
          <w:rFonts w:ascii="Tahoma" w:eastAsia="Tahoma" w:hAnsi="Tahoma" w:cs="Tahoma"/>
          <w:sz w:val="24"/>
          <w:szCs w:val="24"/>
        </w:rPr>
        <w:t xml:space="preserve"> </w:t>
      </w:r>
      <w:r w:rsidR="0F9E2D6A" w:rsidRPr="2D2E91FD">
        <w:rPr>
          <w:rFonts w:ascii="Tahoma" w:eastAsia="Tahoma" w:hAnsi="Tahoma" w:cs="Tahoma"/>
          <w:sz w:val="24"/>
          <w:szCs w:val="24"/>
        </w:rPr>
        <w:t>kWh</w:t>
      </w:r>
      <w:r w:rsidR="296822A9" w:rsidRPr="2D2E91FD">
        <w:rPr>
          <w:rFonts w:ascii="Tahoma" w:eastAsia="Tahoma" w:hAnsi="Tahoma" w:cs="Tahoma"/>
          <w:sz w:val="24"/>
          <w:szCs w:val="24"/>
        </w:rPr>
        <w:t>.</w:t>
      </w:r>
    </w:p>
    <w:p w14:paraId="6DD20CAD" w14:textId="07069A87" w:rsidR="34341375" w:rsidRDefault="34341375" w:rsidP="00304287">
      <w:pPr>
        <w:spacing w:line="257" w:lineRule="auto"/>
        <w:rPr>
          <w:rFonts w:ascii="Tahoma" w:eastAsia="Tahoma" w:hAnsi="Tahoma" w:cs="Tahoma"/>
          <w:sz w:val="24"/>
          <w:szCs w:val="24"/>
        </w:rPr>
      </w:pPr>
    </w:p>
    <w:p w14:paraId="6C38CB52" w14:textId="59E07D53" w:rsidR="462207EC" w:rsidRDefault="462207EC" w:rsidP="00DE7060">
      <w:pPr>
        <w:pStyle w:val="ListParagraph"/>
        <w:numPr>
          <w:ilvl w:val="0"/>
          <w:numId w:val="3"/>
        </w:numPr>
        <w:spacing w:line="257" w:lineRule="auto"/>
        <w:ind w:hanging="720"/>
        <w:rPr>
          <w:rFonts w:ascii="Tahoma" w:eastAsia="Tahoma" w:hAnsi="Tahoma" w:cs="Tahoma"/>
          <w:sz w:val="24"/>
          <w:szCs w:val="24"/>
        </w:rPr>
      </w:pPr>
      <w:r w:rsidRPr="7722C8FA">
        <w:rPr>
          <w:rFonts w:ascii="Tahoma" w:eastAsia="Tahoma" w:hAnsi="Tahoma" w:cs="Tahoma"/>
          <w:b/>
          <w:bCs/>
          <w:sz w:val="24"/>
          <w:szCs w:val="24"/>
        </w:rPr>
        <w:t>Q:</w:t>
      </w:r>
      <w:r w:rsidRPr="7722C8FA">
        <w:rPr>
          <w:rFonts w:ascii="Tahoma" w:eastAsia="Tahoma" w:hAnsi="Tahoma" w:cs="Tahoma"/>
          <w:sz w:val="24"/>
          <w:szCs w:val="24"/>
        </w:rPr>
        <w:t xml:space="preserve"> If energy storage is restored using solar and/or wind power, can the solar and/or wind power be part of the </w:t>
      </w:r>
      <w:bookmarkStart w:id="0" w:name="_Int_Jx0SnvfO"/>
      <w:proofErr w:type="gramStart"/>
      <w:r w:rsidRPr="7722C8FA">
        <w:rPr>
          <w:rFonts w:ascii="Tahoma" w:eastAsia="Tahoma" w:hAnsi="Tahoma" w:cs="Tahoma"/>
          <w:sz w:val="24"/>
          <w:szCs w:val="24"/>
        </w:rPr>
        <w:t>100</w:t>
      </w:r>
      <w:r w:rsidR="384F9D40" w:rsidRPr="7722C8FA">
        <w:rPr>
          <w:rFonts w:ascii="Tahoma" w:eastAsia="Tahoma" w:hAnsi="Tahoma" w:cs="Tahoma"/>
          <w:sz w:val="24"/>
          <w:szCs w:val="24"/>
        </w:rPr>
        <w:t xml:space="preserve"> </w:t>
      </w:r>
      <w:r w:rsidRPr="7722C8FA">
        <w:rPr>
          <w:rFonts w:ascii="Tahoma" w:eastAsia="Tahoma" w:hAnsi="Tahoma" w:cs="Tahoma"/>
          <w:sz w:val="24"/>
          <w:szCs w:val="24"/>
        </w:rPr>
        <w:t>kW</w:t>
      </w:r>
      <w:bookmarkEnd w:id="0"/>
      <w:proofErr w:type="gramEnd"/>
      <w:r w:rsidRPr="7722C8FA">
        <w:rPr>
          <w:rFonts w:ascii="Tahoma" w:eastAsia="Tahoma" w:hAnsi="Tahoma" w:cs="Tahoma"/>
          <w:sz w:val="24"/>
          <w:szCs w:val="24"/>
        </w:rPr>
        <w:t xml:space="preserve"> minimum during that 24-hour time period, i.e., not strictly only from energy storage technology? After all, the solar panels and/or wind turbines would be part of the system. </w:t>
      </w:r>
    </w:p>
    <w:p w14:paraId="399478D9" w14:textId="4491C978" w:rsidR="462207EC" w:rsidRPr="00834356" w:rsidRDefault="462207EC"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3ECDE950" w:rsidRPr="2D2E91FD">
        <w:rPr>
          <w:rFonts w:ascii="Tahoma" w:eastAsia="Tahoma" w:hAnsi="Tahoma" w:cs="Tahoma"/>
          <w:b/>
          <w:bCs/>
          <w:sz w:val="24"/>
          <w:szCs w:val="24"/>
        </w:rPr>
        <w:t xml:space="preserve"> </w:t>
      </w:r>
      <w:r w:rsidR="00834356" w:rsidRPr="006A2F41">
        <w:rPr>
          <w:rFonts w:ascii="Tahoma" w:eastAsia="Tahoma" w:hAnsi="Tahoma" w:cs="Tahoma"/>
          <w:sz w:val="24"/>
          <w:szCs w:val="24"/>
        </w:rPr>
        <w:t xml:space="preserve">This </w:t>
      </w:r>
      <w:r w:rsidR="63DACC42" w:rsidRPr="2D2E91FD">
        <w:rPr>
          <w:rFonts w:ascii="Tahoma" w:eastAsia="Tahoma" w:hAnsi="Tahoma" w:cs="Tahoma"/>
          <w:sz w:val="24"/>
          <w:szCs w:val="24"/>
        </w:rPr>
        <w:t>GFO</w:t>
      </w:r>
      <w:r w:rsidR="00834356" w:rsidRPr="006A2F41">
        <w:rPr>
          <w:rFonts w:ascii="Tahoma" w:eastAsia="Tahoma" w:hAnsi="Tahoma" w:cs="Tahoma"/>
          <w:sz w:val="24"/>
          <w:szCs w:val="24"/>
        </w:rPr>
        <w:t xml:space="preserve"> is for non-Li-ion electrochemical or thermal long-duration storage technologies with a full rated power of at least 100 kW and a minimum duration of 24 hours. Although you can pair the system with solar and/or wind, the storage technologies must independently meet the full-rated power output for the minimum duration.</w:t>
      </w:r>
    </w:p>
    <w:p w14:paraId="59092C1B" w14:textId="30530259" w:rsidR="34341375" w:rsidRDefault="34341375" w:rsidP="00304287">
      <w:pPr>
        <w:spacing w:line="257" w:lineRule="auto"/>
        <w:rPr>
          <w:rFonts w:ascii="Tahoma" w:eastAsia="Tahoma" w:hAnsi="Tahoma" w:cs="Tahoma"/>
          <w:sz w:val="24"/>
          <w:szCs w:val="24"/>
        </w:rPr>
      </w:pPr>
    </w:p>
    <w:p w14:paraId="1C96FA95" w14:textId="66A32365" w:rsidR="462207EC" w:rsidRDefault="462207EC" w:rsidP="00DE7060">
      <w:pPr>
        <w:pStyle w:val="ListParagraph"/>
        <w:numPr>
          <w:ilvl w:val="0"/>
          <w:numId w:val="3"/>
        </w:numPr>
        <w:spacing w:line="257" w:lineRule="auto"/>
        <w:ind w:hanging="720"/>
        <w:rPr>
          <w:rFonts w:ascii="Tahoma" w:eastAsia="Tahoma" w:hAnsi="Tahoma" w:cs="Tahoma"/>
          <w:b/>
          <w:bCs/>
          <w:sz w:val="24"/>
          <w:szCs w:val="24"/>
        </w:rPr>
      </w:pPr>
      <w:r w:rsidRPr="2D2E91FD">
        <w:rPr>
          <w:rFonts w:ascii="Tahoma" w:eastAsia="Tahoma" w:hAnsi="Tahoma" w:cs="Tahoma"/>
          <w:b/>
          <w:bCs/>
          <w:sz w:val="24"/>
          <w:szCs w:val="24"/>
        </w:rPr>
        <w:t>Q:</w:t>
      </w:r>
      <w:r w:rsidRPr="2D2E91FD">
        <w:rPr>
          <w:rFonts w:ascii="Tahoma" w:eastAsia="Tahoma" w:hAnsi="Tahoma" w:cs="Tahoma"/>
          <w:sz w:val="24"/>
          <w:szCs w:val="24"/>
        </w:rPr>
        <w:t xml:space="preserve"> Is it required for the system to be able to meet th</w:t>
      </w:r>
      <w:r w:rsidR="0684DEF4" w:rsidRPr="2D2E91FD">
        <w:rPr>
          <w:rFonts w:ascii="Tahoma" w:eastAsia="Tahoma" w:hAnsi="Tahoma" w:cs="Tahoma"/>
          <w:sz w:val="24"/>
          <w:szCs w:val="24"/>
        </w:rPr>
        <w:t>e 100 kW</w:t>
      </w:r>
      <w:r w:rsidRPr="2D2E91FD">
        <w:rPr>
          <w:rFonts w:ascii="Tahoma" w:eastAsia="Tahoma" w:hAnsi="Tahoma" w:cs="Tahoma"/>
          <w:sz w:val="24"/>
          <w:szCs w:val="24"/>
        </w:rPr>
        <w:t xml:space="preserve"> requirements continuously, i.e., every 24-hour period once in operation? For example, normally, the power from the solar panels would be divided between restoring energy storage and providing power to the users. But in an emergency, all their power could be used to meet your </w:t>
      </w:r>
      <w:bookmarkStart w:id="1" w:name="_Int_8vd5tvqw"/>
      <w:proofErr w:type="gramStart"/>
      <w:r w:rsidRPr="2D2E91FD">
        <w:rPr>
          <w:rFonts w:ascii="Tahoma" w:eastAsia="Tahoma" w:hAnsi="Tahoma" w:cs="Tahoma"/>
          <w:sz w:val="24"/>
          <w:szCs w:val="24"/>
        </w:rPr>
        <w:t>100 kW</w:t>
      </w:r>
      <w:bookmarkEnd w:id="1"/>
      <w:proofErr w:type="gramEnd"/>
      <w:r w:rsidRPr="2D2E91FD">
        <w:rPr>
          <w:rFonts w:ascii="Tahoma" w:eastAsia="Tahoma" w:hAnsi="Tahoma" w:cs="Tahoma"/>
          <w:sz w:val="24"/>
          <w:szCs w:val="24"/>
        </w:rPr>
        <w:t xml:space="preserve"> requirement during daytime after depletion of storage during the night, so your 100 kW over 24 hours requirement would not be met in the next 24-hour period.</w:t>
      </w:r>
    </w:p>
    <w:p w14:paraId="5FCBC6B6" w14:textId="41CBA2D3" w:rsidR="462207EC" w:rsidRDefault="462207EC" w:rsidP="00304287">
      <w:pPr>
        <w:spacing w:line="257" w:lineRule="auto"/>
        <w:ind w:left="720"/>
        <w:rPr>
          <w:rFonts w:ascii="Tahoma" w:eastAsia="Tahoma" w:hAnsi="Tahoma" w:cs="Tahoma"/>
          <w:b/>
          <w:bCs/>
          <w:sz w:val="24"/>
          <w:szCs w:val="24"/>
        </w:rPr>
      </w:pPr>
      <w:r w:rsidRPr="2D2E91FD">
        <w:rPr>
          <w:rFonts w:ascii="Tahoma" w:eastAsia="Tahoma" w:hAnsi="Tahoma" w:cs="Tahoma"/>
          <w:b/>
          <w:bCs/>
          <w:sz w:val="24"/>
          <w:szCs w:val="24"/>
        </w:rPr>
        <w:t>A:</w:t>
      </w:r>
      <w:r w:rsidR="77016C1D" w:rsidRPr="2D2E91FD">
        <w:rPr>
          <w:rFonts w:ascii="Tahoma" w:eastAsia="Tahoma" w:hAnsi="Tahoma" w:cs="Tahoma"/>
          <w:b/>
          <w:bCs/>
          <w:sz w:val="24"/>
          <w:szCs w:val="24"/>
        </w:rPr>
        <w:t xml:space="preserve"> </w:t>
      </w:r>
      <w:r w:rsidR="77016C1D" w:rsidRPr="2D2E91FD">
        <w:rPr>
          <w:rFonts w:ascii="Tahoma" w:eastAsia="Tahoma" w:hAnsi="Tahoma" w:cs="Tahoma"/>
          <w:sz w:val="24"/>
          <w:szCs w:val="24"/>
        </w:rPr>
        <w:t>Th</w:t>
      </w:r>
      <w:r w:rsidR="0096763B">
        <w:rPr>
          <w:rFonts w:ascii="Tahoma" w:eastAsia="Tahoma" w:hAnsi="Tahoma" w:cs="Tahoma"/>
          <w:sz w:val="24"/>
          <w:szCs w:val="24"/>
        </w:rPr>
        <w:t>is</w:t>
      </w:r>
      <w:r w:rsidR="77016C1D" w:rsidRPr="2D2E91FD">
        <w:rPr>
          <w:rFonts w:ascii="Tahoma" w:eastAsia="Tahoma" w:hAnsi="Tahoma" w:cs="Tahoma"/>
          <w:sz w:val="24"/>
          <w:szCs w:val="24"/>
        </w:rPr>
        <w:t xml:space="preserve"> GFO does not specify </w:t>
      </w:r>
      <w:r w:rsidR="45DFF01A" w:rsidRPr="2D2E91FD">
        <w:rPr>
          <w:rFonts w:ascii="Tahoma" w:eastAsia="Tahoma" w:hAnsi="Tahoma" w:cs="Tahoma"/>
          <w:sz w:val="24"/>
          <w:szCs w:val="24"/>
        </w:rPr>
        <w:t>idle times required to charge the battery.</w:t>
      </w:r>
    </w:p>
    <w:p w14:paraId="212388E2" w14:textId="60B0A48F" w:rsidR="34341375" w:rsidRDefault="34341375" w:rsidP="00304287">
      <w:pPr>
        <w:spacing w:line="257" w:lineRule="auto"/>
        <w:rPr>
          <w:rFonts w:ascii="Tahoma" w:eastAsia="Tahoma" w:hAnsi="Tahoma" w:cs="Tahoma"/>
          <w:b/>
          <w:bCs/>
          <w:sz w:val="24"/>
          <w:szCs w:val="24"/>
        </w:rPr>
      </w:pPr>
    </w:p>
    <w:p w14:paraId="7F2E8244" w14:textId="7158575F" w:rsidR="0C0C74E8" w:rsidRDefault="0C0C74E8"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 xml:space="preserve">Q: </w:t>
      </w:r>
      <w:r w:rsidRPr="4B7E8AE1">
        <w:rPr>
          <w:rFonts w:ascii="Tahoma" w:eastAsia="Tahoma" w:hAnsi="Tahoma" w:cs="Tahoma"/>
          <w:sz w:val="24"/>
          <w:szCs w:val="24"/>
        </w:rPr>
        <w:t>Are</w:t>
      </w:r>
      <w:r w:rsidRPr="4B7E8AE1">
        <w:rPr>
          <w:rFonts w:ascii="Tahoma" w:eastAsia="Tahoma" w:hAnsi="Tahoma" w:cs="Tahoma"/>
          <w:b/>
          <w:bCs/>
          <w:sz w:val="24"/>
          <w:szCs w:val="24"/>
        </w:rPr>
        <w:t xml:space="preserve"> </w:t>
      </w:r>
      <w:r w:rsidRPr="4B7E8AE1">
        <w:rPr>
          <w:rFonts w:ascii="Tahoma" w:eastAsia="Tahoma" w:hAnsi="Tahoma" w:cs="Tahoma"/>
          <w:sz w:val="24"/>
          <w:szCs w:val="24"/>
        </w:rPr>
        <w:t>Hydrogen Power-to-Power systems for within the scope of this GFO?</w:t>
      </w:r>
    </w:p>
    <w:p w14:paraId="7424AEE9" w14:textId="0070B5EB" w:rsidR="0C0C74E8" w:rsidRDefault="0C0C74E8"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Pr="2D2E91FD">
        <w:rPr>
          <w:rFonts w:ascii="Tahoma" w:eastAsia="Tahoma" w:hAnsi="Tahoma" w:cs="Tahoma"/>
          <w:sz w:val="24"/>
          <w:szCs w:val="24"/>
        </w:rPr>
        <w:t xml:space="preserve"> </w:t>
      </w:r>
      <w:r w:rsidR="1E406193" w:rsidRPr="2D2E91FD">
        <w:rPr>
          <w:rFonts w:ascii="Tahoma" w:eastAsia="Tahoma" w:hAnsi="Tahoma" w:cs="Tahoma"/>
          <w:sz w:val="24"/>
          <w:szCs w:val="24"/>
        </w:rPr>
        <w:t xml:space="preserve">This </w:t>
      </w:r>
      <w:r w:rsidR="0256562F" w:rsidRPr="2D2E91FD">
        <w:rPr>
          <w:rFonts w:ascii="Tahoma" w:eastAsia="Tahoma" w:hAnsi="Tahoma" w:cs="Tahoma"/>
          <w:sz w:val="24"/>
          <w:szCs w:val="24"/>
        </w:rPr>
        <w:t>GFO</w:t>
      </w:r>
      <w:r w:rsidR="1E406193" w:rsidRPr="2D2E91FD">
        <w:rPr>
          <w:rFonts w:ascii="Tahoma" w:eastAsia="Tahoma" w:hAnsi="Tahoma" w:cs="Tahoma"/>
          <w:sz w:val="24"/>
          <w:szCs w:val="24"/>
        </w:rPr>
        <w:t xml:space="preserve"> focuses on </w:t>
      </w:r>
      <w:r w:rsidR="3710C1F6" w:rsidRPr="4CACCB5C">
        <w:rPr>
          <w:rFonts w:ascii="Tahoma" w:eastAsia="Tahoma" w:hAnsi="Tahoma" w:cs="Tahoma"/>
          <w:sz w:val="24"/>
          <w:szCs w:val="24"/>
        </w:rPr>
        <w:t xml:space="preserve">non-Li-ion </w:t>
      </w:r>
      <w:r w:rsidR="1E406193" w:rsidRPr="2D2E91FD">
        <w:rPr>
          <w:rFonts w:ascii="Tahoma" w:eastAsia="Tahoma" w:hAnsi="Tahoma" w:cs="Tahoma"/>
          <w:sz w:val="24"/>
          <w:szCs w:val="24"/>
        </w:rPr>
        <w:t xml:space="preserve">electrochemical and thermal </w:t>
      </w:r>
      <w:r w:rsidR="30689FA0" w:rsidRPr="4CACCB5C">
        <w:rPr>
          <w:rFonts w:ascii="Tahoma" w:eastAsia="Tahoma" w:hAnsi="Tahoma" w:cs="Tahoma"/>
          <w:sz w:val="24"/>
          <w:szCs w:val="24"/>
        </w:rPr>
        <w:t xml:space="preserve">long-duration </w:t>
      </w:r>
      <w:r w:rsidR="1E406193" w:rsidRPr="2D2E91FD">
        <w:rPr>
          <w:rFonts w:ascii="Tahoma" w:eastAsia="Tahoma" w:hAnsi="Tahoma" w:cs="Tahoma"/>
          <w:sz w:val="24"/>
          <w:szCs w:val="24"/>
        </w:rPr>
        <w:t xml:space="preserve">battery storage technologies. Hydrogen Power-to-Power systems will not be considered a form of long-duration energy storage under this </w:t>
      </w:r>
      <w:r w:rsidR="0D8DCB50" w:rsidRPr="2D2E91FD">
        <w:rPr>
          <w:rFonts w:ascii="Tahoma" w:eastAsia="Tahoma" w:hAnsi="Tahoma" w:cs="Tahoma"/>
          <w:sz w:val="24"/>
          <w:szCs w:val="24"/>
        </w:rPr>
        <w:t>GFO</w:t>
      </w:r>
      <w:r w:rsidR="0096763B">
        <w:rPr>
          <w:rFonts w:ascii="Tahoma" w:eastAsia="Tahoma" w:hAnsi="Tahoma" w:cs="Tahoma"/>
          <w:sz w:val="24"/>
          <w:szCs w:val="24"/>
        </w:rPr>
        <w:t>.</w:t>
      </w:r>
    </w:p>
    <w:p w14:paraId="74C270FD" w14:textId="25FC3FBA" w:rsidR="34341375" w:rsidRPr="00702677" w:rsidRDefault="34341375" w:rsidP="00304287">
      <w:pPr>
        <w:spacing w:line="257" w:lineRule="auto"/>
        <w:rPr>
          <w:rFonts w:ascii="Tahoma" w:eastAsia="Tahoma" w:hAnsi="Tahoma" w:cs="Tahoma"/>
        </w:rPr>
      </w:pPr>
    </w:p>
    <w:p w14:paraId="430193AC" w14:textId="503A2E71" w:rsidR="00177A40" w:rsidRPr="00702677" w:rsidRDefault="4D48488C" w:rsidP="00702677">
      <w:pPr>
        <w:pStyle w:val="Heading1"/>
        <w:rPr>
          <w:rFonts w:ascii="Tahoma" w:hAnsi="Tahoma" w:cs="Tahoma"/>
          <w:b/>
          <w:bCs/>
          <w:color w:val="000000" w:themeColor="text1"/>
          <w:sz w:val="24"/>
          <w:szCs w:val="24"/>
        </w:rPr>
      </w:pPr>
      <w:r w:rsidRPr="00702677">
        <w:rPr>
          <w:rFonts w:ascii="Tahoma" w:hAnsi="Tahoma" w:cs="Tahoma"/>
          <w:b/>
          <w:bCs/>
          <w:color w:val="000000" w:themeColor="text1"/>
          <w:sz w:val="24"/>
          <w:szCs w:val="24"/>
        </w:rPr>
        <w:t>Section 2: Questions on Administrative Requirements</w:t>
      </w:r>
    </w:p>
    <w:p w14:paraId="447C258C" w14:textId="5CAFEFBD" w:rsidR="00177A40" w:rsidRDefault="4A6AB4C8" w:rsidP="00DE7060">
      <w:pPr>
        <w:pStyle w:val="ListParagraph"/>
        <w:numPr>
          <w:ilvl w:val="0"/>
          <w:numId w:val="3"/>
        </w:numPr>
        <w:spacing w:line="257" w:lineRule="auto"/>
        <w:ind w:hanging="720"/>
        <w:rPr>
          <w:rFonts w:ascii="Tahoma" w:eastAsia="Tahoma" w:hAnsi="Tahoma" w:cs="Tahoma"/>
          <w:sz w:val="24"/>
          <w:szCs w:val="24"/>
        </w:rPr>
      </w:pPr>
      <w:r w:rsidRPr="2D2E91FD">
        <w:rPr>
          <w:rFonts w:ascii="Tahoma" w:eastAsia="Tahoma" w:hAnsi="Tahoma" w:cs="Tahoma"/>
          <w:b/>
          <w:bCs/>
          <w:sz w:val="24"/>
          <w:szCs w:val="24"/>
        </w:rPr>
        <w:t>Q:</w:t>
      </w:r>
      <w:r w:rsidRPr="2D2E91FD">
        <w:rPr>
          <w:rFonts w:ascii="Tahoma" w:eastAsia="Tahoma" w:hAnsi="Tahoma" w:cs="Tahoma"/>
          <w:sz w:val="24"/>
          <w:szCs w:val="24"/>
        </w:rPr>
        <w:t xml:space="preserve"> </w:t>
      </w:r>
      <w:r w:rsidR="14DB92DC" w:rsidRPr="2D2E91FD">
        <w:rPr>
          <w:rFonts w:ascii="Tahoma" w:eastAsia="Tahoma" w:hAnsi="Tahoma" w:cs="Tahoma"/>
          <w:sz w:val="24"/>
          <w:szCs w:val="24"/>
        </w:rPr>
        <w:t xml:space="preserve">EPIC funds are only for 3 existing private companies, but most </w:t>
      </w:r>
      <w:r w:rsidR="3EEC3146" w:rsidRPr="2D2E91FD">
        <w:rPr>
          <w:rFonts w:ascii="Tahoma" w:eastAsia="Tahoma" w:hAnsi="Tahoma" w:cs="Tahoma"/>
          <w:sz w:val="24"/>
          <w:szCs w:val="24"/>
        </w:rPr>
        <w:t>environmental justice organizations</w:t>
      </w:r>
      <w:r w:rsidR="14DB92DC" w:rsidRPr="2D2E91FD">
        <w:rPr>
          <w:rFonts w:ascii="Tahoma" w:eastAsia="Tahoma" w:hAnsi="Tahoma" w:cs="Tahoma"/>
          <w:sz w:val="24"/>
          <w:szCs w:val="24"/>
        </w:rPr>
        <w:t xml:space="preserve"> support many grid structures (LA department water/ power), mini grids. </w:t>
      </w:r>
      <w:r w:rsidRPr="2D2E91FD">
        <w:rPr>
          <w:rFonts w:ascii="Tahoma" w:eastAsia="Tahoma" w:hAnsi="Tahoma" w:cs="Tahoma"/>
          <w:sz w:val="24"/>
          <w:szCs w:val="24"/>
        </w:rPr>
        <w:t>Can people outside of the 3 main Invested Owned Utilities (IOUs)</w:t>
      </w:r>
      <w:r w:rsidR="0B48CDD3" w:rsidRPr="2D2E91FD">
        <w:rPr>
          <w:rFonts w:ascii="Tahoma" w:eastAsia="Tahoma" w:hAnsi="Tahoma" w:cs="Tahoma"/>
          <w:sz w:val="24"/>
          <w:szCs w:val="24"/>
        </w:rPr>
        <w:t xml:space="preserve">, Pacific Gas &amp; Electric (PG&amp;E), </w:t>
      </w:r>
      <w:r w:rsidR="134F4361" w:rsidRPr="2D2E91FD">
        <w:rPr>
          <w:rFonts w:ascii="Tahoma" w:eastAsia="Tahoma" w:hAnsi="Tahoma" w:cs="Tahoma"/>
          <w:sz w:val="24"/>
          <w:szCs w:val="24"/>
        </w:rPr>
        <w:t xml:space="preserve">Southern California Edison </w:t>
      </w:r>
      <w:r w:rsidR="0B48CDD3" w:rsidRPr="2D2E91FD">
        <w:rPr>
          <w:rFonts w:ascii="Tahoma" w:eastAsia="Tahoma" w:hAnsi="Tahoma" w:cs="Tahoma"/>
          <w:sz w:val="24"/>
          <w:szCs w:val="24"/>
        </w:rPr>
        <w:t>(S</w:t>
      </w:r>
      <w:r w:rsidR="13F11BEA" w:rsidRPr="2D2E91FD">
        <w:rPr>
          <w:rFonts w:ascii="Tahoma" w:eastAsia="Tahoma" w:hAnsi="Tahoma" w:cs="Tahoma"/>
          <w:sz w:val="24"/>
          <w:szCs w:val="24"/>
        </w:rPr>
        <w:t>CE</w:t>
      </w:r>
      <w:r w:rsidR="0B48CDD3" w:rsidRPr="2D2E91FD">
        <w:rPr>
          <w:rFonts w:ascii="Tahoma" w:eastAsia="Tahoma" w:hAnsi="Tahoma" w:cs="Tahoma"/>
          <w:sz w:val="24"/>
          <w:szCs w:val="24"/>
        </w:rPr>
        <w:t>), and San Diego Gas &amp; Electric (SDG&amp;E)</w:t>
      </w:r>
      <w:r w:rsidRPr="2D2E91FD">
        <w:rPr>
          <w:rFonts w:ascii="Tahoma" w:eastAsia="Tahoma" w:hAnsi="Tahoma" w:cs="Tahoma"/>
          <w:sz w:val="24"/>
          <w:szCs w:val="24"/>
        </w:rPr>
        <w:t xml:space="preserve"> apply for funding?</w:t>
      </w:r>
    </w:p>
    <w:p w14:paraId="4367DBCD" w14:textId="0A96A100" w:rsidR="00177A40" w:rsidRDefault="4A6AB4C8"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22D98F39" w:rsidRPr="2D2E91FD">
        <w:rPr>
          <w:rFonts w:ascii="Tahoma" w:eastAsia="Tahoma" w:hAnsi="Tahoma" w:cs="Tahoma"/>
          <w:b/>
          <w:bCs/>
          <w:sz w:val="24"/>
          <w:szCs w:val="24"/>
        </w:rPr>
        <w:t xml:space="preserve"> </w:t>
      </w:r>
      <w:r w:rsidR="2E88CFC0" w:rsidRPr="2D2E91FD">
        <w:rPr>
          <w:rFonts w:ascii="Tahoma" w:eastAsia="Tahoma" w:hAnsi="Tahoma" w:cs="Tahoma"/>
          <w:sz w:val="24"/>
          <w:szCs w:val="24"/>
        </w:rPr>
        <w:t>Applicant eligibility requirements are in Section II (A)(1) of the solicitation</w:t>
      </w:r>
      <w:r w:rsidR="1AC3102C" w:rsidRPr="2D2E91FD">
        <w:rPr>
          <w:rFonts w:ascii="Tahoma" w:eastAsia="Tahoma" w:hAnsi="Tahoma" w:cs="Tahoma"/>
          <w:sz w:val="24"/>
          <w:szCs w:val="24"/>
        </w:rPr>
        <w:t xml:space="preserve"> manual</w:t>
      </w:r>
      <w:r w:rsidR="2E88CFC0" w:rsidRPr="2D2E91FD">
        <w:rPr>
          <w:rFonts w:ascii="Tahoma" w:eastAsia="Tahoma" w:hAnsi="Tahoma" w:cs="Tahoma"/>
          <w:sz w:val="24"/>
          <w:szCs w:val="24"/>
        </w:rPr>
        <w:t>. The following entities can apply as prime applicants to th</w:t>
      </w:r>
      <w:r w:rsidR="00A80572">
        <w:rPr>
          <w:rFonts w:ascii="Tahoma" w:eastAsia="Tahoma" w:hAnsi="Tahoma" w:cs="Tahoma"/>
          <w:sz w:val="24"/>
          <w:szCs w:val="24"/>
        </w:rPr>
        <w:t>is</w:t>
      </w:r>
      <w:r w:rsidR="2E88CFC0" w:rsidRPr="2D2E91FD">
        <w:rPr>
          <w:rFonts w:ascii="Tahoma" w:eastAsia="Tahoma" w:hAnsi="Tahoma" w:cs="Tahoma"/>
          <w:sz w:val="24"/>
          <w:szCs w:val="24"/>
        </w:rPr>
        <w:t xml:space="preserve"> </w:t>
      </w:r>
      <w:r w:rsidR="1BBA800C" w:rsidRPr="2D2E91FD">
        <w:rPr>
          <w:rFonts w:ascii="Tahoma" w:eastAsia="Tahoma" w:hAnsi="Tahoma" w:cs="Tahoma"/>
          <w:sz w:val="24"/>
          <w:szCs w:val="24"/>
        </w:rPr>
        <w:t>GFO</w:t>
      </w:r>
      <w:r w:rsidR="2E88CFC0" w:rsidRPr="2D2E91FD">
        <w:rPr>
          <w:rFonts w:ascii="Tahoma" w:eastAsia="Tahoma" w:hAnsi="Tahoma" w:cs="Tahoma"/>
          <w:sz w:val="24"/>
          <w:szCs w:val="24"/>
        </w:rPr>
        <w:t>:</w:t>
      </w:r>
    </w:p>
    <w:p w14:paraId="75321554" w14:textId="22BA968C" w:rsidR="00177A40" w:rsidRDefault="2E88CFC0" w:rsidP="00304287">
      <w:pPr>
        <w:pStyle w:val="ListParagraph"/>
        <w:numPr>
          <w:ilvl w:val="0"/>
          <w:numId w:val="7"/>
        </w:numPr>
        <w:spacing w:line="257" w:lineRule="auto"/>
        <w:rPr>
          <w:rFonts w:ascii="Tahoma" w:eastAsia="Tahoma" w:hAnsi="Tahoma" w:cs="Tahoma"/>
          <w:sz w:val="24"/>
          <w:szCs w:val="24"/>
        </w:rPr>
      </w:pPr>
      <w:r w:rsidRPr="34341375">
        <w:rPr>
          <w:rFonts w:ascii="Tahoma" w:eastAsia="Tahoma" w:hAnsi="Tahoma" w:cs="Tahoma"/>
          <w:sz w:val="24"/>
          <w:szCs w:val="24"/>
        </w:rPr>
        <w:t xml:space="preserve">Project Developer/System Integrator: An individual, corporation, or other legal entity responsible for the overall planning, installation, and commissioning of the LDES system.  </w:t>
      </w:r>
    </w:p>
    <w:p w14:paraId="2B67F525" w14:textId="667A3B73" w:rsidR="00177A40" w:rsidRDefault="2E88CFC0" w:rsidP="00304287">
      <w:pPr>
        <w:pStyle w:val="ListParagraph"/>
        <w:numPr>
          <w:ilvl w:val="0"/>
          <w:numId w:val="7"/>
        </w:numPr>
        <w:spacing w:line="257" w:lineRule="auto"/>
        <w:rPr>
          <w:rFonts w:ascii="Tahoma" w:eastAsia="Tahoma" w:hAnsi="Tahoma" w:cs="Tahoma"/>
          <w:sz w:val="24"/>
          <w:szCs w:val="24"/>
        </w:rPr>
      </w:pPr>
      <w:r w:rsidRPr="34341375">
        <w:rPr>
          <w:rFonts w:ascii="Tahoma" w:eastAsia="Tahoma" w:hAnsi="Tahoma" w:cs="Tahoma"/>
          <w:sz w:val="24"/>
          <w:szCs w:val="24"/>
        </w:rPr>
        <w:t xml:space="preserve">Site Owner or Operator: The owner or operator of the site where the LDES system will be installed and operated. </w:t>
      </w:r>
    </w:p>
    <w:p w14:paraId="579E8957" w14:textId="7F4551F5" w:rsidR="00177A40" w:rsidRDefault="2E88CFC0" w:rsidP="00304287">
      <w:pPr>
        <w:pStyle w:val="ListParagraph"/>
        <w:numPr>
          <w:ilvl w:val="0"/>
          <w:numId w:val="7"/>
        </w:numPr>
        <w:spacing w:line="257" w:lineRule="auto"/>
        <w:rPr>
          <w:rFonts w:ascii="Tahoma" w:eastAsia="Tahoma" w:hAnsi="Tahoma" w:cs="Tahoma"/>
          <w:sz w:val="24"/>
          <w:szCs w:val="24"/>
        </w:rPr>
      </w:pPr>
      <w:r w:rsidRPr="34341375">
        <w:rPr>
          <w:rFonts w:ascii="Tahoma" w:eastAsia="Tahoma" w:hAnsi="Tahoma" w:cs="Tahoma"/>
          <w:sz w:val="24"/>
          <w:szCs w:val="24"/>
        </w:rPr>
        <w:t xml:space="preserve">Technology Developer: A for-profit commercial entity or individual with the rights to commercialize the intellectual property being advanced under the proposed project.       </w:t>
      </w:r>
    </w:p>
    <w:p w14:paraId="77DE97B7" w14:textId="6867A152" w:rsidR="00177A40" w:rsidRDefault="2E88CFC0"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However, note that the following entities are not eligible to be prime applicants for projects under this </w:t>
      </w:r>
      <w:r w:rsidR="0B593F60" w:rsidRPr="2D2E91FD">
        <w:rPr>
          <w:rFonts w:ascii="Tahoma" w:eastAsia="Tahoma" w:hAnsi="Tahoma" w:cs="Tahoma"/>
          <w:sz w:val="24"/>
          <w:szCs w:val="24"/>
        </w:rPr>
        <w:t>GFO</w:t>
      </w:r>
      <w:r w:rsidRPr="2D2E91FD">
        <w:rPr>
          <w:rFonts w:ascii="Tahoma" w:eastAsia="Tahoma" w:hAnsi="Tahoma" w:cs="Tahoma"/>
          <w:sz w:val="24"/>
          <w:szCs w:val="24"/>
        </w:rPr>
        <w:t xml:space="preserve">: </w:t>
      </w:r>
    </w:p>
    <w:p w14:paraId="29CD5993" w14:textId="2879A80B" w:rsidR="00177A40" w:rsidRDefault="2E88CFC0" w:rsidP="00304287">
      <w:pPr>
        <w:pStyle w:val="ListParagraph"/>
        <w:numPr>
          <w:ilvl w:val="0"/>
          <w:numId w:val="6"/>
        </w:numPr>
        <w:spacing w:line="257" w:lineRule="auto"/>
        <w:rPr>
          <w:rFonts w:ascii="Tahoma" w:eastAsia="Tahoma" w:hAnsi="Tahoma" w:cs="Tahoma"/>
          <w:sz w:val="24"/>
          <w:szCs w:val="24"/>
        </w:rPr>
      </w:pPr>
      <w:r w:rsidRPr="34341375">
        <w:rPr>
          <w:rFonts w:ascii="Tahoma" w:eastAsia="Tahoma" w:hAnsi="Tahoma" w:cs="Tahoma"/>
          <w:sz w:val="24"/>
          <w:szCs w:val="24"/>
        </w:rPr>
        <w:t xml:space="preserve">Public and private universities </w:t>
      </w:r>
    </w:p>
    <w:p w14:paraId="6A60E326" w14:textId="2991D382" w:rsidR="00177A40" w:rsidRDefault="2E88CFC0" w:rsidP="00304287">
      <w:pPr>
        <w:pStyle w:val="ListParagraph"/>
        <w:numPr>
          <w:ilvl w:val="0"/>
          <w:numId w:val="6"/>
        </w:numPr>
        <w:spacing w:line="257" w:lineRule="auto"/>
        <w:rPr>
          <w:rFonts w:ascii="Tahoma" w:eastAsia="Tahoma" w:hAnsi="Tahoma" w:cs="Tahoma"/>
          <w:sz w:val="24"/>
          <w:szCs w:val="24"/>
        </w:rPr>
      </w:pPr>
      <w:r w:rsidRPr="34341375">
        <w:rPr>
          <w:rFonts w:ascii="Tahoma" w:eastAsia="Tahoma" w:hAnsi="Tahoma" w:cs="Tahoma"/>
          <w:sz w:val="24"/>
          <w:szCs w:val="24"/>
        </w:rPr>
        <w:t xml:space="preserve">National Labs, and </w:t>
      </w:r>
    </w:p>
    <w:p w14:paraId="3F77F9E9" w14:textId="3C9C7B52" w:rsidR="00177A40" w:rsidRDefault="2E88CFC0" w:rsidP="00304287">
      <w:pPr>
        <w:pStyle w:val="ListParagraph"/>
        <w:numPr>
          <w:ilvl w:val="0"/>
          <w:numId w:val="6"/>
        </w:numPr>
        <w:spacing w:line="257" w:lineRule="auto"/>
        <w:rPr>
          <w:rFonts w:ascii="Tahoma" w:eastAsia="Tahoma" w:hAnsi="Tahoma" w:cs="Tahoma"/>
          <w:sz w:val="24"/>
          <w:szCs w:val="24"/>
        </w:rPr>
      </w:pPr>
      <w:r w:rsidRPr="34341375">
        <w:rPr>
          <w:rFonts w:ascii="Tahoma" w:eastAsia="Tahoma" w:hAnsi="Tahoma" w:cs="Tahoma"/>
          <w:sz w:val="24"/>
          <w:szCs w:val="24"/>
        </w:rPr>
        <w:t xml:space="preserve">Private non-profit research organizations. </w:t>
      </w:r>
    </w:p>
    <w:p w14:paraId="55FE0BB5" w14:textId="6F0297D7" w:rsidR="00177A40" w:rsidRDefault="2E88CFC0"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Finally, all public and private entities, </w:t>
      </w:r>
      <w:proofErr w:type="gramStart"/>
      <w:r w:rsidRPr="2D2E91FD">
        <w:rPr>
          <w:rFonts w:ascii="Tahoma" w:eastAsia="Tahoma" w:hAnsi="Tahoma" w:cs="Tahoma"/>
          <w:sz w:val="24"/>
          <w:szCs w:val="24"/>
        </w:rPr>
        <w:t>with the exception of</w:t>
      </w:r>
      <w:proofErr w:type="gramEnd"/>
      <w:r w:rsidRPr="2D2E91FD">
        <w:rPr>
          <w:rFonts w:ascii="Tahoma" w:eastAsia="Tahoma" w:hAnsi="Tahoma" w:cs="Tahoma"/>
          <w:sz w:val="24"/>
          <w:szCs w:val="24"/>
        </w:rPr>
        <w:t xml:space="preserve"> local publicly owned electric utilities, may serve as subrecipients for this </w:t>
      </w:r>
      <w:r w:rsidR="27A2FC62" w:rsidRPr="2D2E91FD">
        <w:rPr>
          <w:rFonts w:ascii="Tahoma" w:eastAsia="Tahoma" w:hAnsi="Tahoma" w:cs="Tahoma"/>
          <w:sz w:val="24"/>
          <w:szCs w:val="24"/>
        </w:rPr>
        <w:t>GFO</w:t>
      </w:r>
      <w:r w:rsidRPr="2D2E91FD">
        <w:rPr>
          <w:rFonts w:ascii="Tahoma" w:eastAsia="Tahoma" w:hAnsi="Tahoma" w:cs="Tahoma"/>
          <w:sz w:val="24"/>
          <w:szCs w:val="24"/>
        </w:rPr>
        <w:t xml:space="preserve">. In accordance with CPUC Decision 12-05-037 at p. 70, funds administered by the CEC may not be used for any purposes associated with local publicly owned electric utility activities. </w:t>
      </w:r>
    </w:p>
    <w:p w14:paraId="5666DF30" w14:textId="39A16C7A" w:rsidR="00177A40" w:rsidRDefault="00620BE3" w:rsidP="00304287">
      <w:pPr>
        <w:pStyle w:val="ListParagraph"/>
        <w:spacing w:line="257" w:lineRule="auto"/>
        <w:rPr>
          <w:rFonts w:ascii="Tahoma" w:eastAsia="Tahoma" w:hAnsi="Tahoma" w:cs="Tahoma"/>
          <w:sz w:val="24"/>
          <w:szCs w:val="24"/>
        </w:rPr>
      </w:pPr>
      <w:r w:rsidRPr="2D2E91FD">
        <w:rPr>
          <w:rFonts w:ascii="Tahoma" w:eastAsia="Tahoma" w:hAnsi="Tahoma" w:cs="Tahoma"/>
          <w:sz w:val="24"/>
          <w:szCs w:val="24"/>
        </w:rPr>
        <w:t>If</w:t>
      </w:r>
      <w:r w:rsidR="2E88CFC0" w:rsidRPr="2D2E91FD">
        <w:rPr>
          <w:rFonts w:ascii="Tahoma" w:eastAsia="Tahoma" w:hAnsi="Tahoma" w:cs="Tahoma"/>
          <w:sz w:val="24"/>
          <w:szCs w:val="24"/>
        </w:rPr>
        <w:t xml:space="preserve"> the abovementioned requirements and those provided under th</w:t>
      </w:r>
      <w:r w:rsidR="00A80572">
        <w:rPr>
          <w:rFonts w:ascii="Tahoma" w:eastAsia="Tahoma" w:hAnsi="Tahoma" w:cs="Tahoma"/>
          <w:sz w:val="24"/>
          <w:szCs w:val="24"/>
        </w:rPr>
        <w:t>is</w:t>
      </w:r>
      <w:r w:rsidR="2E88CFC0" w:rsidRPr="2D2E91FD">
        <w:rPr>
          <w:rFonts w:ascii="Tahoma" w:eastAsia="Tahoma" w:hAnsi="Tahoma" w:cs="Tahoma"/>
          <w:sz w:val="24"/>
          <w:szCs w:val="24"/>
        </w:rPr>
        <w:t xml:space="preserve"> </w:t>
      </w:r>
      <w:r w:rsidR="326B105B" w:rsidRPr="2D2E91FD">
        <w:rPr>
          <w:rFonts w:ascii="Tahoma" w:eastAsia="Tahoma" w:hAnsi="Tahoma" w:cs="Tahoma"/>
          <w:sz w:val="24"/>
          <w:szCs w:val="24"/>
        </w:rPr>
        <w:t xml:space="preserve">GFO </w:t>
      </w:r>
      <w:r w:rsidR="2E88CFC0" w:rsidRPr="2D2E91FD">
        <w:rPr>
          <w:rFonts w:ascii="Tahoma" w:eastAsia="Tahoma" w:hAnsi="Tahoma" w:cs="Tahoma"/>
          <w:sz w:val="24"/>
          <w:szCs w:val="24"/>
        </w:rPr>
        <w:t>are complied with, people outside of the three main IOUs can apply for funding under th</w:t>
      </w:r>
      <w:r w:rsidR="00A80572">
        <w:rPr>
          <w:rFonts w:ascii="Tahoma" w:eastAsia="Tahoma" w:hAnsi="Tahoma" w:cs="Tahoma"/>
          <w:sz w:val="24"/>
          <w:szCs w:val="24"/>
        </w:rPr>
        <w:t>is</w:t>
      </w:r>
      <w:r w:rsidR="2E88CFC0" w:rsidRPr="2D2E91FD">
        <w:rPr>
          <w:rFonts w:ascii="Tahoma" w:eastAsia="Tahoma" w:hAnsi="Tahoma" w:cs="Tahoma"/>
          <w:sz w:val="24"/>
          <w:szCs w:val="24"/>
        </w:rPr>
        <w:t xml:space="preserve"> </w:t>
      </w:r>
      <w:r w:rsidR="3FD54DF4" w:rsidRPr="2D2E91FD">
        <w:rPr>
          <w:rFonts w:ascii="Tahoma" w:eastAsia="Tahoma" w:hAnsi="Tahoma" w:cs="Tahoma"/>
          <w:sz w:val="24"/>
          <w:szCs w:val="24"/>
        </w:rPr>
        <w:t>GFO</w:t>
      </w:r>
      <w:r w:rsidR="2E88CFC0" w:rsidRPr="2D2E91FD">
        <w:rPr>
          <w:rFonts w:ascii="Tahoma" w:eastAsia="Tahoma" w:hAnsi="Tahoma" w:cs="Tahoma"/>
          <w:sz w:val="24"/>
          <w:szCs w:val="24"/>
        </w:rPr>
        <w:t xml:space="preserve">. Note that per Decision 12-05-037 at p. 96, “Eligibility to receive EPIC funding should not exclude entities </w:t>
      </w:r>
      <w:r w:rsidR="2E88CFC0" w:rsidRPr="4CACCB5C">
        <w:rPr>
          <w:rFonts w:ascii="Tahoma" w:eastAsia="Tahoma" w:hAnsi="Tahoma" w:cs="Tahoma"/>
          <w:i/>
          <w:sz w:val="24"/>
          <w:szCs w:val="24"/>
        </w:rPr>
        <w:t>located</w:t>
      </w:r>
      <w:r w:rsidR="2E88CFC0" w:rsidRPr="2D2E91FD">
        <w:rPr>
          <w:rFonts w:ascii="Tahoma" w:eastAsia="Tahoma" w:hAnsi="Tahoma" w:cs="Tahoma"/>
          <w:sz w:val="24"/>
          <w:szCs w:val="24"/>
        </w:rPr>
        <w:t xml:space="preserve"> in POU [publicly owned utility] service territories, so long as their activity can be demonstrated to provide the potential for IOU electricity ratepayer benefits.”</w:t>
      </w:r>
      <w:r w:rsidR="10E7F3E0" w:rsidRPr="4CACCB5C">
        <w:rPr>
          <w:rFonts w:ascii="Tahoma" w:eastAsia="Tahoma" w:hAnsi="Tahoma" w:cs="Tahoma"/>
          <w:sz w:val="24"/>
          <w:szCs w:val="24"/>
        </w:rPr>
        <w:t xml:space="preserve"> Note, however, that </w:t>
      </w:r>
      <w:r w:rsidR="41155F4E" w:rsidRPr="4CACCB5C">
        <w:rPr>
          <w:rFonts w:ascii="Tahoma" w:eastAsia="Tahoma" w:hAnsi="Tahoma" w:cs="Tahoma"/>
          <w:sz w:val="24"/>
          <w:szCs w:val="24"/>
        </w:rPr>
        <w:t>“[a]</w:t>
      </w:r>
      <w:proofErr w:type="spellStart"/>
      <w:r w:rsidR="41155F4E" w:rsidRPr="4CACCB5C">
        <w:rPr>
          <w:rFonts w:ascii="Tahoma" w:eastAsia="Tahoma" w:hAnsi="Tahoma" w:cs="Tahoma"/>
          <w:sz w:val="24"/>
          <w:szCs w:val="24"/>
        </w:rPr>
        <w:t>ll</w:t>
      </w:r>
      <w:proofErr w:type="spellEnd"/>
      <w:r w:rsidR="41155F4E" w:rsidRPr="4CACCB5C">
        <w:rPr>
          <w:rFonts w:ascii="Tahoma" w:eastAsia="Tahoma" w:hAnsi="Tahoma" w:cs="Tahoma"/>
          <w:sz w:val="24"/>
          <w:szCs w:val="24"/>
        </w:rPr>
        <w:t xml:space="preserve"> demonstration/ deployment sites” must be “located in a California electric IOU service territory (PG&amp;E, SDG&amp;E, or SCE)” under the Screening Criteria on page 37 of the Solicitation Manual.</w:t>
      </w:r>
    </w:p>
    <w:p w14:paraId="3631CDF0" w14:textId="5DCF4306" w:rsidR="00177A40" w:rsidRDefault="00177A40" w:rsidP="00304287">
      <w:pPr>
        <w:spacing w:line="257" w:lineRule="auto"/>
        <w:ind w:left="720"/>
        <w:rPr>
          <w:rFonts w:ascii="Tahoma" w:eastAsia="Tahoma" w:hAnsi="Tahoma" w:cs="Tahoma"/>
          <w:sz w:val="24"/>
          <w:szCs w:val="24"/>
        </w:rPr>
      </w:pPr>
    </w:p>
    <w:p w14:paraId="2655CABA" w14:textId="497BA09B" w:rsidR="00463EF2" w:rsidRDefault="00463EF2" w:rsidP="00304287">
      <w:pPr>
        <w:spacing w:line="257" w:lineRule="auto"/>
        <w:ind w:left="720"/>
        <w:rPr>
          <w:rFonts w:ascii="Tahoma" w:eastAsia="Tahoma" w:hAnsi="Tahoma" w:cs="Tahoma"/>
          <w:sz w:val="24"/>
          <w:szCs w:val="24"/>
        </w:rPr>
      </w:pPr>
    </w:p>
    <w:p w14:paraId="73C9EE1F" w14:textId="7EB6750C" w:rsidR="00463EF2" w:rsidRDefault="3859BB78"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 wanted to make sure that I heard the CEC correctly. The Los Angeles Department of Water and Power would not qualify for this funding? Is that correct?</w:t>
      </w:r>
    </w:p>
    <w:p w14:paraId="17896772" w14:textId="3B506033" w:rsidR="00463EF2" w:rsidRDefault="6CE9F448" w:rsidP="00304287">
      <w:pPr>
        <w:spacing w:line="257" w:lineRule="auto"/>
        <w:ind w:left="720"/>
        <w:rPr>
          <w:rFonts w:ascii="Tahoma" w:eastAsia="Tahoma" w:hAnsi="Tahoma" w:cs="Tahoma"/>
          <w:sz w:val="24"/>
          <w:szCs w:val="24"/>
        </w:rPr>
      </w:pPr>
      <w:r w:rsidRPr="31423267">
        <w:rPr>
          <w:rFonts w:ascii="Tahoma" w:eastAsia="Tahoma" w:hAnsi="Tahoma" w:cs="Tahoma"/>
          <w:b/>
          <w:bCs/>
          <w:sz w:val="24"/>
          <w:szCs w:val="24"/>
        </w:rPr>
        <w:t>A:</w:t>
      </w:r>
      <w:r w:rsidRPr="31423267">
        <w:rPr>
          <w:rFonts w:ascii="Tahoma" w:eastAsia="Tahoma" w:hAnsi="Tahoma" w:cs="Tahoma"/>
          <w:sz w:val="24"/>
          <w:szCs w:val="24"/>
        </w:rPr>
        <w:t xml:space="preserve"> </w:t>
      </w:r>
      <w:r w:rsidR="0408246C" w:rsidRPr="31423267">
        <w:rPr>
          <w:rFonts w:ascii="Tahoma" w:eastAsia="Tahoma" w:hAnsi="Tahoma" w:cs="Tahoma"/>
          <w:sz w:val="24"/>
          <w:szCs w:val="24"/>
        </w:rPr>
        <w:t>The Los Angeles Department of Water and Power would not qualify for this funding.</w:t>
      </w:r>
      <w:r w:rsidR="74663017" w:rsidRPr="31423267">
        <w:rPr>
          <w:rFonts w:ascii="Tahoma" w:eastAsia="Tahoma" w:hAnsi="Tahoma" w:cs="Tahoma"/>
          <w:sz w:val="24"/>
          <w:szCs w:val="24"/>
        </w:rPr>
        <w:t xml:space="preserve"> This GFO provides that, in accordance with CPUC Decision 12-05-037, </w:t>
      </w:r>
      <w:r w:rsidR="4BBA4CEA" w:rsidRPr="4CACCB5C">
        <w:rPr>
          <w:rFonts w:ascii="Tahoma" w:eastAsia="Tahoma" w:hAnsi="Tahoma" w:cs="Tahoma"/>
          <w:sz w:val="24"/>
          <w:szCs w:val="24"/>
        </w:rPr>
        <w:t>“</w:t>
      </w:r>
      <w:r w:rsidR="74663017" w:rsidRPr="31423267">
        <w:rPr>
          <w:rFonts w:ascii="Tahoma" w:eastAsia="Tahoma" w:hAnsi="Tahoma" w:cs="Tahoma"/>
          <w:sz w:val="24"/>
          <w:szCs w:val="24"/>
        </w:rPr>
        <w:t>funds administered by the CEC may not be used for any purposes associated with local publicly owned electric utility activities</w:t>
      </w:r>
      <w:r w:rsidR="6E2A929D" w:rsidRPr="4CACCB5C">
        <w:rPr>
          <w:rFonts w:ascii="Tahoma" w:eastAsia="Tahoma" w:hAnsi="Tahoma" w:cs="Tahoma"/>
          <w:sz w:val="24"/>
          <w:szCs w:val="24"/>
        </w:rPr>
        <w:t>”</w:t>
      </w:r>
      <w:r w:rsidR="74663017" w:rsidRPr="4CACCB5C">
        <w:rPr>
          <w:rFonts w:ascii="Tahoma" w:eastAsia="Tahoma" w:hAnsi="Tahoma" w:cs="Tahoma"/>
          <w:sz w:val="24"/>
          <w:szCs w:val="24"/>
        </w:rPr>
        <w:t>.</w:t>
      </w:r>
    </w:p>
    <w:p w14:paraId="0F76768F" w14:textId="79A0B862" w:rsidR="00463EF2" w:rsidRDefault="00463EF2" w:rsidP="00304287">
      <w:pPr>
        <w:spacing w:line="257" w:lineRule="auto"/>
        <w:ind w:left="720"/>
        <w:rPr>
          <w:rFonts w:ascii="Tahoma" w:eastAsia="Tahoma" w:hAnsi="Tahoma" w:cs="Tahoma"/>
          <w:sz w:val="24"/>
          <w:szCs w:val="24"/>
        </w:rPr>
      </w:pPr>
    </w:p>
    <w:p w14:paraId="1D6C02B0" w14:textId="202C9D7D" w:rsidR="00463EF2" w:rsidRDefault="3859BB78" w:rsidP="00DE7060">
      <w:pPr>
        <w:pStyle w:val="ListParagraph"/>
        <w:numPr>
          <w:ilvl w:val="0"/>
          <w:numId w:val="3"/>
        </w:numPr>
        <w:spacing w:line="257" w:lineRule="auto"/>
        <w:ind w:hanging="720"/>
        <w:rPr>
          <w:rFonts w:ascii="Tahoma" w:eastAsia="Tahoma" w:hAnsi="Tahoma" w:cs="Tahoma"/>
          <w:sz w:val="24"/>
          <w:szCs w:val="24"/>
        </w:rPr>
      </w:pPr>
      <w:r w:rsidRPr="4B7E8AE1">
        <w:rPr>
          <w:rFonts w:ascii="Tahoma" w:eastAsia="Tahoma" w:hAnsi="Tahoma" w:cs="Tahoma"/>
          <w:b/>
          <w:bCs/>
          <w:sz w:val="24"/>
          <w:szCs w:val="24"/>
        </w:rPr>
        <w:t>Q:</w:t>
      </w:r>
      <w:r w:rsidRPr="4B7E8AE1">
        <w:rPr>
          <w:rFonts w:ascii="Tahoma" w:eastAsia="Tahoma" w:hAnsi="Tahoma" w:cs="Tahoma"/>
          <w:sz w:val="24"/>
          <w:szCs w:val="24"/>
        </w:rPr>
        <w:t xml:space="preserve"> Is there a list of folks from any pre-award RFI or underrepresented community members who have expressed interest to the CEC to recipients of these kinds of technologies?</w:t>
      </w:r>
    </w:p>
    <w:p w14:paraId="2671C650" w14:textId="17C650B0" w:rsidR="00463EF2" w:rsidRDefault="3859BB78"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3D47563B" w:rsidRPr="2D2E91FD">
        <w:rPr>
          <w:rFonts w:ascii="Tahoma" w:eastAsia="Tahoma" w:hAnsi="Tahoma" w:cs="Tahoma"/>
          <w:sz w:val="24"/>
          <w:szCs w:val="24"/>
        </w:rPr>
        <w:t>T</w:t>
      </w:r>
      <w:r w:rsidR="00E10420">
        <w:rPr>
          <w:rFonts w:ascii="Tahoma" w:eastAsia="Tahoma" w:hAnsi="Tahoma" w:cs="Tahoma"/>
          <w:sz w:val="24"/>
          <w:szCs w:val="24"/>
        </w:rPr>
        <w:t>here was no pre-award RFI associated with t</w:t>
      </w:r>
      <w:r w:rsidR="3D47563B" w:rsidRPr="2D2E91FD">
        <w:rPr>
          <w:rFonts w:ascii="Tahoma" w:eastAsia="Tahoma" w:hAnsi="Tahoma" w:cs="Tahoma"/>
          <w:sz w:val="24"/>
          <w:szCs w:val="24"/>
        </w:rPr>
        <w:t>h</w:t>
      </w:r>
      <w:r w:rsidR="00B63417">
        <w:rPr>
          <w:rFonts w:ascii="Tahoma" w:eastAsia="Tahoma" w:hAnsi="Tahoma" w:cs="Tahoma"/>
          <w:sz w:val="24"/>
          <w:szCs w:val="24"/>
        </w:rPr>
        <w:t>is</w:t>
      </w:r>
      <w:r w:rsidR="3D47563B" w:rsidRPr="2D2E91FD">
        <w:rPr>
          <w:rFonts w:ascii="Tahoma" w:eastAsia="Tahoma" w:hAnsi="Tahoma" w:cs="Tahoma"/>
          <w:sz w:val="24"/>
          <w:szCs w:val="24"/>
        </w:rPr>
        <w:t xml:space="preserve"> GFO</w:t>
      </w:r>
      <w:r w:rsidR="0DC7A3AB" w:rsidRPr="5B7441B4">
        <w:rPr>
          <w:rFonts w:ascii="Tahoma" w:eastAsia="Tahoma" w:hAnsi="Tahoma" w:cs="Tahoma"/>
          <w:sz w:val="24"/>
          <w:szCs w:val="24"/>
        </w:rPr>
        <w:t>,</w:t>
      </w:r>
      <w:r w:rsidRPr="2D2E91FD">
        <w:rPr>
          <w:rFonts w:ascii="Tahoma" w:eastAsia="Tahoma" w:hAnsi="Tahoma" w:cs="Tahoma"/>
          <w:sz w:val="24"/>
          <w:szCs w:val="24"/>
        </w:rPr>
        <w:t xml:space="preserve"> </w:t>
      </w:r>
      <w:r w:rsidR="00054F4D">
        <w:rPr>
          <w:rFonts w:ascii="Tahoma" w:eastAsia="Tahoma" w:hAnsi="Tahoma" w:cs="Tahoma"/>
          <w:sz w:val="24"/>
          <w:szCs w:val="24"/>
        </w:rPr>
        <w:t xml:space="preserve">and </w:t>
      </w:r>
      <w:r w:rsidR="00B16BC0">
        <w:rPr>
          <w:rFonts w:ascii="Tahoma" w:eastAsia="Tahoma" w:hAnsi="Tahoma" w:cs="Tahoma"/>
          <w:sz w:val="24"/>
          <w:szCs w:val="24"/>
        </w:rPr>
        <w:t xml:space="preserve">the CEC does not have a list of </w:t>
      </w:r>
      <w:r w:rsidR="00E204B1">
        <w:rPr>
          <w:rFonts w:ascii="Tahoma" w:eastAsia="Tahoma" w:hAnsi="Tahoma" w:cs="Tahoma"/>
          <w:sz w:val="24"/>
          <w:szCs w:val="24"/>
        </w:rPr>
        <w:t xml:space="preserve">underrepresented community members </w:t>
      </w:r>
      <w:r w:rsidR="009A3F42">
        <w:rPr>
          <w:rFonts w:ascii="Tahoma" w:eastAsia="Tahoma" w:hAnsi="Tahoma" w:cs="Tahoma"/>
          <w:sz w:val="24"/>
          <w:szCs w:val="24"/>
        </w:rPr>
        <w:t xml:space="preserve">who have expressed </w:t>
      </w:r>
      <w:r w:rsidR="006539F8">
        <w:rPr>
          <w:rFonts w:ascii="Tahoma" w:eastAsia="Tahoma" w:hAnsi="Tahoma" w:cs="Tahoma"/>
          <w:sz w:val="24"/>
          <w:szCs w:val="24"/>
        </w:rPr>
        <w:t>interest</w:t>
      </w:r>
      <w:r w:rsidR="0087779C">
        <w:rPr>
          <w:rFonts w:ascii="Tahoma" w:eastAsia="Tahoma" w:hAnsi="Tahoma" w:cs="Tahoma"/>
          <w:sz w:val="24"/>
          <w:szCs w:val="24"/>
        </w:rPr>
        <w:t xml:space="preserve"> </w:t>
      </w:r>
      <w:r w:rsidR="006539F8">
        <w:rPr>
          <w:rFonts w:ascii="Tahoma" w:eastAsia="Tahoma" w:hAnsi="Tahoma" w:cs="Tahoma"/>
          <w:sz w:val="24"/>
          <w:szCs w:val="24"/>
        </w:rPr>
        <w:t xml:space="preserve">in LDES technologies. </w:t>
      </w:r>
    </w:p>
    <w:p w14:paraId="14745FC8" w14:textId="393CFEC7" w:rsidR="00463EF2" w:rsidRDefault="00463EF2" w:rsidP="00304287">
      <w:pPr>
        <w:spacing w:line="257" w:lineRule="auto"/>
        <w:rPr>
          <w:rFonts w:ascii="Tahoma" w:eastAsia="Tahoma" w:hAnsi="Tahoma" w:cs="Tahoma"/>
          <w:sz w:val="24"/>
          <w:szCs w:val="24"/>
        </w:rPr>
      </w:pPr>
    </w:p>
    <w:p w14:paraId="2096314E" w14:textId="482E6D22" w:rsidR="00250CAE" w:rsidRDefault="00250CAE"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463EF2" w:rsidRPr="34341375">
        <w:rPr>
          <w:rFonts w:ascii="Tahoma" w:eastAsia="Tahoma" w:hAnsi="Tahoma" w:cs="Tahoma"/>
          <w:sz w:val="24"/>
          <w:szCs w:val="24"/>
        </w:rPr>
        <w:t xml:space="preserve">Community Choice Aggregators, CCAs, are within the service territory of an IOU. What is determined publicly owned utility? Are CCAs included in that designation? </w:t>
      </w:r>
    </w:p>
    <w:p w14:paraId="62F8DC4A" w14:textId="53EABAAC" w:rsidR="00250CAE" w:rsidRDefault="0E998D39" w:rsidP="00304287">
      <w:pPr>
        <w:spacing w:line="257" w:lineRule="auto"/>
        <w:ind w:left="720"/>
        <w:rPr>
          <w:rFonts w:ascii="Tahoma" w:eastAsia="Tahoma" w:hAnsi="Tahoma" w:cs="Tahoma"/>
          <w:sz w:val="24"/>
          <w:szCs w:val="24"/>
        </w:rPr>
      </w:pPr>
      <w:r w:rsidRPr="4CACCB5C">
        <w:rPr>
          <w:rFonts w:ascii="Tahoma" w:eastAsia="Tahoma" w:hAnsi="Tahoma" w:cs="Tahoma"/>
          <w:b/>
          <w:bCs/>
          <w:sz w:val="24"/>
          <w:szCs w:val="24"/>
        </w:rPr>
        <w:t xml:space="preserve">A: </w:t>
      </w:r>
      <w:r w:rsidR="7B6235A9" w:rsidRPr="4CACCB5C">
        <w:rPr>
          <w:rFonts w:ascii="Tahoma" w:eastAsia="Tahoma" w:hAnsi="Tahoma" w:cs="Tahoma"/>
          <w:sz w:val="24"/>
          <w:szCs w:val="24"/>
        </w:rPr>
        <w:t>A local publicly owned electric utility is an entity as defined in California Public Utilities Code section 224.3.</w:t>
      </w:r>
      <w:r w:rsidRPr="4CACCB5C">
        <w:rPr>
          <w:rFonts w:ascii="Tahoma" w:eastAsia="Tahoma" w:hAnsi="Tahoma" w:cs="Tahoma"/>
          <w:sz w:val="24"/>
          <w:szCs w:val="24"/>
        </w:rPr>
        <w:t xml:space="preserve"> </w:t>
      </w:r>
      <w:r w:rsidR="16914EE3" w:rsidRPr="31423267">
        <w:rPr>
          <w:rFonts w:ascii="Tahoma" w:eastAsia="Tahoma" w:hAnsi="Tahoma" w:cs="Tahoma"/>
          <w:sz w:val="24"/>
          <w:szCs w:val="24"/>
        </w:rPr>
        <w:t xml:space="preserve">A community choice aggregator is defined by California Public Utilities Code section 331.1. </w:t>
      </w:r>
      <w:r w:rsidR="0395CAAA" w:rsidRPr="4CACCB5C">
        <w:rPr>
          <w:rFonts w:ascii="Tahoma" w:eastAsia="Tahoma" w:hAnsi="Tahoma" w:cs="Tahoma"/>
          <w:sz w:val="24"/>
          <w:szCs w:val="24"/>
        </w:rPr>
        <w:t>Any entity that meets the definition of California Public Utilities Code section 224.3 will not be eligible, and the key is whether a CCA can provide the potential for IOU electricity ratepayer benefits.</w:t>
      </w:r>
      <w:r w:rsidR="16914EE3" w:rsidRPr="31423267">
        <w:rPr>
          <w:rFonts w:ascii="Tahoma" w:eastAsia="Tahoma" w:hAnsi="Tahoma" w:cs="Tahoma"/>
          <w:sz w:val="24"/>
          <w:szCs w:val="24"/>
        </w:rPr>
        <w:t xml:space="preserve"> </w:t>
      </w:r>
      <w:r w:rsidR="6ADF1AA6" w:rsidRPr="31423267">
        <w:rPr>
          <w:rFonts w:ascii="Tahoma" w:eastAsia="Tahoma" w:hAnsi="Tahoma" w:cs="Tahoma"/>
          <w:sz w:val="24"/>
          <w:szCs w:val="24"/>
        </w:rPr>
        <w:t>I</w:t>
      </w:r>
      <w:r w:rsidR="049219DA" w:rsidRPr="31423267">
        <w:rPr>
          <w:rFonts w:ascii="Tahoma" w:eastAsia="Tahoma" w:hAnsi="Tahoma" w:cs="Tahoma"/>
          <w:sz w:val="24"/>
          <w:szCs w:val="24"/>
        </w:rPr>
        <w:t>f</w:t>
      </w:r>
      <w:r w:rsidR="16914EE3" w:rsidRPr="31423267">
        <w:rPr>
          <w:rFonts w:ascii="Tahoma" w:eastAsia="Tahoma" w:hAnsi="Tahoma" w:cs="Tahoma"/>
          <w:sz w:val="24"/>
          <w:szCs w:val="24"/>
        </w:rPr>
        <w:t xml:space="preserve"> a CCA </w:t>
      </w:r>
      <w:r w:rsidR="498668AA" w:rsidRPr="31423267">
        <w:rPr>
          <w:rFonts w:ascii="Tahoma" w:eastAsia="Tahoma" w:hAnsi="Tahoma" w:cs="Tahoma"/>
          <w:sz w:val="24"/>
          <w:szCs w:val="24"/>
        </w:rPr>
        <w:t>is located within IOU service territory and</w:t>
      </w:r>
      <w:r w:rsidR="16914EE3" w:rsidRPr="31423267">
        <w:rPr>
          <w:rFonts w:ascii="Tahoma" w:eastAsia="Tahoma" w:hAnsi="Tahoma" w:cs="Tahoma"/>
          <w:sz w:val="24"/>
          <w:szCs w:val="24"/>
        </w:rPr>
        <w:t xml:space="preserve"> can provide IOU electricity ratepayer benefits</w:t>
      </w:r>
      <w:r w:rsidR="549BD305" w:rsidRPr="31423267">
        <w:rPr>
          <w:rFonts w:ascii="Tahoma" w:eastAsia="Tahoma" w:hAnsi="Tahoma" w:cs="Tahoma"/>
          <w:sz w:val="24"/>
          <w:szCs w:val="24"/>
        </w:rPr>
        <w:t>, they can be eligible</w:t>
      </w:r>
      <w:r w:rsidR="5DEB2A67" w:rsidRPr="31423267">
        <w:rPr>
          <w:rFonts w:ascii="Tahoma" w:eastAsia="Tahoma" w:hAnsi="Tahoma" w:cs="Tahoma"/>
          <w:sz w:val="24"/>
          <w:szCs w:val="24"/>
        </w:rPr>
        <w:t xml:space="preserve"> for this GFO</w:t>
      </w:r>
      <w:r w:rsidR="16914EE3" w:rsidRPr="31423267">
        <w:rPr>
          <w:rFonts w:ascii="Tahoma" w:eastAsia="Tahoma" w:hAnsi="Tahoma" w:cs="Tahoma"/>
          <w:sz w:val="24"/>
          <w:szCs w:val="24"/>
        </w:rPr>
        <w:t>.</w:t>
      </w:r>
    </w:p>
    <w:p w14:paraId="32EA03BD" w14:textId="77777777" w:rsidR="00463EF2" w:rsidRDefault="00463EF2" w:rsidP="00304287">
      <w:pPr>
        <w:spacing w:line="257" w:lineRule="auto"/>
        <w:rPr>
          <w:rFonts w:ascii="Tahoma" w:eastAsia="Tahoma" w:hAnsi="Tahoma" w:cs="Tahoma"/>
          <w:sz w:val="24"/>
          <w:szCs w:val="24"/>
        </w:rPr>
      </w:pPr>
    </w:p>
    <w:p w14:paraId="5B0B23D9" w14:textId="392388EB" w:rsidR="00463EF2" w:rsidRDefault="00463EF2"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EB115C" w:rsidRPr="34341375">
        <w:rPr>
          <w:rFonts w:ascii="Tahoma" w:eastAsia="Tahoma" w:hAnsi="Tahoma" w:cs="Tahoma"/>
          <w:sz w:val="24"/>
          <w:szCs w:val="24"/>
        </w:rPr>
        <w:t>EPIC (in the past) has only funded projects at sites served by IOU.  This used to include Southern California Gas, but this appears to have gone away more recently.  Is this still the case?</w:t>
      </w:r>
    </w:p>
    <w:p w14:paraId="3E4F2297" w14:textId="1DB95B57" w:rsidR="00463EF2" w:rsidRDefault="142703F5" w:rsidP="00304287">
      <w:pPr>
        <w:spacing w:line="257" w:lineRule="auto"/>
        <w:ind w:left="720"/>
        <w:rPr>
          <w:rFonts w:ascii="Tahoma" w:eastAsia="Tahoma" w:hAnsi="Tahoma" w:cs="Tahoma"/>
          <w:sz w:val="24"/>
          <w:szCs w:val="24"/>
        </w:rPr>
      </w:pPr>
      <w:r w:rsidRPr="31423267">
        <w:rPr>
          <w:rFonts w:ascii="Tahoma" w:eastAsia="Tahoma" w:hAnsi="Tahoma" w:cs="Tahoma"/>
          <w:b/>
          <w:bCs/>
          <w:sz w:val="24"/>
          <w:szCs w:val="24"/>
        </w:rPr>
        <w:t>A:</w:t>
      </w:r>
      <w:r w:rsidRPr="31423267">
        <w:rPr>
          <w:rFonts w:ascii="Tahoma" w:eastAsia="Tahoma" w:hAnsi="Tahoma" w:cs="Tahoma"/>
          <w:sz w:val="24"/>
          <w:szCs w:val="24"/>
        </w:rPr>
        <w:t xml:space="preserve"> </w:t>
      </w:r>
      <w:r w:rsidR="69B05427" w:rsidRPr="4CACCB5C">
        <w:rPr>
          <w:rFonts w:ascii="Tahoma" w:eastAsia="Tahoma" w:hAnsi="Tahoma" w:cs="Tahoma"/>
          <w:sz w:val="24"/>
          <w:szCs w:val="24"/>
        </w:rPr>
        <w:t>The California Public Utilities Commission (CPUC) established EPIC to provide funding for technology evaluation from 2012-2020. In August 2020, the CPUC approved the renewal of EPIC for 10 years through December 31, 2030. Southern California Edison (SCE), Pacific Gas and Electric (PG&amp;E), San Diego Gas &amp; Electric (SDG&amp;E) and the California Energy Commission (CEC) administer the EPIC Program.</w:t>
      </w:r>
      <w:r w:rsidR="586CAE12" w:rsidRPr="31423267">
        <w:rPr>
          <w:rFonts w:ascii="Tahoma" w:eastAsia="Tahoma" w:hAnsi="Tahoma" w:cs="Tahoma"/>
          <w:sz w:val="24"/>
          <w:szCs w:val="24"/>
        </w:rPr>
        <w:t xml:space="preserve"> </w:t>
      </w:r>
      <w:r w:rsidR="7250611D" w:rsidRPr="31423267">
        <w:rPr>
          <w:rFonts w:ascii="Tahoma" w:eastAsia="Tahoma" w:hAnsi="Tahoma" w:cs="Tahoma"/>
          <w:sz w:val="24"/>
          <w:szCs w:val="24"/>
        </w:rPr>
        <w:t>In this GFO</w:t>
      </w:r>
      <w:r w:rsidR="6C412E8A" w:rsidRPr="31423267">
        <w:rPr>
          <w:rFonts w:ascii="Tahoma" w:eastAsia="Tahoma" w:hAnsi="Tahoma" w:cs="Tahoma"/>
          <w:sz w:val="24"/>
          <w:szCs w:val="24"/>
        </w:rPr>
        <w:t xml:space="preserve">, “IOU” or investor-owned utility means an electrical corporation as defined in California Public Utilities Code section 218. For purposes of this EPIC </w:t>
      </w:r>
      <w:r w:rsidR="09C97A91" w:rsidRPr="31423267">
        <w:rPr>
          <w:rFonts w:ascii="Tahoma" w:eastAsia="Tahoma" w:hAnsi="Tahoma" w:cs="Tahoma"/>
          <w:sz w:val="24"/>
          <w:szCs w:val="24"/>
        </w:rPr>
        <w:t>GF</w:t>
      </w:r>
      <w:r w:rsidR="4EF01EFE" w:rsidRPr="31423267">
        <w:rPr>
          <w:rFonts w:ascii="Tahoma" w:eastAsia="Tahoma" w:hAnsi="Tahoma" w:cs="Tahoma"/>
          <w:sz w:val="24"/>
          <w:szCs w:val="24"/>
        </w:rPr>
        <w:t>O</w:t>
      </w:r>
      <w:r w:rsidR="6C412E8A" w:rsidRPr="31423267">
        <w:rPr>
          <w:rFonts w:ascii="Tahoma" w:eastAsia="Tahoma" w:hAnsi="Tahoma" w:cs="Tahoma"/>
          <w:sz w:val="24"/>
          <w:szCs w:val="24"/>
        </w:rPr>
        <w:t>, it includes Pacific Gas and Electric Co., San Diego Gas and Electric Co., and Southern California Edison Co. Additionally, th</w:t>
      </w:r>
      <w:r w:rsidR="16103FC5" w:rsidRPr="31423267">
        <w:rPr>
          <w:rFonts w:ascii="Tahoma" w:eastAsia="Tahoma" w:hAnsi="Tahoma" w:cs="Tahoma"/>
          <w:sz w:val="24"/>
          <w:szCs w:val="24"/>
        </w:rPr>
        <w:t>is</w:t>
      </w:r>
      <w:r w:rsidR="6C412E8A" w:rsidRPr="31423267">
        <w:rPr>
          <w:rFonts w:ascii="Tahoma" w:eastAsia="Tahoma" w:hAnsi="Tahoma" w:cs="Tahoma"/>
          <w:sz w:val="24"/>
          <w:szCs w:val="24"/>
        </w:rPr>
        <w:t xml:space="preserve"> </w:t>
      </w:r>
      <w:r w:rsidR="212715E7" w:rsidRPr="31423267">
        <w:rPr>
          <w:rFonts w:ascii="Tahoma" w:eastAsia="Tahoma" w:hAnsi="Tahoma" w:cs="Tahoma"/>
          <w:sz w:val="24"/>
          <w:szCs w:val="24"/>
        </w:rPr>
        <w:t>GFO</w:t>
      </w:r>
      <w:r w:rsidR="6C412E8A" w:rsidRPr="31423267">
        <w:rPr>
          <w:rFonts w:ascii="Tahoma" w:eastAsia="Tahoma" w:hAnsi="Tahoma" w:cs="Tahoma"/>
          <w:sz w:val="24"/>
          <w:szCs w:val="24"/>
        </w:rPr>
        <w:t xml:space="preserve"> provides that demonstration/deployment sites must </w:t>
      </w:r>
      <w:proofErr w:type="gramStart"/>
      <w:r w:rsidR="6C412E8A" w:rsidRPr="31423267">
        <w:rPr>
          <w:rFonts w:ascii="Tahoma" w:eastAsia="Tahoma" w:hAnsi="Tahoma" w:cs="Tahoma"/>
          <w:sz w:val="24"/>
          <w:szCs w:val="24"/>
        </w:rPr>
        <w:t>be located in</w:t>
      </w:r>
      <w:proofErr w:type="gramEnd"/>
      <w:r w:rsidR="6C412E8A" w:rsidRPr="31423267">
        <w:rPr>
          <w:rFonts w:ascii="Tahoma" w:eastAsia="Tahoma" w:hAnsi="Tahoma" w:cs="Tahoma"/>
          <w:sz w:val="24"/>
          <w:szCs w:val="24"/>
        </w:rPr>
        <w:t xml:space="preserve"> a California electric IOU service territory (i.e., PG&amp;E, SDG&amp;E, or SCE). </w:t>
      </w:r>
      <w:r w:rsidR="497C4426" w:rsidRPr="4CACCB5C">
        <w:rPr>
          <w:rFonts w:ascii="Tahoma" w:eastAsia="Tahoma" w:hAnsi="Tahoma" w:cs="Tahoma"/>
          <w:sz w:val="24"/>
          <w:szCs w:val="24"/>
        </w:rPr>
        <w:t>Consequently, EPIC still funds projects at sites served by SCE.</w:t>
      </w:r>
    </w:p>
    <w:p w14:paraId="162CFC26" w14:textId="14691B83" w:rsidR="00463EF2" w:rsidRDefault="00463EF2" w:rsidP="00304287">
      <w:pPr>
        <w:spacing w:line="257" w:lineRule="auto"/>
        <w:rPr>
          <w:rFonts w:ascii="Tahoma" w:eastAsia="Tahoma" w:hAnsi="Tahoma" w:cs="Tahoma"/>
          <w:sz w:val="24"/>
          <w:szCs w:val="24"/>
        </w:rPr>
      </w:pPr>
    </w:p>
    <w:p w14:paraId="1112D9C1" w14:textId="00955535" w:rsidR="00463EF2" w:rsidRDefault="207C9694" w:rsidP="00DE7060">
      <w:pPr>
        <w:pStyle w:val="ListParagraph"/>
        <w:numPr>
          <w:ilvl w:val="0"/>
          <w:numId w:val="3"/>
        </w:numPr>
        <w:spacing w:line="257" w:lineRule="auto"/>
        <w:ind w:hanging="720"/>
        <w:rPr>
          <w:rFonts w:ascii="Tahoma" w:eastAsia="Tahoma" w:hAnsi="Tahoma" w:cs="Tahoma"/>
          <w:sz w:val="24"/>
          <w:szCs w:val="24"/>
        </w:rPr>
      </w:pPr>
      <w:r w:rsidRPr="31423267">
        <w:rPr>
          <w:rFonts w:ascii="Tahoma" w:eastAsia="Tahoma" w:hAnsi="Tahoma" w:cs="Tahoma"/>
          <w:b/>
          <w:bCs/>
          <w:sz w:val="24"/>
          <w:szCs w:val="24"/>
        </w:rPr>
        <w:t xml:space="preserve">Q: </w:t>
      </w:r>
      <w:r w:rsidR="586CAE12" w:rsidRPr="31423267">
        <w:rPr>
          <w:rFonts w:ascii="Tahoma" w:eastAsia="Tahoma" w:hAnsi="Tahoma" w:cs="Tahoma"/>
          <w:sz w:val="24"/>
          <w:szCs w:val="24"/>
        </w:rPr>
        <w:t xml:space="preserve">If a non-IOU served site pays “State Energy Surcharge” fees, are they eligible to apply under this GFO? </w:t>
      </w:r>
    </w:p>
    <w:p w14:paraId="06CD1555" w14:textId="65206C5D" w:rsidR="00463EF2" w:rsidRDefault="6A54C7AD" w:rsidP="00304287">
      <w:pPr>
        <w:spacing w:line="257" w:lineRule="auto"/>
        <w:ind w:left="720"/>
        <w:rPr>
          <w:rFonts w:ascii="Tahoma" w:eastAsia="Tahoma" w:hAnsi="Tahoma" w:cs="Tahoma"/>
          <w:sz w:val="24"/>
          <w:szCs w:val="24"/>
        </w:rPr>
      </w:pPr>
      <w:r w:rsidRPr="31423267">
        <w:rPr>
          <w:rFonts w:ascii="Tahoma" w:eastAsia="Tahoma" w:hAnsi="Tahoma" w:cs="Tahoma"/>
          <w:b/>
          <w:bCs/>
          <w:sz w:val="24"/>
          <w:szCs w:val="24"/>
        </w:rPr>
        <w:t>A</w:t>
      </w:r>
      <w:r w:rsidR="5E26FBA0" w:rsidRPr="31423267">
        <w:rPr>
          <w:rFonts w:ascii="Tahoma" w:eastAsia="Tahoma" w:hAnsi="Tahoma" w:cs="Tahoma"/>
          <w:b/>
          <w:bCs/>
          <w:sz w:val="24"/>
          <w:szCs w:val="24"/>
        </w:rPr>
        <w:t>:</w:t>
      </w:r>
      <w:r w:rsidRPr="31423267">
        <w:rPr>
          <w:rFonts w:ascii="Tahoma" w:eastAsia="Tahoma" w:hAnsi="Tahoma" w:cs="Tahoma"/>
          <w:b/>
          <w:bCs/>
          <w:sz w:val="24"/>
          <w:szCs w:val="24"/>
        </w:rPr>
        <w:t xml:space="preserve"> </w:t>
      </w:r>
      <w:r w:rsidR="75822F47" w:rsidRPr="31423267">
        <w:rPr>
          <w:rFonts w:ascii="Tahoma" w:eastAsia="Tahoma" w:hAnsi="Tahoma" w:cs="Tahoma"/>
          <w:sz w:val="24"/>
          <w:szCs w:val="24"/>
        </w:rPr>
        <w:t xml:space="preserve">Sites that </w:t>
      </w:r>
      <w:proofErr w:type="gramStart"/>
      <w:r w:rsidR="75822F47" w:rsidRPr="31423267">
        <w:rPr>
          <w:rFonts w:ascii="Tahoma" w:eastAsia="Tahoma" w:hAnsi="Tahoma" w:cs="Tahoma"/>
          <w:sz w:val="24"/>
          <w:szCs w:val="24"/>
        </w:rPr>
        <w:t>are located in</w:t>
      </w:r>
      <w:proofErr w:type="gramEnd"/>
      <w:r w:rsidR="75822F47" w:rsidRPr="31423267">
        <w:rPr>
          <w:rFonts w:ascii="Tahoma" w:eastAsia="Tahoma" w:hAnsi="Tahoma" w:cs="Tahoma"/>
          <w:sz w:val="24"/>
          <w:szCs w:val="24"/>
        </w:rPr>
        <w:t xml:space="preserve"> PG&amp;E, SCE or SDG&amp;E service territory are eligible to apply if they meet the additional </w:t>
      </w:r>
      <w:r w:rsidR="3919AD67" w:rsidRPr="31423267">
        <w:rPr>
          <w:rFonts w:ascii="Tahoma" w:eastAsia="Tahoma" w:hAnsi="Tahoma" w:cs="Tahoma"/>
          <w:sz w:val="24"/>
          <w:szCs w:val="24"/>
        </w:rPr>
        <w:t>a</w:t>
      </w:r>
      <w:r w:rsidR="32CF6424" w:rsidRPr="31423267">
        <w:rPr>
          <w:rFonts w:ascii="Tahoma" w:eastAsia="Tahoma" w:hAnsi="Tahoma" w:cs="Tahoma"/>
          <w:sz w:val="24"/>
          <w:szCs w:val="24"/>
        </w:rPr>
        <w:t xml:space="preserve">pplicant eligibility </w:t>
      </w:r>
      <w:r w:rsidR="25D9154E" w:rsidRPr="31423267">
        <w:rPr>
          <w:rFonts w:ascii="Tahoma" w:eastAsia="Tahoma" w:hAnsi="Tahoma" w:cs="Tahoma"/>
          <w:sz w:val="24"/>
          <w:szCs w:val="24"/>
        </w:rPr>
        <w:t>requirements laid</w:t>
      </w:r>
      <w:r w:rsidR="32CF6424" w:rsidRPr="31423267">
        <w:rPr>
          <w:rFonts w:ascii="Tahoma" w:eastAsia="Tahoma" w:hAnsi="Tahoma" w:cs="Tahoma"/>
          <w:sz w:val="24"/>
          <w:szCs w:val="24"/>
        </w:rPr>
        <w:t xml:space="preserve"> out in Section II (A)(1) of the solicitation</w:t>
      </w:r>
      <w:r w:rsidR="24DDD438" w:rsidRPr="31423267">
        <w:rPr>
          <w:rFonts w:ascii="Tahoma" w:eastAsia="Tahoma" w:hAnsi="Tahoma" w:cs="Tahoma"/>
          <w:sz w:val="24"/>
          <w:szCs w:val="24"/>
        </w:rPr>
        <w:t xml:space="preserve"> manual</w:t>
      </w:r>
      <w:r w:rsidR="32CF6424" w:rsidRPr="31423267">
        <w:rPr>
          <w:rFonts w:ascii="Tahoma" w:eastAsia="Tahoma" w:hAnsi="Tahoma" w:cs="Tahoma"/>
          <w:sz w:val="24"/>
          <w:szCs w:val="24"/>
        </w:rPr>
        <w:t>. The following entities can apply as prime applicants to th</w:t>
      </w:r>
      <w:r w:rsidR="16103FC5" w:rsidRPr="31423267">
        <w:rPr>
          <w:rFonts w:ascii="Tahoma" w:eastAsia="Tahoma" w:hAnsi="Tahoma" w:cs="Tahoma"/>
          <w:sz w:val="24"/>
          <w:szCs w:val="24"/>
        </w:rPr>
        <w:t>is</w:t>
      </w:r>
      <w:r w:rsidR="32CF6424" w:rsidRPr="31423267">
        <w:rPr>
          <w:rFonts w:ascii="Tahoma" w:eastAsia="Tahoma" w:hAnsi="Tahoma" w:cs="Tahoma"/>
          <w:sz w:val="24"/>
          <w:szCs w:val="24"/>
        </w:rPr>
        <w:t xml:space="preserve"> </w:t>
      </w:r>
      <w:r w:rsidR="7028133D" w:rsidRPr="31423267">
        <w:rPr>
          <w:rFonts w:ascii="Tahoma" w:eastAsia="Tahoma" w:hAnsi="Tahoma" w:cs="Tahoma"/>
          <w:sz w:val="24"/>
          <w:szCs w:val="24"/>
        </w:rPr>
        <w:t>GFO</w:t>
      </w:r>
      <w:r w:rsidR="32CF6424" w:rsidRPr="31423267">
        <w:rPr>
          <w:rFonts w:ascii="Tahoma" w:eastAsia="Tahoma" w:hAnsi="Tahoma" w:cs="Tahoma"/>
          <w:sz w:val="24"/>
          <w:szCs w:val="24"/>
        </w:rPr>
        <w:t>:</w:t>
      </w:r>
    </w:p>
    <w:p w14:paraId="1D99A5D4" w14:textId="0D3844E7" w:rsidR="00463EF2" w:rsidRDefault="5A8CC271" w:rsidP="00304287">
      <w:pPr>
        <w:pStyle w:val="ListParagraph"/>
        <w:numPr>
          <w:ilvl w:val="0"/>
          <w:numId w:val="5"/>
        </w:numPr>
        <w:spacing w:line="257" w:lineRule="auto"/>
        <w:rPr>
          <w:rFonts w:ascii="Tahoma" w:eastAsia="Tahoma" w:hAnsi="Tahoma" w:cs="Tahoma"/>
          <w:sz w:val="24"/>
          <w:szCs w:val="24"/>
        </w:rPr>
      </w:pPr>
      <w:r w:rsidRPr="34341375">
        <w:rPr>
          <w:rFonts w:ascii="Tahoma" w:eastAsia="Tahoma" w:hAnsi="Tahoma" w:cs="Tahoma"/>
          <w:sz w:val="24"/>
          <w:szCs w:val="24"/>
        </w:rPr>
        <w:t xml:space="preserve">Project Developer/System Integrator: An individual, corporation, or other legal entity responsible for the overall planning, installation, and commissioning of the LDES system.  </w:t>
      </w:r>
    </w:p>
    <w:p w14:paraId="60F4A424" w14:textId="1A1E800E" w:rsidR="00463EF2" w:rsidRDefault="5A8CC271" w:rsidP="00304287">
      <w:pPr>
        <w:pStyle w:val="ListParagraph"/>
        <w:numPr>
          <w:ilvl w:val="0"/>
          <w:numId w:val="5"/>
        </w:numPr>
        <w:spacing w:line="257" w:lineRule="auto"/>
        <w:rPr>
          <w:rFonts w:ascii="Tahoma" w:eastAsia="Tahoma" w:hAnsi="Tahoma" w:cs="Tahoma"/>
          <w:sz w:val="24"/>
          <w:szCs w:val="24"/>
        </w:rPr>
      </w:pPr>
      <w:r w:rsidRPr="34341375">
        <w:rPr>
          <w:rFonts w:ascii="Tahoma" w:eastAsia="Tahoma" w:hAnsi="Tahoma" w:cs="Tahoma"/>
          <w:sz w:val="24"/>
          <w:szCs w:val="24"/>
        </w:rPr>
        <w:t xml:space="preserve">Site Owner or Operator: The owner or operator of the site where the LDES system will be installed and operated. </w:t>
      </w:r>
    </w:p>
    <w:p w14:paraId="66ACB14B" w14:textId="29EB9532" w:rsidR="00463EF2" w:rsidRDefault="5A8CC271" w:rsidP="00304287">
      <w:pPr>
        <w:pStyle w:val="ListParagraph"/>
        <w:numPr>
          <w:ilvl w:val="0"/>
          <w:numId w:val="5"/>
        </w:numPr>
        <w:spacing w:line="257" w:lineRule="auto"/>
        <w:rPr>
          <w:rFonts w:ascii="Tahoma" w:eastAsia="Tahoma" w:hAnsi="Tahoma" w:cs="Tahoma"/>
          <w:sz w:val="24"/>
          <w:szCs w:val="24"/>
        </w:rPr>
      </w:pPr>
      <w:r w:rsidRPr="34341375">
        <w:rPr>
          <w:rFonts w:ascii="Tahoma" w:eastAsia="Tahoma" w:hAnsi="Tahoma" w:cs="Tahoma"/>
          <w:sz w:val="24"/>
          <w:szCs w:val="24"/>
        </w:rPr>
        <w:t xml:space="preserve">Technology Developer: A for-profit commercial entity or individual with the rights to commercialize the intellectual property being advanced under the proposed project.  </w:t>
      </w:r>
    </w:p>
    <w:p w14:paraId="387B19B3" w14:textId="1AC4D1E3" w:rsidR="00463EF2" w:rsidRDefault="5A8CC271"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However, note that the following entities are not eligible to be prime applicants for projects under this </w:t>
      </w:r>
      <w:r w:rsidR="7A719D06" w:rsidRPr="2D2E91FD">
        <w:rPr>
          <w:rFonts w:ascii="Tahoma" w:eastAsia="Tahoma" w:hAnsi="Tahoma" w:cs="Tahoma"/>
          <w:sz w:val="24"/>
          <w:szCs w:val="24"/>
        </w:rPr>
        <w:t>GFO</w:t>
      </w:r>
      <w:r w:rsidRPr="2D2E91FD">
        <w:rPr>
          <w:rFonts w:ascii="Tahoma" w:eastAsia="Tahoma" w:hAnsi="Tahoma" w:cs="Tahoma"/>
          <w:sz w:val="24"/>
          <w:szCs w:val="24"/>
        </w:rPr>
        <w:t xml:space="preserve">: </w:t>
      </w:r>
    </w:p>
    <w:p w14:paraId="0BFF4AE6" w14:textId="091135CB" w:rsidR="00463EF2" w:rsidRDefault="5A8CC271" w:rsidP="00304287">
      <w:pPr>
        <w:pStyle w:val="ListParagraph"/>
        <w:numPr>
          <w:ilvl w:val="0"/>
          <w:numId w:val="4"/>
        </w:numPr>
        <w:spacing w:line="257" w:lineRule="auto"/>
        <w:rPr>
          <w:rFonts w:ascii="Tahoma" w:eastAsia="Tahoma" w:hAnsi="Tahoma" w:cs="Tahoma"/>
          <w:sz w:val="24"/>
          <w:szCs w:val="24"/>
        </w:rPr>
      </w:pPr>
      <w:r w:rsidRPr="34341375">
        <w:rPr>
          <w:rFonts w:ascii="Tahoma" w:eastAsia="Tahoma" w:hAnsi="Tahoma" w:cs="Tahoma"/>
          <w:sz w:val="24"/>
          <w:szCs w:val="24"/>
        </w:rPr>
        <w:t xml:space="preserve">Public and private universities </w:t>
      </w:r>
    </w:p>
    <w:p w14:paraId="7AD7737A" w14:textId="34881FDF" w:rsidR="00463EF2" w:rsidRDefault="5A8CC271" w:rsidP="00304287">
      <w:pPr>
        <w:pStyle w:val="ListParagraph"/>
        <w:numPr>
          <w:ilvl w:val="0"/>
          <w:numId w:val="4"/>
        </w:numPr>
        <w:spacing w:line="257" w:lineRule="auto"/>
        <w:rPr>
          <w:rFonts w:ascii="Tahoma" w:eastAsia="Tahoma" w:hAnsi="Tahoma" w:cs="Tahoma"/>
          <w:sz w:val="24"/>
          <w:szCs w:val="24"/>
        </w:rPr>
      </w:pPr>
      <w:r w:rsidRPr="34341375">
        <w:rPr>
          <w:rFonts w:ascii="Tahoma" w:eastAsia="Tahoma" w:hAnsi="Tahoma" w:cs="Tahoma"/>
          <w:sz w:val="24"/>
          <w:szCs w:val="24"/>
        </w:rPr>
        <w:t xml:space="preserve">National Labs, and </w:t>
      </w:r>
    </w:p>
    <w:p w14:paraId="4C70AA71" w14:textId="4ABE231A" w:rsidR="00463EF2" w:rsidRDefault="5A8CC271" w:rsidP="00304287">
      <w:pPr>
        <w:pStyle w:val="ListParagraph"/>
        <w:numPr>
          <w:ilvl w:val="0"/>
          <w:numId w:val="4"/>
        </w:numPr>
        <w:spacing w:line="257" w:lineRule="auto"/>
        <w:rPr>
          <w:rFonts w:ascii="Tahoma" w:eastAsia="Tahoma" w:hAnsi="Tahoma" w:cs="Tahoma"/>
          <w:sz w:val="24"/>
          <w:szCs w:val="24"/>
        </w:rPr>
      </w:pPr>
      <w:r w:rsidRPr="34341375">
        <w:rPr>
          <w:rFonts w:ascii="Tahoma" w:eastAsia="Tahoma" w:hAnsi="Tahoma" w:cs="Tahoma"/>
          <w:sz w:val="24"/>
          <w:szCs w:val="24"/>
        </w:rPr>
        <w:t xml:space="preserve">Private non-profit research organizations. </w:t>
      </w:r>
    </w:p>
    <w:p w14:paraId="77D62EC6" w14:textId="1E8143F0" w:rsidR="00463EF2" w:rsidRDefault="5A8CC271"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Finally, all public and private entities, </w:t>
      </w:r>
      <w:proofErr w:type="gramStart"/>
      <w:r w:rsidRPr="2D2E91FD">
        <w:rPr>
          <w:rFonts w:ascii="Tahoma" w:eastAsia="Tahoma" w:hAnsi="Tahoma" w:cs="Tahoma"/>
          <w:sz w:val="24"/>
          <w:szCs w:val="24"/>
        </w:rPr>
        <w:t>with the exception of</w:t>
      </w:r>
      <w:proofErr w:type="gramEnd"/>
      <w:r w:rsidRPr="2D2E91FD">
        <w:rPr>
          <w:rFonts w:ascii="Tahoma" w:eastAsia="Tahoma" w:hAnsi="Tahoma" w:cs="Tahoma"/>
          <w:sz w:val="24"/>
          <w:szCs w:val="24"/>
        </w:rPr>
        <w:t xml:space="preserve"> local publicly owned electric utilities, may serve as subrecipients for this </w:t>
      </w:r>
      <w:r w:rsidR="0D993F96" w:rsidRPr="2D2E91FD">
        <w:rPr>
          <w:rFonts w:ascii="Tahoma" w:eastAsia="Tahoma" w:hAnsi="Tahoma" w:cs="Tahoma"/>
          <w:sz w:val="24"/>
          <w:szCs w:val="24"/>
        </w:rPr>
        <w:t>GFO</w:t>
      </w:r>
      <w:r w:rsidRPr="2D2E91FD">
        <w:rPr>
          <w:rFonts w:ascii="Tahoma" w:eastAsia="Tahoma" w:hAnsi="Tahoma" w:cs="Tahoma"/>
          <w:sz w:val="24"/>
          <w:szCs w:val="24"/>
        </w:rPr>
        <w:t>. In accordance with CPUC Decision 12-05-037, funds administered by the CEC may not be used for any purposes associated with local publicly owned electric utility activities.</w:t>
      </w:r>
    </w:p>
    <w:p w14:paraId="1BEFB497" w14:textId="318521D4" w:rsidR="00463EF2" w:rsidRDefault="57D68CD4" w:rsidP="00304287">
      <w:pPr>
        <w:spacing w:line="257" w:lineRule="auto"/>
        <w:ind w:left="720"/>
        <w:rPr>
          <w:rFonts w:ascii="Calibri" w:eastAsia="Calibri" w:hAnsi="Calibri" w:cs="Calibri"/>
          <w:color w:val="4472C4" w:themeColor="accent1"/>
        </w:rPr>
      </w:pPr>
      <w:r w:rsidRPr="2D2E91FD">
        <w:rPr>
          <w:rFonts w:ascii="Tahoma" w:eastAsia="Tahoma" w:hAnsi="Tahoma" w:cs="Tahoma"/>
          <w:sz w:val="24"/>
          <w:szCs w:val="24"/>
        </w:rPr>
        <w:t>Please note that per page 6 of the solicitation</w:t>
      </w:r>
      <w:r w:rsidR="12AC92B6" w:rsidRPr="2D2E91FD">
        <w:rPr>
          <w:rFonts w:ascii="Tahoma" w:eastAsia="Tahoma" w:hAnsi="Tahoma" w:cs="Tahoma"/>
          <w:sz w:val="24"/>
          <w:szCs w:val="24"/>
        </w:rPr>
        <w:t xml:space="preserve"> manual</w:t>
      </w:r>
      <w:r w:rsidRPr="2D2E91FD">
        <w:rPr>
          <w:rFonts w:ascii="Tahoma" w:eastAsia="Tahoma" w:hAnsi="Tahoma" w:cs="Tahoma"/>
          <w:sz w:val="24"/>
          <w:szCs w:val="24"/>
        </w:rPr>
        <w:t>, “Demonstration sites must be located in a California IOU service territory.”</w:t>
      </w:r>
    </w:p>
    <w:p w14:paraId="763AC5B6" w14:textId="3DCCD0D9" w:rsidR="0ACDD91B" w:rsidRDefault="0ACDD91B" w:rsidP="00304287">
      <w:pPr>
        <w:spacing w:line="257" w:lineRule="auto"/>
        <w:ind w:left="720"/>
        <w:rPr>
          <w:rFonts w:ascii="Tahoma" w:eastAsia="Tahoma" w:hAnsi="Tahoma" w:cs="Tahoma"/>
          <w:color w:val="4472C4" w:themeColor="accent1"/>
          <w:sz w:val="24"/>
          <w:szCs w:val="24"/>
        </w:rPr>
      </w:pPr>
      <w:proofErr w:type="gramStart"/>
      <w:r w:rsidRPr="4CACCB5C">
        <w:rPr>
          <w:rFonts w:ascii="Tahoma" w:eastAsia="Tahoma" w:hAnsi="Tahoma" w:cs="Tahoma"/>
          <w:sz w:val="24"/>
          <w:szCs w:val="24"/>
        </w:rPr>
        <w:t>As long as</w:t>
      </w:r>
      <w:proofErr w:type="gramEnd"/>
      <w:r w:rsidRPr="4CACCB5C">
        <w:rPr>
          <w:rFonts w:ascii="Tahoma" w:eastAsia="Tahoma" w:hAnsi="Tahoma" w:cs="Tahoma"/>
          <w:sz w:val="24"/>
          <w:szCs w:val="24"/>
        </w:rPr>
        <w:t xml:space="preserve"> the abovementioned requirements and those provided under th</w:t>
      </w:r>
      <w:r w:rsidR="4050C74C" w:rsidRPr="4CACCB5C">
        <w:rPr>
          <w:rFonts w:ascii="Tahoma" w:eastAsia="Tahoma" w:hAnsi="Tahoma" w:cs="Tahoma"/>
          <w:sz w:val="24"/>
          <w:szCs w:val="24"/>
        </w:rPr>
        <w:t xml:space="preserve">is GFO </w:t>
      </w:r>
      <w:r w:rsidRPr="4CACCB5C">
        <w:rPr>
          <w:rFonts w:ascii="Tahoma" w:eastAsia="Tahoma" w:hAnsi="Tahoma" w:cs="Tahoma"/>
          <w:sz w:val="24"/>
          <w:szCs w:val="24"/>
        </w:rPr>
        <w:t>are complied with, an entity can apply for funding under the solicitation.</w:t>
      </w:r>
    </w:p>
    <w:p w14:paraId="4174575E" w14:textId="449E3A47" w:rsidR="46370A8A" w:rsidRDefault="46370A8A" w:rsidP="00304287">
      <w:pPr>
        <w:spacing w:line="257" w:lineRule="auto"/>
        <w:ind w:left="720"/>
        <w:rPr>
          <w:rFonts w:ascii="Tahoma" w:eastAsia="Tahoma" w:hAnsi="Tahoma" w:cs="Tahoma"/>
          <w:sz w:val="24"/>
          <w:szCs w:val="24"/>
        </w:rPr>
      </w:pPr>
    </w:p>
    <w:p w14:paraId="500D245D" w14:textId="1CE333F2" w:rsidR="00463EF2" w:rsidRDefault="00463EF2" w:rsidP="00304287">
      <w:pPr>
        <w:spacing w:line="257" w:lineRule="auto"/>
        <w:rPr>
          <w:rFonts w:ascii="Tahoma" w:eastAsia="Tahoma" w:hAnsi="Tahoma" w:cs="Tahoma"/>
          <w:sz w:val="24"/>
          <w:szCs w:val="24"/>
        </w:rPr>
      </w:pPr>
    </w:p>
    <w:p w14:paraId="71994FDD" w14:textId="3B8B1324" w:rsidR="00463EF2" w:rsidRDefault="00463EF2"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A34B7C" w:rsidRPr="34341375">
        <w:rPr>
          <w:rFonts w:ascii="Tahoma" w:eastAsia="Tahoma" w:hAnsi="Tahoma" w:cs="Tahoma"/>
          <w:sz w:val="24"/>
          <w:szCs w:val="24"/>
        </w:rPr>
        <w:t>Can you please confirm which agencies are included in the designation of "local publicly owned electric utility" that are disqualified from being subrecipients? Is there any role that these entities can play in the grant - as a minor sub, a partner, or some other role?</w:t>
      </w:r>
    </w:p>
    <w:p w14:paraId="3EB23D80" w14:textId="5BADB86F" w:rsidR="00463EF2" w:rsidRDefault="00463EF2" w:rsidP="00304287">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1014DBA2" w:rsidRPr="34341375">
        <w:rPr>
          <w:rFonts w:ascii="Tahoma" w:eastAsia="Tahoma" w:hAnsi="Tahoma" w:cs="Tahoma"/>
          <w:sz w:val="24"/>
          <w:szCs w:val="24"/>
        </w:rPr>
        <w:t>A local publicly owned electric utility is an entity as defined in California Public Utilities Code section 224.3. Specific questions regarding which entities meet that definition should be directed to prospective applicants’ legal representatives.</w:t>
      </w:r>
    </w:p>
    <w:p w14:paraId="382D91DC" w14:textId="480FBF48" w:rsidR="00463EF2" w:rsidRDefault="1014DBA2" w:rsidP="00304287">
      <w:pPr>
        <w:spacing w:line="257" w:lineRule="auto"/>
        <w:ind w:left="720"/>
        <w:rPr>
          <w:rFonts w:ascii="Calibri" w:eastAsia="Calibri" w:hAnsi="Calibri" w:cs="Calibri"/>
          <w:color w:val="4472C4" w:themeColor="accent1"/>
        </w:rPr>
      </w:pPr>
      <w:r w:rsidRPr="2D2E91FD">
        <w:rPr>
          <w:rFonts w:ascii="Tahoma" w:eastAsia="Tahoma" w:hAnsi="Tahoma" w:cs="Tahoma"/>
          <w:sz w:val="24"/>
          <w:szCs w:val="24"/>
        </w:rPr>
        <w:t>Additionally, th</w:t>
      </w:r>
      <w:r w:rsidR="00620E2F">
        <w:rPr>
          <w:rFonts w:ascii="Tahoma" w:eastAsia="Tahoma" w:hAnsi="Tahoma" w:cs="Tahoma"/>
          <w:sz w:val="24"/>
          <w:szCs w:val="24"/>
        </w:rPr>
        <w:t>is</w:t>
      </w:r>
      <w:r w:rsidRPr="2D2E91FD">
        <w:rPr>
          <w:rFonts w:ascii="Tahoma" w:eastAsia="Tahoma" w:hAnsi="Tahoma" w:cs="Tahoma"/>
          <w:sz w:val="24"/>
          <w:szCs w:val="24"/>
        </w:rPr>
        <w:t xml:space="preserve"> </w:t>
      </w:r>
      <w:r w:rsidR="2546CC9E" w:rsidRPr="2D2E91FD">
        <w:rPr>
          <w:rFonts w:ascii="Tahoma" w:eastAsia="Tahoma" w:hAnsi="Tahoma" w:cs="Tahoma"/>
          <w:sz w:val="24"/>
          <w:szCs w:val="24"/>
        </w:rPr>
        <w:t>GFO</w:t>
      </w:r>
      <w:r w:rsidRPr="2D2E91FD">
        <w:rPr>
          <w:rFonts w:ascii="Tahoma" w:eastAsia="Tahoma" w:hAnsi="Tahoma" w:cs="Tahoma"/>
          <w:sz w:val="24"/>
          <w:szCs w:val="24"/>
        </w:rPr>
        <w:t xml:space="preserve"> provides that, in accordance with CPUC Decision 12-05-037, funds administered by the CEC may not be used for any purposes associated with local publicly owned electric utility activities. </w:t>
      </w:r>
    </w:p>
    <w:p w14:paraId="30C9DF1F" w14:textId="53C44806" w:rsidR="346364E2" w:rsidRDefault="346364E2" w:rsidP="00304287">
      <w:pPr>
        <w:spacing w:line="257" w:lineRule="auto"/>
        <w:ind w:left="720"/>
        <w:rPr>
          <w:rFonts w:ascii="Tahoma" w:eastAsia="Tahoma" w:hAnsi="Tahoma" w:cs="Tahoma"/>
          <w:color w:val="4472C4" w:themeColor="accent1"/>
          <w:sz w:val="24"/>
          <w:szCs w:val="24"/>
        </w:rPr>
      </w:pPr>
      <w:r w:rsidRPr="4CACCB5C">
        <w:rPr>
          <w:rFonts w:ascii="Tahoma" w:eastAsia="Tahoma" w:hAnsi="Tahoma" w:cs="Tahoma"/>
          <w:sz w:val="24"/>
          <w:szCs w:val="24"/>
        </w:rPr>
        <w:t>Considering the above, local publicly owned electric utilities cannot play a role in this grant.</w:t>
      </w:r>
    </w:p>
    <w:p w14:paraId="1068A893" w14:textId="0593E7BF" w:rsidR="46370A8A" w:rsidRDefault="46370A8A" w:rsidP="00304287">
      <w:pPr>
        <w:spacing w:line="257" w:lineRule="auto"/>
        <w:ind w:left="720"/>
        <w:rPr>
          <w:rFonts w:ascii="Tahoma" w:eastAsia="Tahoma" w:hAnsi="Tahoma" w:cs="Tahoma"/>
          <w:sz w:val="24"/>
          <w:szCs w:val="24"/>
        </w:rPr>
      </w:pPr>
    </w:p>
    <w:p w14:paraId="2207CAE0" w14:textId="0DC24076" w:rsidR="00463EF2" w:rsidRDefault="00463EF2" w:rsidP="00304287">
      <w:pPr>
        <w:spacing w:line="257" w:lineRule="auto"/>
        <w:rPr>
          <w:rFonts w:ascii="Tahoma" w:eastAsia="Tahoma" w:hAnsi="Tahoma" w:cs="Tahoma"/>
          <w:b/>
          <w:bCs/>
          <w:sz w:val="24"/>
          <w:szCs w:val="24"/>
        </w:rPr>
      </w:pPr>
    </w:p>
    <w:p w14:paraId="4EC62528" w14:textId="2A6A4636" w:rsidR="0011517D" w:rsidRDefault="00463EF2" w:rsidP="00DE7060">
      <w:pPr>
        <w:pStyle w:val="ListParagraph"/>
        <w:numPr>
          <w:ilvl w:val="0"/>
          <w:numId w:val="3"/>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3E202A" w:rsidRPr="34341375">
        <w:rPr>
          <w:rFonts w:ascii="Tahoma" w:eastAsia="Tahoma" w:hAnsi="Tahoma" w:cs="Tahoma"/>
          <w:sz w:val="24"/>
          <w:szCs w:val="24"/>
        </w:rPr>
        <w:t>Is there any value of the host site that can count toward the match?</w:t>
      </w:r>
    </w:p>
    <w:p w14:paraId="7ABA5304" w14:textId="52F5E82B" w:rsidR="0011517D" w:rsidRDefault="00463EF2"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018ED3AE" w:rsidRPr="2D2E91FD">
        <w:rPr>
          <w:rFonts w:ascii="Tahoma" w:eastAsia="Tahoma" w:hAnsi="Tahoma" w:cs="Tahoma"/>
          <w:sz w:val="24"/>
          <w:szCs w:val="24"/>
        </w:rPr>
        <w:t xml:space="preserve">The value of the project site cannot count toward the 20% matching requirement. </w:t>
      </w:r>
      <w:r w:rsidR="4265FBA8" w:rsidRPr="2D2E91FD">
        <w:rPr>
          <w:rFonts w:ascii="Tahoma" w:eastAsia="Tahoma" w:hAnsi="Tahoma" w:cs="Tahoma"/>
          <w:sz w:val="24"/>
          <w:szCs w:val="24"/>
        </w:rPr>
        <w:t>Pursuant to Section I (D)(2) of th</w:t>
      </w:r>
      <w:r w:rsidR="00620E2F">
        <w:rPr>
          <w:rFonts w:ascii="Tahoma" w:eastAsia="Tahoma" w:hAnsi="Tahoma" w:cs="Tahoma"/>
          <w:sz w:val="24"/>
          <w:szCs w:val="24"/>
        </w:rPr>
        <w:t>is</w:t>
      </w:r>
      <w:r w:rsidR="4265FBA8" w:rsidRPr="2D2E91FD">
        <w:rPr>
          <w:rFonts w:ascii="Tahoma" w:eastAsia="Tahoma" w:hAnsi="Tahoma" w:cs="Tahoma"/>
          <w:sz w:val="24"/>
          <w:szCs w:val="24"/>
        </w:rPr>
        <w:t xml:space="preserve"> </w:t>
      </w:r>
      <w:r w:rsidR="50B71C9D" w:rsidRPr="2D2E91FD">
        <w:rPr>
          <w:rFonts w:ascii="Tahoma" w:eastAsia="Tahoma" w:hAnsi="Tahoma" w:cs="Tahoma"/>
          <w:sz w:val="24"/>
          <w:szCs w:val="24"/>
        </w:rPr>
        <w:t>GFO</w:t>
      </w:r>
      <w:r w:rsidR="4265FBA8" w:rsidRPr="2D2E91FD">
        <w:rPr>
          <w:rFonts w:ascii="Tahoma" w:eastAsia="Tahoma" w:hAnsi="Tahoma" w:cs="Tahoma"/>
          <w:sz w:val="24"/>
          <w:szCs w:val="24"/>
        </w:rPr>
        <w:t>, Match funding is required in the amount of at least 20% of the requested project funds. Pursuant to Section I (K) of th</w:t>
      </w:r>
      <w:r w:rsidR="00620E2F">
        <w:rPr>
          <w:rFonts w:ascii="Tahoma" w:eastAsia="Tahoma" w:hAnsi="Tahoma" w:cs="Tahoma"/>
          <w:sz w:val="24"/>
          <w:szCs w:val="24"/>
        </w:rPr>
        <w:t>is</w:t>
      </w:r>
      <w:r w:rsidR="4265FBA8" w:rsidRPr="2D2E91FD">
        <w:rPr>
          <w:rFonts w:ascii="Tahoma" w:eastAsia="Tahoma" w:hAnsi="Tahoma" w:cs="Tahoma"/>
          <w:sz w:val="24"/>
          <w:szCs w:val="24"/>
        </w:rPr>
        <w:t xml:space="preserve"> </w:t>
      </w:r>
      <w:r w:rsidR="3CC5DD73" w:rsidRPr="2D2E91FD">
        <w:rPr>
          <w:rFonts w:ascii="Tahoma" w:eastAsia="Tahoma" w:hAnsi="Tahoma" w:cs="Tahoma"/>
          <w:sz w:val="24"/>
          <w:szCs w:val="24"/>
        </w:rPr>
        <w:t>GFO</w:t>
      </w:r>
      <w:r w:rsidR="4265FBA8" w:rsidRPr="2D2E91FD">
        <w:rPr>
          <w:rFonts w:ascii="Tahoma" w:eastAsia="Tahoma" w:hAnsi="Tahoma" w:cs="Tahoma"/>
          <w:sz w:val="24"/>
          <w:szCs w:val="24"/>
        </w:rPr>
        <w:t xml:space="preserve">, “Match funds” includes cash or in-kind (non-cash) contributions provided by the applicant, subcontractors, or other parties including pilot testing, demonstration, and/or deployment sites (e.g., test site staff services) that will be used in performance of the proposed project. “Match funds” do not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w:t>
      </w:r>
      <w:proofErr w:type="gramStart"/>
      <w:r w:rsidR="4265FBA8" w:rsidRPr="2D2E91FD">
        <w:rPr>
          <w:rFonts w:ascii="Tahoma" w:eastAsia="Tahoma" w:hAnsi="Tahoma" w:cs="Tahoma"/>
          <w:sz w:val="24"/>
          <w:szCs w:val="24"/>
        </w:rPr>
        <w:t>period of time</w:t>
      </w:r>
      <w:proofErr w:type="gramEnd"/>
      <w:r w:rsidR="4265FBA8" w:rsidRPr="2D2E91FD">
        <w:rPr>
          <w:rFonts w:ascii="Tahoma" w:eastAsia="Tahoma" w:hAnsi="Tahoma" w:cs="Tahoma"/>
          <w:sz w:val="24"/>
          <w:szCs w:val="24"/>
        </w:rPr>
        <w:t xml:space="preserve"> (e.g., photovoltaic systems).</w:t>
      </w:r>
    </w:p>
    <w:p w14:paraId="705AA575" w14:textId="77777777" w:rsidR="00B64211" w:rsidRDefault="00B64211" w:rsidP="00304287">
      <w:pPr>
        <w:spacing w:line="257" w:lineRule="auto"/>
        <w:rPr>
          <w:rFonts w:ascii="Tahoma" w:eastAsia="Tahoma" w:hAnsi="Tahoma" w:cs="Tahoma"/>
          <w:sz w:val="24"/>
          <w:szCs w:val="24"/>
        </w:rPr>
      </w:pPr>
    </w:p>
    <w:p w14:paraId="1ADDF594" w14:textId="06B7AC0E" w:rsidR="00B64211" w:rsidRDefault="00B64211" w:rsidP="00DE7060">
      <w:pPr>
        <w:pStyle w:val="ListParagraph"/>
        <w:numPr>
          <w:ilvl w:val="0"/>
          <w:numId w:val="3"/>
        </w:numPr>
        <w:spacing w:line="257" w:lineRule="auto"/>
        <w:ind w:hanging="720"/>
        <w:rPr>
          <w:rFonts w:ascii="Tahoma" w:eastAsia="Tahoma" w:hAnsi="Tahoma" w:cs="Tahoma"/>
          <w:sz w:val="24"/>
          <w:szCs w:val="24"/>
        </w:rPr>
      </w:pPr>
      <w:r w:rsidRPr="00035BD9">
        <w:rPr>
          <w:rFonts w:ascii="Tahoma" w:eastAsia="Tahoma" w:hAnsi="Tahoma" w:cs="Tahoma"/>
          <w:b/>
          <w:bCs/>
          <w:sz w:val="24"/>
          <w:szCs w:val="24"/>
        </w:rPr>
        <w:t>Q</w:t>
      </w:r>
      <w:r w:rsidR="0EEE56B7" w:rsidRPr="00035BD9">
        <w:rPr>
          <w:rFonts w:ascii="Tahoma" w:eastAsia="Tahoma" w:hAnsi="Tahoma" w:cs="Tahoma"/>
          <w:b/>
          <w:bCs/>
          <w:sz w:val="24"/>
          <w:szCs w:val="24"/>
        </w:rPr>
        <w:t>:</w:t>
      </w:r>
      <w:r w:rsidRPr="00035BD9">
        <w:rPr>
          <w:rFonts w:ascii="Tahoma" w:eastAsia="Tahoma" w:hAnsi="Tahoma" w:cs="Tahoma"/>
          <w:sz w:val="24"/>
          <w:szCs w:val="24"/>
        </w:rPr>
        <w:t xml:space="preserve"> </w:t>
      </w:r>
      <w:r w:rsidR="002E402F" w:rsidRPr="00035BD9">
        <w:rPr>
          <w:rFonts w:ascii="Tahoma" w:eastAsia="Tahoma" w:hAnsi="Tahoma" w:cs="Tahoma"/>
          <w:sz w:val="24"/>
          <w:szCs w:val="24"/>
        </w:rPr>
        <w:t>If there is a new patent covering the application sought (discovered</w:t>
      </w:r>
      <w:r w:rsidR="002E402F" w:rsidRPr="34341375">
        <w:rPr>
          <w:rFonts w:ascii="Tahoma" w:eastAsia="Tahoma" w:hAnsi="Tahoma" w:cs="Tahoma"/>
          <w:sz w:val="24"/>
          <w:szCs w:val="24"/>
        </w:rPr>
        <w:t xml:space="preserve"> through research of material provided in this solicitation request), can we still </w:t>
      </w:r>
      <w:r w:rsidR="3B322A48" w:rsidRPr="34341375">
        <w:rPr>
          <w:rFonts w:ascii="Tahoma" w:eastAsia="Tahoma" w:hAnsi="Tahoma" w:cs="Tahoma"/>
          <w:sz w:val="24"/>
          <w:szCs w:val="24"/>
        </w:rPr>
        <w:t>apply for this solicitation</w:t>
      </w:r>
      <w:r w:rsidR="002E402F" w:rsidRPr="34341375">
        <w:rPr>
          <w:rFonts w:ascii="Tahoma" w:eastAsia="Tahoma" w:hAnsi="Tahoma" w:cs="Tahoma"/>
          <w:sz w:val="24"/>
          <w:szCs w:val="24"/>
        </w:rPr>
        <w:t>?  Does that entity (out of state) need to be involved as it would reduce in state money spent on project?</w:t>
      </w:r>
    </w:p>
    <w:p w14:paraId="0ECC9B6D" w14:textId="1ABE8771" w:rsidR="00B64211" w:rsidRDefault="00B64211" w:rsidP="00304287">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0115AB5F" w:rsidRPr="34341375">
        <w:rPr>
          <w:rFonts w:ascii="Tahoma" w:eastAsia="Tahoma" w:hAnsi="Tahoma" w:cs="Tahoma"/>
          <w:sz w:val="24"/>
          <w:szCs w:val="24"/>
        </w:rPr>
        <w:t>Applicants should demonstrate that they have permission from any intellectual property owner. A license or permission/support letter could suffice.</w:t>
      </w:r>
    </w:p>
    <w:p w14:paraId="05450EE4" w14:textId="77777777" w:rsidR="005738DB" w:rsidRDefault="005738DB" w:rsidP="00304287">
      <w:pPr>
        <w:spacing w:line="257" w:lineRule="auto"/>
        <w:rPr>
          <w:rFonts w:ascii="Tahoma" w:eastAsia="Tahoma" w:hAnsi="Tahoma" w:cs="Tahoma"/>
          <w:sz w:val="24"/>
          <w:szCs w:val="24"/>
        </w:rPr>
      </w:pPr>
    </w:p>
    <w:p w14:paraId="1014B7F0" w14:textId="70BBCA7C" w:rsidR="005738DB" w:rsidRDefault="00D7635F" w:rsidP="00DE7060">
      <w:pPr>
        <w:pStyle w:val="ListParagraph"/>
        <w:spacing w:line="257" w:lineRule="auto"/>
        <w:ind w:hanging="720"/>
        <w:rPr>
          <w:rFonts w:ascii="Tahoma" w:eastAsia="Tahoma" w:hAnsi="Tahoma" w:cs="Tahoma"/>
          <w:sz w:val="24"/>
          <w:szCs w:val="24"/>
          <w:highlight w:val="yellow"/>
        </w:rPr>
      </w:pPr>
      <w:r>
        <w:rPr>
          <w:rFonts w:ascii="Tahoma" w:eastAsia="Tahoma" w:hAnsi="Tahoma" w:cs="Tahoma"/>
          <w:b/>
          <w:bCs/>
          <w:sz w:val="24"/>
          <w:szCs w:val="24"/>
        </w:rPr>
        <w:t>33</w:t>
      </w:r>
      <w:r>
        <w:rPr>
          <w:rFonts w:ascii="Tahoma" w:eastAsia="Tahoma" w:hAnsi="Tahoma" w:cs="Tahoma"/>
          <w:b/>
          <w:bCs/>
          <w:sz w:val="24"/>
          <w:szCs w:val="24"/>
        </w:rPr>
        <w:tab/>
      </w:r>
      <w:r w:rsidR="005738DB" w:rsidRPr="00035BD9">
        <w:rPr>
          <w:rFonts w:ascii="Tahoma" w:eastAsia="Tahoma" w:hAnsi="Tahoma" w:cs="Tahoma"/>
          <w:b/>
          <w:bCs/>
          <w:sz w:val="24"/>
          <w:szCs w:val="24"/>
        </w:rPr>
        <w:t xml:space="preserve">Q: </w:t>
      </w:r>
      <w:r w:rsidR="00017054" w:rsidRPr="00035BD9">
        <w:rPr>
          <w:rFonts w:ascii="Tahoma" w:eastAsia="Tahoma" w:hAnsi="Tahoma" w:cs="Tahoma"/>
          <w:sz w:val="24"/>
          <w:szCs w:val="24"/>
        </w:rPr>
        <w:t xml:space="preserve">Will </w:t>
      </w:r>
      <w:r w:rsidR="69FAE300" w:rsidRPr="00035BD9">
        <w:rPr>
          <w:rFonts w:ascii="Tahoma" w:eastAsia="Tahoma" w:hAnsi="Tahoma" w:cs="Tahoma"/>
          <w:sz w:val="24"/>
          <w:szCs w:val="24"/>
        </w:rPr>
        <w:t>the California Energy Commission (</w:t>
      </w:r>
      <w:r w:rsidR="00017054" w:rsidRPr="00035BD9">
        <w:rPr>
          <w:rFonts w:ascii="Tahoma" w:eastAsia="Tahoma" w:hAnsi="Tahoma" w:cs="Tahoma"/>
          <w:sz w:val="24"/>
          <w:szCs w:val="24"/>
        </w:rPr>
        <w:t>CEC</w:t>
      </w:r>
      <w:r w:rsidR="3D045AF3" w:rsidRPr="00035BD9">
        <w:rPr>
          <w:rFonts w:ascii="Tahoma" w:eastAsia="Tahoma" w:hAnsi="Tahoma" w:cs="Tahoma"/>
          <w:sz w:val="24"/>
          <w:szCs w:val="24"/>
        </w:rPr>
        <w:t>)</w:t>
      </w:r>
      <w:r w:rsidR="00017054" w:rsidRPr="00035BD9">
        <w:rPr>
          <w:rFonts w:ascii="Tahoma" w:eastAsia="Tahoma" w:hAnsi="Tahoma" w:cs="Tahoma"/>
          <w:sz w:val="24"/>
          <w:szCs w:val="24"/>
        </w:rPr>
        <w:t xml:space="preserve"> institute direct deposit or</w:t>
      </w:r>
      <w:r w:rsidR="00017054" w:rsidRPr="34341375">
        <w:rPr>
          <w:rFonts w:ascii="Tahoma" w:eastAsia="Tahoma" w:hAnsi="Tahoma" w:cs="Tahoma"/>
          <w:sz w:val="24"/>
          <w:szCs w:val="24"/>
        </w:rPr>
        <w:t xml:space="preserve"> electronic transfer of funds? Current hard check payments method is very inefficient and old.</w:t>
      </w:r>
    </w:p>
    <w:p w14:paraId="4A248A7B" w14:textId="0E85E9C4" w:rsidR="005738DB" w:rsidRDefault="005738DB" w:rsidP="00304287">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0024538C" w:rsidRPr="0B9BF21A">
        <w:rPr>
          <w:rFonts w:ascii="Tahoma" w:eastAsia="Tahoma" w:hAnsi="Tahoma" w:cs="Tahoma"/>
          <w:sz w:val="24"/>
          <w:szCs w:val="24"/>
        </w:rPr>
        <w:t>While</w:t>
      </w:r>
      <w:r w:rsidR="0024538C">
        <w:rPr>
          <w:rFonts w:ascii="Tahoma" w:eastAsia="Tahoma" w:hAnsi="Tahoma" w:cs="Tahoma"/>
          <w:sz w:val="24"/>
          <w:szCs w:val="24"/>
        </w:rPr>
        <w:t xml:space="preserve"> t</w:t>
      </w:r>
      <w:r w:rsidR="0046325D" w:rsidRPr="34341375">
        <w:rPr>
          <w:rFonts w:ascii="Tahoma" w:eastAsia="Tahoma" w:hAnsi="Tahoma" w:cs="Tahoma"/>
          <w:sz w:val="24"/>
          <w:szCs w:val="24"/>
        </w:rPr>
        <w:t xml:space="preserve">he CEC </w:t>
      </w:r>
      <w:r w:rsidR="00640E36">
        <w:rPr>
          <w:rFonts w:ascii="Tahoma" w:eastAsia="Tahoma" w:hAnsi="Tahoma" w:cs="Tahoma"/>
          <w:sz w:val="24"/>
          <w:szCs w:val="24"/>
        </w:rPr>
        <w:t>processes invoices for repayment</w:t>
      </w:r>
      <w:r w:rsidR="0024538C">
        <w:rPr>
          <w:rFonts w:ascii="Tahoma" w:eastAsia="Tahoma" w:hAnsi="Tahoma" w:cs="Tahoma"/>
          <w:sz w:val="24"/>
          <w:szCs w:val="24"/>
        </w:rPr>
        <w:t xml:space="preserve">, </w:t>
      </w:r>
      <w:r w:rsidR="00640E36">
        <w:rPr>
          <w:rFonts w:ascii="Tahoma" w:eastAsia="Tahoma" w:hAnsi="Tahoma" w:cs="Tahoma"/>
          <w:sz w:val="24"/>
          <w:szCs w:val="24"/>
        </w:rPr>
        <w:t xml:space="preserve">the disbursement of </w:t>
      </w:r>
      <w:r w:rsidR="003E795A">
        <w:rPr>
          <w:rFonts w:ascii="Tahoma" w:eastAsia="Tahoma" w:hAnsi="Tahoma" w:cs="Tahoma"/>
          <w:sz w:val="24"/>
          <w:szCs w:val="24"/>
        </w:rPr>
        <w:t>f</w:t>
      </w:r>
      <w:r w:rsidR="0093094A">
        <w:rPr>
          <w:rFonts w:ascii="Tahoma" w:eastAsia="Tahoma" w:hAnsi="Tahoma" w:cs="Tahoma"/>
          <w:sz w:val="24"/>
          <w:szCs w:val="24"/>
        </w:rPr>
        <w:t xml:space="preserve">unds is managed by the State Controller’s Office </w:t>
      </w:r>
      <w:r w:rsidR="003B479D">
        <w:rPr>
          <w:rFonts w:ascii="Tahoma" w:eastAsia="Tahoma" w:hAnsi="Tahoma" w:cs="Tahoma"/>
          <w:sz w:val="24"/>
          <w:szCs w:val="24"/>
        </w:rPr>
        <w:t xml:space="preserve">(SCO) </w:t>
      </w:r>
      <w:r w:rsidR="0046325D" w:rsidRPr="34341375">
        <w:rPr>
          <w:rFonts w:ascii="Tahoma" w:eastAsia="Tahoma" w:hAnsi="Tahoma" w:cs="Tahoma"/>
          <w:sz w:val="24"/>
          <w:szCs w:val="24"/>
        </w:rPr>
        <w:t>us</w:t>
      </w:r>
      <w:r w:rsidR="00195D39">
        <w:rPr>
          <w:rFonts w:ascii="Tahoma" w:eastAsia="Tahoma" w:hAnsi="Tahoma" w:cs="Tahoma"/>
          <w:sz w:val="24"/>
          <w:szCs w:val="24"/>
        </w:rPr>
        <w:t xml:space="preserve">ing </w:t>
      </w:r>
      <w:r w:rsidR="00BD58B6">
        <w:rPr>
          <w:rFonts w:ascii="Tahoma" w:eastAsia="Tahoma" w:hAnsi="Tahoma" w:cs="Tahoma"/>
          <w:sz w:val="24"/>
          <w:szCs w:val="24"/>
        </w:rPr>
        <w:t xml:space="preserve">the current standard method </w:t>
      </w:r>
      <w:r w:rsidR="00D8016C">
        <w:rPr>
          <w:rFonts w:ascii="Tahoma" w:eastAsia="Tahoma" w:hAnsi="Tahoma" w:cs="Tahoma"/>
          <w:sz w:val="24"/>
          <w:szCs w:val="24"/>
        </w:rPr>
        <w:t xml:space="preserve">of </w:t>
      </w:r>
      <w:r w:rsidR="0046325D" w:rsidRPr="34341375">
        <w:rPr>
          <w:rFonts w:ascii="Tahoma" w:eastAsia="Tahoma" w:hAnsi="Tahoma" w:cs="Tahoma"/>
          <w:sz w:val="24"/>
          <w:szCs w:val="24"/>
        </w:rPr>
        <w:t>hard checks to reimburse invoices.</w:t>
      </w:r>
      <w:r w:rsidR="005F20A0">
        <w:rPr>
          <w:rFonts w:ascii="Tahoma" w:eastAsia="Tahoma" w:hAnsi="Tahoma" w:cs="Tahoma"/>
          <w:sz w:val="24"/>
          <w:szCs w:val="24"/>
        </w:rPr>
        <w:t xml:space="preserve"> There are currently no options for </w:t>
      </w:r>
      <w:r w:rsidR="005C07CC">
        <w:rPr>
          <w:rFonts w:ascii="Tahoma" w:eastAsia="Tahoma" w:hAnsi="Tahoma" w:cs="Tahoma"/>
          <w:sz w:val="24"/>
          <w:szCs w:val="24"/>
        </w:rPr>
        <w:t>direct deposit or electronic transfer of funds.</w:t>
      </w:r>
    </w:p>
    <w:p w14:paraId="54D69C00" w14:textId="77777777" w:rsidR="005738DB" w:rsidRDefault="005738DB" w:rsidP="00304287">
      <w:pPr>
        <w:spacing w:line="257" w:lineRule="auto"/>
        <w:rPr>
          <w:rFonts w:ascii="Tahoma" w:eastAsia="Tahoma" w:hAnsi="Tahoma" w:cs="Tahoma"/>
          <w:sz w:val="24"/>
          <w:szCs w:val="24"/>
        </w:rPr>
      </w:pPr>
    </w:p>
    <w:p w14:paraId="3D72BF2E" w14:textId="70A9F5DA" w:rsidR="005738DB" w:rsidRDefault="005738DB" w:rsidP="00DE7060">
      <w:pPr>
        <w:pStyle w:val="ListParagraph"/>
        <w:numPr>
          <w:ilvl w:val="0"/>
          <w:numId w:val="15"/>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0E5587" w:rsidRPr="34341375">
        <w:rPr>
          <w:rFonts w:ascii="Tahoma" w:eastAsia="Tahoma" w:hAnsi="Tahoma" w:cs="Tahoma"/>
          <w:sz w:val="24"/>
          <w:szCs w:val="24"/>
        </w:rPr>
        <w:t>Will IOU qualify as a partner and matching funder?</w:t>
      </w:r>
    </w:p>
    <w:p w14:paraId="756EFA67" w14:textId="2C9FB51E" w:rsidR="005738DB" w:rsidRDefault="005738DB"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0F64E1F2" w:rsidRPr="2D2E91FD">
        <w:rPr>
          <w:rFonts w:ascii="Tahoma" w:eastAsia="Tahoma" w:hAnsi="Tahoma" w:cs="Tahoma"/>
          <w:b/>
          <w:bCs/>
          <w:sz w:val="24"/>
          <w:szCs w:val="24"/>
        </w:rPr>
        <w:t>:</w:t>
      </w:r>
      <w:r w:rsidRPr="2D2E91FD">
        <w:rPr>
          <w:rFonts w:ascii="Tahoma" w:eastAsia="Tahoma" w:hAnsi="Tahoma" w:cs="Tahoma"/>
          <w:b/>
          <w:bCs/>
          <w:sz w:val="24"/>
          <w:szCs w:val="24"/>
        </w:rPr>
        <w:t xml:space="preserve"> </w:t>
      </w:r>
      <w:r w:rsidR="192A49D0" w:rsidRPr="2D2E91FD">
        <w:rPr>
          <w:rFonts w:ascii="Tahoma" w:eastAsia="Tahoma" w:hAnsi="Tahoma" w:cs="Tahoma"/>
          <w:sz w:val="24"/>
          <w:szCs w:val="24"/>
        </w:rPr>
        <w:t>Th</w:t>
      </w:r>
      <w:r w:rsidR="00B1354F">
        <w:rPr>
          <w:rFonts w:ascii="Tahoma" w:eastAsia="Tahoma" w:hAnsi="Tahoma" w:cs="Tahoma"/>
          <w:sz w:val="24"/>
          <w:szCs w:val="24"/>
        </w:rPr>
        <w:t>is</w:t>
      </w:r>
      <w:r w:rsidR="192A49D0" w:rsidRPr="2D2E91FD">
        <w:rPr>
          <w:rFonts w:ascii="Tahoma" w:eastAsia="Tahoma" w:hAnsi="Tahoma" w:cs="Tahoma"/>
          <w:sz w:val="24"/>
          <w:szCs w:val="24"/>
        </w:rPr>
        <w:t xml:space="preserve"> GFO does not prevent IOUs from acting as a partner or match funder. </w:t>
      </w:r>
    </w:p>
    <w:p w14:paraId="0EABD4E3" w14:textId="58CDFAF3" w:rsidR="005738DB" w:rsidRDefault="50DF52F2"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Under th</w:t>
      </w:r>
      <w:r w:rsidR="00620E2F">
        <w:rPr>
          <w:rFonts w:ascii="Tahoma" w:eastAsia="Tahoma" w:hAnsi="Tahoma" w:cs="Tahoma"/>
          <w:sz w:val="24"/>
          <w:szCs w:val="24"/>
        </w:rPr>
        <w:t>is</w:t>
      </w:r>
      <w:r w:rsidRPr="2D2E91FD">
        <w:rPr>
          <w:rFonts w:ascii="Tahoma" w:eastAsia="Tahoma" w:hAnsi="Tahoma" w:cs="Tahoma"/>
          <w:sz w:val="24"/>
          <w:szCs w:val="24"/>
        </w:rPr>
        <w:t xml:space="preserve"> </w:t>
      </w:r>
      <w:r w:rsidR="541B49DC" w:rsidRPr="2D2E91FD">
        <w:rPr>
          <w:rFonts w:ascii="Tahoma" w:eastAsia="Tahoma" w:hAnsi="Tahoma" w:cs="Tahoma"/>
          <w:sz w:val="24"/>
          <w:szCs w:val="24"/>
        </w:rPr>
        <w:t>GFO</w:t>
      </w:r>
      <w:r w:rsidRPr="2D2E91FD">
        <w:rPr>
          <w:rFonts w:ascii="Tahoma" w:eastAsia="Tahoma" w:hAnsi="Tahoma" w:cs="Tahoma"/>
          <w:sz w:val="24"/>
          <w:szCs w:val="24"/>
        </w:rPr>
        <w:t xml:space="preserve">, “IOU” or investor-owned utility means an electrical corporation as defined in California Public Utilities Code section 218. For purposes of this EPIC </w:t>
      </w:r>
      <w:r w:rsidR="45C5B3E1" w:rsidRPr="2D2E91FD">
        <w:rPr>
          <w:rFonts w:ascii="Tahoma" w:eastAsia="Tahoma" w:hAnsi="Tahoma" w:cs="Tahoma"/>
          <w:sz w:val="24"/>
          <w:szCs w:val="24"/>
        </w:rPr>
        <w:t>GFO,</w:t>
      </w:r>
      <w:r w:rsidRPr="2D2E91FD">
        <w:rPr>
          <w:rFonts w:ascii="Tahoma" w:eastAsia="Tahoma" w:hAnsi="Tahoma" w:cs="Tahoma"/>
          <w:sz w:val="24"/>
          <w:szCs w:val="24"/>
        </w:rPr>
        <w:t xml:space="preserve"> it includes Pacific Gas and Electric Co., San Diego Gas and Electric Co., and Southern California Edison Co.</w:t>
      </w:r>
    </w:p>
    <w:p w14:paraId="1DA3EE0B" w14:textId="1C74243F" w:rsidR="005738DB" w:rsidRDefault="50DF52F2"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Under th</w:t>
      </w:r>
      <w:r w:rsidR="00620E2F">
        <w:rPr>
          <w:rFonts w:ascii="Tahoma" w:eastAsia="Tahoma" w:hAnsi="Tahoma" w:cs="Tahoma"/>
          <w:sz w:val="24"/>
          <w:szCs w:val="24"/>
        </w:rPr>
        <w:t>is</w:t>
      </w:r>
      <w:r w:rsidRPr="2D2E91FD">
        <w:rPr>
          <w:rFonts w:ascii="Tahoma" w:eastAsia="Tahoma" w:hAnsi="Tahoma" w:cs="Tahoma"/>
          <w:sz w:val="24"/>
          <w:szCs w:val="24"/>
        </w:rPr>
        <w:t xml:space="preserve"> </w:t>
      </w:r>
      <w:r w:rsidR="2F681E9D" w:rsidRPr="2D2E91FD">
        <w:rPr>
          <w:rFonts w:ascii="Tahoma" w:eastAsia="Tahoma" w:hAnsi="Tahoma" w:cs="Tahoma"/>
          <w:sz w:val="24"/>
          <w:szCs w:val="24"/>
        </w:rPr>
        <w:t>GFO</w:t>
      </w:r>
      <w:r w:rsidRPr="2D2E91FD">
        <w:rPr>
          <w:rFonts w:ascii="Tahoma" w:eastAsia="Tahoma" w:hAnsi="Tahoma" w:cs="Tahoma"/>
          <w:sz w:val="24"/>
          <w:szCs w:val="24"/>
        </w:rPr>
        <w:t xml:space="preserve">, a “project partner” means an entity or individual that contributes financially or otherwise to the project (e.g., match funding, provision of a test, </w:t>
      </w:r>
      <w:proofErr w:type="gramStart"/>
      <w:r w:rsidRPr="2D2E91FD">
        <w:rPr>
          <w:rFonts w:ascii="Tahoma" w:eastAsia="Tahoma" w:hAnsi="Tahoma" w:cs="Tahoma"/>
          <w:sz w:val="24"/>
          <w:szCs w:val="24"/>
        </w:rPr>
        <w:t>demonstration</w:t>
      </w:r>
      <w:proofErr w:type="gramEnd"/>
      <w:r w:rsidRPr="2D2E91FD">
        <w:rPr>
          <w:rFonts w:ascii="Tahoma" w:eastAsia="Tahoma" w:hAnsi="Tahoma" w:cs="Tahoma"/>
          <w:sz w:val="24"/>
          <w:szCs w:val="24"/>
        </w:rPr>
        <w:t xml:space="preserve"> or deployment site), and does not receive CEC funds.</w:t>
      </w:r>
    </w:p>
    <w:p w14:paraId="18E30D91" w14:textId="46D8D724" w:rsidR="005738DB" w:rsidRDefault="50DF52F2" w:rsidP="00304287">
      <w:pPr>
        <w:spacing w:line="257" w:lineRule="auto"/>
        <w:ind w:left="720"/>
        <w:rPr>
          <w:rFonts w:ascii="Calibri" w:eastAsia="Calibri" w:hAnsi="Calibri" w:cs="Calibri"/>
          <w:color w:val="FF0000"/>
        </w:rPr>
      </w:pPr>
      <w:r w:rsidRPr="2D2E91FD">
        <w:rPr>
          <w:rFonts w:ascii="Tahoma" w:eastAsia="Tahoma" w:hAnsi="Tahoma" w:cs="Tahoma"/>
          <w:sz w:val="24"/>
          <w:szCs w:val="24"/>
        </w:rPr>
        <w:t xml:space="preserve">Further, “match funds” includes cash or in-kind (non-cash) contributions provided by the applicant, subcontractors, or other parties including pilot testing, demonstration, and/or deployment sites (e.g., test site staff services) that will be used in performance of the proposed project. “Match funds” do not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w:t>
      </w:r>
      <w:proofErr w:type="gramStart"/>
      <w:r w:rsidRPr="2D2E91FD">
        <w:rPr>
          <w:rFonts w:ascii="Tahoma" w:eastAsia="Tahoma" w:hAnsi="Tahoma" w:cs="Tahoma"/>
          <w:sz w:val="24"/>
          <w:szCs w:val="24"/>
        </w:rPr>
        <w:t>period of time</w:t>
      </w:r>
      <w:proofErr w:type="gramEnd"/>
      <w:r w:rsidRPr="2D2E91FD">
        <w:rPr>
          <w:rFonts w:ascii="Tahoma" w:eastAsia="Tahoma" w:hAnsi="Tahoma" w:cs="Tahoma"/>
          <w:sz w:val="24"/>
          <w:szCs w:val="24"/>
        </w:rPr>
        <w:t xml:space="preserve"> (e.g., photovoltaic systems).</w:t>
      </w:r>
    </w:p>
    <w:p w14:paraId="6248317C" w14:textId="77777777" w:rsidR="005738DB" w:rsidRDefault="005738DB" w:rsidP="00304287">
      <w:pPr>
        <w:spacing w:line="257" w:lineRule="auto"/>
        <w:rPr>
          <w:rFonts w:ascii="Tahoma" w:eastAsia="Tahoma" w:hAnsi="Tahoma" w:cs="Tahoma"/>
          <w:sz w:val="24"/>
          <w:szCs w:val="24"/>
        </w:rPr>
      </w:pPr>
    </w:p>
    <w:p w14:paraId="6F55FF87" w14:textId="4D50E8BB" w:rsidR="005738DB" w:rsidRPr="00867208" w:rsidRDefault="00304287" w:rsidP="00DE7060">
      <w:pPr>
        <w:spacing w:line="257" w:lineRule="auto"/>
        <w:ind w:left="720" w:hanging="720"/>
        <w:rPr>
          <w:rFonts w:ascii="Tahoma" w:eastAsia="Tahoma" w:hAnsi="Tahoma" w:cs="Tahoma"/>
          <w:b/>
          <w:sz w:val="24"/>
          <w:szCs w:val="24"/>
          <w:highlight w:val="yellow"/>
        </w:rPr>
      </w:pPr>
      <w:r>
        <w:rPr>
          <w:rFonts w:ascii="Tahoma" w:eastAsia="Tahoma" w:hAnsi="Tahoma" w:cs="Tahoma"/>
          <w:b/>
          <w:bCs/>
          <w:sz w:val="24"/>
          <w:szCs w:val="24"/>
        </w:rPr>
        <w:t>3</w:t>
      </w:r>
      <w:r w:rsidR="00DE7060">
        <w:rPr>
          <w:rFonts w:ascii="Tahoma" w:eastAsia="Tahoma" w:hAnsi="Tahoma" w:cs="Tahoma"/>
          <w:b/>
          <w:bCs/>
          <w:sz w:val="24"/>
          <w:szCs w:val="24"/>
        </w:rPr>
        <w:t>5.</w:t>
      </w:r>
      <w:r>
        <w:rPr>
          <w:rFonts w:ascii="Tahoma" w:eastAsia="Tahoma" w:hAnsi="Tahoma" w:cs="Tahoma"/>
          <w:b/>
          <w:bCs/>
          <w:sz w:val="24"/>
          <w:szCs w:val="24"/>
        </w:rPr>
        <w:tab/>
      </w:r>
      <w:r w:rsidR="794A92E8" w:rsidRPr="00867208">
        <w:rPr>
          <w:rFonts w:ascii="Tahoma" w:eastAsia="Tahoma" w:hAnsi="Tahoma" w:cs="Tahoma"/>
          <w:b/>
          <w:bCs/>
          <w:sz w:val="24"/>
          <w:szCs w:val="24"/>
        </w:rPr>
        <w:t xml:space="preserve">Q: </w:t>
      </w:r>
      <w:r w:rsidR="03BFBFF4" w:rsidRPr="00702677">
        <w:rPr>
          <w:rFonts w:ascii="Tahoma" w:eastAsia="Tahoma" w:hAnsi="Tahoma" w:cs="Tahoma"/>
          <w:sz w:val="24"/>
          <w:szCs w:val="24"/>
        </w:rPr>
        <w:t>Wilmington is a city of Los Angeles harbor Environmental Justice Community</w:t>
      </w:r>
      <w:r w:rsidR="03BFBFF4" w:rsidRPr="00867208">
        <w:rPr>
          <w:rFonts w:ascii="Tahoma" w:eastAsia="Tahoma" w:hAnsi="Tahoma" w:cs="Tahoma"/>
          <w:b/>
          <w:bCs/>
          <w:sz w:val="24"/>
          <w:szCs w:val="24"/>
        </w:rPr>
        <w:t xml:space="preserve"> </w:t>
      </w:r>
      <w:r w:rsidR="03BFBFF4" w:rsidRPr="00867208">
        <w:rPr>
          <w:rFonts w:ascii="Tahoma" w:eastAsia="Tahoma" w:hAnsi="Tahoma" w:cs="Tahoma"/>
          <w:sz w:val="24"/>
          <w:szCs w:val="24"/>
        </w:rPr>
        <w:t>Organization which had 12 blackouts in 2022. There is a LADWP Harbor Generating Plant in Wilmington</w:t>
      </w:r>
      <w:r w:rsidR="0B02360C" w:rsidRPr="00867208">
        <w:rPr>
          <w:rFonts w:ascii="Tahoma" w:eastAsia="Tahoma" w:hAnsi="Tahoma" w:cs="Tahoma"/>
          <w:sz w:val="24"/>
          <w:szCs w:val="24"/>
        </w:rPr>
        <w:t>,</w:t>
      </w:r>
      <w:r w:rsidR="03BFBFF4" w:rsidRPr="00867208">
        <w:rPr>
          <w:rFonts w:ascii="Tahoma" w:eastAsia="Tahoma" w:hAnsi="Tahoma" w:cs="Tahoma"/>
          <w:sz w:val="24"/>
          <w:szCs w:val="24"/>
        </w:rPr>
        <w:t xml:space="preserve"> but power supports the Port of Los Angeles the cities #1 priority. We support and want independent mini-grid power.  Can have LADWP oversite</w:t>
      </w:r>
      <w:r w:rsidR="51EA68C0" w:rsidRPr="00867208">
        <w:rPr>
          <w:rFonts w:ascii="Tahoma" w:eastAsia="Tahoma" w:hAnsi="Tahoma" w:cs="Tahoma"/>
          <w:sz w:val="24"/>
          <w:szCs w:val="24"/>
        </w:rPr>
        <w:t>?</w:t>
      </w:r>
    </w:p>
    <w:p w14:paraId="29553E81" w14:textId="480DC073" w:rsidR="005738DB" w:rsidRDefault="005738DB"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16E60972" w:rsidRPr="2D2E91FD">
        <w:rPr>
          <w:rFonts w:ascii="Tahoma" w:eastAsia="Tahoma" w:hAnsi="Tahoma" w:cs="Tahoma"/>
          <w:sz w:val="24"/>
          <w:szCs w:val="24"/>
        </w:rPr>
        <w:t xml:space="preserve">Please </w:t>
      </w:r>
      <w:r w:rsidR="2EB85A7B" w:rsidRPr="2D2E91FD">
        <w:rPr>
          <w:rFonts w:ascii="Tahoma" w:eastAsia="Tahoma" w:hAnsi="Tahoma" w:cs="Tahoma"/>
          <w:sz w:val="24"/>
          <w:szCs w:val="24"/>
        </w:rPr>
        <w:t>r</w:t>
      </w:r>
      <w:r w:rsidR="16E60972" w:rsidRPr="2D2E91FD">
        <w:rPr>
          <w:rFonts w:ascii="Tahoma" w:eastAsia="Tahoma" w:hAnsi="Tahoma" w:cs="Tahoma"/>
          <w:sz w:val="24"/>
          <w:szCs w:val="24"/>
        </w:rPr>
        <w:t>e</w:t>
      </w:r>
      <w:r w:rsidR="2EB85A7B" w:rsidRPr="2D2E91FD">
        <w:rPr>
          <w:rFonts w:ascii="Tahoma" w:eastAsia="Tahoma" w:hAnsi="Tahoma" w:cs="Tahoma"/>
          <w:sz w:val="24"/>
          <w:szCs w:val="24"/>
        </w:rPr>
        <w:t>fer to the</w:t>
      </w:r>
      <w:r w:rsidR="16E60972" w:rsidRPr="2D2E91FD">
        <w:rPr>
          <w:rFonts w:ascii="Tahoma" w:eastAsia="Tahoma" w:hAnsi="Tahoma" w:cs="Tahoma"/>
          <w:sz w:val="24"/>
          <w:szCs w:val="24"/>
        </w:rPr>
        <w:t xml:space="preserve"> answer for Question 27.</w:t>
      </w:r>
    </w:p>
    <w:p w14:paraId="26447F2B" w14:textId="77777777" w:rsidR="005738DB" w:rsidRDefault="005738DB" w:rsidP="00304287">
      <w:pPr>
        <w:spacing w:line="257" w:lineRule="auto"/>
        <w:rPr>
          <w:rFonts w:ascii="Tahoma" w:eastAsia="Tahoma" w:hAnsi="Tahoma" w:cs="Tahoma"/>
          <w:sz w:val="24"/>
          <w:szCs w:val="24"/>
        </w:rPr>
      </w:pPr>
    </w:p>
    <w:p w14:paraId="4CF2C027" w14:textId="0136FDC7" w:rsidR="004A557C" w:rsidRDefault="00A50996"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6121AF7A" w:rsidRPr="34341375">
        <w:rPr>
          <w:rFonts w:ascii="Tahoma" w:eastAsia="Tahoma" w:hAnsi="Tahoma" w:cs="Tahoma"/>
          <w:sz w:val="24"/>
          <w:szCs w:val="24"/>
        </w:rPr>
        <w:t>W</w:t>
      </w:r>
      <w:r w:rsidR="00F94D75" w:rsidRPr="34341375">
        <w:rPr>
          <w:rFonts w:ascii="Tahoma" w:eastAsia="Tahoma" w:hAnsi="Tahoma" w:cs="Tahoma"/>
          <w:sz w:val="24"/>
          <w:szCs w:val="24"/>
        </w:rPr>
        <w:t>hat is confidential about a published patent?</w:t>
      </w:r>
    </w:p>
    <w:p w14:paraId="720F1D62" w14:textId="0DAD61E3" w:rsidR="004A557C" w:rsidRDefault="00A50996" w:rsidP="00304287">
      <w:pPr>
        <w:spacing w:line="257" w:lineRule="auto"/>
        <w:ind w:left="720"/>
        <w:rPr>
          <w:rFonts w:ascii="Tahoma" w:eastAsia="Tahoma" w:hAnsi="Tahoma" w:cs="Tahoma"/>
          <w:sz w:val="24"/>
          <w:szCs w:val="24"/>
        </w:rPr>
      </w:pPr>
      <w:r w:rsidRPr="34341375">
        <w:rPr>
          <w:rFonts w:ascii="Tahoma" w:eastAsia="Tahoma" w:hAnsi="Tahoma" w:cs="Tahoma"/>
          <w:b/>
          <w:bCs/>
          <w:sz w:val="24"/>
          <w:szCs w:val="24"/>
        </w:rPr>
        <w:t xml:space="preserve">A: </w:t>
      </w:r>
      <w:r w:rsidR="4DA3EE82" w:rsidRPr="4CACCB5C">
        <w:rPr>
          <w:rFonts w:ascii="Tahoma" w:eastAsia="Tahoma" w:hAnsi="Tahoma" w:cs="Tahoma"/>
          <w:sz w:val="24"/>
          <w:szCs w:val="24"/>
        </w:rPr>
        <w:t>As per section D.3 of this GFO, “</w:t>
      </w:r>
      <w:r w:rsidR="4DA3EE82" w:rsidRPr="4CACCB5C">
        <w:rPr>
          <w:rFonts w:ascii="Arial" w:eastAsia="Arial" w:hAnsi="Arial" w:cs="Arial"/>
          <w:sz w:val="24"/>
          <w:szCs w:val="24"/>
        </w:rPr>
        <w:t xml:space="preserve">Though the entire evaluation process from receipt of applications up to the posting of the </w:t>
      </w:r>
      <w:r w:rsidR="16494B27" w:rsidRPr="4CACCB5C">
        <w:rPr>
          <w:rFonts w:ascii="Arial" w:eastAsia="Arial" w:hAnsi="Arial" w:cs="Arial"/>
          <w:sz w:val="24"/>
          <w:szCs w:val="24"/>
        </w:rPr>
        <w:t>Notice of Proposed Award (</w:t>
      </w:r>
      <w:r w:rsidR="4DA3EE82" w:rsidRPr="4CACCB5C">
        <w:rPr>
          <w:rFonts w:ascii="Arial" w:eastAsia="Arial" w:hAnsi="Arial" w:cs="Arial"/>
          <w:sz w:val="24"/>
          <w:szCs w:val="24"/>
        </w:rPr>
        <w:t>NOPA</w:t>
      </w:r>
      <w:r w:rsidR="6FA60D3B" w:rsidRPr="4CACCB5C">
        <w:rPr>
          <w:rFonts w:ascii="Arial" w:eastAsia="Arial" w:hAnsi="Arial" w:cs="Arial"/>
          <w:sz w:val="24"/>
          <w:szCs w:val="24"/>
        </w:rPr>
        <w:t>)</w:t>
      </w:r>
      <w:r w:rsidR="4DA3EE82" w:rsidRPr="4CACCB5C">
        <w:rPr>
          <w:rFonts w:ascii="Arial" w:eastAsia="Arial" w:hAnsi="Arial" w:cs="Arial"/>
          <w:sz w:val="24"/>
          <w:szCs w:val="24"/>
        </w:rPr>
        <w:t xml:space="preserve"> is confidential, all submitted documents will become publicly available records after the CEC posts the NOPA or the solicitation is cancelled.  </w:t>
      </w:r>
      <w:r w:rsidR="004A557C" w:rsidRPr="4CACCB5C">
        <w:rPr>
          <w:rFonts w:ascii="Arial" w:eastAsia="Arial" w:hAnsi="Arial" w:cs="Arial"/>
          <w:sz w:val="24"/>
          <w:szCs w:val="24"/>
        </w:rPr>
        <w:t xml:space="preserve">The </w:t>
      </w:r>
      <w:r w:rsidR="4DA3EE82" w:rsidRPr="4CACCB5C">
        <w:rPr>
          <w:rFonts w:ascii="Arial" w:eastAsia="Arial" w:hAnsi="Arial" w:cs="Arial"/>
          <w:sz w:val="24"/>
          <w:szCs w:val="24"/>
        </w:rPr>
        <w:t xml:space="preserve">CEC will not accept or retain applications that identify any portion as confidential.” </w:t>
      </w:r>
    </w:p>
    <w:p w14:paraId="3E002D5A" w14:textId="047B884B" w:rsidR="004A557C" w:rsidRDefault="0044451A" w:rsidP="00304287">
      <w:pPr>
        <w:spacing w:line="257" w:lineRule="auto"/>
        <w:ind w:left="720"/>
        <w:rPr>
          <w:rFonts w:ascii="Tahoma" w:eastAsia="Tahoma" w:hAnsi="Tahoma" w:cs="Tahoma"/>
          <w:sz w:val="24"/>
          <w:szCs w:val="24"/>
        </w:rPr>
      </w:pPr>
      <w:r w:rsidRPr="4CACCB5C">
        <w:rPr>
          <w:rFonts w:ascii="Tahoma" w:eastAsia="Tahoma" w:hAnsi="Tahoma" w:cs="Tahoma"/>
          <w:sz w:val="24"/>
          <w:szCs w:val="24"/>
        </w:rPr>
        <w:t>A</w:t>
      </w:r>
      <w:r w:rsidR="5264BEAE" w:rsidRPr="4CACCB5C">
        <w:rPr>
          <w:rFonts w:ascii="Tahoma" w:eastAsia="Tahoma" w:hAnsi="Tahoma" w:cs="Tahoma"/>
          <w:sz w:val="24"/>
          <w:szCs w:val="24"/>
        </w:rPr>
        <w:t xml:space="preserve"> </w:t>
      </w:r>
      <w:r w:rsidR="004A557C" w:rsidRPr="34341375">
        <w:rPr>
          <w:rFonts w:ascii="Tahoma" w:eastAsia="Tahoma" w:hAnsi="Tahoma" w:cs="Tahoma"/>
          <w:sz w:val="24"/>
          <w:szCs w:val="24"/>
        </w:rPr>
        <w:t xml:space="preserve">patent may </w:t>
      </w:r>
      <w:r w:rsidR="07DB2367" w:rsidRPr="4CACCB5C">
        <w:rPr>
          <w:rFonts w:ascii="Tahoma" w:eastAsia="Tahoma" w:hAnsi="Tahoma" w:cs="Tahoma"/>
          <w:sz w:val="24"/>
          <w:szCs w:val="24"/>
        </w:rPr>
        <w:t xml:space="preserve">or may </w:t>
      </w:r>
      <w:r w:rsidR="004A557C" w:rsidRPr="34341375">
        <w:rPr>
          <w:rFonts w:ascii="Tahoma" w:eastAsia="Tahoma" w:hAnsi="Tahoma" w:cs="Tahoma"/>
          <w:sz w:val="24"/>
          <w:szCs w:val="24"/>
        </w:rPr>
        <w:t xml:space="preserve">not be confidential, but </w:t>
      </w:r>
      <w:r w:rsidR="3836D0AB" w:rsidRPr="4CACCB5C">
        <w:rPr>
          <w:rFonts w:ascii="Tahoma" w:eastAsia="Tahoma" w:hAnsi="Tahoma" w:cs="Tahoma"/>
          <w:sz w:val="24"/>
          <w:szCs w:val="24"/>
        </w:rPr>
        <w:t xml:space="preserve">if </w:t>
      </w:r>
      <w:r w:rsidR="76153B25" w:rsidRPr="4CACCB5C">
        <w:rPr>
          <w:rFonts w:ascii="Tahoma" w:eastAsia="Tahoma" w:hAnsi="Tahoma" w:cs="Tahoma"/>
          <w:sz w:val="24"/>
          <w:szCs w:val="24"/>
        </w:rPr>
        <w:t xml:space="preserve">it is included </w:t>
      </w:r>
      <w:r w:rsidR="3836D0AB" w:rsidRPr="4CACCB5C">
        <w:rPr>
          <w:rFonts w:ascii="Tahoma" w:eastAsia="Tahoma" w:hAnsi="Tahoma" w:cs="Tahoma"/>
          <w:sz w:val="24"/>
          <w:szCs w:val="24"/>
        </w:rPr>
        <w:t>in the application</w:t>
      </w:r>
      <w:r w:rsidR="189F730F" w:rsidRPr="4CACCB5C">
        <w:rPr>
          <w:rFonts w:ascii="Tahoma" w:eastAsia="Tahoma" w:hAnsi="Tahoma" w:cs="Tahoma"/>
          <w:sz w:val="24"/>
          <w:szCs w:val="24"/>
        </w:rPr>
        <w:t xml:space="preserve"> materials</w:t>
      </w:r>
      <w:r w:rsidR="3836D0AB" w:rsidRPr="4CACCB5C">
        <w:rPr>
          <w:rFonts w:ascii="Tahoma" w:eastAsia="Tahoma" w:hAnsi="Tahoma" w:cs="Tahoma"/>
          <w:sz w:val="24"/>
          <w:szCs w:val="24"/>
        </w:rPr>
        <w:t xml:space="preserve">, </w:t>
      </w:r>
      <w:r w:rsidR="004A557C" w:rsidRPr="34341375">
        <w:rPr>
          <w:rFonts w:ascii="Tahoma" w:eastAsia="Tahoma" w:hAnsi="Tahoma" w:cs="Tahoma"/>
          <w:sz w:val="24"/>
          <w:szCs w:val="24"/>
        </w:rPr>
        <w:t xml:space="preserve">the CEC cannot maintain </w:t>
      </w:r>
      <w:r w:rsidR="78CADA34" w:rsidRPr="4CACCB5C">
        <w:rPr>
          <w:rFonts w:ascii="Tahoma" w:eastAsia="Tahoma" w:hAnsi="Tahoma" w:cs="Tahoma"/>
          <w:sz w:val="24"/>
          <w:szCs w:val="24"/>
        </w:rPr>
        <w:t xml:space="preserve">its </w:t>
      </w:r>
      <w:r w:rsidR="004A557C" w:rsidRPr="34341375">
        <w:rPr>
          <w:rFonts w:ascii="Tahoma" w:eastAsia="Tahoma" w:hAnsi="Tahoma" w:cs="Tahoma"/>
          <w:sz w:val="24"/>
          <w:szCs w:val="24"/>
        </w:rPr>
        <w:t>confidentiality</w:t>
      </w:r>
      <w:r w:rsidR="0E105E8E" w:rsidRPr="4CACCB5C">
        <w:rPr>
          <w:rFonts w:ascii="Tahoma" w:eastAsia="Tahoma" w:hAnsi="Tahoma" w:cs="Tahoma"/>
          <w:sz w:val="24"/>
          <w:szCs w:val="24"/>
        </w:rPr>
        <w:t>. Therefore,</w:t>
      </w:r>
      <w:r w:rsidR="004A557C" w:rsidRPr="34341375">
        <w:rPr>
          <w:rFonts w:ascii="Tahoma" w:eastAsia="Tahoma" w:hAnsi="Tahoma" w:cs="Tahoma"/>
          <w:sz w:val="24"/>
          <w:szCs w:val="24"/>
        </w:rPr>
        <w:t xml:space="preserve"> the applicant should not submit anything confidential</w:t>
      </w:r>
      <w:r w:rsidR="1D511635" w:rsidRPr="4CACCB5C">
        <w:rPr>
          <w:rFonts w:ascii="Tahoma" w:eastAsia="Tahoma" w:hAnsi="Tahoma" w:cs="Tahoma"/>
          <w:sz w:val="24"/>
          <w:szCs w:val="24"/>
        </w:rPr>
        <w:t xml:space="preserve"> in the application materials</w:t>
      </w:r>
      <w:r w:rsidR="3A7AE012" w:rsidRPr="4CACCB5C">
        <w:rPr>
          <w:rFonts w:ascii="Tahoma" w:eastAsia="Tahoma" w:hAnsi="Tahoma" w:cs="Tahoma"/>
          <w:sz w:val="24"/>
          <w:szCs w:val="24"/>
        </w:rPr>
        <w:t>.</w:t>
      </w:r>
      <w:r w:rsidR="37EDDE91" w:rsidRPr="4CACCB5C">
        <w:rPr>
          <w:rFonts w:ascii="Tahoma" w:eastAsia="Tahoma" w:hAnsi="Tahoma" w:cs="Tahoma"/>
          <w:sz w:val="24"/>
          <w:szCs w:val="24"/>
        </w:rPr>
        <w:t xml:space="preserve"> Confidentiality concerns should be discussed with applicants’ legal representatives</w:t>
      </w:r>
      <w:r w:rsidR="004A557C" w:rsidRPr="34341375">
        <w:rPr>
          <w:rFonts w:ascii="Tahoma" w:eastAsia="Tahoma" w:hAnsi="Tahoma" w:cs="Tahoma"/>
          <w:sz w:val="24"/>
          <w:szCs w:val="24"/>
        </w:rPr>
        <w:t>.</w:t>
      </w:r>
    </w:p>
    <w:p w14:paraId="3F7477DD" w14:textId="77777777" w:rsidR="00A50996" w:rsidRDefault="00A50996" w:rsidP="00304287">
      <w:pPr>
        <w:spacing w:line="257" w:lineRule="auto"/>
        <w:rPr>
          <w:rFonts w:ascii="Tahoma" w:eastAsia="Tahoma" w:hAnsi="Tahoma" w:cs="Tahoma"/>
          <w:sz w:val="24"/>
          <w:szCs w:val="24"/>
        </w:rPr>
      </w:pPr>
    </w:p>
    <w:p w14:paraId="733B56FA" w14:textId="6A194BD5" w:rsidR="00A7242A" w:rsidRDefault="00A7242A"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0C16502" w:rsidRPr="34341375">
        <w:rPr>
          <w:rFonts w:ascii="Tahoma" w:eastAsia="Tahoma" w:hAnsi="Tahoma" w:cs="Tahoma"/>
          <w:sz w:val="24"/>
          <w:szCs w:val="24"/>
        </w:rPr>
        <w:t>Will military sites qualify?</w:t>
      </w:r>
    </w:p>
    <w:p w14:paraId="243B4A14" w14:textId="033BF148" w:rsidR="00A7242A" w:rsidRDefault="00A7242A" w:rsidP="00304287">
      <w:pPr>
        <w:spacing w:line="257" w:lineRule="auto"/>
        <w:ind w:left="720"/>
        <w:rPr>
          <w:rFonts w:ascii="Tahoma" w:eastAsia="Tahoma" w:hAnsi="Tahoma" w:cs="Tahoma"/>
          <w:sz w:val="24"/>
          <w:szCs w:val="24"/>
        </w:rPr>
      </w:pPr>
      <w:r w:rsidRPr="4B7E8AE1">
        <w:rPr>
          <w:rFonts w:ascii="Tahoma" w:eastAsia="Tahoma" w:hAnsi="Tahoma" w:cs="Tahoma"/>
          <w:b/>
          <w:bCs/>
          <w:sz w:val="24"/>
          <w:szCs w:val="24"/>
        </w:rPr>
        <w:t xml:space="preserve">A: </w:t>
      </w:r>
      <w:r w:rsidR="3CDA5310" w:rsidRPr="4CACCB5C">
        <w:rPr>
          <w:rFonts w:ascii="Tahoma" w:eastAsia="Tahoma" w:hAnsi="Tahoma" w:cs="Tahoma"/>
          <w:sz w:val="24"/>
          <w:szCs w:val="24"/>
        </w:rPr>
        <w:t xml:space="preserve">Per page 6 of this GFO, “Demonstration/deployment sites must be located in a California electric IOU service territory”. This GFO defines Investor-owned utility or IOU as an electrical corporation as defined in California Public Utilities Code section 218. For purposes of this GFO, it includes Pacific Gas and Electric Co., San Diego Gas and Electric Co., and Southern California Edison Co. </w:t>
      </w:r>
      <w:r w:rsidR="25280520" w:rsidRPr="4CACCB5C">
        <w:rPr>
          <w:rFonts w:ascii="Tahoma" w:eastAsia="Tahoma" w:hAnsi="Tahoma" w:cs="Tahoma"/>
          <w:sz w:val="24"/>
          <w:szCs w:val="24"/>
        </w:rPr>
        <w:t>Therefore</w:t>
      </w:r>
      <w:r w:rsidR="00C35135" w:rsidRPr="4B7E8AE1">
        <w:rPr>
          <w:rFonts w:ascii="Tahoma" w:eastAsia="Tahoma" w:hAnsi="Tahoma" w:cs="Tahoma"/>
          <w:sz w:val="24"/>
          <w:szCs w:val="24"/>
        </w:rPr>
        <w:t xml:space="preserve">, </w:t>
      </w:r>
      <w:r w:rsidR="708A62DF" w:rsidRPr="4B7E8AE1">
        <w:rPr>
          <w:rFonts w:ascii="Tahoma" w:eastAsia="Tahoma" w:hAnsi="Tahoma" w:cs="Tahoma"/>
          <w:sz w:val="24"/>
          <w:szCs w:val="24"/>
        </w:rPr>
        <w:t xml:space="preserve">military sites may qualify </w:t>
      </w:r>
      <w:r w:rsidR="00C35135" w:rsidRPr="4B7E8AE1">
        <w:rPr>
          <w:rFonts w:ascii="Tahoma" w:eastAsia="Tahoma" w:hAnsi="Tahoma" w:cs="Tahoma"/>
          <w:sz w:val="24"/>
          <w:szCs w:val="24"/>
        </w:rPr>
        <w:t xml:space="preserve">if they </w:t>
      </w:r>
      <w:proofErr w:type="gramStart"/>
      <w:r w:rsidR="00C35135" w:rsidRPr="4B7E8AE1">
        <w:rPr>
          <w:rFonts w:ascii="Tahoma" w:eastAsia="Tahoma" w:hAnsi="Tahoma" w:cs="Tahoma"/>
          <w:sz w:val="24"/>
          <w:szCs w:val="24"/>
        </w:rPr>
        <w:t xml:space="preserve">are </w:t>
      </w:r>
      <w:r w:rsidR="5EB0DCB4" w:rsidRPr="4B7E8AE1">
        <w:rPr>
          <w:rFonts w:ascii="Tahoma" w:eastAsia="Tahoma" w:hAnsi="Tahoma" w:cs="Tahoma"/>
          <w:sz w:val="24"/>
          <w:szCs w:val="24"/>
        </w:rPr>
        <w:t xml:space="preserve">located </w:t>
      </w:r>
      <w:r w:rsidR="00C35135" w:rsidRPr="4B7E8AE1">
        <w:rPr>
          <w:rFonts w:ascii="Tahoma" w:eastAsia="Tahoma" w:hAnsi="Tahoma" w:cs="Tahoma"/>
          <w:sz w:val="24"/>
          <w:szCs w:val="24"/>
        </w:rPr>
        <w:t>in</w:t>
      </w:r>
      <w:proofErr w:type="gramEnd"/>
      <w:r w:rsidR="00C35135" w:rsidRPr="4B7E8AE1">
        <w:rPr>
          <w:rFonts w:ascii="Tahoma" w:eastAsia="Tahoma" w:hAnsi="Tahoma" w:cs="Tahoma"/>
          <w:sz w:val="24"/>
          <w:szCs w:val="24"/>
        </w:rPr>
        <w:t xml:space="preserve"> </w:t>
      </w:r>
      <w:r w:rsidR="00A24CF1">
        <w:rPr>
          <w:rFonts w:ascii="Tahoma" w:eastAsia="Tahoma" w:hAnsi="Tahoma" w:cs="Tahoma"/>
          <w:sz w:val="24"/>
          <w:szCs w:val="24"/>
        </w:rPr>
        <w:t xml:space="preserve">electric </w:t>
      </w:r>
      <w:r w:rsidR="00C35135" w:rsidRPr="4B7E8AE1">
        <w:rPr>
          <w:rFonts w:ascii="Tahoma" w:eastAsia="Tahoma" w:hAnsi="Tahoma" w:cs="Tahoma"/>
          <w:sz w:val="24"/>
          <w:szCs w:val="24"/>
        </w:rPr>
        <w:t>IOU territory</w:t>
      </w:r>
      <w:r w:rsidR="06FC34DE" w:rsidRPr="4CACCB5C">
        <w:rPr>
          <w:rFonts w:ascii="Tahoma" w:eastAsia="Tahoma" w:hAnsi="Tahoma" w:cs="Tahoma"/>
          <w:sz w:val="24"/>
          <w:szCs w:val="24"/>
        </w:rPr>
        <w:t xml:space="preserve"> (i.e., PG&amp;E, SDG&amp;E, or SCE)</w:t>
      </w:r>
      <w:r w:rsidR="6A469A77" w:rsidRPr="4CACCB5C">
        <w:rPr>
          <w:rFonts w:ascii="Tahoma" w:eastAsia="Tahoma" w:hAnsi="Tahoma" w:cs="Tahoma"/>
          <w:sz w:val="24"/>
          <w:szCs w:val="24"/>
        </w:rPr>
        <w:t>,</w:t>
      </w:r>
      <w:r w:rsidR="00C35135" w:rsidRPr="4B7E8AE1">
        <w:rPr>
          <w:rFonts w:ascii="Tahoma" w:eastAsia="Tahoma" w:hAnsi="Tahoma" w:cs="Tahoma"/>
          <w:sz w:val="24"/>
          <w:szCs w:val="24"/>
        </w:rPr>
        <w:t xml:space="preserve"> and the </w:t>
      </w:r>
      <w:r w:rsidR="5BBB5FA2" w:rsidRPr="4B7E8AE1">
        <w:rPr>
          <w:rFonts w:ascii="Tahoma" w:eastAsia="Tahoma" w:hAnsi="Tahoma" w:cs="Tahoma"/>
          <w:sz w:val="24"/>
          <w:szCs w:val="24"/>
        </w:rPr>
        <w:t xml:space="preserve">proposed </w:t>
      </w:r>
      <w:r w:rsidR="00C35135" w:rsidRPr="4B7E8AE1">
        <w:rPr>
          <w:rFonts w:ascii="Tahoma" w:eastAsia="Tahoma" w:hAnsi="Tahoma" w:cs="Tahoma"/>
          <w:sz w:val="24"/>
          <w:szCs w:val="24"/>
        </w:rPr>
        <w:t xml:space="preserve">project </w:t>
      </w:r>
      <w:r w:rsidR="289FC832" w:rsidRPr="4B7E8AE1">
        <w:rPr>
          <w:rFonts w:ascii="Tahoma" w:eastAsia="Tahoma" w:hAnsi="Tahoma" w:cs="Tahoma"/>
          <w:sz w:val="24"/>
          <w:szCs w:val="24"/>
        </w:rPr>
        <w:t xml:space="preserve">will provide </w:t>
      </w:r>
      <w:r w:rsidR="00C35135" w:rsidRPr="4B7E8AE1">
        <w:rPr>
          <w:rFonts w:ascii="Tahoma" w:eastAsia="Tahoma" w:hAnsi="Tahoma" w:cs="Tahoma"/>
          <w:sz w:val="24"/>
          <w:szCs w:val="24"/>
        </w:rPr>
        <w:t xml:space="preserve">benefits </w:t>
      </w:r>
      <w:r w:rsidR="793A282E" w:rsidRPr="4B7E8AE1">
        <w:rPr>
          <w:rFonts w:ascii="Tahoma" w:eastAsia="Tahoma" w:hAnsi="Tahoma" w:cs="Tahoma"/>
          <w:sz w:val="24"/>
          <w:szCs w:val="24"/>
        </w:rPr>
        <w:t xml:space="preserve">to </w:t>
      </w:r>
      <w:r w:rsidR="00C35135" w:rsidRPr="4B7E8AE1">
        <w:rPr>
          <w:rFonts w:ascii="Tahoma" w:eastAsia="Tahoma" w:hAnsi="Tahoma" w:cs="Tahoma"/>
          <w:sz w:val="24"/>
          <w:szCs w:val="24"/>
        </w:rPr>
        <w:t>a DAC,</w:t>
      </w:r>
      <w:r w:rsidR="0D3CED31" w:rsidRPr="4B7E8AE1">
        <w:rPr>
          <w:rFonts w:ascii="Tahoma" w:eastAsia="Tahoma" w:hAnsi="Tahoma" w:cs="Tahoma"/>
          <w:sz w:val="24"/>
          <w:szCs w:val="24"/>
        </w:rPr>
        <w:t xml:space="preserve"> </w:t>
      </w:r>
      <w:r w:rsidR="00C35135" w:rsidRPr="4B7E8AE1">
        <w:rPr>
          <w:rFonts w:ascii="Tahoma" w:eastAsia="Tahoma" w:hAnsi="Tahoma" w:cs="Tahoma"/>
          <w:sz w:val="24"/>
          <w:szCs w:val="24"/>
        </w:rPr>
        <w:t>LIC</w:t>
      </w:r>
      <w:r w:rsidR="00D101D0">
        <w:rPr>
          <w:rFonts w:ascii="Tahoma" w:eastAsia="Tahoma" w:hAnsi="Tahoma" w:cs="Tahoma"/>
          <w:sz w:val="24"/>
          <w:szCs w:val="24"/>
        </w:rPr>
        <w:t>,</w:t>
      </w:r>
      <w:r w:rsidR="00C35135" w:rsidRPr="4B7E8AE1">
        <w:rPr>
          <w:rFonts w:ascii="Tahoma" w:eastAsia="Tahoma" w:hAnsi="Tahoma" w:cs="Tahoma"/>
          <w:sz w:val="24"/>
          <w:szCs w:val="24"/>
        </w:rPr>
        <w:t xml:space="preserve"> or Trib</w:t>
      </w:r>
      <w:r w:rsidR="43F0684B" w:rsidRPr="4B7E8AE1">
        <w:rPr>
          <w:rFonts w:ascii="Tahoma" w:eastAsia="Tahoma" w:hAnsi="Tahoma" w:cs="Tahoma"/>
          <w:sz w:val="24"/>
          <w:szCs w:val="24"/>
        </w:rPr>
        <w:t>e</w:t>
      </w:r>
      <w:r w:rsidR="00C35135" w:rsidRPr="4B7E8AE1">
        <w:rPr>
          <w:rFonts w:ascii="Tahoma" w:eastAsia="Tahoma" w:hAnsi="Tahoma" w:cs="Tahoma"/>
          <w:sz w:val="24"/>
          <w:szCs w:val="24"/>
        </w:rPr>
        <w:t>.</w:t>
      </w:r>
    </w:p>
    <w:p w14:paraId="3768D5CB" w14:textId="77777777" w:rsidR="00A7242A" w:rsidRDefault="00A7242A" w:rsidP="00304287">
      <w:pPr>
        <w:spacing w:line="257" w:lineRule="auto"/>
        <w:rPr>
          <w:rFonts w:ascii="Tahoma" w:eastAsia="Tahoma" w:hAnsi="Tahoma" w:cs="Tahoma"/>
          <w:sz w:val="24"/>
          <w:szCs w:val="24"/>
        </w:rPr>
      </w:pPr>
    </w:p>
    <w:p w14:paraId="601AA5E2" w14:textId="12A1F203" w:rsidR="007D175D" w:rsidRPr="007D175D" w:rsidRDefault="00A7242A" w:rsidP="00DE7060">
      <w:pPr>
        <w:pStyle w:val="ListParagraph"/>
        <w:numPr>
          <w:ilvl w:val="0"/>
          <w:numId w:val="16"/>
        </w:numPr>
        <w:spacing w:line="257" w:lineRule="auto"/>
        <w:ind w:hanging="720"/>
        <w:rPr>
          <w:rFonts w:ascii="Tahoma" w:eastAsia="Tahoma" w:hAnsi="Tahoma" w:cs="Tahoma"/>
          <w:sz w:val="24"/>
          <w:szCs w:val="24"/>
        </w:rPr>
      </w:pPr>
      <w:r w:rsidRPr="2D2E91FD">
        <w:rPr>
          <w:rFonts w:ascii="Tahoma" w:eastAsia="Tahoma" w:hAnsi="Tahoma" w:cs="Tahoma"/>
          <w:b/>
          <w:bCs/>
          <w:sz w:val="24"/>
          <w:szCs w:val="24"/>
        </w:rPr>
        <w:t>Q:</w:t>
      </w:r>
      <w:r w:rsidRPr="2D2E91FD">
        <w:rPr>
          <w:rFonts w:ascii="Tahoma" w:eastAsia="Tahoma" w:hAnsi="Tahoma" w:cs="Tahoma"/>
          <w:sz w:val="24"/>
          <w:szCs w:val="24"/>
        </w:rPr>
        <w:t xml:space="preserve"> </w:t>
      </w:r>
      <w:r w:rsidR="007D175D" w:rsidRPr="2D2E91FD">
        <w:rPr>
          <w:rFonts w:ascii="Tahoma" w:eastAsia="Tahoma" w:hAnsi="Tahoma" w:cs="Tahoma"/>
          <w:sz w:val="24"/>
          <w:szCs w:val="24"/>
        </w:rPr>
        <w:t xml:space="preserve">This would be related to a concept covered by a patent. </w:t>
      </w:r>
    </w:p>
    <w:p w14:paraId="2A31C7A2" w14:textId="2B3B35A6"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I thought I had a </w:t>
      </w:r>
      <w:proofErr w:type="gramStart"/>
      <w:r w:rsidRPr="34341375">
        <w:rPr>
          <w:rFonts w:ascii="Tahoma" w:eastAsia="Tahoma" w:hAnsi="Tahoma" w:cs="Tahoma"/>
          <w:sz w:val="24"/>
          <w:szCs w:val="24"/>
        </w:rPr>
        <w:t>fairly novel</w:t>
      </w:r>
      <w:proofErr w:type="gramEnd"/>
      <w:r w:rsidRPr="34341375">
        <w:rPr>
          <w:rFonts w:ascii="Tahoma" w:eastAsia="Tahoma" w:hAnsi="Tahoma" w:cs="Tahoma"/>
          <w:sz w:val="24"/>
          <w:szCs w:val="24"/>
        </w:rPr>
        <w:t xml:space="preserve"> approach, but through an initial search from references in the solicitation material and further research, I was able to determine that this concept was pretty much fully covered by a patent recently awarded in 2022 to an entity outside of California. </w:t>
      </w:r>
    </w:p>
    <w:p w14:paraId="68C22617" w14:textId="22E9F9ED"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I do not believe that this entity is required for the completion of the project as all components (and expertise) should be readily commercially available, but what would be our obligations towards this entity? </w:t>
      </w:r>
    </w:p>
    <w:p w14:paraId="515781B1" w14:textId="5F2C270F"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My initial concern was that, having this entity as part of the project would have reduced the percentage of funds used in California, thereby reduced our score in your evaluation. </w:t>
      </w:r>
    </w:p>
    <w:p w14:paraId="63F32F4B" w14:textId="3CDB9A42"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Again, what would be the obligations towards patent holders in the power industry considering that they may not have put into practice their IP since they are not a commercial entity? </w:t>
      </w:r>
    </w:p>
    <w:p w14:paraId="01A654BE" w14:textId="5C35EE7F"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If there are obligations required (e.g., monetary), would these obligations lower our score (since outside CA) even if we do not use their services? </w:t>
      </w:r>
    </w:p>
    <w:p w14:paraId="5B3E58E5" w14:textId="43E4DD2F" w:rsidR="007D175D" w:rsidRPr="007D175D" w:rsidRDefault="007D175D"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Looking deeper, they did win a DOE contest as most disruptive innovation and were funded by the DOE to build a small prototype, and other energy institutions have invested in them. </w:t>
      </w:r>
    </w:p>
    <w:p w14:paraId="6CF681E0" w14:textId="58246415" w:rsidR="00A7242A" w:rsidRDefault="007D175D"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I believe I have identified the ideal site with a critical infrastructure for a </w:t>
      </w:r>
      <w:proofErr w:type="gramStart"/>
      <w:r w:rsidRPr="2D2E91FD">
        <w:rPr>
          <w:rFonts w:ascii="Tahoma" w:eastAsia="Tahoma" w:hAnsi="Tahoma" w:cs="Tahoma"/>
          <w:sz w:val="24"/>
          <w:szCs w:val="24"/>
        </w:rPr>
        <w:t>full scale</w:t>
      </w:r>
      <w:proofErr w:type="gramEnd"/>
      <w:r w:rsidRPr="2D2E91FD">
        <w:rPr>
          <w:rFonts w:ascii="Tahoma" w:eastAsia="Tahoma" w:hAnsi="Tahoma" w:cs="Tahoma"/>
          <w:sz w:val="24"/>
          <w:szCs w:val="24"/>
        </w:rPr>
        <w:t xml:space="preserve"> implementation (100kW to start with and expandable) in a LIC and serving both LIC and DAC communities. </w:t>
      </w:r>
    </w:p>
    <w:p w14:paraId="4A5E1413" w14:textId="123037DC" w:rsidR="1C3DED32" w:rsidRDefault="1C3DED32" w:rsidP="00304287">
      <w:pPr>
        <w:spacing w:line="257" w:lineRule="auto"/>
        <w:ind w:left="720"/>
        <w:rPr>
          <w:rFonts w:ascii="Tahoma" w:eastAsia="Tahoma" w:hAnsi="Tahoma" w:cs="Tahoma"/>
          <w:sz w:val="24"/>
          <w:szCs w:val="24"/>
        </w:rPr>
      </w:pPr>
      <w:r w:rsidRPr="46370A8A">
        <w:rPr>
          <w:rFonts w:ascii="Tahoma" w:eastAsia="Tahoma" w:hAnsi="Tahoma" w:cs="Tahoma"/>
          <w:b/>
          <w:bCs/>
          <w:sz w:val="24"/>
          <w:szCs w:val="24"/>
        </w:rPr>
        <w:t xml:space="preserve">A: </w:t>
      </w:r>
      <w:r w:rsidR="4670F148" w:rsidRPr="46370A8A">
        <w:rPr>
          <w:rFonts w:ascii="Tahoma" w:eastAsia="Tahoma" w:hAnsi="Tahoma" w:cs="Tahoma"/>
          <w:sz w:val="24"/>
          <w:szCs w:val="24"/>
        </w:rPr>
        <w:t>The CEC does</w:t>
      </w:r>
      <w:r w:rsidR="2D24CBCE" w:rsidRPr="46370A8A">
        <w:rPr>
          <w:rFonts w:ascii="Tahoma" w:eastAsia="Tahoma" w:hAnsi="Tahoma" w:cs="Tahoma"/>
          <w:sz w:val="24"/>
          <w:szCs w:val="24"/>
        </w:rPr>
        <w:t xml:space="preserve"> not</w:t>
      </w:r>
      <w:r w:rsidR="7B0AACCF" w:rsidRPr="46370A8A">
        <w:rPr>
          <w:rFonts w:ascii="Tahoma" w:eastAsia="Tahoma" w:hAnsi="Tahoma" w:cs="Tahoma"/>
          <w:sz w:val="24"/>
          <w:szCs w:val="24"/>
        </w:rPr>
        <w:t xml:space="preserve"> </w:t>
      </w:r>
      <w:r w:rsidR="2D24CBCE" w:rsidRPr="46370A8A">
        <w:rPr>
          <w:rFonts w:ascii="Tahoma" w:eastAsia="Tahoma" w:hAnsi="Tahoma" w:cs="Tahoma"/>
          <w:sz w:val="24"/>
          <w:szCs w:val="24"/>
        </w:rPr>
        <w:t xml:space="preserve">provide specific legal advice regarding any applicant's obligations to potential or registered patent holders. </w:t>
      </w:r>
      <w:r w:rsidR="1C2742ED" w:rsidRPr="46370A8A">
        <w:rPr>
          <w:rFonts w:ascii="Tahoma" w:eastAsia="Tahoma" w:hAnsi="Tahoma" w:cs="Tahoma"/>
          <w:sz w:val="24"/>
          <w:szCs w:val="24"/>
        </w:rPr>
        <w:t xml:space="preserve">Applicant should </w:t>
      </w:r>
      <w:r w:rsidR="2D24CBCE" w:rsidRPr="46370A8A">
        <w:rPr>
          <w:rFonts w:ascii="Tahoma" w:eastAsia="Tahoma" w:hAnsi="Tahoma" w:cs="Tahoma"/>
          <w:sz w:val="24"/>
          <w:szCs w:val="24"/>
        </w:rPr>
        <w:t xml:space="preserve">discuss </w:t>
      </w:r>
      <w:r w:rsidR="6A469A77" w:rsidRPr="46370A8A">
        <w:rPr>
          <w:rFonts w:ascii="Tahoma" w:eastAsia="Tahoma" w:hAnsi="Tahoma" w:cs="Tahoma"/>
          <w:sz w:val="24"/>
          <w:szCs w:val="24"/>
        </w:rPr>
        <w:t xml:space="preserve">this </w:t>
      </w:r>
      <w:r w:rsidR="2D24CBCE" w:rsidRPr="46370A8A">
        <w:rPr>
          <w:rFonts w:ascii="Tahoma" w:eastAsia="Tahoma" w:hAnsi="Tahoma" w:cs="Tahoma"/>
          <w:sz w:val="24"/>
          <w:szCs w:val="24"/>
        </w:rPr>
        <w:t xml:space="preserve">with </w:t>
      </w:r>
      <w:r w:rsidR="2662F0A5" w:rsidRPr="46370A8A">
        <w:rPr>
          <w:rFonts w:ascii="Tahoma" w:eastAsia="Tahoma" w:hAnsi="Tahoma" w:cs="Tahoma"/>
          <w:sz w:val="24"/>
          <w:szCs w:val="24"/>
        </w:rPr>
        <w:t xml:space="preserve">their </w:t>
      </w:r>
      <w:r w:rsidR="2D24CBCE" w:rsidRPr="46370A8A">
        <w:rPr>
          <w:rFonts w:ascii="Tahoma" w:eastAsia="Tahoma" w:hAnsi="Tahoma" w:cs="Tahoma"/>
          <w:sz w:val="24"/>
          <w:szCs w:val="24"/>
        </w:rPr>
        <w:t xml:space="preserve">counsel. If an applicant is selected for an award, the CEC assesses </w:t>
      </w:r>
      <w:r w:rsidR="036386F3" w:rsidRPr="46370A8A">
        <w:rPr>
          <w:rFonts w:ascii="Tahoma" w:eastAsia="Tahoma" w:hAnsi="Tahoma" w:cs="Tahoma"/>
          <w:sz w:val="24"/>
          <w:szCs w:val="24"/>
        </w:rPr>
        <w:t xml:space="preserve">the </w:t>
      </w:r>
      <w:r w:rsidR="2D24CBCE" w:rsidRPr="46370A8A">
        <w:rPr>
          <w:rFonts w:ascii="Tahoma" w:eastAsia="Tahoma" w:hAnsi="Tahoma" w:cs="Tahoma"/>
          <w:sz w:val="24"/>
          <w:szCs w:val="24"/>
        </w:rPr>
        <w:t xml:space="preserve">IP involved in that project during the agreement development phase. The CEC requires </w:t>
      </w:r>
      <w:r w:rsidR="036386F3" w:rsidRPr="46370A8A">
        <w:rPr>
          <w:rFonts w:ascii="Tahoma" w:eastAsia="Tahoma" w:hAnsi="Tahoma" w:cs="Tahoma"/>
          <w:sz w:val="24"/>
          <w:szCs w:val="24"/>
        </w:rPr>
        <w:t xml:space="preserve">the </w:t>
      </w:r>
      <w:r w:rsidR="2D24CBCE" w:rsidRPr="46370A8A">
        <w:rPr>
          <w:rFonts w:ascii="Tahoma" w:eastAsia="Tahoma" w:hAnsi="Tahoma" w:cs="Tahoma"/>
          <w:sz w:val="24"/>
          <w:szCs w:val="24"/>
        </w:rPr>
        <w:t>permission of all IP owners for any IP used in a particular project. Sometimes, the IP owner is a project partner or subrecipient. The minimum is a letter of permission and/or license for a project to proceed with funding.</w:t>
      </w:r>
    </w:p>
    <w:p w14:paraId="26FEA293" w14:textId="734DF88A" w:rsidR="34341375" w:rsidRDefault="34341375" w:rsidP="00304287">
      <w:pPr>
        <w:spacing w:line="257" w:lineRule="auto"/>
        <w:rPr>
          <w:rFonts w:ascii="Tahoma" w:eastAsia="Tahoma" w:hAnsi="Tahoma" w:cs="Tahoma"/>
          <w:sz w:val="24"/>
          <w:szCs w:val="24"/>
        </w:rPr>
      </w:pPr>
    </w:p>
    <w:p w14:paraId="1F9609E3" w14:textId="262872A9" w:rsidR="00A963CF" w:rsidRDefault="4CFDB660" w:rsidP="00DE7060">
      <w:pPr>
        <w:pStyle w:val="ListParagraph"/>
        <w:numPr>
          <w:ilvl w:val="0"/>
          <w:numId w:val="16"/>
        </w:numPr>
        <w:spacing w:line="257" w:lineRule="auto"/>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How many groups appear to be interested in this solicitation?  It would be nice to have an idea of anyone's chances considering that you would only fund a maximum of 7 projects.</w:t>
      </w:r>
    </w:p>
    <w:p w14:paraId="624F6167" w14:textId="12CBA5A6" w:rsidR="00A963CF" w:rsidRDefault="4CFDB660"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 xml:space="preserve">A: </w:t>
      </w:r>
      <w:r w:rsidR="793965D7" w:rsidRPr="2D2E91FD">
        <w:rPr>
          <w:rFonts w:ascii="Tahoma" w:eastAsia="Tahoma" w:hAnsi="Tahoma" w:cs="Tahoma"/>
          <w:sz w:val="24"/>
          <w:szCs w:val="24"/>
        </w:rPr>
        <w:t>Th</w:t>
      </w:r>
      <w:r w:rsidR="007F35B5">
        <w:rPr>
          <w:rFonts w:ascii="Tahoma" w:eastAsia="Tahoma" w:hAnsi="Tahoma" w:cs="Tahoma"/>
          <w:sz w:val="24"/>
          <w:szCs w:val="24"/>
        </w:rPr>
        <w:t xml:space="preserve">is is an open competitive solicitation that does not limit the number of applications; therefore, </w:t>
      </w:r>
      <w:r w:rsidR="00D06063">
        <w:rPr>
          <w:rFonts w:ascii="Tahoma" w:eastAsia="Tahoma" w:hAnsi="Tahoma" w:cs="Tahoma"/>
          <w:sz w:val="24"/>
          <w:szCs w:val="24"/>
        </w:rPr>
        <w:t>th</w:t>
      </w:r>
      <w:r w:rsidR="793965D7" w:rsidRPr="2D2E91FD">
        <w:rPr>
          <w:rFonts w:ascii="Tahoma" w:eastAsia="Tahoma" w:hAnsi="Tahoma" w:cs="Tahoma"/>
          <w:sz w:val="24"/>
          <w:szCs w:val="24"/>
        </w:rPr>
        <w:t>e CEC</w:t>
      </w:r>
      <w:r w:rsidRPr="2D2E91FD">
        <w:rPr>
          <w:rFonts w:ascii="Tahoma" w:eastAsia="Tahoma" w:hAnsi="Tahoma" w:cs="Tahoma"/>
          <w:sz w:val="24"/>
          <w:szCs w:val="24"/>
        </w:rPr>
        <w:t xml:space="preserve"> do</w:t>
      </w:r>
      <w:r w:rsidR="300C6A00" w:rsidRPr="2D2E91FD">
        <w:rPr>
          <w:rFonts w:ascii="Tahoma" w:eastAsia="Tahoma" w:hAnsi="Tahoma" w:cs="Tahoma"/>
          <w:sz w:val="24"/>
          <w:szCs w:val="24"/>
        </w:rPr>
        <w:t>es</w:t>
      </w:r>
      <w:r w:rsidRPr="2D2E91FD">
        <w:rPr>
          <w:rFonts w:ascii="Tahoma" w:eastAsia="Tahoma" w:hAnsi="Tahoma" w:cs="Tahoma"/>
          <w:sz w:val="24"/>
          <w:szCs w:val="24"/>
        </w:rPr>
        <w:t xml:space="preserve"> not know how many applications this </w:t>
      </w:r>
      <w:r w:rsidR="447E1E82" w:rsidRPr="2D2E91FD">
        <w:rPr>
          <w:rFonts w:ascii="Tahoma" w:eastAsia="Tahoma" w:hAnsi="Tahoma" w:cs="Tahoma"/>
          <w:sz w:val="24"/>
          <w:szCs w:val="24"/>
        </w:rPr>
        <w:t>GFO</w:t>
      </w:r>
      <w:r w:rsidRPr="2D2E91FD">
        <w:rPr>
          <w:rFonts w:ascii="Tahoma" w:eastAsia="Tahoma" w:hAnsi="Tahoma" w:cs="Tahoma"/>
          <w:sz w:val="24"/>
          <w:szCs w:val="24"/>
        </w:rPr>
        <w:t xml:space="preserve"> will receive.</w:t>
      </w:r>
    </w:p>
    <w:p w14:paraId="5D831EA6" w14:textId="21393622" w:rsidR="34341375" w:rsidRDefault="34341375" w:rsidP="00304287">
      <w:pPr>
        <w:spacing w:line="257" w:lineRule="auto"/>
        <w:rPr>
          <w:rFonts w:ascii="Tahoma" w:eastAsia="Tahoma" w:hAnsi="Tahoma" w:cs="Tahoma"/>
          <w:sz w:val="24"/>
          <w:szCs w:val="24"/>
        </w:rPr>
      </w:pPr>
    </w:p>
    <w:p w14:paraId="1C0154A7" w14:textId="692A1114" w:rsidR="00B609FC" w:rsidRPr="00B609FC" w:rsidRDefault="00A963CF"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00B609FC" w:rsidRPr="34341375">
        <w:rPr>
          <w:rFonts w:ascii="Tahoma" w:eastAsia="Tahoma" w:hAnsi="Tahoma" w:cs="Tahoma"/>
          <w:sz w:val="24"/>
          <w:szCs w:val="24"/>
        </w:rPr>
        <w:t xml:space="preserve"> </w:t>
      </w:r>
      <w:r w:rsidR="6517BB6C" w:rsidRPr="34341375">
        <w:rPr>
          <w:rFonts w:ascii="Tahoma" w:eastAsia="Tahoma" w:hAnsi="Tahoma" w:cs="Tahoma"/>
          <w:sz w:val="24"/>
          <w:szCs w:val="24"/>
        </w:rPr>
        <w:t>I</w:t>
      </w:r>
      <w:r w:rsidR="00B609FC" w:rsidRPr="34341375">
        <w:rPr>
          <w:rFonts w:ascii="Tahoma" w:eastAsia="Tahoma" w:hAnsi="Tahoma" w:cs="Tahoma"/>
          <w:sz w:val="24"/>
          <w:szCs w:val="24"/>
        </w:rPr>
        <w:t xml:space="preserve">f </w:t>
      </w:r>
      <w:r w:rsidR="2C32CBA6" w:rsidRPr="34341375">
        <w:rPr>
          <w:rFonts w:ascii="Tahoma" w:eastAsia="Tahoma" w:hAnsi="Tahoma" w:cs="Tahoma"/>
          <w:sz w:val="24"/>
          <w:szCs w:val="24"/>
        </w:rPr>
        <w:t>an out-of-state entity</w:t>
      </w:r>
      <w:r w:rsidR="00B609FC" w:rsidRPr="34341375">
        <w:rPr>
          <w:rFonts w:ascii="Tahoma" w:eastAsia="Tahoma" w:hAnsi="Tahoma" w:cs="Tahoma"/>
          <w:sz w:val="24"/>
          <w:szCs w:val="24"/>
        </w:rPr>
        <w:t xml:space="preserve"> become a project partner, then our percentage of</w:t>
      </w:r>
      <w:r w:rsidR="3821335F" w:rsidRPr="34341375">
        <w:rPr>
          <w:rFonts w:ascii="Tahoma" w:eastAsia="Tahoma" w:hAnsi="Tahoma" w:cs="Tahoma"/>
          <w:sz w:val="24"/>
          <w:szCs w:val="24"/>
        </w:rPr>
        <w:t xml:space="preserve"> funds spent in </w:t>
      </w:r>
      <w:r w:rsidR="00B609FC" w:rsidRPr="34341375">
        <w:rPr>
          <w:rFonts w:ascii="Tahoma" w:eastAsia="Tahoma" w:hAnsi="Tahoma" w:cs="Tahoma"/>
          <w:sz w:val="24"/>
          <w:szCs w:val="24"/>
        </w:rPr>
        <w:t xml:space="preserve">California would decrease, especially if they </w:t>
      </w:r>
      <w:r w:rsidR="192014ED" w:rsidRPr="34341375">
        <w:rPr>
          <w:rFonts w:ascii="Tahoma" w:eastAsia="Tahoma" w:hAnsi="Tahoma" w:cs="Tahoma"/>
          <w:sz w:val="24"/>
          <w:szCs w:val="24"/>
        </w:rPr>
        <w:t xml:space="preserve">are </w:t>
      </w:r>
      <w:r w:rsidR="00B609FC" w:rsidRPr="34341375">
        <w:rPr>
          <w:rFonts w:ascii="Tahoma" w:eastAsia="Tahoma" w:hAnsi="Tahoma" w:cs="Tahoma"/>
          <w:sz w:val="24"/>
          <w:szCs w:val="24"/>
        </w:rPr>
        <w:t>require</w:t>
      </w:r>
      <w:r w:rsidR="0CAED6F3" w:rsidRPr="34341375">
        <w:rPr>
          <w:rFonts w:ascii="Tahoma" w:eastAsia="Tahoma" w:hAnsi="Tahoma" w:cs="Tahoma"/>
          <w:sz w:val="24"/>
          <w:szCs w:val="24"/>
        </w:rPr>
        <w:t>d</w:t>
      </w:r>
      <w:r w:rsidR="00B609FC" w:rsidRPr="34341375">
        <w:rPr>
          <w:rFonts w:ascii="Tahoma" w:eastAsia="Tahoma" w:hAnsi="Tahoma" w:cs="Tahoma"/>
          <w:sz w:val="24"/>
          <w:szCs w:val="24"/>
        </w:rPr>
        <w:t xml:space="preserve"> to visit the site for their own research, and our chances of being awarded a grant would be decreased, correct? </w:t>
      </w:r>
    </w:p>
    <w:p w14:paraId="7A1952E5" w14:textId="77777777" w:rsidR="00B609FC" w:rsidRPr="00B609FC" w:rsidRDefault="00B609FC" w:rsidP="00304287">
      <w:pPr>
        <w:spacing w:line="257" w:lineRule="auto"/>
        <w:ind w:left="720"/>
        <w:rPr>
          <w:rFonts w:ascii="Tahoma" w:eastAsia="Tahoma" w:hAnsi="Tahoma" w:cs="Tahoma"/>
          <w:sz w:val="24"/>
          <w:szCs w:val="24"/>
        </w:rPr>
      </w:pPr>
      <w:r w:rsidRPr="34341375">
        <w:rPr>
          <w:rFonts w:ascii="Tahoma" w:eastAsia="Tahoma" w:hAnsi="Tahoma" w:cs="Tahoma"/>
          <w:sz w:val="24"/>
          <w:szCs w:val="24"/>
        </w:rPr>
        <w:t xml:space="preserve">Would there be special consideration for being essentially obligated to include them in the project? </w:t>
      </w:r>
    </w:p>
    <w:p w14:paraId="388E1F4A" w14:textId="77777777" w:rsidR="00B609FC" w:rsidRPr="00B609FC" w:rsidRDefault="00B609FC" w:rsidP="00304287">
      <w:pPr>
        <w:spacing w:line="257" w:lineRule="auto"/>
        <w:ind w:left="720"/>
        <w:rPr>
          <w:rFonts w:ascii="Tahoma" w:eastAsia="Tahoma" w:hAnsi="Tahoma" w:cs="Tahoma"/>
          <w:sz w:val="24"/>
          <w:szCs w:val="24"/>
        </w:rPr>
      </w:pPr>
      <w:proofErr w:type="gramStart"/>
      <w:r w:rsidRPr="2D2E91FD">
        <w:rPr>
          <w:rFonts w:ascii="Tahoma" w:eastAsia="Tahoma" w:hAnsi="Tahoma" w:cs="Tahoma"/>
          <w:sz w:val="24"/>
          <w:szCs w:val="24"/>
        </w:rPr>
        <w:t>Actually, from</w:t>
      </w:r>
      <w:proofErr w:type="gramEnd"/>
      <w:r w:rsidRPr="2D2E91FD">
        <w:rPr>
          <w:rFonts w:ascii="Tahoma" w:eastAsia="Tahoma" w:hAnsi="Tahoma" w:cs="Tahoma"/>
          <w:sz w:val="24"/>
          <w:szCs w:val="24"/>
        </w:rPr>
        <w:t xml:space="preserve"> what you wrote, IP does not need to be disclosed in the initial application, thereby no funds specifically dedicated to IP holders, at least until the agreement development phase. Then again, it does not make sense to not mention the IP since this existing IP should support the viability of the project. </w:t>
      </w:r>
    </w:p>
    <w:p w14:paraId="3CCB734E" w14:textId="2C90F21A" w:rsidR="00A963CF" w:rsidRPr="00B609FC" w:rsidRDefault="00B609FC" w:rsidP="00304287">
      <w:pPr>
        <w:spacing w:line="257" w:lineRule="auto"/>
        <w:ind w:left="720"/>
        <w:rPr>
          <w:rFonts w:ascii="Tahoma" w:eastAsia="Tahoma" w:hAnsi="Tahoma" w:cs="Tahoma"/>
          <w:b/>
          <w:bCs/>
          <w:sz w:val="24"/>
          <w:szCs w:val="24"/>
        </w:rPr>
      </w:pPr>
      <w:r w:rsidRPr="2D2E91FD">
        <w:rPr>
          <w:rFonts w:ascii="Tahoma" w:eastAsia="Tahoma" w:hAnsi="Tahoma" w:cs="Tahoma"/>
          <w:sz w:val="24"/>
          <w:szCs w:val="24"/>
        </w:rPr>
        <w:t xml:space="preserve">So, would it be possible to mention the IP without considering the funds involved, to avoid being penalized because the IP is not owned in California? </w:t>
      </w:r>
    </w:p>
    <w:p w14:paraId="17578DA0" w14:textId="34A5F79E" w:rsidR="00A963CF" w:rsidRPr="00B609FC" w:rsidRDefault="00A963CF"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3569EF55" w:rsidRPr="2D2E91FD">
        <w:rPr>
          <w:rFonts w:ascii="Tahoma" w:eastAsia="Tahoma" w:hAnsi="Tahoma" w:cs="Tahoma"/>
          <w:b/>
          <w:bCs/>
          <w:sz w:val="24"/>
          <w:szCs w:val="24"/>
        </w:rPr>
        <w:t xml:space="preserve"> </w:t>
      </w:r>
      <w:r w:rsidR="6211215F" w:rsidRPr="4CACCB5C">
        <w:rPr>
          <w:rFonts w:ascii="Tahoma" w:eastAsia="Tahoma" w:hAnsi="Tahoma" w:cs="Tahoma"/>
          <w:sz w:val="24"/>
          <w:szCs w:val="24"/>
        </w:rPr>
        <w:t xml:space="preserve">Under this GFO, </w:t>
      </w:r>
      <w:r w:rsidR="6211215F" w:rsidRPr="4CACCB5C">
        <w:rPr>
          <w:rFonts w:ascii="Arial" w:eastAsia="Arial" w:hAnsi="Arial" w:cs="Arial"/>
          <w:sz w:val="24"/>
          <w:szCs w:val="24"/>
        </w:rPr>
        <w:t xml:space="preserve">"Spent in California" means that: </w:t>
      </w:r>
    </w:p>
    <w:p w14:paraId="6E5DE944" w14:textId="0727E16F" w:rsidR="00A963CF" w:rsidRPr="00B609FC" w:rsidRDefault="6211215F" w:rsidP="00304287">
      <w:pPr>
        <w:spacing w:line="257" w:lineRule="auto"/>
        <w:ind w:left="720"/>
        <w:rPr>
          <w:rFonts w:ascii="Tahoma" w:eastAsia="Tahoma" w:hAnsi="Tahoma" w:cs="Tahoma"/>
          <w:sz w:val="24"/>
          <w:szCs w:val="24"/>
        </w:rPr>
      </w:pPr>
      <w:r w:rsidRPr="4CACCB5C">
        <w:rPr>
          <w:rFonts w:ascii="Tahoma" w:eastAsia="Tahoma" w:hAnsi="Tahoma" w:cs="Tahoma"/>
          <w:sz w:val="24"/>
          <w:szCs w:val="24"/>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 </w:t>
      </w:r>
    </w:p>
    <w:p w14:paraId="736246B0" w14:textId="354EDECE" w:rsidR="00A963CF" w:rsidRPr="00B609FC" w:rsidRDefault="6211215F" w:rsidP="00304287">
      <w:pPr>
        <w:spacing w:line="257" w:lineRule="auto"/>
        <w:ind w:left="720"/>
        <w:rPr>
          <w:rFonts w:ascii="Tahoma" w:eastAsia="Tahoma" w:hAnsi="Tahoma" w:cs="Tahoma"/>
          <w:sz w:val="24"/>
          <w:szCs w:val="24"/>
        </w:rPr>
      </w:pPr>
      <w:r w:rsidRPr="4CACCB5C">
        <w:rPr>
          <w:rFonts w:ascii="Tahoma" w:eastAsia="Tahoma" w:hAnsi="Tahoma" w:cs="Tahoma"/>
          <w:sz w:val="24"/>
          <w:szCs w:val="24"/>
        </w:rPr>
        <w:t xml:space="preserve">(2) Business transactions (e.g., material and equipment purchases, leases, and rentals) are entered into with a business located in California. </w:t>
      </w:r>
    </w:p>
    <w:p w14:paraId="04148854" w14:textId="20FEEE54" w:rsidR="00A963CF" w:rsidRPr="00B609FC" w:rsidRDefault="6211215F" w:rsidP="00304287">
      <w:pPr>
        <w:spacing w:line="257" w:lineRule="auto"/>
        <w:ind w:left="720"/>
        <w:rPr>
          <w:rFonts w:ascii="Tahoma" w:eastAsia="Tahoma" w:hAnsi="Tahoma" w:cs="Tahoma"/>
          <w:sz w:val="24"/>
          <w:szCs w:val="24"/>
        </w:rPr>
      </w:pPr>
      <w:r w:rsidRPr="4CACCB5C">
        <w:rPr>
          <w:rFonts w:ascii="Tahoma" w:eastAsia="Tahoma" w:hAnsi="Tahoma" w:cs="Tahoma"/>
          <w:sz w:val="24"/>
          <w:szCs w:val="24"/>
        </w:rPr>
        <w:t xml:space="preserve">(3) Total should include any applicable subcontractors. </w:t>
      </w:r>
    </w:p>
    <w:p w14:paraId="78C92DC2" w14:textId="5918719A" w:rsidR="00A963CF" w:rsidRPr="00B609FC" w:rsidRDefault="23B80DD3"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 xml:space="preserve">Funds Spent in California are based on the percentage of CEC funds used in California to the total amount of CEC funds requested. Match funds are not counted in the Funds Spent in California </w:t>
      </w:r>
      <w:r w:rsidR="2CD15576" w:rsidRPr="2D2E91FD">
        <w:rPr>
          <w:rFonts w:ascii="Tahoma" w:eastAsia="Tahoma" w:hAnsi="Tahoma" w:cs="Tahoma"/>
          <w:sz w:val="24"/>
          <w:szCs w:val="24"/>
        </w:rPr>
        <w:t>points calculation. Please note that if at any time during the agreement term</w:t>
      </w:r>
      <w:r w:rsidR="00747DEA">
        <w:rPr>
          <w:rFonts w:ascii="Tahoma" w:eastAsia="Tahoma" w:hAnsi="Tahoma" w:cs="Tahoma"/>
          <w:sz w:val="24"/>
          <w:szCs w:val="24"/>
        </w:rPr>
        <w:t>,</w:t>
      </w:r>
      <w:r w:rsidR="2CD15576" w:rsidRPr="2D2E91FD">
        <w:rPr>
          <w:rFonts w:ascii="Tahoma" w:eastAsia="Tahoma" w:hAnsi="Tahoma" w:cs="Tahoma"/>
          <w:sz w:val="24"/>
          <w:szCs w:val="24"/>
        </w:rPr>
        <w:t xml:space="preserve"> a project’s Funds Spent in California decrease, the project will be re</w:t>
      </w:r>
      <w:r w:rsidR="2552133D" w:rsidRPr="2D2E91FD">
        <w:rPr>
          <w:rFonts w:ascii="Tahoma" w:eastAsia="Tahoma" w:hAnsi="Tahoma" w:cs="Tahoma"/>
          <w:sz w:val="24"/>
          <w:szCs w:val="24"/>
        </w:rPr>
        <w:t>evaluated and if no longer the highest sc</w:t>
      </w:r>
      <w:r w:rsidR="00544ACF" w:rsidRPr="2D2E91FD">
        <w:rPr>
          <w:rFonts w:ascii="Tahoma" w:eastAsia="Tahoma" w:hAnsi="Tahoma" w:cs="Tahoma"/>
          <w:sz w:val="24"/>
          <w:szCs w:val="24"/>
        </w:rPr>
        <w:t xml:space="preserve">oring project, it will be </w:t>
      </w:r>
      <w:r w:rsidR="2552133D" w:rsidRPr="2D2E91FD">
        <w:rPr>
          <w:rFonts w:ascii="Tahoma" w:eastAsia="Tahoma" w:hAnsi="Tahoma" w:cs="Tahoma"/>
          <w:sz w:val="24"/>
          <w:szCs w:val="24"/>
        </w:rPr>
        <w:t>terminated.</w:t>
      </w:r>
    </w:p>
    <w:p w14:paraId="4A5696F6" w14:textId="77777777" w:rsidR="00A7242A" w:rsidRDefault="00A7242A" w:rsidP="00304287">
      <w:pPr>
        <w:spacing w:line="257" w:lineRule="auto"/>
        <w:rPr>
          <w:rFonts w:ascii="Tahoma" w:eastAsia="Tahoma" w:hAnsi="Tahoma" w:cs="Tahoma"/>
          <w:sz w:val="24"/>
          <w:szCs w:val="24"/>
        </w:rPr>
      </w:pPr>
    </w:p>
    <w:p w14:paraId="6E037928" w14:textId="6E3ECA10" w:rsidR="004F2BA2" w:rsidRPr="004F2BA2" w:rsidRDefault="00D56E71"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 xml:space="preserve">Q: </w:t>
      </w:r>
      <w:r w:rsidR="004F2BA2" w:rsidRPr="34341375">
        <w:rPr>
          <w:rFonts w:ascii="Tahoma" w:eastAsia="Tahoma" w:hAnsi="Tahoma" w:cs="Tahoma"/>
          <w:sz w:val="24"/>
          <w:szCs w:val="24"/>
        </w:rPr>
        <w:t xml:space="preserve">I'm reaching out on behalf of MCE to see if we can get more information on local publicly owned electric utility eligibility for GFO-22-307. </w:t>
      </w:r>
    </w:p>
    <w:p w14:paraId="233431AC" w14:textId="24B683D2" w:rsidR="004F2BA2" w:rsidRPr="004F2BA2" w:rsidRDefault="004F2BA2" w:rsidP="00304287">
      <w:pPr>
        <w:spacing w:line="257" w:lineRule="auto"/>
        <w:ind w:left="720"/>
        <w:rPr>
          <w:rFonts w:ascii="Tahoma" w:eastAsia="Tahoma" w:hAnsi="Tahoma" w:cs="Tahoma"/>
          <w:sz w:val="24"/>
          <w:szCs w:val="24"/>
        </w:rPr>
      </w:pPr>
      <w:r w:rsidRPr="4B7E8AE1">
        <w:rPr>
          <w:rFonts w:ascii="Tahoma" w:eastAsia="Tahoma" w:hAnsi="Tahoma" w:cs="Tahoma"/>
          <w:sz w:val="24"/>
          <w:szCs w:val="24"/>
        </w:rPr>
        <w:t xml:space="preserve">MCE (Marin Clean Energy) is a public agency, a joint-powers authority, and is often referred to as a load-serving entity. Would their status disqualify them as a sub recipient based on this opportunity? </w:t>
      </w:r>
    </w:p>
    <w:p w14:paraId="4127340C" w14:textId="7F0B2334" w:rsidR="46370A8A" w:rsidRPr="00304287" w:rsidRDefault="7F850B1A" w:rsidP="00304287">
      <w:pPr>
        <w:spacing w:line="257" w:lineRule="auto"/>
        <w:ind w:left="720"/>
        <w:rPr>
          <w:rFonts w:ascii="Tahoma" w:eastAsia="Tahoma" w:hAnsi="Tahoma" w:cs="Tahoma"/>
          <w:sz w:val="24"/>
          <w:szCs w:val="24"/>
        </w:rPr>
      </w:pPr>
      <w:r w:rsidRPr="4CACCB5C">
        <w:rPr>
          <w:rFonts w:ascii="Tahoma" w:eastAsia="Tahoma" w:hAnsi="Tahoma" w:cs="Tahoma"/>
          <w:b/>
          <w:bCs/>
          <w:sz w:val="24"/>
          <w:szCs w:val="24"/>
        </w:rPr>
        <w:t>A:</w:t>
      </w:r>
      <w:r w:rsidR="4F882B9B" w:rsidRPr="4CACCB5C">
        <w:rPr>
          <w:rFonts w:ascii="Tahoma" w:eastAsia="Tahoma" w:hAnsi="Tahoma" w:cs="Tahoma"/>
          <w:b/>
          <w:bCs/>
          <w:sz w:val="24"/>
          <w:szCs w:val="24"/>
        </w:rPr>
        <w:t xml:space="preserve"> </w:t>
      </w:r>
      <w:r w:rsidR="38FDBBA7" w:rsidRPr="4CACCB5C">
        <w:rPr>
          <w:rFonts w:ascii="Tahoma" w:eastAsia="Tahoma" w:hAnsi="Tahoma" w:cs="Tahoma"/>
          <w:sz w:val="24"/>
          <w:szCs w:val="24"/>
        </w:rPr>
        <w:t>Subrecipient eligibility requirements are laid out in Section II (A)(1) of th</w:t>
      </w:r>
      <w:r w:rsidR="6D862ED2" w:rsidRPr="4CACCB5C">
        <w:rPr>
          <w:rFonts w:ascii="Tahoma" w:eastAsia="Tahoma" w:hAnsi="Tahoma" w:cs="Tahoma"/>
          <w:sz w:val="24"/>
          <w:szCs w:val="24"/>
        </w:rPr>
        <w:t xml:space="preserve">is GFO </w:t>
      </w:r>
      <w:r w:rsidR="38FDBBA7" w:rsidRPr="4CACCB5C">
        <w:rPr>
          <w:rFonts w:ascii="Tahoma" w:eastAsia="Tahoma" w:hAnsi="Tahoma" w:cs="Tahoma"/>
          <w:sz w:val="24"/>
          <w:szCs w:val="24"/>
        </w:rPr>
        <w:t xml:space="preserve">which reads “All public and private entities, </w:t>
      </w:r>
      <w:r w:rsidR="38FDBBA7" w:rsidRPr="4CACCB5C">
        <w:rPr>
          <w:rFonts w:ascii="Tahoma" w:eastAsia="Tahoma" w:hAnsi="Tahoma" w:cs="Tahoma"/>
          <w:sz w:val="24"/>
          <w:szCs w:val="24"/>
          <w:u w:val="single"/>
        </w:rPr>
        <w:t>with the exception of local publicly owned electric utilities</w:t>
      </w:r>
      <w:r w:rsidR="38FDBBA7" w:rsidRPr="4CACCB5C">
        <w:rPr>
          <w:rFonts w:ascii="Tahoma" w:eastAsia="Tahoma" w:hAnsi="Tahoma" w:cs="Tahoma"/>
          <w:sz w:val="24"/>
          <w:szCs w:val="24"/>
        </w:rPr>
        <w:t>, may serve as subrecipients for this solicitation.” A local publicly owned electric utility is an entity as defined in California Public Utilities Code section 224.3. If MCE meets the definition of California Public Utilities Code section 224.3 and qualifies as a local publicly owned electricity utility, then MCE will not be eligible as a subrecipient under th</w:t>
      </w:r>
      <w:r w:rsidR="11789373" w:rsidRPr="4CACCB5C">
        <w:rPr>
          <w:rFonts w:ascii="Tahoma" w:eastAsia="Tahoma" w:hAnsi="Tahoma" w:cs="Tahoma"/>
          <w:sz w:val="24"/>
          <w:szCs w:val="24"/>
        </w:rPr>
        <w:t>is GFO</w:t>
      </w:r>
      <w:r w:rsidR="38FDBBA7" w:rsidRPr="4CACCB5C">
        <w:rPr>
          <w:rFonts w:ascii="Tahoma" w:eastAsia="Tahoma" w:hAnsi="Tahoma" w:cs="Tahoma"/>
          <w:sz w:val="24"/>
          <w:szCs w:val="24"/>
        </w:rPr>
        <w:t>.</w:t>
      </w:r>
      <w:r w:rsidR="3DD77331" w:rsidRPr="4CACCB5C">
        <w:rPr>
          <w:rFonts w:ascii="Tahoma" w:eastAsia="Tahoma" w:hAnsi="Tahoma" w:cs="Tahoma"/>
          <w:sz w:val="24"/>
          <w:szCs w:val="24"/>
        </w:rPr>
        <w:t xml:space="preserve"> </w:t>
      </w:r>
      <w:r w:rsidR="0672618A" w:rsidRPr="4CACCB5C">
        <w:rPr>
          <w:rFonts w:ascii="Tahoma" w:eastAsia="Tahoma" w:hAnsi="Tahoma" w:cs="Tahoma"/>
          <w:sz w:val="24"/>
          <w:szCs w:val="24"/>
        </w:rPr>
        <w:t>If MCE qualifies a</w:t>
      </w:r>
      <w:r w:rsidR="0672618A" w:rsidRPr="00304287">
        <w:rPr>
          <w:rFonts w:ascii="Tahoma" w:eastAsia="Tahoma" w:hAnsi="Tahoma" w:cs="Tahoma"/>
          <w:sz w:val="24"/>
          <w:szCs w:val="24"/>
        </w:rPr>
        <w:t>s a CCA, please refer to Question 27 for eligibility matters regarding CCAs.</w:t>
      </w:r>
    </w:p>
    <w:p w14:paraId="5CD3A7C9" w14:textId="59A29E23" w:rsidR="7D7E4D81" w:rsidRDefault="7D7E4D81" w:rsidP="00304287">
      <w:pPr>
        <w:spacing w:line="257" w:lineRule="auto"/>
        <w:rPr>
          <w:rFonts w:ascii="Tahoma" w:eastAsia="Tahoma" w:hAnsi="Tahoma" w:cs="Tahoma"/>
          <w:sz w:val="24"/>
          <w:szCs w:val="24"/>
        </w:rPr>
      </w:pPr>
    </w:p>
    <w:p w14:paraId="7CF47DC4" w14:textId="1C2EDBAB" w:rsidR="6D72C152" w:rsidRDefault="6D72C152"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3EFD2FCB" w:rsidRPr="34341375">
        <w:rPr>
          <w:rFonts w:ascii="Tahoma" w:eastAsia="Tahoma" w:hAnsi="Tahoma" w:cs="Tahoma"/>
          <w:sz w:val="24"/>
          <w:szCs w:val="24"/>
        </w:rPr>
        <w:t>Where can I find the presentation material from the June 28 workshop regarding this GFO?</w:t>
      </w:r>
    </w:p>
    <w:p w14:paraId="01B5BC0F" w14:textId="6D204C0C" w:rsidR="6D72C152" w:rsidRDefault="6D72C152"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52C378AD" w:rsidRPr="2D2E91FD">
        <w:rPr>
          <w:rFonts w:ascii="Tahoma" w:eastAsia="Tahoma" w:hAnsi="Tahoma" w:cs="Tahoma"/>
          <w:b/>
          <w:bCs/>
          <w:sz w:val="24"/>
          <w:szCs w:val="24"/>
        </w:rPr>
        <w:t xml:space="preserve"> </w:t>
      </w:r>
      <w:r w:rsidR="52C378AD" w:rsidRPr="2D2E91FD">
        <w:rPr>
          <w:rFonts w:ascii="Tahoma" w:eastAsia="Tahoma" w:hAnsi="Tahoma" w:cs="Tahoma"/>
          <w:sz w:val="24"/>
          <w:szCs w:val="24"/>
        </w:rPr>
        <w:t xml:space="preserve">The Pre-Application Workshop information was posted </w:t>
      </w:r>
      <w:r w:rsidR="00E35CD4">
        <w:rPr>
          <w:rFonts w:ascii="Tahoma" w:eastAsia="Tahoma" w:hAnsi="Tahoma" w:cs="Tahoma"/>
          <w:sz w:val="24"/>
          <w:szCs w:val="24"/>
        </w:rPr>
        <w:t xml:space="preserve">on </w:t>
      </w:r>
      <w:r w:rsidR="52C378AD" w:rsidRPr="2D2E91FD">
        <w:rPr>
          <w:rFonts w:ascii="Tahoma" w:eastAsia="Tahoma" w:hAnsi="Tahoma" w:cs="Tahoma"/>
          <w:sz w:val="24"/>
          <w:szCs w:val="24"/>
        </w:rPr>
        <w:t xml:space="preserve">July 5, </w:t>
      </w:r>
      <w:r w:rsidR="20D31894" w:rsidRPr="2D2E91FD">
        <w:rPr>
          <w:rFonts w:ascii="Tahoma" w:eastAsia="Tahoma" w:hAnsi="Tahoma" w:cs="Tahoma"/>
          <w:sz w:val="24"/>
          <w:szCs w:val="24"/>
        </w:rPr>
        <w:t>2023,</w:t>
      </w:r>
      <w:r w:rsidR="52C378AD" w:rsidRPr="2D2E91FD">
        <w:rPr>
          <w:rFonts w:ascii="Tahoma" w:eastAsia="Tahoma" w:hAnsi="Tahoma" w:cs="Tahoma"/>
          <w:sz w:val="24"/>
          <w:szCs w:val="24"/>
        </w:rPr>
        <w:t xml:space="preserve"> and will be available on the </w:t>
      </w:r>
      <w:r w:rsidR="78B5E159" w:rsidRPr="2D2E91FD">
        <w:rPr>
          <w:rFonts w:ascii="Tahoma" w:eastAsia="Tahoma" w:hAnsi="Tahoma" w:cs="Tahoma"/>
          <w:sz w:val="24"/>
          <w:szCs w:val="24"/>
        </w:rPr>
        <w:t>CEC</w:t>
      </w:r>
      <w:r w:rsidR="52C378AD" w:rsidRPr="2D2E91FD">
        <w:rPr>
          <w:rFonts w:ascii="Tahoma" w:eastAsia="Tahoma" w:hAnsi="Tahoma" w:cs="Tahoma"/>
          <w:sz w:val="24"/>
          <w:szCs w:val="24"/>
        </w:rPr>
        <w:t xml:space="preserve"> website’s </w:t>
      </w:r>
      <w:hyperlink r:id="rId10">
        <w:r w:rsidR="52C378AD" w:rsidRPr="2D2E91FD">
          <w:rPr>
            <w:rStyle w:val="Hyperlink"/>
            <w:rFonts w:ascii="Tahoma" w:eastAsia="Tahoma" w:hAnsi="Tahoma" w:cs="Tahoma"/>
            <w:color w:val="auto"/>
            <w:sz w:val="24"/>
            <w:szCs w:val="24"/>
          </w:rPr>
          <w:t>solicitation page</w:t>
        </w:r>
      </w:hyperlink>
      <w:r w:rsidR="52C378AD" w:rsidRPr="2D2E91FD">
        <w:rPr>
          <w:rFonts w:ascii="Tahoma" w:eastAsia="Tahoma" w:hAnsi="Tahoma" w:cs="Tahoma"/>
          <w:sz w:val="24"/>
          <w:szCs w:val="24"/>
        </w:rPr>
        <w:t>. You need to scroll down to “</w:t>
      </w:r>
      <w:r w:rsidR="52C378AD" w:rsidRPr="2D2E91FD">
        <w:rPr>
          <w:rFonts w:ascii="Tahoma" w:eastAsia="Tahoma" w:hAnsi="Tahoma" w:cs="Tahoma"/>
          <w:i/>
          <w:iCs/>
          <w:sz w:val="24"/>
          <w:szCs w:val="24"/>
        </w:rPr>
        <w:t>Solicitation Events”</w:t>
      </w:r>
      <w:r w:rsidR="52C378AD" w:rsidRPr="2D2E91FD">
        <w:rPr>
          <w:rFonts w:ascii="Tahoma" w:eastAsia="Tahoma" w:hAnsi="Tahoma" w:cs="Tahoma"/>
          <w:sz w:val="24"/>
          <w:szCs w:val="24"/>
        </w:rPr>
        <w:t xml:space="preserve"> to access them once posted.</w:t>
      </w:r>
    </w:p>
    <w:p w14:paraId="49E5F9E8" w14:textId="3500B2AA" w:rsidR="7D7E4D81" w:rsidRDefault="7D7E4D81" w:rsidP="00304287">
      <w:pPr>
        <w:spacing w:line="257" w:lineRule="auto"/>
        <w:rPr>
          <w:rFonts w:ascii="Tahoma" w:eastAsia="Tahoma" w:hAnsi="Tahoma" w:cs="Tahoma"/>
          <w:b/>
          <w:bCs/>
          <w:sz w:val="24"/>
          <w:szCs w:val="24"/>
        </w:rPr>
      </w:pPr>
    </w:p>
    <w:p w14:paraId="1E358955" w14:textId="490548AD" w:rsidR="6D72C152" w:rsidRDefault="6D72C152" w:rsidP="00DE7060">
      <w:pPr>
        <w:pStyle w:val="ListParagraph"/>
        <w:numPr>
          <w:ilvl w:val="0"/>
          <w:numId w:val="16"/>
        </w:numPr>
        <w:spacing w:line="257" w:lineRule="auto"/>
        <w:ind w:hanging="720"/>
        <w:rPr>
          <w:rFonts w:ascii="Tahoma" w:eastAsia="Tahoma" w:hAnsi="Tahoma" w:cs="Tahoma"/>
          <w:sz w:val="24"/>
          <w:szCs w:val="24"/>
        </w:rPr>
      </w:pPr>
      <w:r w:rsidRPr="34341375">
        <w:rPr>
          <w:rFonts w:ascii="Tahoma" w:eastAsia="Tahoma" w:hAnsi="Tahoma" w:cs="Tahoma"/>
          <w:b/>
          <w:bCs/>
          <w:sz w:val="24"/>
          <w:szCs w:val="24"/>
        </w:rPr>
        <w:t>Q:</w:t>
      </w:r>
      <w:r w:rsidRPr="34341375">
        <w:rPr>
          <w:rFonts w:ascii="Tahoma" w:eastAsia="Tahoma" w:hAnsi="Tahoma" w:cs="Tahoma"/>
          <w:sz w:val="24"/>
          <w:szCs w:val="24"/>
        </w:rPr>
        <w:t xml:space="preserve"> </w:t>
      </w:r>
      <w:r w:rsidR="01FCD9E3" w:rsidRPr="34341375">
        <w:rPr>
          <w:rFonts w:ascii="Tahoma" w:eastAsia="Tahoma" w:hAnsi="Tahoma" w:cs="Tahoma"/>
          <w:sz w:val="24"/>
          <w:szCs w:val="24"/>
        </w:rPr>
        <w:t>Where can I find the answers to questions submitted regarding this GFO?</w:t>
      </w:r>
    </w:p>
    <w:p w14:paraId="12C12078" w14:textId="7224DCEC" w:rsidR="6D72C152" w:rsidRDefault="6D72C152"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7A4EFB04" w:rsidRPr="2D2E91FD">
        <w:rPr>
          <w:rFonts w:ascii="Tahoma" w:eastAsia="Tahoma" w:hAnsi="Tahoma" w:cs="Tahoma"/>
          <w:b/>
          <w:bCs/>
          <w:sz w:val="24"/>
          <w:szCs w:val="24"/>
        </w:rPr>
        <w:t xml:space="preserve"> </w:t>
      </w:r>
      <w:r w:rsidR="7A4EFB04" w:rsidRPr="2D2E91FD">
        <w:rPr>
          <w:rFonts w:ascii="Tahoma" w:eastAsia="Tahoma" w:hAnsi="Tahoma" w:cs="Tahoma"/>
          <w:sz w:val="24"/>
          <w:szCs w:val="24"/>
        </w:rPr>
        <w:t xml:space="preserve">The Questions and Answers are due to be posted the </w:t>
      </w:r>
      <w:commentRangeStart w:id="2"/>
      <w:r w:rsidR="7A4EFB04" w:rsidRPr="2D2E91FD">
        <w:rPr>
          <w:rFonts w:ascii="Tahoma" w:eastAsia="Tahoma" w:hAnsi="Tahoma" w:cs="Tahoma"/>
          <w:sz w:val="24"/>
          <w:szCs w:val="24"/>
        </w:rPr>
        <w:t xml:space="preserve">week of July </w:t>
      </w:r>
      <w:r w:rsidR="25D5FF8F" w:rsidRPr="4CACCB5C">
        <w:rPr>
          <w:rFonts w:ascii="Tahoma" w:eastAsia="Tahoma" w:hAnsi="Tahoma" w:cs="Tahoma"/>
          <w:sz w:val="24"/>
          <w:szCs w:val="24"/>
        </w:rPr>
        <w:t>31</w:t>
      </w:r>
      <w:r w:rsidR="7A4EFB04" w:rsidRPr="2D2E91FD">
        <w:rPr>
          <w:rFonts w:ascii="Tahoma" w:eastAsia="Tahoma" w:hAnsi="Tahoma" w:cs="Tahoma"/>
          <w:sz w:val="24"/>
          <w:szCs w:val="24"/>
        </w:rPr>
        <w:t>, 2023</w:t>
      </w:r>
      <w:commentRangeEnd w:id="2"/>
      <w:r>
        <w:rPr>
          <w:rStyle w:val="CommentReference"/>
        </w:rPr>
        <w:commentReference w:id="2"/>
      </w:r>
      <w:r w:rsidR="7A4EFB04" w:rsidRPr="2D2E91FD">
        <w:rPr>
          <w:rFonts w:ascii="Tahoma" w:eastAsia="Tahoma" w:hAnsi="Tahoma" w:cs="Tahoma"/>
          <w:sz w:val="24"/>
          <w:szCs w:val="24"/>
        </w:rPr>
        <w:t xml:space="preserve">. They will be available on the </w:t>
      </w:r>
      <w:r w:rsidR="6A339297" w:rsidRPr="2D2E91FD">
        <w:rPr>
          <w:rFonts w:ascii="Tahoma" w:eastAsia="Tahoma" w:hAnsi="Tahoma" w:cs="Tahoma"/>
          <w:sz w:val="24"/>
          <w:szCs w:val="24"/>
        </w:rPr>
        <w:t>CEC</w:t>
      </w:r>
      <w:r w:rsidR="7A4EFB04" w:rsidRPr="2D2E91FD">
        <w:rPr>
          <w:rFonts w:ascii="Tahoma" w:eastAsia="Tahoma" w:hAnsi="Tahoma" w:cs="Tahoma"/>
          <w:sz w:val="24"/>
          <w:szCs w:val="24"/>
        </w:rPr>
        <w:t xml:space="preserve"> website’s </w:t>
      </w:r>
      <w:hyperlink r:id="rId15">
        <w:r w:rsidR="7A4EFB04" w:rsidRPr="2D2E91FD">
          <w:rPr>
            <w:rStyle w:val="Hyperlink"/>
            <w:rFonts w:ascii="Tahoma" w:eastAsia="Tahoma" w:hAnsi="Tahoma" w:cs="Tahoma"/>
            <w:color w:val="auto"/>
            <w:sz w:val="24"/>
            <w:szCs w:val="24"/>
          </w:rPr>
          <w:t>solicitation page</w:t>
        </w:r>
      </w:hyperlink>
      <w:r w:rsidR="7A4EFB04" w:rsidRPr="2D2E91FD">
        <w:rPr>
          <w:rFonts w:ascii="Tahoma" w:eastAsia="Tahoma" w:hAnsi="Tahoma" w:cs="Tahoma"/>
          <w:sz w:val="24"/>
          <w:szCs w:val="24"/>
        </w:rPr>
        <w:t>.</w:t>
      </w:r>
    </w:p>
    <w:p w14:paraId="74F1944D" w14:textId="382E36A5" w:rsidR="7D7E4D81" w:rsidRDefault="7D7E4D81" w:rsidP="00304287">
      <w:pPr>
        <w:spacing w:line="257" w:lineRule="auto"/>
        <w:rPr>
          <w:rFonts w:ascii="Tahoma" w:eastAsia="Tahoma" w:hAnsi="Tahoma" w:cs="Tahoma"/>
          <w:sz w:val="24"/>
          <w:szCs w:val="24"/>
        </w:rPr>
      </w:pPr>
    </w:p>
    <w:p w14:paraId="4128260D" w14:textId="57DB82F8" w:rsidR="7D7E4D81" w:rsidRDefault="7A4BDAB4" w:rsidP="00DE7060">
      <w:pPr>
        <w:pStyle w:val="ListParagraph"/>
        <w:numPr>
          <w:ilvl w:val="0"/>
          <w:numId w:val="16"/>
        </w:numPr>
        <w:spacing w:line="257" w:lineRule="auto"/>
        <w:ind w:hanging="720"/>
        <w:rPr>
          <w:rFonts w:ascii="Tahoma" w:eastAsia="Tahoma" w:hAnsi="Tahoma" w:cs="Tahoma"/>
          <w:sz w:val="24"/>
          <w:szCs w:val="24"/>
        </w:rPr>
      </w:pPr>
      <w:r w:rsidRPr="0175BD93">
        <w:rPr>
          <w:rFonts w:ascii="Tahoma" w:eastAsia="Tahoma" w:hAnsi="Tahoma" w:cs="Tahoma"/>
          <w:b/>
          <w:bCs/>
          <w:sz w:val="24"/>
          <w:szCs w:val="24"/>
        </w:rPr>
        <w:t xml:space="preserve">Q: </w:t>
      </w:r>
      <w:r w:rsidRPr="0175BD93">
        <w:rPr>
          <w:rFonts w:ascii="Tahoma" w:eastAsia="Tahoma" w:hAnsi="Tahoma" w:cs="Tahoma"/>
          <w:sz w:val="24"/>
          <w:szCs w:val="24"/>
        </w:rPr>
        <w:t xml:space="preserve">Regarding the Definitions Table, what is the definition of an “under-resourced community”? </w:t>
      </w:r>
    </w:p>
    <w:p w14:paraId="0421E1AD" w14:textId="770E2352" w:rsidR="7D7E4D81" w:rsidRDefault="5E206FF9" w:rsidP="00304287">
      <w:pPr>
        <w:spacing w:line="257" w:lineRule="auto"/>
        <w:ind w:left="720"/>
        <w:rPr>
          <w:rFonts w:ascii="Tahoma" w:eastAsia="Tahoma" w:hAnsi="Tahoma" w:cs="Tahoma"/>
          <w:sz w:val="24"/>
          <w:szCs w:val="24"/>
        </w:rPr>
      </w:pPr>
      <w:r w:rsidRPr="2D2E91FD">
        <w:rPr>
          <w:rFonts w:ascii="Tahoma" w:eastAsia="Tahoma" w:hAnsi="Tahoma" w:cs="Tahoma"/>
          <w:b/>
          <w:bCs/>
          <w:sz w:val="24"/>
          <w:szCs w:val="24"/>
        </w:rPr>
        <w:t>A:</w:t>
      </w:r>
      <w:r w:rsidR="44D6769E" w:rsidRPr="2D2E91FD">
        <w:rPr>
          <w:rFonts w:ascii="Tahoma" w:eastAsia="Tahoma" w:hAnsi="Tahoma" w:cs="Tahoma"/>
          <w:b/>
          <w:bCs/>
          <w:sz w:val="24"/>
          <w:szCs w:val="24"/>
        </w:rPr>
        <w:t xml:space="preserve"> </w:t>
      </w:r>
      <w:r w:rsidR="3FF0719F" w:rsidRPr="2D2E91FD">
        <w:rPr>
          <w:rFonts w:ascii="Tahoma" w:eastAsia="Tahoma" w:hAnsi="Tahoma" w:cs="Tahoma"/>
          <w:sz w:val="24"/>
          <w:szCs w:val="24"/>
        </w:rPr>
        <w:t xml:space="preserve">This </w:t>
      </w:r>
      <w:r w:rsidR="442B6149" w:rsidRPr="2D2E91FD">
        <w:rPr>
          <w:rFonts w:ascii="Tahoma" w:eastAsia="Tahoma" w:hAnsi="Tahoma" w:cs="Tahoma"/>
          <w:sz w:val="24"/>
          <w:szCs w:val="24"/>
        </w:rPr>
        <w:t>GFO</w:t>
      </w:r>
      <w:r w:rsidR="3FF0719F" w:rsidRPr="2D2E91FD">
        <w:rPr>
          <w:rFonts w:ascii="Tahoma" w:eastAsia="Tahoma" w:hAnsi="Tahoma" w:cs="Tahoma"/>
          <w:sz w:val="24"/>
          <w:szCs w:val="24"/>
        </w:rPr>
        <w:t xml:space="preserve"> supports the EPIC Interim Investment Plan Initiative 4 titled “Optimizing Long-Duration Energy Storage to Improve Grid Resiliency and Reliability in Under-resourced Communities.” Under the </w:t>
      </w:r>
      <w:hyperlink r:id="rId16">
        <w:r w:rsidR="3FF0719F" w:rsidRPr="2D2E91FD">
          <w:rPr>
            <w:rStyle w:val="Hyperlink"/>
            <w:rFonts w:ascii="Tahoma" w:eastAsia="Tahoma" w:hAnsi="Tahoma" w:cs="Tahoma"/>
            <w:sz w:val="24"/>
            <w:szCs w:val="24"/>
          </w:rPr>
          <w:t>California Energy Commission Proposed EPIC Interim, Investment Plan 2021</w:t>
        </w:r>
      </w:hyperlink>
      <w:r w:rsidR="3FF0719F" w:rsidRPr="2D2E91FD">
        <w:rPr>
          <w:rFonts w:ascii="Tahoma" w:eastAsia="Tahoma" w:hAnsi="Tahoma" w:cs="Tahoma"/>
          <w:sz w:val="24"/>
          <w:szCs w:val="24"/>
        </w:rPr>
        <w:t xml:space="preserve"> which was approved by </w:t>
      </w:r>
      <w:hyperlink r:id="rId17">
        <w:r w:rsidR="3FF0719F" w:rsidRPr="2D2E91FD">
          <w:rPr>
            <w:rStyle w:val="Hyperlink"/>
            <w:rFonts w:ascii="Tahoma" w:eastAsia="Tahoma" w:hAnsi="Tahoma" w:cs="Tahoma"/>
            <w:sz w:val="24"/>
            <w:szCs w:val="24"/>
          </w:rPr>
          <w:t>CPUC decision 21-07-006</w:t>
        </w:r>
      </w:hyperlink>
      <w:r w:rsidR="3FF0719F" w:rsidRPr="2D2E91FD">
        <w:rPr>
          <w:rFonts w:ascii="Tahoma" w:eastAsia="Tahoma" w:hAnsi="Tahoma" w:cs="Tahoma"/>
          <w:sz w:val="24"/>
          <w:szCs w:val="24"/>
        </w:rPr>
        <w:t xml:space="preserve">, July 15, 2021, the term “under-resourced community” was developed to encompass both legislatively defined categories and underrepresented groups. In the 2021 Investment Plan, “under-resourced communities” includes </w:t>
      </w:r>
      <w:r w:rsidR="003008D2">
        <w:rPr>
          <w:rFonts w:ascii="Tahoma" w:eastAsia="Tahoma" w:hAnsi="Tahoma" w:cs="Tahoma"/>
          <w:sz w:val="24"/>
          <w:szCs w:val="24"/>
        </w:rPr>
        <w:t>DAC</w:t>
      </w:r>
      <w:r w:rsidR="3FF0719F" w:rsidRPr="2D2E91FD">
        <w:rPr>
          <w:rFonts w:ascii="Tahoma" w:eastAsia="Tahoma" w:hAnsi="Tahoma" w:cs="Tahoma"/>
          <w:sz w:val="24"/>
          <w:szCs w:val="24"/>
        </w:rPr>
        <w:t xml:space="preserve"> and low-income communities as defined AB 523 (Stats. 2017, Ch. 551), Native American tribes, and other underrepresented groups.</w:t>
      </w:r>
    </w:p>
    <w:p w14:paraId="7BCBC2BF" w14:textId="66B78E02" w:rsidR="7D7E4D81" w:rsidRDefault="3FF0719F" w:rsidP="00304287">
      <w:pPr>
        <w:spacing w:line="257" w:lineRule="auto"/>
        <w:ind w:left="720"/>
        <w:rPr>
          <w:rFonts w:ascii="Tahoma" w:eastAsia="Tahoma" w:hAnsi="Tahoma" w:cs="Tahoma"/>
          <w:sz w:val="24"/>
          <w:szCs w:val="24"/>
        </w:rPr>
      </w:pPr>
      <w:r w:rsidRPr="2D2E91FD">
        <w:rPr>
          <w:rFonts w:ascii="Tahoma" w:eastAsia="Tahoma" w:hAnsi="Tahoma" w:cs="Tahoma"/>
          <w:sz w:val="24"/>
          <w:szCs w:val="24"/>
        </w:rPr>
        <w:t>Under th</w:t>
      </w:r>
      <w:r w:rsidR="00620E2F">
        <w:rPr>
          <w:rFonts w:ascii="Tahoma" w:eastAsia="Tahoma" w:hAnsi="Tahoma" w:cs="Tahoma"/>
          <w:sz w:val="24"/>
          <w:szCs w:val="24"/>
        </w:rPr>
        <w:t>is</w:t>
      </w:r>
      <w:r w:rsidRPr="2D2E91FD">
        <w:rPr>
          <w:rFonts w:ascii="Tahoma" w:eastAsia="Tahoma" w:hAnsi="Tahoma" w:cs="Tahoma"/>
          <w:sz w:val="24"/>
          <w:szCs w:val="24"/>
        </w:rPr>
        <w:t xml:space="preserve"> </w:t>
      </w:r>
      <w:r w:rsidR="75D86BE7" w:rsidRPr="2D2E91FD">
        <w:rPr>
          <w:rFonts w:ascii="Tahoma" w:eastAsia="Tahoma" w:hAnsi="Tahoma" w:cs="Tahoma"/>
          <w:sz w:val="24"/>
          <w:szCs w:val="24"/>
        </w:rPr>
        <w:t>GFO</w:t>
      </w:r>
      <w:r w:rsidRPr="2D2E91FD">
        <w:rPr>
          <w:rFonts w:ascii="Tahoma" w:eastAsia="Tahoma" w:hAnsi="Tahoma" w:cs="Tahoma"/>
          <w:sz w:val="24"/>
          <w:szCs w:val="24"/>
        </w:rPr>
        <w:t xml:space="preserve">, DAC are communities designated pursuant to  as representing the top 25% scoring census tracts from </w:t>
      </w:r>
      <w:proofErr w:type="spellStart"/>
      <w:r w:rsidRPr="2D2E91FD">
        <w:rPr>
          <w:rFonts w:ascii="Tahoma" w:eastAsia="Tahoma" w:hAnsi="Tahoma" w:cs="Tahoma"/>
          <w:sz w:val="24"/>
          <w:szCs w:val="24"/>
        </w:rPr>
        <w:t>CalEnviroScreen</w:t>
      </w:r>
      <w:proofErr w:type="spellEnd"/>
      <w:r w:rsidRPr="2D2E91FD">
        <w:rPr>
          <w:rFonts w:ascii="Tahoma" w:eastAsia="Tahoma" w:hAnsi="Tahoma" w:cs="Tahoma"/>
          <w:sz w:val="24"/>
          <w:szCs w:val="24"/>
        </w:rPr>
        <w:t xml:space="preserve"> along with other areas with high amounts of pollution and low populations as identified by the </w:t>
      </w:r>
      <w:hyperlink r:id="rId18" w:history="1">
        <w:r w:rsidR="33DB7580" w:rsidRPr="4CACCB5C">
          <w:rPr>
            <w:rStyle w:val="Hyperlink"/>
            <w:rFonts w:ascii="Tahoma" w:eastAsia="Tahoma" w:hAnsi="Tahoma" w:cs="Tahoma"/>
            <w:sz w:val="24"/>
            <w:szCs w:val="24"/>
          </w:rPr>
          <w:t>California Environmental Protection Agency</w:t>
        </w:r>
      </w:hyperlink>
      <w:r w:rsidR="33DB7580" w:rsidRPr="4CACCB5C">
        <w:rPr>
          <w:rFonts w:ascii="Tahoma" w:eastAsia="Tahoma" w:hAnsi="Tahoma" w:cs="Tahoma"/>
          <w:sz w:val="24"/>
          <w:szCs w:val="24"/>
        </w:rPr>
        <w:t>.</w:t>
      </w:r>
      <w:r w:rsidRPr="2D2E91FD">
        <w:rPr>
          <w:rFonts w:ascii="Tahoma" w:eastAsia="Tahoma" w:hAnsi="Tahoma" w:cs="Tahoma"/>
          <w:sz w:val="24"/>
          <w:szCs w:val="24"/>
        </w:rPr>
        <w:t xml:space="preserve"> Low-income communities or LIC are defined as communities within census tracts with median household incomes at or below 80 percent of the statewide median income or the applicable low-income threshold listed in the state income limits updated by the </w:t>
      </w:r>
      <w:hyperlink r:id="rId19">
        <w:r w:rsidRPr="2D2E91FD">
          <w:rPr>
            <w:rStyle w:val="Hyperlink"/>
            <w:rFonts w:ascii="Tahoma" w:eastAsia="Tahoma" w:hAnsi="Tahoma" w:cs="Tahoma"/>
            <w:sz w:val="24"/>
            <w:szCs w:val="24"/>
          </w:rPr>
          <w:t>Department of Housing and Community Development</w:t>
        </w:r>
      </w:hyperlink>
      <w:r w:rsidRPr="2D2E91FD">
        <w:rPr>
          <w:rFonts w:ascii="Tahoma" w:eastAsia="Tahoma" w:hAnsi="Tahoma" w:cs="Tahoma"/>
          <w:sz w:val="24"/>
          <w:szCs w:val="24"/>
        </w:rPr>
        <w:t>. Finally, a California Native American Tribe is defined as a Native American Tribe located in California that is on the contact list maintained by the Native American Heritage Commission for the purposes of Chapter 905 of the Statutes of 2004.</w:t>
      </w:r>
    </w:p>
    <w:p w14:paraId="5574A665" w14:textId="349D6B26" w:rsidR="7D7E4D81" w:rsidRDefault="7D7E4D81" w:rsidP="4B7E8AE1">
      <w:pPr>
        <w:spacing w:line="257" w:lineRule="auto"/>
        <w:ind w:left="720"/>
        <w:jc w:val="both"/>
        <w:rPr>
          <w:rFonts w:ascii="Tahoma" w:eastAsia="Tahoma" w:hAnsi="Tahoma" w:cs="Tahoma"/>
          <w:b/>
          <w:sz w:val="24"/>
          <w:szCs w:val="24"/>
        </w:rPr>
      </w:pPr>
    </w:p>
    <w:p w14:paraId="4AD3E94A" w14:textId="54508038" w:rsidR="7D7E4D81" w:rsidRDefault="7D7E4D81" w:rsidP="25D41ABE">
      <w:pPr>
        <w:spacing w:line="257" w:lineRule="auto"/>
        <w:jc w:val="both"/>
        <w:rPr>
          <w:rFonts w:ascii="Tahoma" w:eastAsia="Tahoma" w:hAnsi="Tahoma" w:cs="Tahoma"/>
          <w:b/>
          <w:bCs/>
          <w:sz w:val="24"/>
          <w:szCs w:val="24"/>
        </w:rPr>
      </w:pPr>
    </w:p>
    <w:sectPr w:rsidR="7D7E4D81">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asor, Sonia@Energy" w:date="2023-08-02T15:37:00Z" w:initials="RS">
    <w:p w14:paraId="6F72337C" w14:textId="6DA678DA" w:rsidR="46370A8A" w:rsidRDefault="46370A8A">
      <w:pPr>
        <w:pStyle w:val="CommentText"/>
      </w:pPr>
      <w:r>
        <w:t xml:space="preserve">should this be updated?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233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8E277D" w16cex:dateUtc="2023-08-02T22:37:00Z">
    <w16cex:extLst>
      <w16:ext xmlns="" w16:uri="{CE6994B0-6A32-4C9F-8C6B-6E91EDA988CE}">
        <cr:reactions xmlns:cr="http://schemas.microsoft.com/office/comments/2020/reactions">
          <cr:reaction reactionType="1">
            <cr:reactionInfo dateUtc="2023-08-03T16:06:05.333Z">
              <cr:user userId="S::zoe.higgerson@energy.ca.gov::9393a384-843f-41b1-9fff-5cf99957c4b8" userProvider="AD" userName="Higgerson, Zoe@Energ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2337C" w16cid:durableId="6F8E2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2CD6" w14:textId="77777777" w:rsidR="006E2C8F" w:rsidRDefault="006E2C8F" w:rsidP="00DB3665">
      <w:pPr>
        <w:spacing w:after="0" w:line="240" w:lineRule="auto"/>
      </w:pPr>
      <w:r>
        <w:separator/>
      </w:r>
    </w:p>
  </w:endnote>
  <w:endnote w:type="continuationSeparator" w:id="0">
    <w:p w14:paraId="7CC869E3" w14:textId="77777777" w:rsidR="006E2C8F" w:rsidRDefault="006E2C8F" w:rsidP="00DB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093" w14:textId="72C26087" w:rsidR="00DB3665" w:rsidRPr="00DB3665" w:rsidRDefault="00DB3665">
    <w:pPr>
      <w:pStyle w:val="Footer"/>
      <w:rPr>
        <w:rFonts w:ascii="Arial" w:hAnsi="Arial" w:cs="Arial"/>
        <w:sz w:val="20"/>
        <w:szCs w:val="20"/>
      </w:rPr>
    </w:pPr>
    <w:r w:rsidRPr="00DB3665">
      <w:rPr>
        <w:rFonts w:ascii="Arial" w:hAnsi="Arial" w:cs="Arial"/>
        <w:sz w:val="20"/>
        <w:szCs w:val="20"/>
      </w:rPr>
      <w:t>August 2023</w:t>
    </w:r>
    <w:r w:rsidRPr="00DB3665">
      <w:rPr>
        <w:rFonts w:ascii="Arial" w:hAnsi="Arial" w:cs="Arial"/>
        <w:sz w:val="20"/>
        <w:szCs w:val="20"/>
      </w:rPr>
      <w:ptab w:relativeTo="margin" w:alignment="center" w:leader="none"/>
    </w:r>
    <w:r w:rsidRPr="00DB3665">
      <w:rPr>
        <w:rFonts w:ascii="Arial" w:hAnsi="Arial" w:cs="Arial"/>
        <w:sz w:val="20"/>
        <w:szCs w:val="20"/>
      </w:rPr>
      <w:t xml:space="preserve">Page </w:t>
    </w:r>
    <w:r w:rsidRPr="00DB3665">
      <w:rPr>
        <w:rFonts w:ascii="Arial" w:hAnsi="Arial" w:cs="Arial"/>
        <w:sz w:val="20"/>
        <w:szCs w:val="20"/>
      </w:rPr>
      <w:fldChar w:fldCharType="begin"/>
    </w:r>
    <w:r w:rsidRPr="00DB3665">
      <w:rPr>
        <w:rFonts w:ascii="Arial" w:hAnsi="Arial" w:cs="Arial"/>
        <w:sz w:val="20"/>
        <w:szCs w:val="20"/>
      </w:rPr>
      <w:instrText xml:space="preserve"> PAGE  \* Arabic  \* MERGEFORMAT </w:instrText>
    </w:r>
    <w:r w:rsidRPr="00DB3665">
      <w:rPr>
        <w:rFonts w:ascii="Arial" w:hAnsi="Arial" w:cs="Arial"/>
        <w:sz w:val="20"/>
        <w:szCs w:val="20"/>
      </w:rPr>
      <w:fldChar w:fldCharType="separate"/>
    </w:r>
    <w:r w:rsidRPr="00DB3665">
      <w:rPr>
        <w:rFonts w:ascii="Arial" w:hAnsi="Arial" w:cs="Arial"/>
        <w:noProof/>
        <w:sz w:val="20"/>
        <w:szCs w:val="20"/>
      </w:rPr>
      <w:t>1</w:t>
    </w:r>
    <w:r w:rsidRPr="00DB3665">
      <w:rPr>
        <w:rFonts w:ascii="Arial" w:hAnsi="Arial" w:cs="Arial"/>
        <w:sz w:val="20"/>
        <w:szCs w:val="20"/>
      </w:rPr>
      <w:fldChar w:fldCharType="end"/>
    </w:r>
    <w:r w:rsidRPr="00DB3665">
      <w:rPr>
        <w:rFonts w:ascii="Arial" w:hAnsi="Arial" w:cs="Arial"/>
        <w:sz w:val="20"/>
        <w:szCs w:val="20"/>
      </w:rPr>
      <w:t xml:space="preserve"> of </w:t>
    </w:r>
    <w:r w:rsidRPr="00DB3665">
      <w:rPr>
        <w:rFonts w:ascii="Arial" w:hAnsi="Arial" w:cs="Arial"/>
        <w:sz w:val="20"/>
        <w:szCs w:val="20"/>
      </w:rPr>
      <w:fldChar w:fldCharType="begin"/>
    </w:r>
    <w:r w:rsidRPr="00DB3665">
      <w:rPr>
        <w:rFonts w:ascii="Arial" w:hAnsi="Arial" w:cs="Arial"/>
        <w:sz w:val="20"/>
        <w:szCs w:val="20"/>
      </w:rPr>
      <w:instrText xml:space="preserve"> NUMPAGES  \* Arabic  \* MERGEFORMAT </w:instrText>
    </w:r>
    <w:r w:rsidRPr="00DB3665">
      <w:rPr>
        <w:rFonts w:ascii="Arial" w:hAnsi="Arial" w:cs="Arial"/>
        <w:sz w:val="20"/>
        <w:szCs w:val="20"/>
      </w:rPr>
      <w:fldChar w:fldCharType="separate"/>
    </w:r>
    <w:r w:rsidRPr="00DB3665">
      <w:rPr>
        <w:rFonts w:ascii="Arial" w:hAnsi="Arial" w:cs="Arial"/>
        <w:noProof/>
        <w:sz w:val="20"/>
        <w:szCs w:val="20"/>
      </w:rPr>
      <w:t>2</w:t>
    </w:r>
    <w:r w:rsidRPr="00DB3665">
      <w:rPr>
        <w:rFonts w:ascii="Arial" w:hAnsi="Arial" w:cs="Arial"/>
        <w:sz w:val="20"/>
        <w:szCs w:val="20"/>
      </w:rPr>
      <w:fldChar w:fldCharType="end"/>
    </w:r>
    <w:r w:rsidRPr="00DB3665">
      <w:rPr>
        <w:rFonts w:ascii="Arial" w:hAnsi="Arial" w:cs="Arial"/>
        <w:sz w:val="20"/>
        <w:szCs w:val="20"/>
      </w:rPr>
      <w:ptab w:relativeTo="margin" w:alignment="right" w:leader="none"/>
    </w:r>
    <w:r>
      <w:rPr>
        <w:rFonts w:ascii="Arial" w:hAnsi="Arial" w:cs="Arial"/>
        <w:sz w:val="20"/>
        <w:szCs w:val="20"/>
      </w:rPr>
      <w:t>GFO-22-307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EDD9" w14:textId="77777777" w:rsidR="006E2C8F" w:rsidRDefault="006E2C8F" w:rsidP="00DB3665">
      <w:pPr>
        <w:spacing w:after="0" w:line="240" w:lineRule="auto"/>
      </w:pPr>
      <w:r>
        <w:separator/>
      </w:r>
    </w:p>
  </w:footnote>
  <w:footnote w:type="continuationSeparator" w:id="0">
    <w:p w14:paraId="0E17D643" w14:textId="77777777" w:rsidR="006E2C8F" w:rsidRDefault="006E2C8F" w:rsidP="00DB366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vd5tvqw" int2:invalidationBookmarkName="" int2:hashCode="fL9ntAId33zqMn" int2:id="HlfsFFJG">
      <int2:state int2:value="Rejected" int2:type="LegacyProofing"/>
    </int2:bookmark>
    <int2:bookmark int2:bookmarkName="_Int_Jx0SnvfO" int2:invalidationBookmarkName="" int2:hashCode="fL9ntAId33zqMn" int2:id="eyTXled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585"/>
    <w:multiLevelType w:val="hybridMultilevel"/>
    <w:tmpl w:val="40963028"/>
    <w:lvl w:ilvl="0" w:tplc="831E82CC">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0B52"/>
    <w:multiLevelType w:val="hybridMultilevel"/>
    <w:tmpl w:val="BDA62A9E"/>
    <w:lvl w:ilvl="0" w:tplc="3B30266A">
      <w:start w:val="1"/>
      <w:numFmt w:val="bullet"/>
      <w:lvlText w:val=""/>
      <w:lvlJc w:val="left"/>
      <w:pPr>
        <w:ind w:left="720" w:hanging="360"/>
      </w:pPr>
      <w:rPr>
        <w:rFonts w:ascii="Symbol" w:hAnsi="Symbol" w:hint="default"/>
      </w:rPr>
    </w:lvl>
    <w:lvl w:ilvl="1" w:tplc="262024B8">
      <w:start w:val="1"/>
      <w:numFmt w:val="bullet"/>
      <w:lvlText w:val="o"/>
      <w:lvlJc w:val="left"/>
      <w:pPr>
        <w:ind w:left="1440" w:hanging="360"/>
      </w:pPr>
      <w:rPr>
        <w:rFonts w:ascii="&quot;Courier New&quot;" w:hAnsi="&quot;Courier New&quot;" w:hint="default"/>
      </w:rPr>
    </w:lvl>
    <w:lvl w:ilvl="2" w:tplc="0212E992">
      <w:start w:val="1"/>
      <w:numFmt w:val="bullet"/>
      <w:lvlText w:val=""/>
      <w:lvlJc w:val="left"/>
      <w:pPr>
        <w:ind w:left="2160" w:hanging="360"/>
      </w:pPr>
      <w:rPr>
        <w:rFonts w:ascii="Wingdings" w:hAnsi="Wingdings" w:hint="default"/>
      </w:rPr>
    </w:lvl>
    <w:lvl w:ilvl="3" w:tplc="05FAAF0C">
      <w:start w:val="1"/>
      <w:numFmt w:val="bullet"/>
      <w:lvlText w:val=""/>
      <w:lvlJc w:val="left"/>
      <w:pPr>
        <w:ind w:left="2880" w:hanging="360"/>
      </w:pPr>
      <w:rPr>
        <w:rFonts w:ascii="Symbol" w:hAnsi="Symbol" w:hint="default"/>
      </w:rPr>
    </w:lvl>
    <w:lvl w:ilvl="4" w:tplc="D28615B6">
      <w:start w:val="1"/>
      <w:numFmt w:val="bullet"/>
      <w:lvlText w:val="o"/>
      <w:lvlJc w:val="left"/>
      <w:pPr>
        <w:ind w:left="3600" w:hanging="360"/>
      </w:pPr>
      <w:rPr>
        <w:rFonts w:ascii="Courier New" w:hAnsi="Courier New" w:hint="default"/>
      </w:rPr>
    </w:lvl>
    <w:lvl w:ilvl="5" w:tplc="474206F2">
      <w:start w:val="1"/>
      <w:numFmt w:val="bullet"/>
      <w:lvlText w:val=""/>
      <w:lvlJc w:val="left"/>
      <w:pPr>
        <w:ind w:left="4320" w:hanging="360"/>
      </w:pPr>
      <w:rPr>
        <w:rFonts w:ascii="Wingdings" w:hAnsi="Wingdings" w:hint="default"/>
      </w:rPr>
    </w:lvl>
    <w:lvl w:ilvl="6" w:tplc="BCBC27C4">
      <w:start w:val="1"/>
      <w:numFmt w:val="bullet"/>
      <w:lvlText w:val=""/>
      <w:lvlJc w:val="left"/>
      <w:pPr>
        <w:ind w:left="5040" w:hanging="360"/>
      </w:pPr>
      <w:rPr>
        <w:rFonts w:ascii="Symbol" w:hAnsi="Symbol" w:hint="default"/>
      </w:rPr>
    </w:lvl>
    <w:lvl w:ilvl="7" w:tplc="D6C84498">
      <w:start w:val="1"/>
      <w:numFmt w:val="bullet"/>
      <w:lvlText w:val="o"/>
      <w:lvlJc w:val="left"/>
      <w:pPr>
        <w:ind w:left="5760" w:hanging="360"/>
      </w:pPr>
      <w:rPr>
        <w:rFonts w:ascii="Courier New" w:hAnsi="Courier New" w:hint="default"/>
      </w:rPr>
    </w:lvl>
    <w:lvl w:ilvl="8" w:tplc="D3B69DEA">
      <w:start w:val="1"/>
      <w:numFmt w:val="bullet"/>
      <w:lvlText w:val=""/>
      <w:lvlJc w:val="left"/>
      <w:pPr>
        <w:ind w:left="6480" w:hanging="360"/>
      </w:pPr>
      <w:rPr>
        <w:rFonts w:ascii="Wingdings" w:hAnsi="Wingdings" w:hint="default"/>
      </w:rPr>
    </w:lvl>
  </w:abstractNum>
  <w:abstractNum w:abstractNumId="2" w15:restartNumberingAfterBreak="0">
    <w:nsid w:val="137FE58C"/>
    <w:multiLevelType w:val="hybridMultilevel"/>
    <w:tmpl w:val="F7D64EA4"/>
    <w:lvl w:ilvl="0" w:tplc="83F2543E">
      <w:start w:val="1"/>
      <w:numFmt w:val="bullet"/>
      <w:lvlText w:val=""/>
      <w:lvlJc w:val="left"/>
      <w:pPr>
        <w:ind w:left="720" w:hanging="360"/>
      </w:pPr>
      <w:rPr>
        <w:rFonts w:ascii="Symbol" w:hAnsi="Symbol" w:hint="default"/>
      </w:rPr>
    </w:lvl>
    <w:lvl w:ilvl="1" w:tplc="3888330E">
      <w:start w:val="1"/>
      <w:numFmt w:val="bullet"/>
      <w:lvlText w:val="o"/>
      <w:lvlJc w:val="left"/>
      <w:pPr>
        <w:ind w:left="1440" w:hanging="360"/>
      </w:pPr>
      <w:rPr>
        <w:rFonts w:ascii="&quot;Courier New&quot;" w:hAnsi="&quot;Courier New&quot;" w:hint="default"/>
      </w:rPr>
    </w:lvl>
    <w:lvl w:ilvl="2" w:tplc="EF88DAAC">
      <w:start w:val="1"/>
      <w:numFmt w:val="bullet"/>
      <w:lvlText w:val=""/>
      <w:lvlJc w:val="left"/>
      <w:pPr>
        <w:ind w:left="2160" w:hanging="360"/>
      </w:pPr>
      <w:rPr>
        <w:rFonts w:ascii="Wingdings" w:hAnsi="Wingdings" w:hint="default"/>
      </w:rPr>
    </w:lvl>
    <w:lvl w:ilvl="3" w:tplc="9EA6D100">
      <w:start w:val="1"/>
      <w:numFmt w:val="bullet"/>
      <w:lvlText w:val=""/>
      <w:lvlJc w:val="left"/>
      <w:pPr>
        <w:ind w:left="2880" w:hanging="360"/>
      </w:pPr>
      <w:rPr>
        <w:rFonts w:ascii="Symbol" w:hAnsi="Symbol" w:hint="default"/>
      </w:rPr>
    </w:lvl>
    <w:lvl w:ilvl="4" w:tplc="725E1654">
      <w:start w:val="1"/>
      <w:numFmt w:val="bullet"/>
      <w:lvlText w:val="o"/>
      <w:lvlJc w:val="left"/>
      <w:pPr>
        <w:ind w:left="3600" w:hanging="360"/>
      </w:pPr>
      <w:rPr>
        <w:rFonts w:ascii="Courier New" w:hAnsi="Courier New" w:hint="default"/>
      </w:rPr>
    </w:lvl>
    <w:lvl w:ilvl="5" w:tplc="FACABFB0">
      <w:start w:val="1"/>
      <w:numFmt w:val="bullet"/>
      <w:lvlText w:val=""/>
      <w:lvlJc w:val="left"/>
      <w:pPr>
        <w:ind w:left="4320" w:hanging="360"/>
      </w:pPr>
      <w:rPr>
        <w:rFonts w:ascii="Wingdings" w:hAnsi="Wingdings" w:hint="default"/>
      </w:rPr>
    </w:lvl>
    <w:lvl w:ilvl="6" w:tplc="66DEB266">
      <w:start w:val="1"/>
      <w:numFmt w:val="bullet"/>
      <w:lvlText w:val=""/>
      <w:lvlJc w:val="left"/>
      <w:pPr>
        <w:ind w:left="5040" w:hanging="360"/>
      </w:pPr>
      <w:rPr>
        <w:rFonts w:ascii="Symbol" w:hAnsi="Symbol" w:hint="default"/>
      </w:rPr>
    </w:lvl>
    <w:lvl w:ilvl="7" w:tplc="8020F4D2">
      <w:start w:val="1"/>
      <w:numFmt w:val="bullet"/>
      <w:lvlText w:val="o"/>
      <w:lvlJc w:val="left"/>
      <w:pPr>
        <w:ind w:left="5760" w:hanging="360"/>
      </w:pPr>
      <w:rPr>
        <w:rFonts w:ascii="Courier New" w:hAnsi="Courier New" w:hint="default"/>
      </w:rPr>
    </w:lvl>
    <w:lvl w:ilvl="8" w:tplc="C4FCA452">
      <w:start w:val="1"/>
      <w:numFmt w:val="bullet"/>
      <w:lvlText w:val=""/>
      <w:lvlJc w:val="left"/>
      <w:pPr>
        <w:ind w:left="6480" w:hanging="360"/>
      </w:pPr>
      <w:rPr>
        <w:rFonts w:ascii="Wingdings" w:hAnsi="Wingdings" w:hint="default"/>
      </w:rPr>
    </w:lvl>
  </w:abstractNum>
  <w:abstractNum w:abstractNumId="3" w15:restartNumberingAfterBreak="0">
    <w:nsid w:val="1EA25213"/>
    <w:multiLevelType w:val="hybridMultilevel"/>
    <w:tmpl w:val="03F2D58A"/>
    <w:lvl w:ilvl="0" w:tplc="C0A636D0">
      <w:start w:val="1"/>
      <w:numFmt w:val="bullet"/>
      <w:lvlText w:val=""/>
      <w:lvlJc w:val="left"/>
      <w:pPr>
        <w:ind w:left="720" w:hanging="360"/>
      </w:pPr>
      <w:rPr>
        <w:rFonts w:ascii="Symbol" w:hAnsi="Symbol" w:hint="default"/>
      </w:rPr>
    </w:lvl>
    <w:lvl w:ilvl="1" w:tplc="11C40924">
      <w:start w:val="1"/>
      <w:numFmt w:val="bullet"/>
      <w:lvlText w:val="o"/>
      <w:lvlJc w:val="left"/>
      <w:pPr>
        <w:ind w:left="1440" w:hanging="360"/>
      </w:pPr>
      <w:rPr>
        <w:rFonts w:ascii="&quot;Courier New&quot;" w:hAnsi="&quot;Courier New&quot;" w:hint="default"/>
      </w:rPr>
    </w:lvl>
    <w:lvl w:ilvl="2" w:tplc="2DE87AE0">
      <w:start w:val="1"/>
      <w:numFmt w:val="bullet"/>
      <w:lvlText w:val=""/>
      <w:lvlJc w:val="left"/>
      <w:pPr>
        <w:ind w:left="2160" w:hanging="360"/>
      </w:pPr>
      <w:rPr>
        <w:rFonts w:ascii="Wingdings" w:hAnsi="Wingdings" w:hint="default"/>
      </w:rPr>
    </w:lvl>
    <w:lvl w:ilvl="3" w:tplc="4D088BF2">
      <w:start w:val="1"/>
      <w:numFmt w:val="bullet"/>
      <w:lvlText w:val=""/>
      <w:lvlJc w:val="left"/>
      <w:pPr>
        <w:ind w:left="2880" w:hanging="360"/>
      </w:pPr>
      <w:rPr>
        <w:rFonts w:ascii="Symbol" w:hAnsi="Symbol" w:hint="default"/>
      </w:rPr>
    </w:lvl>
    <w:lvl w:ilvl="4" w:tplc="685AB1AC">
      <w:start w:val="1"/>
      <w:numFmt w:val="bullet"/>
      <w:lvlText w:val="o"/>
      <w:lvlJc w:val="left"/>
      <w:pPr>
        <w:ind w:left="3600" w:hanging="360"/>
      </w:pPr>
      <w:rPr>
        <w:rFonts w:ascii="Courier New" w:hAnsi="Courier New" w:hint="default"/>
      </w:rPr>
    </w:lvl>
    <w:lvl w:ilvl="5" w:tplc="C3E0E8F2">
      <w:start w:val="1"/>
      <w:numFmt w:val="bullet"/>
      <w:lvlText w:val=""/>
      <w:lvlJc w:val="left"/>
      <w:pPr>
        <w:ind w:left="4320" w:hanging="360"/>
      </w:pPr>
      <w:rPr>
        <w:rFonts w:ascii="Wingdings" w:hAnsi="Wingdings" w:hint="default"/>
      </w:rPr>
    </w:lvl>
    <w:lvl w:ilvl="6" w:tplc="132CF646">
      <w:start w:val="1"/>
      <w:numFmt w:val="bullet"/>
      <w:lvlText w:val=""/>
      <w:lvlJc w:val="left"/>
      <w:pPr>
        <w:ind w:left="5040" w:hanging="360"/>
      </w:pPr>
      <w:rPr>
        <w:rFonts w:ascii="Symbol" w:hAnsi="Symbol" w:hint="default"/>
      </w:rPr>
    </w:lvl>
    <w:lvl w:ilvl="7" w:tplc="7B8E54CC">
      <w:start w:val="1"/>
      <w:numFmt w:val="bullet"/>
      <w:lvlText w:val="o"/>
      <w:lvlJc w:val="left"/>
      <w:pPr>
        <w:ind w:left="5760" w:hanging="360"/>
      </w:pPr>
      <w:rPr>
        <w:rFonts w:ascii="Courier New" w:hAnsi="Courier New" w:hint="default"/>
      </w:rPr>
    </w:lvl>
    <w:lvl w:ilvl="8" w:tplc="8DB2859C">
      <w:start w:val="1"/>
      <w:numFmt w:val="bullet"/>
      <w:lvlText w:val=""/>
      <w:lvlJc w:val="left"/>
      <w:pPr>
        <w:ind w:left="6480" w:hanging="360"/>
      </w:pPr>
      <w:rPr>
        <w:rFonts w:ascii="Wingdings" w:hAnsi="Wingdings" w:hint="default"/>
      </w:rPr>
    </w:lvl>
  </w:abstractNum>
  <w:abstractNum w:abstractNumId="4" w15:restartNumberingAfterBreak="0">
    <w:nsid w:val="1EFB3086"/>
    <w:multiLevelType w:val="multilevel"/>
    <w:tmpl w:val="AA504126"/>
    <w:lvl w:ilvl="0">
      <w:start w:val="34"/>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39431C53"/>
    <w:multiLevelType w:val="hybridMultilevel"/>
    <w:tmpl w:val="299E0538"/>
    <w:lvl w:ilvl="0" w:tplc="83885F40">
      <w:start w:val="1"/>
      <w:numFmt w:val="bullet"/>
      <w:lvlText w:val=""/>
      <w:lvlJc w:val="left"/>
      <w:pPr>
        <w:ind w:left="1080" w:hanging="360"/>
      </w:pPr>
      <w:rPr>
        <w:rFonts w:ascii="Symbol" w:hAnsi="Symbol" w:hint="default"/>
      </w:rPr>
    </w:lvl>
    <w:lvl w:ilvl="1" w:tplc="95382848">
      <w:start w:val="1"/>
      <w:numFmt w:val="bullet"/>
      <w:lvlText w:val="o"/>
      <w:lvlJc w:val="left"/>
      <w:pPr>
        <w:ind w:left="1800" w:hanging="360"/>
      </w:pPr>
      <w:rPr>
        <w:rFonts w:ascii="Courier New" w:hAnsi="Courier New" w:hint="default"/>
      </w:rPr>
    </w:lvl>
    <w:lvl w:ilvl="2" w:tplc="AFD2B500">
      <w:start w:val="1"/>
      <w:numFmt w:val="bullet"/>
      <w:lvlText w:val=""/>
      <w:lvlJc w:val="left"/>
      <w:pPr>
        <w:ind w:left="2520" w:hanging="360"/>
      </w:pPr>
      <w:rPr>
        <w:rFonts w:ascii="Wingdings" w:hAnsi="Wingdings" w:hint="default"/>
      </w:rPr>
    </w:lvl>
    <w:lvl w:ilvl="3" w:tplc="5C823E28">
      <w:start w:val="1"/>
      <w:numFmt w:val="bullet"/>
      <w:lvlText w:val=""/>
      <w:lvlJc w:val="left"/>
      <w:pPr>
        <w:ind w:left="3240" w:hanging="360"/>
      </w:pPr>
      <w:rPr>
        <w:rFonts w:ascii="Symbol" w:hAnsi="Symbol" w:hint="default"/>
      </w:rPr>
    </w:lvl>
    <w:lvl w:ilvl="4" w:tplc="03E83474">
      <w:start w:val="1"/>
      <w:numFmt w:val="bullet"/>
      <w:lvlText w:val="o"/>
      <w:lvlJc w:val="left"/>
      <w:pPr>
        <w:ind w:left="3960" w:hanging="360"/>
      </w:pPr>
      <w:rPr>
        <w:rFonts w:ascii="Courier New" w:hAnsi="Courier New" w:hint="default"/>
      </w:rPr>
    </w:lvl>
    <w:lvl w:ilvl="5" w:tplc="C62E489C">
      <w:start w:val="1"/>
      <w:numFmt w:val="bullet"/>
      <w:lvlText w:val=""/>
      <w:lvlJc w:val="left"/>
      <w:pPr>
        <w:ind w:left="4680" w:hanging="360"/>
      </w:pPr>
      <w:rPr>
        <w:rFonts w:ascii="Wingdings" w:hAnsi="Wingdings" w:hint="default"/>
      </w:rPr>
    </w:lvl>
    <w:lvl w:ilvl="6" w:tplc="E1203A6A">
      <w:start w:val="1"/>
      <w:numFmt w:val="bullet"/>
      <w:lvlText w:val=""/>
      <w:lvlJc w:val="left"/>
      <w:pPr>
        <w:ind w:left="5400" w:hanging="360"/>
      </w:pPr>
      <w:rPr>
        <w:rFonts w:ascii="Symbol" w:hAnsi="Symbol" w:hint="default"/>
      </w:rPr>
    </w:lvl>
    <w:lvl w:ilvl="7" w:tplc="51465CCA">
      <w:start w:val="1"/>
      <w:numFmt w:val="bullet"/>
      <w:lvlText w:val="o"/>
      <w:lvlJc w:val="left"/>
      <w:pPr>
        <w:ind w:left="6120" w:hanging="360"/>
      </w:pPr>
      <w:rPr>
        <w:rFonts w:ascii="Courier New" w:hAnsi="Courier New" w:hint="default"/>
      </w:rPr>
    </w:lvl>
    <w:lvl w:ilvl="8" w:tplc="255A5CE4">
      <w:start w:val="1"/>
      <w:numFmt w:val="bullet"/>
      <w:lvlText w:val=""/>
      <w:lvlJc w:val="left"/>
      <w:pPr>
        <w:ind w:left="6840" w:hanging="360"/>
      </w:pPr>
      <w:rPr>
        <w:rFonts w:ascii="Wingdings" w:hAnsi="Wingdings" w:hint="default"/>
      </w:rPr>
    </w:lvl>
  </w:abstractNum>
  <w:abstractNum w:abstractNumId="6" w15:restartNumberingAfterBreak="0">
    <w:nsid w:val="3FB0CED0"/>
    <w:multiLevelType w:val="hybridMultilevel"/>
    <w:tmpl w:val="3094EE38"/>
    <w:lvl w:ilvl="0" w:tplc="9B881C5A">
      <w:start w:val="1"/>
      <w:numFmt w:val="bullet"/>
      <w:lvlText w:val="o"/>
      <w:lvlJc w:val="left"/>
      <w:pPr>
        <w:ind w:left="720" w:hanging="360"/>
      </w:pPr>
      <w:rPr>
        <w:rFonts w:ascii="&quot;Courier New&quot;" w:hAnsi="&quot;Courier New&quot;" w:hint="default"/>
      </w:rPr>
    </w:lvl>
    <w:lvl w:ilvl="1" w:tplc="E8F6C112">
      <w:start w:val="1"/>
      <w:numFmt w:val="bullet"/>
      <w:lvlText w:val="o"/>
      <w:lvlJc w:val="left"/>
      <w:pPr>
        <w:ind w:left="1440" w:hanging="360"/>
      </w:pPr>
      <w:rPr>
        <w:rFonts w:ascii="Courier New" w:hAnsi="Courier New" w:hint="default"/>
      </w:rPr>
    </w:lvl>
    <w:lvl w:ilvl="2" w:tplc="4D2AAEEA">
      <w:start w:val="1"/>
      <w:numFmt w:val="bullet"/>
      <w:lvlText w:val=""/>
      <w:lvlJc w:val="left"/>
      <w:pPr>
        <w:ind w:left="2160" w:hanging="360"/>
      </w:pPr>
      <w:rPr>
        <w:rFonts w:ascii="Wingdings" w:hAnsi="Wingdings" w:hint="default"/>
      </w:rPr>
    </w:lvl>
    <w:lvl w:ilvl="3" w:tplc="B24EDEBC">
      <w:start w:val="1"/>
      <w:numFmt w:val="bullet"/>
      <w:lvlText w:val=""/>
      <w:lvlJc w:val="left"/>
      <w:pPr>
        <w:ind w:left="2880" w:hanging="360"/>
      </w:pPr>
      <w:rPr>
        <w:rFonts w:ascii="Symbol" w:hAnsi="Symbol" w:hint="default"/>
      </w:rPr>
    </w:lvl>
    <w:lvl w:ilvl="4" w:tplc="58E6F282">
      <w:start w:val="1"/>
      <w:numFmt w:val="bullet"/>
      <w:lvlText w:val="o"/>
      <w:lvlJc w:val="left"/>
      <w:pPr>
        <w:ind w:left="3600" w:hanging="360"/>
      </w:pPr>
      <w:rPr>
        <w:rFonts w:ascii="Courier New" w:hAnsi="Courier New" w:hint="default"/>
      </w:rPr>
    </w:lvl>
    <w:lvl w:ilvl="5" w:tplc="0CC2B38E">
      <w:start w:val="1"/>
      <w:numFmt w:val="bullet"/>
      <w:lvlText w:val=""/>
      <w:lvlJc w:val="left"/>
      <w:pPr>
        <w:ind w:left="4320" w:hanging="360"/>
      </w:pPr>
      <w:rPr>
        <w:rFonts w:ascii="Wingdings" w:hAnsi="Wingdings" w:hint="default"/>
      </w:rPr>
    </w:lvl>
    <w:lvl w:ilvl="6" w:tplc="CBA2C4CC">
      <w:start w:val="1"/>
      <w:numFmt w:val="bullet"/>
      <w:lvlText w:val=""/>
      <w:lvlJc w:val="left"/>
      <w:pPr>
        <w:ind w:left="5040" w:hanging="360"/>
      </w:pPr>
      <w:rPr>
        <w:rFonts w:ascii="Symbol" w:hAnsi="Symbol" w:hint="default"/>
      </w:rPr>
    </w:lvl>
    <w:lvl w:ilvl="7" w:tplc="40F2F60C">
      <w:start w:val="1"/>
      <w:numFmt w:val="bullet"/>
      <w:lvlText w:val="o"/>
      <w:lvlJc w:val="left"/>
      <w:pPr>
        <w:ind w:left="5760" w:hanging="360"/>
      </w:pPr>
      <w:rPr>
        <w:rFonts w:ascii="Courier New" w:hAnsi="Courier New" w:hint="default"/>
      </w:rPr>
    </w:lvl>
    <w:lvl w:ilvl="8" w:tplc="ECE2626A">
      <w:start w:val="1"/>
      <w:numFmt w:val="bullet"/>
      <w:lvlText w:val=""/>
      <w:lvlJc w:val="left"/>
      <w:pPr>
        <w:ind w:left="6480" w:hanging="360"/>
      </w:pPr>
      <w:rPr>
        <w:rFonts w:ascii="Wingdings" w:hAnsi="Wingdings" w:hint="default"/>
      </w:rPr>
    </w:lvl>
  </w:abstractNum>
  <w:abstractNum w:abstractNumId="7" w15:restartNumberingAfterBreak="0">
    <w:nsid w:val="476019C8"/>
    <w:multiLevelType w:val="multilevel"/>
    <w:tmpl w:val="A760B66E"/>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5767F1B5"/>
    <w:multiLevelType w:val="hybridMultilevel"/>
    <w:tmpl w:val="0DD26C4E"/>
    <w:lvl w:ilvl="0" w:tplc="7FE608FE">
      <w:start w:val="1"/>
      <w:numFmt w:val="bullet"/>
      <w:lvlText w:val=""/>
      <w:lvlJc w:val="left"/>
      <w:pPr>
        <w:ind w:left="1080" w:hanging="360"/>
      </w:pPr>
      <w:rPr>
        <w:rFonts w:ascii="Symbol" w:hAnsi="Symbol" w:hint="default"/>
      </w:rPr>
    </w:lvl>
    <w:lvl w:ilvl="1" w:tplc="429827B6">
      <w:start w:val="1"/>
      <w:numFmt w:val="bullet"/>
      <w:lvlText w:val="o"/>
      <w:lvlJc w:val="left"/>
      <w:pPr>
        <w:ind w:left="1800" w:hanging="360"/>
      </w:pPr>
      <w:rPr>
        <w:rFonts w:ascii="Courier New" w:hAnsi="Courier New" w:hint="default"/>
      </w:rPr>
    </w:lvl>
    <w:lvl w:ilvl="2" w:tplc="C5C6E4FC">
      <w:start w:val="1"/>
      <w:numFmt w:val="bullet"/>
      <w:lvlText w:val=""/>
      <w:lvlJc w:val="left"/>
      <w:pPr>
        <w:ind w:left="2520" w:hanging="360"/>
      </w:pPr>
      <w:rPr>
        <w:rFonts w:ascii="Wingdings" w:hAnsi="Wingdings" w:hint="default"/>
      </w:rPr>
    </w:lvl>
    <w:lvl w:ilvl="3" w:tplc="284E87D0">
      <w:start w:val="1"/>
      <w:numFmt w:val="bullet"/>
      <w:lvlText w:val=""/>
      <w:lvlJc w:val="left"/>
      <w:pPr>
        <w:ind w:left="3240" w:hanging="360"/>
      </w:pPr>
      <w:rPr>
        <w:rFonts w:ascii="Symbol" w:hAnsi="Symbol" w:hint="default"/>
      </w:rPr>
    </w:lvl>
    <w:lvl w:ilvl="4" w:tplc="AD4E02A2">
      <w:start w:val="1"/>
      <w:numFmt w:val="bullet"/>
      <w:lvlText w:val="o"/>
      <w:lvlJc w:val="left"/>
      <w:pPr>
        <w:ind w:left="3960" w:hanging="360"/>
      </w:pPr>
      <w:rPr>
        <w:rFonts w:ascii="Courier New" w:hAnsi="Courier New" w:hint="default"/>
      </w:rPr>
    </w:lvl>
    <w:lvl w:ilvl="5" w:tplc="644ADEE8">
      <w:start w:val="1"/>
      <w:numFmt w:val="bullet"/>
      <w:lvlText w:val=""/>
      <w:lvlJc w:val="left"/>
      <w:pPr>
        <w:ind w:left="4680" w:hanging="360"/>
      </w:pPr>
      <w:rPr>
        <w:rFonts w:ascii="Wingdings" w:hAnsi="Wingdings" w:hint="default"/>
      </w:rPr>
    </w:lvl>
    <w:lvl w:ilvl="6" w:tplc="0B54DFCC">
      <w:start w:val="1"/>
      <w:numFmt w:val="bullet"/>
      <w:lvlText w:val=""/>
      <w:lvlJc w:val="left"/>
      <w:pPr>
        <w:ind w:left="5400" w:hanging="360"/>
      </w:pPr>
      <w:rPr>
        <w:rFonts w:ascii="Symbol" w:hAnsi="Symbol" w:hint="default"/>
      </w:rPr>
    </w:lvl>
    <w:lvl w:ilvl="7" w:tplc="2702EB56">
      <w:start w:val="1"/>
      <w:numFmt w:val="bullet"/>
      <w:lvlText w:val="o"/>
      <w:lvlJc w:val="left"/>
      <w:pPr>
        <w:ind w:left="6120" w:hanging="360"/>
      </w:pPr>
      <w:rPr>
        <w:rFonts w:ascii="Courier New" w:hAnsi="Courier New" w:hint="default"/>
      </w:rPr>
    </w:lvl>
    <w:lvl w:ilvl="8" w:tplc="0ADAADF2">
      <w:start w:val="1"/>
      <w:numFmt w:val="bullet"/>
      <w:lvlText w:val=""/>
      <w:lvlJc w:val="left"/>
      <w:pPr>
        <w:ind w:left="6840" w:hanging="360"/>
      </w:pPr>
      <w:rPr>
        <w:rFonts w:ascii="Wingdings" w:hAnsi="Wingdings" w:hint="default"/>
      </w:rPr>
    </w:lvl>
  </w:abstractNum>
  <w:abstractNum w:abstractNumId="9" w15:restartNumberingAfterBreak="0">
    <w:nsid w:val="5C767FDC"/>
    <w:multiLevelType w:val="hybridMultilevel"/>
    <w:tmpl w:val="B77A7608"/>
    <w:lvl w:ilvl="0" w:tplc="A36A9554">
      <w:start w:val="1"/>
      <w:numFmt w:val="bullet"/>
      <w:lvlText w:val=""/>
      <w:lvlJc w:val="left"/>
      <w:pPr>
        <w:ind w:left="1080" w:hanging="360"/>
      </w:pPr>
      <w:rPr>
        <w:rFonts w:ascii="Symbol" w:hAnsi="Symbol" w:hint="default"/>
      </w:rPr>
    </w:lvl>
    <w:lvl w:ilvl="1" w:tplc="1B68C51E">
      <w:start w:val="1"/>
      <w:numFmt w:val="bullet"/>
      <w:lvlText w:val="o"/>
      <w:lvlJc w:val="left"/>
      <w:pPr>
        <w:ind w:left="1800" w:hanging="360"/>
      </w:pPr>
      <w:rPr>
        <w:rFonts w:ascii="Courier New" w:hAnsi="Courier New" w:hint="default"/>
      </w:rPr>
    </w:lvl>
    <w:lvl w:ilvl="2" w:tplc="911E971C">
      <w:start w:val="1"/>
      <w:numFmt w:val="bullet"/>
      <w:lvlText w:val=""/>
      <w:lvlJc w:val="left"/>
      <w:pPr>
        <w:ind w:left="2520" w:hanging="360"/>
      </w:pPr>
      <w:rPr>
        <w:rFonts w:ascii="Wingdings" w:hAnsi="Wingdings" w:hint="default"/>
      </w:rPr>
    </w:lvl>
    <w:lvl w:ilvl="3" w:tplc="97840B0A">
      <w:start w:val="1"/>
      <w:numFmt w:val="bullet"/>
      <w:lvlText w:val=""/>
      <w:lvlJc w:val="left"/>
      <w:pPr>
        <w:ind w:left="3240" w:hanging="360"/>
      </w:pPr>
      <w:rPr>
        <w:rFonts w:ascii="Symbol" w:hAnsi="Symbol" w:hint="default"/>
      </w:rPr>
    </w:lvl>
    <w:lvl w:ilvl="4" w:tplc="FE10321A">
      <w:start w:val="1"/>
      <w:numFmt w:val="bullet"/>
      <w:lvlText w:val="o"/>
      <w:lvlJc w:val="left"/>
      <w:pPr>
        <w:ind w:left="3960" w:hanging="360"/>
      </w:pPr>
      <w:rPr>
        <w:rFonts w:ascii="Courier New" w:hAnsi="Courier New" w:hint="default"/>
      </w:rPr>
    </w:lvl>
    <w:lvl w:ilvl="5" w:tplc="581A798E">
      <w:start w:val="1"/>
      <w:numFmt w:val="bullet"/>
      <w:lvlText w:val=""/>
      <w:lvlJc w:val="left"/>
      <w:pPr>
        <w:ind w:left="4680" w:hanging="360"/>
      </w:pPr>
      <w:rPr>
        <w:rFonts w:ascii="Wingdings" w:hAnsi="Wingdings" w:hint="default"/>
      </w:rPr>
    </w:lvl>
    <w:lvl w:ilvl="6" w:tplc="D8A81E1E">
      <w:start w:val="1"/>
      <w:numFmt w:val="bullet"/>
      <w:lvlText w:val=""/>
      <w:lvlJc w:val="left"/>
      <w:pPr>
        <w:ind w:left="5400" w:hanging="360"/>
      </w:pPr>
      <w:rPr>
        <w:rFonts w:ascii="Symbol" w:hAnsi="Symbol" w:hint="default"/>
      </w:rPr>
    </w:lvl>
    <w:lvl w:ilvl="7" w:tplc="BAD866E0">
      <w:start w:val="1"/>
      <w:numFmt w:val="bullet"/>
      <w:lvlText w:val="o"/>
      <w:lvlJc w:val="left"/>
      <w:pPr>
        <w:ind w:left="6120" w:hanging="360"/>
      </w:pPr>
      <w:rPr>
        <w:rFonts w:ascii="Courier New" w:hAnsi="Courier New" w:hint="default"/>
      </w:rPr>
    </w:lvl>
    <w:lvl w:ilvl="8" w:tplc="FC8C185E">
      <w:start w:val="1"/>
      <w:numFmt w:val="bullet"/>
      <w:lvlText w:val=""/>
      <w:lvlJc w:val="left"/>
      <w:pPr>
        <w:ind w:left="6840" w:hanging="360"/>
      </w:pPr>
      <w:rPr>
        <w:rFonts w:ascii="Wingdings" w:hAnsi="Wingdings" w:hint="default"/>
      </w:rPr>
    </w:lvl>
  </w:abstractNum>
  <w:abstractNum w:abstractNumId="10" w15:restartNumberingAfterBreak="0">
    <w:nsid w:val="5FD06C03"/>
    <w:multiLevelType w:val="hybridMultilevel"/>
    <w:tmpl w:val="AD46C8AC"/>
    <w:lvl w:ilvl="0" w:tplc="1A3239D8">
      <w:start w:val="1"/>
      <w:numFmt w:val="bullet"/>
      <w:lvlText w:val=""/>
      <w:lvlJc w:val="left"/>
      <w:pPr>
        <w:ind w:left="1080" w:hanging="360"/>
      </w:pPr>
      <w:rPr>
        <w:rFonts w:ascii="Symbol" w:hAnsi="Symbol" w:hint="default"/>
      </w:rPr>
    </w:lvl>
    <w:lvl w:ilvl="1" w:tplc="7C80B390">
      <w:start w:val="1"/>
      <w:numFmt w:val="bullet"/>
      <w:lvlText w:val="o"/>
      <w:lvlJc w:val="left"/>
      <w:pPr>
        <w:ind w:left="1800" w:hanging="360"/>
      </w:pPr>
      <w:rPr>
        <w:rFonts w:ascii="Courier New" w:hAnsi="Courier New" w:hint="default"/>
      </w:rPr>
    </w:lvl>
    <w:lvl w:ilvl="2" w:tplc="088068D0">
      <w:start w:val="1"/>
      <w:numFmt w:val="bullet"/>
      <w:lvlText w:val=""/>
      <w:lvlJc w:val="left"/>
      <w:pPr>
        <w:ind w:left="2520" w:hanging="360"/>
      </w:pPr>
      <w:rPr>
        <w:rFonts w:ascii="Wingdings" w:hAnsi="Wingdings" w:hint="default"/>
      </w:rPr>
    </w:lvl>
    <w:lvl w:ilvl="3" w:tplc="7ED42AD2">
      <w:start w:val="1"/>
      <w:numFmt w:val="bullet"/>
      <w:lvlText w:val=""/>
      <w:lvlJc w:val="left"/>
      <w:pPr>
        <w:ind w:left="3240" w:hanging="360"/>
      </w:pPr>
      <w:rPr>
        <w:rFonts w:ascii="Symbol" w:hAnsi="Symbol" w:hint="default"/>
      </w:rPr>
    </w:lvl>
    <w:lvl w:ilvl="4" w:tplc="3FCAB3A4">
      <w:start w:val="1"/>
      <w:numFmt w:val="bullet"/>
      <w:lvlText w:val="o"/>
      <w:lvlJc w:val="left"/>
      <w:pPr>
        <w:ind w:left="3960" w:hanging="360"/>
      </w:pPr>
      <w:rPr>
        <w:rFonts w:ascii="Courier New" w:hAnsi="Courier New" w:hint="default"/>
      </w:rPr>
    </w:lvl>
    <w:lvl w:ilvl="5" w:tplc="1FD69CBC">
      <w:start w:val="1"/>
      <w:numFmt w:val="bullet"/>
      <w:lvlText w:val=""/>
      <w:lvlJc w:val="left"/>
      <w:pPr>
        <w:ind w:left="4680" w:hanging="360"/>
      </w:pPr>
      <w:rPr>
        <w:rFonts w:ascii="Wingdings" w:hAnsi="Wingdings" w:hint="default"/>
      </w:rPr>
    </w:lvl>
    <w:lvl w:ilvl="6" w:tplc="4BD4964C">
      <w:start w:val="1"/>
      <w:numFmt w:val="bullet"/>
      <w:lvlText w:val=""/>
      <w:lvlJc w:val="left"/>
      <w:pPr>
        <w:ind w:left="5400" w:hanging="360"/>
      </w:pPr>
      <w:rPr>
        <w:rFonts w:ascii="Symbol" w:hAnsi="Symbol" w:hint="default"/>
      </w:rPr>
    </w:lvl>
    <w:lvl w:ilvl="7" w:tplc="70EED0C6">
      <w:start w:val="1"/>
      <w:numFmt w:val="bullet"/>
      <w:lvlText w:val="o"/>
      <w:lvlJc w:val="left"/>
      <w:pPr>
        <w:ind w:left="6120" w:hanging="360"/>
      </w:pPr>
      <w:rPr>
        <w:rFonts w:ascii="Courier New" w:hAnsi="Courier New" w:hint="default"/>
      </w:rPr>
    </w:lvl>
    <w:lvl w:ilvl="8" w:tplc="CC4E7F38">
      <w:start w:val="1"/>
      <w:numFmt w:val="bullet"/>
      <w:lvlText w:val=""/>
      <w:lvlJc w:val="left"/>
      <w:pPr>
        <w:ind w:left="6840" w:hanging="360"/>
      </w:pPr>
      <w:rPr>
        <w:rFonts w:ascii="Wingdings" w:hAnsi="Wingdings" w:hint="default"/>
      </w:rPr>
    </w:lvl>
  </w:abstractNum>
  <w:abstractNum w:abstractNumId="11" w15:restartNumberingAfterBreak="0">
    <w:nsid w:val="60EAAAB5"/>
    <w:multiLevelType w:val="hybridMultilevel"/>
    <w:tmpl w:val="93D2786A"/>
    <w:lvl w:ilvl="0" w:tplc="FB7A1226">
      <w:start w:val="1"/>
      <w:numFmt w:val="decimal"/>
      <w:lvlText w:val="%1."/>
      <w:lvlJc w:val="left"/>
      <w:pPr>
        <w:ind w:left="720" w:hanging="360"/>
      </w:pPr>
    </w:lvl>
    <w:lvl w:ilvl="1" w:tplc="A2868F30">
      <w:start w:val="1"/>
      <w:numFmt w:val="lowerLetter"/>
      <w:lvlText w:val="%2."/>
      <w:lvlJc w:val="left"/>
      <w:pPr>
        <w:ind w:left="1440" w:hanging="360"/>
      </w:pPr>
    </w:lvl>
    <w:lvl w:ilvl="2" w:tplc="C220BD0A">
      <w:start w:val="1"/>
      <w:numFmt w:val="lowerRoman"/>
      <w:lvlText w:val="%3."/>
      <w:lvlJc w:val="right"/>
      <w:pPr>
        <w:ind w:left="2160" w:hanging="180"/>
      </w:pPr>
    </w:lvl>
    <w:lvl w:ilvl="3" w:tplc="A570425E">
      <w:start w:val="1"/>
      <w:numFmt w:val="decimal"/>
      <w:lvlText w:val="%4."/>
      <w:lvlJc w:val="left"/>
      <w:pPr>
        <w:ind w:left="2880" w:hanging="360"/>
      </w:pPr>
    </w:lvl>
    <w:lvl w:ilvl="4" w:tplc="92C64B9C">
      <w:start w:val="1"/>
      <w:numFmt w:val="lowerLetter"/>
      <w:lvlText w:val="%5."/>
      <w:lvlJc w:val="left"/>
      <w:pPr>
        <w:ind w:left="3600" w:hanging="360"/>
      </w:pPr>
    </w:lvl>
    <w:lvl w:ilvl="5" w:tplc="02EECC10">
      <w:start w:val="1"/>
      <w:numFmt w:val="lowerRoman"/>
      <w:lvlText w:val="%6."/>
      <w:lvlJc w:val="right"/>
      <w:pPr>
        <w:ind w:left="4320" w:hanging="180"/>
      </w:pPr>
    </w:lvl>
    <w:lvl w:ilvl="6" w:tplc="1788005C">
      <w:start w:val="1"/>
      <w:numFmt w:val="decimal"/>
      <w:lvlText w:val="%7."/>
      <w:lvlJc w:val="left"/>
      <w:pPr>
        <w:ind w:left="5040" w:hanging="360"/>
      </w:pPr>
    </w:lvl>
    <w:lvl w:ilvl="7" w:tplc="3092B2DA">
      <w:start w:val="1"/>
      <w:numFmt w:val="lowerLetter"/>
      <w:lvlText w:val="%8."/>
      <w:lvlJc w:val="left"/>
      <w:pPr>
        <w:ind w:left="5760" w:hanging="360"/>
      </w:pPr>
    </w:lvl>
    <w:lvl w:ilvl="8" w:tplc="C172DC20">
      <w:start w:val="1"/>
      <w:numFmt w:val="lowerRoman"/>
      <w:lvlText w:val="%9."/>
      <w:lvlJc w:val="right"/>
      <w:pPr>
        <w:ind w:left="6480" w:hanging="180"/>
      </w:pPr>
    </w:lvl>
  </w:abstractNum>
  <w:abstractNum w:abstractNumId="12" w15:restartNumberingAfterBreak="0">
    <w:nsid w:val="661273A8"/>
    <w:multiLevelType w:val="hybridMultilevel"/>
    <w:tmpl w:val="C0DAF956"/>
    <w:lvl w:ilvl="0" w:tplc="21BC76DE">
      <w:start w:val="1"/>
      <w:numFmt w:val="bullet"/>
      <w:lvlText w:val=""/>
      <w:lvlJc w:val="left"/>
      <w:pPr>
        <w:ind w:left="1080" w:hanging="360"/>
      </w:pPr>
      <w:rPr>
        <w:rFonts w:ascii="Symbol" w:hAnsi="Symbol" w:hint="default"/>
      </w:rPr>
    </w:lvl>
    <w:lvl w:ilvl="1" w:tplc="BEF2ED40">
      <w:start w:val="1"/>
      <w:numFmt w:val="bullet"/>
      <w:lvlText w:val="o"/>
      <w:lvlJc w:val="left"/>
      <w:pPr>
        <w:ind w:left="1800" w:hanging="360"/>
      </w:pPr>
      <w:rPr>
        <w:rFonts w:ascii="Courier New" w:hAnsi="Courier New" w:hint="default"/>
      </w:rPr>
    </w:lvl>
    <w:lvl w:ilvl="2" w:tplc="35D0D908">
      <w:start w:val="1"/>
      <w:numFmt w:val="bullet"/>
      <w:lvlText w:val=""/>
      <w:lvlJc w:val="left"/>
      <w:pPr>
        <w:ind w:left="2520" w:hanging="360"/>
      </w:pPr>
      <w:rPr>
        <w:rFonts w:ascii="Wingdings" w:hAnsi="Wingdings" w:hint="default"/>
      </w:rPr>
    </w:lvl>
    <w:lvl w:ilvl="3" w:tplc="BDD88D04">
      <w:start w:val="1"/>
      <w:numFmt w:val="bullet"/>
      <w:lvlText w:val=""/>
      <w:lvlJc w:val="left"/>
      <w:pPr>
        <w:ind w:left="3240" w:hanging="360"/>
      </w:pPr>
      <w:rPr>
        <w:rFonts w:ascii="Symbol" w:hAnsi="Symbol" w:hint="default"/>
      </w:rPr>
    </w:lvl>
    <w:lvl w:ilvl="4" w:tplc="7AD8519E">
      <w:start w:val="1"/>
      <w:numFmt w:val="bullet"/>
      <w:lvlText w:val="o"/>
      <w:lvlJc w:val="left"/>
      <w:pPr>
        <w:ind w:left="3960" w:hanging="360"/>
      </w:pPr>
      <w:rPr>
        <w:rFonts w:ascii="Courier New" w:hAnsi="Courier New" w:hint="default"/>
      </w:rPr>
    </w:lvl>
    <w:lvl w:ilvl="5" w:tplc="AFF289E6">
      <w:start w:val="1"/>
      <w:numFmt w:val="bullet"/>
      <w:lvlText w:val=""/>
      <w:lvlJc w:val="left"/>
      <w:pPr>
        <w:ind w:left="4680" w:hanging="360"/>
      </w:pPr>
      <w:rPr>
        <w:rFonts w:ascii="Wingdings" w:hAnsi="Wingdings" w:hint="default"/>
      </w:rPr>
    </w:lvl>
    <w:lvl w:ilvl="6" w:tplc="A7E0B606">
      <w:start w:val="1"/>
      <w:numFmt w:val="bullet"/>
      <w:lvlText w:val=""/>
      <w:lvlJc w:val="left"/>
      <w:pPr>
        <w:ind w:left="5400" w:hanging="360"/>
      </w:pPr>
      <w:rPr>
        <w:rFonts w:ascii="Symbol" w:hAnsi="Symbol" w:hint="default"/>
      </w:rPr>
    </w:lvl>
    <w:lvl w:ilvl="7" w:tplc="72EAE1B0">
      <w:start w:val="1"/>
      <w:numFmt w:val="bullet"/>
      <w:lvlText w:val="o"/>
      <w:lvlJc w:val="left"/>
      <w:pPr>
        <w:ind w:left="6120" w:hanging="360"/>
      </w:pPr>
      <w:rPr>
        <w:rFonts w:ascii="Courier New" w:hAnsi="Courier New" w:hint="default"/>
      </w:rPr>
    </w:lvl>
    <w:lvl w:ilvl="8" w:tplc="D1FEA7D4">
      <w:start w:val="1"/>
      <w:numFmt w:val="bullet"/>
      <w:lvlText w:val=""/>
      <w:lvlJc w:val="left"/>
      <w:pPr>
        <w:ind w:left="6840" w:hanging="360"/>
      </w:pPr>
      <w:rPr>
        <w:rFonts w:ascii="Wingdings" w:hAnsi="Wingdings" w:hint="default"/>
      </w:rPr>
    </w:lvl>
  </w:abstractNum>
  <w:abstractNum w:abstractNumId="13" w15:restartNumberingAfterBreak="0">
    <w:nsid w:val="6E159F14"/>
    <w:multiLevelType w:val="hybridMultilevel"/>
    <w:tmpl w:val="8B6E8770"/>
    <w:lvl w:ilvl="0" w:tplc="34EEEDD6">
      <w:start w:val="1"/>
      <w:numFmt w:val="bullet"/>
      <w:lvlText w:val="·"/>
      <w:lvlJc w:val="left"/>
      <w:pPr>
        <w:ind w:left="720" w:hanging="360"/>
      </w:pPr>
      <w:rPr>
        <w:rFonts w:ascii="Symbol" w:hAnsi="Symbol" w:hint="default"/>
      </w:rPr>
    </w:lvl>
    <w:lvl w:ilvl="1" w:tplc="EFC61230">
      <w:start w:val="1"/>
      <w:numFmt w:val="bullet"/>
      <w:lvlText w:val="o"/>
      <w:lvlJc w:val="left"/>
      <w:pPr>
        <w:ind w:left="1440" w:hanging="360"/>
      </w:pPr>
      <w:rPr>
        <w:rFonts w:ascii="Courier New" w:hAnsi="Courier New" w:hint="default"/>
      </w:rPr>
    </w:lvl>
    <w:lvl w:ilvl="2" w:tplc="092ADE68">
      <w:start w:val="1"/>
      <w:numFmt w:val="bullet"/>
      <w:lvlText w:val=""/>
      <w:lvlJc w:val="left"/>
      <w:pPr>
        <w:ind w:left="2160" w:hanging="360"/>
      </w:pPr>
      <w:rPr>
        <w:rFonts w:ascii="Wingdings" w:hAnsi="Wingdings" w:hint="default"/>
      </w:rPr>
    </w:lvl>
    <w:lvl w:ilvl="3" w:tplc="CB063120">
      <w:start w:val="1"/>
      <w:numFmt w:val="bullet"/>
      <w:lvlText w:val=""/>
      <w:lvlJc w:val="left"/>
      <w:pPr>
        <w:ind w:left="2880" w:hanging="360"/>
      </w:pPr>
      <w:rPr>
        <w:rFonts w:ascii="Symbol" w:hAnsi="Symbol" w:hint="default"/>
      </w:rPr>
    </w:lvl>
    <w:lvl w:ilvl="4" w:tplc="E7B0F912">
      <w:start w:val="1"/>
      <w:numFmt w:val="bullet"/>
      <w:lvlText w:val="o"/>
      <w:lvlJc w:val="left"/>
      <w:pPr>
        <w:ind w:left="3600" w:hanging="360"/>
      </w:pPr>
      <w:rPr>
        <w:rFonts w:ascii="Courier New" w:hAnsi="Courier New" w:hint="default"/>
      </w:rPr>
    </w:lvl>
    <w:lvl w:ilvl="5" w:tplc="E28EDF1C">
      <w:start w:val="1"/>
      <w:numFmt w:val="bullet"/>
      <w:lvlText w:val=""/>
      <w:lvlJc w:val="left"/>
      <w:pPr>
        <w:ind w:left="4320" w:hanging="360"/>
      </w:pPr>
      <w:rPr>
        <w:rFonts w:ascii="Wingdings" w:hAnsi="Wingdings" w:hint="default"/>
      </w:rPr>
    </w:lvl>
    <w:lvl w:ilvl="6" w:tplc="E9B43212">
      <w:start w:val="1"/>
      <w:numFmt w:val="bullet"/>
      <w:lvlText w:val=""/>
      <w:lvlJc w:val="left"/>
      <w:pPr>
        <w:ind w:left="5040" w:hanging="360"/>
      </w:pPr>
      <w:rPr>
        <w:rFonts w:ascii="Symbol" w:hAnsi="Symbol" w:hint="default"/>
      </w:rPr>
    </w:lvl>
    <w:lvl w:ilvl="7" w:tplc="4A52A610">
      <w:start w:val="1"/>
      <w:numFmt w:val="bullet"/>
      <w:lvlText w:val="o"/>
      <w:lvlJc w:val="left"/>
      <w:pPr>
        <w:ind w:left="5760" w:hanging="360"/>
      </w:pPr>
      <w:rPr>
        <w:rFonts w:ascii="Courier New" w:hAnsi="Courier New" w:hint="default"/>
      </w:rPr>
    </w:lvl>
    <w:lvl w:ilvl="8" w:tplc="2FC62574">
      <w:start w:val="1"/>
      <w:numFmt w:val="bullet"/>
      <w:lvlText w:val=""/>
      <w:lvlJc w:val="left"/>
      <w:pPr>
        <w:ind w:left="6480" w:hanging="360"/>
      </w:pPr>
      <w:rPr>
        <w:rFonts w:ascii="Wingdings" w:hAnsi="Wingdings" w:hint="default"/>
      </w:rPr>
    </w:lvl>
  </w:abstractNum>
  <w:abstractNum w:abstractNumId="14" w15:restartNumberingAfterBreak="0">
    <w:nsid w:val="6FF6F960"/>
    <w:multiLevelType w:val="hybridMultilevel"/>
    <w:tmpl w:val="FFFFFFFF"/>
    <w:lvl w:ilvl="0" w:tplc="13FE703E">
      <w:start w:val="1"/>
      <w:numFmt w:val="bullet"/>
      <w:lvlText w:val=""/>
      <w:lvlJc w:val="left"/>
      <w:pPr>
        <w:ind w:left="720" w:hanging="360"/>
      </w:pPr>
      <w:rPr>
        <w:rFonts w:ascii="Symbol" w:hAnsi="Symbol" w:hint="default"/>
      </w:rPr>
    </w:lvl>
    <w:lvl w:ilvl="1" w:tplc="6F3CCCBE">
      <w:start w:val="1"/>
      <w:numFmt w:val="bullet"/>
      <w:lvlText w:val="o"/>
      <w:lvlJc w:val="left"/>
      <w:pPr>
        <w:ind w:left="1440" w:hanging="360"/>
      </w:pPr>
      <w:rPr>
        <w:rFonts w:ascii="Courier New" w:hAnsi="Courier New" w:hint="default"/>
      </w:rPr>
    </w:lvl>
    <w:lvl w:ilvl="2" w:tplc="1AEC3934">
      <w:start w:val="1"/>
      <w:numFmt w:val="bullet"/>
      <w:lvlText w:val=""/>
      <w:lvlJc w:val="left"/>
      <w:pPr>
        <w:ind w:left="2160" w:hanging="360"/>
      </w:pPr>
      <w:rPr>
        <w:rFonts w:ascii="Wingdings" w:hAnsi="Wingdings" w:hint="default"/>
      </w:rPr>
    </w:lvl>
    <w:lvl w:ilvl="3" w:tplc="03F2B2C4">
      <w:start w:val="1"/>
      <w:numFmt w:val="bullet"/>
      <w:lvlText w:val=""/>
      <w:lvlJc w:val="left"/>
      <w:pPr>
        <w:ind w:left="2880" w:hanging="360"/>
      </w:pPr>
      <w:rPr>
        <w:rFonts w:ascii="Symbol" w:hAnsi="Symbol" w:hint="default"/>
      </w:rPr>
    </w:lvl>
    <w:lvl w:ilvl="4" w:tplc="B22A9CD6">
      <w:start w:val="1"/>
      <w:numFmt w:val="bullet"/>
      <w:lvlText w:val="o"/>
      <w:lvlJc w:val="left"/>
      <w:pPr>
        <w:ind w:left="3600" w:hanging="360"/>
      </w:pPr>
      <w:rPr>
        <w:rFonts w:ascii="Courier New" w:hAnsi="Courier New" w:hint="default"/>
      </w:rPr>
    </w:lvl>
    <w:lvl w:ilvl="5" w:tplc="3C18E9E0">
      <w:start w:val="1"/>
      <w:numFmt w:val="bullet"/>
      <w:lvlText w:val=""/>
      <w:lvlJc w:val="left"/>
      <w:pPr>
        <w:ind w:left="4320" w:hanging="360"/>
      </w:pPr>
      <w:rPr>
        <w:rFonts w:ascii="Wingdings" w:hAnsi="Wingdings" w:hint="default"/>
      </w:rPr>
    </w:lvl>
    <w:lvl w:ilvl="6" w:tplc="BF4EAB78">
      <w:start w:val="1"/>
      <w:numFmt w:val="bullet"/>
      <w:lvlText w:val=""/>
      <w:lvlJc w:val="left"/>
      <w:pPr>
        <w:ind w:left="5040" w:hanging="360"/>
      </w:pPr>
      <w:rPr>
        <w:rFonts w:ascii="Symbol" w:hAnsi="Symbol" w:hint="default"/>
      </w:rPr>
    </w:lvl>
    <w:lvl w:ilvl="7" w:tplc="BC848EF4">
      <w:start w:val="1"/>
      <w:numFmt w:val="bullet"/>
      <w:lvlText w:val="o"/>
      <w:lvlJc w:val="left"/>
      <w:pPr>
        <w:ind w:left="5760" w:hanging="360"/>
      </w:pPr>
      <w:rPr>
        <w:rFonts w:ascii="Courier New" w:hAnsi="Courier New" w:hint="default"/>
      </w:rPr>
    </w:lvl>
    <w:lvl w:ilvl="8" w:tplc="947A9374">
      <w:start w:val="1"/>
      <w:numFmt w:val="bullet"/>
      <w:lvlText w:val=""/>
      <w:lvlJc w:val="left"/>
      <w:pPr>
        <w:ind w:left="6480" w:hanging="360"/>
      </w:pPr>
      <w:rPr>
        <w:rFonts w:ascii="Wingdings" w:hAnsi="Wingdings" w:hint="default"/>
      </w:rPr>
    </w:lvl>
  </w:abstractNum>
  <w:abstractNum w:abstractNumId="15" w15:restartNumberingAfterBreak="0">
    <w:nsid w:val="7A7062B5"/>
    <w:multiLevelType w:val="multilevel"/>
    <w:tmpl w:val="2BA84AA2"/>
    <w:lvl w:ilvl="0">
      <w:start w:val="36"/>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16cid:durableId="842210267">
    <w:abstractNumId w:val="9"/>
  </w:num>
  <w:num w:numId="2" w16cid:durableId="1366174082">
    <w:abstractNumId w:val="11"/>
  </w:num>
  <w:num w:numId="3" w16cid:durableId="2139101664">
    <w:abstractNumId w:val="7"/>
  </w:num>
  <w:num w:numId="4" w16cid:durableId="2091391622">
    <w:abstractNumId w:val="12"/>
  </w:num>
  <w:num w:numId="5" w16cid:durableId="130364957">
    <w:abstractNumId w:val="8"/>
  </w:num>
  <w:num w:numId="6" w16cid:durableId="603609967">
    <w:abstractNumId w:val="5"/>
  </w:num>
  <w:num w:numId="7" w16cid:durableId="1047607417">
    <w:abstractNumId w:val="10"/>
  </w:num>
  <w:num w:numId="8" w16cid:durableId="470632136">
    <w:abstractNumId w:val="14"/>
  </w:num>
  <w:num w:numId="9" w16cid:durableId="752820815">
    <w:abstractNumId w:val="13"/>
  </w:num>
  <w:num w:numId="10" w16cid:durableId="1726566744">
    <w:abstractNumId w:val="6"/>
  </w:num>
  <w:num w:numId="11" w16cid:durableId="498664864">
    <w:abstractNumId w:val="3"/>
  </w:num>
  <w:num w:numId="12" w16cid:durableId="960066740">
    <w:abstractNumId w:val="1"/>
  </w:num>
  <w:num w:numId="13" w16cid:durableId="1198736569">
    <w:abstractNumId w:val="2"/>
  </w:num>
  <w:num w:numId="14" w16cid:durableId="1610891837">
    <w:abstractNumId w:val="0"/>
  </w:num>
  <w:num w:numId="15" w16cid:durableId="1920479846">
    <w:abstractNumId w:val="4"/>
  </w:num>
  <w:num w:numId="16" w16cid:durableId="13070509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asor, Sonia@Energy">
    <w15:presenceInfo w15:providerId="AD" w15:userId="S::sonia.reasor@energy.ca.gov::f333e74b-9ff7-4360-be75-b47a67606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A28A41"/>
    <w:rsid w:val="000023E1"/>
    <w:rsid w:val="00012580"/>
    <w:rsid w:val="00012CBB"/>
    <w:rsid w:val="00017054"/>
    <w:rsid w:val="0003556B"/>
    <w:rsid w:val="00035BD9"/>
    <w:rsid w:val="0004699D"/>
    <w:rsid w:val="00053DAF"/>
    <w:rsid w:val="00054F4D"/>
    <w:rsid w:val="00056697"/>
    <w:rsid w:val="00064D20"/>
    <w:rsid w:val="00070C3E"/>
    <w:rsid w:val="0007346D"/>
    <w:rsid w:val="00091CF7"/>
    <w:rsid w:val="00095639"/>
    <w:rsid w:val="000A2BD9"/>
    <w:rsid w:val="000A7C81"/>
    <w:rsid w:val="000E52F0"/>
    <w:rsid w:val="000E5587"/>
    <w:rsid w:val="000E774D"/>
    <w:rsid w:val="000E7DBC"/>
    <w:rsid w:val="000F2FE0"/>
    <w:rsid w:val="00107BFF"/>
    <w:rsid w:val="0011517D"/>
    <w:rsid w:val="00135D97"/>
    <w:rsid w:val="00142FF9"/>
    <w:rsid w:val="00146016"/>
    <w:rsid w:val="00155BAD"/>
    <w:rsid w:val="001641A7"/>
    <w:rsid w:val="00177A40"/>
    <w:rsid w:val="0017A6C0"/>
    <w:rsid w:val="00181A3B"/>
    <w:rsid w:val="001867D6"/>
    <w:rsid w:val="00195D39"/>
    <w:rsid w:val="001A0DF3"/>
    <w:rsid w:val="001B7A0E"/>
    <w:rsid w:val="001E75D3"/>
    <w:rsid w:val="001F1620"/>
    <w:rsid w:val="002015B8"/>
    <w:rsid w:val="002111C7"/>
    <w:rsid w:val="00221198"/>
    <w:rsid w:val="00226472"/>
    <w:rsid w:val="002274BB"/>
    <w:rsid w:val="00232F6D"/>
    <w:rsid w:val="00233BF6"/>
    <w:rsid w:val="0024538C"/>
    <w:rsid w:val="00250CAE"/>
    <w:rsid w:val="00270730"/>
    <w:rsid w:val="00271AD5"/>
    <w:rsid w:val="00294E6F"/>
    <w:rsid w:val="002A0E39"/>
    <w:rsid w:val="002B5696"/>
    <w:rsid w:val="002C3062"/>
    <w:rsid w:val="002C517A"/>
    <w:rsid w:val="002C5C30"/>
    <w:rsid w:val="002D242E"/>
    <w:rsid w:val="002E1D0E"/>
    <w:rsid w:val="002E402F"/>
    <w:rsid w:val="002F4B13"/>
    <w:rsid w:val="002F9EE5"/>
    <w:rsid w:val="003008D2"/>
    <w:rsid w:val="00304287"/>
    <w:rsid w:val="003109EF"/>
    <w:rsid w:val="00313104"/>
    <w:rsid w:val="00322465"/>
    <w:rsid w:val="00326E2A"/>
    <w:rsid w:val="00331CFD"/>
    <w:rsid w:val="00343B83"/>
    <w:rsid w:val="00352D1B"/>
    <w:rsid w:val="003740EE"/>
    <w:rsid w:val="00381F02"/>
    <w:rsid w:val="00384156"/>
    <w:rsid w:val="0039231E"/>
    <w:rsid w:val="003936F3"/>
    <w:rsid w:val="00394149"/>
    <w:rsid w:val="003B1200"/>
    <w:rsid w:val="003B479D"/>
    <w:rsid w:val="003C6C66"/>
    <w:rsid w:val="003D5876"/>
    <w:rsid w:val="003D5C6B"/>
    <w:rsid w:val="003E202A"/>
    <w:rsid w:val="003E795A"/>
    <w:rsid w:val="003F0280"/>
    <w:rsid w:val="003F5DD5"/>
    <w:rsid w:val="004106EE"/>
    <w:rsid w:val="00417485"/>
    <w:rsid w:val="00427F66"/>
    <w:rsid w:val="0043395D"/>
    <w:rsid w:val="004408BF"/>
    <w:rsid w:val="00443719"/>
    <w:rsid w:val="0044451A"/>
    <w:rsid w:val="0044588F"/>
    <w:rsid w:val="0046325D"/>
    <w:rsid w:val="00463EF2"/>
    <w:rsid w:val="00471BEB"/>
    <w:rsid w:val="00474AE6"/>
    <w:rsid w:val="0048377C"/>
    <w:rsid w:val="004851AC"/>
    <w:rsid w:val="00490112"/>
    <w:rsid w:val="004A365E"/>
    <w:rsid w:val="004A557C"/>
    <w:rsid w:val="004F2BA2"/>
    <w:rsid w:val="0050065B"/>
    <w:rsid w:val="00510108"/>
    <w:rsid w:val="005162FB"/>
    <w:rsid w:val="005336CB"/>
    <w:rsid w:val="00534BB7"/>
    <w:rsid w:val="00536505"/>
    <w:rsid w:val="00544ACF"/>
    <w:rsid w:val="00547490"/>
    <w:rsid w:val="00550D26"/>
    <w:rsid w:val="00554BED"/>
    <w:rsid w:val="00566F3C"/>
    <w:rsid w:val="005738DB"/>
    <w:rsid w:val="00574E9B"/>
    <w:rsid w:val="00586951"/>
    <w:rsid w:val="00587CC8"/>
    <w:rsid w:val="00592DE9"/>
    <w:rsid w:val="005957C0"/>
    <w:rsid w:val="00596A64"/>
    <w:rsid w:val="00597E7B"/>
    <w:rsid w:val="005A4E99"/>
    <w:rsid w:val="005A79BC"/>
    <w:rsid w:val="005B5BDE"/>
    <w:rsid w:val="005C07CC"/>
    <w:rsid w:val="005F20A0"/>
    <w:rsid w:val="00600C70"/>
    <w:rsid w:val="00604A74"/>
    <w:rsid w:val="0060656E"/>
    <w:rsid w:val="00614464"/>
    <w:rsid w:val="00620BE3"/>
    <w:rsid w:val="00620E2F"/>
    <w:rsid w:val="0063627E"/>
    <w:rsid w:val="00640E36"/>
    <w:rsid w:val="0064674A"/>
    <w:rsid w:val="00647401"/>
    <w:rsid w:val="006539F8"/>
    <w:rsid w:val="006616C6"/>
    <w:rsid w:val="0067178D"/>
    <w:rsid w:val="00674931"/>
    <w:rsid w:val="00694D9C"/>
    <w:rsid w:val="00694F17"/>
    <w:rsid w:val="00695D0A"/>
    <w:rsid w:val="00695F45"/>
    <w:rsid w:val="0069722B"/>
    <w:rsid w:val="006A1DF3"/>
    <w:rsid w:val="006A2F41"/>
    <w:rsid w:val="006A6154"/>
    <w:rsid w:val="006C10CA"/>
    <w:rsid w:val="006E0587"/>
    <w:rsid w:val="006E2C8F"/>
    <w:rsid w:val="00702677"/>
    <w:rsid w:val="00705439"/>
    <w:rsid w:val="007144BE"/>
    <w:rsid w:val="00714847"/>
    <w:rsid w:val="00720B3A"/>
    <w:rsid w:val="00723196"/>
    <w:rsid w:val="00726B6F"/>
    <w:rsid w:val="00732CEA"/>
    <w:rsid w:val="007403C8"/>
    <w:rsid w:val="00744C61"/>
    <w:rsid w:val="00745E96"/>
    <w:rsid w:val="00747DEA"/>
    <w:rsid w:val="00762568"/>
    <w:rsid w:val="00762EA4"/>
    <w:rsid w:val="007642FC"/>
    <w:rsid w:val="00787469"/>
    <w:rsid w:val="00787F17"/>
    <w:rsid w:val="007A71BF"/>
    <w:rsid w:val="007B413F"/>
    <w:rsid w:val="007B4CEA"/>
    <w:rsid w:val="007B5CB2"/>
    <w:rsid w:val="007B75F2"/>
    <w:rsid w:val="007C05A2"/>
    <w:rsid w:val="007C6639"/>
    <w:rsid w:val="007C78DE"/>
    <w:rsid w:val="007D169B"/>
    <w:rsid w:val="007D175D"/>
    <w:rsid w:val="007D2B29"/>
    <w:rsid w:val="007D7E9B"/>
    <w:rsid w:val="007E00A8"/>
    <w:rsid w:val="007F35B5"/>
    <w:rsid w:val="007F669B"/>
    <w:rsid w:val="008279B8"/>
    <w:rsid w:val="00834356"/>
    <w:rsid w:val="00846A84"/>
    <w:rsid w:val="0084ECBB"/>
    <w:rsid w:val="00866282"/>
    <w:rsid w:val="00867208"/>
    <w:rsid w:val="0087455C"/>
    <w:rsid w:val="0087779C"/>
    <w:rsid w:val="00886F53"/>
    <w:rsid w:val="008B6F88"/>
    <w:rsid w:val="008C0A4C"/>
    <w:rsid w:val="008D0E13"/>
    <w:rsid w:val="008D5718"/>
    <w:rsid w:val="008E31BF"/>
    <w:rsid w:val="008E4787"/>
    <w:rsid w:val="008E57AC"/>
    <w:rsid w:val="008F0101"/>
    <w:rsid w:val="00911F1C"/>
    <w:rsid w:val="00915870"/>
    <w:rsid w:val="0093094A"/>
    <w:rsid w:val="009333EE"/>
    <w:rsid w:val="00934253"/>
    <w:rsid w:val="00950F36"/>
    <w:rsid w:val="009625F5"/>
    <w:rsid w:val="00963B8B"/>
    <w:rsid w:val="00965215"/>
    <w:rsid w:val="0096763B"/>
    <w:rsid w:val="009853FA"/>
    <w:rsid w:val="00991567"/>
    <w:rsid w:val="00997BB9"/>
    <w:rsid w:val="009A3F42"/>
    <w:rsid w:val="009A491C"/>
    <w:rsid w:val="009A7DA3"/>
    <w:rsid w:val="009B412A"/>
    <w:rsid w:val="009D52DB"/>
    <w:rsid w:val="009D7FF3"/>
    <w:rsid w:val="009F062F"/>
    <w:rsid w:val="009F4F24"/>
    <w:rsid w:val="00A10132"/>
    <w:rsid w:val="00A14636"/>
    <w:rsid w:val="00A17624"/>
    <w:rsid w:val="00A20298"/>
    <w:rsid w:val="00A24CF1"/>
    <w:rsid w:val="00A31595"/>
    <w:rsid w:val="00A34B7C"/>
    <w:rsid w:val="00A37C96"/>
    <w:rsid w:val="00A50996"/>
    <w:rsid w:val="00A60E8C"/>
    <w:rsid w:val="00A6E7B1"/>
    <w:rsid w:val="00A71EF2"/>
    <w:rsid w:val="00A7242A"/>
    <w:rsid w:val="00A771DF"/>
    <w:rsid w:val="00A80572"/>
    <w:rsid w:val="00A81A58"/>
    <w:rsid w:val="00A82164"/>
    <w:rsid w:val="00A856AE"/>
    <w:rsid w:val="00A963CF"/>
    <w:rsid w:val="00A97B7E"/>
    <w:rsid w:val="00AA0ADF"/>
    <w:rsid w:val="00AB4D14"/>
    <w:rsid w:val="00AB7888"/>
    <w:rsid w:val="00AC0440"/>
    <w:rsid w:val="00AC1BC7"/>
    <w:rsid w:val="00AD4E68"/>
    <w:rsid w:val="00AE2482"/>
    <w:rsid w:val="00AE49D8"/>
    <w:rsid w:val="00B005BF"/>
    <w:rsid w:val="00B05EC4"/>
    <w:rsid w:val="00B1354F"/>
    <w:rsid w:val="00B1569F"/>
    <w:rsid w:val="00B16BC0"/>
    <w:rsid w:val="00B33029"/>
    <w:rsid w:val="00B44341"/>
    <w:rsid w:val="00B47D5C"/>
    <w:rsid w:val="00B55E53"/>
    <w:rsid w:val="00B609FC"/>
    <w:rsid w:val="00B63417"/>
    <w:rsid w:val="00B63832"/>
    <w:rsid w:val="00B64211"/>
    <w:rsid w:val="00B834B8"/>
    <w:rsid w:val="00B85F0D"/>
    <w:rsid w:val="00B8621D"/>
    <w:rsid w:val="00B86E29"/>
    <w:rsid w:val="00BB167D"/>
    <w:rsid w:val="00BB16ED"/>
    <w:rsid w:val="00BB55A1"/>
    <w:rsid w:val="00BD4D9E"/>
    <w:rsid w:val="00BD58B6"/>
    <w:rsid w:val="00BF5A8C"/>
    <w:rsid w:val="00C16502"/>
    <w:rsid w:val="00C21F12"/>
    <w:rsid w:val="00C251BB"/>
    <w:rsid w:val="00C3200B"/>
    <w:rsid w:val="00C35135"/>
    <w:rsid w:val="00C40860"/>
    <w:rsid w:val="00C4462C"/>
    <w:rsid w:val="00C51398"/>
    <w:rsid w:val="00C5453F"/>
    <w:rsid w:val="00C62E90"/>
    <w:rsid w:val="00C74DC5"/>
    <w:rsid w:val="00C81F95"/>
    <w:rsid w:val="00CA2029"/>
    <w:rsid w:val="00CA5390"/>
    <w:rsid w:val="00CB3AB5"/>
    <w:rsid w:val="00CE0553"/>
    <w:rsid w:val="00CE148E"/>
    <w:rsid w:val="00CE24E6"/>
    <w:rsid w:val="00CF2607"/>
    <w:rsid w:val="00CF27B8"/>
    <w:rsid w:val="00D0567B"/>
    <w:rsid w:val="00D05769"/>
    <w:rsid w:val="00D06063"/>
    <w:rsid w:val="00D0744E"/>
    <w:rsid w:val="00D101D0"/>
    <w:rsid w:val="00D11B2A"/>
    <w:rsid w:val="00D15B98"/>
    <w:rsid w:val="00D26544"/>
    <w:rsid w:val="00D35B44"/>
    <w:rsid w:val="00D56E71"/>
    <w:rsid w:val="00D6433B"/>
    <w:rsid w:val="00D76040"/>
    <w:rsid w:val="00D7635F"/>
    <w:rsid w:val="00D8016C"/>
    <w:rsid w:val="00D83EA3"/>
    <w:rsid w:val="00DA1C6F"/>
    <w:rsid w:val="00DB28F7"/>
    <w:rsid w:val="00DB3665"/>
    <w:rsid w:val="00DD7DD9"/>
    <w:rsid w:val="00DE4D22"/>
    <w:rsid w:val="00DE7060"/>
    <w:rsid w:val="00E019C9"/>
    <w:rsid w:val="00E10420"/>
    <w:rsid w:val="00E1C60B"/>
    <w:rsid w:val="00E204B1"/>
    <w:rsid w:val="00E35CD4"/>
    <w:rsid w:val="00E50EA1"/>
    <w:rsid w:val="00E61769"/>
    <w:rsid w:val="00E812E1"/>
    <w:rsid w:val="00E81DD1"/>
    <w:rsid w:val="00E821AD"/>
    <w:rsid w:val="00EA0E40"/>
    <w:rsid w:val="00EA5CA2"/>
    <w:rsid w:val="00EB115C"/>
    <w:rsid w:val="00EE5F4A"/>
    <w:rsid w:val="00F13879"/>
    <w:rsid w:val="00F13C0F"/>
    <w:rsid w:val="00F15B22"/>
    <w:rsid w:val="00F22F6F"/>
    <w:rsid w:val="00F2728D"/>
    <w:rsid w:val="00F27D6F"/>
    <w:rsid w:val="00F3229E"/>
    <w:rsid w:val="00F349ED"/>
    <w:rsid w:val="00F37721"/>
    <w:rsid w:val="00F40A74"/>
    <w:rsid w:val="00F411C6"/>
    <w:rsid w:val="00F50FAA"/>
    <w:rsid w:val="00F52D30"/>
    <w:rsid w:val="00F55AA8"/>
    <w:rsid w:val="00F728F7"/>
    <w:rsid w:val="00F73668"/>
    <w:rsid w:val="00F73A41"/>
    <w:rsid w:val="00F94D75"/>
    <w:rsid w:val="00FA3A64"/>
    <w:rsid w:val="00FA4860"/>
    <w:rsid w:val="00FB7536"/>
    <w:rsid w:val="00FC2D98"/>
    <w:rsid w:val="00FC3A1F"/>
    <w:rsid w:val="00FC4682"/>
    <w:rsid w:val="00FD0370"/>
    <w:rsid w:val="00FD070C"/>
    <w:rsid w:val="00FD16CA"/>
    <w:rsid w:val="00FE14CB"/>
    <w:rsid w:val="00FE2B33"/>
    <w:rsid w:val="00FE6D95"/>
    <w:rsid w:val="00FF09FC"/>
    <w:rsid w:val="00FF31D5"/>
    <w:rsid w:val="00FF45B1"/>
    <w:rsid w:val="00FF6585"/>
    <w:rsid w:val="0115AB5F"/>
    <w:rsid w:val="012A0156"/>
    <w:rsid w:val="0175BD93"/>
    <w:rsid w:val="0178C806"/>
    <w:rsid w:val="017DB1C2"/>
    <w:rsid w:val="018ED3AE"/>
    <w:rsid w:val="01B53A12"/>
    <w:rsid w:val="01DEDFC4"/>
    <w:rsid w:val="01FCD9E3"/>
    <w:rsid w:val="02487644"/>
    <w:rsid w:val="0256562F"/>
    <w:rsid w:val="02857736"/>
    <w:rsid w:val="029F9E9A"/>
    <w:rsid w:val="02C0C4C4"/>
    <w:rsid w:val="02CC3931"/>
    <w:rsid w:val="02DB711C"/>
    <w:rsid w:val="02E87E07"/>
    <w:rsid w:val="02F8826C"/>
    <w:rsid w:val="033249A9"/>
    <w:rsid w:val="03520F69"/>
    <w:rsid w:val="0356F77A"/>
    <w:rsid w:val="036386F3"/>
    <w:rsid w:val="0395CAAA"/>
    <w:rsid w:val="03BFBFF4"/>
    <w:rsid w:val="03D64759"/>
    <w:rsid w:val="03FAB94F"/>
    <w:rsid w:val="0408246C"/>
    <w:rsid w:val="04135A3A"/>
    <w:rsid w:val="0419CD1B"/>
    <w:rsid w:val="041A0E35"/>
    <w:rsid w:val="04301356"/>
    <w:rsid w:val="045C9525"/>
    <w:rsid w:val="046337B6"/>
    <w:rsid w:val="048193DC"/>
    <w:rsid w:val="049219DA"/>
    <w:rsid w:val="0494097C"/>
    <w:rsid w:val="04D12B28"/>
    <w:rsid w:val="04DC7D8B"/>
    <w:rsid w:val="04E0D2AB"/>
    <w:rsid w:val="0511B782"/>
    <w:rsid w:val="051592AF"/>
    <w:rsid w:val="05510E65"/>
    <w:rsid w:val="05603246"/>
    <w:rsid w:val="05ADE244"/>
    <w:rsid w:val="0635D4A2"/>
    <w:rsid w:val="0667E071"/>
    <w:rsid w:val="0672618A"/>
    <w:rsid w:val="06821699"/>
    <w:rsid w:val="0684DEF4"/>
    <w:rsid w:val="06F9EBB8"/>
    <w:rsid w:val="06FC34DE"/>
    <w:rsid w:val="06FD69E1"/>
    <w:rsid w:val="075786BF"/>
    <w:rsid w:val="0765AC12"/>
    <w:rsid w:val="079042AF"/>
    <w:rsid w:val="079435E7"/>
    <w:rsid w:val="07C81293"/>
    <w:rsid w:val="07DB2367"/>
    <w:rsid w:val="07DD7B9D"/>
    <w:rsid w:val="07E36039"/>
    <w:rsid w:val="07F62AB9"/>
    <w:rsid w:val="0831F4A3"/>
    <w:rsid w:val="083BE0DD"/>
    <w:rsid w:val="08513516"/>
    <w:rsid w:val="08CA01B5"/>
    <w:rsid w:val="08CE257B"/>
    <w:rsid w:val="08E93D41"/>
    <w:rsid w:val="08F92A46"/>
    <w:rsid w:val="09017C73"/>
    <w:rsid w:val="090C00AE"/>
    <w:rsid w:val="09136CEE"/>
    <w:rsid w:val="093AE707"/>
    <w:rsid w:val="09652BFB"/>
    <w:rsid w:val="096E8138"/>
    <w:rsid w:val="0979AA56"/>
    <w:rsid w:val="098F3604"/>
    <w:rsid w:val="0996C651"/>
    <w:rsid w:val="09B97968"/>
    <w:rsid w:val="09C2AB2D"/>
    <w:rsid w:val="09C97A91"/>
    <w:rsid w:val="09D9B2F1"/>
    <w:rsid w:val="09E2F14D"/>
    <w:rsid w:val="0A277AE0"/>
    <w:rsid w:val="0A65D216"/>
    <w:rsid w:val="0A9D4CD4"/>
    <w:rsid w:val="0AAC0F86"/>
    <w:rsid w:val="0ACDD91B"/>
    <w:rsid w:val="0B02360C"/>
    <w:rsid w:val="0B30B5BF"/>
    <w:rsid w:val="0B365FAC"/>
    <w:rsid w:val="0B406CAC"/>
    <w:rsid w:val="0B48CDD3"/>
    <w:rsid w:val="0B53042F"/>
    <w:rsid w:val="0B593F60"/>
    <w:rsid w:val="0B6F26CA"/>
    <w:rsid w:val="0B9BF21A"/>
    <w:rsid w:val="0B9E7372"/>
    <w:rsid w:val="0BB35FB3"/>
    <w:rsid w:val="0BC957FA"/>
    <w:rsid w:val="0C0C74E8"/>
    <w:rsid w:val="0C1A3401"/>
    <w:rsid w:val="0C30CB08"/>
    <w:rsid w:val="0C489E9D"/>
    <w:rsid w:val="0C693BAD"/>
    <w:rsid w:val="0C72431B"/>
    <w:rsid w:val="0CADA827"/>
    <w:rsid w:val="0CAED6F3"/>
    <w:rsid w:val="0CF47426"/>
    <w:rsid w:val="0D3CED31"/>
    <w:rsid w:val="0D5BB4D9"/>
    <w:rsid w:val="0D8675CD"/>
    <w:rsid w:val="0D8DCB50"/>
    <w:rsid w:val="0D993F96"/>
    <w:rsid w:val="0DB51A60"/>
    <w:rsid w:val="0DC7A3AB"/>
    <w:rsid w:val="0E105E8E"/>
    <w:rsid w:val="0E6A3774"/>
    <w:rsid w:val="0E705A66"/>
    <w:rsid w:val="0E780D6E"/>
    <w:rsid w:val="0E998D39"/>
    <w:rsid w:val="0EEE56B7"/>
    <w:rsid w:val="0F007768"/>
    <w:rsid w:val="0F19FB48"/>
    <w:rsid w:val="0F5C2921"/>
    <w:rsid w:val="0F64E1F2"/>
    <w:rsid w:val="0F9E2D6A"/>
    <w:rsid w:val="1014DBA2"/>
    <w:rsid w:val="10898139"/>
    <w:rsid w:val="108B67DC"/>
    <w:rsid w:val="10990DC4"/>
    <w:rsid w:val="10E7F3E0"/>
    <w:rsid w:val="11789373"/>
    <w:rsid w:val="118E221F"/>
    <w:rsid w:val="11C32418"/>
    <w:rsid w:val="1221DFB4"/>
    <w:rsid w:val="12952068"/>
    <w:rsid w:val="12AC92B6"/>
    <w:rsid w:val="130095B6"/>
    <w:rsid w:val="1308CCFC"/>
    <w:rsid w:val="131FD525"/>
    <w:rsid w:val="132C84A9"/>
    <w:rsid w:val="134F4361"/>
    <w:rsid w:val="135E32BA"/>
    <w:rsid w:val="136D1B44"/>
    <w:rsid w:val="13817096"/>
    <w:rsid w:val="13E167B2"/>
    <w:rsid w:val="13F11BEA"/>
    <w:rsid w:val="13F5513B"/>
    <w:rsid w:val="140964BE"/>
    <w:rsid w:val="142703F5"/>
    <w:rsid w:val="143ECB16"/>
    <w:rsid w:val="14DB92DC"/>
    <w:rsid w:val="14F0E582"/>
    <w:rsid w:val="1501D815"/>
    <w:rsid w:val="150428ED"/>
    <w:rsid w:val="15723845"/>
    <w:rsid w:val="15B68D18"/>
    <w:rsid w:val="15E436DB"/>
    <w:rsid w:val="15EAC8D8"/>
    <w:rsid w:val="160287D2"/>
    <w:rsid w:val="16103FC5"/>
    <w:rsid w:val="161F61AF"/>
    <w:rsid w:val="16494B27"/>
    <w:rsid w:val="167B7206"/>
    <w:rsid w:val="16914EE3"/>
    <w:rsid w:val="16ACA0B3"/>
    <w:rsid w:val="16E60972"/>
    <w:rsid w:val="16FFB38F"/>
    <w:rsid w:val="1728805E"/>
    <w:rsid w:val="1757E79D"/>
    <w:rsid w:val="17CFA405"/>
    <w:rsid w:val="17E70733"/>
    <w:rsid w:val="18328233"/>
    <w:rsid w:val="184DBDBD"/>
    <w:rsid w:val="18594F75"/>
    <w:rsid w:val="1882C28F"/>
    <w:rsid w:val="189F730F"/>
    <w:rsid w:val="18D1F950"/>
    <w:rsid w:val="18E7093B"/>
    <w:rsid w:val="190FC84B"/>
    <w:rsid w:val="192014ED"/>
    <w:rsid w:val="192A49D0"/>
    <w:rsid w:val="1979BB37"/>
    <w:rsid w:val="1993BC92"/>
    <w:rsid w:val="1997042F"/>
    <w:rsid w:val="199E65F2"/>
    <w:rsid w:val="19B3FC42"/>
    <w:rsid w:val="19BAC015"/>
    <w:rsid w:val="19D841F7"/>
    <w:rsid w:val="19E3D625"/>
    <w:rsid w:val="1A2A8147"/>
    <w:rsid w:val="1AC3102C"/>
    <w:rsid w:val="1B32D490"/>
    <w:rsid w:val="1B3A3653"/>
    <w:rsid w:val="1B4191E5"/>
    <w:rsid w:val="1B540461"/>
    <w:rsid w:val="1B54A2C3"/>
    <w:rsid w:val="1B5E7DFC"/>
    <w:rsid w:val="1B6E07A7"/>
    <w:rsid w:val="1B905943"/>
    <w:rsid w:val="1BBA800C"/>
    <w:rsid w:val="1BC0F953"/>
    <w:rsid w:val="1BE695C5"/>
    <w:rsid w:val="1BF1B8CC"/>
    <w:rsid w:val="1C12A936"/>
    <w:rsid w:val="1C2742ED"/>
    <w:rsid w:val="1C3DED32"/>
    <w:rsid w:val="1C4B35E2"/>
    <w:rsid w:val="1C4BE752"/>
    <w:rsid w:val="1C7F5F77"/>
    <w:rsid w:val="1CB29455"/>
    <w:rsid w:val="1CFA4E5D"/>
    <w:rsid w:val="1D0E8B61"/>
    <w:rsid w:val="1D1FC108"/>
    <w:rsid w:val="1D511635"/>
    <w:rsid w:val="1D5CEEA0"/>
    <w:rsid w:val="1E022220"/>
    <w:rsid w:val="1E3D6733"/>
    <w:rsid w:val="1E406193"/>
    <w:rsid w:val="1E675C3A"/>
    <w:rsid w:val="1E6E990E"/>
    <w:rsid w:val="1E7A5FF3"/>
    <w:rsid w:val="1ECA2FD0"/>
    <w:rsid w:val="1EE854E5"/>
    <w:rsid w:val="1F290679"/>
    <w:rsid w:val="1F345E98"/>
    <w:rsid w:val="1F5CEA8D"/>
    <w:rsid w:val="1F6193DA"/>
    <w:rsid w:val="1F62F982"/>
    <w:rsid w:val="1F76BF9B"/>
    <w:rsid w:val="1F77A9C0"/>
    <w:rsid w:val="2036126C"/>
    <w:rsid w:val="207C9694"/>
    <w:rsid w:val="20AF9A46"/>
    <w:rsid w:val="20C77A83"/>
    <w:rsid w:val="20D31894"/>
    <w:rsid w:val="212715E7"/>
    <w:rsid w:val="214C8A8E"/>
    <w:rsid w:val="21679FC8"/>
    <w:rsid w:val="2183960B"/>
    <w:rsid w:val="218D493C"/>
    <w:rsid w:val="21B4BA8C"/>
    <w:rsid w:val="21D76D5E"/>
    <w:rsid w:val="22236991"/>
    <w:rsid w:val="22B0B3E3"/>
    <w:rsid w:val="22D98F39"/>
    <w:rsid w:val="22E73267"/>
    <w:rsid w:val="22F8FCA3"/>
    <w:rsid w:val="22FD8E5B"/>
    <w:rsid w:val="23143462"/>
    <w:rsid w:val="232FA524"/>
    <w:rsid w:val="23B5F62E"/>
    <w:rsid w:val="23B80DD3"/>
    <w:rsid w:val="240D50E7"/>
    <w:rsid w:val="240F252A"/>
    <w:rsid w:val="2419E8B2"/>
    <w:rsid w:val="245AFEC8"/>
    <w:rsid w:val="246BD8AA"/>
    <w:rsid w:val="24CB7585"/>
    <w:rsid w:val="24CBD60F"/>
    <w:rsid w:val="24DDD438"/>
    <w:rsid w:val="24E361F4"/>
    <w:rsid w:val="24EC38A3"/>
    <w:rsid w:val="24FD72BC"/>
    <w:rsid w:val="25280520"/>
    <w:rsid w:val="253D1383"/>
    <w:rsid w:val="2546CC9E"/>
    <w:rsid w:val="2552133D"/>
    <w:rsid w:val="25747A85"/>
    <w:rsid w:val="25BF940D"/>
    <w:rsid w:val="25CE9B97"/>
    <w:rsid w:val="25D41ABE"/>
    <w:rsid w:val="25D5FF8F"/>
    <w:rsid w:val="25D9154E"/>
    <w:rsid w:val="25E42B1E"/>
    <w:rsid w:val="25FFD704"/>
    <w:rsid w:val="26312EF6"/>
    <w:rsid w:val="26358579"/>
    <w:rsid w:val="265C97F6"/>
    <w:rsid w:val="2662F0A5"/>
    <w:rsid w:val="26654EDC"/>
    <w:rsid w:val="266745E6"/>
    <w:rsid w:val="267497C8"/>
    <w:rsid w:val="267E4377"/>
    <w:rsid w:val="26A4242F"/>
    <w:rsid w:val="26AC0392"/>
    <w:rsid w:val="26DC5670"/>
    <w:rsid w:val="26FB633B"/>
    <w:rsid w:val="26FCE044"/>
    <w:rsid w:val="27483447"/>
    <w:rsid w:val="276BD8A0"/>
    <w:rsid w:val="2772E236"/>
    <w:rsid w:val="27A2FC62"/>
    <w:rsid w:val="27B111CC"/>
    <w:rsid w:val="27D09DB5"/>
    <w:rsid w:val="27E56309"/>
    <w:rsid w:val="2802BC3E"/>
    <w:rsid w:val="28374618"/>
    <w:rsid w:val="283D0104"/>
    <w:rsid w:val="287F158B"/>
    <w:rsid w:val="28868057"/>
    <w:rsid w:val="289FC832"/>
    <w:rsid w:val="28C78EDA"/>
    <w:rsid w:val="2918D30A"/>
    <w:rsid w:val="294532F5"/>
    <w:rsid w:val="296822A9"/>
    <w:rsid w:val="29688995"/>
    <w:rsid w:val="29B8E43A"/>
    <w:rsid w:val="29DBE00D"/>
    <w:rsid w:val="29E20BA9"/>
    <w:rsid w:val="29F3AFEC"/>
    <w:rsid w:val="2A0D7CD6"/>
    <w:rsid w:val="2A2504E1"/>
    <w:rsid w:val="2A486839"/>
    <w:rsid w:val="2A8E2F56"/>
    <w:rsid w:val="2AD4FFD5"/>
    <w:rsid w:val="2B2BC69F"/>
    <w:rsid w:val="2B3233D4"/>
    <w:rsid w:val="2B7DB2CF"/>
    <w:rsid w:val="2B8F2AE9"/>
    <w:rsid w:val="2BAF5AA7"/>
    <w:rsid w:val="2C32CBA6"/>
    <w:rsid w:val="2C5794AB"/>
    <w:rsid w:val="2CACC031"/>
    <w:rsid w:val="2CD15576"/>
    <w:rsid w:val="2CF39B5C"/>
    <w:rsid w:val="2D1AC76D"/>
    <w:rsid w:val="2D24CBCE"/>
    <w:rsid w:val="2D2E91FD"/>
    <w:rsid w:val="2D8B3091"/>
    <w:rsid w:val="2DA5CFB9"/>
    <w:rsid w:val="2DB58F58"/>
    <w:rsid w:val="2DD5493D"/>
    <w:rsid w:val="2E3CD980"/>
    <w:rsid w:val="2E88CFC0"/>
    <w:rsid w:val="2E8A845D"/>
    <w:rsid w:val="2E91A33D"/>
    <w:rsid w:val="2EB85A7B"/>
    <w:rsid w:val="2EDAF1C3"/>
    <w:rsid w:val="2EEC9643"/>
    <w:rsid w:val="2F16923A"/>
    <w:rsid w:val="2F5D65C1"/>
    <w:rsid w:val="2F5F4C24"/>
    <w:rsid w:val="2F681E9D"/>
    <w:rsid w:val="2F9FA250"/>
    <w:rsid w:val="2FA43D6F"/>
    <w:rsid w:val="2FB36DEE"/>
    <w:rsid w:val="2FF664CC"/>
    <w:rsid w:val="300B7C15"/>
    <w:rsid w:val="300C6A00"/>
    <w:rsid w:val="302BD8AE"/>
    <w:rsid w:val="30427D0B"/>
    <w:rsid w:val="30689FA0"/>
    <w:rsid w:val="3075D9C3"/>
    <w:rsid w:val="309B561D"/>
    <w:rsid w:val="30A0209B"/>
    <w:rsid w:val="30B6536C"/>
    <w:rsid w:val="30F70413"/>
    <w:rsid w:val="30FC7B8C"/>
    <w:rsid w:val="3133DE2E"/>
    <w:rsid w:val="31423267"/>
    <w:rsid w:val="31778D5B"/>
    <w:rsid w:val="31BC9433"/>
    <w:rsid w:val="31C78927"/>
    <w:rsid w:val="31D0304E"/>
    <w:rsid w:val="31E3E34A"/>
    <w:rsid w:val="32039865"/>
    <w:rsid w:val="322ADF70"/>
    <w:rsid w:val="32301F9F"/>
    <w:rsid w:val="324304AE"/>
    <w:rsid w:val="3252BF45"/>
    <w:rsid w:val="326B105B"/>
    <w:rsid w:val="32CD5BD2"/>
    <w:rsid w:val="32CF6424"/>
    <w:rsid w:val="32D7E6C6"/>
    <w:rsid w:val="331C94ED"/>
    <w:rsid w:val="332838B0"/>
    <w:rsid w:val="333FC269"/>
    <w:rsid w:val="33ADA3C2"/>
    <w:rsid w:val="33DB7580"/>
    <w:rsid w:val="33F4A91B"/>
    <w:rsid w:val="33FDD23F"/>
    <w:rsid w:val="3418920A"/>
    <w:rsid w:val="34341375"/>
    <w:rsid w:val="343A574D"/>
    <w:rsid w:val="3451B873"/>
    <w:rsid w:val="346364E2"/>
    <w:rsid w:val="347789CF"/>
    <w:rsid w:val="349AAFA1"/>
    <w:rsid w:val="34B4BC7E"/>
    <w:rsid w:val="34C8E544"/>
    <w:rsid w:val="34E9A7AC"/>
    <w:rsid w:val="3501EE47"/>
    <w:rsid w:val="3509A737"/>
    <w:rsid w:val="3514193E"/>
    <w:rsid w:val="351B840C"/>
    <w:rsid w:val="35698693"/>
    <w:rsid w:val="3569EF55"/>
    <w:rsid w:val="3569F4E5"/>
    <w:rsid w:val="35BE3621"/>
    <w:rsid w:val="35CA7536"/>
    <w:rsid w:val="35D86C72"/>
    <w:rsid w:val="35DCF645"/>
    <w:rsid w:val="35E8559D"/>
    <w:rsid w:val="364E1CE1"/>
    <w:rsid w:val="367282A4"/>
    <w:rsid w:val="36846D11"/>
    <w:rsid w:val="368A3D0B"/>
    <w:rsid w:val="36B30665"/>
    <w:rsid w:val="36DD56C5"/>
    <w:rsid w:val="36F7A828"/>
    <w:rsid w:val="3710C1F6"/>
    <w:rsid w:val="372ED8C7"/>
    <w:rsid w:val="376BFAB5"/>
    <w:rsid w:val="37A44044"/>
    <w:rsid w:val="37EDDE91"/>
    <w:rsid w:val="38077638"/>
    <w:rsid w:val="3820396B"/>
    <w:rsid w:val="3821335F"/>
    <w:rsid w:val="3836D0AB"/>
    <w:rsid w:val="384C83DD"/>
    <w:rsid w:val="384F9D40"/>
    <w:rsid w:val="3859BB78"/>
    <w:rsid w:val="38746E77"/>
    <w:rsid w:val="38BD8512"/>
    <w:rsid w:val="38FDBBA7"/>
    <w:rsid w:val="390F4920"/>
    <w:rsid w:val="3919AD67"/>
    <w:rsid w:val="394192B5"/>
    <w:rsid w:val="39664AD6"/>
    <w:rsid w:val="39E2302A"/>
    <w:rsid w:val="39FC9CDD"/>
    <w:rsid w:val="3A17BFA9"/>
    <w:rsid w:val="3A3ABDF6"/>
    <w:rsid w:val="3A7AE012"/>
    <w:rsid w:val="3A844149"/>
    <w:rsid w:val="3A8C3946"/>
    <w:rsid w:val="3AA99A20"/>
    <w:rsid w:val="3AB06768"/>
    <w:rsid w:val="3AC071D4"/>
    <w:rsid w:val="3AC98FC5"/>
    <w:rsid w:val="3B108BEB"/>
    <w:rsid w:val="3B26C093"/>
    <w:rsid w:val="3B322A48"/>
    <w:rsid w:val="3B356A11"/>
    <w:rsid w:val="3B70AAC8"/>
    <w:rsid w:val="3B981042"/>
    <w:rsid w:val="3BB0085D"/>
    <w:rsid w:val="3BE441A8"/>
    <w:rsid w:val="3C22446F"/>
    <w:rsid w:val="3C23F0F2"/>
    <w:rsid w:val="3C4C37C9"/>
    <w:rsid w:val="3C90FD0D"/>
    <w:rsid w:val="3C98D47C"/>
    <w:rsid w:val="3C9EC792"/>
    <w:rsid w:val="3CAA8607"/>
    <w:rsid w:val="3CB28582"/>
    <w:rsid w:val="3CC5DD73"/>
    <w:rsid w:val="3CC6EB65"/>
    <w:rsid w:val="3CDA5310"/>
    <w:rsid w:val="3D024110"/>
    <w:rsid w:val="3D045AF3"/>
    <w:rsid w:val="3D47563B"/>
    <w:rsid w:val="3D58C1DA"/>
    <w:rsid w:val="3DB1D89E"/>
    <w:rsid w:val="3DB1E4D8"/>
    <w:rsid w:val="3DD77331"/>
    <w:rsid w:val="3DF961F7"/>
    <w:rsid w:val="3E270D59"/>
    <w:rsid w:val="3E3FD702"/>
    <w:rsid w:val="3E430D41"/>
    <w:rsid w:val="3E92A2B5"/>
    <w:rsid w:val="3ECDE950"/>
    <w:rsid w:val="3EDE9005"/>
    <w:rsid w:val="3EE54C3A"/>
    <w:rsid w:val="3EEC3146"/>
    <w:rsid w:val="3EFD2FCB"/>
    <w:rsid w:val="3F3A1C7F"/>
    <w:rsid w:val="3F756FEE"/>
    <w:rsid w:val="3F8ED4B9"/>
    <w:rsid w:val="3F8F27A7"/>
    <w:rsid w:val="3F8F2AEE"/>
    <w:rsid w:val="3FD2477B"/>
    <w:rsid w:val="3FD54DF4"/>
    <w:rsid w:val="3FEF99C6"/>
    <w:rsid w:val="3FF0719F"/>
    <w:rsid w:val="3FF6EBB0"/>
    <w:rsid w:val="40148542"/>
    <w:rsid w:val="4022C1F6"/>
    <w:rsid w:val="402CEFEC"/>
    <w:rsid w:val="4050C74C"/>
    <w:rsid w:val="4058A0D5"/>
    <w:rsid w:val="409FDE30"/>
    <w:rsid w:val="40A78CFC"/>
    <w:rsid w:val="41155F4E"/>
    <w:rsid w:val="4138649E"/>
    <w:rsid w:val="415569EB"/>
    <w:rsid w:val="4170F08F"/>
    <w:rsid w:val="417FA7F0"/>
    <w:rsid w:val="41A28A41"/>
    <w:rsid w:val="41AE55C2"/>
    <w:rsid w:val="41AF247D"/>
    <w:rsid w:val="41C22A10"/>
    <w:rsid w:val="41C80B80"/>
    <w:rsid w:val="41CD84D1"/>
    <w:rsid w:val="41E65418"/>
    <w:rsid w:val="4203B4F2"/>
    <w:rsid w:val="420922FF"/>
    <w:rsid w:val="42162C7B"/>
    <w:rsid w:val="42502054"/>
    <w:rsid w:val="4265FBA8"/>
    <w:rsid w:val="42BB794D"/>
    <w:rsid w:val="42BD98D8"/>
    <w:rsid w:val="42C0EEAE"/>
    <w:rsid w:val="431B9DD0"/>
    <w:rsid w:val="43A11E6F"/>
    <w:rsid w:val="43F0684B"/>
    <w:rsid w:val="43F43BAF"/>
    <w:rsid w:val="442B6149"/>
    <w:rsid w:val="4433B9F8"/>
    <w:rsid w:val="447E1E82"/>
    <w:rsid w:val="44B8C652"/>
    <w:rsid w:val="44D6769E"/>
    <w:rsid w:val="44F0DB92"/>
    <w:rsid w:val="4526A6B3"/>
    <w:rsid w:val="457F3180"/>
    <w:rsid w:val="4594034A"/>
    <w:rsid w:val="45C5B3E1"/>
    <w:rsid w:val="45C770A3"/>
    <w:rsid w:val="45DFF01A"/>
    <w:rsid w:val="462207EC"/>
    <w:rsid w:val="4627D289"/>
    <w:rsid w:val="46370A8A"/>
    <w:rsid w:val="466C4170"/>
    <w:rsid w:val="466F32A9"/>
    <w:rsid w:val="4670F148"/>
    <w:rsid w:val="467473DA"/>
    <w:rsid w:val="46B907CB"/>
    <w:rsid w:val="46D89411"/>
    <w:rsid w:val="46E3CB07"/>
    <w:rsid w:val="47160729"/>
    <w:rsid w:val="4725A25C"/>
    <w:rsid w:val="47E3A389"/>
    <w:rsid w:val="481BDA9F"/>
    <w:rsid w:val="48342EF4"/>
    <w:rsid w:val="485853CA"/>
    <w:rsid w:val="48A4A4F6"/>
    <w:rsid w:val="48B7F3F6"/>
    <w:rsid w:val="48FA31BD"/>
    <w:rsid w:val="492ABAD1"/>
    <w:rsid w:val="4943E32E"/>
    <w:rsid w:val="494EC63E"/>
    <w:rsid w:val="497C4426"/>
    <w:rsid w:val="4980ECDA"/>
    <w:rsid w:val="498668AA"/>
    <w:rsid w:val="49C201C2"/>
    <w:rsid w:val="49CD3BF5"/>
    <w:rsid w:val="49D21AED"/>
    <w:rsid w:val="4A47C405"/>
    <w:rsid w:val="4A6AB4C8"/>
    <w:rsid w:val="4AA18CDB"/>
    <w:rsid w:val="4AC0F36B"/>
    <w:rsid w:val="4B5EB045"/>
    <w:rsid w:val="4B7E8AE1"/>
    <w:rsid w:val="4BBA4CEA"/>
    <w:rsid w:val="4BD8965E"/>
    <w:rsid w:val="4BD95406"/>
    <w:rsid w:val="4BDC945E"/>
    <w:rsid w:val="4BDDDA3D"/>
    <w:rsid w:val="4BE7FFD9"/>
    <w:rsid w:val="4C07A287"/>
    <w:rsid w:val="4C17C64C"/>
    <w:rsid w:val="4C2CC194"/>
    <w:rsid w:val="4C38D25B"/>
    <w:rsid w:val="4C3F6E67"/>
    <w:rsid w:val="4C5EE192"/>
    <w:rsid w:val="4C7B83F0"/>
    <w:rsid w:val="4C85B637"/>
    <w:rsid w:val="4CA626A9"/>
    <w:rsid w:val="4CACCB5C"/>
    <w:rsid w:val="4CEAC58D"/>
    <w:rsid w:val="4CFDB660"/>
    <w:rsid w:val="4D40B1A8"/>
    <w:rsid w:val="4D48488C"/>
    <w:rsid w:val="4DA3EE82"/>
    <w:rsid w:val="4E43BF8F"/>
    <w:rsid w:val="4E6AB2C0"/>
    <w:rsid w:val="4E8D1A57"/>
    <w:rsid w:val="4EEDED21"/>
    <w:rsid w:val="4EF01EFE"/>
    <w:rsid w:val="4EFB6057"/>
    <w:rsid w:val="4F2A36C4"/>
    <w:rsid w:val="4F882B9B"/>
    <w:rsid w:val="506985C9"/>
    <w:rsid w:val="50757F94"/>
    <w:rsid w:val="50B71C9D"/>
    <w:rsid w:val="50DF52F2"/>
    <w:rsid w:val="51294D6A"/>
    <w:rsid w:val="516BBAC2"/>
    <w:rsid w:val="5172BECB"/>
    <w:rsid w:val="51ACFBD9"/>
    <w:rsid w:val="51D74E53"/>
    <w:rsid w:val="51EA68C0"/>
    <w:rsid w:val="51F0FD43"/>
    <w:rsid w:val="52150BD5"/>
    <w:rsid w:val="521BD42B"/>
    <w:rsid w:val="5237D0FA"/>
    <w:rsid w:val="5239728B"/>
    <w:rsid w:val="5256D034"/>
    <w:rsid w:val="5264BEAE"/>
    <w:rsid w:val="5282176E"/>
    <w:rsid w:val="52C378AD"/>
    <w:rsid w:val="52DA5662"/>
    <w:rsid w:val="534393FF"/>
    <w:rsid w:val="5382AE75"/>
    <w:rsid w:val="53942F8E"/>
    <w:rsid w:val="53AC1A14"/>
    <w:rsid w:val="540430C3"/>
    <w:rsid w:val="541B49DC"/>
    <w:rsid w:val="543A90C1"/>
    <w:rsid w:val="5478FC35"/>
    <w:rsid w:val="5490DB7C"/>
    <w:rsid w:val="549BD305"/>
    <w:rsid w:val="54BEC15B"/>
    <w:rsid w:val="54C00EB7"/>
    <w:rsid w:val="555C8A4A"/>
    <w:rsid w:val="5586ECA6"/>
    <w:rsid w:val="55AE1646"/>
    <w:rsid w:val="55D941D2"/>
    <w:rsid w:val="560C09DB"/>
    <w:rsid w:val="567F85C4"/>
    <w:rsid w:val="5714D461"/>
    <w:rsid w:val="5724E287"/>
    <w:rsid w:val="57323FCA"/>
    <w:rsid w:val="576C4269"/>
    <w:rsid w:val="57AEE064"/>
    <w:rsid w:val="57C3ABF8"/>
    <w:rsid w:val="57D68CD4"/>
    <w:rsid w:val="585817D6"/>
    <w:rsid w:val="58604C22"/>
    <w:rsid w:val="586CAE12"/>
    <w:rsid w:val="587E31E2"/>
    <w:rsid w:val="587E73C3"/>
    <w:rsid w:val="58AC724E"/>
    <w:rsid w:val="58D78E3F"/>
    <w:rsid w:val="58F334C5"/>
    <w:rsid w:val="58F66E74"/>
    <w:rsid w:val="59402B1D"/>
    <w:rsid w:val="5941F505"/>
    <w:rsid w:val="59554888"/>
    <w:rsid w:val="595D7888"/>
    <w:rsid w:val="598E56E6"/>
    <w:rsid w:val="59D6D424"/>
    <w:rsid w:val="5A8CC271"/>
    <w:rsid w:val="5AC8DA9E"/>
    <w:rsid w:val="5AE272EF"/>
    <w:rsid w:val="5B199642"/>
    <w:rsid w:val="5B2F51F4"/>
    <w:rsid w:val="5B5D34FC"/>
    <w:rsid w:val="5B71F4B7"/>
    <w:rsid w:val="5B7441B4"/>
    <w:rsid w:val="5BBB5FA2"/>
    <w:rsid w:val="5BC06E88"/>
    <w:rsid w:val="5BD071EF"/>
    <w:rsid w:val="5BD350A1"/>
    <w:rsid w:val="5BEB0081"/>
    <w:rsid w:val="5BF0330A"/>
    <w:rsid w:val="5BFF5282"/>
    <w:rsid w:val="5C0E5D9C"/>
    <w:rsid w:val="5C4E02DF"/>
    <w:rsid w:val="5C5AFFC5"/>
    <w:rsid w:val="5CB7AFDF"/>
    <w:rsid w:val="5CCFD1D6"/>
    <w:rsid w:val="5D1F0C2A"/>
    <w:rsid w:val="5D36B78A"/>
    <w:rsid w:val="5D3A3C5B"/>
    <w:rsid w:val="5D6C2E6C"/>
    <w:rsid w:val="5DA309E5"/>
    <w:rsid w:val="5DEB2A67"/>
    <w:rsid w:val="5DF093D8"/>
    <w:rsid w:val="5E01263E"/>
    <w:rsid w:val="5E206FF9"/>
    <w:rsid w:val="5E26FBA0"/>
    <w:rsid w:val="5E42EB43"/>
    <w:rsid w:val="5E76BC7C"/>
    <w:rsid w:val="5E8CF695"/>
    <w:rsid w:val="5E954BD6"/>
    <w:rsid w:val="5EB0DCB4"/>
    <w:rsid w:val="5ED4C716"/>
    <w:rsid w:val="5ED73429"/>
    <w:rsid w:val="5EF74495"/>
    <w:rsid w:val="5F06B715"/>
    <w:rsid w:val="5F8C6439"/>
    <w:rsid w:val="5FD30607"/>
    <w:rsid w:val="5FE5722F"/>
    <w:rsid w:val="5FF9C0DD"/>
    <w:rsid w:val="6042A489"/>
    <w:rsid w:val="609BE16F"/>
    <w:rsid w:val="60AFADA6"/>
    <w:rsid w:val="60C8C18B"/>
    <w:rsid w:val="6117BA48"/>
    <w:rsid w:val="611B676C"/>
    <w:rsid w:val="611F09C2"/>
    <w:rsid w:val="6121AF7A"/>
    <w:rsid w:val="613B2A03"/>
    <w:rsid w:val="61616FA9"/>
    <w:rsid w:val="617A95F4"/>
    <w:rsid w:val="619C610D"/>
    <w:rsid w:val="6211215F"/>
    <w:rsid w:val="622FFC86"/>
    <w:rsid w:val="62B833EC"/>
    <w:rsid w:val="62C404FB"/>
    <w:rsid w:val="62FEE697"/>
    <w:rsid w:val="634C70A8"/>
    <w:rsid w:val="635ED453"/>
    <w:rsid w:val="63ADE4B2"/>
    <w:rsid w:val="63DACC42"/>
    <w:rsid w:val="63DF65E9"/>
    <w:rsid w:val="63EEAD96"/>
    <w:rsid w:val="6402B5B2"/>
    <w:rsid w:val="64050534"/>
    <w:rsid w:val="6415DA69"/>
    <w:rsid w:val="642C5322"/>
    <w:rsid w:val="644E6130"/>
    <w:rsid w:val="645914C4"/>
    <w:rsid w:val="64A8ED75"/>
    <w:rsid w:val="64B64A34"/>
    <w:rsid w:val="64E40ECD"/>
    <w:rsid w:val="6517BB6C"/>
    <w:rsid w:val="651E17D7"/>
    <w:rsid w:val="653FAA02"/>
    <w:rsid w:val="65544CDC"/>
    <w:rsid w:val="667AAD98"/>
    <w:rsid w:val="667C7675"/>
    <w:rsid w:val="668F22E4"/>
    <w:rsid w:val="66CEB45B"/>
    <w:rsid w:val="6701E9BF"/>
    <w:rsid w:val="670896C5"/>
    <w:rsid w:val="67237D99"/>
    <w:rsid w:val="6724CFF5"/>
    <w:rsid w:val="673B5664"/>
    <w:rsid w:val="674B0457"/>
    <w:rsid w:val="677026AE"/>
    <w:rsid w:val="67B6F06B"/>
    <w:rsid w:val="67E994F8"/>
    <w:rsid w:val="67FB5C78"/>
    <w:rsid w:val="67FF0A8B"/>
    <w:rsid w:val="680D07DA"/>
    <w:rsid w:val="6814AE1C"/>
    <w:rsid w:val="68427504"/>
    <w:rsid w:val="688A69B7"/>
    <w:rsid w:val="689AC00F"/>
    <w:rsid w:val="68A1729C"/>
    <w:rsid w:val="68A4F540"/>
    <w:rsid w:val="68BDBAA1"/>
    <w:rsid w:val="68E9BF4C"/>
    <w:rsid w:val="690ABAC3"/>
    <w:rsid w:val="69811AE5"/>
    <w:rsid w:val="69857D2A"/>
    <w:rsid w:val="69B05427"/>
    <w:rsid w:val="69C3E10F"/>
    <w:rsid w:val="69FAE300"/>
    <w:rsid w:val="6A339297"/>
    <w:rsid w:val="6A3B0E6B"/>
    <w:rsid w:val="6A469A77"/>
    <w:rsid w:val="6A54C7AD"/>
    <w:rsid w:val="6A78CA09"/>
    <w:rsid w:val="6ADF1AA6"/>
    <w:rsid w:val="6AFF2DFB"/>
    <w:rsid w:val="6B46F3C8"/>
    <w:rsid w:val="6B4B62DC"/>
    <w:rsid w:val="6B5CC51F"/>
    <w:rsid w:val="6B8FB396"/>
    <w:rsid w:val="6BAD5D6A"/>
    <w:rsid w:val="6BAFBCDB"/>
    <w:rsid w:val="6BB69ABE"/>
    <w:rsid w:val="6C412E8A"/>
    <w:rsid w:val="6CDA58AC"/>
    <w:rsid w:val="6CE9F448"/>
    <w:rsid w:val="6D0F167E"/>
    <w:rsid w:val="6D340997"/>
    <w:rsid w:val="6D517608"/>
    <w:rsid w:val="6D5E7466"/>
    <w:rsid w:val="6D6C09BF"/>
    <w:rsid w:val="6D70A9A3"/>
    <w:rsid w:val="6D72C152"/>
    <w:rsid w:val="6D81405C"/>
    <w:rsid w:val="6D862ED2"/>
    <w:rsid w:val="6D866308"/>
    <w:rsid w:val="6D8A53A0"/>
    <w:rsid w:val="6DB62F49"/>
    <w:rsid w:val="6DD87F5A"/>
    <w:rsid w:val="6DD8F41A"/>
    <w:rsid w:val="6E069C39"/>
    <w:rsid w:val="6E2A929D"/>
    <w:rsid w:val="6EA12429"/>
    <w:rsid w:val="6F112BEA"/>
    <w:rsid w:val="6F24CF39"/>
    <w:rsid w:val="6F31C8FA"/>
    <w:rsid w:val="6F60EDA0"/>
    <w:rsid w:val="6F9D6E2A"/>
    <w:rsid w:val="6FA60D3B"/>
    <w:rsid w:val="7021FDCE"/>
    <w:rsid w:val="70244AAF"/>
    <w:rsid w:val="7028133D"/>
    <w:rsid w:val="70457648"/>
    <w:rsid w:val="707D2299"/>
    <w:rsid w:val="708A62DF"/>
    <w:rsid w:val="7097B42E"/>
    <w:rsid w:val="70ED7D30"/>
    <w:rsid w:val="7106E312"/>
    <w:rsid w:val="7120505F"/>
    <w:rsid w:val="712D66D3"/>
    <w:rsid w:val="71992A61"/>
    <w:rsid w:val="71B3CB4D"/>
    <w:rsid w:val="71C1C886"/>
    <w:rsid w:val="7201EAD1"/>
    <w:rsid w:val="721ED2C5"/>
    <w:rsid w:val="72314F83"/>
    <w:rsid w:val="7250611D"/>
    <w:rsid w:val="7263DF7F"/>
    <w:rsid w:val="7300B14D"/>
    <w:rsid w:val="73229BD9"/>
    <w:rsid w:val="73294FD4"/>
    <w:rsid w:val="734C163E"/>
    <w:rsid w:val="735BD756"/>
    <w:rsid w:val="736E3633"/>
    <w:rsid w:val="744805FD"/>
    <w:rsid w:val="745ADB13"/>
    <w:rsid w:val="74663017"/>
    <w:rsid w:val="74677132"/>
    <w:rsid w:val="747CC42C"/>
    <w:rsid w:val="7516F0D7"/>
    <w:rsid w:val="75365EDA"/>
    <w:rsid w:val="75822F47"/>
    <w:rsid w:val="7585621E"/>
    <w:rsid w:val="75C58A78"/>
    <w:rsid w:val="75D86BE7"/>
    <w:rsid w:val="761036CE"/>
    <w:rsid w:val="76153B25"/>
    <w:rsid w:val="76759E79"/>
    <w:rsid w:val="76801320"/>
    <w:rsid w:val="769A5201"/>
    <w:rsid w:val="76EE97C5"/>
    <w:rsid w:val="76F9C3A8"/>
    <w:rsid w:val="77016C1D"/>
    <w:rsid w:val="7722C8FA"/>
    <w:rsid w:val="77F3DF8F"/>
    <w:rsid w:val="78153EBF"/>
    <w:rsid w:val="785CB3F8"/>
    <w:rsid w:val="78684B89"/>
    <w:rsid w:val="7869E789"/>
    <w:rsid w:val="78B5E159"/>
    <w:rsid w:val="78CADA34"/>
    <w:rsid w:val="78EFF1B9"/>
    <w:rsid w:val="78FA1343"/>
    <w:rsid w:val="79357CDE"/>
    <w:rsid w:val="793965D7"/>
    <w:rsid w:val="793A282E"/>
    <w:rsid w:val="793E6BC0"/>
    <w:rsid w:val="794A92E8"/>
    <w:rsid w:val="79A7197D"/>
    <w:rsid w:val="79E60F04"/>
    <w:rsid w:val="7A09D2A2"/>
    <w:rsid w:val="7A4BDAB4"/>
    <w:rsid w:val="7A4EFB04"/>
    <w:rsid w:val="7A5AABFD"/>
    <w:rsid w:val="7A645AB2"/>
    <w:rsid w:val="7A719D06"/>
    <w:rsid w:val="7AC729A0"/>
    <w:rsid w:val="7B008577"/>
    <w:rsid w:val="7B0AACCF"/>
    <w:rsid w:val="7B417FE2"/>
    <w:rsid w:val="7B6235A9"/>
    <w:rsid w:val="7B64E956"/>
    <w:rsid w:val="7B650518"/>
    <w:rsid w:val="7B684C38"/>
    <w:rsid w:val="7B768552"/>
    <w:rsid w:val="7BA94024"/>
    <w:rsid w:val="7BCCBE88"/>
    <w:rsid w:val="7BDB0350"/>
    <w:rsid w:val="7BE6E91B"/>
    <w:rsid w:val="7BEEB730"/>
    <w:rsid w:val="7C0EFC4F"/>
    <w:rsid w:val="7C71F492"/>
    <w:rsid w:val="7C9D52DD"/>
    <w:rsid w:val="7CB90B8C"/>
    <w:rsid w:val="7CC47E7C"/>
    <w:rsid w:val="7CC750B2"/>
    <w:rsid w:val="7CD16BA5"/>
    <w:rsid w:val="7D3EED4F"/>
    <w:rsid w:val="7D56C5D5"/>
    <w:rsid w:val="7D736786"/>
    <w:rsid w:val="7D7E4D81"/>
    <w:rsid w:val="7D874F0D"/>
    <w:rsid w:val="7DBCA11D"/>
    <w:rsid w:val="7DCF26A5"/>
    <w:rsid w:val="7DE4CCC3"/>
    <w:rsid w:val="7DF4A145"/>
    <w:rsid w:val="7E44C6AA"/>
    <w:rsid w:val="7E61E9A3"/>
    <w:rsid w:val="7E62A142"/>
    <w:rsid w:val="7E92A7A0"/>
    <w:rsid w:val="7EB24055"/>
    <w:rsid w:val="7EC00B3C"/>
    <w:rsid w:val="7EC2BCCF"/>
    <w:rsid w:val="7F17DCB8"/>
    <w:rsid w:val="7F30AB52"/>
    <w:rsid w:val="7F6FF20F"/>
    <w:rsid w:val="7F850B1A"/>
    <w:rsid w:val="7FC8A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8A41"/>
  <w15:chartTrackingRefBased/>
  <w15:docId w15:val="{D83E6AF1-3236-4BC3-BF12-46B04D80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491C"/>
    <w:pPr>
      <w:spacing w:after="0" w:line="240" w:lineRule="auto"/>
    </w:pPr>
  </w:style>
  <w:style w:type="paragraph" w:styleId="CommentSubject">
    <w:name w:val="annotation subject"/>
    <w:basedOn w:val="CommentText"/>
    <w:next w:val="CommentText"/>
    <w:link w:val="CommentSubjectChar"/>
    <w:uiPriority w:val="99"/>
    <w:semiHidden/>
    <w:unhideWhenUsed/>
    <w:rsid w:val="00C5453F"/>
    <w:rPr>
      <w:b/>
      <w:bCs/>
    </w:rPr>
  </w:style>
  <w:style w:type="character" w:customStyle="1" w:styleId="CommentSubjectChar">
    <w:name w:val="Comment Subject Char"/>
    <w:basedOn w:val="CommentTextChar"/>
    <w:link w:val="CommentSubject"/>
    <w:uiPriority w:val="99"/>
    <w:semiHidden/>
    <w:rsid w:val="00C5453F"/>
    <w:rPr>
      <w:b/>
      <w:bCs/>
      <w:sz w:val="20"/>
      <w:szCs w:val="20"/>
    </w:rPr>
  </w:style>
  <w:style w:type="character" w:styleId="Mention">
    <w:name w:val="Mention"/>
    <w:basedOn w:val="DefaultParagraphFont"/>
    <w:uiPriority w:val="99"/>
    <w:unhideWhenUsed/>
    <w:rsid w:val="00C5453F"/>
    <w:rPr>
      <w:color w:val="2B579A"/>
      <w:shd w:val="clear" w:color="auto" w:fill="E1DFDD"/>
    </w:rPr>
  </w:style>
  <w:style w:type="paragraph" w:styleId="Header">
    <w:name w:val="header"/>
    <w:basedOn w:val="Normal"/>
    <w:link w:val="HeaderChar"/>
    <w:uiPriority w:val="99"/>
    <w:unhideWhenUsed/>
    <w:rsid w:val="00DB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65"/>
  </w:style>
  <w:style w:type="paragraph" w:styleId="Footer">
    <w:name w:val="footer"/>
    <w:basedOn w:val="Normal"/>
    <w:link w:val="FooterChar"/>
    <w:uiPriority w:val="99"/>
    <w:unhideWhenUsed/>
    <w:rsid w:val="00DB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65"/>
  </w:style>
  <w:style w:type="character" w:customStyle="1" w:styleId="Heading1Char">
    <w:name w:val="Heading 1 Char"/>
    <w:basedOn w:val="DefaultParagraphFont"/>
    <w:link w:val="Heading1"/>
    <w:uiPriority w:val="9"/>
    <w:rsid w:val="0070267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026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6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67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46730470">
      <w:bodyDiv w:val="1"/>
      <w:marLeft w:val="0"/>
      <w:marRight w:val="0"/>
      <w:marTop w:val="0"/>
      <w:marBottom w:val="0"/>
      <w:divBdr>
        <w:top w:val="none" w:sz="0" w:space="0" w:color="auto"/>
        <w:left w:val="none" w:sz="0" w:space="0" w:color="auto"/>
        <w:bottom w:val="none" w:sz="0" w:space="0" w:color="auto"/>
        <w:right w:val="none" w:sz="0" w:space="0" w:color="auto"/>
      </w:divBdr>
    </w:div>
    <w:div w:id="146671423">
      <w:bodyDiv w:val="1"/>
      <w:marLeft w:val="0"/>
      <w:marRight w:val="0"/>
      <w:marTop w:val="0"/>
      <w:marBottom w:val="0"/>
      <w:divBdr>
        <w:top w:val="none" w:sz="0" w:space="0" w:color="auto"/>
        <w:left w:val="none" w:sz="0" w:space="0" w:color="auto"/>
        <w:bottom w:val="none" w:sz="0" w:space="0" w:color="auto"/>
        <w:right w:val="none" w:sz="0" w:space="0" w:color="auto"/>
      </w:divBdr>
    </w:div>
    <w:div w:id="179249148">
      <w:bodyDiv w:val="1"/>
      <w:marLeft w:val="0"/>
      <w:marRight w:val="0"/>
      <w:marTop w:val="0"/>
      <w:marBottom w:val="0"/>
      <w:divBdr>
        <w:top w:val="none" w:sz="0" w:space="0" w:color="auto"/>
        <w:left w:val="none" w:sz="0" w:space="0" w:color="auto"/>
        <w:bottom w:val="none" w:sz="0" w:space="0" w:color="auto"/>
        <w:right w:val="none" w:sz="0" w:space="0" w:color="auto"/>
      </w:divBdr>
      <w:divsChild>
        <w:div w:id="328018553">
          <w:marLeft w:val="0"/>
          <w:marRight w:val="0"/>
          <w:marTop w:val="0"/>
          <w:marBottom w:val="0"/>
          <w:divBdr>
            <w:top w:val="none" w:sz="0" w:space="0" w:color="auto"/>
            <w:left w:val="none" w:sz="0" w:space="0" w:color="auto"/>
            <w:bottom w:val="none" w:sz="0" w:space="0" w:color="auto"/>
            <w:right w:val="none" w:sz="0" w:space="0" w:color="auto"/>
          </w:divBdr>
        </w:div>
        <w:div w:id="1321352083">
          <w:marLeft w:val="0"/>
          <w:marRight w:val="0"/>
          <w:marTop w:val="0"/>
          <w:marBottom w:val="0"/>
          <w:divBdr>
            <w:top w:val="none" w:sz="0" w:space="0" w:color="auto"/>
            <w:left w:val="none" w:sz="0" w:space="0" w:color="auto"/>
            <w:bottom w:val="none" w:sz="0" w:space="0" w:color="auto"/>
            <w:right w:val="none" w:sz="0" w:space="0" w:color="auto"/>
          </w:divBdr>
        </w:div>
      </w:divsChild>
    </w:div>
    <w:div w:id="182785334">
      <w:bodyDiv w:val="1"/>
      <w:marLeft w:val="0"/>
      <w:marRight w:val="0"/>
      <w:marTop w:val="0"/>
      <w:marBottom w:val="0"/>
      <w:divBdr>
        <w:top w:val="none" w:sz="0" w:space="0" w:color="auto"/>
        <w:left w:val="none" w:sz="0" w:space="0" w:color="auto"/>
        <w:bottom w:val="none" w:sz="0" w:space="0" w:color="auto"/>
        <w:right w:val="none" w:sz="0" w:space="0" w:color="auto"/>
      </w:divBdr>
    </w:div>
    <w:div w:id="250823614">
      <w:bodyDiv w:val="1"/>
      <w:marLeft w:val="0"/>
      <w:marRight w:val="0"/>
      <w:marTop w:val="0"/>
      <w:marBottom w:val="0"/>
      <w:divBdr>
        <w:top w:val="none" w:sz="0" w:space="0" w:color="auto"/>
        <w:left w:val="none" w:sz="0" w:space="0" w:color="auto"/>
        <w:bottom w:val="none" w:sz="0" w:space="0" w:color="auto"/>
        <w:right w:val="none" w:sz="0" w:space="0" w:color="auto"/>
      </w:divBdr>
    </w:div>
    <w:div w:id="257373314">
      <w:bodyDiv w:val="1"/>
      <w:marLeft w:val="0"/>
      <w:marRight w:val="0"/>
      <w:marTop w:val="0"/>
      <w:marBottom w:val="0"/>
      <w:divBdr>
        <w:top w:val="none" w:sz="0" w:space="0" w:color="auto"/>
        <w:left w:val="none" w:sz="0" w:space="0" w:color="auto"/>
        <w:bottom w:val="none" w:sz="0" w:space="0" w:color="auto"/>
        <w:right w:val="none" w:sz="0" w:space="0" w:color="auto"/>
      </w:divBdr>
    </w:div>
    <w:div w:id="271282130">
      <w:bodyDiv w:val="1"/>
      <w:marLeft w:val="0"/>
      <w:marRight w:val="0"/>
      <w:marTop w:val="0"/>
      <w:marBottom w:val="0"/>
      <w:divBdr>
        <w:top w:val="none" w:sz="0" w:space="0" w:color="auto"/>
        <w:left w:val="none" w:sz="0" w:space="0" w:color="auto"/>
        <w:bottom w:val="none" w:sz="0" w:space="0" w:color="auto"/>
        <w:right w:val="none" w:sz="0" w:space="0" w:color="auto"/>
      </w:divBdr>
    </w:div>
    <w:div w:id="342785624">
      <w:bodyDiv w:val="1"/>
      <w:marLeft w:val="0"/>
      <w:marRight w:val="0"/>
      <w:marTop w:val="0"/>
      <w:marBottom w:val="0"/>
      <w:divBdr>
        <w:top w:val="none" w:sz="0" w:space="0" w:color="auto"/>
        <w:left w:val="none" w:sz="0" w:space="0" w:color="auto"/>
        <w:bottom w:val="none" w:sz="0" w:space="0" w:color="auto"/>
        <w:right w:val="none" w:sz="0" w:space="0" w:color="auto"/>
      </w:divBdr>
    </w:div>
    <w:div w:id="369499354">
      <w:bodyDiv w:val="1"/>
      <w:marLeft w:val="0"/>
      <w:marRight w:val="0"/>
      <w:marTop w:val="0"/>
      <w:marBottom w:val="0"/>
      <w:divBdr>
        <w:top w:val="none" w:sz="0" w:space="0" w:color="auto"/>
        <w:left w:val="none" w:sz="0" w:space="0" w:color="auto"/>
        <w:bottom w:val="none" w:sz="0" w:space="0" w:color="auto"/>
        <w:right w:val="none" w:sz="0" w:space="0" w:color="auto"/>
      </w:divBdr>
    </w:div>
    <w:div w:id="387000794">
      <w:bodyDiv w:val="1"/>
      <w:marLeft w:val="0"/>
      <w:marRight w:val="0"/>
      <w:marTop w:val="0"/>
      <w:marBottom w:val="0"/>
      <w:divBdr>
        <w:top w:val="none" w:sz="0" w:space="0" w:color="auto"/>
        <w:left w:val="none" w:sz="0" w:space="0" w:color="auto"/>
        <w:bottom w:val="none" w:sz="0" w:space="0" w:color="auto"/>
        <w:right w:val="none" w:sz="0" w:space="0" w:color="auto"/>
      </w:divBdr>
    </w:div>
    <w:div w:id="397898588">
      <w:bodyDiv w:val="1"/>
      <w:marLeft w:val="0"/>
      <w:marRight w:val="0"/>
      <w:marTop w:val="0"/>
      <w:marBottom w:val="0"/>
      <w:divBdr>
        <w:top w:val="none" w:sz="0" w:space="0" w:color="auto"/>
        <w:left w:val="none" w:sz="0" w:space="0" w:color="auto"/>
        <w:bottom w:val="none" w:sz="0" w:space="0" w:color="auto"/>
        <w:right w:val="none" w:sz="0" w:space="0" w:color="auto"/>
      </w:divBdr>
    </w:div>
    <w:div w:id="407115741">
      <w:bodyDiv w:val="1"/>
      <w:marLeft w:val="0"/>
      <w:marRight w:val="0"/>
      <w:marTop w:val="0"/>
      <w:marBottom w:val="0"/>
      <w:divBdr>
        <w:top w:val="none" w:sz="0" w:space="0" w:color="auto"/>
        <w:left w:val="none" w:sz="0" w:space="0" w:color="auto"/>
        <w:bottom w:val="none" w:sz="0" w:space="0" w:color="auto"/>
        <w:right w:val="none" w:sz="0" w:space="0" w:color="auto"/>
      </w:divBdr>
    </w:div>
    <w:div w:id="458844184">
      <w:bodyDiv w:val="1"/>
      <w:marLeft w:val="0"/>
      <w:marRight w:val="0"/>
      <w:marTop w:val="0"/>
      <w:marBottom w:val="0"/>
      <w:divBdr>
        <w:top w:val="none" w:sz="0" w:space="0" w:color="auto"/>
        <w:left w:val="none" w:sz="0" w:space="0" w:color="auto"/>
        <w:bottom w:val="none" w:sz="0" w:space="0" w:color="auto"/>
        <w:right w:val="none" w:sz="0" w:space="0" w:color="auto"/>
      </w:divBdr>
    </w:div>
    <w:div w:id="464080309">
      <w:bodyDiv w:val="1"/>
      <w:marLeft w:val="0"/>
      <w:marRight w:val="0"/>
      <w:marTop w:val="0"/>
      <w:marBottom w:val="0"/>
      <w:divBdr>
        <w:top w:val="none" w:sz="0" w:space="0" w:color="auto"/>
        <w:left w:val="none" w:sz="0" w:space="0" w:color="auto"/>
        <w:bottom w:val="none" w:sz="0" w:space="0" w:color="auto"/>
        <w:right w:val="none" w:sz="0" w:space="0" w:color="auto"/>
      </w:divBdr>
    </w:div>
    <w:div w:id="490483171">
      <w:bodyDiv w:val="1"/>
      <w:marLeft w:val="0"/>
      <w:marRight w:val="0"/>
      <w:marTop w:val="0"/>
      <w:marBottom w:val="0"/>
      <w:divBdr>
        <w:top w:val="none" w:sz="0" w:space="0" w:color="auto"/>
        <w:left w:val="none" w:sz="0" w:space="0" w:color="auto"/>
        <w:bottom w:val="none" w:sz="0" w:space="0" w:color="auto"/>
        <w:right w:val="none" w:sz="0" w:space="0" w:color="auto"/>
      </w:divBdr>
    </w:div>
    <w:div w:id="499587649">
      <w:bodyDiv w:val="1"/>
      <w:marLeft w:val="0"/>
      <w:marRight w:val="0"/>
      <w:marTop w:val="0"/>
      <w:marBottom w:val="0"/>
      <w:divBdr>
        <w:top w:val="none" w:sz="0" w:space="0" w:color="auto"/>
        <w:left w:val="none" w:sz="0" w:space="0" w:color="auto"/>
        <w:bottom w:val="none" w:sz="0" w:space="0" w:color="auto"/>
        <w:right w:val="none" w:sz="0" w:space="0" w:color="auto"/>
      </w:divBdr>
    </w:div>
    <w:div w:id="607548667">
      <w:bodyDiv w:val="1"/>
      <w:marLeft w:val="0"/>
      <w:marRight w:val="0"/>
      <w:marTop w:val="0"/>
      <w:marBottom w:val="0"/>
      <w:divBdr>
        <w:top w:val="none" w:sz="0" w:space="0" w:color="auto"/>
        <w:left w:val="none" w:sz="0" w:space="0" w:color="auto"/>
        <w:bottom w:val="none" w:sz="0" w:space="0" w:color="auto"/>
        <w:right w:val="none" w:sz="0" w:space="0" w:color="auto"/>
      </w:divBdr>
    </w:div>
    <w:div w:id="610285829">
      <w:bodyDiv w:val="1"/>
      <w:marLeft w:val="0"/>
      <w:marRight w:val="0"/>
      <w:marTop w:val="0"/>
      <w:marBottom w:val="0"/>
      <w:divBdr>
        <w:top w:val="none" w:sz="0" w:space="0" w:color="auto"/>
        <w:left w:val="none" w:sz="0" w:space="0" w:color="auto"/>
        <w:bottom w:val="none" w:sz="0" w:space="0" w:color="auto"/>
        <w:right w:val="none" w:sz="0" w:space="0" w:color="auto"/>
      </w:divBdr>
    </w:div>
    <w:div w:id="615722387">
      <w:bodyDiv w:val="1"/>
      <w:marLeft w:val="0"/>
      <w:marRight w:val="0"/>
      <w:marTop w:val="0"/>
      <w:marBottom w:val="0"/>
      <w:divBdr>
        <w:top w:val="none" w:sz="0" w:space="0" w:color="auto"/>
        <w:left w:val="none" w:sz="0" w:space="0" w:color="auto"/>
        <w:bottom w:val="none" w:sz="0" w:space="0" w:color="auto"/>
        <w:right w:val="none" w:sz="0" w:space="0" w:color="auto"/>
      </w:divBdr>
    </w:div>
    <w:div w:id="711880797">
      <w:bodyDiv w:val="1"/>
      <w:marLeft w:val="0"/>
      <w:marRight w:val="0"/>
      <w:marTop w:val="0"/>
      <w:marBottom w:val="0"/>
      <w:divBdr>
        <w:top w:val="none" w:sz="0" w:space="0" w:color="auto"/>
        <w:left w:val="none" w:sz="0" w:space="0" w:color="auto"/>
        <w:bottom w:val="none" w:sz="0" w:space="0" w:color="auto"/>
        <w:right w:val="none" w:sz="0" w:space="0" w:color="auto"/>
      </w:divBdr>
    </w:div>
    <w:div w:id="774715780">
      <w:bodyDiv w:val="1"/>
      <w:marLeft w:val="0"/>
      <w:marRight w:val="0"/>
      <w:marTop w:val="0"/>
      <w:marBottom w:val="0"/>
      <w:divBdr>
        <w:top w:val="none" w:sz="0" w:space="0" w:color="auto"/>
        <w:left w:val="none" w:sz="0" w:space="0" w:color="auto"/>
        <w:bottom w:val="none" w:sz="0" w:space="0" w:color="auto"/>
        <w:right w:val="none" w:sz="0" w:space="0" w:color="auto"/>
      </w:divBdr>
    </w:div>
    <w:div w:id="834733068">
      <w:bodyDiv w:val="1"/>
      <w:marLeft w:val="0"/>
      <w:marRight w:val="0"/>
      <w:marTop w:val="0"/>
      <w:marBottom w:val="0"/>
      <w:divBdr>
        <w:top w:val="none" w:sz="0" w:space="0" w:color="auto"/>
        <w:left w:val="none" w:sz="0" w:space="0" w:color="auto"/>
        <w:bottom w:val="none" w:sz="0" w:space="0" w:color="auto"/>
        <w:right w:val="none" w:sz="0" w:space="0" w:color="auto"/>
      </w:divBdr>
    </w:div>
    <w:div w:id="848564479">
      <w:bodyDiv w:val="1"/>
      <w:marLeft w:val="0"/>
      <w:marRight w:val="0"/>
      <w:marTop w:val="0"/>
      <w:marBottom w:val="0"/>
      <w:divBdr>
        <w:top w:val="none" w:sz="0" w:space="0" w:color="auto"/>
        <w:left w:val="none" w:sz="0" w:space="0" w:color="auto"/>
        <w:bottom w:val="none" w:sz="0" w:space="0" w:color="auto"/>
        <w:right w:val="none" w:sz="0" w:space="0" w:color="auto"/>
      </w:divBdr>
    </w:div>
    <w:div w:id="877862058">
      <w:bodyDiv w:val="1"/>
      <w:marLeft w:val="0"/>
      <w:marRight w:val="0"/>
      <w:marTop w:val="0"/>
      <w:marBottom w:val="0"/>
      <w:divBdr>
        <w:top w:val="none" w:sz="0" w:space="0" w:color="auto"/>
        <w:left w:val="none" w:sz="0" w:space="0" w:color="auto"/>
        <w:bottom w:val="none" w:sz="0" w:space="0" w:color="auto"/>
        <w:right w:val="none" w:sz="0" w:space="0" w:color="auto"/>
      </w:divBdr>
    </w:div>
    <w:div w:id="937450375">
      <w:bodyDiv w:val="1"/>
      <w:marLeft w:val="0"/>
      <w:marRight w:val="0"/>
      <w:marTop w:val="0"/>
      <w:marBottom w:val="0"/>
      <w:divBdr>
        <w:top w:val="none" w:sz="0" w:space="0" w:color="auto"/>
        <w:left w:val="none" w:sz="0" w:space="0" w:color="auto"/>
        <w:bottom w:val="none" w:sz="0" w:space="0" w:color="auto"/>
        <w:right w:val="none" w:sz="0" w:space="0" w:color="auto"/>
      </w:divBdr>
    </w:div>
    <w:div w:id="1030303507">
      <w:bodyDiv w:val="1"/>
      <w:marLeft w:val="0"/>
      <w:marRight w:val="0"/>
      <w:marTop w:val="0"/>
      <w:marBottom w:val="0"/>
      <w:divBdr>
        <w:top w:val="none" w:sz="0" w:space="0" w:color="auto"/>
        <w:left w:val="none" w:sz="0" w:space="0" w:color="auto"/>
        <w:bottom w:val="none" w:sz="0" w:space="0" w:color="auto"/>
        <w:right w:val="none" w:sz="0" w:space="0" w:color="auto"/>
      </w:divBdr>
    </w:div>
    <w:div w:id="1036470187">
      <w:bodyDiv w:val="1"/>
      <w:marLeft w:val="0"/>
      <w:marRight w:val="0"/>
      <w:marTop w:val="0"/>
      <w:marBottom w:val="0"/>
      <w:divBdr>
        <w:top w:val="none" w:sz="0" w:space="0" w:color="auto"/>
        <w:left w:val="none" w:sz="0" w:space="0" w:color="auto"/>
        <w:bottom w:val="none" w:sz="0" w:space="0" w:color="auto"/>
        <w:right w:val="none" w:sz="0" w:space="0" w:color="auto"/>
      </w:divBdr>
    </w:div>
    <w:div w:id="1158230431">
      <w:bodyDiv w:val="1"/>
      <w:marLeft w:val="0"/>
      <w:marRight w:val="0"/>
      <w:marTop w:val="0"/>
      <w:marBottom w:val="0"/>
      <w:divBdr>
        <w:top w:val="none" w:sz="0" w:space="0" w:color="auto"/>
        <w:left w:val="none" w:sz="0" w:space="0" w:color="auto"/>
        <w:bottom w:val="none" w:sz="0" w:space="0" w:color="auto"/>
        <w:right w:val="none" w:sz="0" w:space="0" w:color="auto"/>
      </w:divBdr>
    </w:div>
    <w:div w:id="1224681597">
      <w:bodyDiv w:val="1"/>
      <w:marLeft w:val="0"/>
      <w:marRight w:val="0"/>
      <w:marTop w:val="0"/>
      <w:marBottom w:val="0"/>
      <w:divBdr>
        <w:top w:val="none" w:sz="0" w:space="0" w:color="auto"/>
        <w:left w:val="none" w:sz="0" w:space="0" w:color="auto"/>
        <w:bottom w:val="none" w:sz="0" w:space="0" w:color="auto"/>
        <w:right w:val="none" w:sz="0" w:space="0" w:color="auto"/>
      </w:divBdr>
    </w:div>
    <w:div w:id="1287203985">
      <w:bodyDiv w:val="1"/>
      <w:marLeft w:val="0"/>
      <w:marRight w:val="0"/>
      <w:marTop w:val="0"/>
      <w:marBottom w:val="0"/>
      <w:divBdr>
        <w:top w:val="none" w:sz="0" w:space="0" w:color="auto"/>
        <w:left w:val="none" w:sz="0" w:space="0" w:color="auto"/>
        <w:bottom w:val="none" w:sz="0" w:space="0" w:color="auto"/>
        <w:right w:val="none" w:sz="0" w:space="0" w:color="auto"/>
      </w:divBdr>
    </w:div>
    <w:div w:id="1331442800">
      <w:bodyDiv w:val="1"/>
      <w:marLeft w:val="0"/>
      <w:marRight w:val="0"/>
      <w:marTop w:val="0"/>
      <w:marBottom w:val="0"/>
      <w:divBdr>
        <w:top w:val="none" w:sz="0" w:space="0" w:color="auto"/>
        <w:left w:val="none" w:sz="0" w:space="0" w:color="auto"/>
        <w:bottom w:val="none" w:sz="0" w:space="0" w:color="auto"/>
        <w:right w:val="none" w:sz="0" w:space="0" w:color="auto"/>
      </w:divBdr>
    </w:div>
    <w:div w:id="1404521932">
      <w:bodyDiv w:val="1"/>
      <w:marLeft w:val="0"/>
      <w:marRight w:val="0"/>
      <w:marTop w:val="0"/>
      <w:marBottom w:val="0"/>
      <w:divBdr>
        <w:top w:val="none" w:sz="0" w:space="0" w:color="auto"/>
        <w:left w:val="none" w:sz="0" w:space="0" w:color="auto"/>
        <w:bottom w:val="none" w:sz="0" w:space="0" w:color="auto"/>
        <w:right w:val="none" w:sz="0" w:space="0" w:color="auto"/>
      </w:divBdr>
    </w:div>
    <w:div w:id="1423643433">
      <w:bodyDiv w:val="1"/>
      <w:marLeft w:val="0"/>
      <w:marRight w:val="0"/>
      <w:marTop w:val="0"/>
      <w:marBottom w:val="0"/>
      <w:divBdr>
        <w:top w:val="none" w:sz="0" w:space="0" w:color="auto"/>
        <w:left w:val="none" w:sz="0" w:space="0" w:color="auto"/>
        <w:bottom w:val="none" w:sz="0" w:space="0" w:color="auto"/>
        <w:right w:val="none" w:sz="0" w:space="0" w:color="auto"/>
      </w:divBdr>
    </w:div>
    <w:div w:id="1487014548">
      <w:bodyDiv w:val="1"/>
      <w:marLeft w:val="0"/>
      <w:marRight w:val="0"/>
      <w:marTop w:val="0"/>
      <w:marBottom w:val="0"/>
      <w:divBdr>
        <w:top w:val="none" w:sz="0" w:space="0" w:color="auto"/>
        <w:left w:val="none" w:sz="0" w:space="0" w:color="auto"/>
        <w:bottom w:val="none" w:sz="0" w:space="0" w:color="auto"/>
        <w:right w:val="none" w:sz="0" w:space="0" w:color="auto"/>
      </w:divBdr>
    </w:div>
    <w:div w:id="1491170873">
      <w:bodyDiv w:val="1"/>
      <w:marLeft w:val="0"/>
      <w:marRight w:val="0"/>
      <w:marTop w:val="0"/>
      <w:marBottom w:val="0"/>
      <w:divBdr>
        <w:top w:val="none" w:sz="0" w:space="0" w:color="auto"/>
        <w:left w:val="none" w:sz="0" w:space="0" w:color="auto"/>
        <w:bottom w:val="none" w:sz="0" w:space="0" w:color="auto"/>
        <w:right w:val="none" w:sz="0" w:space="0" w:color="auto"/>
      </w:divBdr>
    </w:div>
    <w:div w:id="1492331978">
      <w:bodyDiv w:val="1"/>
      <w:marLeft w:val="0"/>
      <w:marRight w:val="0"/>
      <w:marTop w:val="0"/>
      <w:marBottom w:val="0"/>
      <w:divBdr>
        <w:top w:val="none" w:sz="0" w:space="0" w:color="auto"/>
        <w:left w:val="none" w:sz="0" w:space="0" w:color="auto"/>
        <w:bottom w:val="none" w:sz="0" w:space="0" w:color="auto"/>
        <w:right w:val="none" w:sz="0" w:space="0" w:color="auto"/>
      </w:divBdr>
      <w:divsChild>
        <w:div w:id="266352393">
          <w:marLeft w:val="0"/>
          <w:marRight w:val="0"/>
          <w:marTop w:val="0"/>
          <w:marBottom w:val="0"/>
          <w:divBdr>
            <w:top w:val="none" w:sz="0" w:space="0" w:color="auto"/>
            <w:left w:val="none" w:sz="0" w:space="0" w:color="auto"/>
            <w:bottom w:val="none" w:sz="0" w:space="0" w:color="auto"/>
            <w:right w:val="none" w:sz="0" w:space="0" w:color="auto"/>
          </w:divBdr>
        </w:div>
        <w:div w:id="1417482120">
          <w:marLeft w:val="0"/>
          <w:marRight w:val="0"/>
          <w:marTop w:val="0"/>
          <w:marBottom w:val="0"/>
          <w:divBdr>
            <w:top w:val="none" w:sz="0" w:space="0" w:color="auto"/>
            <w:left w:val="none" w:sz="0" w:space="0" w:color="auto"/>
            <w:bottom w:val="none" w:sz="0" w:space="0" w:color="auto"/>
            <w:right w:val="none" w:sz="0" w:space="0" w:color="auto"/>
          </w:divBdr>
        </w:div>
        <w:div w:id="1552841569">
          <w:marLeft w:val="0"/>
          <w:marRight w:val="0"/>
          <w:marTop w:val="0"/>
          <w:marBottom w:val="0"/>
          <w:divBdr>
            <w:top w:val="none" w:sz="0" w:space="0" w:color="auto"/>
            <w:left w:val="none" w:sz="0" w:space="0" w:color="auto"/>
            <w:bottom w:val="none" w:sz="0" w:space="0" w:color="auto"/>
            <w:right w:val="none" w:sz="0" w:space="0" w:color="auto"/>
          </w:divBdr>
        </w:div>
        <w:div w:id="1770081989">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 w:id="1703282180">
      <w:bodyDiv w:val="1"/>
      <w:marLeft w:val="0"/>
      <w:marRight w:val="0"/>
      <w:marTop w:val="0"/>
      <w:marBottom w:val="0"/>
      <w:divBdr>
        <w:top w:val="none" w:sz="0" w:space="0" w:color="auto"/>
        <w:left w:val="none" w:sz="0" w:space="0" w:color="auto"/>
        <w:bottom w:val="none" w:sz="0" w:space="0" w:color="auto"/>
        <w:right w:val="none" w:sz="0" w:space="0" w:color="auto"/>
      </w:divBdr>
    </w:div>
    <w:div w:id="1734353414">
      <w:bodyDiv w:val="1"/>
      <w:marLeft w:val="0"/>
      <w:marRight w:val="0"/>
      <w:marTop w:val="0"/>
      <w:marBottom w:val="0"/>
      <w:divBdr>
        <w:top w:val="none" w:sz="0" w:space="0" w:color="auto"/>
        <w:left w:val="none" w:sz="0" w:space="0" w:color="auto"/>
        <w:bottom w:val="none" w:sz="0" w:space="0" w:color="auto"/>
        <w:right w:val="none" w:sz="0" w:space="0" w:color="auto"/>
      </w:divBdr>
    </w:div>
    <w:div w:id="1737439257">
      <w:bodyDiv w:val="1"/>
      <w:marLeft w:val="0"/>
      <w:marRight w:val="0"/>
      <w:marTop w:val="0"/>
      <w:marBottom w:val="0"/>
      <w:divBdr>
        <w:top w:val="none" w:sz="0" w:space="0" w:color="auto"/>
        <w:left w:val="none" w:sz="0" w:space="0" w:color="auto"/>
        <w:bottom w:val="none" w:sz="0" w:space="0" w:color="auto"/>
        <w:right w:val="none" w:sz="0" w:space="0" w:color="auto"/>
      </w:divBdr>
    </w:div>
    <w:div w:id="1765956175">
      <w:bodyDiv w:val="1"/>
      <w:marLeft w:val="0"/>
      <w:marRight w:val="0"/>
      <w:marTop w:val="0"/>
      <w:marBottom w:val="0"/>
      <w:divBdr>
        <w:top w:val="none" w:sz="0" w:space="0" w:color="auto"/>
        <w:left w:val="none" w:sz="0" w:space="0" w:color="auto"/>
        <w:bottom w:val="none" w:sz="0" w:space="0" w:color="auto"/>
        <w:right w:val="none" w:sz="0" w:space="0" w:color="auto"/>
      </w:divBdr>
    </w:div>
    <w:div w:id="1834566825">
      <w:bodyDiv w:val="1"/>
      <w:marLeft w:val="0"/>
      <w:marRight w:val="0"/>
      <w:marTop w:val="0"/>
      <w:marBottom w:val="0"/>
      <w:divBdr>
        <w:top w:val="none" w:sz="0" w:space="0" w:color="auto"/>
        <w:left w:val="none" w:sz="0" w:space="0" w:color="auto"/>
        <w:bottom w:val="none" w:sz="0" w:space="0" w:color="auto"/>
        <w:right w:val="none" w:sz="0" w:space="0" w:color="auto"/>
      </w:divBdr>
    </w:div>
    <w:div w:id="1862628627">
      <w:bodyDiv w:val="1"/>
      <w:marLeft w:val="0"/>
      <w:marRight w:val="0"/>
      <w:marTop w:val="0"/>
      <w:marBottom w:val="0"/>
      <w:divBdr>
        <w:top w:val="none" w:sz="0" w:space="0" w:color="auto"/>
        <w:left w:val="none" w:sz="0" w:space="0" w:color="auto"/>
        <w:bottom w:val="none" w:sz="0" w:space="0" w:color="auto"/>
        <w:right w:val="none" w:sz="0" w:space="0" w:color="auto"/>
      </w:divBdr>
    </w:div>
    <w:div w:id="1873685770">
      <w:bodyDiv w:val="1"/>
      <w:marLeft w:val="0"/>
      <w:marRight w:val="0"/>
      <w:marTop w:val="0"/>
      <w:marBottom w:val="0"/>
      <w:divBdr>
        <w:top w:val="none" w:sz="0" w:space="0" w:color="auto"/>
        <w:left w:val="none" w:sz="0" w:space="0" w:color="auto"/>
        <w:bottom w:val="none" w:sz="0" w:space="0" w:color="auto"/>
        <w:right w:val="none" w:sz="0" w:space="0" w:color="auto"/>
      </w:divBdr>
    </w:div>
    <w:div w:id="1890147633">
      <w:bodyDiv w:val="1"/>
      <w:marLeft w:val="0"/>
      <w:marRight w:val="0"/>
      <w:marTop w:val="0"/>
      <w:marBottom w:val="0"/>
      <w:divBdr>
        <w:top w:val="none" w:sz="0" w:space="0" w:color="auto"/>
        <w:left w:val="none" w:sz="0" w:space="0" w:color="auto"/>
        <w:bottom w:val="none" w:sz="0" w:space="0" w:color="auto"/>
        <w:right w:val="none" w:sz="0" w:space="0" w:color="auto"/>
      </w:divBdr>
    </w:div>
    <w:div w:id="1946690140">
      <w:bodyDiv w:val="1"/>
      <w:marLeft w:val="0"/>
      <w:marRight w:val="0"/>
      <w:marTop w:val="0"/>
      <w:marBottom w:val="0"/>
      <w:divBdr>
        <w:top w:val="none" w:sz="0" w:space="0" w:color="auto"/>
        <w:left w:val="none" w:sz="0" w:space="0" w:color="auto"/>
        <w:bottom w:val="none" w:sz="0" w:space="0" w:color="auto"/>
        <w:right w:val="none" w:sz="0" w:space="0" w:color="auto"/>
      </w:divBdr>
    </w:div>
    <w:div w:id="2010252953">
      <w:bodyDiv w:val="1"/>
      <w:marLeft w:val="0"/>
      <w:marRight w:val="0"/>
      <w:marTop w:val="0"/>
      <w:marBottom w:val="0"/>
      <w:divBdr>
        <w:top w:val="none" w:sz="0" w:space="0" w:color="auto"/>
        <w:left w:val="none" w:sz="0" w:space="0" w:color="auto"/>
        <w:bottom w:val="none" w:sz="0" w:space="0" w:color="auto"/>
        <w:right w:val="none" w:sz="0" w:space="0" w:color="auto"/>
      </w:divBdr>
    </w:div>
    <w:div w:id="2065568726">
      <w:bodyDiv w:val="1"/>
      <w:marLeft w:val="0"/>
      <w:marRight w:val="0"/>
      <w:marTop w:val="0"/>
      <w:marBottom w:val="0"/>
      <w:divBdr>
        <w:top w:val="none" w:sz="0" w:space="0" w:color="auto"/>
        <w:left w:val="none" w:sz="0" w:space="0" w:color="auto"/>
        <w:bottom w:val="none" w:sz="0" w:space="0" w:color="auto"/>
        <w:right w:val="none" w:sz="0" w:space="0" w:color="auto"/>
      </w:divBdr>
      <w:divsChild>
        <w:div w:id="223680599">
          <w:marLeft w:val="0"/>
          <w:marRight w:val="0"/>
          <w:marTop w:val="0"/>
          <w:marBottom w:val="0"/>
          <w:divBdr>
            <w:top w:val="none" w:sz="0" w:space="0" w:color="auto"/>
            <w:left w:val="none" w:sz="0" w:space="0" w:color="auto"/>
            <w:bottom w:val="none" w:sz="0" w:space="0" w:color="auto"/>
            <w:right w:val="none" w:sz="0" w:space="0" w:color="auto"/>
          </w:divBdr>
        </w:div>
        <w:div w:id="382143563">
          <w:marLeft w:val="0"/>
          <w:marRight w:val="0"/>
          <w:marTop w:val="0"/>
          <w:marBottom w:val="0"/>
          <w:divBdr>
            <w:top w:val="none" w:sz="0" w:space="0" w:color="auto"/>
            <w:left w:val="none" w:sz="0" w:space="0" w:color="auto"/>
            <w:bottom w:val="none" w:sz="0" w:space="0" w:color="auto"/>
            <w:right w:val="none" w:sz="0" w:space="0" w:color="auto"/>
          </w:divBdr>
        </w:div>
        <w:div w:id="410734657">
          <w:marLeft w:val="0"/>
          <w:marRight w:val="0"/>
          <w:marTop w:val="0"/>
          <w:marBottom w:val="0"/>
          <w:divBdr>
            <w:top w:val="none" w:sz="0" w:space="0" w:color="auto"/>
            <w:left w:val="none" w:sz="0" w:space="0" w:color="auto"/>
            <w:bottom w:val="none" w:sz="0" w:space="0" w:color="auto"/>
            <w:right w:val="none" w:sz="0" w:space="0" w:color="auto"/>
          </w:divBdr>
        </w:div>
        <w:div w:id="675572741">
          <w:marLeft w:val="0"/>
          <w:marRight w:val="0"/>
          <w:marTop w:val="0"/>
          <w:marBottom w:val="0"/>
          <w:divBdr>
            <w:top w:val="none" w:sz="0" w:space="0" w:color="auto"/>
            <w:left w:val="none" w:sz="0" w:space="0" w:color="auto"/>
            <w:bottom w:val="none" w:sz="0" w:space="0" w:color="auto"/>
            <w:right w:val="none" w:sz="0" w:space="0" w:color="auto"/>
          </w:divBdr>
        </w:div>
        <w:div w:id="824080147">
          <w:marLeft w:val="0"/>
          <w:marRight w:val="0"/>
          <w:marTop w:val="0"/>
          <w:marBottom w:val="0"/>
          <w:divBdr>
            <w:top w:val="none" w:sz="0" w:space="0" w:color="auto"/>
            <w:left w:val="none" w:sz="0" w:space="0" w:color="auto"/>
            <w:bottom w:val="none" w:sz="0" w:space="0" w:color="auto"/>
            <w:right w:val="none" w:sz="0" w:space="0" w:color="auto"/>
          </w:divBdr>
        </w:div>
        <w:div w:id="927999138">
          <w:marLeft w:val="0"/>
          <w:marRight w:val="0"/>
          <w:marTop w:val="0"/>
          <w:marBottom w:val="0"/>
          <w:divBdr>
            <w:top w:val="none" w:sz="0" w:space="0" w:color="auto"/>
            <w:left w:val="none" w:sz="0" w:space="0" w:color="auto"/>
            <w:bottom w:val="none" w:sz="0" w:space="0" w:color="auto"/>
            <w:right w:val="none" w:sz="0" w:space="0" w:color="auto"/>
          </w:divBdr>
        </w:div>
        <w:div w:id="1128474922">
          <w:marLeft w:val="0"/>
          <w:marRight w:val="0"/>
          <w:marTop w:val="0"/>
          <w:marBottom w:val="0"/>
          <w:divBdr>
            <w:top w:val="none" w:sz="0" w:space="0" w:color="auto"/>
            <w:left w:val="none" w:sz="0" w:space="0" w:color="auto"/>
            <w:bottom w:val="none" w:sz="0" w:space="0" w:color="auto"/>
            <w:right w:val="none" w:sz="0" w:space="0" w:color="auto"/>
          </w:divBdr>
        </w:div>
        <w:div w:id="1150098444">
          <w:marLeft w:val="0"/>
          <w:marRight w:val="0"/>
          <w:marTop w:val="0"/>
          <w:marBottom w:val="0"/>
          <w:divBdr>
            <w:top w:val="none" w:sz="0" w:space="0" w:color="auto"/>
            <w:left w:val="none" w:sz="0" w:space="0" w:color="auto"/>
            <w:bottom w:val="none" w:sz="0" w:space="0" w:color="auto"/>
            <w:right w:val="none" w:sz="0" w:space="0" w:color="auto"/>
          </w:divBdr>
        </w:div>
        <w:div w:id="1191457287">
          <w:marLeft w:val="0"/>
          <w:marRight w:val="0"/>
          <w:marTop w:val="0"/>
          <w:marBottom w:val="0"/>
          <w:divBdr>
            <w:top w:val="none" w:sz="0" w:space="0" w:color="auto"/>
            <w:left w:val="none" w:sz="0" w:space="0" w:color="auto"/>
            <w:bottom w:val="none" w:sz="0" w:space="0" w:color="auto"/>
            <w:right w:val="none" w:sz="0" w:space="0" w:color="auto"/>
          </w:divBdr>
        </w:div>
        <w:div w:id="1262682955">
          <w:marLeft w:val="0"/>
          <w:marRight w:val="0"/>
          <w:marTop w:val="0"/>
          <w:marBottom w:val="0"/>
          <w:divBdr>
            <w:top w:val="none" w:sz="0" w:space="0" w:color="auto"/>
            <w:left w:val="none" w:sz="0" w:space="0" w:color="auto"/>
            <w:bottom w:val="none" w:sz="0" w:space="0" w:color="auto"/>
            <w:right w:val="none" w:sz="0" w:space="0" w:color="auto"/>
          </w:divBdr>
        </w:div>
        <w:div w:id="1291715309">
          <w:marLeft w:val="0"/>
          <w:marRight w:val="0"/>
          <w:marTop w:val="0"/>
          <w:marBottom w:val="0"/>
          <w:divBdr>
            <w:top w:val="none" w:sz="0" w:space="0" w:color="auto"/>
            <w:left w:val="none" w:sz="0" w:space="0" w:color="auto"/>
            <w:bottom w:val="none" w:sz="0" w:space="0" w:color="auto"/>
            <w:right w:val="none" w:sz="0" w:space="0" w:color="auto"/>
          </w:divBdr>
        </w:div>
        <w:div w:id="1503471265">
          <w:marLeft w:val="0"/>
          <w:marRight w:val="0"/>
          <w:marTop w:val="0"/>
          <w:marBottom w:val="0"/>
          <w:divBdr>
            <w:top w:val="none" w:sz="0" w:space="0" w:color="auto"/>
            <w:left w:val="none" w:sz="0" w:space="0" w:color="auto"/>
            <w:bottom w:val="none" w:sz="0" w:space="0" w:color="auto"/>
            <w:right w:val="none" w:sz="0" w:space="0" w:color="auto"/>
          </w:divBdr>
        </w:div>
        <w:div w:id="1805079546">
          <w:marLeft w:val="0"/>
          <w:marRight w:val="0"/>
          <w:marTop w:val="0"/>
          <w:marBottom w:val="0"/>
          <w:divBdr>
            <w:top w:val="none" w:sz="0" w:space="0" w:color="auto"/>
            <w:left w:val="none" w:sz="0" w:space="0" w:color="auto"/>
            <w:bottom w:val="none" w:sz="0" w:space="0" w:color="auto"/>
            <w:right w:val="none" w:sz="0" w:space="0" w:color="auto"/>
          </w:divBdr>
        </w:div>
        <w:div w:id="1812408601">
          <w:marLeft w:val="0"/>
          <w:marRight w:val="0"/>
          <w:marTop w:val="0"/>
          <w:marBottom w:val="0"/>
          <w:divBdr>
            <w:top w:val="none" w:sz="0" w:space="0" w:color="auto"/>
            <w:left w:val="none" w:sz="0" w:space="0" w:color="auto"/>
            <w:bottom w:val="none" w:sz="0" w:space="0" w:color="auto"/>
            <w:right w:val="none" w:sz="0" w:space="0" w:color="auto"/>
          </w:divBdr>
        </w:div>
      </w:divsChild>
    </w:div>
    <w:div w:id="2074963607">
      <w:bodyDiv w:val="1"/>
      <w:marLeft w:val="0"/>
      <w:marRight w:val="0"/>
      <w:marTop w:val="0"/>
      <w:marBottom w:val="0"/>
      <w:divBdr>
        <w:top w:val="none" w:sz="0" w:space="0" w:color="auto"/>
        <w:left w:val="none" w:sz="0" w:space="0" w:color="auto"/>
        <w:bottom w:val="none" w:sz="0" w:space="0" w:color="auto"/>
        <w:right w:val="none" w:sz="0" w:space="0" w:color="auto"/>
      </w:divBdr>
    </w:div>
    <w:div w:id="20947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oehha.ca.gov/calenviroscreen/report/calenviroscreen-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docs.cpuc.ca.gov/SearchRes.aspx?docformat=ALL&amp;docid=394265545" TargetMode="External"/><Relationship Id="rId2" Type="http://schemas.openxmlformats.org/officeDocument/2006/relationships/customXml" Target="../customXml/item2.xml"/><Relationship Id="rId16" Type="http://schemas.openxmlformats.org/officeDocument/2006/relationships/hyperlink" Target="https://efiling.energy.ca.gov/GetDocument.aspx?tn=2368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gcc02.safelinks.protection.outlook.com/?url=https%3A%2F%2Fwww.energy.ca.gov%2Fsolicitations%2F2023-06%2Fgfo-22-307-optimizing-long-duration-energy-storage-improve-resilience-and&amp;data=05%7C01%7C%7Cb545f091a6b5446fdfb708db7db0069d%7Cac3a124413f44ef68d1bbaa27148194e%7C0%7C0%7C638241967204933186%7CUnknown%7CTWFpbGZsb3d8eyJWIjoiMC4wLjAwMDAiLCJQIjoiV2luMzIiLCJBTiI6Ik1haWwiLCJXVCI6Mn0%3D%7C3000%7C%7C%7C&amp;sdata=bxc3zxykS2qyqR0MZut7INjYcAQQ%2B1LK6DqHlVWea6Q%3D&amp;reserved=0" TargetMode="External"/><Relationship Id="rId23" Type="http://schemas.openxmlformats.org/officeDocument/2006/relationships/theme" Target="theme/theme1.xml"/><Relationship Id="rId10" Type="http://schemas.openxmlformats.org/officeDocument/2006/relationships/hyperlink" Target="https://gcc02.safelinks.protection.outlook.com/?url=https%3A%2F%2Fwww.energy.ca.gov%2Fsolicitations%2F2023-06%2Fgfo-22-307-optimizing-long-duration-energy-storage-improve-resilience-and&amp;data=05%7C01%7C%7Cb545f091a6b5446fdfb708db7db0069d%7Cac3a124413f44ef68d1bbaa27148194e%7C0%7C0%7C638241967204933186%7CUnknown%7CTWFpbGZsb3d8eyJWIjoiMC4wLjAwMDAiLCJQIjoiV2luMzIiLCJBTiI6Ik1haWwiLCJXVCI6Mn0%3D%7C3000%7C%7C%7C&amp;sdata=bxc3zxykS2qyqR0MZut7INjYcAQQ%2B1LK6DqHlVWea6Q%3D&amp;reserved=0" TargetMode="External"/><Relationship Id="rId19" Type="http://schemas.openxmlformats.org/officeDocument/2006/relationships/hyperlink" Target="https://www.hcd.ca.gov/grants-funding/income-limits/state-and-federal-income-limit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6470E-FC17-4516-8033-E65A3C650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C0038-422D-4A40-95D8-B0FD5B510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9E1AA1-FA3D-45E1-B942-39C22948D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Higgerson, Zoe@Energy</dc:creator>
  <cp:keywords/>
  <dc:description/>
  <cp:lastModifiedBy>Dyer, Phil@Energy</cp:lastModifiedBy>
  <cp:revision>2</cp:revision>
  <dcterms:created xsi:type="dcterms:W3CDTF">2023-08-04T21:43:00Z</dcterms:created>
  <dcterms:modified xsi:type="dcterms:W3CDTF">2023-08-04T21:43:00Z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4e6ed94a715d11b1c4638fd029bd3e3a02810f8287e70de3fa9e8f02702d5432</vt:lpwstr>
  </property>
  <property fmtid="{D5CDD505-2E9C-101B-9397-08002B2CF9AE}" pid="3" name="ContentTypeId">
    <vt:lpwstr>0x010100D19240245589B0409F605990A2E9AEA1</vt:lpwstr>
  </property>
</Properties>
</file>